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B1485">
      <w:pPr>
        <w:adjustRightInd w:val="0"/>
        <w:snapToGrid w:val="0"/>
        <w:jc w:val="left"/>
        <w:rPr>
          <w:rFonts w:hint="eastAsia" w:ascii="仿宋" w:hAnsi="仿宋" w:eastAsia="仿宋" w:cs="仿宋"/>
          <w:color w:val="auto"/>
          <w:highlight w:val="none"/>
        </w:rPr>
      </w:pPr>
      <w:r>
        <w:rPr>
          <w:rFonts w:hint="eastAsia" w:ascii="仿宋" w:hAnsi="仿宋" w:eastAsia="仿宋" w:cs="仿宋"/>
          <w:color w:val="auto"/>
          <w:highlight w:val="none"/>
        </w:rPr>
        <w:drawing>
          <wp:inline distT="0" distB="0" distL="0" distR="0">
            <wp:extent cx="985520" cy="795655"/>
            <wp:effectExtent l="0" t="0" r="508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985520" cy="795655"/>
                    </a:xfrm>
                    <a:prstGeom prst="rect">
                      <a:avLst/>
                    </a:prstGeom>
                    <a:noFill/>
                    <a:ln>
                      <a:noFill/>
                    </a:ln>
                  </pic:spPr>
                </pic:pic>
              </a:graphicData>
            </a:graphic>
          </wp:inline>
        </w:drawing>
      </w:r>
    </w:p>
    <w:p w14:paraId="281E85E1">
      <w:pPr>
        <w:adjustRightInd w:val="0"/>
        <w:snapToGrid w:val="0"/>
        <w:spacing w:line="480" w:lineRule="exact"/>
        <w:jc w:val="center"/>
        <w:rPr>
          <w:rFonts w:hint="eastAsia" w:ascii="仿宋" w:hAnsi="仿宋" w:eastAsia="仿宋" w:cs="仿宋"/>
          <w:bCs/>
          <w:color w:val="auto"/>
          <w:sz w:val="48"/>
          <w:szCs w:val="48"/>
          <w:highlight w:val="none"/>
        </w:rPr>
      </w:pPr>
    </w:p>
    <w:p w14:paraId="43486172">
      <w:pPr>
        <w:adjustRightInd w:val="0"/>
        <w:snapToGrid w:val="0"/>
        <w:spacing w:line="480" w:lineRule="exact"/>
        <w:jc w:val="center"/>
        <w:rPr>
          <w:rFonts w:hint="eastAsia" w:ascii="仿宋" w:hAnsi="仿宋" w:eastAsia="仿宋" w:cs="仿宋"/>
          <w:bCs/>
          <w:color w:val="auto"/>
          <w:sz w:val="48"/>
          <w:szCs w:val="48"/>
          <w:highlight w:val="none"/>
        </w:rPr>
      </w:pPr>
      <w:r>
        <w:rPr>
          <w:rFonts w:hint="eastAsia" w:ascii="仿宋" w:hAnsi="仿宋" w:eastAsia="仿宋" w:cs="仿宋"/>
          <w:bCs/>
          <w:color w:val="auto"/>
          <w:sz w:val="48"/>
          <w:szCs w:val="48"/>
          <w:highlight w:val="none"/>
        </w:rPr>
        <w:t>招 标 文 件</w:t>
      </w:r>
    </w:p>
    <w:p w14:paraId="4B5D7485">
      <w:pPr>
        <w:jc w:val="center"/>
        <w:rPr>
          <w:rFonts w:hint="eastAsia"/>
          <w:b/>
          <w:bCs/>
          <w:color w:val="auto"/>
          <w:sz w:val="28"/>
          <w:szCs w:val="28"/>
          <w:highlight w:val="none"/>
          <w:lang w:eastAsia="zh-CN"/>
        </w:rPr>
      </w:pPr>
      <w:r>
        <w:rPr>
          <w:rFonts w:hint="eastAsia"/>
          <w:b/>
          <w:bCs/>
          <w:color w:val="auto"/>
          <w:sz w:val="28"/>
          <w:szCs w:val="28"/>
          <w:highlight w:val="none"/>
          <w:lang w:eastAsia="zh-CN"/>
        </w:rPr>
        <w:t>（</w:t>
      </w:r>
      <w:r>
        <w:rPr>
          <w:rFonts w:hint="eastAsia"/>
          <w:b/>
          <w:bCs/>
          <w:color w:val="auto"/>
          <w:sz w:val="28"/>
          <w:szCs w:val="28"/>
          <w:highlight w:val="none"/>
          <w:lang w:val="en-US" w:eastAsia="zh-CN"/>
        </w:rPr>
        <w:t>公开招标-货物</w:t>
      </w:r>
      <w:r>
        <w:rPr>
          <w:rFonts w:hint="eastAsia"/>
          <w:b/>
          <w:bCs/>
          <w:color w:val="auto"/>
          <w:sz w:val="28"/>
          <w:szCs w:val="28"/>
          <w:highlight w:val="none"/>
          <w:lang w:eastAsia="zh-CN"/>
        </w:rPr>
        <w:t>）</w:t>
      </w:r>
    </w:p>
    <w:p w14:paraId="7AFD1B19">
      <w:pPr>
        <w:pStyle w:val="2"/>
        <w:rPr>
          <w:rFonts w:hint="eastAsia"/>
          <w:color w:val="auto"/>
          <w:highlight w:val="none"/>
          <w:lang w:eastAsia="zh-CN"/>
        </w:rPr>
      </w:pPr>
    </w:p>
    <w:p w14:paraId="02BC04DF">
      <w:pPr>
        <w:ind w:left="1574" w:right="-191" w:rightChars="-91" w:hanging="1574" w:hangingChars="492"/>
        <w:rPr>
          <w:rFonts w:hint="eastAsia" w:ascii="仿宋" w:hAnsi="仿宋" w:eastAsia="仿宋" w:cs="仿宋"/>
          <w:bCs/>
          <w:color w:val="auto"/>
          <w:sz w:val="32"/>
          <w:highlight w:val="none"/>
          <w:lang w:eastAsia="zh-CN"/>
        </w:rPr>
      </w:pPr>
      <w:r>
        <w:rPr>
          <w:rFonts w:hint="eastAsia" w:ascii="仿宋" w:hAnsi="仿宋" w:eastAsia="仿宋" w:cs="仿宋"/>
          <w:bCs/>
          <w:color w:val="auto"/>
          <w:kern w:val="0"/>
          <w:sz w:val="32"/>
          <w:szCs w:val="32"/>
          <w:highlight w:val="none"/>
        </w:rPr>
        <w:t>项目名称：</w:t>
      </w:r>
      <w:r>
        <w:rPr>
          <w:rFonts w:hint="eastAsia" w:ascii="仿宋" w:hAnsi="仿宋" w:eastAsia="仿宋" w:cs="仿宋"/>
          <w:bCs/>
          <w:color w:val="auto"/>
          <w:sz w:val="32"/>
          <w:highlight w:val="none"/>
          <w:lang w:eastAsia="zh-CN"/>
        </w:rPr>
        <w:t>新疆维吾尔自治区农业科学院果蔬所试剂和助剂采购项目</w:t>
      </w:r>
    </w:p>
    <w:p w14:paraId="2A026E38">
      <w:pPr>
        <w:adjustRightInd w:val="0"/>
        <w:snapToGrid w:val="0"/>
        <w:spacing w:line="480" w:lineRule="exact"/>
        <w:rPr>
          <w:rFonts w:hint="eastAsia" w:ascii="仿宋" w:hAnsi="仿宋" w:eastAsia="仿宋" w:cs="仿宋"/>
          <w:bCs/>
          <w:color w:val="auto"/>
          <w:kern w:val="0"/>
          <w:sz w:val="32"/>
          <w:szCs w:val="32"/>
          <w:highlight w:val="none"/>
        </w:rPr>
      </w:pPr>
    </w:p>
    <w:p w14:paraId="1BABD549">
      <w:pPr>
        <w:adjustRightInd w:val="0"/>
        <w:snapToGrid w:val="0"/>
        <w:spacing w:line="480" w:lineRule="exact"/>
        <w:rPr>
          <w:rFonts w:hint="eastAsia" w:ascii="仿宋" w:hAnsi="仿宋" w:eastAsia="仿宋" w:cs="仿宋"/>
          <w:bCs/>
          <w:color w:val="auto"/>
          <w:kern w:val="0"/>
          <w:sz w:val="32"/>
          <w:szCs w:val="32"/>
          <w:highlight w:val="none"/>
          <w:lang w:eastAsia="zh-CN"/>
        </w:rPr>
      </w:pPr>
      <w:r>
        <w:rPr>
          <w:rFonts w:hint="eastAsia" w:ascii="仿宋" w:hAnsi="仿宋" w:eastAsia="仿宋" w:cs="仿宋"/>
          <w:bCs/>
          <w:color w:val="auto"/>
          <w:kern w:val="0"/>
          <w:sz w:val="32"/>
          <w:szCs w:val="32"/>
          <w:highlight w:val="none"/>
        </w:rPr>
        <w:t>采购人(盖章)：</w:t>
      </w:r>
      <w:r>
        <w:rPr>
          <w:rFonts w:hint="eastAsia" w:ascii="仿宋" w:hAnsi="仿宋" w:eastAsia="仿宋" w:cs="仿宋"/>
          <w:bCs/>
          <w:color w:val="auto"/>
          <w:sz w:val="32"/>
          <w:highlight w:val="none"/>
          <w:lang w:eastAsia="zh-CN"/>
        </w:rPr>
        <w:t>新疆维吾尔自治区农业科学院</w:t>
      </w:r>
    </w:p>
    <w:p w14:paraId="003989C3">
      <w:pPr>
        <w:adjustRightInd w:val="0"/>
        <w:snapToGrid w:val="0"/>
        <w:spacing w:line="480" w:lineRule="exact"/>
        <w:rPr>
          <w:rFonts w:hint="eastAsia" w:ascii="仿宋" w:hAnsi="仿宋" w:eastAsia="仿宋" w:cs="仿宋"/>
          <w:bCs/>
          <w:color w:val="auto"/>
          <w:sz w:val="32"/>
          <w:szCs w:val="32"/>
          <w:highlight w:val="none"/>
        </w:rPr>
      </w:pPr>
    </w:p>
    <w:p w14:paraId="742124D8">
      <w:pPr>
        <w:adjustRightInd w:val="0"/>
        <w:snapToGrid w:val="0"/>
        <w:spacing w:line="276" w:lineRule="auto"/>
        <w:rPr>
          <w:rFonts w:hint="default" w:ascii="仿宋" w:hAnsi="仿宋" w:eastAsia="仿宋" w:cs="仿宋"/>
          <w:bCs/>
          <w:color w:val="auto"/>
          <w:sz w:val="32"/>
          <w:szCs w:val="24"/>
          <w:highlight w:val="none"/>
          <w:lang w:val="en-US" w:eastAsia="zh-CN"/>
        </w:rPr>
      </w:pPr>
      <w:r>
        <w:rPr>
          <w:rFonts w:hint="eastAsia" w:ascii="仿宋" w:hAnsi="仿宋" w:eastAsia="仿宋" w:cs="仿宋"/>
          <w:bCs/>
          <w:color w:val="auto"/>
          <w:sz w:val="32"/>
          <w:szCs w:val="24"/>
          <w:highlight w:val="none"/>
        </w:rPr>
        <w:t>联系人：</w:t>
      </w:r>
      <w:r>
        <w:rPr>
          <w:rFonts w:hint="eastAsia" w:ascii="仿宋" w:hAnsi="仿宋" w:eastAsia="仿宋" w:cs="仿宋"/>
          <w:bCs/>
          <w:color w:val="auto"/>
          <w:sz w:val="32"/>
          <w:szCs w:val="24"/>
          <w:highlight w:val="none"/>
          <w:lang w:val="en-US" w:eastAsia="zh-CN"/>
        </w:rPr>
        <w:t>丁老师、白老师</w:t>
      </w:r>
    </w:p>
    <w:p w14:paraId="6627C9C6">
      <w:pPr>
        <w:adjustRightInd w:val="0"/>
        <w:snapToGrid w:val="0"/>
        <w:spacing w:line="276" w:lineRule="auto"/>
        <w:jc w:val="both"/>
        <w:rPr>
          <w:rFonts w:hint="eastAsia" w:ascii="仿宋" w:hAnsi="仿宋" w:eastAsia="仿宋" w:cs="仿宋"/>
          <w:bCs/>
          <w:color w:val="auto"/>
          <w:sz w:val="32"/>
          <w:szCs w:val="24"/>
          <w:highlight w:val="none"/>
        </w:rPr>
      </w:pPr>
    </w:p>
    <w:p w14:paraId="3BF98CAF">
      <w:pPr>
        <w:adjustRightInd w:val="0"/>
        <w:snapToGrid w:val="0"/>
        <w:spacing w:line="276" w:lineRule="auto"/>
        <w:jc w:val="left"/>
        <w:rPr>
          <w:rFonts w:hint="default" w:ascii="仿宋" w:hAnsi="仿宋" w:eastAsia="仿宋" w:cs="仿宋"/>
          <w:bCs/>
          <w:color w:val="auto"/>
          <w:sz w:val="32"/>
          <w:szCs w:val="24"/>
          <w:highlight w:val="none"/>
          <w:lang w:val="en-US" w:eastAsia="zh-CN"/>
        </w:rPr>
      </w:pPr>
      <w:r>
        <w:rPr>
          <w:rFonts w:hint="eastAsia" w:ascii="仿宋" w:hAnsi="仿宋" w:eastAsia="仿宋" w:cs="仿宋"/>
          <w:bCs/>
          <w:color w:val="auto"/>
          <w:sz w:val="32"/>
          <w:szCs w:val="24"/>
          <w:highlight w:val="none"/>
        </w:rPr>
        <w:t>电话：</w:t>
      </w:r>
      <w:r>
        <w:rPr>
          <w:rFonts w:hint="eastAsia" w:ascii="仿宋" w:hAnsi="仿宋" w:eastAsia="仿宋" w:cs="仿宋"/>
          <w:bCs/>
          <w:color w:val="auto"/>
          <w:sz w:val="32"/>
          <w:szCs w:val="24"/>
          <w:highlight w:val="none"/>
          <w:lang w:val="en-US" w:eastAsia="zh-CN"/>
        </w:rPr>
        <w:t>0991-4550423、0991-4500711</w:t>
      </w:r>
    </w:p>
    <w:p w14:paraId="14BCFF03">
      <w:pPr>
        <w:rPr>
          <w:rFonts w:hint="eastAsia" w:ascii="仿宋" w:hAnsi="仿宋" w:eastAsia="仿宋" w:cs="仿宋"/>
          <w:color w:val="auto"/>
          <w:highlight w:val="none"/>
        </w:rPr>
      </w:pPr>
    </w:p>
    <w:p w14:paraId="5A2A4FFC">
      <w:pPr>
        <w:adjustRightInd w:val="0"/>
        <w:snapToGrid w:val="0"/>
        <w:spacing w:line="480" w:lineRule="exact"/>
        <w:jc w:val="left"/>
        <w:rPr>
          <w:rFonts w:hint="eastAsia"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t>—————————————————————————————</w:t>
      </w:r>
    </w:p>
    <w:p w14:paraId="35A8C444">
      <w:pPr>
        <w:adjustRightInd w:val="0"/>
        <w:snapToGrid w:val="0"/>
        <w:spacing w:line="480" w:lineRule="exact"/>
        <w:jc w:val="center"/>
        <w:rPr>
          <w:rFonts w:hint="eastAsia" w:ascii="仿宋" w:hAnsi="仿宋" w:eastAsia="仿宋" w:cs="仿宋"/>
          <w:bCs/>
          <w:color w:val="auto"/>
          <w:sz w:val="32"/>
          <w:szCs w:val="32"/>
          <w:highlight w:val="none"/>
        </w:rPr>
      </w:pPr>
      <w:bookmarkStart w:id="276" w:name="_GoBack"/>
      <w:bookmarkEnd w:id="276"/>
    </w:p>
    <w:p w14:paraId="1CDEE17F">
      <w:pPr>
        <w:adjustRightInd w:val="0"/>
        <w:snapToGrid w:val="0"/>
        <w:spacing w:line="480" w:lineRule="exact"/>
        <w:rPr>
          <w:rFonts w:hint="eastAsia" w:ascii="仿宋" w:hAnsi="仿宋" w:eastAsia="仿宋" w:cs="仿宋"/>
          <w:bCs/>
          <w:color w:val="auto"/>
          <w:sz w:val="32"/>
          <w:szCs w:val="32"/>
          <w:highlight w:val="none"/>
        </w:rPr>
      </w:pPr>
    </w:p>
    <w:p w14:paraId="48E9508C">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采购代理机构</w:t>
      </w:r>
      <w:r>
        <w:rPr>
          <w:rFonts w:hint="eastAsia" w:ascii="仿宋" w:hAnsi="仿宋" w:eastAsia="仿宋" w:cs="仿宋"/>
          <w:color w:val="auto"/>
          <w:sz w:val="32"/>
          <w:szCs w:val="32"/>
          <w:highlight w:val="none"/>
        </w:rPr>
        <w:t>(盖章)</w:t>
      </w:r>
      <w:r>
        <w:rPr>
          <w:rFonts w:hint="eastAsia" w:ascii="仿宋" w:hAnsi="仿宋" w:eastAsia="仿宋" w:cs="仿宋"/>
          <w:bCs/>
          <w:color w:val="auto"/>
          <w:sz w:val="32"/>
          <w:szCs w:val="32"/>
          <w:highlight w:val="none"/>
        </w:rPr>
        <w:t>：新疆新世纪招标有限公司</w:t>
      </w:r>
    </w:p>
    <w:p w14:paraId="16244D1B">
      <w:pPr>
        <w:adjustRightInd w:val="0"/>
        <w:snapToGrid w:val="0"/>
        <w:spacing w:line="480" w:lineRule="exact"/>
        <w:rPr>
          <w:rFonts w:hint="eastAsia" w:ascii="仿宋" w:hAnsi="仿宋" w:eastAsia="仿宋" w:cs="仿宋"/>
          <w:bCs/>
          <w:color w:val="auto"/>
          <w:sz w:val="32"/>
          <w:szCs w:val="32"/>
          <w:highlight w:val="none"/>
        </w:rPr>
      </w:pPr>
    </w:p>
    <w:p w14:paraId="6FFE116B">
      <w:pPr>
        <w:adjustRightInd w:val="0"/>
        <w:snapToGrid w:val="0"/>
        <w:spacing w:line="480" w:lineRule="exact"/>
        <w:rPr>
          <w:rFonts w:hint="default"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rPr>
        <w:t>联系人：</w:t>
      </w:r>
      <w:r>
        <w:rPr>
          <w:rFonts w:hint="eastAsia" w:ascii="仿宋" w:hAnsi="仿宋" w:eastAsia="仿宋" w:cs="仿宋"/>
          <w:bCs/>
          <w:color w:val="auto"/>
          <w:sz w:val="32"/>
          <w:szCs w:val="32"/>
          <w:highlight w:val="none"/>
          <w:lang w:val="en-US" w:eastAsia="zh-CN"/>
        </w:rPr>
        <w:t>马丹阳、候永康</w:t>
      </w:r>
    </w:p>
    <w:p w14:paraId="1F97C145">
      <w:pPr>
        <w:adjustRightInd w:val="0"/>
        <w:snapToGrid w:val="0"/>
        <w:spacing w:line="480" w:lineRule="exact"/>
        <w:jc w:val="center"/>
        <w:rPr>
          <w:rFonts w:hint="eastAsia" w:ascii="仿宋" w:hAnsi="仿宋" w:eastAsia="仿宋" w:cs="仿宋"/>
          <w:bCs/>
          <w:color w:val="auto"/>
          <w:sz w:val="32"/>
          <w:szCs w:val="32"/>
          <w:highlight w:val="none"/>
        </w:rPr>
      </w:pPr>
    </w:p>
    <w:p w14:paraId="3DDC8E12">
      <w:pPr>
        <w:adjustRightInd w:val="0"/>
        <w:snapToGrid w:val="0"/>
        <w:spacing w:line="480" w:lineRule="exact"/>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kern w:val="0"/>
          <w:sz w:val="32"/>
          <w:szCs w:val="32"/>
          <w:highlight w:val="none"/>
        </w:rPr>
        <w:t>电话</w:t>
      </w:r>
      <w:r>
        <w:rPr>
          <w:rFonts w:hint="eastAsia" w:ascii="仿宋" w:hAnsi="仿宋" w:eastAsia="仿宋" w:cs="仿宋"/>
          <w:bCs/>
          <w:color w:val="auto"/>
          <w:sz w:val="32"/>
          <w:szCs w:val="32"/>
          <w:highlight w:val="none"/>
        </w:rPr>
        <w:t>：0991-4661782</w:t>
      </w:r>
    </w:p>
    <w:p w14:paraId="481DCC4D">
      <w:pPr>
        <w:adjustRightInd w:val="0"/>
        <w:snapToGrid w:val="0"/>
        <w:spacing w:line="480" w:lineRule="exact"/>
        <w:rPr>
          <w:rFonts w:hint="eastAsia" w:ascii="仿宋" w:hAnsi="仿宋" w:eastAsia="仿宋" w:cs="仿宋"/>
          <w:bCs/>
          <w:color w:val="auto"/>
          <w:sz w:val="32"/>
          <w:szCs w:val="32"/>
          <w:highlight w:val="none"/>
        </w:rPr>
      </w:pPr>
    </w:p>
    <w:p w14:paraId="26F4AA3D">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地址：乌鲁木齐市新兴街20号凤凰大厦五楼</w:t>
      </w:r>
    </w:p>
    <w:p w14:paraId="0201236A">
      <w:pPr>
        <w:adjustRightInd w:val="0"/>
        <w:snapToGrid w:val="0"/>
        <w:spacing w:line="480" w:lineRule="exact"/>
        <w:rPr>
          <w:rFonts w:hint="eastAsia" w:ascii="仿宋" w:hAnsi="仿宋" w:eastAsia="仿宋" w:cs="仿宋"/>
          <w:bCs/>
          <w:color w:val="auto"/>
          <w:sz w:val="32"/>
          <w:szCs w:val="32"/>
          <w:highlight w:val="none"/>
        </w:rPr>
      </w:pPr>
    </w:p>
    <w:p w14:paraId="3038F1FE">
      <w:pPr>
        <w:widowControl/>
        <w:jc w:val="left"/>
        <w:rPr>
          <w:rFonts w:hint="eastAsia" w:ascii="仿宋" w:hAnsi="仿宋" w:eastAsia="仿宋" w:cs="仿宋"/>
          <w:b/>
          <w:bCs/>
          <w:color w:val="auto"/>
          <w:highlight w:val="none"/>
        </w:rPr>
      </w:pPr>
      <w:r>
        <w:rPr>
          <w:rFonts w:hint="eastAsia" w:ascii="仿宋" w:hAnsi="仿宋" w:eastAsia="仿宋" w:cs="仿宋"/>
          <w:b/>
          <w:bCs/>
          <w:color w:val="auto"/>
          <w:highlight w:val="none"/>
        </w:rPr>
        <w:br w:type="page"/>
      </w:r>
    </w:p>
    <w:p w14:paraId="4BF7D7DE">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目录</w:t>
      </w:r>
    </w:p>
    <w:p w14:paraId="6C071EF7">
      <w:pPr>
        <w:pStyle w:val="23"/>
        <w:tabs>
          <w:tab w:val="right" w:leader="dot" w:pos="9354"/>
        </w:tabs>
        <w:rPr>
          <w:color w:val="auto"/>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TOC \o "1-3" \h \u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_Toc23499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32"/>
          <w:highlight w:val="none"/>
        </w:rPr>
        <w:t>招标公告</w:t>
      </w:r>
      <w:r>
        <w:rPr>
          <w:color w:val="auto"/>
          <w:highlight w:val="none"/>
        </w:rPr>
        <w:tab/>
      </w:r>
      <w:r>
        <w:rPr>
          <w:color w:val="auto"/>
          <w:highlight w:val="none"/>
        </w:rPr>
        <w:fldChar w:fldCharType="begin"/>
      </w:r>
      <w:r>
        <w:rPr>
          <w:color w:val="auto"/>
          <w:highlight w:val="none"/>
        </w:rPr>
        <w:instrText xml:space="preserve"> PAGEREF _Toc23499 \h </w:instrText>
      </w:r>
      <w:r>
        <w:rPr>
          <w:color w:val="auto"/>
          <w:highlight w:val="none"/>
        </w:rPr>
        <w:fldChar w:fldCharType="separate"/>
      </w:r>
      <w:r>
        <w:rPr>
          <w:color w:val="auto"/>
          <w:highlight w:val="none"/>
        </w:rPr>
        <w:t>1</w:t>
      </w:r>
      <w:r>
        <w:rPr>
          <w:color w:val="auto"/>
          <w:highlight w:val="none"/>
        </w:rPr>
        <w:fldChar w:fldCharType="end"/>
      </w:r>
      <w:r>
        <w:rPr>
          <w:rFonts w:hint="eastAsia" w:ascii="仿宋" w:hAnsi="仿宋" w:eastAsia="仿宋" w:cs="仿宋"/>
          <w:color w:val="auto"/>
          <w:highlight w:val="none"/>
        </w:rPr>
        <w:fldChar w:fldCharType="end"/>
      </w:r>
    </w:p>
    <w:p w14:paraId="66722C43">
      <w:pPr>
        <w:pStyle w:val="2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_Toc24223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_Toc24223 \h </w:instrText>
      </w:r>
      <w:r>
        <w:rPr>
          <w:color w:val="auto"/>
          <w:highlight w:val="none"/>
        </w:rPr>
        <w:fldChar w:fldCharType="separate"/>
      </w:r>
      <w:r>
        <w:rPr>
          <w:color w:val="auto"/>
          <w:highlight w:val="none"/>
        </w:rPr>
        <w:t>4</w:t>
      </w:r>
      <w:r>
        <w:rPr>
          <w:color w:val="auto"/>
          <w:highlight w:val="none"/>
        </w:rPr>
        <w:fldChar w:fldCharType="end"/>
      </w:r>
      <w:r>
        <w:rPr>
          <w:rFonts w:hint="eastAsia" w:ascii="仿宋" w:hAnsi="仿宋" w:eastAsia="仿宋" w:cs="仿宋"/>
          <w:color w:val="auto"/>
          <w:highlight w:val="none"/>
        </w:rPr>
        <w:fldChar w:fldCharType="end"/>
      </w:r>
    </w:p>
    <w:p w14:paraId="7E9C63B2">
      <w:pPr>
        <w:pStyle w:val="2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_Toc22196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第一章 投标人须知</w:t>
      </w:r>
      <w:r>
        <w:rPr>
          <w:color w:val="auto"/>
          <w:highlight w:val="none"/>
        </w:rPr>
        <w:tab/>
      </w:r>
      <w:r>
        <w:rPr>
          <w:color w:val="auto"/>
          <w:highlight w:val="none"/>
        </w:rPr>
        <w:fldChar w:fldCharType="begin"/>
      </w:r>
      <w:r>
        <w:rPr>
          <w:color w:val="auto"/>
          <w:highlight w:val="none"/>
        </w:rPr>
        <w:instrText xml:space="preserve"> PAGEREF _Toc22196 \h </w:instrText>
      </w:r>
      <w:r>
        <w:rPr>
          <w:color w:val="auto"/>
          <w:highlight w:val="none"/>
        </w:rPr>
        <w:fldChar w:fldCharType="separate"/>
      </w:r>
      <w:r>
        <w:rPr>
          <w:color w:val="auto"/>
          <w:highlight w:val="none"/>
        </w:rPr>
        <w:t>8</w:t>
      </w:r>
      <w:r>
        <w:rPr>
          <w:color w:val="auto"/>
          <w:highlight w:val="none"/>
        </w:rPr>
        <w:fldChar w:fldCharType="end"/>
      </w:r>
      <w:r>
        <w:rPr>
          <w:rFonts w:hint="eastAsia" w:ascii="仿宋" w:hAnsi="仿宋" w:eastAsia="仿宋" w:cs="仿宋"/>
          <w:color w:val="auto"/>
          <w:highlight w:val="none"/>
        </w:rPr>
        <w:fldChar w:fldCharType="end"/>
      </w:r>
    </w:p>
    <w:p w14:paraId="5952F7D9">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_Toc28855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一</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总则</w:t>
      </w:r>
      <w:r>
        <w:rPr>
          <w:color w:val="auto"/>
          <w:highlight w:val="none"/>
        </w:rPr>
        <w:tab/>
      </w:r>
      <w:r>
        <w:rPr>
          <w:color w:val="auto"/>
          <w:highlight w:val="none"/>
        </w:rPr>
        <w:fldChar w:fldCharType="begin"/>
      </w:r>
      <w:r>
        <w:rPr>
          <w:color w:val="auto"/>
          <w:highlight w:val="none"/>
        </w:rPr>
        <w:instrText xml:space="preserve"> PAGEREF _Toc28855 \h </w:instrText>
      </w:r>
      <w:r>
        <w:rPr>
          <w:color w:val="auto"/>
          <w:highlight w:val="none"/>
        </w:rPr>
        <w:fldChar w:fldCharType="separate"/>
      </w:r>
      <w:r>
        <w:rPr>
          <w:color w:val="auto"/>
          <w:highlight w:val="none"/>
        </w:rPr>
        <w:t>8</w:t>
      </w:r>
      <w:r>
        <w:rPr>
          <w:color w:val="auto"/>
          <w:highlight w:val="none"/>
        </w:rPr>
        <w:fldChar w:fldCharType="end"/>
      </w:r>
      <w:r>
        <w:rPr>
          <w:rFonts w:hint="eastAsia" w:ascii="仿宋" w:hAnsi="仿宋" w:eastAsia="仿宋" w:cs="仿宋"/>
          <w:color w:val="auto"/>
          <w:highlight w:val="none"/>
        </w:rPr>
        <w:fldChar w:fldCharType="end"/>
      </w:r>
    </w:p>
    <w:p w14:paraId="790579CE">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_Toc20511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二、</w:t>
      </w:r>
      <w:r>
        <w:rPr>
          <w:rFonts w:hint="eastAsia" w:ascii="仿宋" w:hAnsi="仿宋" w:eastAsia="仿宋" w:cs="仿宋"/>
          <w:color w:val="auto"/>
          <w:szCs w:val="24"/>
          <w:highlight w:val="none"/>
        </w:rPr>
        <w:t>招标文件</w:t>
      </w:r>
      <w:r>
        <w:rPr>
          <w:color w:val="auto"/>
          <w:highlight w:val="none"/>
        </w:rPr>
        <w:tab/>
      </w:r>
      <w:r>
        <w:rPr>
          <w:color w:val="auto"/>
          <w:highlight w:val="none"/>
        </w:rPr>
        <w:fldChar w:fldCharType="begin"/>
      </w:r>
      <w:r>
        <w:rPr>
          <w:color w:val="auto"/>
          <w:highlight w:val="none"/>
        </w:rPr>
        <w:instrText xml:space="preserve"> PAGEREF _Toc20511 \h </w:instrText>
      </w:r>
      <w:r>
        <w:rPr>
          <w:color w:val="auto"/>
          <w:highlight w:val="none"/>
        </w:rPr>
        <w:fldChar w:fldCharType="separate"/>
      </w:r>
      <w:r>
        <w:rPr>
          <w:color w:val="auto"/>
          <w:highlight w:val="none"/>
        </w:rPr>
        <w:t>9</w:t>
      </w:r>
      <w:r>
        <w:rPr>
          <w:color w:val="auto"/>
          <w:highlight w:val="none"/>
        </w:rPr>
        <w:fldChar w:fldCharType="end"/>
      </w:r>
      <w:r>
        <w:rPr>
          <w:rFonts w:hint="eastAsia" w:ascii="仿宋" w:hAnsi="仿宋" w:eastAsia="仿宋" w:cs="仿宋"/>
          <w:color w:val="auto"/>
          <w:highlight w:val="none"/>
        </w:rPr>
        <w:fldChar w:fldCharType="end"/>
      </w:r>
    </w:p>
    <w:p w14:paraId="7BCDEDBE">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_Toc19711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三、</w:t>
      </w:r>
      <w:r>
        <w:rPr>
          <w:rFonts w:hint="eastAsia" w:ascii="仿宋" w:hAnsi="仿宋" w:eastAsia="仿宋" w:cs="仿宋"/>
          <w:color w:val="auto"/>
          <w:szCs w:val="24"/>
          <w:highlight w:val="none"/>
        </w:rPr>
        <w:t>投标文件</w:t>
      </w:r>
      <w:r>
        <w:rPr>
          <w:color w:val="auto"/>
          <w:highlight w:val="none"/>
        </w:rPr>
        <w:tab/>
      </w:r>
      <w:r>
        <w:rPr>
          <w:color w:val="auto"/>
          <w:highlight w:val="none"/>
        </w:rPr>
        <w:fldChar w:fldCharType="begin"/>
      </w:r>
      <w:r>
        <w:rPr>
          <w:color w:val="auto"/>
          <w:highlight w:val="none"/>
        </w:rPr>
        <w:instrText xml:space="preserve"> PAGEREF _Toc19711 \h </w:instrText>
      </w:r>
      <w:r>
        <w:rPr>
          <w:color w:val="auto"/>
          <w:highlight w:val="none"/>
        </w:rPr>
        <w:fldChar w:fldCharType="separate"/>
      </w:r>
      <w:r>
        <w:rPr>
          <w:color w:val="auto"/>
          <w:highlight w:val="none"/>
        </w:rPr>
        <w:t>11</w:t>
      </w:r>
      <w:r>
        <w:rPr>
          <w:color w:val="auto"/>
          <w:highlight w:val="none"/>
        </w:rPr>
        <w:fldChar w:fldCharType="end"/>
      </w:r>
      <w:r>
        <w:rPr>
          <w:rFonts w:hint="eastAsia" w:ascii="仿宋" w:hAnsi="仿宋" w:eastAsia="仿宋" w:cs="仿宋"/>
          <w:color w:val="auto"/>
          <w:highlight w:val="none"/>
        </w:rPr>
        <w:fldChar w:fldCharType="end"/>
      </w:r>
    </w:p>
    <w:p w14:paraId="4F86F315">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_Toc23236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四、</w:t>
      </w:r>
      <w:r>
        <w:rPr>
          <w:rFonts w:hint="eastAsia" w:ascii="仿宋" w:hAnsi="仿宋" w:eastAsia="仿宋" w:cs="仿宋"/>
          <w:color w:val="auto"/>
          <w:szCs w:val="24"/>
          <w:highlight w:val="none"/>
        </w:rPr>
        <w:t>投标</w:t>
      </w:r>
      <w:r>
        <w:rPr>
          <w:color w:val="auto"/>
          <w:highlight w:val="none"/>
        </w:rPr>
        <w:tab/>
      </w:r>
      <w:r>
        <w:rPr>
          <w:color w:val="auto"/>
          <w:highlight w:val="none"/>
        </w:rPr>
        <w:fldChar w:fldCharType="begin"/>
      </w:r>
      <w:r>
        <w:rPr>
          <w:color w:val="auto"/>
          <w:highlight w:val="none"/>
        </w:rPr>
        <w:instrText xml:space="preserve"> PAGEREF _Toc23236 \h </w:instrText>
      </w:r>
      <w:r>
        <w:rPr>
          <w:color w:val="auto"/>
          <w:highlight w:val="none"/>
        </w:rPr>
        <w:fldChar w:fldCharType="separate"/>
      </w:r>
      <w:r>
        <w:rPr>
          <w:color w:val="auto"/>
          <w:highlight w:val="none"/>
        </w:rPr>
        <w:t>13</w:t>
      </w:r>
      <w:r>
        <w:rPr>
          <w:color w:val="auto"/>
          <w:highlight w:val="none"/>
        </w:rPr>
        <w:fldChar w:fldCharType="end"/>
      </w:r>
      <w:r>
        <w:rPr>
          <w:rFonts w:hint="eastAsia" w:ascii="仿宋" w:hAnsi="仿宋" w:eastAsia="仿宋" w:cs="仿宋"/>
          <w:color w:val="auto"/>
          <w:highlight w:val="none"/>
        </w:rPr>
        <w:fldChar w:fldCharType="end"/>
      </w:r>
    </w:p>
    <w:p w14:paraId="2A335198">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_Toc25404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五、</w:t>
      </w:r>
      <w:r>
        <w:rPr>
          <w:rFonts w:hint="eastAsia" w:ascii="仿宋" w:hAnsi="仿宋" w:eastAsia="仿宋" w:cs="仿宋"/>
          <w:color w:val="auto"/>
          <w:szCs w:val="24"/>
          <w:highlight w:val="none"/>
        </w:rPr>
        <w:t>开标</w:t>
      </w:r>
      <w:r>
        <w:rPr>
          <w:color w:val="auto"/>
          <w:highlight w:val="none"/>
        </w:rPr>
        <w:tab/>
      </w:r>
      <w:r>
        <w:rPr>
          <w:color w:val="auto"/>
          <w:highlight w:val="none"/>
        </w:rPr>
        <w:fldChar w:fldCharType="begin"/>
      </w:r>
      <w:r>
        <w:rPr>
          <w:color w:val="auto"/>
          <w:highlight w:val="none"/>
        </w:rPr>
        <w:instrText xml:space="preserve"> PAGEREF _Toc25404 \h </w:instrText>
      </w:r>
      <w:r>
        <w:rPr>
          <w:color w:val="auto"/>
          <w:highlight w:val="none"/>
        </w:rPr>
        <w:fldChar w:fldCharType="separate"/>
      </w:r>
      <w:r>
        <w:rPr>
          <w:color w:val="auto"/>
          <w:highlight w:val="none"/>
        </w:rPr>
        <w:t>13</w:t>
      </w:r>
      <w:r>
        <w:rPr>
          <w:color w:val="auto"/>
          <w:highlight w:val="none"/>
        </w:rPr>
        <w:fldChar w:fldCharType="end"/>
      </w:r>
      <w:r>
        <w:rPr>
          <w:rFonts w:hint="eastAsia" w:ascii="仿宋" w:hAnsi="仿宋" w:eastAsia="仿宋" w:cs="仿宋"/>
          <w:color w:val="auto"/>
          <w:highlight w:val="none"/>
        </w:rPr>
        <w:fldChar w:fldCharType="end"/>
      </w:r>
    </w:p>
    <w:p w14:paraId="1F2C3263">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_Toc14253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六、</w:t>
      </w:r>
      <w:r>
        <w:rPr>
          <w:rFonts w:hint="eastAsia" w:ascii="仿宋" w:hAnsi="仿宋" w:eastAsia="仿宋" w:cs="仿宋"/>
          <w:color w:val="auto"/>
          <w:szCs w:val="24"/>
          <w:highlight w:val="none"/>
        </w:rPr>
        <w:t>评标</w:t>
      </w:r>
      <w:r>
        <w:rPr>
          <w:color w:val="auto"/>
          <w:highlight w:val="none"/>
        </w:rPr>
        <w:tab/>
      </w:r>
      <w:r>
        <w:rPr>
          <w:color w:val="auto"/>
          <w:highlight w:val="none"/>
        </w:rPr>
        <w:fldChar w:fldCharType="begin"/>
      </w:r>
      <w:r>
        <w:rPr>
          <w:color w:val="auto"/>
          <w:highlight w:val="none"/>
        </w:rPr>
        <w:instrText xml:space="preserve"> PAGEREF _Toc14253 \h </w:instrText>
      </w:r>
      <w:r>
        <w:rPr>
          <w:color w:val="auto"/>
          <w:highlight w:val="none"/>
        </w:rPr>
        <w:fldChar w:fldCharType="separate"/>
      </w:r>
      <w:r>
        <w:rPr>
          <w:color w:val="auto"/>
          <w:highlight w:val="none"/>
        </w:rPr>
        <w:t>14</w:t>
      </w:r>
      <w:r>
        <w:rPr>
          <w:color w:val="auto"/>
          <w:highlight w:val="none"/>
        </w:rPr>
        <w:fldChar w:fldCharType="end"/>
      </w:r>
      <w:r>
        <w:rPr>
          <w:rFonts w:hint="eastAsia" w:ascii="仿宋" w:hAnsi="仿宋" w:eastAsia="仿宋" w:cs="仿宋"/>
          <w:color w:val="auto"/>
          <w:highlight w:val="none"/>
        </w:rPr>
        <w:fldChar w:fldCharType="end"/>
      </w:r>
    </w:p>
    <w:p w14:paraId="7B237B16">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_Toc10042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七、</w:t>
      </w:r>
      <w:r>
        <w:rPr>
          <w:rFonts w:hint="eastAsia" w:ascii="仿宋" w:hAnsi="仿宋" w:eastAsia="仿宋" w:cs="仿宋"/>
          <w:color w:val="auto"/>
          <w:szCs w:val="24"/>
          <w:highlight w:val="none"/>
        </w:rPr>
        <w:t>定标及合同授予</w:t>
      </w:r>
      <w:r>
        <w:rPr>
          <w:color w:val="auto"/>
          <w:highlight w:val="none"/>
        </w:rPr>
        <w:tab/>
      </w:r>
      <w:r>
        <w:rPr>
          <w:color w:val="auto"/>
          <w:highlight w:val="none"/>
        </w:rPr>
        <w:fldChar w:fldCharType="begin"/>
      </w:r>
      <w:r>
        <w:rPr>
          <w:color w:val="auto"/>
          <w:highlight w:val="none"/>
        </w:rPr>
        <w:instrText xml:space="preserve"> PAGEREF _Toc10042 \h </w:instrText>
      </w:r>
      <w:r>
        <w:rPr>
          <w:color w:val="auto"/>
          <w:highlight w:val="none"/>
        </w:rPr>
        <w:fldChar w:fldCharType="separate"/>
      </w:r>
      <w:r>
        <w:rPr>
          <w:color w:val="auto"/>
          <w:highlight w:val="none"/>
        </w:rPr>
        <w:t>14</w:t>
      </w:r>
      <w:r>
        <w:rPr>
          <w:color w:val="auto"/>
          <w:highlight w:val="none"/>
        </w:rPr>
        <w:fldChar w:fldCharType="end"/>
      </w:r>
      <w:r>
        <w:rPr>
          <w:rFonts w:hint="eastAsia" w:ascii="仿宋" w:hAnsi="仿宋" w:eastAsia="仿宋" w:cs="仿宋"/>
          <w:color w:val="auto"/>
          <w:highlight w:val="none"/>
        </w:rPr>
        <w:fldChar w:fldCharType="end"/>
      </w:r>
    </w:p>
    <w:p w14:paraId="0E985D4B">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_Toc11942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八、</w:t>
      </w:r>
      <w:r>
        <w:rPr>
          <w:rFonts w:hint="eastAsia" w:ascii="仿宋" w:hAnsi="仿宋" w:eastAsia="仿宋" w:cs="仿宋"/>
          <w:color w:val="auto"/>
          <w:szCs w:val="24"/>
          <w:highlight w:val="none"/>
        </w:rPr>
        <w:t>纪律和监督</w:t>
      </w:r>
      <w:r>
        <w:rPr>
          <w:color w:val="auto"/>
          <w:highlight w:val="none"/>
        </w:rPr>
        <w:tab/>
      </w:r>
      <w:r>
        <w:rPr>
          <w:color w:val="auto"/>
          <w:highlight w:val="none"/>
        </w:rPr>
        <w:fldChar w:fldCharType="begin"/>
      </w:r>
      <w:r>
        <w:rPr>
          <w:color w:val="auto"/>
          <w:highlight w:val="none"/>
        </w:rPr>
        <w:instrText xml:space="preserve"> PAGEREF _Toc11942 \h </w:instrText>
      </w:r>
      <w:r>
        <w:rPr>
          <w:color w:val="auto"/>
          <w:highlight w:val="none"/>
        </w:rPr>
        <w:fldChar w:fldCharType="separate"/>
      </w:r>
      <w:r>
        <w:rPr>
          <w:color w:val="auto"/>
          <w:highlight w:val="none"/>
        </w:rPr>
        <w:t>15</w:t>
      </w:r>
      <w:r>
        <w:rPr>
          <w:color w:val="auto"/>
          <w:highlight w:val="none"/>
        </w:rPr>
        <w:fldChar w:fldCharType="end"/>
      </w:r>
      <w:r>
        <w:rPr>
          <w:rFonts w:hint="eastAsia" w:ascii="仿宋" w:hAnsi="仿宋" w:eastAsia="仿宋" w:cs="仿宋"/>
          <w:color w:val="auto"/>
          <w:highlight w:val="none"/>
        </w:rPr>
        <w:fldChar w:fldCharType="end"/>
      </w:r>
    </w:p>
    <w:p w14:paraId="2B1025E4">
      <w:pPr>
        <w:pStyle w:val="2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_Toc28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第二章 评标办法</w:t>
      </w:r>
      <w:r>
        <w:rPr>
          <w:color w:val="auto"/>
          <w:highlight w:val="none"/>
        </w:rPr>
        <w:tab/>
      </w:r>
      <w:r>
        <w:rPr>
          <w:color w:val="auto"/>
          <w:highlight w:val="none"/>
        </w:rPr>
        <w:fldChar w:fldCharType="begin"/>
      </w:r>
      <w:r>
        <w:rPr>
          <w:color w:val="auto"/>
          <w:highlight w:val="none"/>
        </w:rPr>
        <w:instrText xml:space="preserve"> PAGEREF _Toc28 \h </w:instrText>
      </w:r>
      <w:r>
        <w:rPr>
          <w:color w:val="auto"/>
          <w:highlight w:val="none"/>
        </w:rPr>
        <w:fldChar w:fldCharType="separate"/>
      </w:r>
      <w:r>
        <w:rPr>
          <w:color w:val="auto"/>
          <w:highlight w:val="none"/>
        </w:rPr>
        <w:t>17</w:t>
      </w:r>
      <w:r>
        <w:rPr>
          <w:color w:val="auto"/>
          <w:highlight w:val="none"/>
        </w:rPr>
        <w:fldChar w:fldCharType="end"/>
      </w:r>
      <w:r>
        <w:rPr>
          <w:rFonts w:hint="eastAsia" w:ascii="仿宋" w:hAnsi="仿宋" w:eastAsia="仿宋" w:cs="仿宋"/>
          <w:color w:val="auto"/>
          <w:highlight w:val="none"/>
        </w:rPr>
        <w:fldChar w:fldCharType="end"/>
      </w:r>
    </w:p>
    <w:p w14:paraId="2603CB7D">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_Toc22201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评审办法前附表</w:t>
      </w:r>
      <w:r>
        <w:rPr>
          <w:color w:val="auto"/>
          <w:highlight w:val="none"/>
        </w:rPr>
        <w:tab/>
      </w:r>
      <w:r>
        <w:rPr>
          <w:color w:val="auto"/>
          <w:highlight w:val="none"/>
        </w:rPr>
        <w:fldChar w:fldCharType="begin"/>
      </w:r>
      <w:r>
        <w:rPr>
          <w:color w:val="auto"/>
          <w:highlight w:val="none"/>
        </w:rPr>
        <w:instrText xml:space="preserve"> PAGEREF _Toc22201 \h </w:instrText>
      </w:r>
      <w:r>
        <w:rPr>
          <w:color w:val="auto"/>
          <w:highlight w:val="none"/>
        </w:rPr>
        <w:fldChar w:fldCharType="separate"/>
      </w:r>
      <w:r>
        <w:rPr>
          <w:color w:val="auto"/>
          <w:highlight w:val="none"/>
        </w:rPr>
        <w:t>17</w:t>
      </w:r>
      <w:r>
        <w:rPr>
          <w:color w:val="auto"/>
          <w:highlight w:val="none"/>
        </w:rPr>
        <w:fldChar w:fldCharType="end"/>
      </w:r>
      <w:r>
        <w:rPr>
          <w:rFonts w:hint="eastAsia" w:ascii="仿宋" w:hAnsi="仿宋" w:eastAsia="仿宋" w:cs="仿宋"/>
          <w:color w:val="auto"/>
          <w:highlight w:val="none"/>
        </w:rPr>
        <w:fldChar w:fldCharType="end"/>
      </w:r>
    </w:p>
    <w:p w14:paraId="6D25E566">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_Toc11091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一、</w:t>
      </w:r>
      <w:r>
        <w:rPr>
          <w:rFonts w:hint="eastAsia" w:ascii="仿宋" w:hAnsi="仿宋" w:eastAsia="仿宋" w:cs="仿宋"/>
          <w:color w:val="auto"/>
          <w:szCs w:val="24"/>
          <w:highlight w:val="none"/>
        </w:rPr>
        <w:t>评标方法</w:t>
      </w:r>
      <w:r>
        <w:rPr>
          <w:color w:val="auto"/>
          <w:highlight w:val="none"/>
        </w:rPr>
        <w:tab/>
      </w:r>
      <w:r>
        <w:rPr>
          <w:color w:val="auto"/>
          <w:highlight w:val="none"/>
        </w:rPr>
        <w:fldChar w:fldCharType="begin"/>
      </w:r>
      <w:r>
        <w:rPr>
          <w:color w:val="auto"/>
          <w:highlight w:val="none"/>
        </w:rPr>
        <w:instrText xml:space="preserve"> PAGEREF _Toc11091 \h </w:instrText>
      </w:r>
      <w:r>
        <w:rPr>
          <w:color w:val="auto"/>
          <w:highlight w:val="none"/>
        </w:rPr>
        <w:fldChar w:fldCharType="separate"/>
      </w:r>
      <w:r>
        <w:rPr>
          <w:color w:val="auto"/>
          <w:highlight w:val="none"/>
        </w:rPr>
        <w:t>20</w:t>
      </w:r>
      <w:r>
        <w:rPr>
          <w:color w:val="auto"/>
          <w:highlight w:val="none"/>
        </w:rPr>
        <w:fldChar w:fldCharType="end"/>
      </w:r>
      <w:r>
        <w:rPr>
          <w:rFonts w:hint="eastAsia" w:ascii="仿宋" w:hAnsi="仿宋" w:eastAsia="仿宋" w:cs="仿宋"/>
          <w:color w:val="auto"/>
          <w:highlight w:val="none"/>
        </w:rPr>
        <w:fldChar w:fldCharType="end"/>
      </w:r>
    </w:p>
    <w:p w14:paraId="356AA1FE">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_Toc14307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二、</w:t>
      </w:r>
      <w:r>
        <w:rPr>
          <w:rFonts w:hint="eastAsia" w:ascii="仿宋" w:hAnsi="仿宋" w:eastAsia="仿宋" w:cs="仿宋"/>
          <w:color w:val="auto"/>
          <w:szCs w:val="24"/>
          <w:highlight w:val="none"/>
        </w:rPr>
        <w:t>评审标准</w:t>
      </w:r>
      <w:r>
        <w:rPr>
          <w:color w:val="auto"/>
          <w:highlight w:val="none"/>
        </w:rPr>
        <w:tab/>
      </w:r>
      <w:r>
        <w:rPr>
          <w:color w:val="auto"/>
          <w:highlight w:val="none"/>
        </w:rPr>
        <w:fldChar w:fldCharType="begin"/>
      </w:r>
      <w:r>
        <w:rPr>
          <w:color w:val="auto"/>
          <w:highlight w:val="none"/>
        </w:rPr>
        <w:instrText xml:space="preserve"> PAGEREF _Toc14307 \h </w:instrText>
      </w:r>
      <w:r>
        <w:rPr>
          <w:color w:val="auto"/>
          <w:highlight w:val="none"/>
        </w:rPr>
        <w:fldChar w:fldCharType="separate"/>
      </w:r>
      <w:r>
        <w:rPr>
          <w:color w:val="auto"/>
          <w:highlight w:val="none"/>
        </w:rPr>
        <w:t>20</w:t>
      </w:r>
      <w:r>
        <w:rPr>
          <w:color w:val="auto"/>
          <w:highlight w:val="none"/>
        </w:rPr>
        <w:fldChar w:fldCharType="end"/>
      </w:r>
      <w:r>
        <w:rPr>
          <w:rFonts w:hint="eastAsia" w:ascii="仿宋" w:hAnsi="仿宋" w:eastAsia="仿宋" w:cs="仿宋"/>
          <w:color w:val="auto"/>
          <w:highlight w:val="none"/>
        </w:rPr>
        <w:fldChar w:fldCharType="end"/>
      </w:r>
    </w:p>
    <w:p w14:paraId="5CF3541F">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_Toc30734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三、</w:t>
      </w:r>
      <w:r>
        <w:rPr>
          <w:rFonts w:hint="eastAsia" w:ascii="仿宋" w:hAnsi="仿宋" w:eastAsia="仿宋" w:cs="仿宋"/>
          <w:color w:val="auto"/>
          <w:szCs w:val="24"/>
          <w:highlight w:val="none"/>
        </w:rPr>
        <w:t>评标程序</w:t>
      </w:r>
      <w:r>
        <w:rPr>
          <w:color w:val="auto"/>
          <w:highlight w:val="none"/>
        </w:rPr>
        <w:tab/>
      </w:r>
      <w:r>
        <w:rPr>
          <w:color w:val="auto"/>
          <w:highlight w:val="none"/>
        </w:rPr>
        <w:fldChar w:fldCharType="begin"/>
      </w:r>
      <w:r>
        <w:rPr>
          <w:color w:val="auto"/>
          <w:highlight w:val="none"/>
        </w:rPr>
        <w:instrText xml:space="preserve"> PAGEREF _Toc30734 \h </w:instrText>
      </w:r>
      <w:r>
        <w:rPr>
          <w:color w:val="auto"/>
          <w:highlight w:val="none"/>
        </w:rPr>
        <w:fldChar w:fldCharType="separate"/>
      </w:r>
      <w:r>
        <w:rPr>
          <w:color w:val="auto"/>
          <w:highlight w:val="none"/>
        </w:rPr>
        <w:t>20</w:t>
      </w:r>
      <w:r>
        <w:rPr>
          <w:color w:val="auto"/>
          <w:highlight w:val="none"/>
        </w:rPr>
        <w:fldChar w:fldCharType="end"/>
      </w:r>
      <w:r>
        <w:rPr>
          <w:rFonts w:hint="eastAsia" w:ascii="仿宋" w:hAnsi="仿宋" w:eastAsia="仿宋" w:cs="仿宋"/>
          <w:color w:val="auto"/>
          <w:highlight w:val="none"/>
        </w:rPr>
        <w:fldChar w:fldCharType="end"/>
      </w:r>
    </w:p>
    <w:p w14:paraId="0C1DE852">
      <w:pPr>
        <w:pStyle w:val="2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_Toc14124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第三章 合同</w:t>
      </w:r>
      <w:r>
        <w:rPr>
          <w:rFonts w:hint="eastAsia" w:ascii="仿宋" w:hAnsi="仿宋" w:eastAsia="仿宋" w:cs="仿宋"/>
          <w:color w:val="auto"/>
          <w:szCs w:val="24"/>
          <w:highlight w:val="none"/>
          <w:lang w:val="en-US" w:eastAsia="zh-CN"/>
        </w:rPr>
        <w:t>文本</w:t>
      </w:r>
      <w:r>
        <w:rPr>
          <w:color w:val="auto"/>
          <w:highlight w:val="none"/>
        </w:rPr>
        <w:tab/>
      </w:r>
      <w:r>
        <w:rPr>
          <w:color w:val="auto"/>
          <w:highlight w:val="none"/>
        </w:rPr>
        <w:fldChar w:fldCharType="begin"/>
      </w:r>
      <w:r>
        <w:rPr>
          <w:color w:val="auto"/>
          <w:highlight w:val="none"/>
        </w:rPr>
        <w:instrText xml:space="preserve"> PAGEREF _Toc14124 \h </w:instrText>
      </w:r>
      <w:r>
        <w:rPr>
          <w:color w:val="auto"/>
          <w:highlight w:val="none"/>
        </w:rPr>
        <w:fldChar w:fldCharType="separate"/>
      </w:r>
      <w:r>
        <w:rPr>
          <w:color w:val="auto"/>
          <w:highlight w:val="none"/>
        </w:rPr>
        <w:t>25</w:t>
      </w:r>
      <w:r>
        <w:rPr>
          <w:color w:val="auto"/>
          <w:highlight w:val="none"/>
        </w:rPr>
        <w:fldChar w:fldCharType="end"/>
      </w:r>
      <w:r>
        <w:rPr>
          <w:rFonts w:hint="eastAsia" w:ascii="仿宋" w:hAnsi="仿宋" w:eastAsia="仿宋" w:cs="仿宋"/>
          <w:color w:val="auto"/>
          <w:highlight w:val="none"/>
        </w:rPr>
        <w:fldChar w:fldCharType="end"/>
      </w:r>
    </w:p>
    <w:p w14:paraId="29C6B9AB">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_Toc10080 </w:instrText>
      </w:r>
      <w:r>
        <w:rPr>
          <w:rFonts w:hint="eastAsia" w:ascii="仿宋" w:hAnsi="仿宋" w:eastAsia="仿宋" w:cs="仿宋"/>
          <w:color w:val="auto"/>
          <w:highlight w:val="none"/>
        </w:rPr>
        <w:fldChar w:fldCharType="separate"/>
      </w:r>
      <w:r>
        <w:rPr>
          <w:rFonts w:hint="eastAsia" w:ascii="仿宋" w:hAnsi="仿宋" w:eastAsia="仿宋" w:cs="仿宋"/>
          <w:bCs w:val="0"/>
          <w:color w:val="auto"/>
          <w:szCs w:val="24"/>
          <w:highlight w:val="none"/>
        </w:rPr>
        <w:t>第一节 政府采购合同协议书</w:t>
      </w:r>
      <w:r>
        <w:rPr>
          <w:color w:val="auto"/>
          <w:highlight w:val="none"/>
        </w:rPr>
        <w:tab/>
      </w:r>
      <w:r>
        <w:rPr>
          <w:color w:val="auto"/>
          <w:highlight w:val="none"/>
        </w:rPr>
        <w:fldChar w:fldCharType="begin"/>
      </w:r>
      <w:r>
        <w:rPr>
          <w:color w:val="auto"/>
          <w:highlight w:val="none"/>
        </w:rPr>
        <w:instrText xml:space="preserve"> PAGEREF _Toc10080 \h </w:instrText>
      </w:r>
      <w:r>
        <w:rPr>
          <w:color w:val="auto"/>
          <w:highlight w:val="none"/>
        </w:rPr>
        <w:fldChar w:fldCharType="separate"/>
      </w:r>
      <w:r>
        <w:rPr>
          <w:color w:val="auto"/>
          <w:highlight w:val="none"/>
        </w:rPr>
        <w:t>27</w:t>
      </w:r>
      <w:r>
        <w:rPr>
          <w:color w:val="auto"/>
          <w:highlight w:val="none"/>
        </w:rPr>
        <w:fldChar w:fldCharType="end"/>
      </w:r>
      <w:r>
        <w:rPr>
          <w:rFonts w:hint="eastAsia" w:ascii="仿宋" w:hAnsi="仿宋" w:eastAsia="仿宋" w:cs="仿宋"/>
          <w:color w:val="auto"/>
          <w:highlight w:val="none"/>
        </w:rPr>
        <w:fldChar w:fldCharType="end"/>
      </w:r>
    </w:p>
    <w:p w14:paraId="0FADC92E">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_Toc2248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rPr>
        <w:t>第二节 政府采购合同通用条款</w:t>
      </w:r>
      <w:r>
        <w:rPr>
          <w:color w:val="auto"/>
          <w:highlight w:val="none"/>
        </w:rPr>
        <w:tab/>
      </w:r>
      <w:r>
        <w:rPr>
          <w:color w:val="auto"/>
          <w:highlight w:val="none"/>
        </w:rPr>
        <w:fldChar w:fldCharType="begin"/>
      </w:r>
      <w:r>
        <w:rPr>
          <w:color w:val="auto"/>
          <w:highlight w:val="none"/>
        </w:rPr>
        <w:instrText xml:space="preserve"> PAGEREF _Toc2248 \h </w:instrText>
      </w:r>
      <w:r>
        <w:rPr>
          <w:color w:val="auto"/>
          <w:highlight w:val="none"/>
        </w:rPr>
        <w:fldChar w:fldCharType="separate"/>
      </w:r>
      <w:r>
        <w:rPr>
          <w:color w:val="auto"/>
          <w:highlight w:val="none"/>
        </w:rPr>
        <w:t>32</w:t>
      </w:r>
      <w:r>
        <w:rPr>
          <w:color w:val="auto"/>
          <w:highlight w:val="none"/>
        </w:rPr>
        <w:fldChar w:fldCharType="end"/>
      </w:r>
      <w:r>
        <w:rPr>
          <w:rFonts w:hint="eastAsia" w:ascii="仿宋" w:hAnsi="仿宋" w:eastAsia="仿宋" w:cs="仿宋"/>
          <w:color w:val="auto"/>
          <w:highlight w:val="none"/>
        </w:rPr>
        <w:fldChar w:fldCharType="end"/>
      </w:r>
    </w:p>
    <w:p w14:paraId="125C59EC">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_Toc24183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rPr>
        <w:t>第三节 政府采购合同专用条款</w:t>
      </w:r>
      <w:r>
        <w:rPr>
          <w:color w:val="auto"/>
          <w:highlight w:val="none"/>
        </w:rPr>
        <w:tab/>
      </w:r>
      <w:r>
        <w:rPr>
          <w:color w:val="auto"/>
          <w:highlight w:val="none"/>
        </w:rPr>
        <w:fldChar w:fldCharType="begin"/>
      </w:r>
      <w:r>
        <w:rPr>
          <w:color w:val="auto"/>
          <w:highlight w:val="none"/>
        </w:rPr>
        <w:instrText xml:space="preserve"> PAGEREF _Toc24183 \h </w:instrText>
      </w:r>
      <w:r>
        <w:rPr>
          <w:color w:val="auto"/>
          <w:highlight w:val="none"/>
        </w:rPr>
        <w:fldChar w:fldCharType="separate"/>
      </w:r>
      <w:r>
        <w:rPr>
          <w:color w:val="auto"/>
          <w:highlight w:val="none"/>
        </w:rPr>
        <w:t>40</w:t>
      </w:r>
      <w:r>
        <w:rPr>
          <w:color w:val="auto"/>
          <w:highlight w:val="none"/>
        </w:rPr>
        <w:fldChar w:fldCharType="end"/>
      </w:r>
      <w:r>
        <w:rPr>
          <w:rFonts w:hint="eastAsia" w:ascii="仿宋" w:hAnsi="仿宋" w:eastAsia="仿宋" w:cs="仿宋"/>
          <w:color w:val="auto"/>
          <w:highlight w:val="none"/>
        </w:rPr>
        <w:fldChar w:fldCharType="end"/>
      </w:r>
    </w:p>
    <w:p w14:paraId="73FE4509">
      <w:pPr>
        <w:pStyle w:val="2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_Toc32743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第四章 技术标准和要求</w:t>
      </w:r>
      <w:r>
        <w:rPr>
          <w:color w:val="auto"/>
          <w:highlight w:val="none"/>
        </w:rPr>
        <w:tab/>
      </w:r>
      <w:r>
        <w:rPr>
          <w:color w:val="auto"/>
          <w:highlight w:val="none"/>
        </w:rPr>
        <w:fldChar w:fldCharType="begin"/>
      </w:r>
      <w:r>
        <w:rPr>
          <w:color w:val="auto"/>
          <w:highlight w:val="none"/>
        </w:rPr>
        <w:instrText xml:space="preserve"> PAGEREF _Toc32743 \h </w:instrText>
      </w:r>
      <w:r>
        <w:rPr>
          <w:color w:val="auto"/>
          <w:highlight w:val="none"/>
        </w:rPr>
        <w:fldChar w:fldCharType="separate"/>
      </w:r>
      <w:r>
        <w:rPr>
          <w:color w:val="auto"/>
          <w:highlight w:val="none"/>
        </w:rPr>
        <w:t>42</w:t>
      </w:r>
      <w:r>
        <w:rPr>
          <w:color w:val="auto"/>
          <w:highlight w:val="none"/>
        </w:rPr>
        <w:fldChar w:fldCharType="end"/>
      </w:r>
      <w:r>
        <w:rPr>
          <w:rFonts w:hint="eastAsia" w:ascii="仿宋" w:hAnsi="仿宋" w:eastAsia="仿宋" w:cs="仿宋"/>
          <w:color w:val="auto"/>
          <w:highlight w:val="none"/>
        </w:rPr>
        <w:fldChar w:fldCharType="end"/>
      </w:r>
    </w:p>
    <w:p w14:paraId="25EF0283">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_Toc17295 </w:instrText>
      </w:r>
      <w:r>
        <w:rPr>
          <w:rFonts w:hint="eastAsia" w:ascii="仿宋" w:hAnsi="仿宋" w:eastAsia="仿宋" w:cs="仿宋"/>
          <w:color w:val="auto"/>
          <w:highlight w:val="none"/>
        </w:rPr>
        <w:fldChar w:fldCharType="separate"/>
      </w:r>
      <w:r>
        <w:rPr>
          <w:rFonts w:hint="default" w:ascii="仿宋" w:hAnsi="仿宋" w:eastAsia="仿宋" w:cs="仿宋"/>
          <w:bCs/>
          <w:i w:val="0"/>
          <w:iCs w:val="0"/>
          <w:color w:val="auto"/>
          <w:kern w:val="0"/>
          <w:szCs w:val="24"/>
          <w:highlight w:val="none"/>
          <w:lang w:val="en-US" w:eastAsia="zh-CN" w:bidi="ar"/>
        </w:rPr>
        <w:t>标项一、技术标准和要求</w:t>
      </w:r>
      <w:r>
        <w:rPr>
          <w:color w:val="auto"/>
          <w:highlight w:val="none"/>
        </w:rPr>
        <w:tab/>
      </w:r>
      <w:r>
        <w:rPr>
          <w:color w:val="auto"/>
          <w:highlight w:val="none"/>
        </w:rPr>
        <w:fldChar w:fldCharType="begin"/>
      </w:r>
      <w:r>
        <w:rPr>
          <w:color w:val="auto"/>
          <w:highlight w:val="none"/>
        </w:rPr>
        <w:instrText xml:space="preserve"> PAGEREF _Toc17295 \h </w:instrText>
      </w:r>
      <w:r>
        <w:rPr>
          <w:color w:val="auto"/>
          <w:highlight w:val="none"/>
        </w:rPr>
        <w:fldChar w:fldCharType="separate"/>
      </w:r>
      <w:r>
        <w:rPr>
          <w:color w:val="auto"/>
          <w:highlight w:val="none"/>
        </w:rPr>
        <w:t>42</w:t>
      </w:r>
      <w:r>
        <w:rPr>
          <w:color w:val="auto"/>
          <w:highlight w:val="none"/>
        </w:rPr>
        <w:fldChar w:fldCharType="end"/>
      </w:r>
      <w:r>
        <w:rPr>
          <w:rFonts w:hint="eastAsia" w:ascii="仿宋" w:hAnsi="仿宋" w:eastAsia="仿宋" w:cs="仿宋"/>
          <w:color w:val="auto"/>
          <w:highlight w:val="none"/>
        </w:rPr>
        <w:fldChar w:fldCharType="end"/>
      </w:r>
    </w:p>
    <w:p w14:paraId="4FBA7CE4">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_Toc4702 </w:instrText>
      </w:r>
      <w:r>
        <w:rPr>
          <w:rFonts w:hint="eastAsia" w:ascii="仿宋" w:hAnsi="仿宋" w:eastAsia="仿宋" w:cs="仿宋"/>
          <w:color w:val="auto"/>
          <w:highlight w:val="none"/>
        </w:rPr>
        <w:fldChar w:fldCharType="separate"/>
      </w:r>
      <w:r>
        <w:rPr>
          <w:rFonts w:hint="default" w:ascii="仿宋" w:hAnsi="仿宋" w:eastAsia="仿宋" w:cs="仿宋"/>
          <w:bCs/>
          <w:i w:val="0"/>
          <w:iCs w:val="0"/>
          <w:color w:val="auto"/>
          <w:kern w:val="0"/>
          <w:szCs w:val="24"/>
          <w:highlight w:val="none"/>
          <w:lang w:val="en-US" w:eastAsia="zh-CN" w:bidi="ar"/>
        </w:rPr>
        <w:t>标项</w:t>
      </w:r>
      <w:r>
        <w:rPr>
          <w:rFonts w:hint="eastAsia" w:ascii="仿宋" w:hAnsi="仿宋" w:eastAsia="仿宋" w:cs="仿宋"/>
          <w:bCs/>
          <w:i w:val="0"/>
          <w:iCs w:val="0"/>
          <w:color w:val="auto"/>
          <w:kern w:val="0"/>
          <w:szCs w:val="24"/>
          <w:highlight w:val="none"/>
          <w:lang w:val="en-US" w:eastAsia="zh-CN" w:bidi="ar"/>
        </w:rPr>
        <w:t>二</w:t>
      </w:r>
      <w:r>
        <w:rPr>
          <w:rFonts w:hint="default" w:ascii="仿宋" w:hAnsi="仿宋" w:eastAsia="仿宋" w:cs="仿宋"/>
          <w:bCs/>
          <w:i w:val="0"/>
          <w:iCs w:val="0"/>
          <w:color w:val="auto"/>
          <w:kern w:val="0"/>
          <w:szCs w:val="24"/>
          <w:highlight w:val="none"/>
          <w:lang w:val="en-US" w:eastAsia="zh-CN" w:bidi="ar"/>
        </w:rPr>
        <w:t>、技术标准和要求</w:t>
      </w:r>
      <w:r>
        <w:rPr>
          <w:color w:val="auto"/>
          <w:highlight w:val="none"/>
        </w:rPr>
        <w:tab/>
      </w:r>
      <w:r>
        <w:rPr>
          <w:color w:val="auto"/>
          <w:highlight w:val="none"/>
        </w:rPr>
        <w:fldChar w:fldCharType="begin"/>
      </w:r>
      <w:r>
        <w:rPr>
          <w:color w:val="auto"/>
          <w:highlight w:val="none"/>
        </w:rPr>
        <w:instrText xml:space="preserve"> PAGEREF _Toc4702 \h </w:instrText>
      </w:r>
      <w:r>
        <w:rPr>
          <w:color w:val="auto"/>
          <w:highlight w:val="none"/>
        </w:rPr>
        <w:fldChar w:fldCharType="separate"/>
      </w:r>
      <w:r>
        <w:rPr>
          <w:color w:val="auto"/>
          <w:highlight w:val="none"/>
        </w:rPr>
        <w:t>50</w:t>
      </w:r>
      <w:r>
        <w:rPr>
          <w:color w:val="auto"/>
          <w:highlight w:val="none"/>
        </w:rPr>
        <w:fldChar w:fldCharType="end"/>
      </w:r>
      <w:r>
        <w:rPr>
          <w:rFonts w:hint="eastAsia" w:ascii="仿宋" w:hAnsi="仿宋" w:eastAsia="仿宋" w:cs="仿宋"/>
          <w:color w:val="auto"/>
          <w:highlight w:val="none"/>
        </w:rPr>
        <w:fldChar w:fldCharType="end"/>
      </w:r>
    </w:p>
    <w:p w14:paraId="1557191F">
      <w:pPr>
        <w:pStyle w:val="2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_Toc25485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第五章 投标文件格式</w:t>
      </w:r>
      <w:r>
        <w:rPr>
          <w:color w:val="auto"/>
          <w:highlight w:val="none"/>
        </w:rPr>
        <w:tab/>
      </w:r>
      <w:r>
        <w:rPr>
          <w:color w:val="auto"/>
          <w:highlight w:val="none"/>
        </w:rPr>
        <w:fldChar w:fldCharType="begin"/>
      </w:r>
      <w:r>
        <w:rPr>
          <w:color w:val="auto"/>
          <w:highlight w:val="none"/>
        </w:rPr>
        <w:instrText xml:space="preserve"> PAGEREF _Toc25485 \h </w:instrText>
      </w:r>
      <w:r>
        <w:rPr>
          <w:color w:val="auto"/>
          <w:highlight w:val="none"/>
        </w:rPr>
        <w:fldChar w:fldCharType="separate"/>
      </w:r>
      <w:r>
        <w:rPr>
          <w:color w:val="auto"/>
          <w:highlight w:val="none"/>
        </w:rPr>
        <w:t>56</w:t>
      </w:r>
      <w:r>
        <w:rPr>
          <w:color w:val="auto"/>
          <w:highlight w:val="none"/>
        </w:rPr>
        <w:fldChar w:fldCharType="end"/>
      </w:r>
      <w:r>
        <w:rPr>
          <w:rFonts w:hint="eastAsia" w:ascii="仿宋" w:hAnsi="仿宋" w:eastAsia="仿宋" w:cs="仿宋"/>
          <w:color w:val="auto"/>
          <w:highlight w:val="none"/>
        </w:rPr>
        <w:fldChar w:fldCharType="end"/>
      </w:r>
    </w:p>
    <w:p w14:paraId="27381B89">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_Toc22103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一、</w:t>
      </w:r>
      <w:r>
        <w:rPr>
          <w:rFonts w:hint="eastAsia" w:ascii="仿宋" w:hAnsi="仿宋" w:eastAsia="仿宋" w:cs="仿宋"/>
          <w:color w:val="auto"/>
          <w:szCs w:val="24"/>
          <w:highlight w:val="none"/>
        </w:rPr>
        <w:t>开标一览表</w:t>
      </w:r>
      <w:r>
        <w:rPr>
          <w:color w:val="auto"/>
          <w:highlight w:val="none"/>
        </w:rPr>
        <w:tab/>
      </w:r>
      <w:r>
        <w:rPr>
          <w:color w:val="auto"/>
          <w:highlight w:val="none"/>
        </w:rPr>
        <w:fldChar w:fldCharType="begin"/>
      </w:r>
      <w:r>
        <w:rPr>
          <w:color w:val="auto"/>
          <w:highlight w:val="none"/>
        </w:rPr>
        <w:instrText xml:space="preserve"> PAGEREF _Toc22103 \h </w:instrText>
      </w:r>
      <w:r>
        <w:rPr>
          <w:color w:val="auto"/>
          <w:highlight w:val="none"/>
        </w:rPr>
        <w:fldChar w:fldCharType="separate"/>
      </w:r>
      <w:r>
        <w:rPr>
          <w:color w:val="auto"/>
          <w:highlight w:val="none"/>
        </w:rPr>
        <w:t>59</w:t>
      </w:r>
      <w:r>
        <w:rPr>
          <w:color w:val="auto"/>
          <w:highlight w:val="none"/>
        </w:rPr>
        <w:fldChar w:fldCharType="end"/>
      </w:r>
      <w:r>
        <w:rPr>
          <w:rFonts w:hint="eastAsia" w:ascii="仿宋" w:hAnsi="仿宋" w:eastAsia="仿宋" w:cs="仿宋"/>
          <w:color w:val="auto"/>
          <w:highlight w:val="none"/>
        </w:rPr>
        <w:fldChar w:fldCharType="end"/>
      </w:r>
    </w:p>
    <w:p w14:paraId="1083C38A">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_Toc11623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二、投标函</w:t>
      </w:r>
      <w:r>
        <w:rPr>
          <w:color w:val="auto"/>
          <w:highlight w:val="none"/>
        </w:rPr>
        <w:tab/>
      </w:r>
      <w:r>
        <w:rPr>
          <w:color w:val="auto"/>
          <w:highlight w:val="none"/>
        </w:rPr>
        <w:fldChar w:fldCharType="begin"/>
      </w:r>
      <w:r>
        <w:rPr>
          <w:color w:val="auto"/>
          <w:highlight w:val="none"/>
        </w:rPr>
        <w:instrText xml:space="preserve"> PAGEREF _Toc11623 \h </w:instrText>
      </w:r>
      <w:r>
        <w:rPr>
          <w:color w:val="auto"/>
          <w:highlight w:val="none"/>
        </w:rPr>
        <w:fldChar w:fldCharType="separate"/>
      </w:r>
      <w:r>
        <w:rPr>
          <w:color w:val="auto"/>
          <w:highlight w:val="none"/>
        </w:rPr>
        <w:t>60</w:t>
      </w:r>
      <w:r>
        <w:rPr>
          <w:color w:val="auto"/>
          <w:highlight w:val="none"/>
        </w:rPr>
        <w:fldChar w:fldCharType="end"/>
      </w:r>
      <w:r>
        <w:rPr>
          <w:rFonts w:hint="eastAsia" w:ascii="仿宋" w:hAnsi="仿宋" w:eastAsia="仿宋" w:cs="仿宋"/>
          <w:color w:val="auto"/>
          <w:highlight w:val="none"/>
        </w:rPr>
        <w:fldChar w:fldCharType="end"/>
      </w:r>
    </w:p>
    <w:p w14:paraId="352EA9FD">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_Toc12957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三</w:t>
      </w:r>
      <w:r>
        <w:rPr>
          <w:rFonts w:hint="eastAsia" w:ascii="仿宋" w:hAnsi="仿宋" w:eastAsia="仿宋" w:cs="仿宋"/>
          <w:color w:val="auto"/>
          <w:szCs w:val="24"/>
          <w:highlight w:val="none"/>
        </w:rPr>
        <w:t>、投标价格明细表</w:t>
      </w:r>
      <w:r>
        <w:rPr>
          <w:color w:val="auto"/>
          <w:highlight w:val="none"/>
        </w:rPr>
        <w:tab/>
      </w:r>
      <w:r>
        <w:rPr>
          <w:color w:val="auto"/>
          <w:highlight w:val="none"/>
        </w:rPr>
        <w:fldChar w:fldCharType="begin"/>
      </w:r>
      <w:r>
        <w:rPr>
          <w:color w:val="auto"/>
          <w:highlight w:val="none"/>
        </w:rPr>
        <w:instrText xml:space="preserve"> PAGEREF _Toc12957 \h </w:instrText>
      </w:r>
      <w:r>
        <w:rPr>
          <w:color w:val="auto"/>
          <w:highlight w:val="none"/>
        </w:rPr>
        <w:fldChar w:fldCharType="separate"/>
      </w:r>
      <w:r>
        <w:rPr>
          <w:color w:val="auto"/>
          <w:highlight w:val="none"/>
        </w:rPr>
        <w:t>61</w:t>
      </w:r>
      <w:r>
        <w:rPr>
          <w:color w:val="auto"/>
          <w:highlight w:val="none"/>
        </w:rPr>
        <w:fldChar w:fldCharType="end"/>
      </w:r>
      <w:r>
        <w:rPr>
          <w:rFonts w:hint="eastAsia" w:ascii="仿宋" w:hAnsi="仿宋" w:eastAsia="仿宋" w:cs="仿宋"/>
          <w:color w:val="auto"/>
          <w:highlight w:val="none"/>
        </w:rPr>
        <w:fldChar w:fldCharType="end"/>
      </w:r>
    </w:p>
    <w:p w14:paraId="31A224C4">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_Toc31164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四</w:t>
      </w:r>
      <w:r>
        <w:rPr>
          <w:rFonts w:hint="eastAsia" w:ascii="仿宋" w:hAnsi="仿宋" w:eastAsia="仿宋" w:cs="仿宋"/>
          <w:color w:val="auto"/>
          <w:szCs w:val="24"/>
          <w:highlight w:val="none"/>
        </w:rPr>
        <w:t>、商务条款偏离表</w:t>
      </w:r>
      <w:r>
        <w:rPr>
          <w:color w:val="auto"/>
          <w:highlight w:val="none"/>
        </w:rPr>
        <w:tab/>
      </w:r>
      <w:r>
        <w:rPr>
          <w:color w:val="auto"/>
          <w:highlight w:val="none"/>
        </w:rPr>
        <w:fldChar w:fldCharType="begin"/>
      </w:r>
      <w:r>
        <w:rPr>
          <w:color w:val="auto"/>
          <w:highlight w:val="none"/>
        </w:rPr>
        <w:instrText xml:space="preserve"> PAGEREF _Toc31164 \h </w:instrText>
      </w:r>
      <w:r>
        <w:rPr>
          <w:color w:val="auto"/>
          <w:highlight w:val="none"/>
        </w:rPr>
        <w:fldChar w:fldCharType="separate"/>
      </w:r>
      <w:r>
        <w:rPr>
          <w:color w:val="auto"/>
          <w:highlight w:val="none"/>
        </w:rPr>
        <w:t>62</w:t>
      </w:r>
      <w:r>
        <w:rPr>
          <w:color w:val="auto"/>
          <w:highlight w:val="none"/>
        </w:rPr>
        <w:fldChar w:fldCharType="end"/>
      </w:r>
      <w:r>
        <w:rPr>
          <w:rFonts w:hint="eastAsia" w:ascii="仿宋" w:hAnsi="仿宋" w:eastAsia="仿宋" w:cs="仿宋"/>
          <w:color w:val="auto"/>
          <w:highlight w:val="none"/>
        </w:rPr>
        <w:fldChar w:fldCharType="end"/>
      </w:r>
    </w:p>
    <w:p w14:paraId="568EE896">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_Toc32330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五</w:t>
      </w:r>
      <w:r>
        <w:rPr>
          <w:rFonts w:hint="eastAsia" w:ascii="仿宋" w:hAnsi="仿宋" w:eastAsia="仿宋" w:cs="仿宋"/>
          <w:color w:val="auto"/>
          <w:szCs w:val="24"/>
          <w:highlight w:val="none"/>
        </w:rPr>
        <w:t>、技术条款偏离表</w:t>
      </w:r>
      <w:r>
        <w:rPr>
          <w:color w:val="auto"/>
          <w:highlight w:val="none"/>
        </w:rPr>
        <w:tab/>
      </w:r>
      <w:r>
        <w:rPr>
          <w:color w:val="auto"/>
          <w:highlight w:val="none"/>
        </w:rPr>
        <w:fldChar w:fldCharType="begin"/>
      </w:r>
      <w:r>
        <w:rPr>
          <w:color w:val="auto"/>
          <w:highlight w:val="none"/>
        </w:rPr>
        <w:instrText xml:space="preserve"> PAGEREF _Toc32330 \h </w:instrText>
      </w:r>
      <w:r>
        <w:rPr>
          <w:color w:val="auto"/>
          <w:highlight w:val="none"/>
        </w:rPr>
        <w:fldChar w:fldCharType="separate"/>
      </w:r>
      <w:r>
        <w:rPr>
          <w:color w:val="auto"/>
          <w:highlight w:val="none"/>
        </w:rPr>
        <w:t>63</w:t>
      </w:r>
      <w:r>
        <w:rPr>
          <w:color w:val="auto"/>
          <w:highlight w:val="none"/>
        </w:rPr>
        <w:fldChar w:fldCharType="end"/>
      </w:r>
      <w:r>
        <w:rPr>
          <w:rFonts w:hint="eastAsia" w:ascii="仿宋" w:hAnsi="仿宋" w:eastAsia="仿宋" w:cs="仿宋"/>
          <w:color w:val="auto"/>
          <w:highlight w:val="none"/>
        </w:rPr>
        <w:fldChar w:fldCharType="end"/>
      </w:r>
    </w:p>
    <w:p w14:paraId="62A90485">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_Toc2128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六</w:t>
      </w:r>
      <w:r>
        <w:rPr>
          <w:rFonts w:hint="eastAsia" w:ascii="仿宋" w:hAnsi="仿宋" w:eastAsia="仿宋" w:cs="仿宋"/>
          <w:color w:val="auto"/>
          <w:szCs w:val="24"/>
          <w:highlight w:val="none"/>
        </w:rPr>
        <w:t>、法定代表人身份证明书</w:t>
      </w:r>
      <w:r>
        <w:rPr>
          <w:color w:val="auto"/>
          <w:highlight w:val="none"/>
        </w:rPr>
        <w:tab/>
      </w:r>
      <w:r>
        <w:rPr>
          <w:color w:val="auto"/>
          <w:highlight w:val="none"/>
        </w:rPr>
        <w:fldChar w:fldCharType="begin"/>
      </w:r>
      <w:r>
        <w:rPr>
          <w:color w:val="auto"/>
          <w:highlight w:val="none"/>
        </w:rPr>
        <w:instrText xml:space="preserve"> PAGEREF _Toc2128 \h </w:instrText>
      </w:r>
      <w:r>
        <w:rPr>
          <w:color w:val="auto"/>
          <w:highlight w:val="none"/>
        </w:rPr>
        <w:fldChar w:fldCharType="separate"/>
      </w:r>
      <w:r>
        <w:rPr>
          <w:color w:val="auto"/>
          <w:highlight w:val="none"/>
        </w:rPr>
        <w:t>64</w:t>
      </w:r>
      <w:r>
        <w:rPr>
          <w:color w:val="auto"/>
          <w:highlight w:val="none"/>
        </w:rPr>
        <w:fldChar w:fldCharType="end"/>
      </w:r>
      <w:r>
        <w:rPr>
          <w:rFonts w:hint="eastAsia" w:ascii="仿宋" w:hAnsi="仿宋" w:eastAsia="仿宋" w:cs="仿宋"/>
          <w:color w:val="auto"/>
          <w:highlight w:val="none"/>
        </w:rPr>
        <w:fldChar w:fldCharType="end"/>
      </w:r>
    </w:p>
    <w:p w14:paraId="7D2E73D1">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_Toc29405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七</w:t>
      </w:r>
      <w:r>
        <w:rPr>
          <w:rFonts w:hint="eastAsia" w:ascii="仿宋" w:hAnsi="仿宋" w:eastAsia="仿宋" w:cs="仿宋"/>
          <w:color w:val="auto"/>
          <w:szCs w:val="24"/>
          <w:highlight w:val="none"/>
        </w:rPr>
        <w:t>、法定代表人授权委托书</w:t>
      </w:r>
      <w:r>
        <w:rPr>
          <w:color w:val="auto"/>
          <w:highlight w:val="none"/>
        </w:rPr>
        <w:tab/>
      </w:r>
      <w:r>
        <w:rPr>
          <w:color w:val="auto"/>
          <w:highlight w:val="none"/>
        </w:rPr>
        <w:fldChar w:fldCharType="begin"/>
      </w:r>
      <w:r>
        <w:rPr>
          <w:color w:val="auto"/>
          <w:highlight w:val="none"/>
        </w:rPr>
        <w:instrText xml:space="preserve"> PAGEREF _Toc29405 \h </w:instrText>
      </w:r>
      <w:r>
        <w:rPr>
          <w:color w:val="auto"/>
          <w:highlight w:val="none"/>
        </w:rPr>
        <w:fldChar w:fldCharType="separate"/>
      </w:r>
      <w:r>
        <w:rPr>
          <w:color w:val="auto"/>
          <w:highlight w:val="none"/>
        </w:rPr>
        <w:t>65</w:t>
      </w:r>
      <w:r>
        <w:rPr>
          <w:color w:val="auto"/>
          <w:highlight w:val="none"/>
        </w:rPr>
        <w:fldChar w:fldCharType="end"/>
      </w:r>
      <w:r>
        <w:rPr>
          <w:rFonts w:hint="eastAsia" w:ascii="仿宋" w:hAnsi="仿宋" w:eastAsia="仿宋" w:cs="仿宋"/>
          <w:color w:val="auto"/>
          <w:highlight w:val="none"/>
        </w:rPr>
        <w:fldChar w:fldCharType="end"/>
      </w:r>
    </w:p>
    <w:p w14:paraId="4CF4A73C">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_Toc27209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八</w:t>
      </w:r>
      <w:r>
        <w:rPr>
          <w:rFonts w:hint="eastAsia" w:ascii="仿宋" w:hAnsi="仿宋" w:eastAsia="仿宋" w:cs="仿宋"/>
          <w:color w:val="auto"/>
          <w:szCs w:val="24"/>
          <w:highlight w:val="none"/>
        </w:rPr>
        <w:t>、</w:t>
      </w:r>
      <w:r>
        <w:rPr>
          <w:rFonts w:hint="eastAsia" w:ascii="仿宋" w:hAnsi="仿宋" w:eastAsia="仿宋" w:cs="仿宋"/>
          <w:bCs/>
          <w:color w:val="auto"/>
          <w:szCs w:val="24"/>
          <w:highlight w:val="none"/>
        </w:rPr>
        <w:t>投标人资格条件证明材料</w:t>
      </w:r>
      <w:r>
        <w:rPr>
          <w:color w:val="auto"/>
          <w:highlight w:val="none"/>
        </w:rPr>
        <w:tab/>
      </w:r>
      <w:r>
        <w:rPr>
          <w:color w:val="auto"/>
          <w:highlight w:val="none"/>
        </w:rPr>
        <w:fldChar w:fldCharType="begin"/>
      </w:r>
      <w:r>
        <w:rPr>
          <w:color w:val="auto"/>
          <w:highlight w:val="none"/>
        </w:rPr>
        <w:instrText xml:space="preserve"> PAGEREF _Toc27209 \h </w:instrText>
      </w:r>
      <w:r>
        <w:rPr>
          <w:color w:val="auto"/>
          <w:highlight w:val="none"/>
        </w:rPr>
        <w:fldChar w:fldCharType="separate"/>
      </w:r>
      <w:r>
        <w:rPr>
          <w:color w:val="auto"/>
          <w:highlight w:val="none"/>
        </w:rPr>
        <w:t>66</w:t>
      </w:r>
      <w:r>
        <w:rPr>
          <w:color w:val="auto"/>
          <w:highlight w:val="none"/>
        </w:rPr>
        <w:fldChar w:fldCharType="end"/>
      </w:r>
      <w:r>
        <w:rPr>
          <w:rFonts w:hint="eastAsia" w:ascii="仿宋" w:hAnsi="仿宋" w:eastAsia="仿宋" w:cs="仿宋"/>
          <w:color w:val="auto"/>
          <w:highlight w:val="none"/>
        </w:rPr>
        <w:fldChar w:fldCharType="end"/>
      </w:r>
    </w:p>
    <w:p w14:paraId="306AE21A">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_Toc21546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九</w:t>
      </w:r>
      <w:r>
        <w:rPr>
          <w:rFonts w:hint="eastAsia" w:ascii="仿宋" w:hAnsi="仿宋" w:eastAsia="仿宋" w:cs="仿宋"/>
          <w:color w:val="auto"/>
          <w:szCs w:val="24"/>
          <w:highlight w:val="none"/>
        </w:rPr>
        <w:t>、投标人近年类似项目情况表</w:t>
      </w:r>
      <w:r>
        <w:rPr>
          <w:color w:val="auto"/>
          <w:highlight w:val="none"/>
        </w:rPr>
        <w:tab/>
      </w:r>
      <w:r>
        <w:rPr>
          <w:color w:val="auto"/>
          <w:highlight w:val="none"/>
        </w:rPr>
        <w:fldChar w:fldCharType="begin"/>
      </w:r>
      <w:r>
        <w:rPr>
          <w:color w:val="auto"/>
          <w:highlight w:val="none"/>
        </w:rPr>
        <w:instrText xml:space="preserve"> PAGEREF _Toc21546 \h </w:instrText>
      </w:r>
      <w:r>
        <w:rPr>
          <w:color w:val="auto"/>
          <w:highlight w:val="none"/>
        </w:rPr>
        <w:fldChar w:fldCharType="separate"/>
      </w:r>
      <w:r>
        <w:rPr>
          <w:color w:val="auto"/>
          <w:highlight w:val="none"/>
        </w:rPr>
        <w:t>74</w:t>
      </w:r>
      <w:r>
        <w:rPr>
          <w:color w:val="auto"/>
          <w:highlight w:val="none"/>
        </w:rPr>
        <w:fldChar w:fldCharType="end"/>
      </w:r>
      <w:r>
        <w:rPr>
          <w:rFonts w:hint="eastAsia" w:ascii="仿宋" w:hAnsi="仿宋" w:eastAsia="仿宋" w:cs="仿宋"/>
          <w:color w:val="auto"/>
          <w:highlight w:val="none"/>
        </w:rPr>
        <w:fldChar w:fldCharType="end"/>
      </w:r>
    </w:p>
    <w:p w14:paraId="696210B1">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_Toc31271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shd w:val="clear" w:color="auto" w:fill="FFFFFF" w:themeFill="background1"/>
          <w:lang w:val="en-US" w:eastAsia="zh-CN"/>
        </w:rPr>
        <w:t>十</w:t>
      </w:r>
      <w:r>
        <w:rPr>
          <w:rFonts w:hint="eastAsia" w:ascii="仿宋" w:hAnsi="仿宋" w:eastAsia="仿宋" w:cs="仿宋"/>
          <w:color w:val="auto"/>
          <w:szCs w:val="24"/>
          <w:highlight w:val="none"/>
          <w:shd w:val="clear" w:color="auto" w:fill="FFFFFF" w:themeFill="background1"/>
        </w:rPr>
        <w:t>、售后服务承诺书</w:t>
      </w:r>
      <w:r>
        <w:rPr>
          <w:color w:val="auto"/>
          <w:highlight w:val="none"/>
        </w:rPr>
        <w:tab/>
      </w:r>
      <w:r>
        <w:rPr>
          <w:color w:val="auto"/>
          <w:highlight w:val="none"/>
        </w:rPr>
        <w:fldChar w:fldCharType="begin"/>
      </w:r>
      <w:r>
        <w:rPr>
          <w:color w:val="auto"/>
          <w:highlight w:val="none"/>
        </w:rPr>
        <w:instrText xml:space="preserve"> PAGEREF _Toc31271 \h </w:instrText>
      </w:r>
      <w:r>
        <w:rPr>
          <w:color w:val="auto"/>
          <w:highlight w:val="none"/>
        </w:rPr>
        <w:fldChar w:fldCharType="separate"/>
      </w:r>
      <w:r>
        <w:rPr>
          <w:color w:val="auto"/>
          <w:highlight w:val="none"/>
        </w:rPr>
        <w:t>75</w:t>
      </w:r>
      <w:r>
        <w:rPr>
          <w:color w:val="auto"/>
          <w:highlight w:val="none"/>
        </w:rPr>
        <w:fldChar w:fldCharType="end"/>
      </w:r>
      <w:r>
        <w:rPr>
          <w:rFonts w:hint="eastAsia" w:ascii="仿宋" w:hAnsi="仿宋" w:eastAsia="仿宋" w:cs="仿宋"/>
          <w:color w:val="auto"/>
          <w:highlight w:val="none"/>
        </w:rPr>
        <w:fldChar w:fldCharType="end"/>
      </w:r>
    </w:p>
    <w:p w14:paraId="0605BA1F">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_Toc6244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shd w:val="clear" w:color="auto" w:fill="FFFFFF" w:themeFill="background1"/>
        </w:rPr>
        <w:t>十</w:t>
      </w:r>
      <w:r>
        <w:rPr>
          <w:rFonts w:hint="eastAsia" w:ascii="仿宋" w:hAnsi="仿宋" w:eastAsia="仿宋" w:cs="仿宋"/>
          <w:color w:val="auto"/>
          <w:szCs w:val="24"/>
          <w:highlight w:val="none"/>
          <w:shd w:val="clear" w:color="auto" w:fill="FFFFFF" w:themeFill="background1"/>
          <w:lang w:val="en-US" w:eastAsia="zh-CN"/>
        </w:rPr>
        <w:t>一</w:t>
      </w:r>
      <w:r>
        <w:rPr>
          <w:rFonts w:hint="eastAsia" w:ascii="仿宋" w:hAnsi="仿宋" w:eastAsia="仿宋" w:cs="仿宋"/>
          <w:color w:val="auto"/>
          <w:szCs w:val="24"/>
          <w:highlight w:val="none"/>
          <w:shd w:val="clear" w:color="auto" w:fill="FFFFFF" w:themeFill="background1"/>
        </w:rPr>
        <w:t>、技术方案</w:t>
      </w:r>
      <w:r>
        <w:rPr>
          <w:color w:val="auto"/>
          <w:highlight w:val="none"/>
        </w:rPr>
        <w:tab/>
      </w:r>
      <w:r>
        <w:rPr>
          <w:color w:val="auto"/>
          <w:highlight w:val="none"/>
        </w:rPr>
        <w:fldChar w:fldCharType="begin"/>
      </w:r>
      <w:r>
        <w:rPr>
          <w:color w:val="auto"/>
          <w:highlight w:val="none"/>
        </w:rPr>
        <w:instrText xml:space="preserve"> PAGEREF _Toc6244 \h </w:instrText>
      </w:r>
      <w:r>
        <w:rPr>
          <w:color w:val="auto"/>
          <w:highlight w:val="none"/>
        </w:rPr>
        <w:fldChar w:fldCharType="separate"/>
      </w:r>
      <w:r>
        <w:rPr>
          <w:color w:val="auto"/>
          <w:highlight w:val="none"/>
        </w:rPr>
        <w:t>76</w:t>
      </w:r>
      <w:r>
        <w:rPr>
          <w:color w:val="auto"/>
          <w:highlight w:val="none"/>
        </w:rPr>
        <w:fldChar w:fldCharType="end"/>
      </w:r>
      <w:r>
        <w:rPr>
          <w:rFonts w:hint="eastAsia" w:ascii="仿宋" w:hAnsi="仿宋" w:eastAsia="仿宋" w:cs="仿宋"/>
          <w:color w:val="auto"/>
          <w:highlight w:val="none"/>
        </w:rPr>
        <w:fldChar w:fldCharType="end"/>
      </w:r>
    </w:p>
    <w:p w14:paraId="56E0C49A">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_Toc18496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十二、其它需要提交的资料</w:t>
      </w:r>
      <w:r>
        <w:rPr>
          <w:color w:val="auto"/>
          <w:highlight w:val="none"/>
        </w:rPr>
        <w:tab/>
      </w:r>
      <w:r>
        <w:rPr>
          <w:color w:val="auto"/>
          <w:highlight w:val="none"/>
        </w:rPr>
        <w:fldChar w:fldCharType="begin"/>
      </w:r>
      <w:r>
        <w:rPr>
          <w:color w:val="auto"/>
          <w:highlight w:val="none"/>
        </w:rPr>
        <w:instrText xml:space="preserve"> PAGEREF _Toc18496 \h </w:instrText>
      </w:r>
      <w:r>
        <w:rPr>
          <w:color w:val="auto"/>
          <w:highlight w:val="none"/>
        </w:rPr>
        <w:fldChar w:fldCharType="separate"/>
      </w:r>
      <w:r>
        <w:rPr>
          <w:color w:val="auto"/>
          <w:highlight w:val="none"/>
        </w:rPr>
        <w:t>77</w:t>
      </w:r>
      <w:r>
        <w:rPr>
          <w:color w:val="auto"/>
          <w:highlight w:val="none"/>
        </w:rPr>
        <w:fldChar w:fldCharType="end"/>
      </w:r>
      <w:r>
        <w:rPr>
          <w:rFonts w:hint="eastAsia" w:ascii="仿宋" w:hAnsi="仿宋" w:eastAsia="仿宋" w:cs="仿宋"/>
          <w:color w:val="auto"/>
          <w:highlight w:val="none"/>
        </w:rPr>
        <w:fldChar w:fldCharType="end"/>
      </w:r>
    </w:p>
    <w:p w14:paraId="6BD74466">
      <w:pPr>
        <w:pStyle w:val="23"/>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_Toc10089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第六章 补充条款</w:t>
      </w:r>
      <w:r>
        <w:rPr>
          <w:color w:val="auto"/>
          <w:highlight w:val="none"/>
        </w:rPr>
        <w:tab/>
      </w:r>
      <w:r>
        <w:rPr>
          <w:color w:val="auto"/>
          <w:highlight w:val="none"/>
        </w:rPr>
        <w:fldChar w:fldCharType="begin"/>
      </w:r>
      <w:r>
        <w:rPr>
          <w:color w:val="auto"/>
          <w:highlight w:val="none"/>
        </w:rPr>
        <w:instrText xml:space="preserve"> PAGEREF _Toc10089 \h </w:instrText>
      </w:r>
      <w:r>
        <w:rPr>
          <w:color w:val="auto"/>
          <w:highlight w:val="none"/>
        </w:rPr>
        <w:fldChar w:fldCharType="separate"/>
      </w:r>
      <w:r>
        <w:rPr>
          <w:color w:val="auto"/>
          <w:highlight w:val="none"/>
        </w:rPr>
        <w:t>78</w:t>
      </w:r>
      <w:r>
        <w:rPr>
          <w:color w:val="auto"/>
          <w:highlight w:val="none"/>
        </w:rPr>
        <w:fldChar w:fldCharType="end"/>
      </w:r>
      <w:r>
        <w:rPr>
          <w:rFonts w:hint="eastAsia" w:ascii="仿宋" w:hAnsi="仿宋" w:eastAsia="仿宋" w:cs="仿宋"/>
          <w:color w:val="auto"/>
          <w:highlight w:val="none"/>
        </w:rPr>
        <w:fldChar w:fldCharType="end"/>
      </w:r>
    </w:p>
    <w:p w14:paraId="3E0F6393">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_Toc21091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4"/>
          <w:highlight w:val="none"/>
        </w:rPr>
        <w:t>附件</w:t>
      </w:r>
      <w:r>
        <w:rPr>
          <w:rFonts w:hint="eastAsia" w:ascii="仿宋" w:hAnsi="仿宋" w:eastAsia="仿宋" w:cs="仿宋"/>
          <w:color w:val="auto"/>
          <w:spacing w:val="6"/>
          <w:szCs w:val="24"/>
          <w:highlight w:val="none"/>
          <w:lang w:val="en-US" w:eastAsia="zh-CN"/>
        </w:rPr>
        <w:t>1</w:t>
      </w:r>
      <w:r>
        <w:rPr>
          <w:rFonts w:hint="eastAsia" w:ascii="仿宋" w:hAnsi="仿宋" w:eastAsia="仿宋" w:cs="仿宋"/>
          <w:color w:val="auto"/>
          <w:spacing w:val="6"/>
          <w:szCs w:val="24"/>
          <w:highlight w:val="none"/>
        </w:rPr>
        <w:t>、</w:t>
      </w:r>
      <w:r>
        <w:rPr>
          <w:color w:val="auto"/>
          <w:highlight w:val="none"/>
        </w:rPr>
        <w:tab/>
      </w:r>
      <w:r>
        <w:rPr>
          <w:color w:val="auto"/>
          <w:highlight w:val="none"/>
        </w:rPr>
        <w:fldChar w:fldCharType="begin"/>
      </w:r>
      <w:r>
        <w:rPr>
          <w:color w:val="auto"/>
          <w:highlight w:val="none"/>
        </w:rPr>
        <w:instrText xml:space="preserve"> PAGEREF _Toc21091 \h </w:instrText>
      </w:r>
      <w:r>
        <w:rPr>
          <w:color w:val="auto"/>
          <w:highlight w:val="none"/>
        </w:rPr>
        <w:fldChar w:fldCharType="separate"/>
      </w:r>
      <w:r>
        <w:rPr>
          <w:color w:val="auto"/>
          <w:highlight w:val="none"/>
        </w:rPr>
        <w:t>78</w:t>
      </w:r>
      <w:r>
        <w:rPr>
          <w:color w:val="auto"/>
          <w:highlight w:val="none"/>
        </w:rPr>
        <w:fldChar w:fldCharType="end"/>
      </w:r>
      <w:r>
        <w:rPr>
          <w:rFonts w:hint="eastAsia" w:ascii="仿宋" w:hAnsi="仿宋" w:eastAsia="仿宋" w:cs="仿宋"/>
          <w:color w:val="auto"/>
          <w:highlight w:val="none"/>
        </w:rPr>
        <w:fldChar w:fldCharType="end"/>
      </w:r>
    </w:p>
    <w:p w14:paraId="2B97D425">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_Toc31230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4"/>
          <w:highlight w:val="none"/>
        </w:rPr>
        <w:t>附件</w:t>
      </w:r>
      <w:r>
        <w:rPr>
          <w:rFonts w:hint="eastAsia" w:ascii="仿宋" w:hAnsi="仿宋" w:eastAsia="仿宋" w:cs="仿宋"/>
          <w:color w:val="auto"/>
          <w:spacing w:val="6"/>
          <w:szCs w:val="24"/>
          <w:highlight w:val="none"/>
          <w:lang w:val="en-US" w:eastAsia="zh-CN"/>
        </w:rPr>
        <w:t>2</w:t>
      </w:r>
      <w:r>
        <w:rPr>
          <w:rFonts w:hint="eastAsia" w:ascii="仿宋" w:hAnsi="仿宋" w:eastAsia="仿宋" w:cs="仿宋"/>
          <w:color w:val="auto"/>
          <w:spacing w:val="6"/>
          <w:szCs w:val="24"/>
          <w:highlight w:val="none"/>
        </w:rPr>
        <w:t>、</w:t>
      </w:r>
      <w:r>
        <w:rPr>
          <w:color w:val="auto"/>
          <w:highlight w:val="none"/>
        </w:rPr>
        <w:tab/>
      </w:r>
      <w:r>
        <w:rPr>
          <w:color w:val="auto"/>
          <w:highlight w:val="none"/>
        </w:rPr>
        <w:fldChar w:fldCharType="begin"/>
      </w:r>
      <w:r>
        <w:rPr>
          <w:color w:val="auto"/>
          <w:highlight w:val="none"/>
        </w:rPr>
        <w:instrText xml:space="preserve"> PAGEREF _Toc31230 \h </w:instrText>
      </w:r>
      <w:r>
        <w:rPr>
          <w:color w:val="auto"/>
          <w:highlight w:val="none"/>
        </w:rPr>
        <w:fldChar w:fldCharType="separate"/>
      </w:r>
      <w:r>
        <w:rPr>
          <w:color w:val="auto"/>
          <w:highlight w:val="none"/>
        </w:rPr>
        <w:t>82</w:t>
      </w:r>
      <w:r>
        <w:rPr>
          <w:color w:val="auto"/>
          <w:highlight w:val="none"/>
        </w:rPr>
        <w:fldChar w:fldCharType="end"/>
      </w:r>
      <w:r>
        <w:rPr>
          <w:rFonts w:hint="eastAsia" w:ascii="仿宋" w:hAnsi="仿宋" w:eastAsia="仿宋" w:cs="仿宋"/>
          <w:color w:val="auto"/>
          <w:highlight w:val="none"/>
        </w:rPr>
        <w:fldChar w:fldCharType="end"/>
      </w:r>
    </w:p>
    <w:p w14:paraId="6AF20CB1">
      <w:pPr>
        <w:pStyle w:val="29"/>
        <w:tabs>
          <w:tab w:val="right" w:leader="dot" w:pos="9354"/>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_Toc17348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4"/>
          <w:highlight w:val="none"/>
        </w:rPr>
        <w:t>附件</w:t>
      </w:r>
      <w:r>
        <w:rPr>
          <w:rFonts w:hint="eastAsia" w:ascii="仿宋" w:hAnsi="仿宋" w:eastAsia="仿宋" w:cs="仿宋"/>
          <w:color w:val="auto"/>
          <w:spacing w:val="6"/>
          <w:szCs w:val="24"/>
          <w:highlight w:val="none"/>
          <w:lang w:val="en-US" w:eastAsia="zh-CN"/>
        </w:rPr>
        <w:t>3</w:t>
      </w:r>
      <w:r>
        <w:rPr>
          <w:rFonts w:hint="eastAsia" w:ascii="仿宋" w:hAnsi="仿宋" w:eastAsia="仿宋" w:cs="仿宋"/>
          <w:color w:val="auto"/>
          <w:spacing w:val="6"/>
          <w:szCs w:val="24"/>
          <w:highlight w:val="none"/>
        </w:rPr>
        <w:t>、</w:t>
      </w:r>
      <w:r>
        <w:rPr>
          <w:color w:val="auto"/>
          <w:highlight w:val="none"/>
        </w:rPr>
        <w:tab/>
      </w:r>
      <w:r>
        <w:rPr>
          <w:color w:val="auto"/>
          <w:highlight w:val="none"/>
        </w:rPr>
        <w:fldChar w:fldCharType="begin"/>
      </w:r>
      <w:r>
        <w:rPr>
          <w:color w:val="auto"/>
          <w:highlight w:val="none"/>
        </w:rPr>
        <w:instrText xml:space="preserve"> PAGEREF _Toc17348 \h </w:instrText>
      </w:r>
      <w:r>
        <w:rPr>
          <w:color w:val="auto"/>
          <w:highlight w:val="none"/>
        </w:rPr>
        <w:fldChar w:fldCharType="separate"/>
      </w:r>
      <w:r>
        <w:rPr>
          <w:color w:val="auto"/>
          <w:highlight w:val="none"/>
        </w:rPr>
        <w:t>84</w:t>
      </w:r>
      <w:r>
        <w:rPr>
          <w:color w:val="auto"/>
          <w:highlight w:val="none"/>
        </w:rPr>
        <w:fldChar w:fldCharType="end"/>
      </w:r>
      <w:r>
        <w:rPr>
          <w:rFonts w:hint="eastAsia" w:ascii="仿宋" w:hAnsi="仿宋" w:eastAsia="仿宋" w:cs="仿宋"/>
          <w:color w:val="auto"/>
          <w:highlight w:val="none"/>
        </w:rPr>
        <w:fldChar w:fldCharType="end"/>
      </w:r>
    </w:p>
    <w:p w14:paraId="76B88218">
      <w:pPr>
        <w:rPr>
          <w:rFonts w:hint="eastAsia" w:ascii="仿宋" w:hAnsi="仿宋" w:eastAsia="仿宋" w:cs="仿宋"/>
          <w:color w:val="auto"/>
          <w:sz w:val="24"/>
          <w:highlight w:val="none"/>
        </w:rPr>
      </w:pPr>
      <w:r>
        <w:rPr>
          <w:rFonts w:hint="eastAsia" w:ascii="仿宋" w:hAnsi="仿宋" w:eastAsia="仿宋" w:cs="仿宋"/>
          <w:color w:val="auto"/>
          <w:highlight w:val="none"/>
        </w:rPr>
        <w:fldChar w:fldCharType="end"/>
      </w:r>
    </w:p>
    <w:p w14:paraId="07DFEE24">
      <w:pPr>
        <w:spacing w:line="360" w:lineRule="auto"/>
        <w:jc w:val="center"/>
        <w:outlineLvl w:val="0"/>
        <w:rPr>
          <w:rFonts w:hint="eastAsia" w:ascii="仿宋" w:hAnsi="仿宋" w:eastAsia="仿宋" w:cs="仿宋"/>
          <w:b/>
          <w:bCs/>
          <w:color w:val="auto"/>
          <w:sz w:val="32"/>
          <w:szCs w:val="32"/>
          <w:highlight w:val="none"/>
        </w:rPr>
        <w:sectPr>
          <w:headerReference r:id="rId3" w:type="default"/>
          <w:footerReference r:id="rId4" w:type="default"/>
          <w:footerReference r:id="rId5" w:type="even"/>
          <w:pgSz w:w="11906" w:h="16838"/>
          <w:pgMar w:top="1361" w:right="1134" w:bottom="1361" w:left="1418" w:header="851" w:footer="992" w:gutter="0"/>
          <w:pgNumType w:start="1"/>
          <w:cols w:space="720" w:num="1"/>
          <w:docGrid w:type="lines" w:linePitch="312" w:charSpace="0"/>
        </w:sectPr>
      </w:pPr>
    </w:p>
    <w:p w14:paraId="33B9E51C">
      <w:pPr>
        <w:spacing w:line="360" w:lineRule="auto"/>
        <w:jc w:val="center"/>
        <w:outlineLvl w:val="0"/>
        <w:rPr>
          <w:rFonts w:hint="eastAsia" w:ascii="仿宋" w:hAnsi="仿宋" w:eastAsia="仿宋" w:cs="仿宋"/>
          <w:b/>
          <w:bCs/>
          <w:color w:val="auto"/>
          <w:sz w:val="24"/>
          <w:szCs w:val="24"/>
          <w:highlight w:val="none"/>
        </w:rPr>
      </w:pPr>
      <w:bookmarkStart w:id="0" w:name="_Toc23499"/>
      <w:r>
        <w:rPr>
          <w:rFonts w:hint="eastAsia" w:ascii="仿宋" w:hAnsi="仿宋" w:eastAsia="仿宋" w:cs="仿宋"/>
          <w:b/>
          <w:bCs/>
          <w:color w:val="auto"/>
          <w:sz w:val="32"/>
          <w:szCs w:val="32"/>
          <w:highlight w:val="none"/>
        </w:rPr>
        <w:t>招标公告</w:t>
      </w:r>
      <w:bookmarkEnd w:id="0"/>
    </w:p>
    <w:p w14:paraId="67D4A98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5A20A31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新疆维吾尔自治区农业科学院果蔬所试剂和助剂采购项目</w:t>
      </w:r>
      <w:r>
        <w:rPr>
          <w:rFonts w:hint="eastAsia" w:ascii="仿宋" w:hAnsi="仿宋" w:eastAsia="仿宋" w:cs="仿宋"/>
          <w:color w:val="auto"/>
          <w:sz w:val="24"/>
          <w:szCs w:val="24"/>
          <w:highlight w:val="none"/>
        </w:rPr>
        <w:t>招标项目的潜在投标人应在政采云平台线上获取招标文件，并于2025年</w:t>
      </w:r>
      <w:r>
        <w:rPr>
          <w:rFonts w:hint="eastAsia" w:ascii="仿宋" w:hAnsi="仿宋" w:eastAsia="仿宋" w:cs="仿宋"/>
          <w:color w:val="auto"/>
          <w:sz w:val="24"/>
          <w:szCs w:val="24"/>
          <w:highlight w:val="none"/>
          <w:lang w:val="en-US" w:eastAsia="zh-CN"/>
        </w:rPr>
        <w:t>07月04日 10:30</w:t>
      </w:r>
      <w:r>
        <w:rPr>
          <w:rFonts w:hint="eastAsia" w:ascii="仿宋" w:hAnsi="仿宋" w:eastAsia="仿宋" w:cs="仿宋"/>
          <w:color w:val="auto"/>
          <w:sz w:val="24"/>
          <w:szCs w:val="24"/>
          <w:highlight w:val="none"/>
        </w:rPr>
        <w:t>（北京时间）前递交投标文件。</w:t>
      </w:r>
    </w:p>
    <w:p w14:paraId="60F3AA5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一、项目基本情况</w:t>
      </w:r>
    </w:p>
    <w:p w14:paraId="0D9FC31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XSJ20250601-05</w:t>
      </w:r>
    </w:p>
    <w:p w14:paraId="1971BF0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新疆维吾尔自治区农业科学院果蔬所试剂和助剂采购项目</w:t>
      </w:r>
    </w:p>
    <w:p w14:paraId="54211E0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采购方式：公开招标</w:t>
      </w:r>
    </w:p>
    <w:p w14:paraId="2594055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eastAsia="zh-CN"/>
        </w:rPr>
        <w:t>3745684.00</w:t>
      </w:r>
    </w:p>
    <w:p w14:paraId="459624D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highlight w:val="none"/>
          <w:lang w:val="en-US" w:eastAsia="zh-CN"/>
        </w:rPr>
      </w:pPr>
      <w:r>
        <w:rPr>
          <w:rFonts w:hint="eastAsia" w:ascii="仿宋" w:hAnsi="仿宋" w:eastAsia="仿宋" w:cs="仿宋"/>
          <w:color w:val="auto"/>
          <w:sz w:val="24"/>
          <w:szCs w:val="24"/>
          <w:highlight w:val="none"/>
        </w:rPr>
        <w:t>最高限价（元）：</w:t>
      </w:r>
      <w:r>
        <w:rPr>
          <w:rFonts w:hint="eastAsia" w:ascii="仿宋" w:hAnsi="仿宋" w:eastAsia="仿宋" w:cs="仿宋"/>
          <w:color w:val="auto"/>
          <w:sz w:val="24"/>
          <w:szCs w:val="24"/>
          <w:highlight w:val="none"/>
          <w:lang w:val="en-US" w:eastAsia="zh-CN"/>
        </w:rPr>
        <w:t>标项一1850321</w:t>
      </w:r>
      <w:r>
        <w:rPr>
          <w:rFonts w:hint="eastAsia" w:ascii="仿宋" w:hAnsi="仿宋" w:eastAsia="仿宋" w:cs="仿宋"/>
          <w:color w:val="auto"/>
          <w:sz w:val="24"/>
          <w:szCs w:val="24"/>
          <w:highlight w:val="none"/>
          <w:lang w:eastAsia="zh-CN"/>
        </w:rPr>
        <w:t>.00</w:t>
      </w:r>
      <w:r>
        <w:rPr>
          <w:rFonts w:hint="eastAsia" w:ascii="仿宋" w:hAnsi="仿宋" w:eastAsia="仿宋" w:cs="仿宋"/>
          <w:color w:val="auto"/>
          <w:sz w:val="24"/>
          <w:szCs w:val="24"/>
          <w:highlight w:val="none"/>
          <w:lang w:val="en-US" w:eastAsia="zh-CN"/>
        </w:rPr>
        <w:t>，标项二1895363.00</w:t>
      </w:r>
    </w:p>
    <w:p w14:paraId="589EDB2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p>
    <w:p w14:paraId="5B98FEC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标项一</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标项名称:</w:t>
      </w:r>
      <w:r>
        <w:rPr>
          <w:rFonts w:hint="eastAsia" w:ascii="仿宋" w:hAnsi="仿宋" w:eastAsia="仿宋" w:cs="仿宋"/>
          <w:color w:val="auto"/>
          <w:sz w:val="24"/>
          <w:szCs w:val="24"/>
          <w:highlight w:val="none"/>
          <w:lang w:eastAsia="zh-CN"/>
        </w:rPr>
        <w:t>新疆维吾尔自治区农业科学院果蔬所试剂和助剂采购项目</w:t>
      </w:r>
      <w:r>
        <w:rPr>
          <w:rFonts w:hint="eastAsia" w:ascii="仿宋" w:hAnsi="仿宋" w:eastAsia="仿宋" w:cs="仿宋"/>
          <w:color w:val="auto"/>
          <w:sz w:val="24"/>
          <w:szCs w:val="24"/>
          <w:highlight w:val="none"/>
        </w:rPr>
        <w:t>标项一</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数量:</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预算金额（元）:</w:t>
      </w:r>
      <w:r>
        <w:rPr>
          <w:rFonts w:hint="eastAsia" w:ascii="仿宋" w:hAnsi="仿宋" w:eastAsia="仿宋" w:cs="仿宋"/>
          <w:color w:val="auto"/>
          <w:sz w:val="24"/>
          <w:szCs w:val="24"/>
          <w:highlight w:val="none"/>
          <w:lang w:val="en-US" w:eastAsia="zh-CN"/>
        </w:rPr>
        <w:t>1850321</w:t>
      </w:r>
      <w:r>
        <w:rPr>
          <w:rFonts w:hint="eastAsia" w:ascii="仿宋" w:hAnsi="仿宋" w:eastAsia="仿宋" w:cs="仿宋"/>
          <w:color w:val="auto"/>
          <w:sz w:val="24"/>
          <w:szCs w:val="24"/>
          <w:highlight w:val="none"/>
          <w:lang w:eastAsia="zh-CN"/>
        </w:rPr>
        <w:t>.00</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单位：</w:t>
      </w:r>
      <w:r>
        <w:rPr>
          <w:rFonts w:hint="eastAsia" w:ascii="仿宋" w:hAnsi="仿宋" w:eastAsia="仿宋" w:cs="仿宋"/>
          <w:color w:val="auto"/>
          <w:sz w:val="24"/>
          <w:szCs w:val="24"/>
          <w:highlight w:val="none"/>
          <w:lang w:val="en-US" w:eastAsia="zh-CN"/>
        </w:rPr>
        <w:t>批</w:t>
      </w: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简要规格描述或项目基本概况介绍、用途：</w:t>
      </w:r>
      <w:r>
        <w:rPr>
          <w:rFonts w:hint="eastAsia" w:ascii="仿宋" w:hAnsi="仿宋" w:eastAsia="仿宋" w:cs="仿宋"/>
          <w:color w:val="auto"/>
          <w:sz w:val="24"/>
          <w:szCs w:val="24"/>
          <w:highlight w:val="none"/>
          <w:lang w:eastAsia="zh-CN"/>
        </w:rPr>
        <w:t>试剂和助剂采购，</w:t>
      </w:r>
      <w:r>
        <w:rPr>
          <w:rFonts w:hint="eastAsia" w:ascii="仿宋" w:hAnsi="仿宋" w:eastAsia="仿宋" w:cs="仿宋"/>
          <w:color w:val="auto"/>
          <w:sz w:val="24"/>
          <w:szCs w:val="24"/>
          <w:highlight w:val="none"/>
        </w:rPr>
        <w:t>详见招标文件</w:t>
      </w:r>
    </w:p>
    <w:p w14:paraId="35114F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标项二</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标项名称:</w:t>
      </w:r>
      <w:r>
        <w:rPr>
          <w:rFonts w:hint="eastAsia" w:ascii="仿宋" w:hAnsi="仿宋" w:eastAsia="仿宋" w:cs="仿宋"/>
          <w:color w:val="auto"/>
          <w:sz w:val="24"/>
          <w:szCs w:val="24"/>
          <w:highlight w:val="none"/>
          <w:lang w:eastAsia="zh-CN"/>
        </w:rPr>
        <w:t>新疆维吾尔自治区农业科学院果蔬所试剂和助剂采购项目</w:t>
      </w:r>
      <w:r>
        <w:rPr>
          <w:rFonts w:hint="eastAsia" w:ascii="仿宋" w:hAnsi="仿宋" w:eastAsia="仿宋" w:cs="仿宋"/>
          <w:color w:val="auto"/>
          <w:sz w:val="24"/>
          <w:szCs w:val="24"/>
          <w:highlight w:val="none"/>
        </w:rPr>
        <w:t>标项二</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数量:</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预算金额（元）:</w:t>
      </w:r>
      <w:r>
        <w:rPr>
          <w:rFonts w:hint="eastAsia" w:ascii="仿宋" w:hAnsi="仿宋" w:eastAsia="仿宋" w:cs="仿宋"/>
          <w:color w:val="auto"/>
          <w:sz w:val="24"/>
          <w:szCs w:val="24"/>
          <w:highlight w:val="none"/>
          <w:lang w:val="en-US" w:eastAsia="zh-CN"/>
        </w:rPr>
        <w:t>1895363.00</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单位：</w:t>
      </w:r>
      <w:r>
        <w:rPr>
          <w:rFonts w:hint="eastAsia" w:ascii="仿宋" w:hAnsi="仿宋" w:eastAsia="仿宋" w:cs="仿宋"/>
          <w:color w:val="auto"/>
          <w:sz w:val="24"/>
          <w:szCs w:val="24"/>
          <w:highlight w:val="none"/>
          <w:lang w:val="en-US" w:eastAsia="zh-CN"/>
        </w:rPr>
        <w:t>批</w:t>
      </w: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简要规格描述或项目基本概况介绍、用途：</w:t>
      </w:r>
      <w:r>
        <w:rPr>
          <w:rFonts w:hint="eastAsia" w:ascii="仿宋" w:hAnsi="仿宋" w:eastAsia="仿宋" w:cs="仿宋"/>
          <w:color w:val="auto"/>
          <w:sz w:val="24"/>
          <w:szCs w:val="24"/>
          <w:highlight w:val="none"/>
          <w:lang w:eastAsia="zh-CN"/>
        </w:rPr>
        <w:t>试剂和助剂采购，</w:t>
      </w:r>
      <w:r>
        <w:rPr>
          <w:rFonts w:hint="eastAsia" w:ascii="仿宋" w:hAnsi="仿宋" w:eastAsia="仿宋" w:cs="仿宋"/>
          <w:color w:val="auto"/>
          <w:sz w:val="24"/>
          <w:szCs w:val="24"/>
          <w:highlight w:val="none"/>
        </w:rPr>
        <w:t>详见招标文件</w:t>
      </w:r>
    </w:p>
    <w:p w14:paraId="38C4218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合同履约期限：</w:t>
      </w:r>
      <w:r>
        <w:rPr>
          <w:rFonts w:hint="eastAsia" w:ascii="仿宋" w:hAnsi="仿宋" w:eastAsia="仿宋" w:cs="仿宋"/>
          <w:color w:val="auto"/>
          <w:sz w:val="24"/>
          <w:szCs w:val="24"/>
          <w:highlight w:val="none"/>
        </w:rPr>
        <w:t>标项 1、2</w:t>
      </w:r>
      <w:r>
        <w:rPr>
          <w:rFonts w:hint="eastAsia" w:ascii="仿宋" w:hAnsi="仿宋" w:eastAsia="仿宋" w:cs="仿宋"/>
          <w:color w:val="auto"/>
          <w:sz w:val="24"/>
          <w:szCs w:val="24"/>
          <w:highlight w:val="none"/>
          <w:lang w:eastAsia="zh-CN"/>
        </w:rPr>
        <w:t>，自合同签订之日起</w:t>
      </w:r>
      <w:r>
        <w:rPr>
          <w:rFonts w:hint="eastAsia" w:ascii="仿宋" w:hAnsi="仿宋" w:eastAsia="仿宋" w:cs="仿宋"/>
          <w:color w:val="auto"/>
          <w:sz w:val="24"/>
          <w:szCs w:val="24"/>
          <w:highlight w:val="none"/>
          <w:lang w:val="en-US" w:eastAsia="zh-CN"/>
        </w:rPr>
        <w:t>1年</w:t>
      </w:r>
      <w:r>
        <w:rPr>
          <w:rFonts w:hint="eastAsia" w:ascii="仿宋" w:hAnsi="仿宋" w:eastAsia="仿宋" w:cs="仿宋"/>
          <w:color w:val="auto"/>
          <w:sz w:val="24"/>
          <w:szCs w:val="24"/>
          <w:highlight w:val="none"/>
          <w:lang w:eastAsia="zh-CN"/>
        </w:rPr>
        <w:t>内，</w:t>
      </w:r>
      <w:r>
        <w:rPr>
          <w:rFonts w:hint="eastAsia" w:ascii="仿宋" w:hAnsi="仿宋" w:eastAsia="仿宋" w:cs="仿宋"/>
          <w:color w:val="auto"/>
          <w:sz w:val="24"/>
          <w:szCs w:val="24"/>
          <w:highlight w:val="none"/>
          <w:lang w:val="en-US" w:eastAsia="zh-CN"/>
        </w:rPr>
        <w:t>根据采购人需求分批送达</w:t>
      </w:r>
      <w:r>
        <w:rPr>
          <w:rFonts w:hint="eastAsia" w:ascii="仿宋" w:hAnsi="仿宋" w:eastAsia="仿宋" w:cs="仿宋"/>
          <w:color w:val="auto"/>
          <w:sz w:val="24"/>
          <w:szCs w:val="24"/>
          <w:highlight w:val="none"/>
          <w:lang w:eastAsia="zh-CN"/>
        </w:rPr>
        <w:t>指定地点</w:t>
      </w:r>
      <w:r>
        <w:rPr>
          <w:rFonts w:hint="eastAsia" w:ascii="仿宋" w:hAnsi="仿宋" w:eastAsia="仿宋" w:cs="仿宋"/>
          <w:color w:val="auto"/>
          <w:sz w:val="24"/>
          <w:szCs w:val="24"/>
          <w:highlight w:val="none"/>
        </w:rPr>
        <w:t>。</w:t>
      </w:r>
    </w:p>
    <w:p w14:paraId="28A2D50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本项目（否）接受联合体投标。</w:t>
      </w:r>
    </w:p>
    <w:p w14:paraId="10C9980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的资格要求：</w:t>
      </w:r>
      <w:r>
        <w:rPr>
          <w:rFonts w:hint="eastAsia" w:ascii="仿宋" w:hAnsi="仿宋" w:eastAsia="仿宋" w:cs="仿宋"/>
          <w:color w:val="auto"/>
          <w:sz w:val="24"/>
          <w:szCs w:val="24"/>
          <w:highlight w:val="none"/>
        </w:rPr>
        <w:t>【标项1、2】</w:t>
      </w:r>
    </w:p>
    <w:p w14:paraId="1ABCBFD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满足《中华人民共和国政府采购法》第二十二条规定。</w:t>
      </w:r>
    </w:p>
    <w:p w14:paraId="074D826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如在“信用中国”网站（www.creditchina.gov.cn）、中国政府采购网（www.ccgp.gov.cn）等渠道被列入失信被执行人、重大税收违法失信主体、政府采购严重违法失信行为记录名单，尚在处罚期内的将被拒绝参加本次采购活动。</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三、获取招标文件</w:t>
      </w:r>
    </w:p>
    <w:p w14:paraId="183858E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rPr>
        <w:t>2025年</w:t>
      </w:r>
      <w:r>
        <w:rPr>
          <w:rFonts w:hint="eastAsia"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highlight w:val="none"/>
        </w:rPr>
        <w:t>至2025年</w:t>
      </w:r>
      <w:r>
        <w:rPr>
          <w:rFonts w:hint="eastAsia"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highlight w:val="none"/>
        </w:rPr>
        <w:t>，每天上午00:00至14:00，下午14:00</w:t>
      </w:r>
      <w:r>
        <w:rPr>
          <w:rFonts w:hint="eastAsia" w:ascii="仿宋" w:hAnsi="仿宋" w:eastAsia="仿宋" w:cs="仿宋"/>
          <w:color w:val="auto"/>
          <w:sz w:val="24"/>
          <w:szCs w:val="24"/>
          <w:highlight w:val="none"/>
        </w:rPr>
        <w:t>至23:59（北京时间，法定节假日除外）</w:t>
      </w:r>
    </w:p>
    <w:p w14:paraId="409E127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地点：政采云平台线上</w:t>
      </w:r>
    </w:p>
    <w:p w14:paraId="58B5E7C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登录政采云平台https://www.zcygov.cn/在线申请获取采购文件（进入“项目采购”应用，在获取采购文件菜单中选择项目，申请获取采购文件），或者点击采购公告底部潜在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“获取采购文件”，页面跳转后登陆，直接获取采购文件。</w:t>
      </w:r>
    </w:p>
    <w:p w14:paraId="49D0339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售价（元）：0</w:t>
      </w:r>
    </w:p>
    <w:p w14:paraId="47C2F7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四、提交投标文件截止时间、开标时间和地点</w:t>
      </w:r>
    </w:p>
    <w:p w14:paraId="0ED75A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提交投标文件截止时间：2025年</w:t>
      </w:r>
      <w:r>
        <w:rPr>
          <w:rFonts w:hint="eastAsia" w:ascii="仿宋" w:hAnsi="仿宋" w:eastAsia="仿宋" w:cs="仿宋"/>
          <w:color w:val="auto"/>
          <w:sz w:val="24"/>
          <w:szCs w:val="24"/>
          <w:highlight w:val="none"/>
          <w:lang w:val="en-US" w:eastAsia="zh-CN"/>
        </w:rPr>
        <w:t>07月04日 10:30</w:t>
      </w:r>
      <w:r>
        <w:rPr>
          <w:rFonts w:hint="eastAsia" w:ascii="仿宋" w:hAnsi="仿宋" w:eastAsia="仿宋" w:cs="仿宋"/>
          <w:color w:val="auto"/>
          <w:sz w:val="24"/>
          <w:szCs w:val="24"/>
          <w:highlight w:val="none"/>
        </w:rPr>
        <w:t>（北京时间）</w:t>
      </w:r>
    </w:p>
    <w:p w14:paraId="116BF28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投标地点：请登录政采云投标客户端投标</w:t>
      </w:r>
    </w:p>
    <w:p w14:paraId="4CB28AE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开标时间：2025年</w:t>
      </w:r>
      <w:r>
        <w:rPr>
          <w:rFonts w:hint="eastAsia" w:ascii="仿宋" w:hAnsi="仿宋" w:eastAsia="仿宋" w:cs="仿宋"/>
          <w:color w:val="auto"/>
          <w:sz w:val="24"/>
          <w:szCs w:val="24"/>
          <w:highlight w:val="none"/>
          <w:lang w:val="en-US" w:eastAsia="zh-CN"/>
        </w:rPr>
        <w:t>07月04日 10:30</w:t>
      </w:r>
      <w:r>
        <w:rPr>
          <w:rFonts w:hint="eastAsia" w:ascii="仿宋" w:hAnsi="仿宋" w:eastAsia="仿宋" w:cs="仿宋"/>
          <w:color w:val="auto"/>
          <w:sz w:val="24"/>
          <w:szCs w:val="24"/>
          <w:highlight w:val="none"/>
        </w:rPr>
        <w:t>（北京时间）</w:t>
      </w:r>
    </w:p>
    <w:p w14:paraId="1A112F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开标地点：投标人登录政采云平台https://www.zcygov.cn/，进入“项目采购-开标评标-右边选择对应项目点击“进入项目”进入开标大厅。</w:t>
      </w:r>
    </w:p>
    <w:p w14:paraId="267BB8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五、公告期限</w:t>
      </w:r>
    </w:p>
    <w:p w14:paraId="2345FBA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4E0AF9E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六、对本次采购提出询问，请按以下方式联系</w:t>
      </w:r>
    </w:p>
    <w:p w14:paraId="410FEDC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0B0E69D5">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新疆维吾尔自治区农业科学院</w:t>
      </w:r>
    </w:p>
    <w:p w14:paraId="0DED1C4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址：乌鲁木齐市沙依巴克区南昌路403号</w:t>
      </w:r>
    </w:p>
    <w:p w14:paraId="620C4392">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lang w:val="en-US" w:eastAsia="zh-CN"/>
        </w:rPr>
        <w:t>0991-4550423、0991-4500711</w:t>
      </w:r>
    </w:p>
    <w:p w14:paraId="23D963B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14:paraId="3AE25F7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称：新疆新世纪招标有限公司</w:t>
      </w:r>
    </w:p>
    <w:p w14:paraId="53578F7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址：乌鲁木齐市新兴街20号凤凰大厦五楼</w:t>
      </w:r>
    </w:p>
    <w:p w14:paraId="60A7EFE0">
      <w:pPr>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lang w:val="en-US" w:eastAsia="zh-CN"/>
        </w:rPr>
        <w:t>18690890996、13201239203</w:t>
      </w:r>
    </w:p>
    <w:p w14:paraId="6BE5744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3.项目联系方式</w:t>
      </w:r>
    </w:p>
    <w:p w14:paraId="766E7DE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w:t>
      </w:r>
      <w:r>
        <w:rPr>
          <w:rFonts w:hint="eastAsia" w:ascii="仿宋" w:hAnsi="仿宋" w:eastAsia="仿宋" w:cs="仿宋"/>
          <w:color w:val="auto"/>
          <w:sz w:val="24"/>
          <w:szCs w:val="24"/>
          <w:highlight w:val="none"/>
          <w:lang w:eastAsia="zh-CN"/>
        </w:rPr>
        <w:t>马丹阳、候永康</w:t>
      </w:r>
    </w:p>
    <w:p w14:paraId="0560E09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话：0991-4661782</w:t>
      </w:r>
    </w:p>
    <w:p w14:paraId="20CCF4FC">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06BA5047">
      <w:pPr>
        <w:rPr>
          <w:rFonts w:hint="eastAsia" w:ascii="仿宋" w:hAnsi="仿宋" w:eastAsia="仿宋" w:cs="仿宋"/>
          <w:color w:val="auto"/>
          <w:sz w:val="24"/>
          <w:highlight w:val="none"/>
        </w:rPr>
        <w:sectPr>
          <w:footerReference r:id="rId6" w:type="default"/>
          <w:pgSz w:w="11906" w:h="16838"/>
          <w:pgMar w:top="1361" w:right="1134" w:bottom="1361" w:left="1418" w:header="851" w:footer="992" w:gutter="0"/>
          <w:pgNumType w:start="1"/>
          <w:cols w:space="720" w:num="1"/>
          <w:docGrid w:type="lines" w:linePitch="312" w:charSpace="0"/>
        </w:sectPr>
      </w:pPr>
    </w:p>
    <w:p w14:paraId="73F38540">
      <w:pPr>
        <w:spacing w:line="440" w:lineRule="exact"/>
        <w:jc w:val="center"/>
        <w:outlineLvl w:val="0"/>
        <w:rPr>
          <w:rFonts w:hint="eastAsia" w:ascii="仿宋" w:hAnsi="仿宋" w:eastAsia="仿宋" w:cs="仿宋"/>
          <w:b/>
          <w:color w:val="auto"/>
          <w:sz w:val="24"/>
          <w:szCs w:val="24"/>
          <w:highlight w:val="none"/>
        </w:rPr>
      </w:pPr>
      <w:bookmarkStart w:id="1" w:name="_Toc24223"/>
      <w:r>
        <w:rPr>
          <w:rFonts w:hint="eastAsia" w:ascii="仿宋" w:hAnsi="仿宋" w:eastAsia="仿宋" w:cs="仿宋"/>
          <w:b/>
          <w:color w:val="auto"/>
          <w:sz w:val="24"/>
          <w:szCs w:val="24"/>
          <w:highlight w:val="none"/>
        </w:rPr>
        <w:t>投标人须知前附表</w:t>
      </w:r>
      <w:bookmarkEnd w:id="1"/>
    </w:p>
    <w:tbl>
      <w:tblPr>
        <w:tblStyle w:val="38"/>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97"/>
        <w:gridCol w:w="1410"/>
        <w:gridCol w:w="7073"/>
      </w:tblGrid>
      <w:tr w14:paraId="52873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7" w:hRule="atLeast"/>
          <w:jc w:val="center"/>
        </w:trPr>
        <w:tc>
          <w:tcPr>
            <w:tcW w:w="597" w:type="dxa"/>
            <w:vAlign w:val="center"/>
          </w:tcPr>
          <w:p w14:paraId="07317197">
            <w:pPr>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项号</w:t>
            </w:r>
          </w:p>
        </w:tc>
        <w:tc>
          <w:tcPr>
            <w:tcW w:w="8483" w:type="dxa"/>
            <w:gridSpan w:val="2"/>
            <w:vAlign w:val="center"/>
          </w:tcPr>
          <w:p w14:paraId="660C8486">
            <w:pPr>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编列内容</w:t>
            </w:r>
          </w:p>
        </w:tc>
      </w:tr>
      <w:tr w14:paraId="48B2A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631F3A7B">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1410" w:type="dxa"/>
            <w:vAlign w:val="center"/>
          </w:tcPr>
          <w:p w14:paraId="06DA83F6">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项目名称</w:t>
            </w:r>
          </w:p>
        </w:tc>
        <w:tc>
          <w:tcPr>
            <w:tcW w:w="7073" w:type="dxa"/>
            <w:vAlign w:val="center"/>
          </w:tcPr>
          <w:p w14:paraId="46FED05E">
            <w:pPr>
              <w:keepNext/>
              <w:widowControl/>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新疆维吾尔自治区农业科学院果蔬所试剂和助剂采购项目</w:t>
            </w:r>
          </w:p>
        </w:tc>
      </w:tr>
      <w:tr w14:paraId="084DA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CFE256B">
            <w:pPr>
              <w:jc w:val="center"/>
              <w:rPr>
                <w:rFonts w:hint="eastAsia" w:ascii="仿宋" w:hAnsi="仿宋" w:eastAsia="仿宋" w:cs="仿宋"/>
                <w:color w:val="auto"/>
                <w:kern w:val="0"/>
                <w:szCs w:val="21"/>
                <w:highlight w:val="none"/>
              </w:rPr>
            </w:pPr>
          </w:p>
        </w:tc>
        <w:tc>
          <w:tcPr>
            <w:tcW w:w="1410" w:type="dxa"/>
            <w:vAlign w:val="center"/>
          </w:tcPr>
          <w:p w14:paraId="455BE34F">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标项名称</w:t>
            </w:r>
          </w:p>
        </w:tc>
        <w:tc>
          <w:tcPr>
            <w:tcW w:w="7073" w:type="dxa"/>
            <w:vAlign w:val="center"/>
          </w:tcPr>
          <w:p w14:paraId="0AD3B046">
            <w:pPr>
              <w:keepNext/>
              <w:widowControl/>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新疆维吾尔自治区农业科学院果蔬所试剂和助剂采购项目标项</w:t>
            </w:r>
            <w:r>
              <w:rPr>
                <w:rFonts w:hint="eastAsia" w:ascii="仿宋" w:hAnsi="仿宋" w:eastAsia="仿宋" w:cs="仿宋"/>
                <w:color w:val="auto"/>
                <w:kern w:val="0"/>
                <w:szCs w:val="21"/>
                <w:highlight w:val="none"/>
                <w:lang w:val="en-US" w:eastAsia="zh-CN"/>
              </w:rPr>
              <w:t>一</w:t>
            </w:r>
          </w:p>
          <w:p w14:paraId="725C6239">
            <w:pPr>
              <w:keepNext/>
              <w:widowControl/>
              <w:jc w:val="left"/>
              <w:rPr>
                <w:rFonts w:hint="eastAsia"/>
                <w:color w:val="auto"/>
                <w:highlight w:val="none"/>
                <w:lang w:eastAsia="zh-CN"/>
              </w:rPr>
            </w:pPr>
            <w:r>
              <w:rPr>
                <w:rFonts w:hint="eastAsia" w:ascii="仿宋" w:hAnsi="仿宋" w:eastAsia="仿宋" w:cs="仿宋"/>
                <w:color w:val="auto"/>
                <w:kern w:val="0"/>
                <w:szCs w:val="21"/>
                <w:highlight w:val="none"/>
                <w:lang w:eastAsia="zh-CN"/>
              </w:rPr>
              <w:t>新疆维吾尔自治区农业科学院果蔬所试剂和助剂采购项目标项二</w:t>
            </w:r>
          </w:p>
        </w:tc>
      </w:tr>
      <w:tr w14:paraId="64419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28A7CFD">
            <w:pPr>
              <w:jc w:val="center"/>
              <w:rPr>
                <w:rFonts w:hint="eastAsia" w:ascii="仿宋" w:hAnsi="仿宋" w:eastAsia="仿宋" w:cs="仿宋"/>
                <w:color w:val="auto"/>
                <w:kern w:val="0"/>
                <w:szCs w:val="21"/>
                <w:highlight w:val="none"/>
              </w:rPr>
            </w:pPr>
          </w:p>
        </w:tc>
        <w:tc>
          <w:tcPr>
            <w:tcW w:w="1410" w:type="dxa"/>
            <w:vAlign w:val="center"/>
          </w:tcPr>
          <w:p w14:paraId="365A0AE7">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项目编号</w:t>
            </w:r>
          </w:p>
        </w:tc>
        <w:tc>
          <w:tcPr>
            <w:tcW w:w="7073" w:type="dxa"/>
            <w:vAlign w:val="center"/>
          </w:tcPr>
          <w:p w14:paraId="53AD51D0">
            <w:pPr>
              <w:keepNext/>
              <w:widowControl/>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XSJ20250601-05</w:t>
            </w:r>
          </w:p>
        </w:tc>
      </w:tr>
      <w:tr w14:paraId="11828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F3727A0">
            <w:pPr>
              <w:jc w:val="center"/>
              <w:rPr>
                <w:rFonts w:hint="eastAsia" w:ascii="仿宋" w:hAnsi="仿宋" w:eastAsia="仿宋" w:cs="仿宋"/>
                <w:color w:val="auto"/>
                <w:kern w:val="0"/>
                <w:szCs w:val="21"/>
                <w:highlight w:val="none"/>
              </w:rPr>
            </w:pPr>
          </w:p>
        </w:tc>
        <w:tc>
          <w:tcPr>
            <w:tcW w:w="1410" w:type="dxa"/>
            <w:vAlign w:val="center"/>
          </w:tcPr>
          <w:p w14:paraId="69ACE9DC">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标项编号</w:t>
            </w:r>
          </w:p>
        </w:tc>
        <w:tc>
          <w:tcPr>
            <w:tcW w:w="7073" w:type="dxa"/>
            <w:vAlign w:val="center"/>
          </w:tcPr>
          <w:p w14:paraId="5A537765">
            <w:pPr>
              <w:keepNext/>
              <w:widowControl/>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eastAsia="zh-CN"/>
              </w:rPr>
              <w:t>XSJ20250601-05</w:t>
            </w:r>
            <w:r>
              <w:rPr>
                <w:rFonts w:hint="eastAsia" w:ascii="仿宋" w:hAnsi="仿宋" w:eastAsia="仿宋" w:cs="仿宋"/>
                <w:color w:val="auto"/>
                <w:kern w:val="0"/>
                <w:szCs w:val="21"/>
                <w:highlight w:val="none"/>
                <w:lang w:val="en-US" w:eastAsia="zh-CN"/>
              </w:rPr>
              <w:t>01</w:t>
            </w:r>
          </w:p>
          <w:p w14:paraId="67B707CA">
            <w:pPr>
              <w:keepNext/>
              <w:widowControl/>
              <w:jc w:val="left"/>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eastAsia="zh-CN"/>
              </w:rPr>
              <w:t>XSJ20250601-05</w:t>
            </w:r>
            <w:r>
              <w:rPr>
                <w:rFonts w:hint="eastAsia" w:ascii="仿宋" w:hAnsi="仿宋" w:eastAsia="仿宋" w:cs="仿宋"/>
                <w:color w:val="auto"/>
                <w:kern w:val="0"/>
                <w:szCs w:val="21"/>
                <w:highlight w:val="none"/>
                <w:lang w:val="en-US" w:eastAsia="zh-CN"/>
              </w:rPr>
              <w:t>02</w:t>
            </w:r>
          </w:p>
        </w:tc>
      </w:tr>
      <w:tr w14:paraId="787A1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211BF58">
            <w:pPr>
              <w:jc w:val="center"/>
              <w:rPr>
                <w:rFonts w:hint="eastAsia" w:ascii="仿宋" w:hAnsi="仿宋" w:eastAsia="仿宋" w:cs="仿宋"/>
                <w:color w:val="auto"/>
                <w:kern w:val="0"/>
                <w:szCs w:val="21"/>
                <w:highlight w:val="none"/>
              </w:rPr>
            </w:pPr>
          </w:p>
        </w:tc>
        <w:tc>
          <w:tcPr>
            <w:tcW w:w="1410" w:type="dxa"/>
            <w:vAlign w:val="center"/>
          </w:tcPr>
          <w:p w14:paraId="06F51068">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w:t>
            </w:r>
          </w:p>
        </w:tc>
        <w:tc>
          <w:tcPr>
            <w:tcW w:w="7073" w:type="dxa"/>
            <w:vAlign w:val="center"/>
          </w:tcPr>
          <w:p w14:paraId="320003BE">
            <w:pPr>
              <w:keepNext/>
              <w:widowControl/>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新疆维吾尔自治区农业科学院</w:t>
            </w:r>
          </w:p>
        </w:tc>
      </w:tr>
      <w:tr w14:paraId="3A55C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85" w:hRule="atLeast"/>
          <w:jc w:val="center"/>
        </w:trPr>
        <w:tc>
          <w:tcPr>
            <w:tcW w:w="597" w:type="dxa"/>
            <w:vMerge w:val="continue"/>
            <w:vAlign w:val="center"/>
          </w:tcPr>
          <w:p w14:paraId="4A5394D2">
            <w:pPr>
              <w:jc w:val="center"/>
              <w:rPr>
                <w:rFonts w:hint="eastAsia" w:ascii="仿宋" w:hAnsi="仿宋" w:eastAsia="仿宋" w:cs="仿宋"/>
                <w:color w:val="auto"/>
                <w:kern w:val="0"/>
                <w:szCs w:val="21"/>
                <w:highlight w:val="none"/>
              </w:rPr>
            </w:pPr>
          </w:p>
        </w:tc>
        <w:tc>
          <w:tcPr>
            <w:tcW w:w="1410" w:type="dxa"/>
            <w:vAlign w:val="center"/>
          </w:tcPr>
          <w:p w14:paraId="645B288D">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采购代理机构</w:t>
            </w:r>
          </w:p>
        </w:tc>
        <w:tc>
          <w:tcPr>
            <w:tcW w:w="7073" w:type="dxa"/>
            <w:vAlign w:val="center"/>
          </w:tcPr>
          <w:p w14:paraId="2CE93CC6">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新疆新世纪招标有限公司</w:t>
            </w:r>
          </w:p>
        </w:tc>
      </w:tr>
      <w:tr w14:paraId="663C5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DE7153C">
            <w:pPr>
              <w:jc w:val="center"/>
              <w:rPr>
                <w:rFonts w:hint="eastAsia" w:ascii="仿宋" w:hAnsi="仿宋" w:eastAsia="仿宋" w:cs="仿宋"/>
                <w:color w:val="auto"/>
                <w:kern w:val="0"/>
                <w:szCs w:val="21"/>
                <w:highlight w:val="none"/>
              </w:rPr>
            </w:pPr>
          </w:p>
        </w:tc>
        <w:tc>
          <w:tcPr>
            <w:tcW w:w="1410" w:type="dxa"/>
            <w:vAlign w:val="center"/>
          </w:tcPr>
          <w:p w14:paraId="27B06FA7">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项目地点</w:t>
            </w:r>
          </w:p>
        </w:tc>
        <w:tc>
          <w:tcPr>
            <w:tcW w:w="7073" w:type="dxa"/>
            <w:vAlign w:val="center"/>
          </w:tcPr>
          <w:p w14:paraId="4D10BE5B">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乌鲁木齐市</w:t>
            </w:r>
          </w:p>
        </w:tc>
      </w:tr>
      <w:tr w14:paraId="36342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FD0260A">
            <w:pPr>
              <w:jc w:val="center"/>
              <w:rPr>
                <w:rFonts w:hint="eastAsia" w:ascii="仿宋" w:hAnsi="仿宋" w:eastAsia="仿宋" w:cs="仿宋"/>
                <w:color w:val="auto"/>
                <w:kern w:val="0"/>
                <w:szCs w:val="21"/>
                <w:highlight w:val="none"/>
              </w:rPr>
            </w:pPr>
          </w:p>
        </w:tc>
        <w:tc>
          <w:tcPr>
            <w:tcW w:w="1410" w:type="dxa"/>
            <w:vAlign w:val="center"/>
          </w:tcPr>
          <w:p w14:paraId="2C055750">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资金来源</w:t>
            </w:r>
          </w:p>
        </w:tc>
        <w:tc>
          <w:tcPr>
            <w:tcW w:w="7073" w:type="dxa"/>
            <w:vAlign w:val="center"/>
          </w:tcPr>
          <w:p w14:paraId="4099B549">
            <w:pPr>
              <w:keepNext/>
              <w:widowControl/>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财政资金</w:t>
            </w:r>
          </w:p>
        </w:tc>
      </w:tr>
      <w:tr w14:paraId="14918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7DDA7C6">
            <w:pPr>
              <w:jc w:val="center"/>
              <w:rPr>
                <w:rFonts w:hint="eastAsia" w:ascii="仿宋" w:hAnsi="仿宋" w:eastAsia="仿宋" w:cs="仿宋"/>
                <w:color w:val="auto"/>
                <w:kern w:val="0"/>
                <w:szCs w:val="21"/>
                <w:highlight w:val="none"/>
              </w:rPr>
            </w:pPr>
          </w:p>
        </w:tc>
        <w:tc>
          <w:tcPr>
            <w:tcW w:w="1410" w:type="dxa"/>
            <w:vAlign w:val="center"/>
          </w:tcPr>
          <w:p w14:paraId="3E641FD3">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采购预算金额</w:t>
            </w:r>
          </w:p>
        </w:tc>
        <w:tc>
          <w:tcPr>
            <w:tcW w:w="7073" w:type="dxa"/>
            <w:vAlign w:val="center"/>
          </w:tcPr>
          <w:p w14:paraId="0B73B803">
            <w:pPr>
              <w:keepNext/>
              <w:widowControl/>
              <w:jc w:val="left"/>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3745684.00元</w:t>
            </w:r>
          </w:p>
        </w:tc>
      </w:tr>
      <w:tr w14:paraId="30EFA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C46E238">
            <w:pPr>
              <w:jc w:val="center"/>
              <w:rPr>
                <w:rFonts w:hint="eastAsia" w:ascii="仿宋" w:hAnsi="仿宋" w:eastAsia="仿宋" w:cs="仿宋"/>
                <w:color w:val="auto"/>
                <w:kern w:val="0"/>
                <w:szCs w:val="21"/>
                <w:highlight w:val="none"/>
              </w:rPr>
            </w:pPr>
          </w:p>
        </w:tc>
        <w:tc>
          <w:tcPr>
            <w:tcW w:w="1410" w:type="dxa"/>
            <w:vAlign w:val="center"/>
          </w:tcPr>
          <w:p w14:paraId="1E1951EB">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最高限价</w:t>
            </w:r>
          </w:p>
        </w:tc>
        <w:tc>
          <w:tcPr>
            <w:tcW w:w="7073" w:type="dxa"/>
            <w:vAlign w:val="center"/>
          </w:tcPr>
          <w:p w14:paraId="0AEF0D5F">
            <w:pPr>
              <w:keepNext/>
              <w:widowControl/>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标项一：1850321</w:t>
            </w:r>
            <w:r>
              <w:rPr>
                <w:rFonts w:hint="eastAsia" w:ascii="仿宋" w:hAnsi="仿宋" w:eastAsia="仿宋" w:cs="仿宋"/>
                <w:color w:val="auto"/>
                <w:sz w:val="24"/>
                <w:szCs w:val="24"/>
                <w:highlight w:val="none"/>
                <w:lang w:eastAsia="zh-CN"/>
              </w:rPr>
              <w:t>.00</w:t>
            </w:r>
            <w:r>
              <w:rPr>
                <w:rFonts w:hint="eastAsia" w:ascii="仿宋" w:hAnsi="仿宋" w:eastAsia="仿宋" w:cs="仿宋"/>
                <w:color w:val="auto"/>
                <w:kern w:val="0"/>
                <w:szCs w:val="21"/>
                <w:highlight w:val="none"/>
                <w:lang w:val="en-US" w:eastAsia="zh-CN"/>
              </w:rPr>
              <w:t>元</w:t>
            </w:r>
          </w:p>
          <w:p w14:paraId="10DDA28B">
            <w:pPr>
              <w:keepNext/>
              <w:widowControl/>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sz w:val="24"/>
                <w:szCs w:val="24"/>
                <w:highlight w:val="none"/>
                <w:lang w:val="en-US" w:eastAsia="zh-CN"/>
              </w:rPr>
              <w:t>标项二：1895363.00</w:t>
            </w:r>
            <w:r>
              <w:rPr>
                <w:rFonts w:hint="eastAsia" w:ascii="仿宋" w:hAnsi="仿宋" w:eastAsia="仿宋" w:cs="仿宋"/>
                <w:color w:val="auto"/>
                <w:kern w:val="0"/>
                <w:szCs w:val="21"/>
                <w:highlight w:val="none"/>
                <w:lang w:val="en-US" w:eastAsia="zh-CN"/>
              </w:rPr>
              <w:t>元</w:t>
            </w:r>
          </w:p>
        </w:tc>
      </w:tr>
      <w:tr w14:paraId="59920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929876E">
            <w:pPr>
              <w:jc w:val="center"/>
              <w:rPr>
                <w:rFonts w:hint="eastAsia" w:ascii="仿宋" w:hAnsi="仿宋" w:eastAsia="仿宋" w:cs="仿宋"/>
                <w:color w:val="auto"/>
                <w:kern w:val="0"/>
                <w:szCs w:val="21"/>
                <w:highlight w:val="none"/>
              </w:rPr>
            </w:pPr>
          </w:p>
        </w:tc>
        <w:tc>
          <w:tcPr>
            <w:tcW w:w="1410" w:type="dxa"/>
            <w:vAlign w:val="center"/>
          </w:tcPr>
          <w:p w14:paraId="20E73394">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是否单一产品</w:t>
            </w:r>
          </w:p>
        </w:tc>
        <w:tc>
          <w:tcPr>
            <w:tcW w:w="7073" w:type="dxa"/>
            <w:vAlign w:val="center"/>
          </w:tcPr>
          <w:p w14:paraId="36EA2684">
            <w:pPr>
              <w:keepNext/>
              <w:widowControl/>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否，核心产品为：</w:t>
            </w:r>
          </w:p>
          <w:p w14:paraId="2E1AA400">
            <w:pPr>
              <w:keepNext/>
              <w:widowControl/>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标项一：新型植物基因组DNA提取试剂盒</w:t>
            </w:r>
          </w:p>
          <w:p w14:paraId="1A017213">
            <w:pPr>
              <w:keepNext/>
              <w:widowControl/>
              <w:jc w:val="left"/>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标项二：植物总RNA提取试剂盒</w:t>
            </w:r>
          </w:p>
        </w:tc>
      </w:tr>
      <w:tr w14:paraId="53217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95" w:hRule="atLeast"/>
          <w:jc w:val="center"/>
        </w:trPr>
        <w:tc>
          <w:tcPr>
            <w:tcW w:w="597" w:type="dxa"/>
            <w:vMerge w:val="continue"/>
            <w:vAlign w:val="center"/>
          </w:tcPr>
          <w:p w14:paraId="03639FF5">
            <w:pPr>
              <w:jc w:val="center"/>
              <w:rPr>
                <w:rFonts w:hint="eastAsia" w:ascii="仿宋" w:hAnsi="仿宋" w:eastAsia="仿宋" w:cs="仿宋"/>
                <w:color w:val="auto"/>
                <w:kern w:val="0"/>
                <w:szCs w:val="21"/>
                <w:highlight w:val="none"/>
              </w:rPr>
            </w:pPr>
          </w:p>
        </w:tc>
        <w:tc>
          <w:tcPr>
            <w:tcW w:w="1410" w:type="dxa"/>
            <w:vAlign w:val="center"/>
          </w:tcPr>
          <w:p w14:paraId="4849C73C">
            <w:pPr>
              <w:keepNext/>
              <w:widowControl/>
              <w:jc w:val="distribute"/>
              <w:rPr>
                <w:rFonts w:hint="eastAsia" w:ascii="仿宋" w:hAnsi="仿宋" w:eastAsia="仿宋" w:cs="仿宋"/>
                <w:color w:val="auto"/>
                <w:szCs w:val="21"/>
                <w:highlight w:val="none"/>
                <w:lang w:eastAsia="zh-CN"/>
              </w:rPr>
            </w:pPr>
            <w:r>
              <w:rPr>
                <w:rFonts w:hint="eastAsia" w:ascii="仿宋" w:hAnsi="仿宋" w:eastAsia="仿宋" w:cs="仿宋"/>
                <w:color w:val="auto"/>
                <w:kern w:val="0"/>
                <w:szCs w:val="21"/>
                <w:highlight w:val="none"/>
                <w:lang w:eastAsia="zh-CN"/>
              </w:rPr>
              <w:t>合同履约期限</w:t>
            </w:r>
          </w:p>
        </w:tc>
        <w:tc>
          <w:tcPr>
            <w:tcW w:w="7073" w:type="dxa"/>
            <w:vAlign w:val="center"/>
          </w:tcPr>
          <w:p w14:paraId="17364C19">
            <w:pPr>
              <w:keepNext/>
              <w:widowControl/>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自合同签订之日起1年内，根据采购人需求分批送达指定地点</w:t>
            </w:r>
          </w:p>
        </w:tc>
      </w:tr>
      <w:tr w14:paraId="13D03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29EA0B01">
            <w:pPr>
              <w:jc w:val="center"/>
              <w:rPr>
                <w:rFonts w:hint="eastAsia" w:ascii="仿宋" w:hAnsi="仿宋" w:eastAsia="仿宋" w:cs="仿宋"/>
                <w:color w:val="auto"/>
                <w:kern w:val="0"/>
                <w:szCs w:val="21"/>
                <w:highlight w:val="none"/>
              </w:rPr>
            </w:pPr>
          </w:p>
        </w:tc>
        <w:tc>
          <w:tcPr>
            <w:tcW w:w="1410" w:type="dxa"/>
            <w:vAlign w:val="center"/>
          </w:tcPr>
          <w:p w14:paraId="74435F94">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供货地点</w:t>
            </w:r>
          </w:p>
        </w:tc>
        <w:tc>
          <w:tcPr>
            <w:tcW w:w="7073" w:type="dxa"/>
            <w:vAlign w:val="center"/>
          </w:tcPr>
          <w:p w14:paraId="06B0B630">
            <w:pPr>
              <w:keepNext/>
              <w:widowControl/>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采购人指定地点</w:t>
            </w:r>
            <w:r>
              <w:rPr>
                <w:rFonts w:hint="eastAsia" w:ascii="仿宋" w:hAnsi="仿宋" w:eastAsia="仿宋" w:cs="仿宋"/>
                <w:color w:val="auto"/>
                <w:kern w:val="0"/>
                <w:szCs w:val="21"/>
                <w:highlight w:val="none"/>
                <w:lang w:eastAsia="zh-CN"/>
              </w:rPr>
              <w:t>（新疆维吾尔自治区农业科学院）</w:t>
            </w:r>
          </w:p>
        </w:tc>
      </w:tr>
      <w:tr w14:paraId="5FA15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8FD010F">
            <w:pPr>
              <w:jc w:val="center"/>
              <w:rPr>
                <w:rFonts w:hint="eastAsia" w:ascii="仿宋" w:hAnsi="仿宋" w:eastAsia="仿宋" w:cs="仿宋"/>
                <w:color w:val="auto"/>
                <w:kern w:val="0"/>
                <w:szCs w:val="21"/>
                <w:highlight w:val="none"/>
              </w:rPr>
            </w:pPr>
          </w:p>
        </w:tc>
        <w:tc>
          <w:tcPr>
            <w:tcW w:w="1410" w:type="dxa"/>
            <w:vAlign w:val="center"/>
          </w:tcPr>
          <w:p w14:paraId="44C0F9FF">
            <w:pPr>
              <w:keepNext/>
              <w:widowControl/>
              <w:jc w:val="distribute"/>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保质期（有效期）</w:t>
            </w:r>
          </w:p>
        </w:tc>
        <w:tc>
          <w:tcPr>
            <w:tcW w:w="7073" w:type="dxa"/>
            <w:vAlign w:val="center"/>
          </w:tcPr>
          <w:p w14:paraId="1868E8ED">
            <w:pPr>
              <w:keepNext/>
              <w:widowControl/>
              <w:jc w:val="left"/>
              <w:rPr>
                <w:rFonts w:hint="default" w:ascii="仿宋" w:hAnsi="仿宋" w:eastAsia="仿宋" w:cs="仿宋"/>
                <w:color w:val="auto"/>
                <w:kern w:val="0"/>
                <w:szCs w:val="21"/>
                <w:highlight w:val="none"/>
                <w:lang w:val="en-US" w:eastAsia="zh-CN"/>
              </w:rPr>
            </w:pPr>
            <w:r>
              <w:rPr>
                <w:rFonts w:hint="default" w:ascii="仿宋" w:hAnsi="仿宋" w:eastAsia="仿宋" w:cs="仿宋"/>
                <w:color w:val="auto"/>
                <w:kern w:val="0"/>
                <w:szCs w:val="21"/>
                <w:highlight w:val="none"/>
                <w:lang w:val="en-US"/>
              </w:rPr>
              <w:t>自送达采购人指定地点起不少于</w:t>
            </w:r>
            <w:r>
              <w:rPr>
                <w:rFonts w:hint="eastAsia" w:ascii="仿宋" w:hAnsi="仿宋" w:eastAsia="仿宋" w:cs="仿宋"/>
                <w:color w:val="auto"/>
                <w:kern w:val="0"/>
                <w:szCs w:val="21"/>
                <w:highlight w:val="none"/>
                <w:lang w:val="en-US" w:eastAsia="zh-CN"/>
              </w:rPr>
              <w:t>1年</w:t>
            </w:r>
          </w:p>
        </w:tc>
      </w:tr>
      <w:tr w14:paraId="42B04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7B8AD77">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1410" w:type="dxa"/>
            <w:vAlign w:val="center"/>
          </w:tcPr>
          <w:p w14:paraId="76CB735F">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采购范围</w:t>
            </w:r>
          </w:p>
        </w:tc>
        <w:tc>
          <w:tcPr>
            <w:tcW w:w="7073" w:type="dxa"/>
            <w:vAlign w:val="center"/>
          </w:tcPr>
          <w:p w14:paraId="3F6A9EE8">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新疆维吾尔自治区农业科学院果蔬所试剂和助剂采购项目</w:t>
            </w:r>
            <w:r>
              <w:rPr>
                <w:rFonts w:hint="eastAsia" w:ascii="仿宋" w:hAnsi="仿宋" w:eastAsia="仿宋" w:cs="仿宋"/>
                <w:color w:val="auto"/>
                <w:kern w:val="0"/>
                <w:szCs w:val="21"/>
                <w:highlight w:val="none"/>
              </w:rPr>
              <w:t>范围内</w:t>
            </w:r>
            <w:r>
              <w:rPr>
                <w:rFonts w:hint="eastAsia" w:ascii="仿宋" w:hAnsi="仿宋" w:eastAsia="仿宋" w:cs="仿宋"/>
                <w:color w:val="auto"/>
                <w:kern w:val="0"/>
                <w:szCs w:val="21"/>
                <w:highlight w:val="none"/>
                <w:lang w:val="en-US" w:eastAsia="zh-CN"/>
              </w:rPr>
              <w:t>对应</w:t>
            </w:r>
            <w:r>
              <w:rPr>
                <w:rFonts w:hint="eastAsia" w:ascii="仿宋" w:hAnsi="仿宋" w:eastAsia="仿宋" w:cs="仿宋"/>
                <w:color w:val="auto"/>
                <w:kern w:val="0"/>
                <w:szCs w:val="21"/>
                <w:highlight w:val="none"/>
              </w:rPr>
              <w:t>的所有工作内容，关于采购范围的详细说明见招标文件第四章“技术标准和要求”。</w:t>
            </w:r>
          </w:p>
        </w:tc>
      </w:tr>
      <w:tr w14:paraId="43E88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462AB5B9">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1410" w:type="dxa"/>
            <w:vAlign w:val="center"/>
          </w:tcPr>
          <w:p w14:paraId="69CF713E">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采购方式</w:t>
            </w:r>
          </w:p>
        </w:tc>
        <w:tc>
          <w:tcPr>
            <w:tcW w:w="7073" w:type="dxa"/>
            <w:vAlign w:val="center"/>
          </w:tcPr>
          <w:p w14:paraId="274C3DD0">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公开招标</w:t>
            </w:r>
          </w:p>
        </w:tc>
      </w:tr>
      <w:tr w14:paraId="70857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35C06DD">
            <w:pPr>
              <w:jc w:val="center"/>
              <w:rPr>
                <w:rFonts w:hint="eastAsia" w:ascii="仿宋" w:hAnsi="仿宋" w:eastAsia="仿宋" w:cs="仿宋"/>
                <w:color w:val="auto"/>
                <w:kern w:val="0"/>
                <w:szCs w:val="21"/>
                <w:highlight w:val="none"/>
              </w:rPr>
            </w:pPr>
          </w:p>
        </w:tc>
        <w:tc>
          <w:tcPr>
            <w:tcW w:w="1410" w:type="dxa"/>
            <w:vAlign w:val="center"/>
          </w:tcPr>
          <w:p w14:paraId="0FCA990B">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资格审查方式</w:t>
            </w:r>
          </w:p>
        </w:tc>
        <w:tc>
          <w:tcPr>
            <w:tcW w:w="7073" w:type="dxa"/>
            <w:vAlign w:val="center"/>
          </w:tcPr>
          <w:p w14:paraId="4E77333E">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资格后审</w:t>
            </w:r>
          </w:p>
        </w:tc>
      </w:tr>
      <w:tr w14:paraId="1EF31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4C525654">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1410" w:type="dxa"/>
            <w:vAlign w:val="center"/>
          </w:tcPr>
          <w:p w14:paraId="394971FD">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评审办法</w:t>
            </w:r>
          </w:p>
        </w:tc>
        <w:tc>
          <w:tcPr>
            <w:tcW w:w="7073" w:type="dxa"/>
            <w:vAlign w:val="center"/>
          </w:tcPr>
          <w:p w14:paraId="008D5E6E">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综合评分法</w:t>
            </w:r>
          </w:p>
        </w:tc>
      </w:tr>
      <w:tr w14:paraId="4724C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7D755CC">
            <w:pPr>
              <w:jc w:val="center"/>
              <w:rPr>
                <w:rFonts w:hint="eastAsia" w:ascii="仿宋" w:hAnsi="仿宋" w:eastAsia="仿宋" w:cs="仿宋"/>
                <w:color w:val="auto"/>
                <w:kern w:val="0"/>
                <w:szCs w:val="21"/>
                <w:highlight w:val="none"/>
              </w:rPr>
            </w:pPr>
          </w:p>
        </w:tc>
        <w:tc>
          <w:tcPr>
            <w:tcW w:w="1410" w:type="dxa"/>
            <w:vAlign w:val="center"/>
          </w:tcPr>
          <w:p w14:paraId="6BBD8F52">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定标方法</w:t>
            </w:r>
          </w:p>
        </w:tc>
        <w:tc>
          <w:tcPr>
            <w:tcW w:w="7073" w:type="dxa"/>
            <w:vAlign w:val="center"/>
          </w:tcPr>
          <w:p w14:paraId="38ABAB9D">
            <w:pPr>
              <w:keepNext/>
              <w:widowControl/>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评标委员会推荐三名中标候选人</w:t>
            </w:r>
          </w:p>
        </w:tc>
      </w:tr>
      <w:tr w14:paraId="265A5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3A6E0A4">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p>
        </w:tc>
        <w:tc>
          <w:tcPr>
            <w:tcW w:w="1410" w:type="dxa"/>
            <w:vAlign w:val="center"/>
          </w:tcPr>
          <w:p w14:paraId="473462FE">
            <w:pPr>
              <w:keepNext/>
              <w:widowControl/>
              <w:jc w:val="distribute"/>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投标人的资格要求</w:t>
            </w:r>
          </w:p>
        </w:tc>
        <w:tc>
          <w:tcPr>
            <w:tcW w:w="7073" w:type="dxa"/>
            <w:vAlign w:val="center"/>
          </w:tcPr>
          <w:p w14:paraId="797113EC">
            <w:pPr>
              <w:keepNext/>
              <w:widowControl/>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满足《中华人民共和国政府采购法》第二十二条规定。</w:t>
            </w:r>
          </w:p>
          <w:p w14:paraId="2C72D718">
            <w:pPr>
              <w:keepNext/>
              <w:widowControl/>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投标人如在“信用中国”网站（www.creditchina.gov.cn）、中国政府采购网（www.ccgp.gov.cn）等渠道被列入失信被执行人、重大税收违法失信主体、政府采购严重违法失信行为记录名单，尚在处罚期内的将被拒绝参加本次采购活动。</w:t>
            </w:r>
          </w:p>
        </w:tc>
      </w:tr>
      <w:tr w14:paraId="2DD76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7C718D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p>
        </w:tc>
        <w:tc>
          <w:tcPr>
            <w:tcW w:w="1410" w:type="dxa"/>
            <w:vAlign w:val="center"/>
          </w:tcPr>
          <w:p w14:paraId="2AD6D253">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投标人不得存在的情形</w:t>
            </w:r>
          </w:p>
        </w:tc>
        <w:tc>
          <w:tcPr>
            <w:tcW w:w="7073" w:type="dxa"/>
            <w:vAlign w:val="center"/>
          </w:tcPr>
          <w:p w14:paraId="22CCD4F2">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1、本项目不接受联合体。</w:t>
            </w:r>
          </w:p>
          <w:p w14:paraId="7B3F09D7">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2、单位负责人为同一人或者存在直接控股、管理关系的不同投标人，不得参加同一合同项下的政府采购活动。</w:t>
            </w:r>
          </w:p>
          <w:p w14:paraId="3B575EF0">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3、除单一来源采购项目外，为采购项目提供整体设计、规范编制或者项目管理、监理、检测等服务的投标人，不得再参加该采购项目的其他采购活动。</w:t>
            </w:r>
          </w:p>
          <w:p w14:paraId="2EFD5C1B">
            <w:pPr>
              <w:keepNext/>
              <w:widowControl/>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4、投标人处于被责令停业、财产被接管、冻结和破产状态，以及投标资格被取消或者被暂停且在暂停期内。</w:t>
            </w:r>
          </w:p>
          <w:p w14:paraId="37889D5B">
            <w:pPr>
              <w:keepNext/>
              <w:widowControl/>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5、法律规定的其它情形。</w:t>
            </w:r>
          </w:p>
        </w:tc>
      </w:tr>
      <w:tr w14:paraId="7E8BA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A0E620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7</w:t>
            </w:r>
          </w:p>
        </w:tc>
        <w:tc>
          <w:tcPr>
            <w:tcW w:w="1410" w:type="dxa"/>
            <w:vAlign w:val="center"/>
          </w:tcPr>
          <w:p w14:paraId="7F9A63FD">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招标文件费</w:t>
            </w:r>
          </w:p>
        </w:tc>
        <w:tc>
          <w:tcPr>
            <w:tcW w:w="7073" w:type="dxa"/>
            <w:vAlign w:val="center"/>
          </w:tcPr>
          <w:p w14:paraId="4F827EA7">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0元</w:t>
            </w:r>
          </w:p>
        </w:tc>
      </w:tr>
      <w:tr w14:paraId="32CB4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632841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8</w:t>
            </w:r>
          </w:p>
        </w:tc>
        <w:tc>
          <w:tcPr>
            <w:tcW w:w="1410" w:type="dxa"/>
            <w:vAlign w:val="center"/>
          </w:tcPr>
          <w:p w14:paraId="31CBCF65">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投标保证金</w:t>
            </w:r>
          </w:p>
        </w:tc>
        <w:tc>
          <w:tcPr>
            <w:tcW w:w="7073" w:type="dxa"/>
            <w:vAlign w:val="center"/>
          </w:tcPr>
          <w:p w14:paraId="0B73EF87">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lang w:val="en-US" w:eastAsia="zh-CN"/>
              </w:rPr>
            </w:pPr>
            <w:r>
              <w:rPr>
                <w:rFonts w:hint="eastAsia" w:ascii="仿宋" w:hAnsi="仿宋" w:eastAsia="仿宋" w:cs="仿宋"/>
                <w:color w:val="auto"/>
                <w:kern w:val="0"/>
                <w:szCs w:val="21"/>
                <w:highlight w:val="none"/>
                <w:shd w:val="clear" w:color="auto" w:fill="FFFFFF" w:themeFill="background1"/>
                <w:lang w:val="en-US" w:eastAsia="zh-CN"/>
              </w:rPr>
              <w:t>1、投标保证金金额：</w:t>
            </w:r>
          </w:p>
          <w:p w14:paraId="16EEA756">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lang w:val="en-US" w:eastAsia="zh-CN"/>
              </w:rPr>
            </w:pPr>
            <w:r>
              <w:rPr>
                <w:rFonts w:hint="eastAsia" w:ascii="仿宋" w:hAnsi="仿宋" w:eastAsia="仿宋" w:cs="仿宋"/>
                <w:color w:val="auto"/>
                <w:kern w:val="0"/>
                <w:szCs w:val="21"/>
                <w:highlight w:val="none"/>
                <w:shd w:val="clear" w:color="auto" w:fill="FFFFFF" w:themeFill="background1"/>
                <w:lang w:val="en-US" w:eastAsia="zh-CN"/>
              </w:rPr>
              <w:t>标项一：35000.00元(大写：叁万伍仟元整）</w:t>
            </w:r>
          </w:p>
          <w:p w14:paraId="7EE7A575">
            <w:pPr>
              <w:widowControl/>
              <w:spacing w:line="288" w:lineRule="auto"/>
              <w:ind w:firstLine="420" w:firstLineChars="200"/>
              <w:jc w:val="left"/>
              <w:rPr>
                <w:rFonts w:hint="default" w:ascii="仿宋" w:hAnsi="仿宋" w:eastAsia="仿宋" w:cs="仿宋"/>
                <w:color w:val="auto"/>
                <w:kern w:val="0"/>
                <w:szCs w:val="21"/>
                <w:highlight w:val="none"/>
                <w:shd w:val="clear" w:color="auto" w:fill="FFFFFF" w:themeFill="background1"/>
                <w:lang w:val="en-US" w:eastAsia="zh-CN"/>
              </w:rPr>
            </w:pPr>
            <w:r>
              <w:rPr>
                <w:rFonts w:hint="eastAsia" w:ascii="仿宋" w:hAnsi="仿宋" w:eastAsia="仿宋" w:cs="仿宋"/>
                <w:color w:val="auto"/>
                <w:kern w:val="0"/>
                <w:szCs w:val="21"/>
                <w:highlight w:val="none"/>
                <w:shd w:val="clear" w:color="auto" w:fill="FFFFFF" w:themeFill="background1"/>
                <w:lang w:val="en-US" w:eastAsia="zh-CN"/>
              </w:rPr>
              <w:t>标项二：36000.00元(大写：叁万陆仟元整）</w:t>
            </w:r>
          </w:p>
          <w:p w14:paraId="342595B4">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lang w:val="en-US" w:eastAsia="zh-CN"/>
              </w:rPr>
            </w:pPr>
            <w:r>
              <w:rPr>
                <w:rFonts w:hint="eastAsia" w:ascii="仿宋" w:hAnsi="仿宋" w:eastAsia="仿宋" w:cs="仿宋"/>
                <w:color w:val="auto"/>
                <w:kern w:val="0"/>
                <w:szCs w:val="21"/>
                <w:highlight w:val="none"/>
                <w:shd w:val="clear" w:color="auto" w:fill="FFFFFF" w:themeFill="background1"/>
                <w:lang w:val="en-US" w:eastAsia="zh-CN"/>
              </w:rPr>
              <w:t>2、提交截止时间：同投标文件递交截止时间</w:t>
            </w:r>
          </w:p>
          <w:p w14:paraId="6A41B922">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lang w:val="en-US" w:eastAsia="zh-CN"/>
              </w:rPr>
              <w:t>3、提交形式：</w:t>
            </w:r>
            <w:r>
              <w:rPr>
                <w:rFonts w:hint="eastAsia" w:ascii="仿宋" w:hAnsi="仿宋" w:eastAsia="仿宋" w:cs="仿宋"/>
                <w:color w:val="auto"/>
                <w:kern w:val="0"/>
                <w:szCs w:val="21"/>
                <w:highlight w:val="none"/>
                <w:shd w:val="clear" w:color="auto" w:fill="FFFFFF" w:themeFill="background1"/>
              </w:rPr>
              <w:t>投标保证金以支票、汇票、本票或者金融机构、担保机构出具的保函等非现金形式提交至采购代理机构。</w:t>
            </w:r>
          </w:p>
          <w:p w14:paraId="421A5C2C">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lang w:val="en-US" w:eastAsia="zh-CN"/>
              </w:rPr>
            </w:pPr>
            <w:r>
              <w:rPr>
                <w:rFonts w:hint="eastAsia" w:ascii="仿宋" w:hAnsi="仿宋" w:eastAsia="仿宋" w:cs="仿宋"/>
                <w:color w:val="auto"/>
                <w:kern w:val="0"/>
                <w:szCs w:val="21"/>
                <w:highlight w:val="none"/>
                <w:shd w:val="clear" w:color="auto" w:fill="FFFFFF" w:themeFill="background1"/>
                <w:lang w:val="en-US" w:eastAsia="zh-CN"/>
              </w:rPr>
              <w:t>4、银行账户信息</w:t>
            </w:r>
          </w:p>
          <w:p w14:paraId="194AD7E2">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采购代理机构名称：新疆新世纪招标有限公司</w:t>
            </w:r>
          </w:p>
          <w:p w14:paraId="24389E02">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纳税人识别号：91650100726988855F</w:t>
            </w:r>
          </w:p>
          <w:p w14:paraId="6C4A07F5">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开户行：中国农业银行乌鲁木齐新民西街支行</w:t>
            </w:r>
          </w:p>
          <w:p w14:paraId="2723FF8D">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账号：30014701040000595</w:t>
            </w:r>
          </w:p>
          <w:p w14:paraId="113B83E8">
            <w:pPr>
              <w:widowControl/>
              <w:spacing w:line="288"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shd w:val="clear" w:color="auto" w:fill="FFFFFF" w:themeFill="background1"/>
                <w:lang w:val="en-US" w:eastAsia="zh-CN"/>
              </w:rPr>
              <w:t>5、投标人在提交投标保证金时需备注项目名称简称。</w:t>
            </w:r>
          </w:p>
        </w:tc>
      </w:tr>
      <w:tr w14:paraId="1128F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CA7B9C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9</w:t>
            </w:r>
          </w:p>
        </w:tc>
        <w:tc>
          <w:tcPr>
            <w:tcW w:w="1410" w:type="dxa"/>
            <w:vAlign w:val="center"/>
          </w:tcPr>
          <w:p w14:paraId="6ED89D30">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现场踏勘</w:t>
            </w:r>
          </w:p>
        </w:tc>
        <w:tc>
          <w:tcPr>
            <w:tcW w:w="7073" w:type="dxa"/>
            <w:vAlign w:val="center"/>
          </w:tcPr>
          <w:p w14:paraId="3F09CCBD">
            <w:pPr>
              <w:jc w:val="lef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不组织</w:t>
            </w:r>
          </w:p>
        </w:tc>
      </w:tr>
      <w:tr w14:paraId="6583A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F500F63">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p>
        </w:tc>
        <w:tc>
          <w:tcPr>
            <w:tcW w:w="1410" w:type="dxa"/>
            <w:vAlign w:val="center"/>
          </w:tcPr>
          <w:p w14:paraId="3B1E135B">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招标答疑</w:t>
            </w:r>
          </w:p>
        </w:tc>
        <w:tc>
          <w:tcPr>
            <w:tcW w:w="7073" w:type="dxa"/>
            <w:vAlign w:val="center"/>
          </w:tcPr>
          <w:p w14:paraId="50CA851B">
            <w:pPr>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提出询问的，应当在投标文件递交截止时间15日前以书面形式（加盖公章）递交至新疆新世纪招标有限公司，否则采购人不作任何解释。</w:t>
            </w:r>
          </w:p>
          <w:p w14:paraId="1A013D4E">
            <w:pPr>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对招标文件提出质疑的，应当在获取招标文件或者招标文件公告期限届满之日起7个工作日内一次性以书面形式（按照财政部制定的质疑函范本编写）提出并递交至采购代理机构。</w:t>
            </w:r>
          </w:p>
          <w:p w14:paraId="7AAC3DF3">
            <w:pPr>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质疑接收人：</w:t>
            </w:r>
            <w:r>
              <w:rPr>
                <w:rFonts w:hint="eastAsia" w:ascii="仿宋" w:hAnsi="仿宋" w:eastAsia="仿宋" w:cs="仿宋"/>
                <w:color w:val="auto"/>
                <w:szCs w:val="21"/>
                <w:highlight w:val="none"/>
                <w:lang w:eastAsia="zh-CN"/>
              </w:rPr>
              <w:t>马丹阳、候永康</w:t>
            </w:r>
            <w:r>
              <w:rPr>
                <w:rFonts w:hint="eastAsia" w:ascii="仿宋" w:hAnsi="仿宋" w:eastAsia="仿宋" w:cs="仿宋"/>
                <w:color w:val="auto"/>
                <w:szCs w:val="21"/>
                <w:highlight w:val="none"/>
              </w:rPr>
              <w:t>；联系方式：0991-4661782。</w:t>
            </w:r>
          </w:p>
          <w:p w14:paraId="35AF6960">
            <w:pPr>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注：1、投标人必须在法定质疑期内一次性提出针对同一采购程序环节的质疑；</w:t>
            </w:r>
            <w:r>
              <w:rPr>
                <w:rFonts w:hint="eastAsia" w:ascii="仿宋" w:hAnsi="仿宋" w:eastAsia="仿宋" w:cs="仿宋"/>
                <w:color w:val="auto"/>
                <w:szCs w:val="21"/>
                <w:highlight w:val="none"/>
              </w:rPr>
              <w:t>投标人投诉的事项不得超出已质疑事项的范围。2、</w:t>
            </w:r>
            <w:r>
              <w:rPr>
                <w:rFonts w:hint="eastAsia" w:ascii="仿宋" w:hAnsi="仿宋" w:eastAsia="仿宋" w:cs="仿宋"/>
                <w:color w:val="auto"/>
                <w:kern w:val="0"/>
                <w:szCs w:val="21"/>
                <w:highlight w:val="none"/>
              </w:rPr>
              <w:t>投标人</w:t>
            </w:r>
            <w:r>
              <w:rPr>
                <w:rFonts w:hint="eastAsia" w:ascii="仿宋" w:hAnsi="仿宋" w:eastAsia="仿宋" w:cs="仿宋"/>
                <w:color w:val="auto"/>
                <w:szCs w:val="21"/>
                <w:highlight w:val="none"/>
              </w:rPr>
              <w:t>在国家法律规定的时间内未提出书面疑问，视为对招标文件的技术参数、资格条件、评审方法、合同文本等所有内容无异议。</w:t>
            </w:r>
          </w:p>
        </w:tc>
      </w:tr>
      <w:tr w14:paraId="370A3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85D35A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11</w:t>
            </w:r>
          </w:p>
        </w:tc>
        <w:tc>
          <w:tcPr>
            <w:tcW w:w="1410" w:type="dxa"/>
            <w:vAlign w:val="center"/>
          </w:tcPr>
          <w:p w14:paraId="56E5B007">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投标文件</w:t>
            </w:r>
          </w:p>
        </w:tc>
        <w:tc>
          <w:tcPr>
            <w:tcW w:w="7073" w:type="dxa"/>
            <w:shd w:val="clear" w:color="auto" w:fill="auto"/>
            <w:vAlign w:val="center"/>
          </w:tcPr>
          <w:p w14:paraId="17D7AE84">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1、本次采购采用电子交易方式，电子交易平台为“政采云平台（https://www.zcygov.cn/）”。投标人参与本项目电子交易活动前，应注册成为政府采购云平台正式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065D4942">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 </w:t>
            </w:r>
          </w:p>
          <w:p w14:paraId="60FCFACE">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3、加密的电子投标文件应在投标文件递交截止时间前通过政采云平台上传完成。逾期上传或者未上传指定地点的投标文件，不予受理。</w:t>
            </w:r>
          </w:p>
          <w:p w14:paraId="196E10C0">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4、投标人在开标前须提前配置好电脑浏览器，开标时请使用制作加密电子投标文件的CA锁进行解密及报价确认。本项目投标文件解密时间定为30分钟，如因自身原因导致无法正常解密，后果由投标人自行承担。</w:t>
            </w:r>
          </w:p>
          <w:p w14:paraId="22E4F1ED">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5、如遇“政采云平台（https://www.zcygov.cn/）”电子交易规则调整，以最新要求为准。</w:t>
            </w:r>
          </w:p>
        </w:tc>
      </w:tr>
      <w:tr w14:paraId="70CE6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CE5CB67">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12</w:t>
            </w:r>
          </w:p>
        </w:tc>
        <w:tc>
          <w:tcPr>
            <w:tcW w:w="1410" w:type="dxa"/>
            <w:vAlign w:val="center"/>
          </w:tcPr>
          <w:p w14:paraId="3C85E10A">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投标文件递交</w:t>
            </w:r>
          </w:p>
        </w:tc>
        <w:tc>
          <w:tcPr>
            <w:tcW w:w="7073" w:type="dxa"/>
            <w:shd w:val="clear" w:color="auto" w:fill="auto"/>
            <w:vAlign w:val="center"/>
          </w:tcPr>
          <w:p w14:paraId="4641B6F8">
            <w:pPr>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截止时间：</w:t>
            </w:r>
            <w:r>
              <w:rPr>
                <w:rFonts w:hint="eastAsia" w:ascii="仿宋" w:hAnsi="仿宋" w:eastAsia="仿宋" w:cs="仿宋"/>
                <w:color w:val="auto"/>
                <w:kern w:val="0"/>
                <w:szCs w:val="21"/>
                <w:highlight w:val="none"/>
                <w:u w:val="single"/>
              </w:rPr>
              <w:t>2025年</w:t>
            </w:r>
            <w:r>
              <w:rPr>
                <w:rFonts w:hint="eastAsia" w:ascii="仿宋" w:hAnsi="仿宋" w:eastAsia="仿宋" w:cs="仿宋"/>
                <w:color w:val="auto"/>
                <w:kern w:val="0"/>
                <w:szCs w:val="21"/>
                <w:highlight w:val="none"/>
                <w:u w:val="single"/>
                <w:lang w:val="en-US" w:eastAsia="zh-CN"/>
              </w:rPr>
              <w:t>07月04日 10:30</w:t>
            </w:r>
            <w:r>
              <w:rPr>
                <w:rFonts w:hint="eastAsia" w:ascii="仿宋" w:hAnsi="仿宋" w:eastAsia="仿宋" w:cs="仿宋"/>
                <w:color w:val="auto"/>
                <w:kern w:val="0"/>
                <w:szCs w:val="21"/>
                <w:highlight w:val="none"/>
              </w:rPr>
              <w:t>（北京时间）</w:t>
            </w:r>
          </w:p>
          <w:p w14:paraId="5DE409FC">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递交地点：政采云平台（https://www.zcygov.cn/）</w:t>
            </w:r>
          </w:p>
        </w:tc>
      </w:tr>
      <w:tr w14:paraId="23D34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28D156A">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w:t>
            </w:r>
          </w:p>
        </w:tc>
        <w:tc>
          <w:tcPr>
            <w:tcW w:w="1410" w:type="dxa"/>
            <w:vAlign w:val="center"/>
          </w:tcPr>
          <w:p w14:paraId="64B9BA04">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开标</w:t>
            </w:r>
          </w:p>
        </w:tc>
        <w:tc>
          <w:tcPr>
            <w:tcW w:w="7073" w:type="dxa"/>
            <w:shd w:val="clear" w:color="auto" w:fill="auto"/>
            <w:vAlign w:val="center"/>
          </w:tcPr>
          <w:p w14:paraId="2625B5C3">
            <w:pPr>
              <w:jc w:val="left"/>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时间：</w:t>
            </w:r>
            <w:r>
              <w:rPr>
                <w:rFonts w:hint="eastAsia" w:ascii="仿宋" w:hAnsi="仿宋" w:eastAsia="仿宋" w:cs="仿宋"/>
                <w:color w:val="auto"/>
                <w:kern w:val="0"/>
                <w:szCs w:val="21"/>
                <w:highlight w:val="none"/>
                <w:u w:val="single"/>
              </w:rPr>
              <w:t>2025年</w:t>
            </w:r>
            <w:r>
              <w:rPr>
                <w:rFonts w:hint="eastAsia" w:ascii="仿宋" w:hAnsi="仿宋" w:eastAsia="仿宋" w:cs="仿宋"/>
                <w:color w:val="auto"/>
                <w:kern w:val="0"/>
                <w:szCs w:val="21"/>
                <w:highlight w:val="none"/>
                <w:u w:val="single"/>
                <w:lang w:val="en-US" w:eastAsia="zh-CN"/>
              </w:rPr>
              <w:t>07月04日 10:30</w:t>
            </w:r>
            <w:r>
              <w:rPr>
                <w:rFonts w:hint="eastAsia" w:ascii="仿宋" w:hAnsi="仿宋" w:eastAsia="仿宋" w:cs="仿宋"/>
                <w:color w:val="auto"/>
                <w:kern w:val="0"/>
                <w:szCs w:val="21"/>
                <w:highlight w:val="none"/>
              </w:rPr>
              <w:t>（北京时间）</w:t>
            </w:r>
          </w:p>
          <w:p w14:paraId="2344B9E9">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地点：政采云平台（https://www.zcygov.cn/）</w:t>
            </w:r>
          </w:p>
        </w:tc>
      </w:tr>
      <w:tr w14:paraId="6723A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38990E9">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w:t>
            </w:r>
          </w:p>
        </w:tc>
        <w:tc>
          <w:tcPr>
            <w:tcW w:w="1410" w:type="dxa"/>
            <w:vAlign w:val="center"/>
          </w:tcPr>
          <w:p w14:paraId="4DF98F8C">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投标有效期</w:t>
            </w:r>
          </w:p>
        </w:tc>
        <w:tc>
          <w:tcPr>
            <w:tcW w:w="7073" w:type="dxa"/>
            <w:vAlign w:val="center"/>
          </w:tcPr>
          <w:p w14:paraId="1FC01D84">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自投标截止之日90日历日</w:t>
            </w:r>
          </w:p>
        </w:tc>
      </w:tr>
      <w:tr w14:paraId="2A97C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E428071">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15</w:t>
            </w:r>
          </w:p>
        </w:tc>
        <w:tc>
          <w:tcPr>
            <w:tcW w:w="1410" w:type="dxa"/>
            <w:vAlign w:val="center"/>
          </w:tcPr>
          <w:p w14:paraId="3A81AEAF">
            <w:pPr>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公告发布媒体</w:t>
            </w:r>
          </w:p>
        </w:tc>
        <w:tc>
          <w:tcPr>
            <w:tcW w:w="7073" w:type="dxa"/>
            <w:vAlign w:val="center"/>
          </w:tcPr>
          <w:p w14:paraId="62E2091B">
            <w:pPr>
              <w:jc w:val="left"/>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shd w:val="clear" w:color="auto" w:fill="FFFFFF" w:themeFill="background1"/>
              </w:rPr>
              <w:t>新疆政府采购网</w:t>
            </w:r>
          </w:p>
        </w:tc>
      </w:tr>
      <w:tr w14:paraId="70B2E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4BFBAB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16</w:t>
            </w:r>
          </w:p>
        </w:tc>
        <w:tc>
          <w:tcPr>
            <w:tcW w:w="1410" w:type="dxa"/>
            <w:vAlign w:val="center"/>
          </w:tcPr>
          <w:p w14:paraId="29E4BB01">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履约保证金</w:t>
            </w:r>
          </w:p>
        </w:tc>
        <w:tc>
          <w:tcPr>
            <w:tcW w:w="7073" w:type="dxa"/>
            <w:vAlign w:val="center"/>
          </w:tcPr>
          <w:p w14:paraId="31471930">
            <w:pPr>
              <w:spacing w:line="288" w:lineRule="auto"/>
              <w:ind w:firstLine="420" w:firstLineChars="200"/>
              <w:jc w:val="left"/>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1、履约保证金金额：无。</w:t>
            </w:r>
          </w:p>
          <w:p w14:paraId="0649260C">
            <w:pPr>
              <w:keepNext/>
              <w:widowControl/>
              <w:ind w:firstLine="420" w:firstLineChars="200"/>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shd w:val="clear" w:color="auto" w:fill="FFFFFF" w:themeFill="background1"/>
              </w:rPr>
              <w:t>2、供应商应当以支票、汇票、本票或者金融机构、担保机构出具的保函等非现金形式提交履约保证金。</w:t>
            </w:r>
          </w:p>
        </w:tc>
      </w:tr>
      <w:tr w14:paraId="11D94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98" w:hRule="atLeast"/>
          <w:jc w:val="center"/>
        </w:trPr>
        <w:tc>
          <w:tcPr>
            <w:tcW w:w="597" w:type="dxa"/>
            <w:vAlign w:val="center"/>
          </w:tcPr>
          <w:p w14:paraId="0EDEB88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17</w:t>
            </w:r>
          </w:p>
        </w:tc>
        <w:tc>
          <w:tcPr>
            <w:tcW w:w="1410" w:type="dxa"/>
            <w:vAlign w:val="center"/>
          </w:tcPr>
          <w:p w14:paraId="3AD8A846">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中小企业政策说明</w:t>
            </w:r>
          </w:p>
        </w:tc>
        <w:tc>
          <w:tcPr>
            <w:tcW w:w="7073" w:type="dxa"/>
            <w:vAlign w:val="center"/>
          </w:tcPr>
          <w:p w14:paraId="4E4E312E">
            <w:pPr>
              <w:keepNext/>
              <w:widowControl/>
              <w:numPr>
                <w:ilvl w:val="0"/>
                <w:numId w:val="0"/>
              </w:numPr>
              <w:ind w:firstLine="420" w:firstLineChars="20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845216A">
            <w:pPr>
              <w:keepNext/>
              <w:widowControl/>
              <w:numPr>
                <w:ilvl w:val="0"/>
                <w:numId w:val="0"/>
              </w:numPr>
              <w:ind w:firstLine="420" w:firstLineChars="20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2、在政府采购活动中，供应商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1E8B5ABA">
            <w:pPr>
              <w:keepNext/>
              <w:widowControl/>
              <w:numPr>
                <w:ilvl w:val="0"/>
                <w:numId w:val="0"/>
              </w:numPr>
              <w:ind w:firstLine="420" w:firstLineChars="20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3、在货物采购项目中，供应商提供的货物既有中小企业制造货物，也有大型企业制造货物的，不享受本办法规定的中小企业扶持政策。</w:t>
            </w:r>
          </w:p>
          <w:p w14:paraId="0B482C84">
            <w:pPr>
              <w:keepNext/>
              <w:widowControl/>
              <w:numPr>
                <w:ilvl w:val="0"/>
                <w:numId w:val="0"/>
              </w:numPr>
              <w:ind w:firstLine="420" w:firstLineChars="20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4、以联合体形式参加政府采购活动，联合体各方均为中小企业的，联合体视同中小企业。其中，联合体各方均为小微企业的，联合体视同小微企业。</w:t>
            </w:r>
          </w:p>
          <w:p w14:paraId="5C9ABA26">
            <w:pPr>
              <w:keepNext/>
              <w:widowControl/>
              <w:numPr>
                <w:ilvl w:val="0"/>
                <w:numId w:val="0"/>
              </w:numPr>
              <w:ind w:firstLine="420" w:firstLineChars="20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5、供应商经享受扶持政策获得政府采购合同的，小微企业不得将合同分包给大中型企业，中型企业不得将合同分包给大型企业；</w:t>
            </w:r>
          </w:p>
          <w:p w14:paraId="37C62828">
            <w:pPr>
              <w:keepNext/>
              <w:widowControl/>
              <w:numPr>
                <w:ilvl w:val="0"/>
                <w:numId w:val="0"/>
              </w:numPr>
              <w:ind w:firstLine="420" w:firstLineChars="20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6、残疾人福利性单位和监狱企业视同小型、微型企业。</w:t>
            </w:r>
          </w:p>
          <w:p w14:paraId="37EDE47D">
            <w:pPr>
              <w:keepNext/>
              <w:widowControl/>
              <w:numPr>
                <w:ilvl w:val="0"/>
                <w:numId w:val="0"/>
              </w:numPr>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 w:val="21"/>
                <w:szCs w:val="21"/>
                <w:highlight w:val="none"/>
                <w:lang w:val="en-US" w:eastAsia="zh-CN" w:bidi="ar-SA"/>
              </w:rPr>
              <w:t>7</w:t>
            </w:r>
            <w:r>
              <w:rPr>
                <w:rFonts w:hint="eastAsia" w:ascii="仿宋" w:hAnsi="仿宋" w:eastAsia="仿宋" w:cs="仿宋"/>
                <w:color w:val="auto"/>
                <w:kern w:val="0"/>
                <w:szCs w:val="21"/>
                <w:highlight w:val="none"/>
              </w:rPr>
              <w:t>、根据“关于印发中小企业划型标准规定的通知(工信部联企业〔2011〕300号)”等有关规定，本项目标的所属行业为工业。</w:t>
            </w:r>
          </w:p>
        </w:tc>
      </w:tr>
      <w:tr w14:paraId="3A8DE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A246CDB">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18</w:t>
            </w:r>
          </w:p>
        </w:tc>
        <w:tc>
          <w:tcPr>
            <w:tcW w:w="1410" w:type="dxa"/>
            <w:vAlign w:val="center"/>
          </w:tcPr>
          <w:p w14:paraId="7DED8DB7">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合同</w:t>
            </w:r>
            <w:r>
              <w:rPr>
                <w:rFonts w:hint="eastAsia" w:ascii="仿宋" w:hAnsi="仿宋" w:eastAsia="仿宋" w:cs="仿宋"/>
                <w:color w:val="auto"/>
                <w:kern w:val="0"/>
                <w:szCs w:val="21"/>
                <w:highlight w:val="none"/>
              </w:rPr>
              <w:t>分包</w:t>
            </w:r>
          </w:p>
        </w:tc>
        <w:tc>
          <w:tcPr>
            <w:tcW w:w="7073" w:type="dxa"/>
            <w:vAlign w:val="center"/>
          </w:tcPr>
          <w:p w14:paraId="0F6044F9">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☑不允许分包</w:t>
            </w:r>
          </w:p>
          <w:p w14:paraId="11DB1170">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□允许分包,要求：</w:t>
            </w:r>
            <w:r>
              <w:rPr>
                <w:rFonts w:hint="eastAsia" w:ascii="仿宋" w:hAnsi="仿宋" w:eastAsia="仿宋" w:cs="仿宋"/>
                <w:color w:val="auto"/>
                <w:kern w:val="0"/>
                <w:szCs w:val="21"/>
                <w:highlight w:val="none"/>
                <w:u w:val="single"/>
              </w:rPr>
              <w:t xml:space="preserve"> /  </w:t>
            </w:r>
          </w:p>
        </w:tc>
      </w:tr>
      <w:tr w14:paraId="0CD74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F53522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19</w:t>
            </w:r>
          </w:p>
        </w:tc>
        <w:tc>
          <w:tcPr>
            <w:tcW w:w="1410" w:type="dxa"/>
            <w:vAlign w:val="center"/>
          </w:tcPr>
          <w:p w14:paraId="21C4580C">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进口产品</w:t>
            </w:r>
          </w:p>
        </w:tc>
        <w:tc>
          <w:tcPr>
            <w:tcW w:w="7073" w:type="dxa"/>
            <w:vAlign w:val="center"/>
          </w:tcPr>
          <w:p w14:paraId="6AA7E1E7">
            <w:pPr>
              <w:keepNext/>
              <w:widowControl/>
              <w:ind w:firstLine="420" w:firstLineChars="200"/>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不接受</w:t>
            </w:r>
          </w:p>
          <w:p w14:paraId="04D068DB">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接受</w:t>
            </w:r>
          </w:p>
        </w:tc>
      </w:tr>
      <w:tr w14:paraId="60B11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AA2BFC1">
            <w:pPr>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20</w:t>
            </w:r>
          </w:p>
        </w:tc>
        <w:tc>
          <w:tcPr>
            <w:tcW w:w="1410" w:type="dxa"/>
            <w:vAlign w:val="center"/>
          </w:tcPr>
          <w:p w14:paraId="3E8B7309">
            <w:pPr>
              <w:keepNext/>
              <w:widowControl/>
              <w:jc w:val="distribute"/>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样品</w:t>
            </w:r>
          </w:p>
        </w:tc>
        <w:tc>
          <w:tcPr>
            <w:tcW w:w="7073" w:type="dxa"/>
            <w:vAlign w:val="center"/>
          </w:tcPr>
          <w:p w14:paraId="3190CF78">
            <w:pPr>
              <w:keepNext/>
              <w:widowControl/>
              <w:ind w:firstLine="420" w:firstLineChars="200"/>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不要求</w:t>
            </w:r>
          </w:p>
          <w:p w14:paraId="141B6EC7">
            <w:pPr>
              <w:keepNext/>
              <w:widowControl/>
              <w:numPr>
                <w:ilvl w:val="0"/>
                <w:numId w:val="0"/>
              </w:numPr>
              <w:ind w:firstLine="420" w:firstLineChars="200"/>
              <w:jc w:val="left"/>
              <w:rPr>
                <w:rFonts w:hint="eastAsia" w:ascii="仿宋" w:hAnsi="仿宋" w:eastAsia="仿宋" w:cs="仿宋"/>
                <w:color w:val="auto"/>
                <w:highlight w:val="none"/>
                <w:lang w:val="en-US" w:eastAsia="zh-CN"/>
              </w:rPr>
            </w:pP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要求</w:t>
            </w:r>
          </w:p>
        </w:tc>
      </w:tr>
      <w:tr w14:paraId="30300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048FF18">
            <w:pPr>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21</w:t>
            </w:r>
          </w:p>
        </w:tc>
        <w:tc>
          <w:tcPr>
            <w:tcW w:w="1410" w:type="dxa"/>
            <w:vAlign w:val="center"/>
          </w:tcPr>
          <w:p w14:paraId="2B4A4C9D">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说明</w:t>
            </w:r>
          </w:p>
        </w:tc>
        <w:tc>
          <w:tcPr>
            <w:tcW w:w="7073" w:type="dxa"/>
            <w:vAlign w:val="center"/>
          </w:tcPr>
          <w:p w14:paraId="763DE45D">
            <w:pPr>
              <w:keepNext/>
              <w:widowControl/>
              <w:numPr>
                <w:ilvl w:val="0"/>
                <w:numId w:val="0"/>
              </w:numPr>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rPr>
              <w:t>本表内容如与后文内容不一致处，以本表为准。</w:t>
            </w:r>
          </w:p>
          <w:p w14:paraId="6AA1272D">
            <w:pPr>
              <w:keepNext/>
              <w:widowControl/>
              <w:numPr>
                <w:ilvl w:val="0"/>
                <w:numId w:val="0"/>
              </w:numPr>
              <w:ind w:firstLine="420" w:firstLineChars="200"/>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2、本项目所采购的货物（标的）非直接或者间接用于人体的仪器、设备、器具、体外诊断试剂及校准物、材料以及其他类似或者相关的物品。</w:t>
            </w:r>
          </w:p>
          <w:p w14:paraId="4B898E8A">
            <w:pPr>
              <w:keepNext/>
              <w:widowControl/>
              <w:numPr>
                <w:ilvl w:val="0"/>
                <w:numId w:val="0"/>
              </w:numPr>
              <w:ind w:firstLine="420" w:firstLineChars="200"/>
              <w:jc w:val="left"/>
              <w:rPr>
                <w:rFonts w:hint="default"/>
                <w:color w:val="auto"/>
                <w:highlight w:val="none"/>
                <w:lang w:val="en-US" w:eastAsia="zh-CN"/>
              </w:rPr>
            </w:pPr>
            <w:r>
              <w:rPr>
                <w:rFonts w:hint="eastAsia" w:ascii="仿宋" w:hAnsi="仿宋" w:eastAsia="仿宋" w:cs="仿宋"/>
                <w:color w:val="auto"/>
                <w:kern w:val="0"/>
                <w:szCs w:val="21"/>
                <w:highlight w:val="none"/>
                <w:lang w:val="en-US" w:eastAsia="zh-CN"/>
              </w:rPr>
              <w:t>3、新疆维吾尔自治区农业科学院果蔬所试剂和助剂采购项目标项一和标项二，可兼投但不可兼中。按评审顺序（标项一、标项二），前一标项的第一中标候选人不参与下一标项的中标候选人推荐。</w:t>
            </w:r>
          </w:p>
        </w:tc>
      </w:tr>
    </w:tbl>
    <w:p w14:paraId="707EDA6E">
      <w:pPr>
        <w:rPr>
          <w:rFonts w:hint="eastAsia" w:ascii="仿宋" w:hAnsi="仿宋" w:eastAsia="仿宋" w:cs="仿宋"/>
          <w:color w:val="auto"/>
          <w:kern w:val="0"/>
          <w:sz w:val="24"/>
          <w:szCs w:val="24"/>
          <w:highlight w:val="none"/>
        </w:rPr>
      </w:pPr>
    </w:p>
    <w:p w14:paraId="09625969">
      <w:pPr>
        <w:spacing w:line="360" w:lineRule="auto"/>
        <w:jc w:val="center"/>
        <w:outlineLvl w:val="0"/>
        <w:rPr>
          <w:rFonts w:hint="eastAsia" w:ascii="仿宋" w:hAnsi="仿宋" w:eastAsia="仿宋" w:cs="仿宋"/>
          <w:b/>
          <w:color w:val="auto"/>
          <w:sz w:val="24"/>
          <w:szCs w:val="24"/>
          <w:highlight w:val="none"/>
        </w:rPr>
      </w:pPr>
      <w:bookmarkStart w:id="2" w:name="_BookMark_3"/>
      <w:bookmarkEnd w:id="2"/>
      <w:r>
        <w:rPr>
          <w:rFonts w:hint="eastAsia" w:ascii="仿宋" w:hAnsi="仿宋" w:eastAsia="仿宋" w:cs="仿宋"/>
          <w:color w:val="auto"/>
          <w:kern w:val="0"/>
          <w:sz w:val="24"/>
          <w:szCs w:val="24"/>
          <w:highlight w:val="none"/>
        </w:rPr>
        <w:br w:type="page"/>
      </w:r>
      <w:bookmarkStart w:id="3" w:name="_Toc22196"/>
      <w:r>
        <w:rPr>
          <w:rFonts w:hint="eastAsia" w:ascii="仿宋" w:hAnsi="仿宋" w:eastAsia="仿宋" w:cs="仿宋"/>
          <w:b/>
          <w:color w:val="auto"/>
          <w:sz w:val="24"/>
          <w:szCs w:val="24"/>
          <w:highlight w:val="none"/>
        </w:rPr>
        <w:t>第一章 投标人须知</w:t>
      </w:r>
      <w:bookmarkEnd w:id="3"/>
      <w:bookmarkStart w:id="4" w:name="_BookMark_2"/>
      <w:bookmarkEnd w:id="4"/>
    </w:p>
    <w:p w14:paraId="52F900C3">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5" w:name="_Toc31299"/>
      <w:bookmarkStart w:id="6" w:name="_Toc28855"/>
      <w:bookmarkStart w:id="7" w:name="_Toc130252597"/>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总则</w:t>
      </w:r>
      <w:bookmarkEnd w:id="5"/>
      <w:bookmarkEnd w:id="6"/>
      <w:bookmarkEnd w:id="7"/>
    </w:p>
    <w:p w14:paraId="06F2FCB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1.1采购项目概况</w:t>
      </w:r>
    </w:p>
    <w:p w14:paraId="4BD23C7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1.1.1项目名称：见</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须知前附表。</w:t>
      </w:r>
    </w:p>
    <w:p w14:paraId="06E5F924">
      <w:pPr>
        <w:pStyle w:val="11"/>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2标项</w:t>
      </w:r>
      <w:r>
        <w:rPr>
          <w:rFonts w:hint="eastAsia" w:ascii="仿宋" w:hAnsi="仿宋" w:eastAsia="仿宋" w:cs="仿宋"/>
          <w:color w:val="auto"/>
          <w:kern w:val="0"/>
          <w:sz w:val="24"/>
          <w:szCs w:val="24"/>
          <w:highlight w:val="none"/>
        </w:rPr>
        <w:t>名称：见</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须知前附表。</w:t>
      </w:r>
    </w:p>
    <w:p w14:paraId="6C3A7D9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项目编号：见</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须知前附表。</w:t>
      </w:r>
    </w:p>
    <w:p w14:paraId="49D8983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4标项</w:t>
      </w:r>
      <w:r>
        <w:rPr>
          <w:rFonts w:hint="eastAsia" w:ascii="仿宋" w:hAnsi="仿宋" w:eastAsia="仿宋" w:cs="仿宋"/>
          <w:color w:val="auto"/>
          <w:kern w:val="0"/>
          <w:sz w:val="24"/>
          <w:szCs w:val="24"/>
          <w:highlight w:val="none"/>
        </w:rPr>
        <w:t>编号：见</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须知前附表。</w:t>
      </w:r>
    </w:p>
    <w:p w14:paraId="07B1A8E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采购人：见投标人须知前附表。</w:t>
      </w:r>
    </w:p>
    <w:p w14:paraId="796C1C0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采购代理机构：见投标人须知前附表。</w:t>
      </w:r>
    </w:p>
    <w:p w14:paraId="2B34551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项目地点：见投标人须知前附表。</w:t>
      </w:r>
    </w:p>
    <w:p w14:paraId="124713A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资金来源：见投标人须知前附表。</w:t>
      </w:r>
    </w:p>
    <w:p w14:paraId="0A3E86C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采购预算金额：见投标人须知前附表。</w:t>
      </w:r>
    </w:p>
    <w:p w14:paraId="51C0CEB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最高限价：见投标人须知前附表。</w:t>
      </w:r>
    </w:p>
    <w:p w14:paraId="4246999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11</w:t>
      </w:r>
      <w:r>
        <w:rPr>
          <w:rFonts w:hint="eastAsia" w:ascii="仿宋" w:hAnsi="仿宋" w:eastAsia="仿宋" w:cs="仿宋"/>
          <w:color w:val="auto"/>
          <w:kern w:val="0"/>
          <w:sz w:val="24"/>
          <w:szCs w:val="24"/>
          <w:highlight w:val="none"/>
        </w:rPr>
        <w:t>是否单一产品：见投标人须知前附表。</w:t>
      </w:r>
    </w:p>
    <w:p w14:paraId="020B0F7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12</w:t>
      </w:r>
      <w:r>
        <w:rPr>
          <w:rFonts w:hint="eastAsia" w:ascii="仿宋" w:hAnsi="仿宋" w:eastAsia="仿宋" w:cs="仿宋"/>
          <w:color w:val="auto"/>
          <w:kern w:val="0"/>
          <w:sz w:val="24"/>
          <w:szCs w:val="24"/>
          <w:highlight w:val="none"/>
          <w:lang w:eastAsia="zh-CN"/>
        </w:rPr>
        <w:t>合同履约期限</w:t>
      </w:r>
      <w:r>
        <w:rPr>
          <w:rFonts w:hint="eastAsia" w:ascii="仿宋" w:hAnsi="仿宋" w:eastAsia="仿宋" w:cs="仿宋"/>
          <w:color w:val="auto"/>
          <w:kern w:val="0"/>
          <w:sz w:val="24"/>
          <w:szCs w:val="24"/>
          <w:highlight w:val="none"/>
        </w:rPr>
        <w:t>：见投标人须知前附表。</w:t>
      </w:r>
    </w:p>
    <w:p w14:paraId="55210F6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供货地点：见投标人须知前附表。</w:t>
      </w:r>
    </w:p>
    <w:p w14:paraId="3B1B92E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保质期（有效期）</w:t>
      </w:r>
      <w:r>
        <w:rPr>
          <w:rFonts w:hint="eastAsia" w:ascii="仿宋" w:hAnsi="仿宋" w:eastAsia="仿宋" w:cs="仿宋"/>
          <w:color w:val="auto"/>
          <w:kern w:val="0"/>
          <w:sz w:val="24"/>
          <w:szCs w:val="24"/>
          <w:highlight w:val="none"/>
        </w:rPr>
        <w:t>：见投标人须知前附表。</w:t>
      </w:r>
    </w:p>
    <w:p w14:paraId="2FE60FB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1.2采购范围：见投标人须知前附表。</w:t>
      </w:r>
    </w:p>
    <w:p w14:paraId="488528D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1.3采购方式和资格审查方式</w:t>
      </w:r>
    </w:p>
    <w:p w14:paraId="11D6A51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1.3.1采购方式：见投标人须知前附表。</w:t>
      </w:r>
    </w:p>
    <w:p w14:paraId="4F0B101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1.3.2资格审查方式：见投标人须知前附表。</w:t>
      </w:r>
    </w:p>
    <w:p w14:paraId="0E231D2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 评审办法及定标方法</w:t>
      </w:r>
    </w:p>
    <w:p w14:paraId="510E259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1.4.1评审办法：见投标人须知前附表。</w:t>
      </w:r>
    </w:p>
    <w:p w14:paraId="71D9001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1.4.2定标方法：见投标人须知前附表。</w:t>
      </w:r>
    </w:p>
    <w:p w14:paraId="439416F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w:t>
      </w:r>
      <w:r>
        <w:rPr>
          <w:rFonts w:hint="eastAsia" w:ascii="仿宋" w:hAnsi="仿宋" w:eastAsia="仿宋" w:cs="仿宋"/>
          <w:color w:val="auto"/>
          <w:kern w:val="0"/>
          <w:sz w:val="24"/>
          <w:szCs w:val="24"/>
          <w:highlight w:val="none"/>
          <w:lang w:eastAsia="zh-CN"/>
        </w:rPr>
        <w:t>投标人的资格要求</w:t>
      </w:r>
      <w:r>
        <w:rPr>
          <w:rFonts w:hint="eastAsia" w:ascii="仿宋" w:hAnsi="仿宋" w:eastAsia="仿宋" w:cs="仿宋"/>
          <w:color w:val="auto"/>
          <w:kern w:val="0"/>
          <w:sz w:val="24"/>
          <w:szCs w:val="24"/>
          <w:highlight w:val="none"/>
        </w:rPr>
        <w:t>：见投标人须知前附表。</w:t>
      </w:r>
    </w:p>
    <w:p w14:paraId="4986AB2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1.6投标人不得存在的情形：见投标人须知前附表。</w:t>
      </w:r>
    </w:p>
    <w:p w14:paraId="6D297BA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1.7费用承担</w:t>
      </w:r>
    </w:p>
    <w:p w14:paraId="76653F4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1.7.1招标文件费：见投标人须知前附表。</w:t>
      </w:r>
    </w:p>
    <w:p w14:paraId="153D2EA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1.7.2投标人应承担其编制投标文件与递交投标文件所涉及的一切费用，无论投标结果如何，采购人及采购代理机构对上述费用不作任何补偿。采购代理咨询费由中标人支付。</w:t>
      </w:r>
    </w:p>
    <w:p w14:paraId="5058D69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1.8投标保证金：见投标人须知前附表。</w:t>
      </w:r>
    </w:p>
    <w:p w14:paraId="6371FE2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1.9现场踏勘</w:t>
      </w:r>
    </w:p>
    <w:p w14:paraId="48D24AE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1.9.1投标人须知前附表如规定组织踏勘现场的，采购人或采购代理机构按投标人须知前附表规定的时间、地点组织投标人踏勘项目现场。</w:t>
      </w:r>
    </w:p>
    <w:p w14:paraId="2850ADD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1.9.2投标人踏勘现场发生的费用自理。</w:t>
      </w:r>
    </w:p>
    <w:p w14:paraId="7BB3C11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1.9.3除采购人或采购代理机构的原因外，投标人自行负责在踏勘现场中所发生的人员伤亡和财产损失。</w:t>
      </w:r>
    </w:p>
    <w:p w14:paraId="4FA3F97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1.9.4采购人或采购代理机构在踏勘现场中介绍的项目有关情况，供投标人在编制投标文件时参考，采购人或采购代理机构不对投标人据此作出的判断和决策负责。</w:t>
      </w:r>
    </w:p>
    <w:p w14:paraId="163628E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1.10招标答疑</w:t>
      </w:r>
    </w:p>
    <w:p w14:paraId="018B2EC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1.10.1投标人若有询问或质疑，应按投标人须知前附表规定的时间、方式向采购人或采购代理机构提出，要求采购人对招标文件予以澄清。</w:t>
      </w:r>
    </w:p>
    <w:p w14:paraId="7418DBB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1.11投标文件：见投标人须知前附表。</w:t>
      </w:r>
    </w:p>
    <w:p w14:paraId="216C909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1.12投标文件递交：见投标人须知前附表。</w:t>
      </w:r>
    </w:p>
    <w:p w14:paraId="033AFF3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1.13开标：见投标人须知前附表。</w:t>
      </w:r>
    </w:p>
    <w:p w14:paraId="250EAF9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1.14投标有效期：见投标人须知前附表。</w:t>
      </w:r>
    </w:p>
    <w:p w14:paraId="5B81D3A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1.15公告发布媒体：见投标人须知前附表。</w:t>
      </w:r>
    </w:p>
    <w:p w14:paraId="49821F0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1.16履约保证金：见投标人须知前附表。</w:t>
      </w:r>
    </w:p>
    <w:p w14:paraId="791B5B1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1.17中小企业政策说明：见投标人须知前附表。</w:t>
      </w:r>
    </w:p>
    <w:p w14:paraId="3AA9A79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1.18合同分包：见投标人须知前附表。</w:t>
      </w:r>
    </w:p>
    <w:p w14:paraId="4666763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进口产品：见投标人须知前附表。</w:t>
      </w:r>
    </w:p>
    <w:p w14:paraId="3DB204C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20</w:t>
      </w:r>
      <w:r>
        <w:rPr>
          <w:rFonts w:hint="eastAsia" w:ascii="仿宋" w:hAnsi="仿宋" w:eastAsia="仿宋" w:cs="仿宋"/>
          <w:color w:val="auto"/>
          <w:kern w:val="0"/>
          <w:sz w:val="24"/>
          <w:szCs w:val="24"/>
          <w:highlight w:val="none"/>
        </w:rPr>
        <w:t>样品：见投标人须知前附表。</w:t>
      </w:r>
    </w:p>
    <w:p w14:paraId="439B384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21</w:t>
      </w:r>
      <w:r>
        <w:rPr>
          <w:rFonts w:hint="eastAsia" w:ascii="仿宋" w:hAnsi="仿宋" w:eastAsia="仿宋" w:cs="仿宋"/>
          <w:color w:val="auto"/>
          <w:kern w:val="0"/>
          <w:sz w:val="24"/>
          <w:szCs w:val="24"/>
          <w:highlight w:val="none"/>
        </w:rPr>
        <w:t>保密</w:t>
      </w:r>
    </w:p>
    <w:p w14:paraId="5776D68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参与招标投标活动的各方应当对招标文件和投标文件中的商业和技术等秘密保密，否则应当承担相应的法律责任。</w:t>
      </w:r>
    </w:p>
    <w:p w14:paraId="3AEAFA3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22</w:t>
      </w:r>
      <w:r>
        <w:rPr>
          <w:rFonts w:hint="eastAsia" w:ascii="仿宋" w:hAnsi="仿宋" w:eastAsia="仿宋" w:cs="仿宋"/>
          <w:color w:val="auto"/>
          <w:kern w:val="0"/>
          <w:sz w:val="24"/>
          <w:szCs w:val="24"/>
          <w:highlight w:val="none"/>
        </w:rPr>
        <w:t>语言文字</w:t>
      </w:r>
    </w:p>
    <w:p w14:paraId="7B833BD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除专用术语外，与招标投标有关的语言均应当使用中文。必要时专用术语应附有中文注释。</w:t>
      </w:r>
    </w:p>
    <w:p w14:paraId="1A01609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计量单位</w:t>
      </w:r>
    </w:p>
    <w:p w14:paraId="4A4BBBA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所有计量均采用中华人民共和国法定计量单位。</w:t>
      </w:r>
    </w:p>
    <w:p w14:paraId="76341FA2">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8" w:name="_Toc9197"/>
      <w:bookmarkStart w:id="9" w:name="_Toc535592196"/>
      <w:bookmarkStart w:id="10" w:name="_Toc20511"/>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招标文件</w:t>
      </w:r>
      <w:bookmarkEnd w:id="8"/>
      <w:bookmarkEnd w:id="9"/>
      <w:bookmarkEnd w:id="10"/>
    </w:p>
    <w:p w14:paraId="752F9DC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 招标文件的组成</w:t>
      </w:r>
    </w:p>
    <w:p w14:paraId="662AA09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（1）招标公告</w:t>
      </w:r>
    </w:p>
    <w:p w14:paraId="5AEC0D1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（2）投标人须知前附表</w:t>
      </w:r>
    </w:p>
    <w:p w14:paraId="1880740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（3）投标人须知</w:t>
      </w:r>
    </w:p>
    <w:p w14:paraId="5D4E7CC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（4）评标办法</w:t>
      </w:r>
    </w:p>
    <w:p w14:paraId="4BA775E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（5）合同</w:t>
      </w:r>
      <w:r>
        <w:rPr>
          <w:rFonts w:hint="eastAsia" w:ascii="仿宋" w:hAnsi="仿宋" w:eastAsia="仿宋" w:cs="仿宋"/>
          <w:color w:val="auto"/>
          <w:kern w:val="0"/>
          <w:sz w:val="24"/>
          <w:szCs w:val="24"/>
          <w:highlight w:val="none"/>
          <w:lang w:val="en-US" w:eastAsia="zh-CN"/>
        </w:rPr>
        <w:t>文本</w:t>
      </w:r>
      <w:r>
        <w:rPr>
          <w:rFonts w:hint="eastAsia" w:ascii="仿宋" w:hAnsi="仿宋" w:eastAsia="仿宋" w:cs="仿宋"/>
          <w:color w:val="auto"/>
          <w:kern w:val="0"/>
          <w:sz w:val="24"/>
          <w:szCs w:val="24"/>
          <w:highlight w:val="none"/>
        </w:rPr>
        <w:t>；</w:t>
      </w:r>
    </w:p>
    <w:p w14:paraId="67B7B50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（6）技术标准和要求；</w:t>
      </w:r>
    </w:p>
    <w:p w14:paraId="6817206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（7）投标文件格式；</w:t>
      </w:r>
    </w:p>
    <w:p w14:paraId="35A3DFE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（8）补充条款。</w:t>
      </w:r>
    </w:p>
    <w:p w14:paraId="00CDA15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（9）根据本章第2.4款对招标文件所作的澄清、修改，构成招标文件的组成部分。</w:t>
      </w:r>
    </w:p>
    <w:p w14:paraId="1BB62E3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2.2招标文件的获取</w:t>
      </w:r>
    </w:p>
    <w:p w14:paraId="332F027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凡有意参加并符合投标人须知前附表“</w:t>
      </w:r>
      <w:r>
        <w:rPr>
          <w:rFonts w:hint="eastAsia" w:ascii="仿宋" w:hAnsi="仿宋" w:eastAsia="仿宋" w:cs="仿宋"/>
          <w:color w:val="auto"/>
          <w:kern w:val="0"/>
          <w:sz w:val="24"/>
          <w:szCs w:val="24"/>
          <w:highlight w:val="none"/>
          <w:lang w:eastAsia="zh-CN"/>
        </w:rPr>
        <w:t>投标人的资格要求</w:t>
      </w:r>
      <w:r>
        <w:rPr>
          <w:rFonts w:hint="eastAsia" w:ascii="仿宋" w:hAnsi="仿宋" w:eastAsia="仿宋" w:cs="仿宋"/>
          <w:color w:val="auto"/>
          <w:kern w:val="0"/>
          <w:sz w:val="24"/>
          <w:szCs w:val="24"/>
          <w:highlight w:val="none"/>
        </w:rPr>
        <w:t>”的投标人，均可获取招标文件。</w:t>
      </w:r>
    </w:p>
    <w:p w14:paraId="52E03D1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2.3招标文件的澄清</w:t>
      </w:r>
    </w:p>
    <w:p w14:paraId="3CEC212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2.3.1 投标人应当仔细阅读和检查招标文件的全部内容。如发现缺失或附件不全，应当及时向采购人提出，以便补齐。如有疑问，应当在投标人须知前附表规定的时间、方式向采购人提出，要求采购人对招标文件予以澄清。</w:t>
      </w:r>
    </w:p>
    <w:p w14:paraId="4D925DB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2.3.2 招标文件的澄清将按照投标人须知前附表规定的时间、方式发布，但不指明澄清问题的来源。</w:t>
      </w:r>
    </w:p>
    <w:p w14:paraId="07CE65D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2.4招标文件的修改</w:t>
      </w:r>
    </w:p>
    <w:p w14:paraId="63AD041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2.4.1 招标文件的修改将按照投标人须知前附表规定的时间、方式发布，但不指明澄清问题的来源。</w:t>
      </w:r>
    </w:p>
    <w:p w14:paraId="3439B87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2.4.2 在投标人须知前附表规定的截止时间前，无论出于何种原因，采购人或采购代理机构可主动地或在解答潜在投标人提出的澄清问题时对招标文件进行修改。</w:t>
      </w:r>
    </w:p>
    <w:p w14:paraId="50A2FB1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2.4.3 招标文件的修改部分是招标文件的组成部分对投标人具有约束力。</w:t>
      </w:r>
    </w:p>
    <w:p w14:paraId="254FAA4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2.4.4 当采购人发放的招标文件及招标文件的答疑文件、修改文件、补充文件前后不一致，发生矛盾情况时，以最后发出的为准。</w:t>
      </w:r>
    </w:p>
    <w:p w14:paraId="4A5F516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2.4.5 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14:paraId="3B8BB38D">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11" w:name="_BookMark_6"/>
      <w:bookmarkEnd w:id="11"/>
      <w:bookmarkStart w:id="12" w:name="_Toc5120"/>
      <w:bookmarkStart w:id="13" w:name="_Toc535592197"/>
      <w:bookmarkStart w:id="14" w:name="_Toc19711"/>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投标文件</w:t>
      </w:r>
      <w:bookmarkEnd w:id="12"/>
      <w:bookmarkEnd w:id="13"/>
      <w:bookmarkEnd w:id="14"/>
    </w:p>
    <w:p w14:paraId="6263CAA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 投标文件的组成：</w:t>
      </w:r>
    </w:p>
    <w:p w14:paraId="41086DCC">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、开标一览表</w:t>
      </w:r>
    </w:p>
    <w:p w14:paraId="01D6BF95">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、投标函</w:t>
      </w:r>
    </w:p>
    <w:p w14:paraId="4E62CBF0">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、投标价格明细表</w:t>
      </w:r>
    </w:p>
    <w:p w14:paraId="66BD6A3D">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、商务条款偏离表</w:t>
      </w:r>
    </w:p>
    <w:p w14:paraId="50494CB3">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、技术条款偏离表</w:t>
      </w:r>
    </w:p>
    <w:p w14:paraId="484B5615">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、法定代表人身份证明书</w:t>
      </w:r>
    </w:p>
    <w:p w14:paraId="070ADE09">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、法定代表人授权委托书</w:t>
      </w:r>
    </w:p>
    <w:p w14:paraId="6031D6FA">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8</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、投标人资格条件证明材料</w:t>
      </w:r>
    </w:p>
    <w:p w14:paraId="661354C5">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、投标人近年类似项目情况表</w:t>
      </w:r>
    </w:p>
    <w:p w14:paraId="37B53C45">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、售后服务承诺书</w:t>
      </w:r>
    </w:p>
    <w:p w14:paraId="312152DE">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、技术方案</w:t>
      </w:r>
    </w:p>
    <w:p w14:paraId="1BB689D4">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、其它需要提交的资料</w:t>
      </w:r>
    </w:p>
    <w:p w14:paraId="25DF9DA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 投标价格</w:t>
      </w:r>
    </w:p>
    <w:p w14:paraId="7463267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3.2.1投标价格应包括投标人履行本项目合同（如果中标）所必须的所有成本费用</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人工</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采购、仓储、保险</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运输、</w:t>
      </w:r>
      <w:r>
        <w:rPr>
          <w:rFonts w:hint="eastAsia" w:ascii="仿宋" w:hAnsi="仿宋" w:eastAsia="仿宋" w:cs="仿宋"/>
          <w:color w:val="auto"/>
          <w:kern w:val="0"/>
          <w:sz w:val="24"/>
          <w:szCs w:val="24"/>
          <w:highlight w:val="none"/>
          <w:lang w:val="en-US" w:eastAsia="zh-CN"/>
        </w:rPr>
        <w:t>安装、调试、</w:t>
      </w:r>
      <w:r>
        <w:rPr>
          <w:rFonts w:hint="eastAsia" w:ascii="仿宋" w:hAnsi="仿宋" w:eastAsia="仿宋" w:cs="仿宋"/>
          <w:color w:val="auto"/>
          <w:kern w:val="0"/>
          <w:sz w:val="24"/>
          <w:szCs w:val="24"/>
          <w:highlight w:val="none"/>
        </w:rPr>
        <w:t>培训、技术文档编制</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质保、售后服务等）</w:t>
      </w:r>
      <w:r>
        <w:rPr>
          <w:rFonts w:hint="eastAsia" w:ascii="仿宋" w:hAnsi="仿宋" w:eastAsia="仿宋" w:cs="仿宋"/>
          <w:color w:val="auto"/>
          <w:kern w:val="0"/>
          <w:sz w:val="24"/>
          <w:szCs w:val="24"/>
          <w:highlight w:val="none"/>
        </w:rPr>
        <w:t>和中标人应承担的一切税费；未列和没有填写的项目费用，采购人将视为已包括在投标价格中。</w:t>
      </w:r>
    </w:p>
    <w:p w14:paraId="5240C0F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 投标人的投标价格不得超出本项目</w:t>
      </w:r>
      <w:r>
        <w:rPr>
          <w:rFonts w:hint="eastAsia" w:ascii="仿宋" w:hAnsi="仿宋" w:eastAsia="仿宋" w:cs="仿宋"/>
          <w:color w:val="auto"/>
          <w:kern w:val="0"/>
          <w:sz w:val="24"/>
          <w:szCs w:val="24"/>
          <w:highlight w:val="none"/>
          <w:lang w:eastAsia="zh-CN"/>
        </w:rPr>
        <w:t>最高限价</w:t>
      </w:r>
      <w:r>
        <w:rPr>
          <w:rFonts w:hint="eastAsia" w:ascii="仿宋" w:hAnsi="仿宋" w:eastAsia="仿宋" w:cs="仿宋"/>
          <w:color w:val="auto"/>
          <w:kern w:val="0"/>
          <w:sz w:val="24"/>
          <w:szCs w:val="24"/>
          <w:highlight w:val="none"/>
        </w:rPr>
        <w:t>。</w:t>
      </w:r>
    </w:p>
    <w:p w14:paraId="11FA7F3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 投标有效期</w:t>
      </w:r>
    </w:p>
    <w:p w14:paraId="3C38AD2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3.3.1 在投标人须知前附表规定的投标有效期内，投标人不得要求撤销或修改其投标文件。</w:t>
      </w:r>
    </w:p>
    <w:p w14:paraId="7DD0B2F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3.3.2 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p>
    <w:p w14:paraId="3965AAD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 投标保证金</w:t>
      </w:r>
    </w:p>
    <w:p w14:paraId="6577368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 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14:paraId="7FC925A4">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3.4.2</w:t>
      </w:r>
      <w:r>
        <w:rPr>
          <w:rFonts w:hint="eastAsia" w:ascii="仿宋" w:hAnsi="仿宋" w:eastAsia="仿宋" w:cs="仿宋"/>
          <w:color w:val="auto"/>
          <w:sz w:val="24"/>
          <w:szCs w:val="24"/>
          <w:highlight w:val="none"/>
        </w:rPr>
        <w:t>投标保证金以支票、汇票、本票或者金融机构、担保机构出具的保函等非现金形式提交至采购代理机构。</w:t>
      </w:r>
    </w:p>
    <w:p w14:paraId="3A76424D">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采购代理机构名称：新疆新世纪招标有限公司</w:t>
      </w:r>
    </w:p>
    <w:p w14:paraId="0A14FEC1">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纳税人识别号：91650100726988855F</w:t>
      </w:r>
    </w:p>
    <w:p w14:paraId="1A9A68BA">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开户行：中国农业银行乌鲁木齐新民西街支行</w:t>
      </w:r>
    </w:p>
    <w:p w14:paraId="14EB60F0">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账号：30014701040000595</w:t>
      </w:r>
    </w:p>
    <w:p w14:paraId="5AF92FC2">
      <w:pPr>
        <w:shd w:val="clear" w:color="auto" w:fill="FFFFFF"/>
        <w:snapToGrid w:val="0"/>
        <w:spacing w:line="384"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3.4.3投标保证金是为了保护采购人免遭因投标人的行为而蒙受损失。采购人在因投标人的行为受到损害时可根据相关法律规定没收投标人的投标保证金。</w:t>
      </w:r>
    </w:p>
    <w:p w14:paraId="00FEA16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 采购人或者采购代理机构应当自中标通知书发出之日起5个工作日内退还未中标人的投标保证金，自采购合同签订之日起5个工作日内退还中标人的投标保证金。</w:t>
      </w:r>
    </w:p>
    <w:p w14:paraId="00768C2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3.4.5投标保证金有效期与投标有效期一致。</w:t>
      </w:r>
    </w:p>
    <w:p w14:paraId="126F679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3.4.6有下列情形之一的，投标保证金不予退还：</w:t>
      </w:r>
    </w:p>
    <w:p w14:paraId="585A07F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（1）投标人在规定的投标有效期内撤销或修改其投标文件的；</w:t>
      </w:r>
    </w:p>
    <w:p w14:paraId="3F32ED4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（2）中标人在收到中标通知书后，无正当理由拒签合同或在签订合同时提出附加条件或者更改合同实质性内容的；</w:t>
      </w:r>
    </w:p>
    <w:p w14:paraId="6A67ED4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（3）未按招标文件规定提交履约保证金的。</w:t>
      </w:r>
    </w:p>
    <w:p w14:paraId="2A3E218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 投标文件的编制</w:t>
      </w:r>
    </w:p>
    <w:p w14:paraId="442BB5D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3.5.1投标文件应按第五章“投标文件格式”进行编写，如有必要，可以增加附页，作为投标文件的组成部分。</w:t>
      </w:r>
    </w:p>
    <w:p w14:paraId="56337F1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3.5.2投标文件应当对招标文件有关采购范围、技术与服务要求等实质性内容做出响应。</w:t>
      </w:r>
    </w:p>
    <w:p w14:paraId="07D1C55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bookmarkStart w:id="15" w:name="_BookMark_7"/>
      <w:bookmarkEnd w:id="15"/>
      <w:bookmarkStart w:id="16" w:name="_Toc535592198"/>
      <w:r>
        <w:rPr>
          <w:rFonts w:hint="eastAsia" w:ascii="仿宋" w:hAnsi="仿宋" w:eastAsia="仿宋" w:cs="仿宋"/>
          <w:color w:val="auto"/>
          <w:kern w:val="0"/>
          <w:sz w:val="24"/>
          <w:szCs w:val="24"/>
          <w:highlight w:val="none"/>
          <w:shd w:val="clear" w:color="auto" w:fill="FFFFFF" w:themeFill="background1"/>
        </w:rPr>
        <w:t>3.5.3电子投标文件的制作须使用相应的制作工具软件。</w:t>
      </w:r>
    </w:p>
    <w:p w14:paraId="27AC95B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3.5.4电子投标文件须使用投标人电子公章及法定代表人的电子印章。</w:t>
      </w:r>
    </w:p>
    <w:p w14:paraId="59017482">
      <w:pPr>
        <w:widowControl/>
        <w:shd w:val="clear" w:color="auto" w:fill="FFFFFF"/>
        <w:snapToGrid w:val="0"/>
        <w:spacing w:line="360" w:lineRule="auto"/>
        <w:ind w:firstLine="480" w:firstLineChars="200"/>
        <w:rPr>
          <w:rFonts w:hint="eastAsia" w:ascii="仿宋" w:hAnsi="仿宋" w:eastAsia="仿宋" w:cs="仿宋"/>
          <w:color w:val="auto"/>
          <w:sz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3.5.5电子招投标文件具有法律效力，与其他形式的招投标文件在内容和格式上等同，若投标文件与招标文件要求不一致，其内容影响成交结果时，责任由投标人自行承担。投标人递交的电子投标文件因投标人自身原因而导致无法导入电子辅助评标系统，该投标文件视为无效投标文件，将导致其投标被拒绝</w:t>
      </w:r>
      <w:r>
        <w:rPr>
          <w:rFonts w:hint="eastAsia" w:ascii="仿宋" w:hAnsi="仿宋" w:eastAsia="仿宋" w:cs="仿宋"/>
          <w:color w:val="auto"/>
          <w:sz w:val="24"/>
          <w:highlight w:val="none"/>
          <w:shd w:val="clear" w:color="auto" w:fill="FFFFFF" w:themeFill="background1"/>
        </w:rPr>
        <w:t>。</w:t>
      </w:r>
    </w:p>
    <w:p w14:paraId="10E9A1A8">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17" w:name="_Toc23236"/>
      <w:bookmarkStart w:id="18" w:name="_Toc834"/>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投标</w:t>
      </w:r>
      <w:bookmarkEnd w:id="16"/>
      <w:bookmarkEnd w:id="17"/>
      <w:bookmarkEnd w:id="18"/>
    </w:p>
    <w:p w14:paraId="6432D35F">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bookmarkStart w:id="19" w:name="_BookMark_8"/>
      <w:bookmarkEnd w:id="19"/>
      <w:bookmarkStart w:id="20" w:name="_Toc535592199"/>
      <w:r>
        <w:rPr>
          <w:rFonts w:hint="eastAsia" w:ascii="仿宋" w:hAnsi="仿宋" w:eastAsia="仿宋" w:cs="仿宋"/>
          <w:bCs/>
          <w:color w:val="auto"/>
          <w:sz w:val="24"/>
          <w:szCs w:val="24"/>
          <w:highlight w:val="none"/>
        </w:rPr>
        <w:t xml:space="preserve">4.1本次采购采用电子交易方式，电子交易平台为“政采云平台（https://www.zcygov.cn/）”。投标人参与本项目电子交易活动前，应注册成为政府采购云平台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6CA1E4E2">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247BAD49">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4.3投标文件的递交</w:t>
      </w:r>
    </w:p>
    <w:p w14:paraId="65A1D8FB">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4.3.1加密的电子投标文件应在投标文件递交截止时间前通过政采云平台上传完成。逾期上传或者未上传指定地点的投标文件，采购人不予受理。</w:t>
      </w:r>
    </w:p>
    <w:p w14:paraId="519E969A">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4.3.2采购人事先约定延长投标文件递交截止时间的，采购人与投标人以前的投标截止期方面的全部权利、责任和义务，将适用延长至新的投标截止期。</w:t>
      </w:r>
    </w:p>
    <w:p w14:paraId="47D4BD9D">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4.3.3投标人或其投标文件存在下列情形之一的，采购人对其投标文件不予受理：</w:t>
      </w:r>
    </w:p>
    <w:p w14:paraId="7A783D5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（1）逾期上传的</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w:t>
      </w:r>
    </w:p>
    <w:p w14:paraId="43A5C90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（2）未上传指定地点的</w:t>
      </w:r>
      <w:r>
        <w:rPr>
          <w:rFonts w:hint="eastAsia" w:ascii="仿宋" w:hAnsi="仿宋" w:eastAsia="仿宋" w:cs="仿宋"/>
          <w:color w:val="auto"/>
          <w:kern w:val="0"/>
          <w:sz w:val="24"/>
          <w:szCs w:val="24"/>
          <w:highlight w:val="none"/>
          <w:lang w:eastAsia="zh-CN"/>
        </w:rPr>
        <w:t>投标文件；</w:t>
      </w:r>
    </w:p>
    <w:p w14:paraId="6FCFBD4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）未按要求加密的</w:t>
      </w:r>
      <w:r>
        <w:rPr>
          <w:rFonts w:hint="eastAsia" w:ascii="仿宋" w:hAnsi="仿宋" w:eastAsia="仿宋" w:cs="仿宋"/>
          <w:color w:val="auto"/>
          <w:kern w:val="0"/>
          <w:sz w:val="24"/>
          <w:szCs w:val="24"/>
          <w:highlight w:val="none"/>
          <w:lang w:eastAsia="zh-CN"/>
        </w:rPr>
        <w:t>投标文件；</w:t>
      </w:r>
    </w:p>
    <w:p w14:paraId="2B55EAF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）未</w:t>
      </w:r>
      <w:r>
        <w:rPr>
          <w:rFonts w:hint="eastAsia" w:ascii="仿宋" w:hAnsi="仿宋" w:eastAsia="仿宋" w:cs="仿宋"/>
          <w:color w:val="auto"/>
          <w:kern w:val="0"/>
          <w:sz w:val="24"/>
          <w:szCs w:val="24"/>
          <w:highlight w:val="none"/>
          <w:lang w:val="en-US" w:eastAsia="zh-CN"/>
        </w:rPr>
        <w:t>在规定时间内解密的</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w:t>
      </w:r>
    </w:p>
    <w:p w14:paraId="267665A6">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4.4投标文件的修改与撤回</w:t>
      </w:r>
    </w:p>
    <w:p w14:paraId="0522AA12">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4.4.1投标人应在投标须知前附表中规定的截止时间前，可以撤回已上传的投标文件。如要修改，必须在撤回并修改后在规定的投标文件递交截止时间之前将修改后的投标文件再重新上传。在投标文件递交截止时间之后，投标人不得对上传的投标文件撤销或修改。</w:t>
      </w:r>
    </w:p>
    <w:p w14:paraId="29754B13">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4.5投标文件格式</w:t>
      </w:r>
    </w:p>
    <w:p w14:paraId="209A2746">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4.5.1投标文件格式见第五章。</w:t>
      </w:r>
    </w:p>
    <w:p w14:paraId="4C21393B">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4.5.2投标人应使用本招标文件后面提供的投标文件格式填写，如不够用时，投标人可按同样格式自行编制和填补，如果本招标文件未提供格式的，投标人可自行编制。</w:t>
      </w:r>
    </w:p>
    <w:p w14:paraId="06129465">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21" w:name="_Toc8957"/>
      <w:bookmarkStart w:id="22" w:name="_Toc25404"/>
      <w:r>
        <w:rPr>
          <w:rFonts w:hint="eastAsia" w:ascii="仿宋" w:hAnsi="仿宋" w:eastAsia="仿宋" w:cs="仿宋"/>
          <w:b/>
          <w:color w:val="auto"/>
          <w:sz w:val="24"/>
          <w:szCs w:val="24"/>
          <w:highlight w:val="none"/>
          <w:lang w:val="en-US" w:eastAsia="zh-CN"/>
        </w:rPr>
        <w:t>五、</w:t>
      </w:r>
      <w:r>
        <w:rPr>
          <w:rFonts w:hint="eastAsia" w:ascii="仿宋" w:hAnsi="仿宋" w:eastAsia="仿宋" w:cs="仿宋"/>
          <w:b/>
          <w:color w:val="auto"/>
          <w:sz w:val="24"/>
          <w:szCs w:val="24"/>
          <w:highlight w:val="none"/>
        </w:rPr>
        <w:t>开标</w:t>
      </w:r>
      <w:bookmarkEnd w:id="20"/>
      <w:bookmarkEnd w:id="21"/>
      <w:bookmarkEnd w:id="22"/>
    </w:p>
    <w:p w14:paraId="15125D9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5.1 开标时间和地点</w:t>
      </w:r>
    </w:p>
    <w:p w14:paraId="1458E3B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采购人或采购代理机构将在投标人须知前附表规定的时间、地点公开开标，所有潜在投标人均可</w:t>
      </w:r>
      <w:r>
        <w:rPr>
          <w:rFonts w:hint="eastAsia" w:ascii="仿宋" w:hAnsi="仿宋" w:eastAsia="仿宋" w:cs="仿宋"/>
          <w:color w:val="auto"/>
          <w:sz w:val="24"/>
          <w:szCs w:val="24"/>
          <w:highlight w:val="none"/>
        </w:rPr>
        <w:t>登录政采云平台https://www.zcygov.cn/，进入“项目采购-开标评标-右边选择对应项目点击“进入项目”进入开标大厅。</w:t>
      </w:r>
    </w:p>
    <w:p w14:paraId="287E020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5.2 开标程序</w:t>
      </w:r>
    </w:p>
    <w:p w14:paraId="57D15F0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按下列程序进行开标：</w:t>
      </w:r>
    </w:p>
    <w:p w14:paraId="134B540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（1）投标人解密投标文件</w:t>
      </w:r>
    </w:p>
    <w:p w14:paraId="27CD367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（2）唱标</w:t>
      </w:r>
    </w:p>
    <w:p w14:paraId="417E225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（3）投标人确认</w:t>
      </w:r>
    </w:p>
    <w:p w14:paraId="0C3A4C6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（4）开标结束</w:t>
      </w:r>
    </w:p>
    <w:p w14:paraId="0F1626A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5.3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14:paraId="442F8846">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23" w:name="_BookMark_9"/>
      <w:bookmarkEnd w:id="23"/>
      <w:bookmarkStart w:id="24" w:name="_Toc535592200"/>
      <w:bookmarkStart w:id="25" w:name="_Toc14253"/>
      <w:bookmarkStart w:id="26" w:name="_Toc14199"/>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评标</w:t>
      </w:r>
      <w:bookmarkEnd w:id="24"/>
      <w:bookmarkEnd w:id="25"/>
      <w:bookmarkEnd w:id="26"/>
    </w:p>
    <w:p w14:paraId="3430CA5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 评标委员会</w:t>
      </w:r>
    </w:p>
    <w:p w14:paraId="22F6E78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6.1.1 评标由采购人按照《政府采购评标专家管理办法》财库〔2016〕198号，依法组建的评标委员会负责。评标委员会由采购人熟悉相关业务的代表，以及有关技术、经济等方面的专家组成。</w:t>
      </w:r>
    </w:p>
    <w:p w14:paraId="442CE52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6.1.2 评标委员会成员有下列情形之一的，应当回避：</w:t>
      </w:r>
    </w:p>
    <w:p w14:paraId="116A062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（1）参加采购活动前三年内,与投标人存在劳动关系,或者担任过投标人的董事、监事,或者是投标人的控股股东或实际控制人。</w:t>
      </w:r>
    </w:p>
    <w:p w14:paraId="66226C8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（2）与投标人的法定代表人或者负责人有夫妻、直系血亲、三代以内旁系血亲或者近姻亲关系。</w:t>
      </w:r>
    </w:p>
    <w:p w14:paraId="1EB4837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（3）与投标人有其他可能影响政府采购活动公平、公正进行的关系。</w:t>
      </w:r>
    </w:p>
    <w:p w14:paraId="5795075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6.2 评标原则</w:t>
      </w:r>
    </w:p>
    <w:p w14:paraId="1627750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评标活动遵循公平、公正、科学和择优的原则。</w:t>
      </w:r>
    </w:p>
    <w:p w14:paraId="36670CB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6.3 评标</w:t>
      </w:r>
    </w:p>
    <w:p w14:paraId="50E8423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评标委员会按照招标文件中规定的方法、评标因素、标准和程序对投标文件进行评标。</w:t>
      </w:r>
    </w:p>
    <w:p w14:paraId="0AC0037D">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27" w:name="_BookMark_10"/>
      <w:bookmarkEnd w:id="27"/>
      <w:bookmarkStart w:id="28" w:name="_Toc10042"/>
      <w:bookmarkStart w:id="29" w:name="_Toc10869"/>
      <w:bookmarkStart w:id="30" w:name="_Toc535592201"/>
      <w:r>
        <w:rPr>
          <w:rFonts w:hint="eastAsia" w:ascii="仿宋" w:hAnsi="仿宋" w:eastAsia="仿宋" w:cs="仿宋"/>
          <w:b/>
          <w:color w:val="auto"/>
          <w:sz w:val="24"/>
          <w:szCs w:val="24"/>
          <w:highlight w:val="none"/>
          <w:lang w:val="en-US" w:eastAsia="zh-CN"/>
        </w:rPr>
        <w:t>七、</w:t>
      </w:r>
      <w:r>
        <w:rPr>
          <w:rFonts w:hint="eastAsia" w:ascii="仿宋" w:hAnsi="仿宋" w:eastAsia="仿宋" w:cs="仿宋"/>
          <w:b/>
          <w:color w:val="auto"/>
          <w:sz w:val="24"/>
          <w:szCs w:val="24"/>
          <w:highlight w:val="none"/>
        </w:rPr>
        <w:t>定标及合同授予</w:t>
      </w:r>
      <w:bookmarkEnd w:id="28"/>
      <w:bookmarkEnd w:id="29"/>
      <w:bookmarkEnd w:id="30"/>
    </w:p>
    <w:p w14:paraId="1A2A6AA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 定标方法</w:t>
      </w:r>
    </w:p>
    <w:p w14:paraId="3CB9E90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7.1.1 评标活动遵循公平、公正、科学和择优的原则。评标委员会按照招标文件中规定的方法、评标因素、标准和程序对投标文件进行评标，并按投标人须知前附表的规定向采购人推荐中标候选人。采购人依据评标委员会推荐的中标候选人确定中标人。</w:t>
      </w:r>
    </w:p>
    <w:p w14:paraId="01B7C5F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7.1.2采购人从中标候选人中确定出中标人的原则：采购人应当确定排名第一的中标候选人为中标人。排名第一的中标候选人放弃中标、因不可抗力不能履行合同、拒绝与采购人签订合同，不按照招标文件要求提交履约保证金、或者被查实存在影响中标结果的违法行为等情形，不符合中标条件的，采购人可以按照评标委员会推荐的中标候选人名单排名依次确定其他中标候选人为中标人。</w:t>
      </w:r>
    </w:p>
    <w:p w14:paraId="24728C0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7.2中标结果公告</w:t>
      </w:r>
    </w:p>
    <w:p w14:paraId="5B80E38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在公告中标结果的同时，采购人或者采购代理机构向中标人发出中标通知书；对未通过资格审查的投标人，应当告知其未通过的原因。</w:t>
      </w:r>
    </w:p>
    <w:p w14:paraId="1FFD0DA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7.3履约保证金</w:t>
      </w:r>
    </w:p>
    <w:p w14:paraId="275BA2F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7.3.1 在签订合同前，中标人应按投标人须知前附表规定的金额、形式向采购人提交履约保证金。联合体中标的，其履约保证金由牵头人提交，并应符合投标人须知前附表的规定。</w:t>
      </w:r>
    </w:p>
    <w:p w14:paraId="3471FA6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7.3.2 中标人未按要求提交履约保证金的，视为放弃中标，其投标保证金不予退还；给采购人造成的损失超过投标保证金数额的，中标人还应当对超过部分予以赔偿。</w:t>
      </w:r>
    </w:p>
    <w:p w14:paraId="34A0ABB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7.4签订合同</w:t>
      </w:r>
    </w:p>
    <w:p w14:paraId="7053FA7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7.4.1采购人应当自中标通知书发出之日起30日内，按照招标文件和中标人投标文件的规定，与中标人签订书面合同。</w:t>
      </w:r>
    </w:p>
    <w:p w14:paraId="01CC44E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7.4.2发出中标通知书后，采购人无正当理由拒签合同的，给中标人造成损失的，还应当赔偿中标人损失。</w:t>
      </w:r>
    </w:p>
    <w:p w14:paraId="229A1EC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7.4.3发出中标通知书后，中标人无正当理由拒签合同的，采购人将取消其中标资格，其投标保证金不予退还；给采购人造成的损失超过投标保证金数额的，中标人还应当对超过部分予以赔偿。</w:t>
      </w:r>
    </w:p>
    <w:p w14:paraId="77D12229">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31" w:name="_BookMark_11"/>
      <w:bookmarkEnd w:id="31"/>
      <w:bookmarkStart w:id="32" w:name="_Toc24040"/>
      <w:bookmarkStart w:id="33" w:name="_Toc535592202"/>
      <w:bookmarkStart w:id="34" w:name="_Toc11942"/>
      <w:r>
        <w:rPr>
          <w:rFonts w:hint="eastAsia" w:ascii="仿宋" w:hAnsi="仿宋" w:eastAsia="仿宋" w:cs="仿宋"/>
          <w:b/>
          <w:color w:val="auto"/>
          <w:sz w:val="24"/>
          <w:szCs w:val="24"/>
          <w:highlight w:val="none"/>
          <w:lang w:val="en-US" w:eastAsia="zh-CN"/>
        </w:rPr>
        <w:t>八、</w:t>
      </w:r>
      <w:r>
        <w:rPr>
          <w:rFonts w:hint="eastAsia" w:ascii="仿宋" w:hAnsi="仿宋" w:eastAsia="仿宋" w:cs="仿宋"/>
          <w:b/>
          <w:color w:val="auto"/>
          <w:sz w:val="24"/>
          <w:szCs w:val="24"/>
          <w:highlight w:val="none"/>
        </w:rPr>
        <w:t>纪律和监督</w:t>
      </w:r>
      <w:bookmarkEnd w:id="32"/>
      <w:bookmarkEnd w:id="33"/>
      <w:bookmarkEnd w:id="34"/>
    </w:p>
    <w:p w14:paraId="1CAD202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8.1 对采购人的纪律要求</w:t>
      </w:r>
    </w:p>
    <w:p w14:paraId="4FC38FF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采购人不得泄漏招标投标活动中应当保密的情况和资料，不得与投标人串通损害国家利益、社会公共利益或者他人合法权益。</w:t>
      </w:r>
    </w:p>
    <w:p w14:paraId="350B4C1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8.2 对投标人的纪律要求</w:t>
      </w:r>
    </w:p>
    <w:p w14:paraId="339D283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0AC7155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8.3 对评标委员会成员的纪律要求</w:t>
      </w:r>
    </w:p>
    <w:p w14:paraId="09D2EE9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评标委员会成员不得收受他人的财物或者其他好处，不得向他人</w:t>
      </w:r>
      <w:r>
        <w:rPr>
          <w:rFonts w:hint="eastAsia" w:ascii="仿宋" w:hAnsi="仿宋" w:eastAsia="仿宋" w:cs="仿宋"/>
          <w:color w:val="auto"/>
          <w:kern w:val="0"/>
          <w:sz w:val="24"/>
          <w:szCs w:val="24"/>
          <w:highlight w:val="none"/>
          <w:lang w:eastAsia="zh-CN"/>
        </w:rPr>
        <w:t>透露</w:t>
      </w:r>
      <w:r>
        <w:rPr>
          <w:rFonts w:hint="eastAsia" w:ascii="仿宋" w:hAnsi="仿宋" w:eastAsia="仿宋" w:cs="仿宋"/>
          <w:color w:val="auto"/>
          <w:kern w:val="0"/>
          <w:sz w:val="24"/>
          <w:szCs w:val="24"/>
          <w:highlight w:val="none"/>
        </w:rPr>
        <w:t>对投标文件的评标和比较、中标候选人的推荐情况以及评标有关的其他情况。在评标活动中，评标委员会成员不得擅离职守，影响评标程序正常进行，不得使用评标办法没有规定的评标因素和标准进行评标。</w:t>
      </w:r>
    </w:p>
    <w:p w14:paraId="79452F8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8.4 对与评标活动有关的工作人员的纪律要求</w:t>
      </w:r>
    </w:p>
    <w:p w14:paraId="6E08D7E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与评标活动有关的工作人员不得收受他人的财物或者其他好处，不得向他人</w:t>
      </w:r>
      <w:r>
        <w:rPr>
          <w:rFonts w:hint="eastAsia" w:ascii="仿宋" w:hAnsi="仿宋" w:eastAsia="仿宋" w:cs="仿宋"/>
          <w:color w:val="auto"/>
          <w:kern w:val="0"/>
          <w:sz w:val="24"/>
          <w:szCs w:val="24"/>
          <w:highlight w:val="none"/>
          <w:lang w:eastAsia="zh-CN"/>
        </w:rPr>
        <w:t>透露</w:t>
      </w:r>
      <w:r>
        <w:rPr>
          <w:rFonts w:hint="eastAsia" w:ascii="仿宋" w:hAnsi="仿宋" w:eastAsia="仿宋" w:cs="仿宋"/>
          <w:color w:val="auto"/>
          <w:kern w:val="0"/>
          <w:sz w:val="24"/>
          <w:szCs w:val="24"/>
          <w:highlight w:val="none"/>
        </w:rPr>
        <w:t>对投标文件的评标和比较、中标候选人的推荐情况以及评标有关的其他情况。在评标活动中，与评标活动有关的工作人员不得擅离职守，影响评标程序正常进行。</w:t>
      </w:r>
    </w:p>
    <w:p w14:paraId="4E605CB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8.5 监督</w:t>
      </w:r>
    </w:p>
    <w:p w14:paraId="68840C83">
      <w:pPr>
        <w:widowControl/>
        <w:shd w:val="clear" w:color="auto" w:fill="FFFFFF"/>
        <w:snapToGrid w:val="0"/>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本项目的招标投标活动及其相关当事人应当接受有管辖权的监督部门依法实施的监督。</w:t>
      </w:r>
      <w:r>
        <w:rPr>
          <w:rFonts w:hint="eastAsia" w:ascii="仿宋" w:hAnsi="仿宋" w:eastAsia="仿宋" w:cs="仿宋"/>
          <w:bCs/>
          <w:color w:val="auto"/>
          <w:kern w:val="0"/>
          <w:sz w:val="24"/>
          <w:szCs w:val="24"/>
          <w:highlight w:val="none"/>
        </w:rPr>
        <w:br w:type="page"/>
      </w:r>
    </w:p>
    <w:p w14:paraId="7CA5C7D9">
      <w:pPr>
        <w:widowControl/>
        <w:shd w:val="clear" w:color="auto" w:fill="FFFFFF"/>
        <w:snapToGrid w:val="0"/>
        <w:spacing w:line="360" w:lineRule="auto"/>
        <w:jc w:val="center"/>
        <w:outlineLvl w:val="0"/>
        <w:rPr>
          <w:rFonts w:hint="eastAsia" w:ascii="仿宋" w:hAnsi="仿宋" w:eastAsia="仿宋" w:cs="仿宋"/>
          <w:b/>
          <w:color w:val="auto"/>
          <w:sz w:val="24"/>
          <w:szCs w:val="24"/>
          <w:highlight w:val="none"/>
        </w:rPr>
      </w:pPr>
      <w:bookmarkStart w:id="35" w:name="_Toc28"/>
      <w:r>
        <w:rPr>
          <w:rFonts w:hint="eastAsia" w:ascii="仿宋" w:hAnsi="仿宋" w:eastAsia="仿宋" w:cs="仿宋"/>
          <w:b/>
          <w:color w:val="auto"/>
          <w:sz w:val="24"/>
          <w:szCs w:val="24"/>
          <w:highlight w:val="none"/>
        </w:rPr>
        <w:t>第二章 评标办法</w:t>
      </w:r>
      <w:bookmarkEnd w:id="35"/>
    </w:p>
    <w:p w14:paraId="15080F55">
      <w:pPr>
        <w:keepNext w:val="0"/>
        <w:keepLines w:val="0"/>
        <w:pageBreakBefore w:val="0"/>
        <w:widowControl w:val="0"/>
        <w:tabs>
          <w:tab w:val="center" w:pos="4832"/>
          <w:tab w:val="left" w:pos="7140"/>
        </w:tabs>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color w:val="auto"/>
          <w:sz w:val="24"/>
          <w:szCs w:val="24"/>
          <w:highlight w:val="none"/>
        </w:rPr>
      </w:pPr>
      <w:bookmarkStart w:id="36" w:name="_BookMark_1"/>
      <w:bookmarkEnd w:id="36"/>
      <w:bookmarkStart w:id="37" w:name="_Toc22201"/>
      <w:bookmarkStart w:id="38" w:name="_Toc58342531"/>
      <w:bookmarkStart w:id="39" w:name="_Toc501719166"/>
      <w:r>
        <w:rPr>
          <w:rFonts w:hint="eastAsia" w:ascii="仿宋" w:hAnsi="仿宋" w:eastAsia="仿宋" w:cs="仿宋"/>
          <w:b/>
          <w:color w:val="auto"/>
          <w:sz w:val="24"/>
          <w:szCs w:val="24"/>
          <w:highlight w:val="none"/>
        </w:rPr>
        <w:t>评审办法前附表</w:t>
      </w:r>
      <w:bookmarkEnd w:id="37"/>
      <w:bookmarkEnd w:id="38"/>
    </w:p>
    <w:tbl>
      <w:tblPr>
        <w:tblStyle w:val="38"/>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2"/>
        <w:gridCol w:w="2783"/>
        <w:gridCol w:w="5744"/>
      </w:tblGrid>
      <w:tr w14:paraId="470DD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7DD54F14">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783" w:type="dxa"/>
            <w:tcMar>
              <w:top w:w="0" w:type="dxa"/>
              <w:left w:w="28" w:type="dxa"/>
              <w:bottom w:w="0" w:type="dxa"/>
              <w:right w:w="28" w:type="dxa"/>
            </w:tcMar>
            <w:vAlign w:val="center"/>
          </w:tcPr>
          <w:p w14:paraId="06C6CB0B">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条款内容</w:t>
            </w:r>
          </w:p>
        </w:tc>
        <w:tc>
          <w:tcPr>
            <w:tcW w:w="5744" w:type="dxa"/>
            <w:tcMar>
              <w:top w:w="0" w:type="dxa"/>
              <w:left w:w="28" w:type="dxa"/>
              <w:bottom w:w="0" w:type="dxa"/>
              <w:right w:w="28" w:type="dxa"/>
            </w:tcMar>
            <w:vAlign w:val="center"/>
          </w:tcPr>
          <w:p w14:paraId="65972012">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编列内容</w:t>
            </w:r>
          </w:p>
        </w:tc>
      </w:tr>
      <w:tr w14:paraId="0624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0" w:hRule="atLeast"/>
          <w:jc w:val="center"/>
        </w:trPr>
        <w:tc>
          <w:tcPr>
            <w:tcW w:w="612" w:type="dxa"/>
            <w:tcMar>
              <w:top w:w="0" w:type="dxa"/>
              <w:left w:w="28" w:type="dxa"/>
              <w:bottom w:w="0" w:type="dxa"/>
              <w:right w:w="28" w:type="dxa"/>
            </w:tcMar>
            <w:vAlign w:val="center"/>
          </w:tcPr>
          <w:p w14:paraId="2AFE3258">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783" w:type="dxa"/>
            <w:tcMar>
              <w:top w:w="0" w:type="dxa"/>
              <w:left w:w="28" w:type="dxa"/>
              <w:bottom w:w="0" w:type="dxa"/>
              <w:right w:w="28" w:type="dxa"/>
            </w:tcMar>
            <w:vAlign w:val="center"/>
          </w:tcPr>
          <w:p w14:paraId="78822EAB">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分值构成</w:t>
            </w:r>
          </w:p>
          <w:p w14:paraId="067953B9">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(总分100分)</w:t>
            </w:r>
          </w:p>
        </w:tc>
        <w:tc>
          <w:tcPr>
            <w:tcW w:w="5744" w:type="dxa"/>
            <w:tcMar>
              <w:top w:w="0" w:type="dxa"/>
              <w:left w:w="28" w:type="dxa"/>
              <w:bottom w:w="0" w:type="dxa"/>
              <w:right w:w="28" w:type="dxa"/>
            </w:tcMar>
            <w:vAlign w:val="center"/>
          </w:tcPr>
          <w:p w14:paraId="02FBDDD5">
            <w:pPr>
              <w:spacing w:line="360"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1.详细评审部分</w:t>
            </w:r>
            <w:r>
              <w:rPr>
                <w:rFonts w:hint="eastAsia" w:ascii="仿宋" w:hAnsi="仿宋" w:eastAsia="仿宋" w:cs="仿宋"/>
                <w:color w:val="auto"/>
                <w:szCs w:val="21"/>
                <w:highlight w:val="none"/>
                <w:lang w:val="en-US" w:eastAsia="zh-CN"/>
              </w:rPr>
              <w:t>70</w:t>
            </w:r>
            <w:r>
              <w:rPr>
                <w:rFonts w:hint="eastAsia" w:ascii="仿宋" w:hAnsi="仿宋" w:eastAsia="仿宋" w:cs="仿宋"/>
                <w:color w:val="auto"/>
                <w:szCs w:val="21"/>
                <w:highlight w:val="none"/>
              </w:rPr>
              <w:t>分</w:t>
            </w:r>
          </w:p>
          <w:p w14:paraId="71090DC9">
            <w:pPr>
              <w:spacing w:line="360"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2.投标报价部分</w:t>
            </w: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rPr>
              <w:t>分</w:t>
            </w:r>
          </w:p>
        </w:tc>
      </w:tr>
      <w:tr w14:paraId="61019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 w:hRule="atLeast"/>
          <w:jc w:val="center"/>
        </w:trPr>
        <w:tc>
          <w:tcPr>
            <w:tcW w:w="612" w:type="dxa"/>
            <w:tcMar>
              <w:top w:w="0" w:type="dxa"/>
              <w:left w:w="28" w:type="dxa"/>
              <w:bottom w:w="0" w:type="dxa"/>
              <w:right w:w="28" w:type="dxa"/>
            </w:tcMar>
            <w:vAlign w:val="center"/>
          </w:tcPr>
          <w:p w14:paraId="717AFDEF">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783" w:type="dxa"/>
            <w:tcMar>
              <w:top w:w="0" w:type="dxa"/>
              <w:left w:w="28" w:type="dxa"/>
              <w:bottom w:w="0" w:type="dxa"/>
              <w:right w:w="28" w:type="dxa"/>
            </w:tcMar>
            <w:vAlign w:val="center"/>
          </w:tcPr>
          <w:p w14:paraId="4A25573D">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资格审查</w:t>
            </w:r>
          </w:p>
        </w:tc>
        <w:tc>
          <w:tcPr>
            <w:tcW w:w="5744" w:type="dxa"/>
            <w:tcMar>
              <w:top w:w="0" w:type="dxa"/>
              <w:left w:w="28" w:type="dxa"/>
              <w:bottom w:w="0" w:type="dxa"/>
              <w:right w:w="28" w:type="dxa"/>
            </w:tcMar>
            <w:vAlign w:val="center"/>
          </w:tcPr>
          <w:p w14:paraId="172E7DA3">
            <w:pPr>
              <w:spacing w:line="360"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详见《资格审查标准》</w:t>
            </w:r>
          </w:p>
        </w:tc>
      </w:tr>
      <w:tr w14:paraId="1FE1D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47E452C7">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783" w:type="dxa"/>
            <w:tcMar>
              <w:top w:w="0" w:type="dxa"/>
              <w:left w:w="28" w:type="dxa"/>
              <w:bottom w:w="0" w:type="dxa"/>
              <w:right w:w="28" w:type="dxa"/>
            </w:tcMar>
            <w:vAlign w:val="center"/>
          </w:tcPr>
          <w:p w14:paraId="3D07D325">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完备性及符合性审查</w:t>
            </w:r>
          </w:p>
        </w:tc>
        <w:tc>
          <w:tcPr>
            <w:tcW w:w="5744" w:type="dxa"/>
            <w:tcMar>
              <w:top w:w="0" w:type="dxa"/>
              <w:left w:w="28" w:type="dxa"/>
              <w:bottom w:w="0" w:type="dxa"/>
              <w:right w:w="28" w:type="dxa"/>
            </w:tcMar>
            <w:vAlign w:val="center"/>
          </w:tcPr>
          <w:p w14:paraId="62191333">
            <w:pPr>
              <w:spacing w:line="360"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详见《完备性及符合性审查标准》</w:t>
            </w:r>
          </w:p>
        </w:tc>
      </w:tr>
      <w:tr w14:paraId="66140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7CDE2F4C">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783" w:type="dxa"/>
            <w:tcMar>
              <w:top w:w="0" w:type="dxa"/>
              <w:left w:w="28" w:type="dxa"/>
              <w:bottom w:w="0" w:type="dxa"/>
              <w:right w:w="28" w:type="dxa"/>
            </w:tcMar>
            <w:vAlign w:val="top"/>
          </w:tcPr>
          <w:p w14:paraId="0560CA36">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投标品牌统计</w:t>
            </w:r>
          </w:p>
        </w:tc>
        <w:tc>
          <w:tcPr>
            <w:tcW w:w="5744" w:type="dxa"/>
            <w:tcMar>
              <w:top w:w="0" w:type="dxa"/>
              <w:left w:w="28" w:type="dxa"/>
              <w:bottom w:w="0" w:type="dxa"/>
              <w:right w:w="28" w:type="dxa"/>
            </w:tcMar>
            <w:vAlign w:val="center"/>
          </w:tcPr>
          <w:p w14:paraId="25A91098">
            <w:pPr>
              <w:jc w:val="both"/>
              <w:rPr>
                <w:rFonts w:hint="eastAsia" w:ascii="仿宋" w:hAnsi="仿宋" w:eastAsia="仿宋" w:cs="仿宋"/>
                <w:color w:val="auto"/>
                <w:highlight w:val="none"/>
              </w:rPr>
            </w:pPr>
            <w:r>
              <w:rPr>
                <w:rFonts w:hint="eastAsia" w:ascii="仿宋" w:hAnsi="仿宋" w:eastAsia="仿宋" w:cs="仿宋"/>
                <w:color w:val="auto"/>
                <w:szCs w:val="21"/>
                <w:highlight w:val="none"/>
              </w:rPr>
              <w:t>详见本节第3.</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款</w:t>
            </w:r>
          </w:p>
        </w:tc>
      </w:tr>
      <w:tr w14:paraId="1491D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vMerge w:val="restart"/>
            <w:tcMar>
              <w:top w:w="0" w:type="dxa"/>
              <w:left w:w="28" w:type="dxa"/>
              <w:bottom w:w="0" w:type="dxa"/>
              <w:right w:w="28" w:type="dxa"/>
            </w:tcMar>
            <w:vAlign w:val="center"/>
          </w:tcPr>
          <w:p w14:paraId="6E5D4C32">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783" w:type="dxa"/>
            <w:vMerge w:val="restart"/>
            <w:tcMar>
              <w:top w:w="0" w:type="dxa"/>
              <w:left w:w="28" w:type="dxa"/>
              <w:bottom w:w="0" w:type="dxa"/>
              <w:right w:w="28" w:type="dxa"/>
            </w:tcMar>
            <w:vAlign w:val="center"/>
          </w:tcPr>
          <w:p w14:paraId="6313F446">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详细评审</w:t>
            </w:r>
          </w:p>
        </w:tc>
        <w:tc>
          <w:tcPr>
            <w:tcW w:w="5744" w:type="dxa"/>
            <w:tcMar>
              <w:top w:w="0" w:type="dxa"/>
              <w:left w:w="28" w:type="dxa"/>
              <w:bottom w:w="0" w:type="dxa"/>
              <w:right w:w="28" w:type="dxa"/>
            </w:tcMar>
            <w:vAlign w:val="center"/>
          </w:tcPr>
          <w:p w14:paraId="2CF4935E">
            <w:pPr>
              <w:spacing w:line="360"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详见《详细评审标准》及本节第3.6款</w:t>
            </w:r>
          </w:p>
        </w:tc>
      </w:tr>
      <w:tr w14:paraId="73CA1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32" w:hRule="atLeast"/>
          <w:jc w:val="center"/>
        </w:trPr>
        <w:tc>
          <w:tcPr>
            <w:tcW w:w="612" w:type="dxa"/>
            <w:vMerge w:val="continue"/>
            <w:tcMar>
              <w:top w:w="0" w:type="dxa"/>
              <w:left w:w="28" w:type="dxa"/>
              <w:bottom w:w="0" w:type="dxa"/>
              <w:right w:w="28" w:type="dxa"/>
            </w:tcMar>
            <w:vAlign w:val="center"/>
          </w:tcPr>
          <w:p w14:paraId="3CE2B171">
            <w:pPr>
              <w:spacing w:line="360" w:lineRule="auto"/>
              <w:jc w:val="center"/>
              <w:rPr>
                <w:rFonts w:hint="eastAsia" w:ascii="仿宋" w:hAnsi="仿宋" w:eastAsia="仿宋" w:cs="仿宋"/>
                <w:color w:val="auto"/>
                <w:szCs w:val="21"/>
                <w:highlight w:val="none"/>
              </w:rPr>
            </w:pPr>
          </w:p>
        </w:tc>
        <w:tc>
          <w:tcPr>
            <w:tcW w:w="2783" w:type="dxa"/>
            <w:vMerge w:val="continue"/>
            <w:tcMar>
              <w:top w:w="0" w:type="dxa"/>
              <w:left w:w="28" w:type="dxa"/>
              <w:bottom w:w="0" w:type="dxa"/>
              <w:right w:w="28" w:type="dxa"/>
            </w:tcMar>
            <w:vAlign w:val="center"/>
          </w:tcPr>
          <w:p w14:paraId="38604997">
            <w:pPr>
              <w:spacing w:line="360" w:lineRule="auto"/>
              <w:jc w:val="center"/>
              <w:rPr>
                <w:rFonts w:hint="eastAsia" w:ascii="仿宋" w:hAnsi="仿宋" w:eastAsia="仿宋" w:cs="仿宋"/>
                <w:color w:val="auto"/>
                <w:szCs w:val="21"/>
                <w:highlight w:val="none"/>
              </w:rPr>
            </w:pPr>
          </w:p>
        </w:tc>
        <w:tc>
          <w:tcPr>
            <w:tcW w:w="5744" w:type="dxa"/>
            <w:tcMar>
              <w:top w:w="0" w:type="dxa"/>
              <w:left w:w="28" w:type="dxa"/>
              <w:bottom w:w="0" w:type="dxa"/>
              <w:right w:w="28" w:type="dxa"/>
            </w:tcMar>
            <w:vAlign w:val="center"/>
          </w:tcPr>
          <w:p w14:paraId="43FD463D">
            <w:pPr>
              <w:spacing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rPr>
              <w:t>投标报价得分计算方法：</w:t>
            </w:r>
          </w:p>
          <w:p w14:paraId="3910BF79">
            <w:pPr>
              <w:spacing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rPr>
              <w:t>1.投标报价的确定</w:t>
            </w:r>
          </w:p>
          <w:p w14:paraId="5467A633">
            <w:pPr>
              <w:spacing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rPr>
              <w:t>投标报价是指经评审的且不超过</w:t>
            </w:r>
            <w:r>
              <w:rPr>
                <w:rFonts w:hint="eastAsia" w:ascii="仿宋" w:hAnsi="仿宋" w:eastAsia="仿宋" w:cs="仿宋"/>
                <w:color w:val="auto"/>
                <w:highlight w:val="none"/>
                <w:lang w:eastAsia="zh-CN"/>
              </w:rPr>
              <w:t>最高限价</w:t>
            </w:r>
            <w:r>
              <w:rPr>
                <w:rFonts w:hint="eastAsia" w:ascii="仿宋" w:hAnsi="仿宋" w:eastAsia="仿宋" w:cs="仿宋"/>
                <w:color w:val="auto"/>
                <w:highlight w:val="none"/>
              </w:rPr>
              <w:t>的投标价格</w:t>
            </w:r>
          </w:p>
          <w:p w14:paraId="7CE8E12B">
            <w:pPr>
              <w:spacing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rPr>
              <w:t>2.评标基准价的确定</w:t>
            </w:r>
          </w:p>
          <w:p w14:paraId="47D706A0">
            <w:pPr>
              <w:spacing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rPr>
              <w:t>满足招标文件要求且投标报价最低的为评标基准价</w:t>
            </w:r>
          </w:p>
          <w:p w14:paraId="2638302D">
            <w:pPr>
              <w:spacing w:line="360" w:lineRule="auto"/>
              <w:jc w:val="both"/>
              <w:rPr>
                <w:rFonts w:hint="default" w:ascii="仿宋" w:hAnsi="仿宋" w:eastAsia="仿宋" w:cs="仿宋"/>
                <w:color w:val="auto"/>
                <w:highlight w:val="none"/>
                <w:lang w:val="en-US" w:eastAsia="zh-CN"/>
              </w:rPr>
            </w:pPr>
            <w:r>
              <w:rPr>
                <w:rFonts w:hint="eastAsia" w:ascii="仿宋" w:hAnsi="仿宋" w:eastAsia="仿宋" w:cs="仿宋"/>
                <w:color w:val="auto"/>
                <w:highlight w:val="none"/>
              </w:rPr>
              <w:t>3.投标报价得分=(评标基准价／投标报价)×</w:t>
            </w:r>
            <w:r>
              <w:rPr>
                <w:rFonts w:hint="eastAsia" w:ascii="仿宋" w:hAnsi="仿宋" w:eastAsia="仿宋" w:cs="仿宋"/>
                <w:color w:val="auto"/>
                <w:highlight w:val="none"/>
                <w:lang w:val="en-US" w:eastAsia="zh-CN"/>
              </w:rPr>
              <w:t>30</w:t>
            </w:r>
          </w:p>
          <w:p w14:paraId="20CC32C1">
            <w:pPr>
              <w:spacing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rPr>
              <w:t>4.评分分值计算保留小数点后两位，小数点后三位“四舍五入”。</w:t>
            </w:r>
          </w:p>
          <w:p w14:paraId="0E313088">
            <w:pPr>
              <w:spacing w:line="360" w:lineRule="auto"/>
              <w:jc w:val="both"/>
              <w:rPr>
                <w:rFonts w:hint="eastAsia"/>
                <w:color w:val="auto"/>
                <w:highlight w:val="none"/>
                <w:lang w:val="en-US" w:eastAsia="zh-CN"/>
              </w:rPr>
            </w:pPr>
            <w:r>
              <w:rPr>
                <w:rFonts w:hint="eastAsia" w:ascii="仿宋" w:hAnsi="仿宋" w:eastAsia="仿宋" w:cs="仿宋"/>
                <w:color w:val="auto"/>
                <w:highlight w:val="none"/>
                <w:lang w:val="en-US" w:eastAsia="zh-CN"/>
              </w:rPr>
              <w:t>5.因落实政府采购政策对小微企业、残疾人福利性单位、监狱企业的价格给予10%价格扣除；以扣除后的价格参与评审，不重复享受价格扣除政策。</w:t>
            </w:r>
          </w:p>
        </w:tc>
      </w:tr>
    </w:tbl>
    <w:p w14:paraId="4895DD7C">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p>
    <w:p w14:paraId="38E504EA">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szCs w:val="24"/>
          <w:highlight w:val="none"/>
        </w:rPr>
        <w:t>标项</w:t>
      </w:r>
      <w:r>
        <w:rPr>
          <w:rFonts w:hint="eastAsia" w:ascii="仿宋" w:hAnsi="仿宋" w:eastAsia="仿宋" w:cs="仿宋"/>
          <w:b/>
          <w:bCs/>
          <w:color w:val="auto"/>
          <w:szCs w:val="21"/>
          <w:highlight w:val="none"/>
        </w:rPr>
        <w:t>1、2</w:t>
      </w:r>
      <w:r>
        <w:rPr>
          <w:rFonts w:hint="eastAsia" w:ascii="仿宋" w:hAnsi="仿宋" w:eastAsia="仿宋" w:cs="仿宋"/>
          <w:b/>
          <w:color w:val="auto"/>
          <w:kern w:val="0"/>
          <w:sz w:val="24"/>
          <w:szCs w:val="24"/>
          <w:highlight w:val="none"/>
        </w:rPr>
        <w:t>《资格审查标准》</w:t>
      </w:r>
      <w:bookmarkEnd w:id="39"/>
    </w:p>
    <w:tbl>
      <w:tblPr>
        <w:tblStyle w:val="38"/>
        <w:tblW w:w="49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0"/>
        <w:gridCol w:w="3671"/>
        <w:gridCol w:w="4770"/>
      </w:tblGrid>
      <w:tr w14:paraId="4385E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7" w:type="pct"/>
            <w:vAlign w:val="center"/>
          </w:tcPr>
          <w:p w14:paraId="6E676685">
            <w:pPr>
              <w:widowControl/>
              <w:shd w:val="clear" w:color="auto" w:fill="FFFFFF"/>
              <w:snapToGrid w:val="0"/>
              <w:spacing w:line="360" w:lineRule="auto"/>
              <w:jc w:val="center"/>
              <w:rPr>
                <w:rFonts w:hint="eastAsia" w:ascii="仿宋" w:hAnsi="仿宋" w:eastAsia="仿宋" w:cs="仿宋"/>
                <w:color w:val="auto"/>
                <w:kern w:val="0"/>
                <w:szCs w:val="24"/>
                <w:highlight w:val="none"/>
              </w:rPr>
            </w:pPr>
            <w:bookmarkStart w:id="40" w:name="_Toc501719167"/>
            <w:r>
              <w:rPr>
                <w:rFonts w:hint="eastAsia" w:ascii="仿宋" w:hAnsi="仿宋" w:eastAsia="仿宋" w:cs="仿宋"/>
                <w:color w:val="auto"/>
                <w:kern w:val="0"/>
                <w:szCs w:val="24"/>
                <w:highlight w:val="none"/>
              </w:rPr>
              <w:t>序号</w:t>
            </w:r>
          </w:p>
        </w:tc>
        <w:tc>
          <w:tcPr>
            <w:tcW w:w="2028" w:type="pct"/>
            <w:vAlign w:val="center"/>
          </w:tcPr>
          <w:p w14:paraId="63D5EEA5">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审查要求</w:t>
            </w:r>
          </w:p>
        </w:tc>
        <w:tc>
          <w:tcPr>
            <w:tcW w:w="2633" w:type="pct"/>
            <w:vAlign w:val="center"/>
          </w:tcPr>
          <w:p w14:paraId="5E700455">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要求说明</w:t>
            </w:r>
          </w:p>
        </w:tc>
      </w:tr>
      <w:tr w14:paraId="336B7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7" w:type="pct"/>
            <w:vAlign w:val="center"/>
          </w:tcPr>
          <w:p w14:paraId="66ADE6E6">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1</w:t>
            </w:r>
          </w:p>
        </w:tc>
        <w:tc>
          <w:tcPr>
            <w:tcW w:w="2028" w:type="pct"/>
            <w:shd w:val="clear" w:color="auto" w:fill="auto"/>
            <w:vAlign w:val="center"/>
          </w:tcPr>
          <w:p w14:paraId="45FA4191">
            <w:pPr>
              <w:spacing w:line="288" w:lineRule="auto"/>
              <w:jc w:val="left"/>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rPr>
              <w:t>具有独立承担民事责任的能力</w:t>
            </w:r>
            <w:r>
              <w:rPr>
                <w:rFonts w:hint="eastAsia" w:ascii="仿宋" w:hAnsi="仿宋" w:eastAsia="仿宋" w:cs="仿宋"/>
                <w:color w:val="auto"/>
                <w:szCs w:val="21"/>
                <w:highlight w:val="none"/>
                <w:shd w:val="clear" w:color="auto" w:fill="FFFFFF" w:themeFill="background1"/>
                <w:lang w:eastAsia="zh-CN"/>
              </w:rPr>
              <w:t>。</w:t>
            </w:r>
          </w:p>
        </w:tc>
        <w:tc>
          <w:tcPr>
            <w:tcW w:w="2633" w:type="pct"/>
            <w:shd w:val="clear" w:color="auto" w:fill="auto"/>
            <w:vAlign w:val="center"/>
          </w:tcPr>
          <w:p w14:paraId="492BFD90">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1、如投标人是企业（包括合伙企业)，应提供在工商部门注册的有效“企业法人营业执照”或“营业执照”;</w:t>
            </w:r>
          </w:p>
          <w:p w14:paraId="7FDA9E78">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2、如投标人是事业单位，应提供有效的“事业单位法人证书”;</w:t>
            </w:r>
          </w:p>
          <w:p w14:paraId="48B437B7">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3、如投标人是非企业专业服务机构的，应提供执业许可证等证明文件;</w:t>
            </w:r>
          </w:p>
          <w:p w14:paraId="6C0C4090">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4、如投标人是个体工商户，应提供有效的“个体工商户营业执照”;</w:t>
            </w:r>
          </w:p>
          <w:p w14:paraId="01180CDD">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5、如投标人是自然人，应提供有效的自然人身份证明。</w:t>
            </w:r>
          </w:p>
        </w:tc>
      </w:tr>
      <w:tr w14:paraId="106C1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7" w:type="pct"/>
            <w:vAlign w:val="center"/>
          </w:tcPr>
          <w:p w14:paraId="32297B57">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2</w:t>
            </w:r>
          </w:p>
        </w:tc>
        <w:tc>
          <w:tcPr>
            <w:tcW w:w="2028" w:type="pct"/>
            <w:shd w:val="clear" w:color="auto" w:fill="auto"/>
            <w:vAlign w:val="center"/>
          </w:tcPr>
          <w:p w14:paraId="6F2D8FB2">
            <w:pPr>
              <w:spacing w:line="288" w:lineRule="auto"/>
              <w:jc w:val="left"/>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rPr>
              <w:t>具有良好的商业信誉和健全的财务会计制度</w:t>
            </w:r>
            <w:r>
              <w:rPr>
                <w:rFonts w:hint="eastAsia" w:ascii="仿宋" w:hAnsi="仿宋" w:eastAsia="仿宋" w:cs="仿宋"/>
                <w:color w:val="auto"/>
                <w:szCs w:val="21"/>
                <w:highlight w:val="none"/>
                <w:shd w:val="clear" w:color="auto" w:fill="FFFFFF" w:themeFill="background1"/>
                <w:lang w:eastAsia="zh-CN"/>
              </w:rPr>
              <w:t>。</w:t>
            </w:r>
          </w:p>
        </w:tc>
        <w:tc>
          <w:tcPr>
            <w:tcW w:w="2633" w:type="pct"/>
            <w:shd w:val="clear" w:color="auto" w:fill="auto"/>
            <w:vAlign w:val="center"/>
          </w:tcPr>
          <w:p w14:paraId="45B316EF">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满足下述一条要求即可：</w:t>
            </w:r>
          </w:p>
          <w:p w14:paraId="44A3A3BF">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要求1、经审计的财务报告（2023年度或2024年度，包括“四表-注”，即资产负债表、利润表、现金流量表、所有者权益变动表及其附注）或银行出具的资信证明（投标文件递交截止之日前六个月内任意一个月）。</w:t>
            </w:r>
          </w:p>
          <w:p w14:paraId="2CBA90BB">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rPr>
              <w:t>要求2、成立不足</w:t>
            </w:r>
            <w:r>
              <w:rPr>
                <w:rFonts w:hint="eastAsia" w:ascii="仿宋" w:hAnsi="仿宋" w:eastAsia="仿宋" w:cs="仿宋"/>
                <w:color w:val="auto"/>
                <w:spacing w:val="10"/>
                <w:szCs w:val="24"/>
                <w:highlight w:val="none"/>
                <w:shd w:val="clear" w:color="auto" w:fill="FFFFFF" w:themeFill="background1"/>
                <w:lang w:val="en-US" w:eastAsia="zh-CN"/>
              </w:rPr>
              <w:t>六</w:t>
            </w:r>
            <w:r>
              <w:rPr>
                <w:rFonts w:hint="eastAsia" w:ascii="仿宋" w:hAnsi="仿宋" w:eastAsia="仿宋" w:cs="仿宋"/>
                <w:color w:val="auto"/>
                <w:kern w:val="0"/>
                <w:szCs w:val="24"/>
                <w:highlight w:val="none"/>
              </w:rPr>
              <w:t>个月（以投标文件递交截止之日为期限）的投标人无需提供。</w:t>
            </w:r>
          </w:p>
        </w:tc>
      </w:tr>
      <w:tr w14:paraId="1371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7" w:type="pct"/>
            <w:vAlign w:val="center"/>
          </w:tcPr>
          <w:p w14:paraId="02D252C1">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3</w:t>
            </w:r>
          </w:p>
        </w:tc>
        <w:tc>
          <w:tcPr>
            <w:tcW w:w="2028" w:type="pct"/>
            <w:shd w:val="clear" w:color="auto" w:fill="auto"/>
            <w:vAlign w:val="center"/>
          </w:tcPr>
          <w:p w14:paraId="797610AB">
            <w:pPr>
              <w:spacing w:line="288" w:lineRule="auto"/>
              <w:jc w:val="left"/>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rPr>
              <w:t>具有履行合同所必需的设备和专业技术能力</w:t>
            </w:r>
            <w:r>
              <w:rPr>
                <w:rFonts w:hint="eastAsia" w:ascii="仿宋" w:hAnsi="仿宋" w:eastAsia="仿宋" w:cs="仿宋"/>
                <w:color w:val="auto"/>
                <w:szCs w:val="21"/>
                <w:highlight w:val="none"/>
                <w:shd w:val="clear" w:color="auto" w:fill="FFFFFF" w:themeFill="background1"/>
                <w:lang w:eastAsia="zh-CN"/>
              </w:rPr>
              <w:t>。</w:t>
            </w:r>
          </w:p>
        </w:tc>
        <w:tc>
          <w:tcPr>
            <w:tcW w:w="2633" w:type="pct"/>
            <w:shd w:val="clear" w:color="auto" w:fill="auto"/>
            <w:vAlign w:val="center"/>
          </w:tcPr>
          <w:p w14:paraId="34FAD62D">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default"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提供《具有履行合同所必需的设备和专业技术能力的承诺函》，加盖投标人章。</w:t>
            </w:r>
          </w:p>
        </w:tc>
      </w:tr>
      <w:tr w14:paraId="6E4C9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7" w:type="pct"/>
            <w:vAlign w:val="center"/>
          </w:tcPr>
          <w:p w14:paraId="3B1B982A">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4</w:t>
            </w:r>
          </w:p>
        </w:tc>
        <w:tc>
          <w:tcPr>
            <w:tcW w:w="2028" w:type="pct"/>
            <w:shd w:val="clear" w:color="auto" w:fill="auto"/>
            <w:vAlign w:val="center"/>
          </w:tcPr>
          <w:p w14:paraId="4C385BA4">
            <w:pPr>
              <w:spacing w:line="288" w:lineRule="auto"/>
              <w:jc w:val="left"/>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rPr>
              <w:t>有依法缴纳税收和社会保障资金的良好记录</w:t>
            </w:r>
            <w:r>
              <w:rPr>
                <w:rFonts w:hint="eastAsia" w:ascii="仿宋" w:hAnsi="仿宋" w:eastAsia="仿宋" w:cs="仿宋"/>
                <w:color w:val="auto"/>
                <w:szCs w:val="21"/>
                <w:highlight w:val="none"/>
                <w:shd w:val="clear" w:color="auto" w:fill="FFFFFF" w:themeFill="background1"/>
                <w:lang w:eastAsia="zh-CN"/>
              </w:rPr>
              <w:t>。</w:t>
            </w:r>
          </w:p>
        </w:tc>
        <w:tc>
          <w:tcPr>
            <w:tcW w:w="2633" w:type="pct"/>
            <w:shd w:val="clear" w:color="auto" w:fill="auto"/>
            <w:vAlign w:val="center"/>
          </w:tcPr>
          <w:p w14:paraId="19E4D175">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1、依法缴纳税收的证明材料：</w:t>
            </w:r>
          </w:p>
          <w:p w14:paraId="11CAFE8E">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投标人参加政府采购活动前一段时间（投标文件递交截止之日前六个月内任一个月）内缴纳税收的完税凭证（指各种完税证、缴款书、印花税票、扣（收）税凭证以及其他完税证明）。</w:t>
            </w:r>
          </w:p>
          <w:p w14:paraId="7D25F535">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2、依法缴纳社会保障资金的证明材料：</w:t>
            </w:r>
          </w:p>
          <w:p w14:paraId="7DEC6C40">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投标人参加政府采购活动前一段时间（投标文件递交截止之日前六个月内任一个月）内缴纳社会保险的凭据，其他组织和自然人也需要提供缴纳税收的凭据和缴纳社会保险的凭据。</w:t>
            </w:r>
          </w:p>
          <w:p w14:paraId="6F895779">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rPr>
              <w:t>3、依法免税或不需要缴纳社会保障资金的投标人，应提供相应文件证明其依法免税或不需要缴纳社会保障资金。</w:t>
            </w:r>
          </w:p>
        </w:tc>
      </w:tr>
      <w:tr w14:paraId="3769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7" w:type="pct"/>
            <w:vAlign w:val="center"/>
          </w:tcPr>
          <w:p w14:paraId="3E6CA2CF">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5</w:t>
            </w:r>
          </w:p>
        </w:tc>
        <w:tc>
          <w:tcPr>
            <w:tcW w:w="2028" w:type="pct"/>
            <w:shd w:val="clear" w:color="auto" w:fill="auto"/>
            <w:vAlign w:val="center"/>
          </w:tcPr>
          <w:p w14:paraId="0C47CF54">
            <w:pPr>
              <w:spacing w:line="288" w:lineRule="auto"/>
              <w:jc w:val="left"/>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rPr>
              <w:t>参加政府采购活动前三年内，在经营活动中没有重大违法记录</w:t>
            </w:r>
            <w:r>
              <w:rPr>
                <w:rFonts w:hint="eastAsia" w:ascii="仿宋" w:hAnsi="仿宋" w:eastAsia="仿宋" w:cs="仿宋"/>
                <w:color w:val="auto"/>
                <w:szCs w:val="21"/>
                <w:highlight w:val="none"/>
                <w:shd w:val="clear" w:color="auto" w:fill="FFFFFF" w:themeFill="background1"/>
                <w:lang w:eastAsia="zh-CN"/>
              </w:rPr>
              <w:t>。</w:t>
            </w:r>
          </w:p>
        </w:tc>
        <w:tc>
          <w:tcPr>
            <w:tcW w:w="2633" w:type="pct"/>
            <w:shd w:val="clear" w:color="auto" w:fill="auto"/>
            <w:vAlign w:val="center"/>
          </w:tcPr>
          <w:p w14:paraId="151CDE71">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kern w:val="0"/>
                <w:szCs w:val="24"/>
                <w:highlight w:val="none"/>
                <w:lang w:val="en-US" w:eastAsia="zh-CN"/>
              </w:rPr>
              <w:t>提供《参加政府采购活动前3年内在经营活动中没有重大违法记录的书面声明》，加盖投标人章。</w:t>
            </w:r>
          </w:p>
        </w:tc>
      </w:tr>
      <w:tr w14:paraId="7F8AF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337" w:type="pct"/>
            <w:vAlign w:val="center"/>
          </w:tcPr>
          <w:p w14:paraId="724D1775">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6</w:t>
            </w:r>
          </w:p>
        </w:tc>
        <w:tc>
          <w:tcPr>
            <w:tcW w:w="2028" w:type="pct"/>
            <w:shd w:val="clear" w:color="auto" w:fill="auto"/>
            <w:vAlign w:val="center"/>
          </w:tcPr>
          <w:p w14:paraId="7C04EE6C">
            <w:pPr>
              <w:spacing w:line="360" w:lineRule="auto"/>
              <w:jc w:val="lef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投标人如在“信用中国”网站（www.creditchina.gov.cn）、中国政府采购网（www.ccgp.gov.cn）等渠道被列入失信被执行人、重大税收违法失信主体、政府采购严重违法失信行为记录名单，尚在处罚期内的将被拒绝参加本次采购活动。</w:t>
            </w:r>
          </w:p>
        </w:tc>
        <w:tc>
          <w:tcPr>
            <w:tcW w:w="2633" w:type="pct"/>
            <w:shd w:val="clear" w:color="auto" w:fill="auto"/>
            <w:vAlign w:val="center"/>
          </w:tcPr>
          <w:p w14:paraId="37C296C4">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以采购人或者采购代理机构查询记录为准。</w:t>
            </w:r>
          </w:p>
        </w:tc>
      </w:tr>
      <w:tr w14:paraId="1F0E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5000" w:type="pct"/>
            <w:gridSpan w:val="3"/>
            <w:vAlign w:val="center"/>
          </w:tcPr>
          <w:p w14:paraId="1FB0BCEC">
            <w:pPr>
              <w:widowControl/>
              <w:shd w:val="clear" w:color="auto" w:fill="FFFFFF"/>
              <w:snapToGrid w:val="0"/>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备注： 如果资格评审中有一项不满足审查标准的，采购人将认定该投标人不通过资格审查，投标文件将被拒绝评审。并且不允许投标人通过修改或撤销其不符合要求的差异或保留，使之成为具有响应性的投标。</w:t>
            </w:r>
          </w:p>
        </w:tc>
      </w:tr>
    </w:tbl>
    <w:p w14:paraId="647993C4">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p>
    <w:p w14:paraId="2967AA62">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szCs w:val="24"/>
          <w:highlight w:val="none"/>
        </w:rPr>
        <w:t>标项</w:t>
      </w:r>
      <w:r>
        <w:rPr>
          <w:rFonts w:hint="eastAsia" w:ascii="仿宋" w:hAnsi="仿宋" w:eastAsia="仿宋" w:cs="仿宋"/>
          <w:b/>
          <w:bCs/>
          <w:color w:val="auto"/>
          <w:szCs w:val="21"/>
          <w:highlight w:val="none"/>
        </w:rPr>
        <w:t>1、2</w:t>
      </w:r>
      <w:r>
        <w:rPr>
          <w:rFonts w:hint="eastAsia" w:ascii="仿宋" w:hAnsi="仿宋" w:eastAsia="仿宋" w:cs="仿宋"/>
          <w:b/>
          <w:color w:val="auto"/>
          <w:kern w:val="0"/>
          <w:sz w:val="24"/>
          <w:szCs w:val="24"/>
          <w:highlight w:val="none"/>
        </w:rPr>
        <w:t>《完备性及符合性审查标准》</w:t>
      </w:r>
      <w:bookmarkEnd w:id="40"/>
    </w:p>
    <w:tbl>
      <w:tblPr>
        <w:tblStyle w:val="38"/>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2"/>
        <w:gridCol w:w="5299"/>
        <w:gridCol w:w="3496"/>
      </w:tblGrid>
      <w:tr w14:paraId="0FBD4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607EAF50">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序号</w:t>
            </w:r>
          </w:p>
        </w:tc>
        <w:tc>
          <w:tcPr>
            <w:tcW w:w="5299" w:type="dxa"/>
            <w:vAlign w:val="center"/>
          </w:tcPr>
          <w:p w14:paraId="1A4CF28F">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审查要求</w:t>
            </w:r>
          </w:p>
        </w:tc>
        <w:tc>
          <w:tcPr>
            <w:tcW w:w="3496" w:type="dxa"/>
            <w:vAlign w:val="center"/>
          </w:tcPr>
          <w:p w14:paraId="193D28BA">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要求说明</w:t>
            </w:r>
          </w:p>
        </w:tc>
      </w:tr>
      <w:tr w14:paraId="672C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035BF3C5">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w:t>
            </w:r>
          </w:p>
        </w:tc>
        <w:tc>
          <w:tcPr>
            <w:tcW w:w="5299" w:type="dxa"/>
            <w:vAlign w:val="center"/>
          </w:tcPr>
          <w:p w14:paraId="40FBA78D">
            <w:pPr>
              <w:widowControl/>
              <w:shd w:val="clear" w:color="auto" w:fill="FFFFFF"/>
              <w:snapToGrid w:val="0"/>
              <w:spacing w:line="360" w:lineRule="auto"/>
              <w:jc w:val="both"/>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投标文件必须按招标文件要求加盖投标人电子印章、法定代表人电子印章。</w:t>
            </w:r>
          </w:p>
        </w:tc>
        <w:tc>
          <w:tcPr>
            <w:tcW w:w="3496" w:type="dxa"/>
            <w:vAlign w:val="center"/>
          </w:tcPr>
          <w:p w14:paraId="376B4CFA">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1893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0D7197DE">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w:t>
            </w:r>
          </w:p>
        </w:tc>
        <w:tc>
          <w:tcPr>
            <w:tcW w:w="5299" w:type="dxa"/>
            <w:vAlign w:val="center"/>
          </w:tcPr>
          <w:p w14:paraId="22852132">
            <w:pPr>
              <w:widowControl/>
              <w:shd w:val="clear" w:color="auto" w:fill="FFFFFF"/>
              <w:snapToGrid w:val="0"/>
              <w:spacing w:line="360" w:lineRule="auto"/>
              <w:jc w:val="both"/>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投标价格明细表必须完整填写。</w:t>
            </w:r>
          </w:p>
        </w:tc>
        <w:tc>
          <w:tcPr>
            <w:tcW w:w="3496" w:type="dxa"/>
            <w:vAlign w:val="center"/>
          </w:tcPr>
          <w:p w14:paraId="5BAF4563">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7876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7FF1E9C2">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p>
        </w:tc>
        <w:tc>
          <w:tcPr>
            <w:tcW w:w="5299" w:type="dxa"/>
            <w:vAlign w:val="center"/>
          </w:tcPr>
          <w:p w14:paraId="703D6C07">
            <w:pPr>
              <w:widowControl/>
              <w:shd w:val="clear" w:color="auto" w:fill="FFFFFF"/>
              <w:snapToGrid w:val="0"/>
              <w:spacing w:line="360" w:lineRule="auto"/>
              <w:jc w:val="both"/>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投标价格不得超过投标人须知前附表中的</w:t>
            </w:r>
            <w:r>
              <w:rPr>
                <w:rFonts w:hint="eastAsia" w:ascii="仿宋" w:hAnsi="仿宋" w:eastAsia="仿宋" w:cs="仿宋"/>
                <w:color w:val="auto"/>
                <w:kern w:val="0"/>
                <w:szCs w:val="24"/>
                <w:highlight w:val="none"/>
                <w:lang w:val="en-US" w:eastAsia="zh-CN"/>
              </w:rPr>
              <w:t>最高限价。</w:t>
            </w:r>
          </w:p>
        </w:tc>
        <w:tc>
          <w:tcPr>
            <w:tcW w:w="3496" w:type="dxa"/>
            <w:vAlign w:val="center"/>
          </w:tcPr>
          <w:p w14:paraId="1C883329">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1255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722" w:type="dxa"/>
            <w:tcMar>
              <w:top w:w="0" w:type="dxa"/>
              <w:left w:w="28" w:type="dxa"/>
              <w:bottom w:w="0" w:type="dxa"/>
              <w:right w:w="28" w:type="dxa"/>
            </w:tcMar>
            <w:vAlign w:val="center"/>
          </w:tcPr>
          <w:p w14:paraId="5DE46786">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4</w:t>
            </w:r>
          </w:p>
        </w:tc>
        <w:tc>
          <w:tcPr>
            <w:tcW w:w="5299" w:type="dxa"/>
            <w:vAlign w:val="center"/>
          </w:tcPr>
          <w:p w14:paraId="6DDE6AAF">
            <w:pPr>
              <w:widowControl/>
              <w:shd w:val="clear" w:color="auto" w:fill="FFFFFF"/>
              <w:snapToGrid w:val="0"/>
              <w:spacing w:line="360" w:lineRule="auto"/>
              <w:jc w:val="both"/>
              <w:rPr>
                <w:rFonts w:hint="eastAsia" w:ascii="仿宋" w:hAnsi="仿宋" w:eastAsia="仿宋" w:cs="仿宋"/>
                <w:color w:val="auto"/>
                <w:highlight w:val="none"/>
                <w:lang w:val="en-US" w:eastAsia="zh-CN"/>
              </w:rPr>
            </w:pPr>
            <w:r>
              <w:rPr>
                <w:rFonts w:hint="eastAsia" w:ascii="仿宋" w:hAnsi="仿宋" w:eastAsia="仿宋" w:cs="仿宋"/>
                <w:color w:val="auto"/>
                <w:kern w:val="0"/>
                <w:szCs w:val="24"/>
                <w:highlight w:val="none"/>
              </w:rPr>
              <w:t>售后服务承诺必须提供。</w:t>
            </w:r>
          </w:p>
        </w:tc>
        <w:tc>
          <w:tcPr>
            <w:tcW w:w="3496" w:type="dxa"/>
            <w:tcMar>
              <w:top w:w="0" w:type="dxa"/>
              <w:left w:w="28" w:type="dxa"/>
              <w:bottom w:w="0" w:type="dxa"/>
              <w:right w:w="28" w:type="dxa"/>
            </w:tcMar>
            <w:vAlign w:val="center"/>
          </w:tcPr>
          <w:p w14:paraId="5AE87FEA">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2D63C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722" w:type="dxa"/>
            <w:tcMar>
              <w:top w:w="0" w:type="dxa"/>
              <w:left w:w="28" w:type="dxa"/>
              <w:bottom w:w="0" w:type="dxa"/>
              <w:right w:w="28" w:type="dxa"/>
            </w:tcMar>
            <w:vAlign w:val="center"/>
          </w:tcPr>
          <w:p w14:paraId="6D9A07F5">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5</w:t>
            </w:r>
          </w:p>
        </w:tc>
        <w:tc>
          <w:tcPr>
            <w:tcW w:w="5299" w:type="dxa"/>
            <w:vAlign w:val="center"/>
          </w:tcPr>
          <w:p w14:paraId="2703C78E">
            <w:pPr>
              <w:widowControl/>
              <w:shd w:val="clear" w:color="auto" w:fill="FFFFFF"/>
              <w:snapToGrid w:val="0"/>
              <w:spacing w:line="360" w:lineRule="auto"/>
              <w:jc w:val="both"/>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eastAsia="zh-CN"/>
              </w:rPr>
              <w:t>合同履约期限</w:t>
            </w:r>
            <w:r>
              <w:rPr>
                <w:rFonts w:hint="eastAsia" w:ascii="仿宋" w:hAnsi="仿宋" w:eastAsia="仿宋" w:cs="仿宋"/>
                <w:color w:val="auto"/>
                <w:kern w:val="0"/>
                <w:szCs w:val="24"/>
                <w:highlight w:val="none"/>
              </w:rPr>
              <w:t>和</w:t>
            </w:r>
            <w:r>
              <w:rPr>
                <w:rFonts w:hint="eastAsia" w:ascii="仿宋" w:hAnsi="仿宋" w:eastAsia="仿宋" w:cs="仿宋"/>
                <w:color w:val="auto"/>
                <w:kern w:val="0"/>
                <w:szCs w:val="24"/>
                <w:highlight w:val="none"/>
                <w:lang w:eastAsia="zh-CN"/>
              </w:rPr>
              <w:t>保质期（有效期）</w:t>
            </w:r>
            <w:r>
              <w:rPr>
                <w:rFonts w:hint="eastAsia" w:ascii="仿宋" w:hAnsi="仿宋" w:eastAsia="仿宋" w:cs="仿宋"/>
                <w:color w:val="auto"/>
                <w:kern w:val="0"/>
                <w:szCs w:val="24"/>
                <w:highlight w:val="none"/>
              </w:rPr>
              <w:t>必须满足招标文件要求。</w:t>
            </w:r>
          </w:p>
        </w:tc>
        <w:tc>
          <w:tcPr>
            <w:tcW w:w="3496" w:type="dxa"/>
            <w:tcMar>
              <w:top w:w="0" w:type="dxa"/>
              <w:left w:w="28" w:type="dxa"/>
              <w:bottom w:w="0" w:type="dxa"/>
              <w:right w:w="28" w:type="dxa"/>
            </w:tcMar>
            <w:vAlign w:val="center"/>
          </w:tcPr>
          <w:p w14:paraId="10A8C859">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44409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80" w:hRule="atLeast"/>
          <w:jc w:val="center"/>
        </w:trPr>
        <w:tc>
          <w:tcPr>
            <w:tcW w:w="722" w:type="dxa"/>
            <w:tcMar>
              <w:top w:w="0" w:type="dxa"/>
              <w:left w:w="28" w:type="dxa"/>
              <w:bottom w:w="0" w:type="dxa"/>
              <w:right w:w="28" w:type="dxa"/>
            </w:tcMar>
            <w:vAlign w:val="center"/>
          </w:tcPr>
          <w:p w14:paraId="08152A50">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6</w:t>
            </w:r>
          </w:p>
        </w:tc>
        <w:tc>
          <w:tcPr>
            <w:tcW w:w="5299" w:type="dxa"/>
            <w:shd w:val="clear" w:color="auto" w:fill="auto"/>
            <w:vAlign w:val="center"/>
          </w:tcPr>
          <w:p w14:paraId="2ECF5AF1">
            <w:pPr>
              <w:spacing w:line="360" w:lineRule="auto"/>
              <w:jc w:val="both"/>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投标保证金必须按照招标文件要求缴纳。</w:t>
            </w:r>
          </w:p>
        </w:tc>
        <w:tc>
          <w:tcPr>
            <w:tcW w:w="3496" w:type="dxa"/>
            <w:shd w:val="clear" w:color="auto" w:fill="auto"/>
            <w:tcMar>
              <w:top w:w="0" w:type="dxa"/>
              <w:left w:w="28" w:type="dxa"/>
              <w:bottom w:w="0" w:type="dxa"/>
              <w:right w:w="28" w:type="dxa"/>
            </w:tcMar>
            <w:vAlign w:val="center"/>
          </w:tcPr>
          <w:p w14:paraId="464A444C">
            <w:pPr>
              <w:spacing w:line="360" w:lineRule="auto"/>
              <w:jc w:val="lef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保证金缴纳证明材料：汇款凭证或支票或汇票或保函或保证金收据等的扫描件。</w:t>
            </w:r>
          </w:p>
        </w:tc>
      </w:tr>
      <w:tr w14:paraId="75F40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722" w:type="dxa"/>
            <w:shd w:val="clear" w:color="auto" w:fill="auto"/>
            <w:tcMar>
              <w:top w:w="0" w:type="dxa"/>
              <w:left w:w="28" w:type="dxa"/>
              <w:bottom w:w="0" w:type="dxa"/>
              <w:right w:w="28" w:type="dxa"/>
            </w:tcMar>
            <w:vAlign w:val="center"/>
          </w:tcPr>
          <w:p w14:paraId="58F96C4C">
            <w:pPr>
              <w:widowControl/>
              <w:shd w:val="clear" w:color="auto" w:fill="FFFFFF"/>
              <w:snapToGrid w:val="0"/>
              <w:spacing w:line="360" w:lineRule="auto"/>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lang w:val="en-US" w:eastAsia="zh-CN"/>
              </w:rPr>
              <w:t>7</w:t>
            </w:r>
          </w:p>
        </w:tc>
        <w:tc>
          <w:tcPr>
            <w:tcW w:w="5299" w:type="dxa"/>
            <w:shd w:val="clear" w:color="auto" w:fill="auto"/>
            <w:vAlign w:val="center"/>
          </w:tcPr>
          <w:p w14:paraId="228FDEBC">
            <w:pPr>
              <w:widowControl/>
              <w:shd w:val="clear" w:color="auto" w:fill="FFFFFF"/>
              <w:snapToGrid w:val="0"/>
              <w:spacing w:line="360" w:lineRule="auto"/>
              <w:jc w:val="both"/>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投标文件符合招标文件全部实质性要求。</w:t>
            </w:r>
          </w:p>
        </w:tc>
        <w:tc>
          <w:tcPr>
            <w:tcW w:w="3496" w:type="dxa"/>
            <w:shd w:val="clear" w:color="auto" w:fill="auto"/>
            <w:tcMar>
              <w:top w:w="0" w:type="dxa"/>
              <w:left w:w="28" w:type="dxa"/>
              <w:bottom w:w="0" w:type="dxa"/>
              <w:right w:w="28" w:type="dxa"/>
            </w:tcMar>
            <w:vAlign w:val="center"/>
          </w:tcPr>
          <w:p w14:paraId="0501C849">
            <w:pPr>
              <w:widowControl/>
              <w:shd w:val="clear" w:color="auto" w:fill="FFFFFF"/>
              <w:snapToGrid w:val="0"/>
              <w:spacing w:line="360" w:lineRule="auto"/>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w:t>
            </w:r>
          </w:p>
        </w:tc>
      </w:tr>
      <w:tr w14:paraId="20E6A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9517" w:type="dxa"/>
            <w:gridSpan w:val="3"/>
            <w:vAlign w:val="center"/>
          </w:tcPr>
          <w:p w14:paraId="18A13121">
            <w:pPr>
              <w:widowControl/>
              <w:shd w:val="clear" w:color="auto" w:fill="FFFFFF"/>
              <w:snapToGrid w:val="0"/>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14:paraId="7A1AF4A4">
      <w:pPr>
        <w:rPr>
          <w:rFonts w:hint="eastAsia" w:ascii="仿宋" w:hAnsi="仿宋" w:eastAsia="仿宋" w:cs="仿宋"/>
          <w:b/>
          <w:color w:val="auto"/>
          <w:szCs w:val="24"/>
          <w:highlight w:val="none"/>
        </w:rPr>
      </w:pPr>
    </w:p>
    <w:p w14:paraId="1EE21171">
      <w:pPr>
        <w:pStyle w:val="11"/>
        <w:jc w:val="center"/>
        <w:rPr>
          <w:rFonts w:hint="eastAsia" w:ascii="仿宋" w:hAnsi="仿宋" w:eastAsia="仿宋" w:cs="仿宋"/>
          <w:color w:val="auto"/>
          <w:highlight w:val="none"/>
        </w:rPr>
      </w:pPr>
      <w:r>
        <w:rPr>
          <w:rFonts w:hint="eastAsia" w:ascii="仿宋" w:hAnsi="仿宋" w:eastAsia="仿宋" w:cs="仿宋"/>
          <w:b/>
          <w:color w:val="auto"/>
          <w:szCs w:val="24"/>
          <w:highlight w:val="none"/>
        </w:rPr>
        <w:t>标项</w:t>
      </w:r>
      <w:r>
        <w:rPr>
          <w:rFonts w:hint="eastAsia" w:ascii="仿宋" w:hAnsi="仿宋" w:eastAsia="仿宋" w:cs="仿宋"/>
          <w:b/>
          <w:bCs/>
          <w:color w:val="auto"/>
          <w:szCs w:val="21"/>
          <w:highlight w:val="none"/>
        </w:rPr>
        <w:t>1、2</w:t>
      </w:r>
      <w:r>
        <w:rPr>
          <w:rFonts w:hint="eastAsia" w:ascii="仿宋" w:hAnsi="仿宋" w:eastAsia="仿宋" w:cs="仿宋"/>
          <w:b/>
          <w:color w:val="auto"/>
          <w:szCs w:val="24"/>
          <w:highlight w:val="none"/>
        </w:rPr>
        <w:t>《详细评审标准》</w:t>
      </w:r>
    </w:p>
    <w:tbl>
      <w:tblPr>
        <w:tblStyle w:val="38"/>
        <w:tblW w:w="50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21"/>
        <w:gridCol w:w="1349"/>
        <w:gridCol w:w="951"/>
        <w:gridCol w:w="6195"/>
      </w:tblGrid>
      <w:tr w14:paraId="13826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91" w:type="pct"/>
            <w:vAlign w:val="center"/>
          </w:tcPr>
          <w:p w14:paraId="1039E064">
            <w:pPr>
              <w:widowControl/>
              <w:shd w:val="clear" w:color="auto" w:fill="FFFFFF"/>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序号</w:t>
            </w:r>
          </w:p>
        </w:tc>
        <w:tc>
          <w:tcPr>
            <w:tcW w:w="732" w:type="pct"/>
            <w:vAlign w:val="center"/>
          </w:tcPr>
          <w:p w14:paraId="771BCD03">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评审项目</w:t>
            </w:r>
          </w:p>
        </w:tc>
        <w:tc>
          <w:tcPr>
            <w:tcW w:w="516" w:type="pct"/>
            <w:vAlign w:val="center"/>
          </w:tcPr>
          <w:p w14:paraId="4D66E869">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标准分</w:t>
            </w:r>
          </w:p>
        </w:tc>
        <w:tc>
          <w:tcPr>
            <w:tcW w:w="3359" w:type="pct"/>
            <w:vAlign w:val="center"/>
          </w:tcPr>
          <w:p w14:paraId="43BB6C08">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评审标准</w:t>
            </w:r>
          </w:p>
        </w:tc>
      </w:tr>
      <w:tr w14:paraId="0FF52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91" w:type="pct"/>
            <w:tcMar>
              <w:top w:w="0" w:type="dxa"/>
              <w:left w:w="108" w:type="dxa"/>
              <w:bottom w:w="0" w:type="dxa"/>
              <w:right w:w="108" w:type="dxa"/>
            </w:tcMar>
            <w:vAlign w:val="center"/>
          </w:tcPr>
          <w:p w14:paraId="20525523">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732" w:type="pct"/>
            <w:tcMar>
              <w:top w:w="0" w:type="dxa"/>
              <w:left w:w="108" w:type="dxa"/>
              <w:bottom w:w="0" w:type="dxa"/>
              <w:right w:w="108" w:type="dxa"/>
            </w:tcMar>
            <w:vAlign w:val="center"/>
          </w:tcPr>
          <w:p w14:paraId="0FA0B88D">
            <w:pPr>
              <w:spacing w:line="360" w:lineRule="auto"/>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类似业绩</w:t>
            </w:r>
          </w:p>
        </w:tc>
        <w:tc>
          <w:tcPr>
            <w:tcW w:w="516" w:type="pct"/>
            <w:tcMar>
              <w:top w:w="0" w:type="dxa"/>
              <w:left w:w="108" w:type="dxa"/>
              <w:bottom w:w="0" w:type="dxa"/>
              <w:right w:w="108" w:type="dxa"/>
            </w:tcMar>
            <w:vAlign w:val="center"/>
          </w:tcPr>
          <w:p w14:paraId="2B7385EA">
            <w:pPr>
              <w:spacing w:line="360" w:lineRule="auto"/>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2</w:t>
            </w:r>
          </w:p>
        </w:tc>
        <w:tc>
          <w:tcPr>
            <w:tcW w:w="3359" w:type="pct"/>
            <w:tcMar>
              <w:top w:w="0" w:type="dxa"/>
              <w:left w:w="108" w:type="dxa"/>
              <w:bottom w:w="0" w:type="dxa"/>
              <w:right w:w="108" w:type="dxa"/>
            </w:tcMar>
            <w:vAlign w:val="center"/>
          </w:tcPr>
          <w:p w14:paraId="64E4BDBF">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投标人近三年(202</w:t>
            </w: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年1月1日-至今)完成的类似业绩，一项计1分，最多计</w:t>
            </w: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项(须提供合同)。</w:t>
            </w:r>
          </w:p>
        </w:tc>
      </w:tr>
      <w:tr w14:paraId="7DA8A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91" w:type="pct"/>
            <w:tcMar>
              <w:top w:w="0" w:type="dxa"/>
              <w:left w:w="108" w:type="dxa"/>
              <w:bottom w:w="0" w:type="dxa"/>
              <w:right w:w="108" w:type="dxa"/>
            </w:tcMar>
            <w:vAlign w:val="center"/>
          </w:tcPr>
          <w:p w14:paraId="28049F57">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732" w:type="pct"/>
            <w:tcMar>
              <w:top w:w="0" w:type="dxa"/>
              <w:left w:w="108" w:type="dxa"/>
              <w:bottom w:w="0" w:type="dxa"/>
              <w:right w:w="108" w:type="dxa"/>
            </w:tcMar>
            <w:vAlign w:val="center"/>
          </w:tcPr>
          <w:p w14:paraId="7D32EB95">
            <w:pPr>
              <w:spacing w:line="360" w:lineRule="auto"/>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技术指标</w:t>
            </w:r>
          </w:p>
        </w:tc>
        <w:tc>
          <w:tcPr>
            <w:tcW w:w="516" w:type="pct"/>
            <w:tcMar>
              <w:top w:w="0" w:type="dxa"/>
              <w:left w:w="108" w:type="dxa"/>
              <w:bottom w:w="0" w:type="dxa"/>
              <w:right w:w="108" w:type="dxa"/>
            </w:tcMar>
            <w:vAlign w:val="center"/>
          </w:tcPr>
          <w:p w14:paraId="4F77A8C5">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30</w:t>
            </w:r>
          </w:p>
        </w:tc>
        <w:tc>
          <w:tcPr>
            <w:tcW w:w="3359" w:type="pct"/>
            <w:tcMar>
              <w:top w:w="0" w:type="dxa"/>
              <w:left w:w="108" w:type="dxa"/>
              <w:bottom w:w="0" w:type="dxa"/>
              <w:right w:w="108" w:type="dxa"/>
            </w:tcMar>
            <w:vAlign w:val="center"/>
          </w:tcPr>
          <w:p w14:paraId="2BBE16A1">
            <w:pPr>
              <w:spacing w:line="360" w:lineRule="auto"/>
              <w:ind w:firstLine="420" w:firstLineChars="200"/>
              <w:rPr>
                <w:rFonts w:hint="eastAsia"/>
                <w:color w:val="auto"/>
                <w:highlight w:val="none"/>
              </w:rPr>
            </w:pPr>
            <w:r>
              <w:rPr>
                <w:rFonts w:hint="eastAsia" w:ascii="仿宋" w:hAnsi="仿宋" w:eastAsia="仿宋" w:cs="仿宋"/>
                <w:color w:val="auto"/>
                <w:kern w:val="0"/>
                <w:szCs w:val="21"/>
                <w:highlight w:val="none"/>
                <w:lang w:val="en-US" w:eastAsia="zh-CN"/>
              </w:rPr>
              <w:t>技术指标全部满足采购文件要求，无偏离得30分，技术指标缺一项或不满足的项扣1分；扣完为止。</w:t>
            </w:r>
          </w:p>
        </w:tc>
      </w:tr>
      <w:tr w14:paraId="0B803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91" w:type="pct"/>
            <w:tcMar>
              <w:top w:w="0" w:type="dxa"/>
              <w:left w:w="108" w:type="dxa"/>
              <w:bottom w:w="0" w:type="dxa"/>
              <w:right w:w="108" w:type="dxa"/>
            </w:tcMar>
            <w:vAlign w:val="center"/>
          </w:tcPr>
          <w:p w14:paraId="0854CC81">
            <w:pPr>
              <w:spacing w:line="360" w:lineRule="auto"/>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3</w:t>
            </w:r>
          </w:p>
        </w:tc>
        <w:tc>
          <w:tcPr>
            <w:tcW w:w="732" w:type="pct"/>
            <w:shd w:val="clear" w:color="auto" w:fill="auto"/>
            <w:tcMar>
              <w:top w:w="0" w:type="dxa"/>
              <w:left w:w="108" w:type="dxa"/>
              <w:bottom w:w="0" w:type="dxa"/>
              <w:right w:w="108" w:type="dxa"/>
            </w:tcMar>
            <w:vAlign w:val="center"/>
          </w:tcPr>
          <w:p w14:paraId="46BE60E0">
            <w:pPr>
              <w:spacing w:line="360" w:lineRule="auto"/>
              <w:ind w:left="-105" w:leftChars="-50" w:right="-105" w:rightChars="-5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实施方案</w:t>
            </w:r>
          </w:p>
        </w:tc>
        <w:tc>
          <w:tcPr>
            <w:tcW w:w="516" w:type="pct"/>
            <w:shd w:val="clear" w:color="auto" w:fill="auto"/>
            <w:tcMar>
              <w:top w:w="0" w:type="dxa"/>
              <w:left w:w="108" w:type="dxa"/>
              <w:bottom w:w="0" w:type="dxa"/>
              <w:right w:w="108" w:type="dxa"/>
            </w:tcMar>
            <w:vAlign w:val="center"/>
          </w:tcPr>
          <w:p w14:paraId="57326497">
            <w:pPr>
              <w:spacing w:line="360" w:lineRule="auto"/>
              <w:jc w:val="center"/>
              <w:rPr>
                <w:rFonts w:hint="default"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lang w:val="en-US" w:eastAsia="zh-CN"/>
              </w:rPr>
              <w:t>16</w:t>
            </w:r>
          </w:p>
        </w:tc>
        <w:tc>
          <w:tcPr>
            <w:tcW w:w="3359" w:type="pct"/>
            <w:shd w:val="clear" w:color="auto" w:fill="auto"/>
            <w:tcMar>
              <w:top w:w="0" w:type="dxa"/>
              <w:left w:w="108" w:type="dxa"/>
              <w:bottom w:w="0" w:type="dxa"/>
              <w:right w:w="108" w:type="dxa"/>
            </w:tcMar>
            <w:vAlign w:val="center"/>
          </w:tcPr>
          <w:p w14:paraId="7757E0DB">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实施方案</w:t>
            </w:r>
            <w:r>
              <w:rPr>
                <w:rFonts w:hint="eastAsia" w:ascii="仿宋" w:hAnsi="仿宋" w:eastAsia="仿宋" w:cs="仿宋"/>
                <w:color w:val="auto"/>
                <w:highlight w:val="none"/>
                <w:lang w:val="en-US" w:eastAsia="zh-CN"/>
              </w:rPr>
              <w:t>包括但不限于：</w:t>
            </w:r>
            <w:r>
              <w:rPr>
                <w:rFonts w:hint="eastAsia" w:ascii="仿宋" w:hAnsi="仿宋" w:eastAsia="仿宋" w:cs="仿宋"/>
                <w:color w:val="auto"/>
                <w:kern w:val="0"/>
                <w:szCs w:val="21"/>
                <w:highlight w:val="none"/>
              </w:rPr>
              <w:t>①供货计划</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②</w:t>
            </w:r>
            <w:r>
              <w:rPr>
                <w:rFonts w:ascii="仿宋_GB2312" w:hAnsi="仿宋_GB2312" w:eastAsia="仿宋_GB2312" w:cs="仿宋_GB2312"/>
                <w:color w:val="auto"/>
                <w:highlight w:val="none"/>
              </w:rPr>
              <w:t>成品包装、运输保护措施</w:t>
            </w:r>
            <w:r>
              <w:rPr>
                <w:rFonts w:hint="eastAsia" w:ascii="仿宋_GB2312" w:hAnsi="仿宋_GB2312" w:eastAsia="仿宋_GB2312" w:cs="仿宋_GB2312"/>
                <w:color w:val="auto"/>
                <w:highlight w:val="none"/>
                <w:lang w:eastAsia="zh-CN"/>
              </w:rPr>
              <w:t>，</w:t>
            </w:r>
            <w:r>
              <w:rPr>
                <w:rFonts w:hint="eastAsia" w:ascii="仿宋" w:hAnsi="仿宋" w:eastAsia="仿宋" w:cs="仿宋"/>
                <w:color w:val="auto"/>
                <w:kern w:val="0"/>
                <w:szCs w:val="21"/>
                <w:highlight w:val="none"/>
              </w:rPr>
              <w:t>③安装调试措施</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④故障维修处理方案</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4</w:t>
            </w:r>
            <w:r>
              <w:rPr>
                <w:rFonts w:hint="eastAsia" w:ascii="仿宋" w:hAnsi="仿宋" w:eastAsia="仿宋" w:cs="仿宋"/>
                <w:color w:val="auto"/>
                <w:kern w:val="0"/>
                <w:szCs w:val="21"/>
                <w:highlight w:val="none"/>
              </w:rPr>
              <w:t>部分要素。</w:t>
            </w:r>
          </w:p>
          <w:p w14:paraId="20E4BC8E">
            <w:pPr>
              <w:spacing w:line="360" w:lineRule="auto"/>
              <w:ind w:firstLine="420" w:firstLineChars="200"/>
              <w:rPr>
                <w:rFonts w:hint="eastAsia" w:ascii="仿宋" w:hAnsi="仿宋" w:eastAsia="仿宋" w:cs="仿宋"/>
                <w:color w:val="auto"/>
                <w:kern w:val="0"/>
                <w:szCs w:val="21"/>
                <w:highlight w:val="none"/>
                <w:lang w:val="en-US" w:eastAsia="zh-CN"/>
              </w:rPr>
            </w:pPr>
            <w:r>
              <w:rPr>
                <w:rFonts w:hint="eastAsia" w:ascii="仿宋" w:hAnsi="仿宋" w:eastAsia="仿宋" w:cs="仿宋"/>
                <w:color w:val="auto"/>
                <w:szCs w:val="21"/>
                <w:highlight w:val="none"/>
              </w:rPr>
              <w:t>所有要素齐全且完全满足项目要求得</w:t>
            </w:r>
            <w:r>
              <w:rPr>
                <w:rFonts w:hint="eastAsia" w:ascii="仿宋" w:hAnsi="仿宋" w:eastAsia="仿宋" w:cs="仿宋"/>
                <w:color w:val="auto"/>
                <w:szCs w:val="21"/>
                <w:highlight w:val="none"/>
                <w:lang w:val="en-US" w:eastAsia="zh-CN"/>
              </w:rPr>
              <w:t>16</w:t>
            </w:r>
            <w:r>
              <w:rPr>
                <w:rFonts w:hint="eastAsia" w:ascii="仿宋" w:hAnsi="仿宋" w:eastAsia="仿宋" w:cs="仿宋"/>
                <w:color w:val="auto"/>
                <w:szCs w:val="21"/>
                <w:highlight w:val="none"/>
              </w:rPr>
              <w:t>分，每缺一个要素扣</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分，每个要素里每有一处内容缺陷扣</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分（扣完为止）。</w:t>
            </w:r>
          </w:p>
        </w:tc>
      </w:tr>
      <w:tr w14:paraId="5509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91" w:type="pct"/>
            <w:tcMar>
              <w:top w:w="0" w:type="dxa"/>
              <w:left w:w="108" w:type="dxa"/>
              <w:bottom w:w="0" w:type="dxa"/>
              <w:right w:w="108" w:type="dxa"/>
            </w:tcMar>
            <w:vAlign w:val="center"/>
          </w:tcPr>
          <w:p w14:paraId="3518F032">
            <w:pPr>
              <w:spacing w:line="360" w:lineRule="auto"/>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4</w:t>
            </w:r>
          </w:p>
        </w:tc>
        <w:tc>
          <w:tcPr>
            <w:tcW w:w="732" w:type="pct"/>
            <w:shd w:val="clear" w:color="auto" w:fill="auto"/>
            <w:tcMar>
              <w:top w:w="0" w:type="dxa"/>
              <w:left w:w="108" w:type="dxa"/>
              <w:bottom w:w="0" w:type="dxa"/>
              <w:right w:w="108" w:type="dxa"/>
            </w:tcMar>
            <w:vAlign w:val="center"/>
          </w:tcPr>
          <w:p w14:paraId="24751877">
            <w:pPr>
              <w:spacing w:line="360" w:lineRule="auto"/>
              <w:ind w:left="-105" w:leftChars="-50" w:right="-105" w:rightChars="-5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质量保证方案</w:t>
            </w:r>
          </w:p>
        </w:tc>
        <w:tc>
          <w:tcPr>
            <w:tcW w:w="516" w:type="pct"/>
            <w:shd w:val="clear" w:color="auto" w:fill="auto"/>
            <w:tcMar>
              <w:top w:w="0" w:type="dxa"/>
              <w:left w:w="108" w:type="dxa"/>
              <w:bottom w:w="0" w:type="dxa"/>
              <w:right w:w="108" w:type="dxa"/>
            </w:tcMar>
            <w:vAlign w:val="center"/>
          </w:tcPr>
          <w:p w14:paraId="211D351B">
            <w:pPr>
              <w:spacing w:line="36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lang w:val="en-US" w:eastAsia="zh-CN"/>
              </w:rPr>
              <w:t>6</w:t>
            </w:r>
          </w:p>
        </w:tc>
        <w:tc>
          <w:tcPr>
            <w:tcW w:w="3359" w:type="pct"/>
            <w:shd w:val="clear" w:color="auto" w:fill="auto"/>
            <w:tcMar>
              <w:top w:w="0" w:type="dxa"/>
              <w:left w:w="108" w:type="dxa"/>
              <w:bottom w:w="0" w:type="dxa"/>
              <w:right w:w="108" w:type="dxa"/>
            </w:tcMar>
            <w:vAlign w:val="center"/>
          </w:tcPr>
          <w:p w14:paraId="6B103375">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质量保证方案</w:t>
            </w:r>
            <w:r>
              <w:rPr>
                <w:rFonts w:hint="eastAsia" w:ascii="仿宋" w:hAnsi="仿宋" w:eastAsia="仿宋" w:cs="仿宋"/>
                <w:color w:val="auto"/>
                <w:highlight w:val="none"/>
                <w:lang w:val="en-US" w:eastAsia="zh-CN"/>
              </w:rPr>
              <w:t>包括但不限于：</w:t>
            </w:r>
            <w:r>
              <w:rPr>
                <w:rFonts w:hint="eastAsia" w:ascii="仿宋" w:hAnsi="仿宋" w:eastAsia="仿宋" w:cs="仿宋"/>
                <w:color w:val="auto"/>
                <w:kern w:val="0"/>
                <w:szCs w:val="21"/>
                <w:highlight w:val="none"/>
              </w:rPr>
              <w:t>①质量检测措施</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②质量管理制度</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部分要素。</w:t>
            </w:r>
          </w:p>
          <w:p w14:paraId="130C2947">
            <w:pPr>
              <w:spacing w:line="360" w:lineRule="auto"/>
              <w:ind w:firstLine="420" w:firstLineChars="20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所有要素齐全且完全满足项目要求得</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分，每缺一个要素扣</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分，每个要素里每有一处内容缺陷扣</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分（扣完为止）。</w:t>
            </w:r>
          </w:p>
        </w:tc>
      </w:tr>
      <w:tr w14:paraId="0A090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91" w:type="pct"/>
            <w:tcMar>
              <w:top w:w="0" w:type="dxa"/>
              <w:left w:w="108" w:type="dxa"/>
              <w:bottom w:w="0" w:type="dxa"/>
              <w:right w:w="108" w:type="dxa"/>
            </w:tcMar>
            <w:vAlign w:val="center"/>
          </w:tcPr>
          <w:p w14:paraId="7A9E2491">
            <w:pPr>
              <w:spacing w:line="360" w:lineRule="auto"/>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5</w:t>
            </w:r>
          </w:p>
        </w:tc>
        <w:tc>
          <w:tcPr>
            <w:tcW w:w="732" w:type="pct"/>
            <w:shd w:val="clear" w:color="auto" w:fill="auto"/>
            <w:tcMar>
              <w:top w:w="0" w:type="dxa"/>
              <w:left w:w="108" w:type="dxa"/>
              <w:bottom w:w="0" w:type="dxa"/>
              <w:right w:w="108" w:type="dxa"/>
            </w:tcMar>
            <w:vAlign w:val="center"/>
          </w:tcPr>
          <w:p w14:paraId="243E13F2">
            <w:pPr>
              <w:spacing w:line="360" w:lineRule="auto"/>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应急预案</w:t>
            </w:r>
          </w:p>
        </w:tc>
        <w:tc>
          <w:tcPr>
            <w:tcW w:w="516" w:type="pct"/>
            <w:shd w:val="clear" w:color="auto" w:fill="auto"/>
            <w:tcMar>
              <w:top w:w="0" w:type="dxa"/>
              <w:left w:w="108" w:type="dxa"/>
              <w:bottom w:w="0" w:type="dxa"/>
              <w:right w:w="108" w:type="dxa"/>
            </w:tcMar>
            <w:vAlign w:val="center"/>
          </w:tcPr>
          <w:p w14:paraId="32949F83">
            <w:pPr>
              <w:spacing w:line="360" w:lineRule="auto"/>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6</w:t>
            </w:r>
          </w:p>
        </w:tc>
        <w:tc>
          <w:tcPr>
            <w:tcW w:w="3359" w:type="pct"/>
            <w:shd w:val="clear" w:color="auto" w:fill="auto"/>
            <w:tcMar>
              <w:top w:w="0" w:type="dxa"/>
              <w:left w:w="108" w:type="dxa"/>
              <w:bottom w:w="0" w:type="dxa"/>
              <w:right w:w="108" w:type="dxa"/>
            </w:tcMar>
            <w:vAlign w:val="center"/>
          </w:tcPr>
          <w:p w14:paraId="5471E7BE">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应急预案</w:t>
            </w:r>
            <w:r>
              <w:rPr>
                <w:rFonts w:hint="eastAsia" w:ascii="仿宋" w:hAnsi="仿宋" w:eastAsia="仿宋" w:cs="仿宋"/>
                <w:color w:val="auto"/>
                <w:highlight w:val="none"/>
                <w:lang w:val="en-US" w:eastAsia="zh-CN"/>
              </w:rPr>
              <w:t>包括但不限于：</w:t>
            </w:r>
            <w:r>
              <w:rPr>
                <w:rFonts w:hint="eastAsia" w:ascii="仿宋" w:hAnsi="仿宋" w:eastAsia="仿宋" w:cs="仿宋"/>
                <w:color w:val="auto"/>
                <w:szCs w:val="21"/>
                <w:highlight w:val="none"/>
                <w:lang w:eastAsia="zh-CN"/>
              </w:rPr>
              <w:t>①风险预防措施，②应急响应流程，③资源保障措施；</w:t>
            </w:r>
            <w:r>
              <w:rPr>
                <w:rFonts w:hint="eastAsia" w:ascii="仿宋" w:hAnsi="仿宋" w:eastAsia="仿宋" w:cs="仿宋"/>
                <w:color w:val="auto"/>
                <w:kern w:val="0"/>
                <w:szCs w:val="21"/>
                <w:highlight w:val="none"/>
                <w:lang w:val="en-US" w:eastAsia="zh-CN"/>
              </w:rPr>
              <w:t>3</w:t>
            </w:r>
            <w:r>
              <w:rPr>
                <w:rFonts w:hint="eastAsia" w:ascii="仿宋" w:hAnsi="仿宋" w:eastAsia="仿宋" w:cs="仿宋"/>
                <w:color w:val="auto"/>
                <w:kern w:val="0"/>
                <w:szCs w:val="21"/>
                <w:highlight w:val="none"/>
              </w:rPr>
              <w:t>部分要素。</w:t>
            </w:r>
          </w:p>
          <w:p w14:paraId="6E746534">
            <w:pPr>
              <w:spacing w:line="360"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所有要素齐全且完全满足项目要求得</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分，每缺一个要素扣</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分，每个要素里每有一处内容缺陷扣</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分（扣完为止）。</w:t>
            </w:r>
          </w:p>
        </w:tc>
      </w:tr>
      <w:tr w14:paraId="10632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91" w:type="pct"/>
            <w:tcMar>
              <w:top w:w="0" w:type="dxa"/>
              <w:left w:w="108" w:type="dxa"/>
              <w:bottom w:w="0" w:type="dxa"/>
              <w:right w:w="108" w:type="dxa"/>
            </w:tcMar>
            <w:vAlign w:val="center"/>
          </w:tcPr>
          <w:p w14:paraId="21B1A686">
            <w:pPr>
              <w:spacing w:line="360" w:lineRule="auto"/>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6</w:t>
            </w:r>
          </w:p>
        </w:tc>
        <w:tc>
          <w:tcPr>
            <w:tcW w:w="732" w:type="pct"/>
            <w:shd w:val="clear" w:color="auto" w:fill="auto"/>
            <w:tcMar>
              <w:top w:w="0" w:type="dxa"/>
              <w:left w:w="108" w:type="dxa"/>
              <w:bottom w:w="0" w:type="dxa"/>
              <w:right w:w="108" w:type="dxa"/>
            </w:tcMar>
            <w:vAlign w:val="center"/>
          </w:tcPr>
          <w:p w14:paraId="2055B7F8">
            <w:pPr>
              <w:spacing w:line="360" w:lineRule="auto"/>
              <w:ind w:left="-105" w:leftChars="-50" w:right="-105" w:rightChars="-5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培训方案</w:t>
            </w:r>
          </w:p>
        </w:tc>
        <w:tc>
          <w:tcPr>
            <w:tcW w:w="516" w:type="pct"/>
            <w:shd w:val="clear" w:color="auto" w:fill="auto"/>
            <w:tcMar>
              <w:top w:w="0" w:type="dxa"/>
              <w:left w:w="108" w:type="dxa"/>
              <w:bottom w:w="0" w:type="dxa"/>
              <w:right w:w="108" w:type="dxa"/>
            </w:tcMar>
            <w:vAlign w:val="center"/>
          </w:tcPr>
          <w:p w14:paraId="0F658A45">
            <w:pPr>
              <w:spacing w:line="36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lang w:val="en-US" w:eastAsia="zh-CN"/>
              </w:rPr>
              <w:t>4</w:t>
            </w:r>
          </w:p>
        </w:tc>
        <w:tc>
          <w:tcPr>
            <w:tcW w:w="3359" w:type="pct"/>
            <w:shd w:val="clear" w:color="auto" w:fill="auto"/>
            <w:tcMar>
              <w:top w:w="0" w:type="dxa"/>
              <w:left w:w="108" w:type="dxa"/>
              <w:bottom w:w="0" w:type="dxa"/>
              <w:right w:w="108" w:type="dxa"/>
            </w:tcMar>
            <w:vAlign w:val="center"/>
          </w:tcPr>
          <w:p w14:paraId="32DCD46E">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培训方案</w:t>
            </w:r>
            <w:r>
              <w:rPr>
                <w:rFonts w:hint="eastAsia" w:ascii="仿宋" w:hAnsi="仿宋" w:eastAsia="仿宋" w:cs="仿宋"/>
                <w:color w:val="auto"/>
                <w:highlight w:val="none"/>
                <w:lang w:val="en-US" w:eastAsia="zh-CN"/>
              </w:rPr>
              <w:t>包括但不限于：</w:t>
            </w:r>
            <w:r>
              <w:rPr>
                <w:rFonts w:hint="eastAsia" w:ascii="仿宋" w:hAnsi="仿宋" w:eastAsia="仿宋" w:cs="仿宋"/>
                <w:color w:val="auto"/>
                <w:kern w:val="0"/>
                <w:szCs w:val="21"/>
                <w:highlight w:val="none"/>
              </w:rPr>
              <w:t>①培训计划</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②培训内容</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部分要素。</w:t>
            </w:r>
          </w:p>
          <w:p w14:paraId="7E4ECC21">
            <w:pPr>
              <w:spacing w:line="360" w:lineRule="auto"/>
              <w:ind w:firstLine="420" w:firstLineChars="200"/>
              <w:rPr>
                <w:rFonts w:hint="eastAsia" w:ascii="仿宋" w:hAnsi="仿宋" w:eastAsia="仿宋" w:cs="仿宋"/>
                <w:color w:val="auto"/>
                <w:kern w:val="0"/>
                <w:szCs w:val="21"/>
                <w:highlight w:val="none"/>
                <w:lang w:val="en-US" w:eastAsia="zh-CN"/>
              </w:rPr>
            </w:pPr>
            <w:r>
              <w:rPr>
                <w:rFonts w:hint="eastAsia" w:ascii="仿宋" w:hAnsi="仿宋" w:eastAsia="仿宋" w:cs="仿宋"/>
                <w:color w:val="auto"/>
                <w:szCs w:val="21"/>
                <w:highlight w:val="none"/>
              </w:rPr>
              <w:t>所有要素齐全且完全满足项目要求得</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分，每缺一个要素扣</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分，每个要素里每有一处内容缺陷扣</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分（扣完为止）。</w:t>
            </w:r>
          </w:p>
        </w:tc>
      </w:tr>
      <w:tr w14:paraId="6DA93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91" w:type="pct"/>
            <w:tcMar>
              <w:top w:w="0" w:type="dxa"/>
              <w:left w:w="108" w:type="dxa"/>
              <w:bottom w:w="0" w:type="dxa"/>
              <w:right w:w="108" w:type="dxa"/>
            </w:tcMar>
            <w:vAlign w:val="center"/>
          </w:tcPr>
          <w:p w14:paraId="41581F36">
            <w:pPr>
              <w:spacing w:line="360" w:lineRule="auto"/>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7</w:t>
            </w:r>
          </w:p>
        </w:tc>
        <w:tc>
          <w:tcPr>
            <w:tcW w:w="732" w:type="pct"/>
            <w:shd w:val="clear" w:color="auto" w:fill="auto"/>
            <w:tcMar>
              <w:top w:w="0" w:type="dxa"/>
              <w:left w:w="108" w:type="dxa"/>
              <w:bottom w:w="0" w:type="dxa"/>
              <w:right w:w="108" w:type="dxa"/>
            </w:tcMar>
            <w:vAlign w:val="center"/>
          </w:tcPr>
          <w:p w14:paraId="55C72EE9">
            <w:pPr>
              <w:spacing w:line="360" w:lineRule="auto"/>
              <w:ind w:left="-105" w:leftChars="-50" w:right="-105" w:rightChars="-5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售后服务方案</w:t>
            </w:r>
          </w:p>
        </w:tc>
        <w:tc>
          <w:tcPr>
            <w:tcW w:w="516" w:type="pct"/>
            <w:shd w:val="clear" w:color="auto" w:fill="auto"/>
            <w:tcMar>
              <w:top w:w="0" w:type="dxa"/>
              <w:left w:w="108" w:type="dxa"/>
              <w:bottom w:w="0" w:type="dxa"/>
              <w:right w:w="108" w:type="dxa"/>
            </w:tcMar>
            <w:vAlign w:val="center"/>
          </w:tcPr>
          <w:p w14:paraId="654EF82F">
            <w:pPr>
              <w:spacing w:line="36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lang w:val="en-US" w:eastAsia="zh-CN"/>
              </w:rPr>
              <w:t>6</w:t>
            </w:r>
          </w:p>
        </w:tc>
        <w:tc>
          <w:tcPr>
            <w:tcW w:w="3359" w:type="pct"/>
            <w:shd w:val="clear" w:color="auto" w:fill="auto"/>
            <w:tcMar>
              <w:top w:w="0" w:type="dxa"/>
              <w:left w:w="108" w:type="dxa"/>
              <w:bottom w:w="0" w:type="dxa"/>
              <w:right w:w="108" w:type="dxa"/>
            </w:tcMar>
            <w:vAlign w:val="center"/>
          </w:tcPr>
          <w:p w14:paraId="3EF48C6C">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售后服务方案</w:t>
            </w:r>
            <w:r>
              <w:rPr>
                <w:rFonts w:hint="eastAsia" w:ascii="仿宋" w:hAnsi="仿宋" w:eastAsia="仿宋" w:cs="仿宋"/>
                <w:color w:val="auto"/>
                <w:highlight w:val="none"/>
                <w:lang w:val="en-US" w:eastAsia="zh-CN"/>
              </w:rPr>
              <w:t>包括但不限于：</w:t>
            </w:r>
            <w:r>
              <w:rPr>
                <w:rFonts w:hint="eastAsia" w:ascii="仿宋" w:hAnsi="仿宋" w:eastAsia="仿宋" w:cs="仿宋"/>
                <w:color w:val="auto"/>
                <w:kern w:val="0"/>
                <w:szCs w:val="21"/>
                <w:highlight w:val="none"/>
              </w:rPr>
              <w:t>①售后服务保障</w:t>
            </w:r>
            <w:r>
              <w:rPr>
                <w:rFonts w:hint="eastAsia" w:ascii="仿宋" w:hAnsi="仿宋" w:eastAsia="仿宋" w:cs="仿宋"/>
                <w:color w:val="auto"/>
                <w:kern w:val="0"/>
                <w:szCs w:val="21"/>
                <w:highlight w:val="none"/>
                <w:lang w:val="en-US" w:eastAsia="zh-CN"/>
              </w:rPr>
              <w:t>措施，</w:t>
            </w:r>
            <w:r>
              <w:rPr>
                <w:rFonts w:hint="eastAsia" w:ascii="仿宋" w:hAnsi="仿宋" w:eastAsia="仿宋" w:cs="仿宋"/>
                <w:color w:val="auto"/>
                <w:kern w:val="0"/>
                <w:szCs w:val="21"/>
                <w:highlight w:val="none"/>
              </w:rPr>
              <w:t>②质量</w:t>
            </w:r>
            <w:r>
              <w:rPr>
                <w:rFonts w:hint="eastAsia" w:ascii="仿宋" w:hAnsi="仿宋" w:eastAsia="仿宋" w:cs="仿宋"/>
                <w:color w:val="auto"/>
                <w:kern w:val="0"/>
                <w:szCs w:val="21"/>
                <w:highlight w:val="none"/>
                <w:lang w:val="en-US" w:eastAsia="zh-CN"/>
              </w:rPr>
              <w:t>\</w:t>
            </w:r>
            <w:r>
              <w:rPr>
                <w:rFonts w:hint="eastAsia" w:ascii="仿宋" w:hAnsi="仿宋" w:eastAsia="仿宋" w:cs="仿宋"/>
                <w:color w:val="auto"/>
                <w:kern w:val="0"/>
                <w:szCs w:val="21"/>
                <w:highlight w:val="none"/>
              </w:rPr>
              <w:t>非质量问题退换方案</w:t>
            </w:r>
            <w:r>
              <w:rPr>
                <w:rFonts w:hint="eastAsia" w:ascii="仿宋" w:hAnsi="仿宋" w:eastAsia="仿宋" w:cs="仿宋"/>
                <w:color w:val="auto"/>
                <w:kern w:val="0"/>
                <w:szCs w:val="21"/>
                <w:highlight w:val="none"/>
                <w:lang w:val="en-US" w:eastAsia="zh-CN"/>
              </w:rPr>
              <w:t>及时效；2</w:t>
            </w:r>
            <w:r>
              <w:rPr>
                <w:rFonts w:hint="eastAsia" w:ascii="仿宋" w:hAnsi="仿宋" w:eastAsia="仿宋" w:cs="仿宋"/>
                <w:color w:val="auto"/>
                <w:kern w:val="0"/>
                <w:szCs w:val="21"/>
                <w:highlight w:val="none"/>
              </w:rPr>
              <w:t>部分要素。</w:t>
            </w:r>
          </w:p>
          <w:p w14:paraId="0BAF8439">
            <w:pPr>
              <w:spacing w:line="360" w:lineRule="auto"/>
              <w:ind w:firstLine="420" w:firstLineChars="200"/>
              <w:rPr>
                <w:rFonts w:hint="eastAsia" w:ascii="仿宋" w:hAnsi="仿宋" w:eastAsia="仿宋" w:cs="仿宋"/>
                <w:color w:val="auto"/>
                <w:kern w:val="0"/>
                <w:szCs w:val="21"/>
                <w:highlight w:val="none"/>
                <w:lang w:val="en-US" w:eastAsia="zh-CN"/>
              </w:rPr>
            </w:pPr>
            <w:r>
              <w:rPr>
                <w:rFonts w:hint="eastAsia" w:ascii="仿宋" w:hAnsi="仿宋" w:eastAsia="仿宋" w:cs="仿宋"/>
                <w:color w:val="auto"/>
                <w:szCs w:val="21"/>
                <w:highlight w:val="none"/>
              </w:rPr>
              <w:t>所有要素齐全且完全满足项目要求得</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分，每缺一个要素扣</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分，每个要素里每有一处内容缺陷扣</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分（扣完为止）。</w:t>
            </w:r>
          </w:p>
        </w:tc>
      </w:tr>
      <w:tr w14:paraId="47465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1123" w:type="pct"/>
            <w:gridSpan w:val="2"/>
            <w:tcMar>
              <w:top w:w="0" w:type="dxa"/>
              <w:left w:w="108" w:type="dxa"/>
              <w:bottom w:w="0" w:type="dxa"/>
              <w:right w:w="108" w:type="dxa"/>
            </w:tcMar>
            <w:vAlign w:val="center"/>
          </w:tcPr>
          <w:p w14:paraId="6B061CA9">
            <w:pPr>
              <w:spacing w:line="360" w:lineRule="auto"/>
              <w:ind w:left="-105" w:leftChars="-50" w:right="-105" w:rightChars="-50"/>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合计</w:t>
            </w:r>
          </w:p>
        </w:tc>
        <w:tc>
          <w:tcPr>
            <w:tcW w:w="516" w:type="pct"/>
            <w:shd w:val="clear" w:color="auto" w:fill="auto"/>
            <w:tcMar>
              <w:top w:w="0" w:type="dxa"/>
              <w:left w:w="108" w:type="dxa"/>
              <w:bottom w:w="0" w:type="dxa"/>
              <w:right w:w="108" w:type="dxa"/>
            </w:tcMar>
            <w:vAlign w:val="center"/>
          </w:tcPr>
          <w:p w14:paraId="6764AAA2">
            <w:pPr>
              <w:spacing w:line="360" w:lineRule="auto"/>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70</w:t>
            </w:r>
          </w:p>
        </w:tc>
        <w:tc>
          <w:tcPr>
            <w:tcW w:w="3359" w:type="pct"/>
            <w:shd w:val="clear" w:color="auto" w:fill="auto"/>
            <w:tcMar>
              <w:top w:w="0" w:type="dxa"/>
              <w:left w:w="108" w:type="dxa"/>
              <w:bottom w:w="0" w:type="dxa"/>
              <w:right w:w="108" w:type="dxa"/>
            </w:tcMar>
            <w:vAlign w:val="center"/>
          </w:tcPr>
          <w:p w14:paraId="3E371C3F">
            <w:pPr>
              <w:spacing w:line="360" w:lineRule="auto"/>
              <w:ind w:firstLine="420" w:firstLineChars="200"/>
              <w:rPr>
                <w:rFonts w:hint="eastAsia" w:ascii="仿宋" w:hAnsi="仿宋" w:eastAsia="仿宋" w:cs="仿宋"/>
                <w:color w:val="auto"/>
                <w:szCs w:val="21"/>
                <w:highlight w:val="none"/>
              </w:rPr>
            </w:pPr>
          </w:p>
        </w:tc>
      </w:tr>
      <w:tr w14:paraId="6ACF8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5000" w:type="pct"/>
            <w:gridSpan w:val="4"/>
            <w:tcMar>
              <w:top w:w="0" w:type="dxa"/>
              <w:left w:w="108" w:type="dxa"/>
              <w:bottom w:w="0" w:type="dxa"/>
              <w:right w:w="108" w:type="dxa"/>
            </w:tcMar>
            <w:vAlign w:val="center"/>
          </w:tcPr>
          <w:p w14:paraId="5B755184">
            <w:pPr>
              <w:spacing w:line="360" w:lineRule="auto"/>
              <w:ind w:firstLine="420" w:firstLineChars="20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Cs w:val="21"/>
                <w:highlight w:val="none"/>
              </w:rPr>
              <w:t>说明：本评审内容中“内容缺陷”是指：①内容与实际情况不匹配、②不符合项目特点、③内容不完整或缺少关键节点、④未按采购需求针对描述、⑤存在描述内容过于简略、⑥缺失不全、⑦前后矛盾、⑧表述不清晰、⑨凭空编造、⑩逻辑混淆错误、⑪涉及的规范及标准错误不可能实现的情形等任意一种情形。</w:t>
            </w:r>
          </w:p>
        </w:tc>
      </w:tr>
    </w:tbl>
    <w:p w14:paraId="0B114A5F">
      <w:pPr>
        <w:widowControl/>
        <w:jc w:val="left"/>
        <w:rPr>
          <w:rFonts w:hint="eastAsia" w:ascii="仿宋" w:hAnsi="仿宋" w:eastAsia="仿宋" w:cs="仿宋"/>
          <w:color w:val="auto"/>
          <w:highlight w:val="none"/>
        </w:rPr>
      </w:pPr>
    </w:p>
    <w:p w14:paraId="43D4F208">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41" w:name="_Toc115977387"/>
      <w:bookmarkStart w:id="42" w:name="_Toc12409"/>
      <w:bookmarkStart w:id="43" w:name="_Toc11091"/>
      <w:bookmarkStart w:id="44" w:name="_Toc485312286"/>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评标方法</w:t>
      </w:r>
      <w:bookmarkEnd w:id="41"/>
      <w:bookmarkEnd w:id="42"/>
      <w:bookmarkEnd w:id="43"/>
    </w:p>
    <w:p w14:paraId="13F9552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本次评标采用综合评分法。评标委员会对满足招标文件实质性要求的投标文件，按照本节规定的评审标准进行评审。评标中各评委若发生意见分歧，以少数服从多数原则确定。</w:t>
      </w:r>
    </w:p>
    <w:p w14:paraId="46145B22">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45" w:name="_Toc115977388"/>
      <w:bookmarkStart w:id="46" w:name="_Toc8393"/>
      <w:bookmarkStart w:id="47" w:name="_Toc14307"/>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评审标准</w:t>
      </w:r>
      <w:bookmarkEnd w:id="45"/>
      <w:bookmarkEnd w:id="46"/>
      <w:bookmarkEnd w:id="47"/>
    </w:p>
    <w:p w14:paraId="4CCA901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2.1资格审查：评审因素和评审标准见《资格审查标准》。</w:t>
      </w:r>
    </w:p>
    <w:p w14:paraId="5CA04A4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2.2完备性及符合性审查：评审因素和评审标准见《完备性及符合性审查标准》。</w:t>
      </w:r>
    </w:p>
    <w:p w14:paraId="0E51CCF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 投标品牌：评审因素和评审标准见本节第3.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款。</w:t>
      </w:r>
    </w:p>
    <w:p w14:paraId="30AA604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2.4详细评审：</w:t>
      </w:r>
    </w:p>
    <w:p w14:paraId="386D443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2.4.1详细评审：评审因素和评审标准见《详细评审标准》及本节第3.6款。</w:t>
      </w:r>
    </w:p>
    <w:p w14:paraId="6E11F5B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2.4.2 投标报价评分标准：</w:t>
      </w:r>
    </w:p>
    <w:p w14:paraId="6F29054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（1）分值构成：见评标办法前附表。</w:t>
      </w:r>
    </w:p>
    <w:p w14:paraId="16D086A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（2）评标基准价的确定：见评标办法前附表。</w:t>
      </w:r>
    </w:p>
    <w:p w14:paraId="0B3F32B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（3）投标报价得分的计算：见评标办法前附表。</w:t>
      </w:r>
    </w:p>
    <w:p w14:paraId="7573A703">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48" w:name="_Toc30734"/>
      <w:bookmarkStart w:id="49" w:name="_Toc115977389"/>
      <w:bookmarkStart w:id="50" w:name="_Toc24086"/>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评标程序</w:t>
      </w:r>
      <w:bookmarkEnd w:id="48"/>
      <w:bookmarkEnd w:id="49"/>
      <w:bookmarkEnd w:id="50"/>
    </w:p>
    <w:p w14:paraId="23B1BE8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 基本程序</w:t>
      </w:r>
    </w:p>
    <w:p w14:paraId="4C70084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评标活动将按以下步骤进行：</w:t>
      </w:r>
    </w:p>
    <w:p w14:paraId="37E3644E">
      <w:pPr>
        <w:pStyle w:val="198"/>
        <w:widowControl/>
        <w:numPr>
          <w:ilvl w:val="0"/>
          <w:numId w:val="1"/>
        </w:numPr>
        <w:shd w:val="clear" w:color="auto" w:fill="FFFFFF"/>
        <w:snapToGrid w:val="0"/>
        <w:spacing w:line="360" w:lineRule="auto"/>
        <w:ind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评标准备</w:t>
      </w:r>
    </w:p>
    <w:p w14:paraId="345949D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 资格审查</w:t>
      </w:r>
    </w:p>
    <w:p w14:paraId="463E830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 完备性及符合性审查</w:t>
      </w:r>
    </w:p>
    <w:p w14:paraId="587E87B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 投标品牌统计</w:t>
      </w:r>
    </w:p>
    <w:p w14:paraId="2CE4F51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 详细评审</w:t>
      </w:r>
    </w:p>
    <w:p w14:paraId="1303D42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 澄清、说明或补正</w:t>
      </w:r>
    </w:p>
    <w:p w14:paraId="1DE9352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 推荐中标候选人及提交评标报告</w:t>
      </w:r>
    </w:p>
    <w:p w14:paraId="605A523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 评标准备</w:t>
      </w:r>
    </w:p>
    <w:p w14:paraId="24907C7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3.2.1评标委员会成员签到</w:t>
      </w:r>
    </w:p>
    <w:p w14:paraId="47E99D5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评标委员会成员到达评标现场时应当在签到表上签到以证明其出席。</w:t>
      </w:r>
    </w:p>
    <w:p w14:paraId="622A39B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 评标委员会的分工</w:t>
      </w:r>
    </w:p>
    <w:p w14:paraId="1C57A93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3.2.2.1评标委员会首先推选一名评标委员会主任。评标委员会主任负责评标活动的组织领导工作。评标委员会主任与评标委员会其它成员具有同等的评标权力。</w:t>
      </w:r>
    </w:p>
    <w:p w14:paraId="638B1D4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3.2.2.2 评标委员会主任除履行自己作为评标委员会成员独立评标的职责外，主要负责以下工作：</w:t>
      </w:r>
    </w:p>
    <w:p w14:paraId="3271F01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（1）组织评标委员会成员学习招标文件；</w:t>
      </w:r>
    </w:p>
    <w:p w14:paraId="255ED36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（2）汇总各评标委员会成员认为需要投标人澄清、说明或者补正的问题；</w:t>
      </w:r>
    </w:p>
    <w:p w14:paraId="306129A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（3）组织评标委员会对投标人质询并对投标人的答复进行评审；</w:t>
      </w:r>
    </w:p>
    <w:p w14:paraId="1C2DEF8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（4）对出现较大争议的事项进行书面记录；</w:t>
      </w:r>
    </w:p>
    <w:p w14:paraId="1B5033E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（5）组织收回评标过程中使用的文件、表格和评标记录以及其它资料，并查验评标记录的完整性及有效性；</w:t>
      </w:r>
    </w:p>
    <w:p w14:paraId="7D02A09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（6）组织对评标结论进行复核确认；</w:t>
      </w:r>
    </w:p>
    <w:p w14:paraId="78DE774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（7）组织编写评标报告。</w:t>
      </w:r>
    </w:p>
    <w:p w14:paraId="2C262F6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 熟悉文件资料</w:t>
      </w:r>
    </w:p>
    <w:p w14:paraId="4F5C876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3.2.3.1 评标委员会主任应当组织评标委员会成员认真研究招标文件，了解和熟悉招标目的、招标范围、技术标准和要求，掌握评标标准和方法。</w:t>
      </w:r>
    </w:p>
    <w:p w14:paraId="4D9CE5A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3.2.3.2 采购人或采购代理机构应当向评标委员会提供评标所需的信息和数据，包括：</w:t>
      </w:r>
    </w:p>
    <w:p w14:paraId="0E5E4C6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（1）招标文件及其澄清修改等招标文件补充；</w:t>
      </w:r>
    </w:p>
    <w:p w14:paraId="6C06DE7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（2）未在开标会上当场拒绝的各投标文件；</w:t>
      </w:r>
    </w:p>
    <w:p w14:paraId="3FF9612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（3）开标会记录；</w:t>
      </w:r>
    </w:p>
    <w:p w14:paraId="4604CFF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（4）评标表格；</w:t>
      </w:r>
    </w:p>
    <w:p w14:paraId="56F98DC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（5）其它信息和数据。</w:t>
      </w:r>
    </w:p>
    <w:p w14:paraId="27AD196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3.3资格审查</w:t>
      </w:r>
    </w:p>
    <w:p w14:paraId="1061179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依据本章规定的评审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14:paraId="70FC6D5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3.4完备性及符合性审查</w:t>
      </w:r>
    </w:p>
    <w:p w14:paraId="6939733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 评标委员依据本章规定的评审因素和评审标准，对投标人的投标文件进行完备性及符合性审查。完备性及符合性审查有一项未通过评审标准，评标委员会将认定整个投标文件不响应招标文件而否决其投标，并且不允许投标人通过修改或撤销其不符合要求的差异或保留，使之成为具有响应性的投标。</w:t>
      </w:r>
    </w:p>
    <w:p w14:paraId="794876E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3.4.2 完备性及符合性审查条款是指对本招标项目产生了重大影响的重大偏差，而且纠正此类偏差将会对响应本次招标的其它投标人的竞争地位产生不公正的影响。</w:t>
      </w:r>
    </w:p>
    <w:p w14:paraId="0B72E05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细微偏差是指投标文件在实质上响应招标文件要求，但在个别地方存在疏漏或者提供了不完整的技术信息和数据等情况，并且补正这些遗漏和不完整不会对其它投标人造成不公平的结果。细微偏差不影响投标文件的有效性，评标委员会可要求存在细微偏差的投标人予以补正。</w:t>
      </w:r>
    </w:p>
    <w:p w14:paraId="736DB39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924590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 投标品牌统计</w:t>
      </w:r>
    </w:p>
    <w:p w14:paraId="49E3809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3.5.1.由评标委员会根据投标人所报核心产品品牌统计计算投标人家数。</w:t>
      </w:r>
    </w:p>
    <w:p w14:paraId="1483950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3.5.2如招标文件前附表中约定了单一产品或核心产品，则提供相同品牌产品且通过资格审查、完备性及符合性审查的不同投标人参加同一合同项下投标的，按一家投标人计算。</w:t>
      </w:r>
    </w:p>
    <w:p w14:paraId="72BC551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3.6详细评审</w:t>
      </w:r>
    </w:p>
    <w:p w14:paraId="57C0475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3.6.1.只有通过了资格审查、完备性及符合性审查且投标品牌不少于3个方可进入详细评审。</w:t>
      </w:r>
    </w:p>
    <w:p w14:paraId="1AF93E6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3.6.2 澄清、说明和补正</w:t>
      </w:r>
    </w:p>
    <w:p w14:paraId="7E8094F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3.6.2.1在不改变投标人投标文件实质性内容的前提下，评标委员会应当对投标文件进行基础性数据分析和整理，从而发现并提取其中可能存在的对招标范围理解的偏差、技术响应偏离、投标价格的算术性错误、错漏项、投标价格构成不合理、不平衡报价等存在明显异常的问题。</w:t>
      </w:r>
    </w:p>
    <w:p w14:paraId="7E00B13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3.6.2.2澄清、说明和补正内容不得改变投标文件的实质性内容（算术性错误修正的除外）。投标人的书面澄清、说明和补正属于投标文件的组成部分。</w:t>
      </w:r>
    </w:p>
    <w:p w14:paraId="292310A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3.6.2.3评标委员会针对需要投标人对所提交投标文件中不明确的内容进行书面澄清、说明或补正。澄清通知不得向投标人提出带有暗示性或诱导性问题，或向其明确投标文件中的遗漏和错误。投标人接到评标委员会发出的书面澄清通知后，应按评标委员会的要求提供书面澄清资料，并在规定的时间递交到指定地点。评标委员会不接受投标人主动提出的澄清、说明或补正。</w:t>
      </w:r>
    </w:p>
    <w:p w14:paraId="7E87373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3.6.2.4评标委员会对投标人提交的澄清、说明或补正有疑问的，可以要求投标人进一步澄清、说明或补正，直至满足评标委员会的要求。</w:t>
      </w:r>
    </w:p>
    <w:p w14:paraId="3492EED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3.6.3评委评分：评委按照《详细评审标准》评分，投标人详细评审得分等于全部评委评分的算术平均值。</w:t>
      </w:r>
    </w:p>
    <w:p w14:paraId="4B282E7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3.6.4 算术错误修正：投标价格有算术错误或前后不一致的，评标委员会按以下原则对投标价格进行修正：</w:t>
      </w:r>
    </w:p>
    <w:p w14:paraId="3E4ABC6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电子交易平台中报价与</w:t>
      </w:r>
      <w:r>
        <w:rPr>
          <w:rFonts w:hint="eastAsia" w:ascii="仿宋" w:hAnsi="仿宋" w:eastAsia="仿宋" w:cs="仿宋"/>
          <w:color w:val="auto"/>
          <w:kern w:val="0"/>
          <w:sz w:val="24"/>
          <w:szCs w:val="24"/>
          <w:highlight w:val="none"/>
        </w:rPr>
        <w:t>投标文件相应内容不一致的，以投标文件为准；</w:t>
      </w:r>
    </w:p>
    <w:p w14:paraId="0E654EC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eastAsia="zh-CN"/>
        </w:rPr>
        <w:t>开标一览表</w:t>
      </w:r>
      <w:r>
        <w:rPr>
          <w:rFonts w:hint="eastAsia" w:ascii="仿宋" w:hAnsi="仿宋" w:eastAsia="仿宋" w:cs="仿宋"/>
          <w:color w:val="auto"/>
          <w:kern w:val="0"/>
          <w:sz w:val="24"/>
          <w:szCs w:val="24"/>
          <w:highlight w:val="none"/>
        </w:rPr>
        <w:t>与投标文件中相应内容不一致的，以</w:t>
      </w:r>
      <w:r>
        <w:rPr>
          <w:rFonts w:hint="eastAsia" w:ascii="仿宋" w:hAnsi="仿宋" w:eastAsia="仿宋" w:cs="仿宋"/>
          <w:color w:val="auto"/>
          <w:kern w:val="0"/>
          <w:sz w:val="24"/>
          <w:szCs w:val="24"/>
          <w:highlight w:val="none"/>
          <w:lang w:eastAsia="zh-CN"/>
        </w:rPr>
        <w:t>开标一览表</w:t>
      </w:r>
      <w:r>
        <w:rPr>
          <w:rFonts w:hint="eastAsia" w:ascii="仿宋" w:hAnsi="仿宋" w:eastAsia="仿宋" w:cs="仿宋"/>
          <w:color w:val="auto"/>
          <w:kern w:val="0"/>
          <w:sz w:val="24"/>
          <w:szCs w:val="24"/>
          <w:highlight w:val="none"/>
        </w:rPr>
        <w:t>为准；</w:t>
      </w:r>
    </w:p>
    <w:p w14:paraId="3C78C8E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（3）大写金额和小写金额不一致的，以大写金额为准；</w:t>
      </w:r>
    </w:p>
    <w:p w14:paraId="400E89B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）单价金额小数点或者百分比有明显错位的，以</w:t>
      </w:r>
      <w:r>
        <w:rPr>
          <w:rFonts w:hint="eastAsia" w:ascii="仿宋" w:hAnsi="仿宋" w:eastAsia="仿宋" w:cs="仿宋"/>
          <w:color w:val="auto"/>
          <w:kern w:val="0"/>
          <w:sz w:val="24"/>
          <w:szCs w:val="24"/>
          <w:highlight w:val="none"/>
          <w:lang w:eastAsia="zh-CN"/>
        </w:rPr>
        <w:t>开标一览表</w:t>
      </w:r>
      <w:r>
        <w:rPr>
          <w:rFonts w:hint="eastAsia" w:ascii="仿宋" w:hAnsi="仿宋" w:eastAsia="仿宋" w:cs="仿宋"/>
          <w:color w:val="auto"/>
          <w:kern w:val="0"/>
          <w:sz w:val="24"/>
          <w:szCs w:val="24"/>
          <w:highlight w:val="none"/>
        </w:rPr>
        <w:t>的总价为准，并修改单价；</w:t>
      </w:r>
    </w:p>
    <w:p w14:paraId="497639E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）总价金额与按单价汇总金额不一致的，以单价金额计算结果为准。</w:t>
      </w:r>
    </w:p>
    <w:p w14:paraId="74F7A57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修正后的报价经投标人确认后产生约束力，投标人不确认或不接受的，其投标无效。</w:t>
      </w:r>
    </w:p>
    <w:p w14:paraId="07A7769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3.6.5投标报价评分：对投标报价进行投标报价得分计算，计算方法详见评标办法前附表。</w:t>
      </w:r>
    </w:p>
    <w:p w14:paraId="33A7832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3.6.6汇总评分结果，评分分值计算保留小数点后两位，小数点后第三位“四舍五入”。</w:t>
      </w:r>
    </w:p>
    <w:p w14:paraId="343BF63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3.6.7详细评审工作全部结束后，投标人总得分排序按照以下原则进行。</w:t>
      </w:r>
    </w:p>
    <w:p w14:paraId="2C88BC2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3.6.7.1按照总得分由高到低顺序对投标人进行排序；</w:t>
      </w:r>
    </w:p>
    <w:p w14:paraId="33229C4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3.6.7.2总得分相同时报价低的投标人排序靠前；</w:t>
      </w:r>
    </w:p>
    <w:p w14:paraId="517AA18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3.6.7.3总得分相同且报价相同的同品牌投标人，由采购人确定排序顺序；</w:t>
      </w:r>
    </w:p>
    <w:p w14:paraId="1138E8D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3.6.7.4总得分相同且报价相同的不同品牌投标人，采取随机抽取方式确定排序顺序。</w:t>
      </w:r>
    </w:p>
    <w:p w14:paraId="3EF9368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3.7推荐中标候选人及提交评标报告</w:t>
      </w:r>
    </w:p>
    <w:p w14:paraId="7FE2BC1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3.7.1评标委员会推荐中标候选人，总得分排序第一的投标人将被确定为第一中标候选人（总得分排序最高的同品牌投标人获得中标候选人推荐资格，其它同品牌投标人不作为中标候选人），以此类推确定出规定数量的的中标候选人。</w:t>
      </w:r>
    </w:p>
    <w:p w14:paraId="43B3274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3.7.2当通过了资格审查、完备性及符合性审查后，投标品牌少于3个时，采购人应当依法重新招标。</w:t>
      </w:r>
    </w:p>
    <w:p w14:paraId="7E5BDD0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3.7.3 评标委员会完成评标后，应当向采购人提交书面评标报告。</w:t>
      </w:r>
    </w:p>
    <w:p w14:paraId="18F9347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3.8特殊情况的处置程序</w:t>
      </w:r>
    </w:p>
    <w:p w14:paraId="3EE5587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3.8.1 关于评标活动暂停</w:t>
      </w:r>
    </w:p>
    <w:p w14:paraId="4D6C8FB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委员会继续评标。</w:t>
      </w:r>
    </w:p>
    <w:p w14:paraId="74508CF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3.8.2关于评标中途更换评委</w:t>
      </w:r>
    </w:p>
    <w:p w14:paraId="6AE2263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3.8.2.1 除非发生下列情况之一，评标委员会成员不得在评标中途更换：</w:t>
      </w:r>
    </w:p>
    <w:p w14:paraId="2A18A0E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（1）因不可抗拒的客观原因，不能到场或需在评标中途退出评标活动。</w:t>
      </w:r>
    </w:p>
    <w:p w14:paraId="55D8EF2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（2）根据法律法规规定，某个或某几个评标委员会成员需要回避。</w:t>
      </w:r>
    </w:p>
    <w:p w14:paraId="67A64FE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3.8.2.2 退出评标的评标委员会成员，其已完成的评标行为无效，由更换的评委进行评标。</w:t>
      </w:r>
    </w:p>
    <w:p w14:paraId="285A0F0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3.8.3 在评标环节中，需评标委员会就某项定性的评审结论做出表决的，由评标委员会全体成员按照少数服从多数的原则确定。</w:t>
      </w:r>
    </w:p>
    <w:bookmarkEnd w:id="44"/>
    <w:p w14:paraId="4109DD7D">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1902AA74">
      <w:pPr>
        <w:spacing w:line="440" w:lineRule="exact"/>
        <w:jc w:val="center"/>
        <w:outlineLvl w:val="0"/>
        <w:rPr>
          <w:rFonts w:hint="eastAsia" w:ascii="仿宋" w:hAnsi="仿宋" w:eastAsia="仿宋" w:cs="仿宋"/>
          <w:b/>
          <w:color w:val="auto"/>
          <w:sz w:val="24"/>
          <w:szCs w:val="24"/>
          <w:highlight w:val="none"/>
          <w:lang w:val="en-US" w:eastAsia="zh-CN"/>
        </w:rPr>
      </w:pPr>
      <w:bookmarkStart w:id="51" w:name="_Toc14124"/>
      <w:r>
        <w:rPr>
          <w:rFonts w:hint="eastAsia" w:ascii="仿宋" w:hAnsi="仿宋" w:eastAsia="仿宋" w:cs="仿宋"/>
          <w:b/>
          <w:color w:val="auto"/>
          <w:sz w:val="24"/>
          <w:szCs w:val="24"/>
          <w:highlight w:val="none"/>
        </w:rPr>
        <w:t>第三章 合同</w:t>
      </w:r>
      <w:r>
        <w:rPr>
          <w:rFonts w:hint="eastAsia" w:ascii="仿宋" w:hAnsi="仿宋" w:eastAsia="仿宋" w:cs="仿宋"/>
          <w:b/>
          <w:color w:val="auto"/>
          <w:sz w:val="24"/>
          <w:szCs w:val="24"/>
          <w:highlight w:val="none"/>
          <w:lang w:val="en-US" w:eastAsia="zh-CN"/>
        </w:rPr>
        <w:t>文本</w:t>
      </w:r>
      <w:bookmarkEnd w:id="51"/>
    </w:p>
    <w:p w14:paraId="67F0628B">
      <w:pPr>
        <w:rPr>
          <w:rFonts w:hint="eastAsia" w:ascii="仿宋" w:hAnsi="仿宋" w:eastAsia="仿宋" w:cs="仿宋"/>
          <w:color w:val="auto"/>
          <w:highlight w:val="none"/>
        </w:rPr>
      </w:pPr>
    </w:p>
    <w:p w14:paraId="5A2DB1F4">
      <w:pPr>
        <w:pStyle w:val="2"/>
        <w:spacing w:line="36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注：本合同供参考，具体内容以双方签订的为准。</w:t>
      </w:r>
    </w:p>
    <w:p w14:paraId="0F8B86FE">
      <w:pPr>
        <w:pStyle w:val="11"/>
        <w:spacing w:after="0"/>
        <w:jc w:val="center"/>
        <w:rPr>
          <w:rFonts w:hint="eastAsia" w:ascii="仿宋" w:hAnsi="仿宋" w:eastAsia="仿宋" w:cs="仿宋"/>
          <w:b/>
          <w:bCs/>
          <w:color w:val="auto"/>
          <w:spacing w:val="-20"/>
          <w:kern w:val="44"/>
          <w:sz w:val="48"/>
          <w:szCs w:val="48"/>
          <w:highlight w:val="none"/>
        </w:rPr>
      </w:pPr>
      <w:bookmarkStart w:id="52" w:name="_Toc3995"/>
    </w:p>
    <w:p w14:paraId="143DD2E3">
      <w:pPr>
        <w:pStyle w:val="11"/>
        <w:spacing w:after="0"/>
        <w:jc w:val="center"/>
        <w:rPr>
          <w:rFonts w:hint="eastAsia" w:ascii="仿宋" w:hAnsi="仿宋" w:eastAsia="仿宋" w:cs="仿宋"/>
          <w:b/>
          <w:bCs/>
          <w:color w:val="auto"/>
          <w:spacing w:val="-20"/>
          <w:kern w:val="44"/>
          <w:sz w:val="48"/>
          <w:szCs w:val="48"/>
          <w:highlight w:val="none"/>
        </w:rPr>
      </w:pPr>
    </w:p>
    <w:p w14:paraId="693CE869">
      <w:pPr>
        <w:pStyle w:val="11"/>
        <w:spacing w:after="0"/>
        <w:jc w:val="center"/>
        <w:rPr>
          <w:rFonts w:hint="eastAsia" w:ascii="仿宋" w:hAnsi="仿宋" w:eastAsia="仿宋" w:cs="仿宋"/>
          <w:b/>
          <w:bCs/>
          <w:color w:val="auto"/>
          <w:spacing w:val="-20"/>
          <w:kern w:val="44"/>
          <w:sz w:val="48"/>
          <w:szCs w:val="48"/>
          <w:highlight w:val="none"/>
        </w:rPr>
      </w:pPr>
    </w:p>
    <w:p w14:paraId="292FB5D9">
      <w:pPr>
        <w:pStyle w:val="11"/>
        <w:spacing w:after="0"/>
        <w:jc w:val="center"/>
        <w:rPr>
          <w:rFonts w:hint="eastAsia" w:ascii="仿宋" w:hAnsi="仿宋" w:eastAsia="仿宋" w:cs="仿宋"/>
          <w:b/>
          <w:bCs/>
          <w:color w:val="auto"/>
          <w:spacing w:val="-20"/>
          <w:kern w:val="44"/>
          <w:sz w:val="48"/>
          <w:szCs w:val="48"/>
          <w:highlight w:val="none"/>
        </w:rPr>
      </w:pPr>
    </w:p>
    <w:p w14:paraId="5829488C">
      <w:pPr>
        <w:pStyle w:val="11"/>
        <w:spacing w:after="0"/>
        <w:jc w:val="center"/>
        <w:rPr>
          <w:rFonts w:hint="eastAsia" w:ascii="仿宋" w:hAnsi="仿宋" w:eastAsia="仿宋" w:cs="仿宋"/>
          <w:b/>
          <w:bCs/>
          <w:color w:val="auto"/>
          <w:spacing w:val="-20"/>
          <w:kern w:val="44"/>
          <w:sz w:val="48"/>
          <w:szCs w:val="48"/>
          <w:highlight w:val="none"/>
        </w:rPr>
      </w:pPr>
    </w:p>
    <w:p w14:paraId="63B29ADB">
      <w:pPr>
        <w:pStyle w:val="11"/>
        <w:spacing w:after="0"/>
        <w:jc w:val="center"/>
        <w:rPr>
          <w:rFonts w:hint="eastAsia" w:ascii="仿宋" w:hAnsi="仿宋" w:eastAsia="仿宋" w:cs="仿宋"/>
          <w:b/>
          <w:bCs/>
          <w:color w:val="auto"/>
          <w:spacing w:val="-20"/>
          <w:kern w:val="44"/>
          <w:sz w:val="48"/>
          <w:szCs w:val="48"/>
          <w:highlight w:val="none"/>
        </w:rPr>
      </w:pPr>
      <w:r>
        <w:rPr>
          <w:rFonts w:hint="eastAsia" w:ascii="仿宋" w:hAnsi="仿宋" w:eastAsia="仿宋" w:cs="仿宋"/>
          <w:b/>
          <w:bCs/>
          <w:color w:val="auto"/>
          <w:spacing w:val="-20"/>
          <w:kern w:val="44"/>
          <w:sz w:val="48"/>
          <w:szCs w:val="48"/>
          <w:highlight w:val="none"/>
        </w:rPr>
        <w:t>政府采购</w:t>
      </w:r>
      <w:r>
        <w:rPr>
          <w:rFonts w:hint="eastAsia" w:ascii="仿宋" w:hAnsi="仿宋" w:eastAsia="仿宋" w:cs="仿宋"/>
          <w:b/>
          <w:bCs/>
          <w:color w:val="auto"/>
          <w:spacing w:val="-20"/>
          <w:kern w:val="44"/>
          <w:sz w:val="48"/>
          <w:szCs w:val="48"/>
          <w:highlight w:val="none"/>
          <w:lang w:eastAsia="zh-CN"/>
        </w:rPr>
        <w:t>货物买卖</w:t>
      </w:r>
      <w:r>
        <w:rPr>
          <w:rFonts w:hint="eastAsia" w:ascii="仿宋" w:hAnsi="仿宋" w:eastAsia="仿宋" w:cs="仿宋"/>
          <w:b/>
          <w:bCs/>
          <w:color w:val="auto"/>
          <w:spacing w:val="-20"/>
          <w:kern w:val="44"/>
          <w:sz w:val="48"/>
          <w:szCs w:val="48"/>
          <w:highlight w:val="none"/>
        </w:rPr>
        <w:t>合同</w:t>
      </w:r>
    </w:p>
    <w:p w14:paraId="49ACC6EA">
      <w:pPr>
        <w:pStyle w:val="11"/>
        <w:spacing w:after="0"/>
        <w:jc w:val="center"/>
        <w:rPr>
          <w:rFonts w:hint="eastAsia" w:ascii="仿宋" w:hAnsi="仿宋" w:eastAsia="仿宋" w:cs="仿宋"/>
          <w:b/>
          <w:bCs/>
          <w:color w:val="auto"/>
          <w:spacing w:val="-20"/>
          <w:kern w:val="44"/>
          <w:sz w:val="48"/>
          <w:szCs w:val="48"/>
          <w:highlight w:val="none"/>
          <w:lang w:eastAsia="zh-CN"/>
        </w:rPr>
      </w:pPr>
      <w:r>
        <w:rPr>
          <w:rFonts w:hint="eastAsia" w:ascii="仿宋" w:hAnsi="仿宋" w:eastAsia="仿宋" w:cs="仿宋"/>
          <w:b/>
          <w:bCs/>
          <w:color w:val="auto"/>
          <w:spacing w:val="-20"/>
          <w:kern w:val="44"/>
          <w:sz w:val="48"/>
          <w:szCs w:val="48"/>
          <w:highlight w:val="none"/>
          <w:lang w:eastAsia="zh-CN"/>
        </w:rPr>
        <w:t>（试行）</w:t>
      </w:r>
    </w:p>
    <w:p w14:paraId="5725B4AC">
      <w:pPr>
        <w:rPr>
          <w:rFonts w:hint="eastAsia" w:ascii="仿宋" w:hAnsi="仿宋" w:eastAsia="仿宋" w:cs="仿宋"/>
          <w:b/>
          <w:bCs/>
          <w:color w:val="auto"/>
          <w:spacing w:val="-20"/>
          <w:kern w:val="44"/>
          <w:sz w:val="40"/>
          <w:szCs w:val="40"/>
          <w:highlight w:val="none"/>
        </w:rPr>
      </w:pPr>
    </w:p>
    <w:p w14:paraId="1556BACC">
      <w:pPr>
        <w:rPr>
          <w:rFonts w:hint="eastAsia" w:ascii="仿宋" w:hAnsi="仿宋" w:eastAsia="仿宋" w:cs="仿宋"/>
          <w:b/>
          <w:bCs/>
          <w:color w:val="auto"/>
          <w:spacing w:val="-20"/>
          <w:kern w:val="44"/>
          <w:sz w:val="40"/>
          <w:szCs w:val="40"/>
          <w:highlight w:val="none"/>
        </w:rPr>
      </w:pPr>
    </w:p>
    <w:p w14:paraId="6807CE16">
      <w:pPr>
        <w:rPr>
          <w:rFonts w:hint="eastAsia" w:ascii="仿宋" w:hAnsi="仿宋" w:eastAsia="仿宋" w:cs="仿宋"/>
          <w:b/>
          <w:bCs/>
          <w:color w:val="auto"/>
          <w:spacing w:val="-20"/>
          <w:kern w:val="44"/>
          <w:sz w:val="40"/>
          <w:szCs w:val="40"/>
          <w:highlight w:val="none"/>
        </w:rPr>
      </w:pPr>
    </w:p>
    <w:p w14:paraId="5F02D5D5">
      <w:pPr>
        <w:spacing w:line="360" w:lineRule="auto"/>
        <w:ind w:left="420" w:leftChars="200"/>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rPr>
        <w:t>项目名称：</w:t>
      </w:r>
      <w:r>
        <w:rPr>
          <w:rFonts w:hint="eastAsia" w:ascii="仿宋" w:hAnsi="仿宋" w:eastAsia="仿宋" w:cs="仿宋"/>
          <w:color w:val="auto"/>
          <w:sz w:val="32"/>
          <w:szCs w:val="32"/>
          <w:highlight w:val="none"/>
          <w:u w:val="single"/>
        </w:rPr>
        <w:t xml:space="preserve">                             </w:t>
      </w:r>
    </w:p>
    <w:p w14:paraId="6C8DBB94">
      <w:pPr>
        <w:spacing w:line="360" w:lineRule="auto"/>
        <w:ind w:left="420" w:leftChars="20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合同编号：</w:t>
      </w:r>
      <w:r>
        <w:rPr>
          <w:rFonts w:hint="eastAsia" w:ascii="仿宋" w:hAnsi="仿宋" w:eastAsia="仿宋" w:cs="仿宋"/>
          <w:color w:val="auto"/>
          <w:sz w:val="32"/>
          <w:szCs w:val="32"/>
          <w:highlight w:val="none"/>
          <w:u w:val="single"/>
        </w:rPr>
        <w:t xml:space="preserve">                             </w:t>
      </w:r>
    </w:p>
    <w:p w14:paraId="4F0184DE">
      <w:pPr>
        <w:spacing w:line="360" w:lineRule="auto"/>
        <w:ind w:left="420" w:left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甲    方：</w:t>
      </w:r>
      <w:r>
        <w:rPr>
          <w:rFonts w:hint="eastAsia" w:ascii="仿宋" w:hAnsi="仿宋" w:eastAsia="仿宋" w:cs="仿宋"/>
          <w:color w:val="auto"/>
          <w:sz w:val="32"/>
          <w:szCs w:val="32"/>
          <w:highlight w:val="none"/>
          <w:u w:val="single"/>
        </w:rPr>
        <w:t xml:space="preserve">                             </w:t>
      </w:r>
    </w:p>
    <w:p w14:paraId="6A4C6A75">
      <w:pPr>
        <w:spacing w:line="360" w:lineRule="auto"/>
        <w:ind w:left="420" w:leftChars="20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乙    方：</w:t>
      </w:r>
      <w:r>
        <w:rPr>
          <w:rFonts w:hint="eastAsia" w:ascii="仿宋" w:hAnsi="仿宋" w:eastAsia="仿宋" w:cs="仿宋"/>
          <w:color w:val="auto"/>
          <w:sz w:val="32"/>
          <w:szCs w:val="32"/>
          <w:highlight w:val="none"/>
          <w:u w:val="single"/>
        </w:rPr>
        <w:t xml:space="preserve">                             </w:t>
      </w:r>
    </w:p>
    <w:p w14:paraId="3CEAB8A8">
      <w:pPr>
        <w:spacing w:line="360" w:lineRule="auto"/>
        <w:ind w:left="420" w:left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签订时间：</w:t>
      </w:r>
      <w:r>
        <w:rPr>
          <w:rFonts w:hint="eastAsia" w:ascii="仿宋" w:hAnsi="仿宋" w:eastAsia="仿宋" w:cs="仿宋"/>
          <w:color w:val="auto"/>
          <w:sz w:val="32"/>
          <w:szCs w:val="32"/>
          <w:highlight w:val="none"/>
          <w:u w:val="single"/>
        </w:rPr>
        <w:t xml:space="preserve">                             </w:t>
      </w:r>
    </w:p>
    <w:p w14:paraId="1F72AA61">
      <w:pPr>
        <w:rPr>
          <w:rFonts w:hint="eastAsia" w:ascii="仿宋" w:hAnsi="仿宋" w:eastAsia="仿宋" w:cs="仿宋"/>
          <w:color w:val="auto"/>
          <w:highlight w:val="none"/>
        </w:rPr>
      </w:pPr>
    </w:p>
    <w:p w14:paraId="30EE489D">
      <w:pP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br w:type="page"/>
      </w:r>
    </w:p>
    <w:p w14:paraId="2ADC100A">
      <w:pPr>
        <w:rPr>
          <w:rFonts w:hint="eastAsia" w:ascii="仿宋" w:hAnsi="仿宋" w:eastAsia="仿宋" w:cs="仿宋"/>
          <w:color w:val="auto"/>
          <w:sz w:val="44"/>
          <w:szCs w:val="44"/>
          <w:highlight w:val="none"/>
        </w:rPr>
      </w:pPr>
    </w:p>
    <w:p w14:paraId="69FDCF78">
      <w:pPr>
        <w:rPr>
          <w:rFonts w:hint="eastAsia" w:ascii="仿宋" w:hAnsi="仿宋" w:eastAsia="仿宋" w:cs="仿宋"/>
          <w:color w:val="auto"/>
          <w:sz w:val="44"/>
          <w:szCs w:val="44"/>
          <w:highlight w:val="none"/>
        </w:rPr>
      </w:pPr>
    </w:p>
    <w:p w14:paraId="7951DE84">
      <w:pPr>
        <w:jc w:val="center"/>
        <w:rPr>
          <w:rFonts w:hint="eastAsia" w:ascii="仿宋" w:hAnsi="仿宋" w:eastAsia="仿宋" w:cs="仿宋"/>
          <w:color w:val="auto"/>
          <w:sz w:val="44"/>
          <w:szCs w:val="44"/>
          <w:highlight w:val="none"/>
          <w:lang w:eastAsia="zh-CN"/>
        </w:rPr>
      </w:pPr>
      <w:r>
        <w:rPr>
          <w:rFonts w:hint="eastAsia" w:ascii="仿宋" w:hAnsi="仿宋" w:eastAsia="仿宋" w:cs="仿宋"/>
          <w:color w:val="auto"/>
          <w:sz w:val="44"/>
          <w:szCs w:val="44"/>
          <w:highlight w:val="none"/>
          <w:lang w:eastAsia="zh-CN"/>
        </w:rPr>
        <w:t>使</w:t>
      </w:r>
      <w:r>
        <w:rPr>
          <w:rFonts w:hint="eastAsia" w:ascii="仿宋" w:hAnsi="仿宋" w:eastAsia="仿宋" w:cs="仿宋"/>
          <w:color w:val="auto"/>
          <w:sz w:val="44"/>
          <w:szCs w:val="44"/>
          <w:highlight w:val="none"/>
          <w:lang w:val="en-US" w:eastAsia="zh-CN"/>
        </w:rPr>
        <w:t xml:space="preserve"> </w:t>
      </w:r>
      <w:r>
        <w:rPr>
          <w:rFonts w:hint="eastAsia" w:ascii="仿宋" w:hAnsi="仿宋" w:eastAsia="仿宋" w:cs="仿宋"/>
          <w:color w:val="auto"/>
          <w:sz w:val="44"/>
          <w:szCs w:val="44"/>
          <w:highlight w:val="none"/>
          <w:lang w:eastAsia="zh-CN"/>
        </w:rPr>
        <w:t>用</w:t>
      </w:r>
      <w:r>
        <w:rPr>
          <w:rFonts w:hint="eastAsia" w:ascii="仿宋" w:hAnsi="仿宋" w:eastAsia="仿宋" w:cs="仿宋"/>
          <w:color w:val="auto"/>
          <w:sz w:val="44"/>
          <w:szCs w:val="44"/>
          <w:highlight w:val="none"/>
          <w:lang w:val="en-US" w:eastAsia="zh-CN"/>
        </w:rPr>
        <w:t xml:space="preserve"> </w:t>
      </w:r>
      <w:r>
        <w:rPr>
          <w:rFonts w:hint="eastAsia" w:ascii="仿宋" w:hAnsi="仿宋" w:eastAsia="仿宋" w:cs="仿宋"/>
          <w:color w:val="auto"/>
          <w:sz w:val="44"/>
          <w:szCs w:val="44"/>
          <w:highlight w:val="none"/>
          <w:lang w:eastAsia="zh-CN"/>
        </w:rPr>
        <w:t>说</w:t>
      </w:r>
      <w:r>
        <w:rPr>
          <w:rFonts w:hint="eastAsia" w:ascii="仿宋" w:hAnsi="仿宋" w:eastAsia="仿宋" w:cs="仿宋"/>
          <w:color w:val="auto"/>
          <w:sz w:val="44"/>
          <w:szCs w:val="44"/>
          <w:highlight w:val="none"/>
          <w:lang w:val="en-US" w:eastAsia="zh-CN"/>
        </w:rPr>
        <w:t xml:space="preserve"> </w:t>
      </w:r>
      <w:r>
        <w:rPr>
          <w:rFonts w:hint="eastAsia" w:ascii="仿宋" w:hAnsi="仿宋" w:eastAsia="仿宋" w:cs="仿宋"/>
          <w:color w:val="auto"/>
          <w:sz w:val="44"/>
          <w:szCs w:val="44"/>
          <w:highlight w:val="none"/>
          <w:lang w:eastAsia="zh-CN"/>
        </w:rPr>
        <w:t>明</w:t>
      </w:r>
    </w:p>
    <w:p w14:paraId="306E6BAC">
      <w:pPr>
        <w:ind w:firstLine="640" w:firstLineChars="200"/>
        <w:rPr>
          <w:rFonts w:hint="eastAsia" w:ascii="仿宋" w:hAnsi="仿宋" w:eastAsia="仿宋" w:cs="仿宋"/>
          <w:color w:val="auto"/>
          <w:sz w:val="32"/>
          <w:szCs w:val="32"/>
          <w:highlight w:val="none"/>
          <w:lang w:val="en-US" w:eastAsia="zh-CN"/>
        </w:rPr>
      </w:pPr>
    </w:p>
    <w:p w14:paraId="7819232F">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1.本合同标准文本适用于购买现成货物的采购项目，不包括需要供应商定制开发、创新研发的货物采购项目。</w:t>
      </w:r>
    </w:p>
    <w:p w14:paraId="6BA57B72">
      <w:pPr>
        <w:ind w:firstLine="0" w:firstLineChars="0"/>
        <w:rPr>
          <w:rFonts w:hint="eastAsia" w:ascii="仿宋" w:hAnsi="仿宋" w:eastAsia="仿宋" w:cs="仿宋"/>
          <w:color w:val="auto"/>
          <w:sz w:val="44"/>
          <w:szCs w:val="44"/>
          <w:highlight w:val="none"/>
          <w:lang w:val="en-US" w:eastAsia="zh-CN"/>
        </w:rPr>
      </w:pPr>
      <w:r>
        <w:rPr>
          <w:rFonts w:hint="eastAsia" w:ascii="仿宋" w:hAnsi="仿宋" w:eastAsia="仿宋" w:cs="仿宋"/>
          <w:color w:val="auto"/>
          <w:sz w:val="44"/>
          <w:szCs w:val="44"/>
          <w:highlight w:val="none"/>
          <w:lang w:val="en-US" w:eastAsia="zh-CN"/>
        </w:rPr>
        <w:t xml:space="preserve">   </w:t>
      </w:r>
      <w:r>
        <w:rPr>
          <w:rFonts w:hint="eastAsia" w:ascii="仿宋" w:hAnsi="仿宋" w:eastAsia="仿宋" w:cs="仿宋"/>
          <w:color w:val="auto"/>
          <w:sz w:val="32"/>
          <w:szCs w:val="32"/>
          <w:highlight w:val="none"/>
          <w:lang w:val="en-US" w:eastAsia="zh-CN"/>
        </w:rPr>
        <w:t>2.本合同标准文本为政府采购货物买卖合同编制提供参考，可以结合采购项目具体情况，对文本作必要的调整修订后使用。</w:t>
      </w:r>
    </w:p>
    <w:p w14:paraId="564E903E">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1785CF9A">
      <w:pPr>
        <w:ind w:firstLine="880" w:firstLineChars="200"/>
        <w:jc w:val="both"/>
        <w:rPr>
          <w:rFonts w:hint="eastAsia" w:ascii="仿宋" w:hAnsi="仿宋" w:eastAsia="仿宋" w:cs="仿宋"/>
          <w:color w:val="auto"/>
          <w:sz w:val="44"/>
          <w:szCs w:val="44"/>
          <w:highlight w:val="none"/>
        </w:rPr>
        <w:sectPr>
          <w:headerReference r:id="rId7" w:type="default"/>
          <w:footerReference r:id="rId8" w:type="default"/>
          <w:pgSz w:w="11906" w:h="16838"/>
          <w:pgMar w:top="1134" w:right="1417" w:bottom="1134" w:left="1417" w:header="851" w:footer="992" w:gutter="0"/>
          <w:pgBorders>
            <w:top w:val="none" w:sz="0" w:space="0"/>
            <w:left w:val="none" w:sz="0" w:space="0"/>
            <w:bottom w:val="none" w:sz="0" w:space="0"/>
            <w:right w:val="none" w:sz="0" w:space="0"/>
          </w:pgBorders>
          <w:pgNumType w:fmt="decimal"/>
          <w:cols w:space="425" w:num="1"/>
          <w:rtlGutter w:val="0"/>
          <w:docGrid w:type="lines" w:linePitch="312" w:charSpace="0"/>
        </w:sectPr>
      </w:pPr>
    </w:p>
    <w:bookmarkEnd w:id="52"/>
    <w:p w14:paraId="6866DA00">
      <w:pPr>
        <w:pStyle w:val="4"/>
        <w:adjustRightInd w:val="0"/>
        <w:snapToGrid w:val="0"/>
        <w:spacing w:beforeLines="0" w:line="360" w:lineRule="auto"/>
        <w:jc w:val="center"/>
        <w:rPr>
          <w:rFonts w:hint="eastAsia" w:ascii="仿宋" w:hAnsi="仿宋" w:eastAsia="仿宋" w:cs="仿宋"/>
          <w:b w:val="0"/>
          <w:bCs w:val="0"/>
          <w:color w:val="auto"/>
          <w:sz w:val="24"/>
          <w:szCs w:val="24"/>
          <w:highlight w:val="none"/>
        </w:rPr>
      </w:pPr>
      <w:bookmarkStart w:id="53" w:name="_Toc10080"/>
      <w:r>
        <w:rPr>
          <w:rFonts w:hint="eastAsia" w:ascii="仿宋" w:hAnsi="仿宋" w:eastAsia="仿宋" w:cs="仿宋"/>
          <w:b w:val="0"/>
          <w:bCs w:val="0"/>
          <w:color w:val="auto"/>
          <w:sz w:val="24"/>
          <w:szCs w:val="24"/>
          <w:highlight w:val="none"/>
        </w:rPr>
        <w:t>第一节 政府采购合同协议书</w:t>
      </w:r>
      <w:bookmarkEnd w:id="53"/>
    </w:p>
    <w:p w14:paraId="19D29138">
      <w:pPr>
        <w:spacing w:line="360" w:lineRule="auto"/>
        <w:rPr>
          <w:rFonts w:hint="eastAsia" w:ascii="仿宋" w:hAnsi="仿宋" w:eastAsia="仿宋" w:cs="仿宋"/>
          <w:color w:val="auto"/>
          <w:sz w:val="24"/>
          <w:szCs w:val="24"/>
          <w:highlight w:val="none"/>
        </w:rPr>
      </w:pPr>
    </w:p>
    <w:p w14:paraId="52580C24">
      <w:pPr>
        <w:adjustRightInd w:val="0"/>
        <w:snapToGrid w:val="0"/>
        <w:spacing w:before="0" w:beforeLines="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lang w:eastAsia="zh-CN"/>
        </w:rPr>
        <w:t>、受采购人委托签订合同的单位</w:t>
      </w:r>
      <w:r>
        <w:rPr>
          <w:rFonts w:hint="eastAsia" w:ascii="仿宋" w:hAnsi="仿宋" w:eastAsia="仿宋" w:cs="仿宋"/>
          <w:color w:val="auto"/>
          <w:sz w:val="24"/>
          <w:szCs w:val="24"/>
          <w:highlight w:val="none"/>
        </w:rPr>
        <w:t>或采购文件约定的合同甲方）</w:t>
      </w:r>
    </w:p>
    <w:p w14:paraId="0D085939">
      <w:pPr>
        <w:adjustRightInd w:val="0"/>
        <w:snapToGrid w:val="0"/>
        <w:spacing w:before="0" w:beforeLines="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w:t>
      </w:r>
    </w:p>
    <w:p w14:paraId="546849AF">
      <w:pPr>
        <w:adjustRightInd w:val="0"/>
        <w:snapToGrid w:val="0"/>
        <w:spacing w:before="0" w:beforeLines="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乙方2（全称）：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（联合体成员供应商或其他合同主体）（如有）</w:t>
      </w:r>
    </w:p>
    <w:p w14:paraId="7E420CF2">
      <w:pPr>
        <w:adjustRightInd w:val="0"/>
        <w:snapToGrid w:val="0"/>
        <w:spacing w:before="0" w:beforeLines="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lang w:val="en-US" w:eastAsia="zh-CN"/>
        </w:rPr>
        <w:t>3（全称）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（联合体成员供应商或其他合同主体）（如有）</w:t>
      </w:r>
    </w:p>
    <w:p w14:paraId="1791A285">
      <w:pPr>
        <w:spacing w:beforeLines="0" w:line="360" w:lineRule="auto"/>
        <w:rPr>
          <w:rFonts w:hint="eastAsia" w:ascii="仿宋" w:hAnsi="仿宋" w:eastAsia="仿宋" w:cs="仿宋"/>
          <w:color w:val="auto"/>
          <w:sz w:val="24"/>
          <w:szCs w:val="24"/>
          <w:highlight w:val="none"/>
          <w:lang w:val="en-US" w:eastAsia="zh-CN"/>
        </w:rPr>
      </w:pPr>
    </w:p>
    <w:p w14:paraId="1DBF3879">
      <w:pPr>
        <w:pStyle w:val="13"/>
        <w:adjustRightInd w:val="0"/>
        <w:snapToGrid w:val="0"/>
        <w:spacing w:before="0" w:beforeLines="0" w:after="0"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依据《中华人民共和国民法典》</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《中华人民共和国政府采购法》等有关的法律法规，以及</w:t>
      </w:r>
      <w:r>
        <w:rPr>
          <w:rFonts w:hint="eastAsia" w:ascii="仿宋" w:hAnsi="仿宋" w:eastAsia="仿宋" w:cs="仿宋"/>
          <w:i w:val="0"/>
          <w:iCs w:val="0"/>
          <w:color w:val="auto"/>
          <w:sz w:val="24"/>
          <w:szCs w:val="24"/>
          <w:highlight w:val="none"/>
          <w:u w:val="none"/>
          <w:lang w:eastAsia="zh-CN"/>
        </w:rPr>
        <w:t>本采购项目</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lang w:eastAsia="zh-CN"/>
        </w:rPr>
        <w:t>文件等</w:t>
      </w:r>
      <w:r>
        <w:rPr>
          <w:rFonts w:hint="eastAsia" w:ascii="仿宋" w:hAnsi="仿宋" w:eastAsia="仿宋" w:cs="仿宋"/>
          <w:color w:val="auto"/>
          <w:sz w:val="24"/>
          <w:szCs w:val="24"/>
          <w:highlight w:val="none"/>
        </w:rPr>
        <w:t>采购文件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乙方的《投标（响应）文件》及《中标（成交）通知书》，甲乙双方同意签订本合同。具体情况及要求如下：     </w:t>
      </w:r>
    </w:p>
    <w:p w14:paraId="03C19424">
      <w:pPr>
        <w:numPr>
          <w:ilvl w:val="0"/>
          <w:numId w:val="2"/>
        </w:numPr>
        <w:adjustRightInd w:val="0"/>
        <w:snapToGrid w:val="0"/>
        <w:spacing w:before="0" w:beforeLines="0"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项目信息</w:t>
      </w:r>
    </w:p>
    <w:p w14:paraId="159F0790">
      <w:pPr>
        <w:pStyle w:val="13"/>
        <w:numPr>
          <w:ilvl w:val="0"/>
          <w:numId w:val="3"/>
        </w:numPr>
        <w:adjustRightInd w:val="0"/>
        <w:snapToGrid w:val="0"/>
        <w:spacing w:before="0" w:beforeLines="0" w:after="0" w:line="360" w:lineRule="auto"/>
        <w:ind w:left="0" w:leftChars="0"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采购项目名称：</w:t>
      </w:r>
      <w:r>
        <w:rPr>
          <w:rFonts w:hint="eastAsia" w:ascii="仿宋" w:hAnsi="仿宋" w:eastAsia="仿宋" w:cs="仿宋"/>
          <w:color w:val="auto"/>
          <w:sz w:val="24"/>
          <w:szCs w:val="24"/>
          <w:highlight w:val="none"/>
          <w:u w:val="single"/>
        </w:rPr>
        <w:t xml:space="preserve">                                          </w:t>
      </w:r>
    </w:p>
    <w:p w14:paraId="6F99ADB1">
      <w:pPr>
        <w:pStyle w:val="13"/>
        <w:numPr>
          <w:ilvl w:val="-1"/>
          <w:numId w:val="0"/>
        </w:numPr>
        <w:tabs>
          <w:tab w:val="left" w:pos="999"/>
        </w:tabs>
        <w:adjustRightInd w:val="0"/>
        <w:snapToGrid w:val="0"/>
        <w:spacing w:before="0" w:beforeLines="0" w:after="0" w:line="360" w:lineRule="auto"/>
        <w:ind w:left="0" w:leftChars="0" w:firstLine="0" w:firstLineChars="0"/>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 xml:space="preserve">         采购项目编号：</w:t>
      </w:r>
      <w:r>
        <w:rPr>
          <w:rFonts w:hint="eastAsia" w:ascii="仿宋" w:hAnsi="仿宋" w:eastAsia="仿宋" w:cs="仿宋"/>
          <w:color w:val="auto"/>
          <w:sz w:val="24"/>
          <w:szCs w:val="24"/>
          <w:highlight w:val="none"/>
          <w:u w:val="single"/>
        </w:rPr>
        <w:t xml:space="preserve">                                          </w:t>
      </w:r>
    </w:p>
    <w:p w14:paraId="37C49A93">
      <w:pPr>
        <w:pStyle w:val="13"/>
        <w:adjustRightInd w:val="0"/>
        <w:snapToGrid w:val="0"/>
        <w:spacing w:before="0" w:beforeLines="0" w:after="0"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（2）采购计划编号：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065F7D6B">
      <w:pPr>
        <w:adjustRightInd w:val="0"/>
        <w:snapToGrid w:val="0"/>
        <w:spacing w:before="0" w:beforeLines="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（3）项目内容：</w:t>
      </w:r>
    </w:p>
    <w:p w14:paraId="6146EF7C">
      <w:pPr>
        <w:adjustRightInd w:val="0"/>
        <w:snapToGrid w:val="0"/>
        <w:spacing w:before="0" w:beforeLines="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采购标的及数量</w:t>
      </w:r>
      <w:r>
        <w:rPr>
          <w:rFonts w:hint="eastAsia" w:ascii="仿宋" w:hAnsi="仿宋" w:eastAsia="仿宋" w:cs="仿宋"/>
          <w:color w:val="auto"/>
          <w:sz w:val="24"/>
          <w:szCs w:val="24"/>
          <w:highlight w:val="none"/>
          <w:lang w:val="en-US" w:eastAsia="zh-CN"/>
        </w:rPr>
        <w:t>（台/套</w:t>
      </w:r>
      <w:r>
        <w:rPr>
          <w:rFonts w:hint="eastAsia" w:ascii="仿宋" w:hAnsi="仿宋" w:eastAsia="仿宋" w:cs="仿宋"/>
          <w:color w:val="auto"/>
          <w:sz w:val="24"/>
          <w:szCs w:val="24"/>
          <w:highlight w:val="none"/>
          <w:lang w:val="en" w:eastAsia="zh-CN"/>
        </w:rPr>
        <w:t>/个/架/组等</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p w14:paraId="44746E44">
      <w:pPr>
        <w:numPr>
          <w:ilvl w:val="-1"/>
          <w:numId w:val="0"/>
        </w:numPr>
        <w:adjustRightInd w:val="0"/>
        <w:snapToGrid w:val="0"/>
        <w:spacing w:before="0" w:beforeLines="0" w:line="360" w:lineRule="auto"/>
        <w:ind w:firstLine="480" w:firstLineChars="200"/>
        <w:rPr>
          <w:rFonts w:hint="eastAsia" w:ascii="仿宋" w:hAnsi="仿宋" w:eastAsia="仿宋" w:cs="仿宋"/>
          <w:color w:val="auto"/>
          <w:sz w:val="24"/>
          <w:szCs w:val="24"/>
          <w:highlight w:val="none"/>
          <w:lang w:val="en" w:eastAsia="zh-CN"/>
        </w:rPr>
      </w:pP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品牌：</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 w:eastAsia="zh-CN"/>
        </w:rPr>
        <w:t xml:space="preserve">     </w:t>
      </w:r>
      <w:r>
        <w:rPr>
          <w:rFonts w:hint="eastAsia" w:ascii="仿宋" w:hAnsi="仿宋" w:eastAsia="仿宋" w:cs="仿宋"/>
          <w:color w:val="auto"/>
          <w:sz w:val="24"/>
          <w:szCs w:val="24"/>
          <w:highlight w:val="none"/>
          <w:lang w:val="en-US" w:eastAsia="zh-CN"/>
        </w:rPr>
        <w:t>规格型号：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 w:eastAsia="zh-CN"/>
        </w:rPr>
        <w:t xml:space="preserve">   </w:t>
      </w:r>
    </w:p>
    <w:p w14:paraId="6DE17153">
      <w:pPr>
        <w:adjustRightInd w:val="0"/>
        <w:snapToGrid w:val="0"/>
        <w:spacing w:before="0" w:beforeLines="0" w:line="360" w:lineRule="auto"/>
        <w:ind w:firstLine="1080" w:firstLineChars="4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none"/>
          <w:lang w:val="en-US" w:eastAsia="zh-CN"/>
        </w:rPr>
        <w:t>采购标的的技术要求、商务要求具体见附件。</w:t>
      </w:r>
    </w:p>
    <w:p w14:paraId="07C62FA7">
      <w:pPr>
        <w:numPr>
          <w:ilvl w:val="-1"/>
          <w:numId w:val="0"/>
        </w:numPr>
        <w:adjustRightInd w:val="0"/>
        <w:snapToGrid w:val="0"/>
        <w:spacing w:before="0" w:beforeLines="0" w:line="360" w:lineRule="auto"/>
        <w:ind w:firstLine="1080" w:firstLineChars="4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①涉及信息类产品，请填写该产品关键部件的品牌、型号：</w:t>
      </w:r>
    </w:p>
    <w:p w14:paraId="42EC2E90">
      <w:pPr>
        <w:numPr>
          <w:ilvl w:val="-1"/>
          <w:numId w:val="0"/>
        </w:numPr>
        <w:adjustRightInd w:val="0"/>
        <w:snapToGrid w:val="0"/>
        <w:spacing w:before="0" w:beforeLines="0" w:line="360" w:lineRule="auto"/>
        <w:ind w:firstLine="480" w:firstLineChars="200"/>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sz w:val="24"/>
          <w:szCs w:val="24"/>
          <w:highlight w:val="none"/>
          <w:lang w:val="en-US" w:eastAsia="zh-CN"/>
        </w:rPr>
        <w:t xml:space="preserve">     标的名称：</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lang w:val="en" w:eastAsia="zh-CN"/>
        </w:rPr>
        <w:t xml:space="preserve">               </w:t>
      </w:r>
      <w:r>
        <w:rPr>
          <w:rFonts w:hint="eastAsia" w:ascii="仿宋" w:hAnsi="仿宋" w:eastAsia="仿宋" w:cs="仿宋"/>
          <w:color w:val="auto"/>
          <w:kern w:val="0"/>
          <w:sz w:val="24"/>
          <w:szCs w:val="24"/>
          <w:highlight w:val="none"/>
          <w:u w:val="single"/>
          <w:lang w:val="en-US" w:eastAsia="zh-CN"/>
        </w:rPr>
        <w:t xml:space="preserve">    </w:t>
      </w:r>
    </w:p>
    <w:p w14:paraId="6A891133">
      <w:pPr>
        <w:numPr>
          <w:ilvl w:val="-1"/>
          <w:numId w:val="0"/>
        </w:numPr>
        <w:adjustRightInd w:val="0"/>
        <w:snapToGrid w:val="0"/>
        <w:spacing w:before="0" w:beforeLines="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关键部件：</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品牌：</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型号：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p w14:paraId="21C47B4F">
      <w:pPr>
        <w:pStyle w:val="205"/>
        <w:spacing w:beforeLines="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kern w:val="2"/>
          <w:sz w:val="24"/>
          <w:szCs w:val="24"/>
          <w:highlight w:val="none"/>
          <w:lang w:val="en-US" w:eastAsia="zh-CN"/>
        </w:rPr>
        <w:t>关键部件</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品牌：</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型号：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p w14:paraId="457162A5">
      <w:pPr>
        <w:pStyle w:val="205"/>
        <w:spacing w:beforeLines="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关键部件：</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品牌：</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型号：</w:t>
      </w:r>
      <w:r>
        <w:rPr>
          <w:rFonts w:hint="eastAsia" w:ascii="仿宋" w:hAnsi="仿宋" w:eastAsia="仿宋" w:cs="仿宋"/>
          <w:color w:val="auto"/>
          <w:sz w:val="24"/>
          <w:szCs w:val="24"/>
          <w:highlight w:val="none"/>
          <w:u w:val="single"/>
          <w:lang w:val="en-US" w:eastAsia="zh-CN"/>
        </w:rPr>
        <w:t xml:space="preserve">       </w:t>
      </w:r>
    </w:p>
    <w:p w14:paraId="57AFD731">
      <w:pPr>
        <w:pStyle w:val="205"/>
        <w:numPr>
          <w:ilvl w:val="-1"/>
          <w:numId w:val="0"/>
        </w:numPr>
        <w:adjustRightInd w:val="0"/>
        <w:snapToGrid w:val="0"/>
        <w:spacing w:before="0" w:beforeLines="0" w:line="36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6F0EB167">
      <w:pPr>
        <w:pStyle w:val="205"/>
        <w:numPr>
          <w:ilvl w:val="-1"/>
          <w:numId w:val="0"/>
        </w:numPr>
        <w:adjustRightInd w:val="0"/>
        <w:snapToGrid w:val="0"/>
        <w:spacing w:before="0" w:beforeLines="0" w:line="36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②涉及车辆采购，请填写是否属于新能源汽车：</w:t>
      </w:r>
    </w:p>
    <w:p w14:paraId="3601FEB7">
      <w:pPr>
        <w:pStyle w:val="205"/>
        <w:numPr>
          <w:ilvl w:val="-1"/>
          <w:numId w:val="0"/>
        </w:numPr>
        <w:adjustRightInd w:val="0"/>
        <w:snapToGrid w:val="0"/>
        <w:spacing w:before="0" w:beforeLines="0" w:line="360" w:lineRule="auto"/>
        <w:ind w:firstLine="0" w:firstLineChars="0"/>
        <w:rPr>
          <w:rFonts w:hint="eastAsia" w:ascii="仿宋" w:hAnsi="仿宋" w:eastAsia="仿宋" w:cs="仿宋"/>
          <w:i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是</w:t>
      </w:r>
      <w:r>
        <w:rPr>
          <w:rFonts w:hint="eastAsia" w:ascii="仿宋" w:hAnsi="仿宋" w:eastAsia="仿宋" w:cs="仿宋"/>
          <w:iCs w:val="0"/>
          <w:color w:val="auto"/>
          <w:sz w:val="24"/>
          <w:szCs w:val="24"/>
          <w:highlight w:val="none"/>
          <w:lang w:eastAsia="zh-CN"/>
        </w:rPr>
        <w:t>，《政府采购品目分类目录》底级品目名称</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数量：</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金额：</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iCs w:val="0"/>
          <w:color w:val="auto"/>
          <w:sz w:val="24"/>
          <w:szCs w:val="24"/>
          <w:highlight w:val="none"/>
          <w:lang w:val="en-US" w:eastAsia="zh-CN"/>
        </w:rPr>
        <w:t xml:space="preserve"> </w:t>
      </w:r>
    </w:p>
    <w:p w14:paraId="7A4D7061">
      <w:pPr>
        <w:pStyle w:val="205"/>
        <w:numPr>
          <w:ilvl w:val="-1"/>
          <w:numId w:val="0"/>
        </w:numPr>
        <w:adjustRightInd w:val="0"/>
        <w:snapToGrid w:val="0"/>
        <w:spacing w:before="0" w:beforeLines="0" w:line="360" w:lineRule="auto"/>
        <w:ind w:firstLine="0" w:firstLineChars="0"/>
        <w:rPr>
          <w:rFonts w:hint="eastAsia" w:ascii="仿宋" w:hAnsi="仿宋" w:eastAsia="仿宋" w:cs="仿宋"/>
          <w:iCs w:val="0"/>
          <w:color w:val="auto"/>
          <w:sz w:val="24"/>
          <w:szCs w:val="24"/>
          <w:highlight w:val="none"/>
          <w:lang w:eastAsia="zh-CN"/>
        </w:rPr>
      </w:pP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否</w:t>
      </w:r>
    </w:p>
    <w:p w14:paraId="73E2501E">
      <w:pPr>
        <w:pStyle w:val="205"/>
        <w:numPr>
          <w:ilvl w:val="-1"/>
          <w:numId w:val="0"/>
        </w:numPr>
        <w:adjustRightInd w:val="0"/>
        <w:snapToGrid w:val="0"/>
        <w:spacing w:before="0" w:beforeLines="0" w:line="360" w:lineRule="auto"/>
        <w:ind w:left="0" w:firstLine="0" w:firstLineChars="0"/>
        <w:rPr>
          <w:rFonts w:hint="eastAsia" w:ascii="仿宋" w:hAnsi="仿宋" w:eastAsia="仿宋" w:cs="仿宋"/>
          <w:iCs w:val="0"/>
          <w:color w:val="auto"/>
          <w:sz w:val="24"/>
          <w:szCs w:val="24"/>
          <w:highlight w:val="none"/>
          <w:lang w:val="en-US" w:eastAsia="zh-CN"/>
        </w:rPr>
      </w:pP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lang w:val="en" w:eastAsia="zh-CN"/>
        </w:rPr>
        <w:t>4</w:t>
      </w:r>
      <w:r>
        <w:rPr>
          <w:rFonts w:hint="eastAsia" w:ascii="仿宋" w:hAnsi="仿宋" w:eastAsia="仿宋" w:cs="仿宋"/>
          <w:iCs w:val="0"/>
          <w:color w:val="auto"/>
          <w:sz w:val="24"/>
          <w:szCs w:val="24"/>
          <w:highlight w:val="none"/>
          <w:lang w:val="en-US" w:eastAsia="zh-CN"/>
        </w:rPr>
        <w:t>）政府采购组织形式：</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政府集中采购</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val="en-US" w:eastAsia="zh-CN"/>
        </w:rPr>
        <w:t xml:space="preserve">部门集中采购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val="en-US" w:eastAsia="zh-CN"/>
        </w:rPr>
        <w:t>分散采购</w:t>
      </w:r>
    </w:p>
    <w:p w14:paraId="11AE7342">
      <w:pPr>
        <w:pStyle w:val="205"/>
        <w:numPr>
          <w:ilvl w:val="-1"/>
          <w:numId w:val="0"/>
        </w:numPr>
        <w:adjustRightInd w:val="0"/>
        <w:snapToGrid w:val="0"/>
        <w:spacing w:before="0" w:beforeLines="0" w:line="360" w:lineRule="auto"/>
        <w:ind w:left="0" w:firstLine="420" w:firstLineChars="0"/>
        <w:rPr>
          <w:rFonts w:hint="eastAsia" w:ascii="仿宋" w:hAnsi="仿宋" w:eastAsia="仿宋" w:cs="仿宋"/>
          <w:iCs w:val="0"/>
          <w:color w:val="auto"/>
          <w:sz w:val="24"/>
          <w:szCs w:val="24"/>
          <w:highlight w:val="none"/>
          <w:lang w:eastAsia="zh-CN"/>
        </w:rPr>
      </w:pPr>
      <w:r>
        <w:rPr>
          <w:rFonts w:hint="eastAsia" w:ascii="仿宋" w:hAnsi="仿宋" w:eastAsia="仿宋" w:cs="仿宋"/>
          <w:iCs w:val="0"/>
          <w:color w:val="auto"/>
          <w:sz w:val="24"/>
          <w:szCs w:val="24"/>
          <w:highlight w:val="none"/>
          <w:lang w:val="en-US" w:eastAsia="zh-CN"/>
        </w:rPr>
        <w:t>（</w:t>
      </w:r>
      <w:r>
        <w:rPr>
          <w:rFonts w:hint="eastAsia" w:ascii="仿宋" w:hAnsi="仿宋" w:eastAsia="仿宋" w:cs="仿宋"/>
          <w:iCs w:val="0"/>
          <w:color w:val="auto"/>
          <w:sz w:val="24"/>
          <w:szCs w:val="24"/>
          <w:highlight w:val="none"/>
          <w:lang w:val="en" w:eastAsia="zh-CN"/>
        </w:rPr>
        <w:t>5</w:t>
      </w:r>
      <w:r>
        <w:rPr>
          <w:rFonts w:hint="eastAsia" w:ascii="仿宋" w:hAnsi="仿宋" w:eastAsia="仿宋" w:cs="仿宋"/>
          <w:iCs w:val="0"/>
          <w:color w:val="auto"/>
          <w:sz w:val="24"/>
          <w:szCs w:val="24"/>
          <w:highlight w:val="none"/>
          <w:lang w:val="en-US" w:eastAsia="zh-CN"/>
        </w:rPr>
        <w:t>）政府采购方式：</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公开招标</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邀请招标</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竞争性谈判</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竞争性磋商</w:t>
      </w:r>
    </w:p>
    <w:p w14:paraId="021F61F2">
      <w:pPr>
        <w:pStyle w:val="205"/>
        <w:numPr>
          <w:ilvl w:val="-1"/>
          <w:numId w:val="0"/>
        </w:numPr>
        <w:adjustRightInd w:val="0"/>
        <w:snapToGrid w:val="0"/>
        <w:spacing w:before="0" w:beforeLines="0" w:line="360" w:lineRule="auto"/>
        <w:ind w:left="0" w:firstLine="420" w:firstLineChars="0"/>
        <w:rPr>
          <w:rFonts w:hint="eastAsia" w:ascii="仿宋" w:hAnsi="仿宋" w:eastAsia="仿宋" w:cs="仿宋"/>
          <w:iCs w:val="0"/>
          <w:color w:val="auto"/>
          <w:sz w:val="24"/>
          <w:szCs w:val="24"/>
          <w:highlight w:val="none"/>
          <w:u w:val="single"/>
          <w:lang w:val="en-US" w:eastAsia="zh-CN"/>
        </w:rPr>
      </w:pP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询价</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单一来源</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框架协议</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其他：</w:t>
      </w:r>
      <w:r>
        <w:rPr>
          <w:rFonts w:hint="eastAsia" w:ascii="仿宋" w:hAnsi="仿宋" w:eastAsia="仿宋" w:cs="仿宋"/>
          <w:iCs w:val="0"/>
          <w:color w:val="auto"/>
          <w:sz w:val="24"/>
          <w:szCs w:val="24"/>
          <w:highlight w:val="none"/>
          <w:u w:val="single"/>
          <w:lang w:val="en-US" w:eastAsia="zh-CN"/>
        </w:rPr>
        <w:t xml:space="preserve">          </w:t>
      </w:r>
    </w:p>
    <w:p w14:paraId="755F27EC">
      <w:pPr>
        <w:pStyle w:val="205"/>
        <w:numPr>
          <w:ilvl w:val="-1"/>
          <w:numId w:val="0"/>
        </w:numPr>
        <w:adjustRightInd w:val="0"/>
        <w:snapToGrid w:val="0"/>
        <w:spacing w:before="0" w:beforeLines="0" w:line="360" w:lineRule="auto"/>
        <w:ind w:left="0" w:firstLine="420" w:firstLineChars="0"/>
        <w:rPr>
          <w:rFonts w:hint="eastAsia" w:ascii="仿宋" w:hAnsi="仿宋" w:eastAsia="仿宋" w:cs="仿宋"/>
          <w:iCs w:val="0"/>
          <w:color w:val="auto"/>
          <w:sz w:val="24"/>
          <w:szCs w:val="24"/>
          <w:highlight w:val="none"/>
          <w:u w:val="none"/>
          <w:lang w:val="en-US" w:eastAsia="zh-CN"/>
        </w:rPr>
      </w:pPr>
      <w:r>
        <w:rPr>
          <w:rFonts w:hint="eastAsia" w:ascii="仿宋" w:hAnsi="仿宋" w:eastAsia="仿宋" w:cs="仿宋"/>
          <w:iCs w:val="0"/>
          <w:color w:val="auto"/>
          <w:sz w:val="24"/>
          <w:szCs w:val="24"/>
          <w:highlight w:val="none"/>
          <w:u w:val="none"/>
          <w:lang w:val="en-US" w:eastAsia="zh-CN"/>
        </w:rPr>
        <w:t>（注：在框架协议采购的第二阶段，可选择使用该合同文本）</w:t>
      </w:r>
    </w:p>
    <w:p w14:paraId="0B514B98">
      <w:pPr>
        <w:pStyle w:val="205"/>
        <w:numPr>
          <w:ilvl w:val="-1"/>
          <w:numId w:val="0"/>
        </w:numPr>
        <w:adjustRightInd w:val="0"/>
        <w:snapToGrid w:val="0"/>
        <w:spacing w:before="0" w:beforeLines="0" w:line="360" w:lineRule="auto"/>
        <w:ind w:firstLine="240" w:firstLineChars="100"/>
        <w:rPr>
          <w:rFonts w:hint="eastAsia" w:ascii="仿宋" w:hAnsi="仿宋" w:eastAsia="仿宋" w:cs="仿宋"/>
          <w:color w:val="auto"/>
          <w:w w:val="100"/>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en" w:eastAsia="zh-CN"/>
        </w:rPr>
        <w:t>6</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w w:val="100"/>
          <w:kern w:val="2"/>
          <w:sz w:val="24"/>
          <w:szCs w:val="24"/>
          <w:highlight w:val="none"/>
          <w:lang w:val="en-US" w:eastAsia="zh-CN" w:bidi="ar-SA"/>
        </w:rPr>
        <w:t>中标（成交）采购标的制造商是否为中小企业：</w:t>
      </w:r>
      <w:r>
        <w:rPr>
          <w:rFonts w:hint="eastAsia" w:ascii="仿宋" w:hAnsi="仿宋" w:eastAsia="仿宋" w:cs="仿宋"/>
          <w:color w:val="auto"/>
          <w:w w:val="100"/>
          <w:kern w:val="2"/>
          <w:sz w:val="24"/>
          <w:szCs w:val="24"/>
          <w:highlight w:val="none"/>
          <w:lang w:val="en-US" w:eastAsia="zh-CN" w:bidi="ar-SA"/>
        </w:rPr>
        <w:sym w:font="Wingdings" w:char="00A8"/>
      </w:r>
      <w:r>
        <w:rPr>
          <w:rFonts w:hint="eastAsia" w:ascii="仿宋" w:hAnsi="仿宋" w:eastAsia="仿宋" w:cs="仿宋"/>
          <w:color w:val="auto"/>
          <w:w w:val="100"/>
          <w:kern w:val="2"/>
          <w:sz w:val="24"/>
          <w:szCs w:val="24"/>
          <w:highlight w:val="none"/>
          <w:lang w:val="en-US" w:eastAsia="zh-CN" w:bidi="ar-SA"/>
        </w:rPr>
        <w:t xml:space="preserve">是      </w:t>
      </w:r>
      <w:r>
        <w:rPr>
          <w:rFonts w:hint="eastAsia" w:ascii="仿宋" w:hAnsi="仿宋" w:eastAsia="仿宋" w:cs="仿宋"/>
          <w:color w:val="auto"/>
          <w:w w:val="100"/>
          <w:kern w:val="2"/>
          <w:sz w:val="24"/>
          <w:szCs w:val="24"/>
          <w:highlight w:val="none"/>
          <w:lang w:val="en-US" w:eastAsia="zh-CN" w:bidi="ar-SA"/>
        </w:rPr>
        <w:sym w:font="Wingdings" w:char="00A8"/>
      </w:r>
      <w:r>
        <w:rPr>
          <w:rFonts w:hint="eastAsia" w:ascii="仿宋" w:hAnsi="仿宋" w:eastAsia="仿宋" w:cs="仿宋"/>
          <w:color w:val="auto"/>
          <w:w w:val="100"/>
          <w:kern w:val="2"/>
          <w:sz w:val="24"/>
          <w:szCs w:val="24"/>
          <w:highlight w:val="none"/>
          <w:lang w:val="en-US" w:eastAsia="zh-CN" w:bidi="ar-SA"/>
        </w:rPr>
        <w:t>否</w:t>
      </w:r>
    </w:p>
    <w:p w14:paraId="0A6832BD">
      <w:pPr>
        <w:numPr>
          <w:ilvl w:val="-1"/>
          <w:numId w:val="0"/>
        </w:numPr>
        <w:adjustRightInd w:val="0"/>
        <w:snapToGrid w:val="0"/>
        <w:spacing w:before="0" w:beforeLines="0" w:line="360" w:lineRule="auto"/>
        <w:ind w:left="0" w:leftChars="0" w:firstLine="0" w:firstLineChars="0"/>
        <w:rPr>
          <w:rFonts w:hint="eastAsia" w:ascii="仿宋" w:hAnsi="仿宋" w:eastAsia="仿宋" w:cs="仿宋"/>
          <w:iCs/>
          <w:color w:val="auto"/>
          <w:sz w:val="24"/>
          <w:szCs w:val="24"/>
          <w:highlight w:val="none"/>
        </w:rPr>
      </w:pPr>
      <w:r>
        <w:rPr>
          <w:rFonts w:hint="eastAsia" w:ascii="仿宋" w:hAnsi="仿宋" w:eastAsia="仿宋" w:cs="仿宋"/>
          <w:color w:val="auto"/>
          <w:w w:val="100"/>
          <w:sz w:val="24"/>
          <w:szCs w:val="24"/>
          <w:highlight w:val="none"/>
          <w:lang w:val="en-US" w:eastAsia="zh-CN"/>
        </w:rPr>
        <w:t xml:space="preserve">    本合同</w:t>
      </w:r>
      <w:r>
        <w:rPr>
          <w:rFonts w:hint="eastAsia" w:ascii="仿宋" w:hAnsi="仿宋" w:eastAsia="仿宋" w:cs="仿宋"/>
          <w:color w:val="auto"/>
          <w:w w:val="100"/>
          <w:sz w:val="24"/>
          <w:szCs w:val="24"/>
          <w:highlight w:val="none"/>
        </w:rPr>
        <w:t>是否</w:t>
      </w:r>
      <w:r>
        <w:rPr>
          <w:rFonts w:hint="eastAsia" w:ascii="仿宋" w:hAnsi="仿宋" w:eastAsia="仿宋" w:cs="仿宋"/>
          <w:color w:val="auto"/>
          <w:w w:val="100"/>
          <w:sz w:val="24"/>
          <w:szCs w:val="24"/>
          <w:highlight w:val="none"/>
          <w:lang w:eastAsia="zh-CN"/>
        </w:rPr>
        <w:t>为专门面向</w:t>
      </w:r>
      <w:r>
        <w:rPr>
          <w:rFonts w:hint="eastAsia" w:ascii="仿宋" w:hAnsi="仿宋" w:eastAsia="仿宋" w:cs="仿宋"/>
          <w:color w:val="auto"/>
          <w:w w:val="100"/>
          <w:sz w:val="24"/>
          <w:szCs w:val="24"/>
          <w:highlight w:val="none"/>
        </w:rPr>
        <w:t>中小企业</w:t>
      </w:r>
      <w:r>
        <w:rPr>
          <w:rFonts w:hint="eastAsia" w:ascii="仿宋" w:hAnsi="仿宋" w:eastAsia="仿宋" w:cs="仿宋"/>
          <w:color w:val="auto"/>
          <w:w w:val="100"/>
          <w:sz w:val="24"/>
          <w:szCs w:val="24"/>
          <w:highlight w:val="none"/>
          <w:lang w:eastAsia="zh-CN"/>
        </w:rPr>
        <w:t>的采</w:t>
      </w:r>
      <w:r>
        <w:rPr>
          <w:rFonts w:hint="eastAsia" w:ascii="仿宋" w:hAnsi="仿宋" w:eastAsia="仿宋" w:cs="仿宋"/>
          <w:color w:val="auto"/>
          <w:w w:val="100"/>
          <w:sz w:val="24"/>
          <w:szCs w:val="24"/>
          <w:highlight w:val="none"/>
          <w:shd w:val="clear"/>
          <w:lang w:eastAsia="zh-CN"/>
        </w:rPr>
        <w:t>购</w:t>
      </w:r>
      <w:r>
        <w:rPr>
          <w:rFonts w:hint="eastAsia" w:ascii="仿宋" w:hAnsi="仿宋" w:eastAsia="仿宋" w:cs="仿宋"/>
          <w:color w:val="auto"/>
          <w:w w:val="100"/>
          <w:sz w:val="24"/>
          <w:szCs w:val="24"/>
          <w:highlight w:val="none"/>
          <w:shd w:val="clear"/>
        </w:rPr>
        <w:t>合同</w:t>
      </w:r>
      <w:r>
        <w:rPr>
          <w:rFonts w:hint="eastAsia" w:ascii="仿宋" w:hAnsi="仿宋" w:eastAsia="仿宋" w:cs="仿宋"/>
          <w:color w:val="auto"/>
          <w:w w:val="100"/>
          <w:sz w:val="24"/>
          <w:szCs w:val="24"/>
          <w:highlight w:val="none"/>
          <w:shd w:val="clear"/>
          <w:lang w:eastAsia="zh-CN"/>
        </w:rPr>
        <w:t>（中小企业预留合同）</w:t>
      </w:r>
      <w:r>
        <w:rPr>
          <w:rFonts w:hint="eastAsia" w:ascii="仿宋" w:hAnsi="仿宋" w:eastAsia="仿宋" w:cs="仿宋"/>
          <w:color w:val="auto"/>
          <w:sz w:val="24"/>
          <w:szCs w:val="24"/>
          <w:highlight w:val="none"/>
          <w:shd w:val="clear"/>
        </w:rPr>
        <w:t>：</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21785A35">
      <w:pPr>
        <w:numPr>
          <w:ilvl w:val="-1"/>
          <w:numId w:val="0"/>
        </w:numPr>
        <w:adjustRightInd w:val="0"/>
        <w:snapToGrid w:val="0"/>
        <w:spacing w:before="0" w:beforeLines="0" w:line="360" w:lineRule="auto"/>
        <w:ind w:firstLine="0" w:firstLineChars="0"/>
        <w:rPr>
          <w:rFonts w:hint="eastAsia" w:ascii="仿宋" w:hAnsi="仿宋" w:eastAsia="仿宋" w:cs="仿宋"/>
          <w:iCs/>
          <w:color w:val="auto"/>
          <w:sz w:val="24"/>
          <w:szCs w:val="24"/>
          <w:highlight w:val="none"/>
        </w:rPr>
      </w:pPr>
      <w:r>
        <w:rPr>
          <w:rFonts w:hint="eastAsia" w:ascii="仿宋" w:hAnsi="仿宋" w:eastAsia="仿宋" w:cs="仿宋"/>
          <w:color w:val="auto"/>
          <w:sz w:val="24"/>
          <w:szCs w:val="24"/>
          <w:highlight w:val="none"/>
          <w:lang w:val="en-US" w:eastAsia="zh-CN"/>
        </w:rPr>
        <w:t xml:space="preserve">    若本项目不专门面向中小企业采购，是否给予小微企业评审优惠：</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57AE62C4">
      <w:pPr>
        <w:numPr>
          <w:ilvl w:val="-1"/>
          <w:numId w:val="0"/>
        </w:numPr>
        <w:adjustRightInd w:val="0"/>
        <w:snapToGrid w:val="0"/>
        <w:spacing w:before="0" w:beforeLines="0" w:line="360" w:lineRule="auto"/>
        <w:ind w:firstLine="0" w:firstLineChars="0"/>
        <w:rPr>
          <w:rFonts w:hint="eastAsia" w:ascii="仿宋" w:hAnsi="仿宋" w:eastAsia="仿宋" w:cs="仿宋"/>
          <w:iCs/>
          <w:color w:val="auto"/>
          <w:sz w:val="24"/>
          <w:szCs w:val="24"/>
          <w:highlight w:val="none"/>
        </w:rPr>
      </w:pPr>
      <w:r>
        <w:rPr>
          <w:rFonts w:hint="eastAsia" w:ascii="仿宋" w:hAnsi="仿宋" w:eastAsia="仿宋" w:cs="仿宋"/>
          <w:color w:val="auto"/>
          <w:sz w:val="24"/>
          <w:szCs w:val="24"/>
          <w:highlight w:val="none"/>
          <w:lang w:val="en-US" w:eastAsia="zh-CN"/>
        </w:rPr>
        <w:t xml:space="preserve">    中标（成交）采购标的制造商是否为残疾人福利性单位：</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198D072F">
      <w:pPr>
        <w:numPr>
          <w:ilvl w:val="0"/>
          <w:numId w:val="0"/>
        </w:numPr>
        <w:snapToGrid w:val="0"/>
        <w:spacing w:beforeLines="0" w:line="36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中标（成交）采购标的制造商是否为监狱企业：</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74EE8D50">
      <w:pPr>
        <w:adjustRightInd w:val="0"/>
        <w:snapToGrid w:val="0"/>
        <w:spacing w:before="0" w:beforeLines="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 w:eastAsia="zh-CN"/>
        </w:rPr>
        <w:t>7</w:t>
      </w:r>
      <w:r>
        <w:rPr>
          <w:rFonts w:hint="eastAsia" w:ascii="仿宋" w:hAnsi="仿宋" w:eastAsia="仿宋" w:cs="仿宋"/>
          <w:color w:val="auto"/>
          <w:sz w:val="24"/>
          <w:szCs w:val="24"/>
          <w:highlight w:val="none"/>
        </w:rPr>
        <w:t>）合同是否分包：</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0190A9FF">
      <w:pPr>
        <w:adjustRightInd w:val="0"/>
        <w:snapToGrid w:val="0"/>
        <w:spacing w:before="0" w:beforeLines="0" w:line="360" w:lineRule="auto"/>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分包主要内容：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57DE445">
      <w:pPr>
        <w:adjustRightInd w:val="0"/>
        <w:snapToGrid w:val="0"/>
        <w:spacing w:before="0" w:beforeLines="0"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rPr>
        <w:t>分包供应商</w:t>
      </w:r>
      <w:r>
        <w:rPr>
          <w:rFonts w:hint="eastAsia" w:ascii="仿宋" w:hAnsi="仿宋" w:eastAsia="仿宋" w:cs="仿宋"/>
          <w:color w:val="auto"/>
          <w:sz w:val="24"/>
          <w:szCs w:val="24"/>
          <w:highlight w:val="none"/>
          <w:lang w:eastAsia="zh-CN"/>
        </w:rPr>
        <w:t>/制造商</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eastAsia="zh-CN"/>
        </w:rPr>
        <w:t>（如供应商和制造商不同，请分别填写）</w:t>
      </w:r>
      <w:r>
        <w:rPr>
          <w:rFonts w:hint="eastAsia" w:ascii="仿宋" w:hAnsi="仿宋" w:eastAsia="仿宋" w:cs="仿宋"/>
          <w:color w:val="auto"/>
          <w:sz w:val="24"/>
          <w:szCs w:val="24"/>
          <w:highlight w:val="none"/>
        </w:rPr>
        <w:t>：</w:t>
      </w:r>
    </w:p>
    <w:p w14:paraId="2C4D61C3">
      <w:pPr>
        <w:adjustRightInd w:val="0"/>
        <w:snapToGrid w:val="0"/>
        <w:spacing w:before="0" w:beforeLines="0" w:line="360" w:lineRule="auto"/>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non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p>
    <w:p w14:paraId="3E5F4FF6">
      <w:pPr>
        <w:adjustRightInd w:val="0"/>
        <w:snapToGrid w:val="0"/>
        <w:spacing w:before="0" w:beforeLines="0"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分包供应商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制造商</w:t>
      </w:r>
      <w:r>
        <w:rPr>
          <w:rFonts w:hint="eastAsia" w:ascii="仿宋" w:hAnsi="仿宋" w:eastAsia="仿宋" w:cs="仿宋"/>
          <w:color w:val="auto"/>
          <w:sz w:val="24"/>
          <w:szCs w:val="24"/>
          <w:highlight w:val="none"/>
        </w:rPr>
        <w:t>类型</w:t>
      </w:r>
      <w:r>
        <w:rPr>
          <w:rFonts w:hint="eastAsia" w:ascii="仿宋" w:hAnsi="仿宋" w:eastAsia="仿宋" w:cs="仿宋"/>
          <w:color w:val="auto"/>
          <w:sz w:val="24"/>
          <w:szCs w:val="24"/>
          <w:highlight w:val="none"/>
          <w:lang w:eastAsia="zh-CN"/>
        </w:rPr>
        <w:t>（如果供应商和制造商不同，只填写制造商类型）</w:t>
      </w:r>
      <w:r>
        <w:rPr>
          <w:rFonts w:hint="eastAsia" w:ascii="仿宋" w:hAnsi="仿宋" w:eastAsia="仿宋" w:cs="仿宋"/>
          <w:color w:val="auto"/>
          <w:sz w:val="24"/>
          <w:szCs w:val="24"/>
          <w:highlight w:val="none"/>
        </w:rPr>
        <w:t>：</w:t>
      </w:r>
    </w:p>
    <w:p w14:paraId="53177978">
      <w:pPr>
        <w:adjustRightInd w:val="0"/>
        <w:snapToGrid w:val="0"/>
        <w:spacing w:beforeLines="0" w:line="360" w:lineRule="auto"/>
        <w:ind w:firstLine="960" w:firstLineChars="400"/>
        <w:rPr>
          <w:rFonts w:hint="eastAsia" w:ascii="仿宋" w:hAnsi="仿宋" w:eastAsia="仿宋" w:cs="仿宋"/>
          <w:iCs/>
          <w:color w:val="auto"/>
          <w:sz w:val="24"/>
          <w:szCs w:val="24"/>
          <w:highlight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大型企业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中型企业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小微型企业</w:t>
      </w:r>
      <w:r>
        <w:rPr>
          <w:rFonts w:hint="eastAsia" w:ascii="仿宋" w:hAnsi="仿宋" w:eastAsia="仿宋" w:cs="仿宋"/>
          <w:iCs/>
          <w:color w:val="auto"/>
          <w:sz w:val="24"/>
          <w:szCs w:val="24"/>
          <w:highlight w:val="none"/>
          <w:lang w:val="en-US" w:eastAsia="zh-CN"/>
        </w:rPr>
        <w:t xml:space="preserve">  </w:t>
      </w:r>
    </w:p>
    <w:p w14:paraId="6E4AD874">
      <w:pPr>
        <w:adjustRightInd w:val="0"/>
        <w:snapToGrid w:val="0"/>
        <w:spacing w:beforeLines="0" w:line="360" w:lineRule="auto"/>
        <w:ind w:firstLine="960" w:firstLineChars="400"/>
        <w:rPr>
          <w:rFonts w:hint="eastAsia" w:ascii="仿宋" w:hAnsi="仿宋" w:eastAsia="仿宋" w:cs="仿宋"/>
          <w:color w:val="auto"/>
          <w:sz w:val="24"/>
          <w:szCs w:val="24"/>
          <w:highlight w:val="none"/>
          <w:u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残疾人福利性单位</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监狱</w:t>
      </w:r>
      <w:r>
        <w:rPr>
          <w:rFonts w:hint="eastAsia" w:ascii="仿宋" w:hAnsi="仿宋" w:eastAsia="仿宋" w:cs="仿宋"/>
          <w:iCs/>
          <w:color w:val="auto"/>
          <w:sz w:val="24"/>
          <w:szCs w:val="24"/>
          <w:highlight w:val="none"/>
        </w:rPr>
        <w:t>企业</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其他</w:t>
      </w:r>
    </w:p>
    <w:p w14:paraId="1CF3B35C">
      <w:pPr>
        <w:numPr>
          <w:ilvl w:val="-1"/>
          <w:numId w:val="0"/>
        </w:numPr>
        <w:adjustRightInd w:val="0"/>
        <w:snapToGrid w:val="0"/>
        <w:spacing w:before="0" w:beforeLines="0" w:line="360" w:lineRule="auto"/>
        <w:ind w:left="0" w:leftChars="0" w:firstLine="0" w:firstLineChars="0"/>
        <w:rPr>
          <w:rFonts w:hint="eastAsia" w:ascii="仿宋" w:hAnsi="仿宋" w:eastAsia="仿宋" w:cs="仿宋"/>
          <w:iCs/>
          <w:color w:val="auto"/>
          <w:sz w:val="24"/>
          <w:szCs w:val="24"/>
          <w:highlight w:val="none"/>
        </w:rPr>
      </w:pP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u w:val="none"/>
          <w:lang w:val="en" w:eastAsia="zh-CN"/>
        </w:rPr>
        <w:t>8</w:t>
      </w:r>
      <w:r>
        <w:rPr>
          <w:rFonts w:hint="eastAsia" w:ascii="仿宋" w:hAnsi="仿宋" w:eastAsia="仿宋" w:cs="仿宋"/>
          <w:color w:val="auto"/>
          <w:sz w:val="24"/>
          <w:szCs w:val="24"/>
          <w:highlight w:val="none"/>
          <w:u w:val="none"/>
          <w:lang w:val="en-US" w:eastAsia="zh-CN"/>
        </w:rPr>
        <w:t>）中标（成交）供应商是否为外商投资企业：</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3FF95938">
      <w:pPr>
        <w:pStyle w:val="205"/>
        <w:tabs>
          <w:tab w:val="left" w:pos="1340"/>
        </w:tabs>
        <w:spacing w:beforeLines="0"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none"/>
          <w:lang w:val="en-US" w:eastAsia="zh-CN"/>
        </w:rPr>
        <w:t xml:space="preserve">     外商投资企业类型：</w:t>
      </w:r>
      <w:r>
        <w:rPr>
          <w:rFonts w:hint="eastAsia" w:ascii="仿宋" w:hAnsi="仿宋" w:eastAsia="仿宋" w:cs="仿宋"/>
          <w:iCs/>
          <w:color w:val="auto"/>
          <w:sz w:val="24"/>
          <w:szCs w:val="24"/>
          <w:highlight w:val="none"/>
        </w:rPr>
        <w:sym w:font="Wingdings" w:char="00A8"/>
      </w:r>
      <w:r>
        <w:rPr>
          <w:rFonts w:hint="eastAsia" w:ascii="仿宋" w:hAnsi="仿宋" w:eastAsia="仿宋" w:cs="仿宋"/>
          <w:color w:val="auto"/>
          <w:sz w:val="24"/>
          <w:szCs w:val="24"/>
          <w:highlight w:val="none"/>
          <w:u w:val="none"/>
          <w:lang w:val="en-US" w:eastAsia="zh-CN"/>
        </w:rPr>
        <w:t xml:space="preserve">全部由外国投资者投资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val="en-US" w:eastAsia="zh-CN"/>
        </w:rPr>
        <w:t>部分由外国投资者投资</w:t>
      </w:r>
    </w:p>
    <w:p w14:paraId="3544819B">
      <w:pPr>
        <w:numPr>
          <w:ilvl w:val="-1"/>
          <w:numId w:val="0"/>
        </w:numPr>
        <w:adjustRightInd w:val="0"/>
        <w:snapToGrid w:val="0"/>
        <w:spacing w:before="0" w:beforeLines="0" w:line="360" w:lineRule="auto"/>
        <w:ind w:firstLine="480" w:firstLineChars="20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w:t>
      </w:r>
      <w:r>
        <w:rPr>
          <w:rFonts w:hint="eastAsia" w:ascii="仿宋" w:hAnsi="仿宋" w:eastAsia="仿宋" w:cs="仿宋"/>
          <w:b w:val="0"/>
          <w:bCs w:val="0"/>
          <w:color w:val="auto"/>
          <w:sz w:val="24"/>
          <w:szCs w:val="24"/>
          <w:highlight w:val="none"/>
          <w:u w:val="none"/>
          <w:lang w:val="en" w:eastAsia="zh-CN"/>
        </w:rPr>
        <w:t>9</w:t>
      </w:r>
      <w:r>
        <w:rPr>
          <w:rFonts w:hint="eastAsia" w:ascii="仿宋" w:hAnsi="仿宋" w:eastAsia="仿宋" w:cs="仿宋"/>
          <w:b w:val="0"/>
          <w:bCs w:val="0"/>
          <w:color w:val="auto"/>
          <w:sz w:val="24"/>
          <w:szCs w:val="24"/>
          <w:highlight w:val="none"/>
          <w:u w:val="none"/>
          <w:lang w:val="en-US" w:eastAsia="zh-CN"/>
        </w:rPr>
        <w:t>）是否涉及进口产品：</w:t>
      </w:r>
    </w:p>
    <w:p w14:paraId="1A7F676D">
      <w:pPr>
        <w:numPr>
          <w:ilvl w:val="-1"/>
          <w:numId w:val="0"/>
        </w:numPr>
        <w:adjustRightInd w:val="0"/>
        <w:snapToGrid w:val="0"/>
        <w:spacing w:before="0" w:beforeLines="0" w:line="360" w:lineRule="auto"/>
        <w:ind w:firstLine="960" w:firstLineChars="400"/>
        <w:rPr>
          <w:rFonts w:hint="eastAsia" w:ascii="仿宋" w:hAnsi="仿宋" w:eastAsia="仿宋" w:cs="仿宋"/>
          <w:color w:val="auto"/>
          <w:sz w:val="24"/>
          <w:szCs w:val="24"/>
          <w:highlight w:val="none"/>
          <w:u w:val="single"/>
          <w:lang w:val="en-US" w:eastAsia="zh-CN"/>
        </w:rPr>
      </w:pP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是</w:t>
      </w:r>
      <w:r>
        <w:rPr>
          <w:rFonts w:hint="eastAsia" w:ascii="仿宋" w:hAnsi="仿宋" w:eastAsia="仿宋" w:cs="仿宋"/>
          <w:iCs w:val="0"/>
          <w:color w:val="auto"/>
          <w:sz w:val="24"/>
          <w:szCs w:val="24"/>
          <w:highlight w:val="none"/>
          <w:lang w:eastAsia="zh-CN"/>
        </w:rPr>
        <w:t>，《政府采购品目分类目录》底级品目名称</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金额：</w:t>
      </w:r>
      <w:r>
        <w:rPr>
          <w:rFonts w:hint="eastAsia" w:ascii="仿宋" w:hAnsi="仿宋" w:eastAsia="仿宋" w:cs="仿宋"/>
          <w:color w:val="auto"/>
          <w:sz w:val="24"/>
          <w:szCs w:val="24"/>
          <w:highlight w:val="none"/>
          <w:u w:val="single"/>
          <w:lang w:val="en-US" w:eastAsia="zh-CN"/>
        </w:rPr>
        <w:t xml:space="preserve">        </w:t>
      </w:r>
    </w:p>
    <w:p w14:paraId="1B4C159D">
      <w:pPr>
        <w:numPr>
          <w:ilvl w:val="-1"/>
          <w:numId w:val="0"/>
        </w:numPr>
        <w:adjustRightInd w:val="0"/>
        <w:snapToGrid w:val="0"/>
        <w:spacing w:before="0" w:beforeLines="0" w:line="360" w:lineRule="auto"/>
        <w:ind w:firstLine="960" w:firstLineChars="400"/>
        <w:rPr>
          <w:rFonts w:hint="eastAsia" w:ascii="仿宋" w:hAnsi="仿宋" w:eastAsia="仿宋" w:cs="仿宋"/>
          <w:iCs w:val="0"/>
          <w:color w:val="auto"/>
          <w:sz w:val="24"/>
          <w:szCs w:val="24"/>
          <w:highlight w:val="none"/>
        </w:rPr>
      </w:pPr>
      <w:r>
        <w:rPr>
          <w:rFonts w:hint="eastAsia" w:ascii="仿宋" w:hAnsi="仿宋" w:eastAsia="仿宋" w:cs="仿宋"/>
          <w:color w:val="auto"/>
          <w:sz w:val="24"/>
          <w:szCs w:val="24"/>
          <w:highlight w:val="none"/>
          <w:lang w:val="en-US" w:eastAsia="zh-CN"/>
        </w:rPr>
        <w:t xml:space="preserve">        国别：</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品牌：</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规格型号：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iCs w:val="0"/>
          <w:color w:val="auto"/>
          <w:sz w:val="24"/>
          <w:szCs w:val="24"/>
          <w:highlight w:val="none"/>
        </w:rPr>
        <w:t xml:space="preserve">      </w:t>
      </w:r>
    </w:p>
    <w:p w14:paraId="17579A7B">
      <w:pPr>
        <w:adjustRightInd w:val="0"/>
        <w:snapToGrid w:val="0"/>
        <w:spacing w:before="0" w:beforeLines="0" w:line="360" w:lineRule="auto"/>
        <w:ind w:firstLine="960" w:firstLineChars="400"/>
        <w:rPr>
          <w:rFonts w:hint="eastAsia" w:ascii="仿宋" w:hAnsi="仿宋" w:eastAsia="仿宋" w:cs="仿宋"/>
          <w:color w:val="auto"/>
          <w:sz w:val="24"/>
          <w:szCs w:val="24"/>
          <w:highlight w:val="none"/>
          <w:u w:val="none"/>
          <w:lang w:val="en-US" w:eastAsia="zh-CN"/>
        </w:rPr>
      </w:pP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否</w:t>
      </w:r>
    </w:p>
    <w:p w14:paraId="08B39B76">
      <w:pPr>
        <w:numPr>
          <w:ilvl w:val="-1"/>
          <w:numId w:val="0"/>
        </w:numPr>
        <w:tabs>
          <w:tab w:val="left" w:pos="740"/>
        </w:tabs>
        <w:adjustRightInd w:val="0"/>
        <w:snapToGrid w:val="0"/>
        <w:spacing w:before="0" w:beforeLines="0" w:line="360" w:lineRule="auto"/>
        <w:ind w:left="0" w:firstLine="0" w:firstLineChars="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 xml:space="preserve">    （1</w:t>
      </w:r>
      <w:r>
        <w:rPr>
          <w:rFonts w:hint="eastAsia" w:ascii="仿宋" w:hAnsi="仿宋" w:eastAsia="仿宋" w:cs="仿宋"/>
          <w:b w:val="0"/>
          <w:bCs w:val="0"/>
          <w:color w:val="auto"/>
          <w:sz w:val="24"/>
          <w:szCs w:val="24"/>
          <w:highlight w:val="none"/>
          <w:u w:val="none"/>
          <w:lang w:val="en" w:eastAsia="zh-CN"/>
        </w:rPr>
        <w:t>0</w:t>
      </w:r>
      <w:r>
        <w:rPr>
          <w:rFonts w:hint="eastAsia" w:ascii="仿宋" w:hAnsi="仿宋" w:eastAsia="仿宋" w:cs="仿宋"/>
          <w:b w:val="0"/>
          <w:bCs w:val="0"/>
          <w:color w:val="auto"/>
          <w:sz w:val="24"/>
          <w:szCs w:val="24"/>
          <w:highlight w:val="none"/>
          <w:u w:val="none"/>
          <w:lang w:val="en-US" w:eastAsia="zh-CN"/>
        </w:rPr>
        <w:t>）是否涉及节能产品：</w:t>
      </w:r>
    </w:p>
    <w:p w14:paraId="6FDB03E6">
      <w:pPr>
        <w:numPr>
          <w:ilvl w:val="-1"/>
          <w:numId w:val="0"/>
        </w:numPr>
        <w:tabs>
          <w:tab w:val="left" w:pos="740"/>
        </w:tabs>
        <w:adjustRightInd w:val="0"/>
        <w:snapToGrid w:val="0"/>
        <w:spacing w:before="0" w:beforeLines="0" w:line="360" w:lineRule="auto"/>
        <w:ind w:firstLine="0" w:firstLineChars="0"/>
        <w:rPr>
          <w:rFonts w:hint="eastAsia" w:ascii="仿宋" w:hAnsi="仿宋" w:eastAsia="仿宋" w:cs="仿宋"/>
          <w:iCs/>
          <w:color w:val="auto"/>
          <w:sz w:val="24"/>
          <w:szCs w:val="24"/>
          <w:highlight w:val="none"/>
          <w:lang w:val="en-US" w:eastAsia="zh-CN"/>
        </w:rPr>
      </w:pPr>
      <w:r>
        <w:rPr>
          <w:rFonts w:hint="eastAsia" w:ascii="仿宋" w:hAnsi="仿宋" w:eastAsia="仿宋" w:cs="仿宋"/>
          <w:b w:val="0"/>
          <w:bCs w:val="0"/>
          <w:color w:val="auto"/>
          <w:sz w:val="24"/>
          <w:szCs w:val="24"/>
          <w:highlight w:val="none"/>
          <w:u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是</w:t>
      </w:r>
      <w:r>
        <w:rPr>
          <w:rFonts w:hint="eastAsia" w:ascii="仿宋" w:hAnsi="仿宋" w:eastAsia="仿宋" w:cs="仿宋"/>
          <w:iCs w:val="0"/>
          <w:color w:val="auto"/>
          <w:sz w:val="24"/>
          <w:szCs w:val="24"/>
          <w:highlight w:val="none"/>
          <w:lang w:eastAsia="zh-CN"/>
        </w:rPr>
        <w:t>，《节能产品政府采购品目清单》的底级品目名称：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iCs/>
          <w:color w:val="auto"/>
          <w:sz w:val="24"/>
          <w:szCs w:val="24"/>
          <w:highlight w:val="none"/>
          <w:lang w:val="en-US" w:eastAsia="zh-CN"/>
        </w:rPr>
        <w:t xml:space="preserve">     </w:t>
      </w:r>
    </w:p>
    <w:p w14:paraId="215DFCB6">
      <w:pPr>
        <w:numPr>
          <w:ilvl w:val="-1"/>
          <w:numId w:val="0"/>
        </w:numPr>
        <w:tabs>
          <w:tab w:val="left" w:pos="740"/>
        </w:tabs>
        <w:adjustRightInd w:val="0"/>
        <w:snapToGrid w:val="0"/>
        <w:spacing w:before="0" w:beforeLines="0" w:line="360" w:lineRule="auto"/>
        <w:ind w:firstLine="0" w:firstLineChars="0"/>
        <w:rPr>
          <w:rFonts w:hint="eastAsia" w:ascii="仿宋" w:hAnsi="仿宋" w:eastAsia="仿宋" w:cs="仿宋"/>
          <w:iCs/>
          <w:color w:val="auto"/>
          <w:sz w:val="24"/>
          <w:szCs w:val="24"/>
          <w:highlight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强制采购</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优先采购</w:t>
      </w:r>
      <w:r>
        <w:rPr>
          <w:rFonts w:hint="eastAsia" w:ascii="仿宋" w:hAnsi="仿宋" w:eastAsia="仿宋" w:cs="仿宋"/>
          <w:iCs/>
          <w:color w:val="auto"/>
          <w:sz w:val="24"/>
          <w:szCs w:val="24"/>
          <w:highlight w:val="none"/>
          <w:lang w:val="en-US" w:eastAsia="zh-CN"/>
        </w:rPr>
        <w:t xml:space="preserve">    </w:t>
      </w:r>
    </w:p>
    <w:p w14:paraId="5B7F8246">
      <w:pPr>
        <w:numPr>
          <w:ilvl w:val="-1"/>
          <w:numId w:val="0"/>
        </w:numPr>
        <w:tabs>
          <w:tab w:val="left" w:pos="740"/>
        </w:tabs>
        <w:adjustRightInd w:val="0"/>
        <w:snapToGrid w:val="0"/>
        <w:spacing w:before="0" w:beforeLines="0" w:line="360" w:lineRule="auto"/>
        <w:ind w:firstLine="0" w:firstLineChars="0"/>
        <w:rPr>
          <w:rFonts w:hint="eastAsia" w:ascii="仿宋" w:hAnsi="仿宋" w:eastAsia="仿宋" w:cs="仿宋"/>
          <w:iCs w:val="0"/>
          <w:color w:val="auto"/>
          <w:sz w:val="24"/>
          <w:szCs w:val="24"/>
          <w:highlight w:val="none"/>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否</w:t>
      </w:r>
    </w:p>
    <w:p w14:paraId="06CE6647">
      <w:pPr>
        <w:numPr>
          <w:ilvl w:val="-1"/>
          <w:numId w:val="0"/>
        </w:numPr>
        <w:tabs>
          <w:tab w:val="left" w:pos="740"/>
        </w:tabs>
        <w:adjustRightInd w:val="0"/>
        <w:snapToGrid w:val="0"/>
        <w:spacing w:before="0" w:beforeLines="0" w:line="360" w:lineRule="auto"/>
        <w:ind w:left="0" w:firstLine="0" w:firstLineChars="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 xml:space="preserve">          是否涉及环境标志产品：</w:t>
      </w:r>
    </w:p>
    <w:p w14:paraId="0096A8AE">
      <w:pPr>
        <w:numPr>
          <w:ilvl w:val="-1"/>
          <w:numId w:val="0"/>
        </w:numPr>
        <w:tabs>
          <w:tab w:val="left" w:pos="740"/>
        </w:tabs>
        <w:adjustRightInd w:val="0"/>
        <w:snapToGrid w:val="0"/>
        <w:spacing w:before="0" w:beforeLines="0" w:line="360" w:lineRule="auto"/>
        <w:ind w:firstLine="0" w:firstLineChars="0"/>
        <w:rPr>
          <w:rFonts w:hint="eastAsia" w:ascii="仿宋" w:hAnsi="仿宋" w:eastAsia="仿宋" w:cs="仿宋"/>
          <w:iCs w:val="0"/>
          <w:color w:val="auto"/>
          <w:sz w:val="24"/>
          <w:szCs w:val="24"/>
          <w:highlight w:val="none"/>
          <w:lang w:eastAsia="zh-CN"/>
        </w:rPr>
      </w:pPr>
      <w:r>
        <w:rPr>
          <w:rFonts w:hint="eastAsia" w:ascii="仿宋" w:hAnsi="仿宋" w:eastAsia="仿宋" w:cs="仿宋"/>
          <w:b w:val="0"/>
          <w:bCs w:val="0"/>
          <w:color w:val="auto"/>
          <w:sz w:val="24"/>
          <w:szCs w:val="24"/>
          <w:highlight w:val="none"/>
          <w:u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是</w:t>
      </w:r>
      <w:r>
        <w:rPr>
          <w:rFonts w:hint="eastAsia" w:ascii="仿宋" w:hAnsi="仿宋" w:eastAsia="仿宋" w:cs="仿宋"/>
          <w:iCs w:val="0"/>
          <w:color w:val="auto"/>
          <w:sz w:val="24"/>
          <w:szCs w:val="24"/>
          <w:highlight w:val="none"/>
          <w:lang w:eastAsia="zh-CN"/>
        </w:rPr>
        <w:t>，《环境标志产品政府采购品目清单》的底级品目名称：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iCs/>
          <w:color w:val="auto"/>
          <w:sz w:val="24"/>
          <w:szCs w:val="24"/>
          <w:highlight w:val="none"/>
          <w:lang w:val="en-US" w:eastAsia="zh-CN"/>
        </w:rPr>
        <w:t xml:space="preserve"> </w:t>
      </w:r>
    </w:p>
    <w:p w14:paraId="479BCACE">
      <w:pPr>
        <w:numPr>
          <w:ilvl w:val="-1"/>
          <w:numId w:val="0"/>
        </w:numPr>
        <w:tabs>
          <w:tab w:val="left" w:pos="740"/>
        </w:tabs>
        <w:adjustRightInd w:val="0"/>
        <w:snapToGrid w:val="0"/>
        <w:spacing w:before="0" w:beforeLines="0" w:line="360" w:lineRule="auto"/>
        <w:ind w:firstLine="0" w:firstLineChars="0"/>
        <w:rPr>
          <w:rFonts w:hint="eastAsia" w:ascii="仿宋" w:hAnsi="仿宋" w:eastAsia="仿宋" w:cs="仿宋"/>
          <w:iCs/>
          <w:color w:val="auto"/>
          <w:sz w:val="24"/>
          <w:szCs w:val="24"/>
          <w:highlight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强制采购</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优先采购</w:t>
      </w:r>
      <w:r>
        <w:rPr>
          <w:rFonts w:hint="eastAsia" w:ascii="仿宋" w:hAnsi="仿宋" w:eastAsia="仿宋" w:cs="仿宋"/>
          <w:iCs/>
          <w:color w:val="auto"/>
          <w:sz w:val="24"/>
          <w:szCs w:val="24"/>
          <w:highlight w:val="none"/>
          <w:lang w:val="en-US" w:eastAsia="zh-CN"/>
        </w:rPr>
        <w:t xml:space="preserve">    </w:t>
      </w:r>
    </w:p>
    <w:p w14:paraId="6CA58F83">
      <w:pPr>
        <w:numPr>
          <w:ilvl w:val="-1"/>
          <w:numId w:val="0"/>
        </w:numPr>
        <w:tabs>
          <w:tab w:val="left" w:pos="740"/>
        </w:tabs>
        <w:adjustRightInd w:val="0"/>
        <w:snapToGrid w:val="0"/>
        <w:spacing w:before="0" w:beforeLines="0" w:line="360" w:lineRule="auto"/>
        <w:ind w:firstLine="0" w:firstLineChars="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否</w:t>
      </w:r>
    </w:p>
    <w:p w14:paraId="7078CEA9">
      <w:pPr>
        <w:pStyle w:val="205"/>
        <w:numPr>
          <w:ilvl w:val="-1"/>
          <w:numId w:val="0"/>
        </w:numPr>
        <w:adjustRightInd w:val="0"/>
        <w:snapToGrid w:val="0"/>
        <w:spacing w:before="0" w:beforeLines="0" w:line="360" w:lineRule="auto"/>
        <w:ind w:firstLine="0" w:firstLineChars="0"/>
        <w:rPr>
          <w:rFonts w:hint="eastAsia" w:ascii="仿宋" w:hAnsi="仿宋" w:eastAsia="仿宋" w:cs="仿宋"/>
          <w:iCs w:val="0"/>
          <w:color w:val="auto"/>
          <w:kern w:val="2"/>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 xml:space="preserve">          </w:t>
      </w:r>
      <w:r>
        <w:rPr>
          <w:rFonts w:hint="eastAsia" w:ascii="仿宋" w:hAnsi="仿宋" w:eastAsia="仿宋" w:cs="仿宋"/>
          <w:b w:val="0"/>
          <w:bCs w:val="0"/>
          <w:color w:val="auto"/>
          <w:kern w:val="2"/>
          <w:sz w:val="24"/>
          <w:szCs w:val="24"/>
          <w:highlight w:val="none"/>
          <w:u w:val="none"/>
          <w:lang w:val="en-US" w:eastAsia="zh-CN"/>
        </w:rPr>
        <w:t>是否涉及绿色产品：</w:t>
      </w:r>
      <w:r>
        <w:rPr>
          <w:rFonts w:hint="eastAsia" w:ascii="仿宋" w:hAnsi="仿宋" w:eastAsia="仿宋" w:cs="仿宋"/>
          <w:iCs w:val="0"/>
          <w:color w:val="auto"/>
          <w:kern w:val="2"/>
          <w:sz w:val="24"/>
          <w:szCs w:val="24"/>
          <w:highlight w:val="none"/>
          <w:u w:val="none"/>
          <w:lang w:val="en-US" w:eastAsia="zh-CN"/>
        </w:rPr>
        <w:t xml:space="preserve"> </w:t>
      </w:r>
    </w:p>
    <w:p w14:paraId="3E2217F5">
      <w:pPr>
        <w:pStyle w:val="205"/>
        <w:spacing w:beforeLines="0" w:line="360" w:lineRule="auto"/>
        <w:ind w:firstLine="420" w:firstLineChars="0"/>
        <w:rPr>
          <w:rFonts w:hint="eastAsia" w:ascii="仿宋" w:hAnsi="仿宋" w:eastAsia="仿宋" w:cs="仿宋"/>
          <w:color w:val="auto"/>
          <w:sz w:val="24"/>
          <w:szCs w:val="24"/>
          <w:highlight w:val="none"/>
          <w:u w:val="single"/>
          <w:lang w:val="en-US" w:eastAsia="zh-CN"/>
        </w:rPr>
      </w:pPr>
      <w:r>
        <w:rPr>
          <w:rFonts w:hint="eastAsia" w:ascii="仿宋" w:hAnsi="仿宋" w:eastAsia="仿宋" w:cs="仿宋"/>
          <w:iCs w:val="0"/>
          <w:color w:val="auto"/>
          <w:kern w:val="2"/>
          <w:sz w:val="24"/>
          <w:szCs w:val="24"/>
          <w:highlight w:val="none"/>
          <w:u w:val="none"/>
          <w:lang w:val="en-US" w:eastAsia="zh-CN"/>
        </w:rPr>
        <w:t xml:space="preserve">     </w:t>
      </w:r>
      <w:r>
        <w:rPr>
          <w:rFonts w:hint="eastAsia" w:ascii="仿宋" w:hAnsi="仿宋" w:eastAsia="仿宋" w:cs="仿宋"/>
          <w:iCs w:val="0"/>
          <w:color w:val="auto"/>
          <w:kern w:val="2"/>
          <w:sz w:val="24"/>
          <w:szCs w:val="24"/>
          <w:highlight w:val="none"/>
          <w:u w:val="none"/>
        </w:rPr>
        <w:sym w:font="Wingdings" w:char="00A8"/>
      </w:r>
      <w:r>
        <w:rPr>
          <w:rFonts w:hint="eastAsia" w:ascii="仿宋" w:hAnsi="仿宋" w:eastAsia="仿宋" w:cs="仿宋"/>
          <w:iCs w:val="0"/>
          <w:color w:val="auto"/>
          <w:kern w:val="2"/>
          <w:sz w:val="24"/>
          <w:szCs w:val="24"/>
          <w:highlight w:val="none"/>
          <w:u w:val="none"/>
        </w:rPr>
        <w:t>是</w:t>
      </w:r>
      <w:r>
        <w:rPr>
          <w:rFonts w:hint="eastAsia" w:ascii="仿宋" w:hAnsi="仿宋" w:eastAsia="仿宋" w:cs="仿宋"/>
          <w:iCs w:val="0"/>
          <w:color w:val="auto"/>
          <w:kern w:val="2"/>
          <w:sz w:val="24"/>
          <w:szCs w:val="24"/>
          <w:highlight w:val="none"/>
          <w:u w:val="none"/>
          <w:lang w:eastAsia="zh-CN"/>
        </w:rPr>
        <w:t>，绿色产品政府采购相关政策确定的底级品目名称：</w:t>
      </w:r>
      <w:r>
        <w:rPr>
          <w:rFonts w:hint="eastAsia" w:ascii="仿宋" w:hAnsi="仿宋" w:eastAsia="仿宋" w:cs="仿宋"/>
          <w:color w:val="auto"/>
          <w:sz w:val="24"/>
          <w:szCs w:val="24"/>
          <w:highlight w:val="none"/>
          <w:u w:val="single"/>
          <w:lang w:val="en-US" w:eastAsia="zh-CN"/>
        </w:rPr>
        <w:t xml:space="preserve">         </w:t>
      </w:r>
    </w:p>
    <w:p w14:paraId="37E905AB">
      <w:pPr>
        <w:numPr>
          <w:ilvl w:val="-1"/>
          <w:numId w:val="0"/>
        </w:numPr>
        <w:tabs>
          <w:tab w:val="left" w:pos="740"/>
        </w:tabs>
        <w:adjustRightInd w:val="0"/>
        <w:snapToGrid w:val="0"/>
        <w:spacing w:before="0" w:beforeLines="0" w:line="360" w:lineRule="auto"/>
        <w:ind w:firstLine="0" w:firstLineChars="0"/>
        <w:rPr>
          <w:rFonts w:hint="eastAsia" w:ascii="仿宋" w:hAnsi="仿宋" w:eastAsia="仿宋" w:cs="仿宋"/>
          <w:iCs/>
          <w:color w:val="auto"/>
          <w:sz w:val="24"/>
          <w:szCs w:val="24"/>
          <w:highlight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强制采购</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优先采购</w:t>
      </w:r>
      <w:r>
        <w:rPr>
          <w:rFonts w:hint="eastAsia" w:ascii="仿宋" w:hAnsi="仿宋" w:eastAsia="仿宋" w:cs="仿宋"/>
          <w:iCs/>
          <w:color w:val="auto"/>
          <w:sz w:val="24"/>
          <w:szCs w:val="24"/>
          <w:highlight w:val="none"/>
          <w:lang w:val="en-US" w:eastAsia="zh-CN"/>
        </w:rPr>
        <w:t xml:space="preserve">    </w:t>
      </w:r>
    </w:p>
    <w:p w14:paraId="4A374496">
      <w:pPr>
        <w:pStyle w:val="205"/>
        <w:spacing w:beforeLines="0" w:line="360" w:lineRule="auto"/>
        <w:ind w:firstLine="420" w:firstLineChars="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iCs w:val="0"/>
          <w:color w:val="auto"/>
          <w:kern w:val="2"/>
          <w:sz w:val="24"/>
          <w:szCs w:val="24"/>
          <w:highlight w:val="none"/>
          <w:u w:val="none"/>
          <w:lang w:val="en-US" w:eastAsia="zh-CN"/>
        </w:rPr>
        <w:t xml:space="preserve">     </w:t>
      </w:r>
      <w:r>
        <w:rPr>
          <w:rFonts w:hint="eastAsia" w:ascii="仿宋" w:hAnsi="仿宋" w:eastAsia="仿宋" w:cs="仿宋"/>
          <w:iCs w:val="0"/>
          <w:color w:val="auto"/>
          <w:kern w:val="2"/>
          <w:sz w:val="24"/>
          <w:szCs w:val="24"/>
          <w:highlight w:val="none"/>
          <w:u w:val="none"/>
        </w:rPr>
        <w:sym w:font="Wingdings" w:char="00A8"/>
      </w:r>
      <w:r>
        <w:rPr>
          <w:rFonts w:hint="eastAsia" w:ascii="仿宋" w:hAnsi="仿宋" w:eastAsia="仿宋" w:cs="仿宋"/>
          <w:iCs w:val="0"/>
          <w:color w:val="auto"/>
          <w:kern w:val="2"/>
          <w:sz w:val="24"/>
          <w:szCs w:val="24"/>
          <w:highlight w:val="none"/>
          <w:u w:val="none"/>
        </w:rPr>
        <w:t>否</w:t>
      </w:r>
    </w:p>
    <w:p w14:paraId="6FB07C33">
      <w:pPr>
        <w:numPr>
          <w:ilvl w:val="-1"/>
          <w:numId w:val="0"/>
        </w:numPr>
        <w:adjustRightInd w:val="0"/>
        <w:snapToGrid w:val="0"/>
        <w:spacing w:before="0" w:beforeLines="0" w:line="36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（1</w:t>
      </w:r>
      <w:r>
        <w:rPr>
          <w:rFonts w:hint="eastAsia" w:ascii="仿宋" w:hAnsi="仿宋" w:eastAsia="仿宋" w:cs="仿宋"/>
          <w:color w:val="auto"/>
          <w:sz w:val="24"/>
          <w:szCs w:val="24"/>
          <w:highlight w:val="none"/>
          <w:lang w:val="en" w:eastAsia="zh-CN"/>
        </w:rPr>
        <w:t>1</w:t>
      </w:r>
      <w:r>
        <w:rPr>
          <w:rFonts w:hint="eastAsia" w:ascii="仿宋" w:hAnsi="仿宋" w:eastAsia="仿宋" w:cs="仿宋"/>
          <w:color w:val="auto"/>
          <w:sz w:val="24"/>
          <w:szCs w:val="24"/>
          <w:highlight w:val="none"/>
          <w:lang w:val="en-US" w:eastAsia="zh-CN"/>
        </w:rPr>
        <w:t>）涉及商品包装和快递包装的，是否参考</w:t>
      </w:r>
      <w:r>
        <w:rPr>
          <w:rFonts w:hint="eastAsia" w:ascii="仿宋" w:hAnsi="仿宋" w:eastAsia="仿宋" w:cs="仿宋"/>
          <w:color w:val="auto"/>
          <w:sz w:val="24"/>
          <w:szCs w:val="24"/>
          <w:highlight w:val="none"/>
        </w:rPr>
        <w:t>《商品包装政府采购需求标准（试行）》、《快递包装政府采购需求标准（试行）》</w:t>
      </w:r>
      <w:r>
        <w:rPr>
          <w:rFonts w:hint="eastAsia" w:ascii="仿宋" w:hAnsi="仿宋" w:eastAsia="仿宋" w:cs="仿宋"/>
          <w:color w:val="auto"/>
          <w:sz w:val="24"/>
          <w:szCs w:val="24"/>
          <w:highlight w:val="none"/>
          <w:lang w:eastAsia="zh-CN"/>
        </w:rPr>
        <w:t>明确产品及相关快递服务的具体包装要求：</w:t>
      </w:r>
    </w:p>
    <w:p w14:paraId="553DAF82">
      <w:pPr>
        <w:numPr>
          <w:ilvl w:val="-1"/>
          <w:numId w:val="0"/>
        </w:numPr>
        <w:adjustRightInd w:val="0"/>
        <w:snapToGrid w:val="0"/>
        <w:spacing w:before="0" w:beforeLines="0" w:line="360" w:lineRule="auto"/>
        <w:ind w:firstLine="960" w:firstLineChars="400"/>
        <w:rPr>
          <w:rFonts w:hint="eastAsia" w:ascii="仿宋" w:hAnsi="仿宋" w:eastAsia="仿宋" w:cs="仿宋"/>
          <w:iCs w:val="0"/>
          <w:color w:val="auto"/>
          <w:sz w:val="24"/>
          <w:szCs w:val="24"/>
          <w:highlight w:val="none"/>
          <w:lang w:val="en-US" w:eastAsia="zh-CN"/>
        </w:rPr>
      </w:pP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 xml:space="preserve">是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否</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不涉及</w:t>
      </w:r>
    </w:p>
    <w:p w14:paraId="03CD42F2">
      <w:pPr>
        <w:numPr>
          <w:ilvl w:val="0"/>
          <w:numId w:val="2"/>
        </w:numPr>
        <w:adjustRightInd w:val="0"/>
        <w:snapToGrid w:val="0"/>
        <w:spacing w:before="0" w:beforeLines="0"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合同金额</w:t>
      </w:r>
    </w:p>
    <w:p w14:paraId="0C7483E5">
      <w:pPr>
        <w:adjustRightInd w:val="0"/>
        <w:snapToGrid w:val="0"/>
        <w:spacing w:before="0" w:beforeLines="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（1）合同金额小写：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6C77610E">
      <w:pPr>
        <w:adjustRightInd w:val="0"/>
        <w:snapToGrid w:val="0"/>
        <w:spacing w:before="0" w:beforeLines="0" w:line="360" w:lineRule="auto"/>
        <w:ind w:left="0" w:firstLine="0" w:firstLineChars="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8F88980">
      <w:pPr>
        <w:adjustRightInd w:val="0"/>
        <w:snapToGrid w:val="0"/>
        <w:spacing w:before="0" w:beforeLines="0"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分包金额</w:t>
      </w:r>
      <w:r>
        <w:rPr>
          <w:rFonts w:hint="eastAsia" w:ascii="仿宋" w:hAnsi="仿宋" w:eastAsia="仿宋" w:cs="仿宋"/>
          <w:color w:val="auto"/>
          <w:sz w:val="24"/>
          <w:szCs w:val="24"/>
          <w:highlight w:val="none"/>
          <w:lang w:eastAsia="zh-CN"/>
        </w:rPr>
        <w:t>（如有）</w:t>
      </w:r>
      <w:r>
        <w:rPr>
          <w:rFonts w:hint="eastAsia" w:ascii="仿宋" w:hAnsi="仿宋" w:eastAsia="仿宋" w:cs="仿宋"/>
          <w:color w:val="auto"/>
          <w:sz w:val="24"/>
          <w:szCs w:val="24"/>
          <w:highlight w:val="none"/>
        </w:rPr>
        <w:t>小写：</w:t>
      </w:r>
      <w:r>
        <w:rPr>
          <w:rFonts w:hint="eastAsia" w:ascii="仿宋" w:hAnsi="仿宋" w:eastAsia="仿宋" w:cs="仿宋"/>
          <w:color w:val="auto"/>
          <w:sz w:val="24"/>
          <w:szCs w:val="24"/>
          <w:highlight w:val="none"/>
          <w:u w:val="single"/>
        </w:rPr>
        <w:t xml:space="preserve">                   </w:t>
      </w:r>
    </w:p>
    <w:p w14:paraId="683A0328">
      <w:pPr>
        <w:adjustRightInd w:val="0"/>
        <w:snapToGrid w:val="0"/>
        <w:spacing w:before="0" w:beforeLines="0" w:line="360" w:lineRule="auto"/>
        <w:ind w:firstLine="0" w:firstLineChars="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44D95A8E">
      <w:pPr>
        <w:adjustRightInd w:val="0"/>
        <w:snapToGrid w:val="0"/>
        <w:spacing w:before="0" w:beforeLines="0" w:line="36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（注：固定单价合同应填写单价和最高限价）</w:t>
      </w:r>
    </w:p>
    <w:p w14:paraId="3F1FBCBB">
      <w:pPr>
        <w:numPr>
          <w:ilvl w:val="-1"/>
          <w:numId w:val="0"/>
        </w:numPr>
        <w:adjustRightInd w:val="0"/>
        <w:snapToGrid w:val="0"/>
        <w:spacing w:before="0" w:beforeLines="0"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合同定价方式</w:t>
      </w:r>
      <w:r>
        <w:rPr>
          <w:rFonts w:hint="eastAsia" w:ascii="仿宋" w:hAnsi="仿宋" w:eastAsia="仿宋" w:cs="仿宋"/>
          <w:color w:val="auto"/>
          <w:sz w:val="24"/>
          <w:szCs w:val="24"/>
          <w:highlight w:val="none"/>
          <w:lang w:eastAsia="zh-CN"/>
        </w:rPr>
        <w:t>（采用组合定价方式的，可以勾选多项）</w:t>
      </w:r>
      <w:r>
        <w:rPr>
          <w:rFonts w:hint="eastAsia" w:ascii="仿宋" w:hAnsi="仿宋" w:eastAsia="仿宋" w:cs="仿宋"/>
          <w:color w:val="auto"/>
          <w:sz w:val="24"/>
          <w:szCs w:val="24"/>
          <w:highlight w:val="none"/>
        </w:rPr>
        <w:t>：</w:t>
      </w:r>
    </w:p>
    <w:p w14:paraId="3C3C0606">
      <w:pPr>
        <w:adjustRightInd w:val="0"/>
        <w:snapToGrid w:val="0"/>
        <w:spacing w:before="0" w:beforeLines="0"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固定总价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固定单价</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固定费率</w:t>
      </w:r>
      <w:r>
        <w:rPr>
          <w:rFonts w:hint="eastAsia" w:ascii="仿宋" w:hAnsi="仿宋" w:eastAsia="仿宋" w:cs="仿宋"/>
          <w:iCs/>
          <w:color w:val="auto"/>
          <w:sz w:val="24"/>
          <w:szCs w:val="24"/>
          <w:highlight w:val="none"/>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成本补偿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绩效激励</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其他</w:t>
      </w:r>
      <w:r>
        <w:rPr>
          <w:rFonts w:hint="eastAsia" w:ascii="仿宋" w:hAnsi="仿宋" w:eastAsia="仿宋" w:cs="仿宋"/>
          <w:color w:val="auto"/>
          <w:sz w:val="24"/>
          <w:szCs w:val="24"/>
          <w:highlight w:val="none"/>
          <w:u w:val="single"/>
        </w:rPr>
        <w:t xml:space="preserve">       </w:t>
      </w:r>
    </w:p>
    <w:p w14:paraId="09AB81A7">
      <w:pPr>
        <w:pStyle w:val="62"/>
        <w:spacing w:beforeLines="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）付款方式（按项目实际勾选填写）：</w:t>
      </w:r>
    </w:p>
    <w:p w14:paraId="634AF86D">
      <w:pPr>
        <w:adjustRightInd w:val="0"/>
        <w:snapToGrid w:val="0"/>
        <w:spacing w:before="0" w:beforeLines="0" w:line="360" w:lineRule="auto"/>
        <w:ind w:firstLine="720" w:firstLineChars="3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全额付款：</w:t>
      </w:r>
      <w:r>
        <w:rPr>
          <w:rFonts w:hint="eastAsia" w:ascii="仿宋" w:hAnsi="仿宋" w:eastAsia="仿宋" w:cs="仿宋"/>
          <w:color w:val="auto"/>
          <w:sz w:val="24"/>
          <w:szCs w:val="24"/>
          <w:highlight w:val="none"/>
          <w:u w:val="single"/>
        </w:rPr>
        <w:t xml:space="preserve">     （应</w:t>
      </w:r>
      <w:r>
        <w:rPr>
          <w:rFonts w:hint="eastAsia" w:ascii="仿宋" w:hAnsi="仿宋" w:eastAsia="仿宋" w:cs="仿宋"/>
          <w:color w:val="auto"/>
          <w:sz w:val="24"/>
          <w:szCs w:val="24"/>
          <w:highlight w:val="none"/>
          <w:u w:val="single"/>
          <w:lang w:eastAsia="zh-CN"/>
        </w:rPr>
        <w:t>明确</w:t>
      </w:r>
      <w:r>
        <w:rPr>
          <w:rFonts w:hint="eastAsia" w:ascii="仿宋" w:hAnsi="仿宋" w:eastAsia="仿宋" w:cs="仿宋"/>
          <w:color w:val="auto"/>
          <w:sz w:val="24"/>
          <w:szCs w:val="24"/>
          <w:highlight w:val="none"/>
          <w:u w:val="single"/>
        </w:rPr>
        <w:t>一次性支付合同款项</w:t>
      </w:r>
      <w:r>
        <w:rPr>
          <w:rFonts w:hint="eastAsia" w:ascii="仿宋" w:hAnsi="仿宋" w:eastAsia="仿宋" w:cs="仿宋"/>
          <w:color w:val="auto"/>
          <w:sz w:val="24"/>
          <w:szCs w:val="24"/>
          <w:highlight w:val="none"/>
          <w:u w:val="single"/>
          <w:lang w:eastAsia="zh-CN"/>
        </w:rPr>
        <w:t>的条件</w:t>
      </w:r>
      <w:r>
        <w:rPr>
          <w:rFonts w:hint="eastAsia" w:ascii="仿宋" w:hAnsi="仿宋" w:eastAsia="仿宋" w:cs="仿宋"/>
          <w:color w:val="auto"/>
          <w:sz w:val="24"/>
          <w:szCs w:val="24"/>
          <w:highlight w:val="none"/>
          <w:u w:val="single"/>
        </w:rPr>
        <w:t xml:space="preserve">）                    </w:t>
      </w:r>
    </w:p>
    <w:p w14:paraId="40335C7B">
      <w:pPr>
        <w:snapToGrid w:val="0"/>
        <w:spacing w:beforeLines="0"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分期付款：</w:t>
      </w:r>
      <w:r>
        <w:rPr>
          <w:rFonts w:hint="eastAsia" w:ascii="仿宋" w:hAnsi="仿宋" w:eastAsia="仿宋" w:cs="仿宋"/>
          <w:color w:val="auto"/>
          <w:sz w:val="24"/>
          <w:szCs w:val="24"/>
          <w:highlight w:val="none"/>
          <w:u w:val="single"/>
        </w:rPr>
        <w:t xml:space="preserve">  （应明确分期支付合同款项的各期比例和支付条件</w:t>
      </w:r>
      <w:r>
        <w:rPr>
          <w:rFonts w:hint="eastAsia" w:ascii="仿宋" w:hAnsi="仿宋" w:eastAsia="仿宋" w:cs="仿宋"/>
          <w:color w:val="auto"/>
          <w:sz w:val="24"/>
          <w:szCs w:val="24"/>
          <w:highlight w:val="none"/>
          <w:u w:val="single"/>
          <w:lang w:eastAsia="zh-CN"/>
        </w:rPr>
        <w:t>，各期支付条件应与分期履约验收情况挂钩</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lang w:eastAsia="zh-CN"/>
        </w:rPr>
        <w:t>其中涉及预付款的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（应明确预付款的支付比例和支付条件） </w:t>
      </w:r>
    </w:p>
    <w:p w14:paraId="64FA1412">
      <w:pPr>
        <w:adjustRightInd w:val="0"/>
        <w:snapToGrid w:val="0"/>
        <w:spacing w:before="0" w:beforeLines="0" w:line="360" w:lineRule="auto"/>
        <w:ind w:firstLine="720" w:firstLineChars="3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成本补偿：</w:t>
      </w:r>
      <w:r>
        <w:rPr>
          <w:rFonts w:hint="eastAsia" w:ascii="仿宋" w:hAnsi="仿宋" w:eastAsia="仿宋" w:cs="仿宋"/>
          <w:color w:val="auto"/>
          <w:sz w:val="24"/>
          <w:szCs w:val="24"/>
          <w:highlight w:val="none"/>
          <w:u w:val="single"/>
        </w:rPr>
        <w:t xml:space="preserve">      （应明确按照成本补偿方式的支付方式和支付条件）   </w:t>
      </w:r>
    </w:p>
    <w:p w14:paraId="12797E08">
      <w:pPr>
        <w:adjustRightInd w:val="0"/>
        <w:snapToGrid w:val="0"/>
        <w:spacing w:before="0" w:beforeLines="0"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绩效激励：</w:t>
      </w:r>
      <w:r>
        <w:rPr>
          <w:rFonts w:hint="eastAsia" w:ascii="仿宋" w:hAnsi="仿宋" w:eastAsia="仿宋" w:cs="仿宋"/>
          <w:color w:val="auto"/>
          <w:sz w:val="24"/>
          <w:szCs w:val="24"/>
          <w:highlight w:val="none"/>
          <w:u w:val="single"/>
        </w:rPr>
        <w:t xml:space="preserve">      （应明确按照绩效激励方式的支付方式和支付条件）   </w:t>
      </w:r>
    </w:p>
    <w:p w14:paraId="0F46B173">
      <w:pPr>
        <w:numPr>
          <w:ilvl w:val="0"/>
          <w:numId w:val="2"/>
        </w:numPr>
        <w:adjustRightInd w:val="0"/>
        <w:snapToGrid w:val="0"/>
        <w:spacing w:before="0" w:beforeLines="0" w:line="360" w:lineRule="auto"/>
        <w:ind w:firstLine="482" w:firstLineChars="200"/>
        <w:rPr>
          <w:rFonts w:hint="eastAsia" w:ascii="仿宋" w:hAnsi="仿宋" w:eastAsia="仿宋" w:cs="仿宋"/>
          <w:b/>
          <w:bCs w:val="0"/>
          <w:color w:val="auto"/>
          <w:sz w:val="24"/>
          <w:szCs w:val="24"/>
          <w:highlight w:val="none"/>
          <w:u w:val="single"/>
        </w:rPr>
      </w:pPr>
      <w:r>
        <w:rPr>
          <w:rFonts w:hint="eastAsia" w:ascii="仿宋" w:hAnsi="仿宋" w:eastAsia="仿宋" w:cs="仿宋"/>
          <w:b/>
          <w:bCs w:val="0"/>
          <w:color w:val="auto"/>
          <w:sz w:val="24"/>
          <w:szCs w:val="24"/>
          <w:highlight w:val="none"/>
        </w:rPr>
        <w:t>合同履行</w:t>
      </w:r>
    </w:p>
    <w:p w14:paraId="5F46FE16">
      <w:pPr>
        <w:adjustRightInd w:val="0"/>
        <w:snapToGrid w:val="0"/>
        <w:spacing w:before="0" w:beforeLines="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（1）起始日期：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日，完成日期：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5E5F0EFC">
      <w:pPr>
        <w:adjustRightInd w:val="0"/>
        <w:snapToGrid w:val="0"/>
        <w:spacing w:before="0" w:beforeLines="0"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履约</w:t>
      </w:r>
      <w:r>
        <w:rPr>
          <w:rFonts w:hint="eastAsia" w:ascii="仿宋" w:hAnsi="仿宋" w:eastAsia="仿宋" w:cs="仿宋"/>
          <w:color w:val="auto"/>
          <w:sz w:val="24"/>
          <w:szCs w:val="24"/>
          <w:highlight w:val="none"/>
        </w:rPr>
        <w:t>地点</w:t>
      </w:r>
      <w:r>
        <w:rPr>
          <w:rFonts w:hint="eastAsia" w:ascii="仿宋" w:hAnsi="仿宋" w:eastAsia="仿宋" w:cs="仿宋"/>
          <w:b w:val="0"/>
          <w:bCs/>
          <w:color w:val="auto"/>
          <w:sz w:val="24"/>
          <w:szCs w:val="24"/>
          <w:highlight w:val="none"/>
        </w:rPr>
        <w:t>：</w:t>
      </w:r>
      <w:r>
        <w:rPr>
          <w:rFonts w:hint="eastAsia" w:ascii="仿宋" w:hAnsi="仿宋" w:eastAsia="仿宋" w:cs="仿宋"/>
          <w:color w:val="auto"/>
          <w:sz w:val="24"/>
          <w:szCs w:val="24"/>
          <w:highlight w:val="none"/>
          <w:u w:val="single"/>
        </w:rPr>
        <w:t xml:space="preserve">                             </w:t>
      </w:r>
    </w:p>
    <w:p w14:paraId="69081303">
      <w:pPr>
        <w:adjustRightInd w:val="0"/>
        <w:snapToGrid w:val="0"/>
        <w:spacing w:before="0" w:beforeLines="0"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rPr>
        <w:t>（3）履约担保：</w:t>
      </w:r>
      <w:r>
        <w:rPr>
          <w:rFonts w:hint="eastAsia" w:ascii="仿宋" w:hAnsi="仿宋" w:eastAsia="仿宋" w:cs="仿宋"/>
          <w:color w:val="auto"/>
          <w:sz w:val="24"/>
          <w:szCs w:val="24"/>
          <w:highlight w:val="none"/>
          <w:lang w:val="en-US" w:eastAsia="zh-CN"/>
        </w:rPr>
        <w:t>是否收取履约保证金：</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lang w:eastAsia="zh-CN"/>
        </w:rPr>
        <w:t>是</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lang w:eastAsia="zh-CN"/>
        </w:rPr>
        <w:t>否</w:t>
      </w:r>
    </w:p>
    <w:p w14:paraId="1FE39574">
      <w:pPr>
        <w:pStyle w:val="205"/>
        <w:spacing w:beforeLines="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 xml:space="preserve">  收取履约保证金形式：</w:t>
      </w:r>
      <w:r>
        <w:rPr>
          <w:rFonts w:hint="eastAsia" w:ascii="仿宋" w:hAnsi="仿宋" w:eastAsia="仿宋" w:cs="仿宋"/>
          <w:bCs/>
          <w:color w:val="auto"/>
          <w:sz w:val="24"/>
          <w:szCs w:val="24"/>
          <w:highlight w:val="none"/>
          <w:u w:val="single"/>
        </w:rPr>
        <w:t xml:space="preserve">                            </w:t>
      </w:r>
    </w:p>
    <w:p w14:paraId="262EF1BC">
      <w:pPr>
        <w:pStyle w:val="205"/>
        <w:spacing w:beforeLines="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收取履约保证金金额：</w:t>
      </w:r>
      <w:r>
        <w:rPr>
          <w:rFonts w:hint="eastAsia" w:ascii="仿宋" w:hAnsi="仿宋" w:eastAsia="仿宋" w:cs="仿宋"/>
          <w:bCs/>
          <w:color w:val="auto"/>
          <w:sz w:val="24"/>
          <w:szCs w:val="24"/>
          <w:highlight w:val="none"/>
          <w:u w:val="single"/>
        </w:rPr>
        <w:t xml:space="preserve">                            </w:t>
      </w:r>
    </w:p>
    <w:p w14:paraId="6220CCDF">
      <w:pPr>
        <w:snapToGrid w:val="0"/>
        <w:spacing w:beforeLines="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u w:val="none"/>
          <w:lang w:val="en-US" w:eastAsia="zh-CN"/>
        </w:rPr>
        <w:t xml:space="preserve">    履约担保期限</w:t>
      </w:r>
      <w:r>
        <w:rPr>
          <w:rFonts w:hint="eastAsia" w:ascii="仿宋" w:hAnsi="仿宋" w:eastAsia="仿宋" w:cs="仿宋"/>
          <w:bCs/>
          <w:color w:val="auto"/>
          <w:sz w:val="24"/>
          <w:szCs w:val="24"/>
          <w:highlight w:val="none"/>
          <w:u w:val="non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p>
    <w:p w14:paraId="15A4163D">
      <w:pPr>
        <w:adjustRightInd w:val="0"/>
        <w:snapToGrid w:val="0"/>
        <w:spacing w:before="0" w:beforeLines="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（4）分期履行要求：</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p>
    <w:p w14:paraId="6B0FA3C0">
      <w:pPr>
        <w:adjustRightInd w:val="0"/>
        <w:snapToGrid w:val="0"/>
        <w:spacing w:before="0" w:beforeLines="0"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bCs/>
          <w:color w:val="auto"/>
          <w:sz w:val="24"/>
          <w:szCs w:val="24"/>
          <w:highlight w:val="none"/>
        </w:rPr>
        <w:t>（5）</w:t>
      </w:r>
      <w:r>
        <w:rPr>
          <w:rFonts w:hint="eastAsia" w:ascii="仿宋" w:hAnsi="仿宋" w:eastAsia="仿宋" w:cs="仿宋"/>
          <w:bCs/>
          <w:color w:val="auto"/>
          <w:sz w:val="24"/>
          <w:szCs w:val="24"/>
          <w:highlight w:val="none"/>
          <w:lang w:eastAsia="zh-CN"/>
        </w:rPr>
        <w:t>风险处置措施和替代方案</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u w:val="single"/>
        </w:rPr>
        <w:t xml:space="preserve">                                                               </w:t>
      </w:r>
    </w:p>
    <w:p w14:paraId="58E393E4">
      <w:pPr>
        <w:numPr>
          <w:ilvl w:val="0"/>
          <w:numId w:val="2"/>
        </w:numPr>
        <w:adjustRightInd w:val="0"/>
        <w:snapToGrid w:val="0"/>
        <w:spacing w:before="0" w:beforeLines="0"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合同验收</w:t>
      </w:r>
    </w:p>
    <w:p w14:paraId="16C3EE32">
      <w:pPr>
        <w:numPr>
          <w:ilvl w:val="0"/>
          <w:numId w:val="4"/>
        </w:numPr>
        <w:adjustRightInd w:val="0"/>
        <w:snapToGrid w:val="0"/>
        <w:spacing w:before="0" w:beforeLines="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验收组织方式：</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自行组织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委托第三方组织</w:t>
      </w:r>
    </w:p>
    <w:p w14:paraId="6DFB97DA">
      <w:pPr>
        <w:numPr>
          <w:ilvl w:val="0"/>
          <w:numId w:val="0"/>
        </w:numPr>
        <w:adjustRightInd w:val="0"/>
        <w:snapToGrid w:val="0"/>
        <w:spacing w:before="0" w:beforeLines="0"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验收主体：</w:t>
      </w:r>
      <w:r>
        <w:rPr>
          <w:rFonts w:hint="eastAsia" w:ascii="仿宋" w:hAnsi="仿宋" w:eastAsia="仿宋" w:cs="仿宋"/>
          <w:bCs/>
          <w:color w:val="auto"/>
          <w:sz w:val="24"/>
          <w:szCs w:val="24"/>
          <w:highlight w:val="none"/>
          <w:u w:val="single"/>
        </w:rPr>
        <w:t xml:space="preserve">                  </w:t>
      </w:r>
    </w:p>
    <w:p w14:paraId="17E185F8">
      <w:pPr>
        <w:adjustRightInd w:val="0"/>
        <w:snapToGrid w:val="0"/>
        <w:spacing w:before="0" w:beforeLines="0" w:line="360" w:lineRule="auto"/>
        <w:ind w:firstLine="0"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是否邀请本项目的其他供应商</w:t>
      </w:r>
      <w:r>
        <w:rPr>
          <w:rFonts w:hint="eastAsia" w:ascii="仿宋" w:hAnsi="仿宋" w:eastAsia="仿宋" w:cs="仿宋"/>
          <w:bCs/>
          <w:color w:val="auto"/>
          <w:sz w:val="24"/>
          <w:szCs w:val="24"/>
          <w:highlight w:val="none"/>
          <w:lang w:eastAsia="zh-CN"/>
        </w:rPr>
        <w:t>参加验收</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5DDD3404">
      <w:pPr>
        <w:adjustRightInd w:val="0"/>
        <w:snapToGrid w:val="0"/>
        <w:spacing w:before="0" w:beforeLines="0" w:line="360" w:lineRule="auto"/>
        <w:ind w:firstLine="960" w:firstLineChars="4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是否邀请专家</w:t>
      </w:r>
      <w:r>
        <w:rPr>
          <w:rFonts w:hint="eastAsia" w:ascii="仿宋" w:hAnsi="仿宋" w:eastAsia="仿宋" w:cs="仿宋"/>
          <w:bCs/>
          <w:color w:val="auto"/>
          <w:sz w:val="24"/>
          <w:szCs w:val="24"/>
          <w:highlight w:val="none"/>
          <w:lang w:eastAsia="zh-CN"/>
        </w:rPr>
        <w:t>参加验收</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0E51B046">
      <w:pPr>
        <w:adjustRightInd w:val="0"/>
        <w:snapToGrid w:val="0"/>
        <w:spacing w:before="0" w:beforeLines="0" w:line="360" w:lineRule="auto"/>
        <w:ind w:firstLine="960" w:firstLineChars="4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是否邀请服务对象</w:t>
      </w:r>
      <w:r>
        <w:rPr>
          <w:rFonts w:hint="eastAsia" w:ascii="仿宋" w:hAnsi="仿宋" w:eastAsia="仿宋" w:cs="仿宋"/>
          <w:bCs/>
          <w:color w:val="auto"/>
          <w:sz w:val="24"/>
          <w:szCs w:val="24"/>
          <w:highlight w:val="none"/>
          <w:lang w:eastAsia="zh-CN"/>
        </w:rPr>
        <w:t>参加验收</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4D5CA586">
      <w:pPr>
        <w:adjustRightInd w:val="0"/>
        <w:snapToGrid w:val="0"/>
        <w:spacing w:before="0" w:beforeLines="0" w:line="360" w:lineRule="auto"/>
        <w:ind w:firstLine="960" w:firstLineChars="4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是否邀请第三方检测机构</w:t>
      </w:r>
      <w:r>
        <w:rPr>
          <w:rFonts w:hint="eastAsia" w:ascii="仿宋" w:hAnsi="仿宋" w:eastAsia="仿宋" w:cs="仿宋"/>
          <w:bCs/>
          <w:color w:val="auto"/>
          <w:sz w:val="24"/>
          <w:szCs w:val="24"/>
          <w:highlight w:val="none"/>
          <w:lang w:eastAsia="zh-CN"/>
        </w:rPr>
        <w:t>参加验收</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3F461B84">
      <w:pPr>
        <w:adjustRightInd w:val="0"/>
        <w:snapToGrid w:val="0"/>
        <w:spacing w:before="0" w:beforeLines="0" w:line="360" w:lineRule="auto"/>
        <w:ind w:firstLine="960" w:firstLineChars="4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是否进行抽查检测：</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是</w:t>
      </w:r>
      <w:r>
        <w:rPr>
          <w:rFonts w:hint="eastAsia" w:ascii="仿宋" w:hAnsi="仿宋" w:eastAsia="仿宋" w:cs="仿宋"/>
          <w:bCs/>
          <w:color w:val="auto"/>
          <w:sz w:val="24"/>
          <w:szCs w:val="24"/>
          <w:highlight w:val="none"/>
          <w:lang w:eastAsia="zh-CN"/>
        </w:rPr>
        <w:t>，抽查比例：</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019E4C73">
      <w:pPr>
        <w:adjustRightInd w:val="0"/>
        <w:snapToGrid w:val="0"/>
        <w:spacing w:before="0" w:beforeLines="0" w:line="360" w:lineRule="auto"/>
        <w:ind w:firstLine="960" w:firstLineChars="400"/>
        <w:rPr>
          <w:rFonts w:hint="eastAsia" w:ascii="仿宋" w:hAnsi="仿宋" w:eastAsia="仿宋" w:cs="仿宋"/>
          <w:bCs/>
          <w:color w:val="auto"/>
          <w:sz w:val="24"/>
          <w:szCs w:val="24"/>
          <w:highlight w:val="none"/>
          <w:u w:val="single"/>
          <w:lang w:eastAsia="zh-CN"/>
        </w:rPr>
      </w:pPr>
      <w:r>
        <w:rPr>
          <w:rFonts w:hint="eastAsia" w:ascii="仿宋" w:hAnsi="仿宋" w:eastAsia="仿宋" w:cs="仿宋"/>
          <w:bCs/>
          <w:color w:val="auto"/>
          <w:sz w:val="24"/>
          <w:szCs w:val="24"/>
          <w:highlight w:val="none"/>
          <w:lang w:val="en-US" w:eastAsia="zh-CN"/>
        </w:rPr>
        <w:t>是否存在破坏性检测：</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是</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lang w:eastAsia="zh-CN"/>
        </w:rPr>
        <w:t>（应明确对被破坏的检测产品的处理方式）</w:t>
      </w:r>
    </w:p>
    <w:p w14:paraId="664D1BD9">
      <w:pPr>
        <w:adjustRightInd w:val="0"/>
        <w:snapToGrid w:val="0"/>
        <w:spacing w:before="0" w:beforeLines="0" w:line="360" w:lineRule="auto"/>
        <w:ind w:firstLine="960" w:firstLineChars="4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56DB5F8C">
      <w:pPr>
        <w:adjustRightInd w:val="0"/>
        <w:snapToGrid w:val="0"/>
        <w:spacing w:before="0" w:beforeLines="0" w:line="360" w:lineRule="auto"/>
        <w:ind w:firstLine="960" w:firstLineChars="4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验收组织的其他事项：</w:t>
      </w:r>
      <w:r>
        <w:rPr>
          <w:rFonts w:hint="eastAsia" w:ascii="仿宋" w:hAnsi="仿宋" w:eastAsia="仿宋" w:cs="仿宋"/>
          <w:bCs/>
          <w:color w:val="auto"/>
          <w:sz w:val="24"/>
          <w:szCs w:val="24"/>
          <w:highlight w:val="none"/>
          <w:u w:val="single"/>
        </w:rPr>
        <w:t xml:space="preserve">                </w:t>
      </w:r>
    </w:p>
    <w:p w14:paraId="3CCA6C9B">
      <w:pPr>
        <w:adjustRightInd w:val="0"/>
        <w:snapToGrid w:val="0"/>
        <w:spacing w:before="0" w:beforeLines="0"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（2）履约验收时间：</w:t>
      </w:r>
      <w:r>
        <w:rPr>
          <w:rFonts w:hint="eastAsia" w:ascii="仿宋" w:hAnsi="仿宋" w:eastAsia="仿宋" w:cs="仿宋"/>
          <w:bCs/>
          <w:color w:val="auto"/>
          <w:sz w:val="24"/>
          <w:szCs w:val="24"/>
          <w:highlight w:val="none"/>
          <w:u w:val="single"/>
        </w:rPr>
        <w:t>（计划于何时验收/供应商提出验收申请之日起   日内组织验收）</w:t>
      </w:r>
      <w:r>
        <w:rPr>
          <w:rFonts w:hint="eastAsia" w:ascii="仿宋" w:hAnsi="仿宋" w:eastAsia="仿宋" w:cs="仿宋"/>
          <w:bCs/>
          <w:color w:val="auto"/>
          <w:sz w:val="24"/>
          <w:szCs w:val="24"/>
          <w:highlight w:val="none"/>
          <w:u w:val="single"/>
          <w:lang w:val="en-US" w:eastAsia="zh-CN"/>
        </w:rPr>
        <w:t xml:space="preserve"> </w:t>
      </w:r>
    </w:p>
    <w:p w14:paraId="725F29B7">
      <w:pPr>
        <w:adjustRightInd w:val="0"/>
        <w:snapToGrid w:val="0"/>
        <w:spacing w:before="0" w:beforeLines="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（3）履约验收方式：</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一次性验收         </w:t>
      </w:r>
    </w:p>
    <w:p w14:paraId="1E6B7AB0">
      <w:pPr>
        <w:adjustRightInd w:val="0"/>
        <w:snapToGrid w:val="0"/>
        <w:spacing w:before="0" w:beforeLines="0" w:line="360" w:lineRule="auto"/>
        <w:ind w:firstLine="0" w:firstLineChars="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分期/分项验收</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eastAsia="zh-CN"/>
        </w:rPr>
        <w:t>（应明确分期</w:t>
      </w:r>
      <w:r>
        <w:rPr>
          <w:rFonts w:hint="eastAsia" w:ascii="仿宋" w:hAnsi="仿宋" w:eastAsia="仿宋" w:cs="仿宋"/>
          <w:bCs/>
          <w:color w:val="auto"/>
          <w:sz w:val="24"/>
          <w:szCs w:val="24"/>
          <w:highlight w:val="none"/>
          <w:u w:val="single"/>
          <w:lang w:val="en" w:eastAsia="zh-CN"/>
        </w:rPr>
        <w:t>/分项验收的工作安排</w:t>
      </w:r>
      <w:r>
        <w:rPr>
          <w:rFonts w:hint="eastAsia" w:ascii="仿宋" w:hAnsi="仿宋" w:eastAsia="仿宋" w:cs="仿宋"/>
          <w:bCs/>
          <w:color w:val="auto"/>
          <w:sz w:val="24"/>
          <w:szCs w:val="24"/>
          <w:highlight w:val="none"/>
          <w:u w:val="singl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p>
    <w:p w14:paraId="7CC5AA96">
      <w:pPr>
        <w:adjustRightInd w:val="0"/>
        <w:snapToGrid w:val="0"/>
        <w:spacing w:before="0" w:beforeLines="0"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（4）履约验收程序：</w:t>
      </w:r>
      <w:r>
        <w:rPr>
          <w:rFonts w:hint="eastAsia" w:ascii="仿宋" w:hAnsi="仿宋" w:eastAsia="仿宋" w:cs="仿宋"/>
          <w:bCs/>
          <w:color w:val="auto"/>
          <w:sz w:val="24"/>
          <w:szCs w:val="24"/>
          <w:highlight w:val="none"/>
          <w:u w:val="single"/>
        </w:rPr>
        <w:t xml:space="preserve">                                         </w:t>
      </w:r>
    </w:p>
    <w:p w14:paraId="277AC8B2">
      <w:pPr>
        <w:adjustRightInd w:val="0"/>
        <w:snapToGrid w:val="0"/>
        <w:spacing w:before="0" w:beforeLines="0"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（5）履约验收的内容：</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eastAsia="zh-CN"/>
        </w:rPr>
        <w:t>（应当包括每一项技术和商务要求的履约情况，特别是落实政府采购扶持中小企业，支持绿色发展和乡村振兴等政策情况）</w:t>
      </w:r>
      <w:r>
        <w:rPr>
          <w:rFonts w:hint="eastAsia" w:ascii="仿宋" w:hAnsi="仿宋" w:eastAsia="仿宋" w:cs="仿宋"/>
          <w:bCs/>
          <w:color w:val="auto"/>
          <w:sz w:val="24"/>
          <w:szCs w:val="24"/>
          <w:highlight w:val="none"/>
          <w:u w:val="single"/>
        </w:rPr>
        <w:t xml:space="preserve">                                      </w:t>
      </w:r>
    </w:p>
    <w:p w14:paraId="191F3B97">
      <w:pPr>
        <w:adjustRightInd w:val="0"/>
        <w:snapToGrid w:val="0"/>
        <w:spacing w:before="0" w:beforeLines="0"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（6）履约验收标准：</w:t>
      </w:r>
      <w:r>
        <w:rPr>
          <w:rFonts w:hint="eastAsia" w:ascii="仿宋" w:hAnsi="仿宋" w:eastAsia="仿宋" w:cs="仿宋"/>
          <w:bCs/>
          <w:color w:val="auto"/>
          <w:sz w:val="24"/>
          <w:szCs w:val="24"/>
          <w:highlight w:val="none"/>
          <w:u w:val="single"/>
        </w:rPr>
        <w:t xml:space="preserve">                                         </w:t>
      </w:r>
    </w:p>
    <w:p w14:paraId="52500B93">
      <w:pPr>
        <w:pStyle w:val="205"/>
        <w:spacing w:beforeLines="0" w:line="360" w:lineRule="auto"/>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u w:val="none"/>
          <w:lang w:eastAsia="zh-CN"/>
        </w:rPr>
        <w:t>（</w:t>
      </w:r>
      <w:r>
        <w:rPr>
          <w:rFonts w:hint="eastAsia" w:ascii="仿宋" w:hAnsi="仿宋" w:eastAsia="仿宋" w:cs="仿宋"/>
          <w:bCs/>
          <w:color w:val="auto"/>
          <w:sz w:val="24"/>
          <w:szCs w:val="24"/>
          <w:highlight w:val="none"/>
          <w:u w:val="none"/>
          <w:lang w:val="en-US" w:eastAsia="zh-CN"/>
        </w:rPr>
        <w:t>7</w:t>
      </w:r>
      <w:r>
        <w:rPr>
          <w:rFonts w:hint="eastAsia" w:ascii="仿宋" w:hAnsi="仿宋" w:eastAsia="仿宋" w:cs="仿宋"/>
          <w:bCs/>
          <w:color w:val="auto"/>
          <w:sz w:val="24"/>
          <w:szCs w:val="24"/>
          <w:highlight w:val="none"/>
          <w:u w:val="none"/>
          <w:lang w:eastAsia="zh-CN"/>
        </w:rPr>
        <w:t>）是否以采购活动中供应商提供的样品作为参考：</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4E563F6C">
      <w:pPr>
        <w:adjustRightInd w:val="0"/>
        <w:snapToGrid w:val="0"/>
        <w:spacing w:before="0" w:beforeLines="0"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（8）履约验收其他事项：</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i w:val="0"/>
          <w:iCs w:val="0"/>
          <w:color w:val="auto"/>
          <w:sz w:val="24"/>
          <w:szCs w:val="24"/>
          <w:highlight w:val="none"/>
          <w:u w:val="single"/>
        </w:rPr>
        <w:t>（产权过户登记等）</w:t>
      </w:r>
      <w:r>
        <w:rPr>
          <w:rFonts w:hint="eastAsia" w:ascii="仿宋" w:hAnsi="仿宋" w:eastAsia="仿宋" w:cs="仿宋"/>
          <w:bCs/>
          <w:color w:val="auto"/>
          <w:sz w:val="24"/>
          <w:szCs w:val="24"/>
          <w:highlight w:val="none"/>
          <w:u w:val="single"/>
        </w:rPr>
        <w:t xml:space="preserve">          </w:t>
      </w:r>
    </w:p>
    <w:p w14:paraId="435234C7">
      <w:pPr>
        <w:numPr>
          <w:ilvl w:val="0"/>
          <w:numId w:val="2"/>
        </w:numPr>
        <w:adjustRightInd w:val="0"/>
        <w:snapToGrid w:val="0"/>
        <w:spacing w:before="0" w:beforeLines="0"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组成合同的文件</w:t>
      </w:r>
    </w:p>
    <w:p w14:paraId="79D984B6">
      <w:pPr>
        <w:adjustRightInd w:val="0"/>
        <w:snapToGrid w:val="0"/>
        <w:spacing w:before="0" w:beforeLines="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本协议书与下列文件一起构成合同文件，如下述文件之间有任何抵触、矛盾或歧义，应按以下顺序解释：</w:t>
      </w:r>
    </w:p>
    <w:p w14:paraId="307F57C8">
      <w:pPr>
        <w:adjustRightInd w:val="0"/>
        <w:snapToGrid w:val="0"/>
        <w:spacing w:before="0" w:beforeLines="0"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政府采购</w:t>
      </w:r>
      <w:r>
        <w:rPr>
          <w:rFonts w:hint="eastAsia" w:ascii="仿宋" w:hAnsi="仿宋" w:eastAsia="仿宋" w:cs="仿宋"/>
          <w:color w:val="auto"/>
          <w:sz w:val="24"/>
          <w:szCs w:val="24"/>
          <w:highlight w:val="none"/>
        </w:rPr>
        <w:t>合同协议书及其变更、补充</w:t>
      </w:r>
      <w:r>
        <w:rPr>
          <w:rFonts w:hint="eastAsia" w:ascii="仿宋" w:hAnsi="仿宋" w:eastAsia="仿宋" w:cs="仿宋"/>
          <w:color w:val="auto"/>
          <w:sz w:val="24"/>
          <w:szCs w:val="24"/>
          <w:highlight w:val="none"/>
          <w:lang w:eastAsia="zh-CN"/>
        </w:rPr>
        <w:t>协议</w:t>
      </w:r>
    </w:p>
    <w:p w14:paraId="45266DA7">
      <w:pPr>
        <w:adjustRightInd w:val="0"/>
        <w:snapToGrid w:val="0"/>
        <w:spacing w:before="0" w:beforeLines="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）政府采购合同专用条款</w:t>
      </w:r>
    </w:p>
    <w:p w14:paraId="002D65EE">
      <w:pPr>
        <w:adjustRightInd w:val="0"/>
        <w:snapToGrid w:val="0"/>
        <w:spacing w:before="0" w:beforeLines="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）政府采购合同通用条款</w:t>
      </w:r>
    </w:p>
    <w:p w14:paraId="3CD038F7">
      <w:pPr>
        <w:adjustRightInd w:val="0"/>
        <w:snapToGrid w:val="0"/>
        <w:spacing w:before="0" w:beforeLines="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通知书</w:t>
      </w:r>
    </w:p>
    <w:p w14:paraId="7BBB4EB1">
      <w:pPr>
        <w:adjustRightInd w:val="0"/>
        <w:snapToGrid w:val="0"/>
        <w:spacing w:before="0" w:beforeLines="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）投标（响应）文件</w:t>
      </w:r>
    </w:p>
    <w:p w14:paraId="079BA1FA">
      <w:pPr>
        <w:adjustRightInd w:val="0"/>
        <w:snapToGrid w:val="0"/>
        <w:spacing w:before="0" w:beforeLines="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（6）采购文件</w:t>
      </w:r>
    </w:p>
    <w:p w14:paraId="3D2C115B">
      <w:pPr>
        <w:adjustRightInd w:val="0"/>
        <w:snapToGrid w:val="0"/>
        <w:spacing w:before="0" w:beforeLines="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（7）有关技术文件，图纸</w:t>
      </w:r>
    </w:p>
    <w:p w14:paraId="5462D12E">
      <w:pPr>
        <w:pStyle w:val="205"/>
        <w:spacing w:beforeLines="0" w:line="360" w:lineRule="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bCs w:val="0"/>
          <w:color w:val="auto"/>
          <w:kern w:val="2"/>
          <w:sz w:val="24"/>
          <w:szCs w:val="24"/>
          <w:highlight w:val="none"/>
          <w:lang w:eastAsia="zh-CN"/>
        </w:rPr>
        <w:t>国家法律、行政法规和规章制度规定或合同约定的作为合同组成部分的其他文件</w:t>
      </w:r>
    </w:p>
    <w:p w14:paraId="60D63C16">
      <w:pPr>
        <w:numPr>
          <w:ilvl w:val="0"/>
          <w:numId w:val="2"/>
        </w:numPr>
        <w:adjustRightInd w:val="0"/>
        <w:snapToGrid w:val="0"/>
        <w:spacing w:before="0" w:beforeLines="0"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合同生效</w:t>
      </w:r>
    </w:p>
    <w:p w14:paraId="28A39F84">
      <w:pPr>
        <w:adjustRightInd w:val="0"/>
        <w:snapToGrid w:val="0"/>
        <w:spacing w:before="0" w:beforeLines="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本合同自</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生效。</w:t>
      </w:r>
    </w:p>
    <w:p w14:paraId="49DEEF96">
      <w:pPr>
        <w:numPr>
          <w:ilvl w:val="0"/>
          <w:numId w:val="2"/>
        </w:numPr>
        <w:adjustRightInd w:val="0"/>
        <w:snapToGrid w:val="0"/>
        <w:spacing w:before="0" w:beforeLines="0"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合同份数</w:t>
      </w:r>
    </w:p>
    <w:p w14:paraId="184FB8AB">
      <w:pPr>
        <w:adjustRightInd w:val="0"/>
        <w:snapToGrid w:val="0"/>
        <w:spacing w:before="0" w:beforeLines="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本合同一式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执</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执</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份，均具有同等法律效力。</w:t>
      </w:r>
    </w:p>
    <w:p w14:paraId="7128BDE9">
      <w:pPr>
        <w:adjustRightInd w:val="0"/>
        <w:snapToGrid w:val="0"/>
        <w:spacing w:before="0" w:beforeLines="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合同订立时间：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193C2C69">
      <w:pPr>
        <w:adjustRightInd w:val="0"/>
        <w:snapToGrid w:val="0"/>
        <w:spacing w:before="0" w:beforeLines="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合同订立地点：</w:t>
      </w:r>
      <w:r>
        <w:rPr>
          <w:rFonts w:hint="eastAsia" w:ascii="仿宋" w:hAnsi="仿宋" w:eastAsia="仿宋" w:cs="仿宋"/>
          <w:color w:val="auto"/>
          <w:sz w:val="24"/>
          <w:szCs w:val="24"/>
          <w:highlight w:val="none"/>
          <w:u w:val="single"/>
        </w:rPr>
        <w:t xml:space="preserve">                           </w:t>
      </w:r>
    </w:p>
    <w:p w14:paraId="0A721489">
      <w:pPr>
        <w:adjustRightInd w:val="0"/>
        <w:snapToGrid w:val="0"/>
        <w:spacing w:before="0" w:beforeLines="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附件：具体标</w:t>
      </w:r>
      <w:r>
        <w:rPr>
          <w:rFonts w:hint="eastAsia" w:ascii="仿宋" w:hAnsi="仿宋" w:eastAsia="仿宋" w:cs="仿宋"/>
          <w:color w:val="auto"/>
          <w:sz w:val="24"/>
          <w:szCs w:val="24"/>
          <w:highlight w:val="none"/>
          <w:lang w:eastAsia="zh-CN"/>
        </w:rPr>
        <w:t>的及其</w:t>
      </w:r>
      <w:r>
        <w:rPr>
          <w:rFonts w:hint="eastAsia" w:ascii="仿宋" w:hAnsi="仿宋" w:eastAsia="仿宋" w:cs="仿宋"/>
          <w:color w:val="auto"/>
          <w:sz w:val="24"/>
          <w:szCs w:val="24"/>
          <w:highlight w:val="none"/>
          <w:u w:val="none"/>
          <w:lang w:val="en-US" w:eastAsia="zh-CN"/>
        </w:rPr>
        <w:t>技术要求和商务要求</w:t>
      </w:r>
      <w:r>
        <w:rPr>
          <w:rFonts w:hint="eastAsia" w:ascii="仿宋" w:hAnsi="仿宋" w:eastAsia="仿宋" w:cs="仿宋"/>
          <w:color w:val="auto"/>
          <w:sz w:val="24"/>
          <w:szCs w:val="24"/>
          <w:highlight w:val="none"/>
        </w:rPr>
        <w:t>、联合协议、分包</w:t>
      </w:r>
      <w:r>
        <w:rPr>
          <w:rFonts w:hint="eastAsia" w:ascii="仿宋" w:hAnsi="仿宋" w:eastAsia="仿宋" w:cs="仿宋"/>
          <w:color w:val="auto"/>
          <w:sz w:val="24"/>
          <w:szCs w:val="24"/>
          <w:highlight w:val="none"/>
          <w:lang w:eastAsia="zh-CN"/>
        </w:rPr>
        <w:t>意向</w:t>
      </w:r>
      <w:r>
        <w:rPr>
          <w:rFonts w:hint="eastAsia" w:ascii="仿宋" w:hAnsi="仿宋" w:eastAsia="仿宋" w:cs="仿宋"/>
          <w:color w:val="auto"/>
          <w:sz w:val="24"/>
          <w:szCs w:val="24"/>
          <w:highlight w:val="none"/>
        </w:rPr>
        <w:t>协议等。</w:t>
      </w:r>
    </w:p>
    <w:tbl>
      <w:tblPr>
        <w:tblStyle w:val="38"/>
        <w:tblW w:w="4927" w:type="pct"/>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0"/>
        <w:gridCol w:w="2628"/>
        <w:gridCol w:w="2156"/>
        <w:gridCol w:w="2306"/>
      </w:tblGrid>
      <w:tr w14:paraId="302EC4A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jc w:val="center"/>
        </w:trPr>
        <w:tc>
          <w:tcPr>
            <w:tcW w:w="2562" w:type="pct"/>
            <w:gridSpan w:val="2"/>
            <w:tcBorders>
              <w:bottom w:val="single" w:color="auto" w:sz="2" w:space="0"/>
              <w:right w:val="single" w:color="auto" w:sz="2" w:space="0"/>
            </w:tcBorders>
            <w:vAlign w:val="center"/>
          </w:tcPr>
          <w:p w14:paraId="4DC091FD">
            <w:pPr>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甲方（采购人</w:t>
            </w:r>
            <w:r>
              <w:rPr>
                <w:rFonts w:hint="eastAsia" w:ascii="仿宋" w:hAnsi="仿宋" w:eastAsia="仿宋" w:cs="仿宋"/>
                <w:color w:val="auto"/>
                <w:sz w:val="21"/>
                <w:szCs w:val="21"/>
                <w:highlight w:val="none"/>
                <w:lang w:eastAsia="zh-CN"/>
              </w:rPr>
              <w:t>、受采购人委托签订合同的单位</w:t>
            </w:r>
            <w:r>
              <w:rPr>
                <w:rFonts w:hint="eastAsia" w:ascii="仿宋" w:hAnsi="仿宋" w:eastAsia="仿宋" w:cs="仿宋"/>
                <w:color w:val="auto"/>
                <w:sz w:val="21"/>
                <w:szCs w:val="21"/>
                <w:highlight w:val="none"/>
              </w:rPr>
              <w:t>或采购文件约定的合同甲方）</w:t>
            </w:r>
          </w:p>
        </w:tc>
        <w:tc>
          <w:tcPr>
            <w:tcW w:w="2437" w:type="pct"/>
            <w:gridSpan w:val="2"/>
            <w:tcBorders>
              <w:left w:val="single" w:color="auto" w:sz="2" w:space="0"/>
              <w:bottom w:val="single" w:color="auto" w:sz="2" w:space="0"/>
            </w:tcBorders>
            <w:vAlign w:val="center"/>
          </w:tcPr>
          <w:p w14:paraId="6EE2C265">
            <w:pPr>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乙方（供应商）</w:t>
            </w:r>
          </w:p>
        </w:tc>
      </w:tr>
      <w:tr w14:paraId="42B165A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jc w:val="center"/>
        </w:trPr>
        <w:tc>
          <w:tcPr>
            <w:tcW w:w="1126" w:type="pct"/>
            <w:tcBorders>
              <w:top w:val="single" w:color="auto" w:sz="2" w:space="0"/>
              <w:bottom w:val="single" w:color="auto" w:sz="2" w:space="0"/>
              <w:right w:val="single" w:color="auto" w:sz="2" w:space="0"/>
            </w:tcBorders>
            <w:vAlign w:val="center"/>
          </w:tcPr>
          <w:p w14:paraId="051F64B5">
            <w:pPr>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单位名称（公章</w:t>
            </w:r>
            <w:r>
              <w:rPr>
                <w:rFonts w:hint="eastAsia" w:ascii="仿宋" w:hAnsi="仿宋" w:eastAsia="仿宋" w:cs="仿宋"/>
                <w:color w:val="auto"/>
                <w:sz w:val="21"/>
                <w:szCs w:val="21"/>
                <w:highlight w:val="none"/>
                <w:lang w:eastAsia="zh-CN"/>
              </w:rPr>
              <w:t>或合同章</w:t>
            </w:r>
            <w:r>
              <w:rPr>
                <w:rFonts w:hint="eastAsia" w:ascii="仿宋" w:hAnsi="仿宋" w:eastAsia="仿宋" w:cs="仿宋"/>
                <w:color w:val="auto"/>
                <w:sz w:val="21"/>
                <w:szCs w:val="21"/>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14:paraId="6A0C4D24">
            <w:pPr>
              <w:adjustRightInd w:val="0"/>
              <w:snapToGrid w:val="0"/>
              <w:spacing w:line="360" w:lineRule="auto"/>
              <w:jc w:val="center"/>
              <w:rPr>
                <w:rFonts w:hint="eastAsia" w:ascii="仿宋" w:hAnsi="仿宋" w:eastAsia="仿宋" w:cs="仿宋"/>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89530F1">
            <w:pPr>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单位名称（公章</w:t>
            </w:r>
            <w:r>
              <w:rPr>
                <w:rFonts w:hint="eastAsia" w:ascii="仿宋" w:hAnsi="仿宋" w:eastAsia="仿宋" w:cs="仿宋"/>
                <w:color w:val="auto"/>
                <w:sz w:val="21"/>
                <w:szCs w:val="21"/>
                <w:highlight w:val="none"/>
                <w:lang w:eastAsia="zh-CN"/>
              </w:rPr>
              <w:t>或合同章</w:t>
            </w:r>
            <w:r>
              <w:rPr>
                <w:rFonts w:hint="eastAsia" w:ascii="仿宋" w:hAnsi="仿宋" w:eastAsia="仿宋" w:cs="仿宋"/>
                <w:color w:val="auto"/>
                <w:sz w:val="21"/>
                <w:szCs w:val="21"/>
                <w:highlight w:val="none"/>
              </w:rPr>
              <w:t>）</w:t>
            </w:r>
          </w:p>
        </w:tc>
        <w:tc>
          <w:tcPr>
            <w:tcW w:w="1259" w:type="pct"/>
            <w:tcBorders>
              <w:top w:val="single" w:color="auto" w:sz="2" w:space="0"/>
              <w:left w:val="single" w:color="auto" w:sz="2" w:space="0"/>
              <w:bottom w:val="single" w:color="auto" w:sz="2" w:space="0"/>
            </w:tcBorders>
            <w:vAlign w:val="center"/>
          </w:tcPr>
          <w:p w14:paraId="595097ED">
            <w:pPr>
              <w:adjustRightInd w:val="0"/>
              <w:snapToGrid w:val="0"/>
              <w:spacing w:line="360" w:lineRule="auto"/>
              <w:jc w:val="center"/>
              <w:rPr>
                <w:rFonts w:hint="eastAsia" w:ascii="仿宋" w:hAnsi="仿宋" w:eastAsia="仿宋" w:cs="仿宋"/>
                <w:color w:val="auto"/>
                <w:spacing w:val="20"/>
                <w:sz w:val="21"/>
                <w:szCs w:val="21"/>
                <w:highlight w:val="none"/>
              </w:rPr>
            </w:pPr>
          </w:p>
        </w:tc>
      </w:tr>
      <w:tr w14:paraId="3832E48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jc w:val="center"/>
        </w:trPr>
        <w:tc>
          <w:tcPr>
            <w:tcW w:w="1126" w:type="pct"/>
            <w:vMerge w:val="restart"/>
            <w:tcBorders>
              <w:top w:val="single" w:color="auto" w:sz="2" w:space="0"/>
              <w:right w:val="single" w:color="auto" w:sz="2" w:space="0"/>
            </w:tcBorders>
            <w:vAlign w:val="center"/>
          </w:tcPr>
          <w:p w14:paraId="39A4B2EF">
            <w:pPr>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w:t>
            </w:r>
          </w:p>
          <w:p w14:paraId="29F28F53">
            <w:pPr>
              <w:adjustRightInd w:val="0"/>
              <w:snapToGrid w:val="0"/>
              <w:spacing w:line="360" w:lineRule="auto"/>
              <w:ind w:firstLine="100" w:firstLineChars="4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3B24CF75">
            <w:pPr>
              <w:adjustRightInd w:val="0"/>
              <w:snapToGrid w:val="0"/>
              <w:spacing w:line="360" w:lineRule="auto"/>
              <w:jc w:val="center"/>
              <w:rPr>
                <w:rFonts w:hint="eastAsia" w:ascii="仿宋" w:hAnsi="仿宋" w:eastAsia="仿宋" w:cs="仿宋"/>
                <w:color w:val="auto"/>
                <w:sz w:val="21"/>
                <w:szCs w:val="21"/>
                <w:highlight w:val="none"/>
              </w:rPr>
            </w:pPr>
          </w:p>
        </w:tc>
        <w:tc>
          <w:tcPr>
            <w:tcW w:w="1178" w:type="pct"/>
            <w:tcBorders>
              <w:top w:val="single" w:color="auto" w:sz="2" w:space="0"/>
              <w:left w:val="single" w:color="auto" w:sz="2" w:space="0"/>
              <w:right w:val="single" w:color="auto" w:sz="2" w:space="0"/>
            </w:tcBorders>
            <w:vAlign w:val="center"/>
          </w:tcPr>
          <w:p w14:paraId="659E5417">
            <w:pPr>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w:t>
            </w:r>
          </w:p>
          <w:p w14:paraId="038E9C7F">
            <w:pPr>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或其委托代理人（签章）</w:t>
            </w:r>
          </w:p>
        </w:tc>
        <w:tc>
          <w:tcPr>
            <w:tcW w:w="1259" w:type="pct"/>
            <w:tcBorders>
              <w:top w:val="single" w:color="auto" w:sz="2" w:space="0"/>
              <w:left w:val="single" w:color="auto" w:sz="2" w:space="0"/>
              <w:bottom w:val="single" w:color="auto" w:sz="2" w:space="0"/>
            </w:tcBorders>
            <w:vAlign w:val="center"/>
          </w:tcPr>
          <w:p w14:paraId="46E8CA01">
            <w:pPr>
              <w:adjustRightInd w:val="0"/>
              <w:snapToGrid w:val="0"/>
              <w:spacing w:line="360" w:lineRule="auto"/>
              <w:jc w:val="center"/>
              <w:rPr>
                <w:rFonts w:hint="eastAsia" w:ascii="仿宋" w:hAnsi="仿宋" w:eastAsia="仿宋" w:cs="仿宋"/>
                <w:color w:val="auto"/>
                <w:sz w:val="21"/>
                <w:szCs w:val="21"/>
                <w:highlight w:val="none"/>
              </w:rPr>
            </w:pPr>
          </w:p>
        </w:tc>
      </w:tr>
      <w:tr w14:paraId="6056FB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vMerge w:val="continue"/>
            <w:tcBorders>
              <w:bottom w:val="single" w:color="auto" w:sz="2" w:space="0"/>
              <w:right w:val="single" w:color="auto" w:sz="2" w:space="0"/>
            </w:tcBorders>
            <w:vAlign w:val="center"/>
          </w:tcPr>
          <w:p w14:paraId="21382214">
            <w:pPr>
              <w:adjustRightInd w:val="0"/>
              <w:snapToGrid w:val="0"/>
              <w:spacing w:line="360" w:lineRule="auto"/>
              <w:jc w:val="center"/>
              <w:rPr>
                <w:rFonts w:hint="eastAsia" w:ascii="仿宋" w:hAnsi="仿宋" w:eastAsia="仿宋" w:cs="仿宋"/>
                <w:color w:val="auto"/>
                <w:sz w:val="21"/>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03915FFC">
            <w:pPr>
              <w:adjustRightInd w:val="0"/>
              <w:snapToGrid w:val="0"/>
              <w:spacing w:line="360" w:lineRule="auto"/>
              <w:jc w:val="center"/>
              <w:rPr>
                <w:rFonts w:hint="eastAsia" w:ascii="仿宋" w:hAnsi="仿宋" w:eastAsia="仿宋" w:cs="仿宋"/>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D869C56">
            <w:pPr>
              <w:adjustRightInd w:val="0"/>
              <w:snapToGrid w:val="0"/>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拥有者性别</w:t>
            </w:r>
          </w:p>
        </w:tc>
        <w:tc>
          <w:tcPr>
            <w:tcW w:w="1259" w:type="pct"/>
            <w:tcBorders>
              <w:top w:val="single" w:color="auto" w:sz="2" w:space="0"/>
              <w:left w:val="single" w:color="auto" w:sz="2" w:space="0"/>
              <w:bottom w:val="single" w:color="auto" w:sz="2" w:space="0"/>
            </w:tcBorders>
            <w:vAlign w:val="center"/>
          </w:tcPr>
          <w:p w14:paraId="3DC268BC">
            <w:pPr>
              <w:adjustRightInd w:val="0"/>
              <w:snapToGrid w:val="0"/>
              <w:spacing w:line="360" w:lineRule="auto"/>
              <w:jc w:val="center"/>
              <w:rPr>
                <w:rFonts w:hint="eastAsia" w:ascii="仿宋" w:hAnsi="仿宋" w:eastAsia="仿宋" w:cs="仿宋"/>
                <w:color w:val="auto"/>
                <w:spacing w:val="20"/>
                <w:sz w:val="21"/>
                <w:szCs w:val="21"/>
                <w:highlight w:val="none"/>
              </w:rPr>
            </w:pPr>
          </w:p>
        </w:tc>
      </w:tr>
      <w:tr w14:paraId="13CF25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29746FD7">
            <w:pPr>
              <w:adjustRightInd w:val="0"/>
              <w:snapToGrid w:val="0"/>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住</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37495827">
            <w:pPr>
              <w:adjustRightInd w:val="0"/>
              <w:snapToGrid w:val="0"/>
              <w:spacing w:line="360" w:lineRule="auto"/>
              <w:jc w:val="center"/>
              <w:rPr>
                <w:rFonts w:hint="eastAsia" w:ascii="仿宋" w:hAnsi="仿宋" w:eastAsia="仿宋" w:cs="仿宋"/>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C8B1169">
            <w:pPr>
              <w:adjustRightInd w:val="0"/>
              <w:snapToGrid w:val="0"/>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住</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lang w:eastAsia="zh-CN"/>
              </w:rPr>
              <w:t>所</w:t>
            </w:r>
          </w:p>
        </w:tc>
        <w:tc>
          <w:tcPr>
            <w:tcW w:w="1259" w:type="pct"/>
            <w:tcBorders>
              <w:top w:val="single" w:color="auto" w:sz="2" w:space="0"/>
              <w:left w:val="single" w:color="auto" w:sz="2" w:space="0"/>
              <w:bottom w:val="single" w:color="auto" w:sz="2" w:space="0"/>
            </w:tcBorders>
            <w:vAlign w:val="center"/>
          </w:tcPr>
          <w:p w14:paraId="48B637EB">
            <w:pPr>
              <w:adjustRightInd w:val="0"/>
              <w:snapToGrid w:val="0"/>
              <w:spacing w:line="360" w:lineRule="auto"/>
              <w:jc w:val="center"/>
              <w:rPr>
                <w:rFonts w:hint="eastAsia" w:ascii="仿宋" w:hAnsi="仿宋" w:eastAsia="仿宋" w:cs="仿宋"/>
                <w:color w:val="auto"/>
                <w:spacing w:val="20"/>
                <w:sz w:val="21"/>
                <w:szCs w:val="21"/>
                <w:highlight w:val="none"/>
              </w:rPr>
            </w:pPr>
          </w:p>
        </w:tc>
      </w:tr>
      <w:tr w14:paraId="1AE3DD0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14F6DF5D">
            <w:pPr>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2AEAB12B">
            <w:pPr>
              <w:adjustRightInd w:val="0"/>
              <w:snapToGrid w:val="0"/>
              <w:spacing w:line="360" w:lineRule="auto"/>
              <w:jc w:val="center"/>
              <w:rPr>
                <w:rFonts w:hint="eastAsia" w:ascii="仿宋" w:hAnsi="仿宋" w:eastAsia="仿宋" w:cs="仿宋"/>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4AE1A21">
            <w:pPr>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 系 人</w:t>
            </w:r>
          </w:p>
        </w:tc>
        <w:tc>
          <w:tcPr>
            <w:tcW w:w="1259" w:type="pct"/>
            <w:tcBorders>
              <w:top w:val="single" w:color="auto" w:sz="2" w:space="0"/>
              <w:left w:val="single" w:color="auto" w:sz="2" w:space="0"/>
              <w:bottom w:val="single" w:color="auto" w:sz="2" w:space="0"/>
            </w:tcBorders>
            <w:vAlign w:val="center"/>
          </w:tcPr>
          <w:p w14:paraId="56685240">
            <w:pPr>
              <w:adjustRightInd w:val="0"/>
              <w:snapToGrid w:val="0"/>
              <w:spacing w:line="360" w:lineRule="auto"/>
              <w:jc w:val="center"/>
              <w:rPr>
                <w:rFonts w:hint="eastAsia" w:ascii="仿宋" w:hAnsi="仿宋" w:eastAsia="仿宋" w:cs="仿宋"/>
                <w:color w:val="auto"/>
                <w:spacing w:val="20"/>
                <w:sz w:val="21"/>
                <w:szCs w:val="21"/>
                <w:highlight w:val="none"/>
              </w:rPr>
            </w:pPr>
          </w:p>
        </w:tc>
      </w:tr>
      <w:tr w14:paraId="17F1E01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3CEC21F2">
            <w:pPr>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49EA9459">
            <w:pPr>
              <w:adjustRightInd w:val="0"/>
              <w:snapToGrid w:val="0"/>
              <w:spacing w:line="360" w:lineRule="auto"/>
              <w:jc w:val="center"/>
              <w:rPr>
                <w:rFonts w:hint="eastAsia" w:ascii="仿宋" w:hAnsi="仿宋" w:eastAsia="仿宋" w:cs="仿宋"/>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88C2E73">
            <w:pPr>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p>
        </w:tc>
        <w:tc>
          <w:tcPr>
            <w:tcW w:w="1259" w:type="pct"/>
            <w:tcBorders>
              <w:top w:val="single" w:color="auto" w:sz="2" w:space="0"/>
              <w:left w:val="single" w:color="auto" w:sz="2" w:space="0"/>
              <w:bottom w:val="single" w:color="auto" w:sz="2" w:space="0"/>
            </w:tcBorders>
            <w:vAlign w:val="center"/>
          </w:tcPr>
          <w:p w14:paraId="13241303">
            <w:pPr>
              <w:adjustRightInd w:val="0"/>
              <w:snapToGrid w:val="0"/>
              <w:spacing w:line="360" w:lineRule="auto"/>
              <w:jc w:val="center"/>
              <w:rPr>
                <w:rFonts w:hint="eastAsia" w:ascii="仿宋" w:hAnsi="仿宋" w:eastAsia="仿宋" w:cs="仿宋"/>
                <w:color w:val="auto"/>
                <w:spacing w:val="20"/>
                <w:sz w:val="21"/>
                <w:szCs w:val="21"/>
                <w:highlight w:val="none"/>
              </w:rPr>
            </w:pPr>
          </w:p>
        </w:tc>
      </w:tr>
      <w:tr w14:paraId="1645900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224B6966">
            <w:pPr>
              <w:adjustRightInd w:val="0"/>
              <w:snapToGrid w:val="0"/>
              <w:spacing w:line="36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351331CD">
            <w:pPr>
              <w:adjustRightInd w:val="0"/>
              <w:snapToGrid w:val="0"/>
              <w:spacing w:line="360" w:lineRule="auto"/>
              <w:jc w:val="center"/>
              <w:rPr>
                <w:rFonts w:hint="eastAsia" w:ascii="仿宋" w:hAnsi="仿宋" w:eastAsia="仿宋" w:cs="仿宋"/>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69D1764">
            <w:pPr>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通信地址</w:t>
            </w:r>
          </w:p>
        </w:tc>
        <w:tc>
          <w:tcPr>
            <w:tcW w:w="1259" w:type="pct"/>
            <w:tcBorders>
              <w:top w:val="single" w:color="auto" w:sz="2" w:space="0"/>
              <w:left w:val="single" w:color="auto" w:sz="2" w:space="0"/>
              <w:bottom w:val="single" w:color="auto" w:sz="2" w:space="0"/>
            </w:tcBorders>
            <w:vAlign w:val="center"/>
          </w:tcPr>
          <w:p w14:paraId="78AEFD23">
            <w:pPr>
              <w:adjustRightInd w:val="0"/>
              <w:snapToGrid w:val="0"/>
              <w:spacing w:line="360" w:lineRule="auto"/>
              <w:jc w:val="center"/>
              <w:rPr>
                <w:rFonts w:hint="eastAsia" w:ascii="仿宋" w:hAnsi="仿宋" w:eastAsia="仿宋" w:cs="仿宋"/>
                <w:color w:val="auto"/>
                <w:spacing w:val="20"/>
                <w:sz w:val="21"/>
                <w:szCs w:val="21"/>
                <w:highlight w:val="none"/>
              </w:rPr>
            </w:pPr>
          </w:p>
        </w:tc>
      </w:tr>
      <w:tr w14:paraId="4A53C21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30234FEC">
            <w:pPr>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650AE750">
            <w:pPr>
              <w:adjustRightInd w:val="0"/>
              <w:snapToGrid w:val="0"/>
              <w:spacing w:line="360" w:lineRule="auto"/>
              <w:jc w:val="center"/>
              <w:rPr>
                <w:rFonts w:hint="eastAsia" w:ascii="仿宋" w:hAnsi="仿宋" w:eastAsia="仿宋" w:cs="仿宋"/>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AFF1E5A">
            <w:pPr>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邮政编码</w:t>
            </w:r>
          </w:p>
        </w:tc>
        <w:tc>
          <w:tcPr>
            <w:tcW w:w="1259" w:type="pct"/>
            <w:tcBorders>
              <w:top w:val="single" w:color="auto" w:sz="2" w:space="0"/>
              <w:left w:val="single" w:color="auto" w:sz="2" w:space="0"/>
              <w:bottom w:val="single" w:color="auto" w:sz="2" w:space="0"/>
            </w:tcBorders>
            <w:vAlign w:val="center"/>
          </w:tcPr>
          <w:p w14:paraId="240AE9E0">
            <w:pPr>
              <w:adjustRightInd w:val="0"/>
              <w:snapToGrid w:val="0"/>
              <w:spacing w:line="360" w:lineRule="auto"/>
              <w:jc w:val="center"/>
              <w:rPr>
                <w:rFonts w:hint="eastAsia" w:ascii="仿宋" w:hAnsi="仿宋" w:eastAsia="仿宋" w:cs="仿宋"/>
                <w:color w:val="auto"/>
                <w:spacing w:val="20"/>
                <w:sz w:val="21"/>
                <w:szCs w:val="21"/>
                <w:highlight w:val="none"/>
              </w:rPr>
            </w:pPr>
          </w:p>
        </w:tc>
      </w:tr>
      <w:tr w14:paraId="586BF88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6E723B96">
            <w:pPr>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53C97746">
            <w:pPr>
              <w:adjustRightInd w:val="0"/>
              <w:snapToGrid w:val="0"/>
              <w:spacing w:line="360" w:lineRule="auto"/>
              <w:jc w:val="center"/>
              <w:rPr>
                <w:rFonts w:hint="eastAsia" w:ascii="仿宋" w:hAnsi="仿宋" w:eastAsia="仿宋" w:cs="仿宋"/>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2FA3E6F">
            <w:pPr>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电子邮箱</w:t>
            </w:r>
          </w:p>
        </w:tc>
        <w:tc>
          <w:tcPr>
            <w:tcW w:w="1259" w:type="pct"/>
            <w:tcBorders>
              <w:top w:val="single" w:color="auto" w:sz="2" w:space="0"/>
              <w:left w:val="single" w:color="auto" w:sz="2" w:space="0"/>
              <w:bottom w:val="single" w:color="auto" w:sz="2" w:space="0"/>
            </w:tcBorders>
            <w:vAlign w:val="center"/>
          </w:tcPr>
          <w:p w14:paraId="4B563C31">
            <w:pPr>
              <w:adjustRightInd w:val="0"/>
              <w:snapToGrid w:val="0"/>
              <w:spacing w:line="360" w:lineRule="auto"/>
              <w:jc w:val="center"/>
              <w:rPr>
                <w:rFonts w:hint="eastAsia" w:ascii="仿宋" w:hAnsi="仿宋" w:eastAsia="仿宋" w:cs="仿宋"/>
                <w:color w:val="auto"/>
                <w:spacing w:val="20"/>
                <w:sz w:val="21"/>
                <w:szCs w:val="21"/>
                <w:highlight w:val="none"/>
              </w:rPr>
            </w:pPr>
          </w:p>
        </w:tc>
      </w:tr>
      <w:tr w14:paraId="22D9284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73477FDB">
            <w:pPr>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4BC9A487">
            <w:pPr>
              <w:adjustRightInd w:val="0"/>
              <w:snapToGrid w:val="0"/>
              <w:spacing w:line="360" w:lineRule="auto"/>
              <w:jc w:val="center"/>
              <w:rPr>
                <w:rFonts w:hint="eastAsia" w:ascii="仿宋" w:hAnsi="仿宋" w:eastAsia="仿宋" w:cs="仿宋"/>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DDEE204">
            <w:pPr>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14:paraId="64095575">
            <w:pPr>
              <w:adjustRightInd w:val="0"/>
              <w:snapToGrid w:val="0"/>
              <w:spacing w:line="360" w:lineRule="auto"/>
              <w:jc w:val="center"/>
              <w:rPr>
                <w:rFonts w:hint="eastAsia" w:ascii="仿宋" w:hAnsi="仿宋" w:eastAsia="仿宋" w:cs="仿宋"/>
                <w:color w:val="auto"/>
                <w:spacing w:val="20"/>
                <w:sz w:val="21"/>
                <w:szCs w:val="21"/>
                <w:highlight w:val="none"/>
              </w:rPr>
            </w:pPr>
          </w:p>
        </w:tc>
      </w:tr>
      <w:tr w14:paraId="5D558FD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0167263A">
            <w:pPr>
              <w:adjustRightInd w:val="0"/>
              <w:snapToGrid w:val="0"/>
              <w:spacing w:line="360" w:lineRule="auto"/>
              <w:jc w:val="center"/>
              <w:rPr>
                <w:rFonts w:hint="eastAsia" w:ascii="仿宋" w:hAnsi="仿宋" w:eastAsia="仿宋" w:cs="仿宋"/>
                <w:color w:val="auto"/>
                <w:sz w:val="21"/>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365A74A5">
            <w:pPr>
              <w:adjustRightInd w:val="0"/>
              <w:snapToGrid w:val="0"/>
              <w:spacing w:line="360" w:lineRule="auto"/>
              <w:jc w:val="center"/>
              <w:rPr>
                <w:rFonts w:hint="eastAsia" w:ascii="仿宋" w:hAnsi="仿宋" w:eastAsia="仿宋" w:cs="仿宋"/>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35F95BB">
            <w:pPr>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开户名称</w:t>
            </w:r>
          </w:p>
        </w:tc>
        <w:tc>
          <w:tcPr>
            <w:tcW w:w="1259" w:type="pct"/>
            <w:tcBorders>
              <w:top w:val="single" w:color="auto" w:sz="2" w:space="0"/>
              <w:left w:val="single" w:color="auto" w:sz="2" w:space="0"/>
              <w:bottom w:val="single" w:color="auto" w:sz="2" w:space="0"/>
            </w:tcBorders>
            <w:vAlign w:val="center"/>
          </w:tcPr>
          <w:p w14:paraId="120B2474">
            <w:pPr>
              <w:adjustRightInd w:val="0"/>
              <w:snapToGrid w:val="0"/>
              <w:spacing w:line="360" w:lineRule="auto"/>
              <w:jc w:val="center"/>
              <w:rPr>
                <w:rFonts w:hint="eastAsia" w:ascii="仿宋" w:hAnsi="仿宋" w:eastAsia="仿宋" w:cs="仿宋"/>
                <w:color w:val="auto"/>
                <w:spacing w:val="20"/>
                <w:sz w:val="21"/>
                <w:szCs w:val="21"/>
                <w:highlight w:val="none"/>
              </w:rPr>
            </w:pPr>
          </w:p>
        </w:tc>
      </w:tr>
      <w:tr w14:paraId="47673E8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570B6BD4">
            <w:pPr>
              <w:adjustRightInd w:val="0"/>
              <w:snapToGrid w:val="0"/>
              <w:spacing w:line="360" w:lineRule="auto"/>
              <w:jc w:val="center"/>
              <w:rPr>
                <w:rFonts w:hint="eastAsia" w:ascii="仿宋" w:hAnsi="仿宋" w:eastAsia="仿宋" w:cs="仿宋"/>
                <w:color w:val="auto"/>
                <w:sz w:val="21"/>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23E326B6">
            <w:pPr>
              <w:adjustRightInd w:val="0"/>
              <w:snapToGrid w:val="0"/>
              <w:spacing w:line="360" w:lineRule="auto"/>
              <w:jc w:val="center"/>
              <w:rPr>
                <w:rFonts w:hint="eastAsia" w:ascii="仿宋" w:hAnsi="仿宋" w:eastAsia="仿宋" w:cs="仿宋"/>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FD6A4BF">
            <w:pPr>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w:t>
            </w:r>
          </w:p>
        </w:tc>
        <w:tc>
          <w:tcPr>
            <w:tcW w:w="1259" w:type="pct"/>
            <w:tcBorders>
              <w:top w:val="single" w:color="auto" w:sz="2" w:space="0"/>
              <w:left w:val="single" w:color="auto" w:sz="2" w:space="0"/>
              <w:bottom w:val="single" w:color="auto" w:sz="2" w:space="0"/>
            </w:tcBorders>
            <w:vAlign w:val="center"/>
          </w:tcPr>
          <w:p w14:paraId="176BC6C9">
            <w:pPr>
              <w:adjustRightInd w:val="0"/>
              <w:snapToGrid w:val="0"/>
              <w:spacing w:line="360" w:lineRule="auto"/>
              <w:jc w:val="center"/>
              <w:rPr>
                <w:rFonts w:hint="eastAsia" w:ascii="仿宋" w:hAnsi="仿宋" w:eastAsia="仿宋" w:cs="仿宋"/>
                <w:color w:val="auto"/>
                <w:spacing w:val="20"/>
                <w:sz w:val="21"/>
                <w:szCs w:val="21"/>
                <w:highlight w:val="none"/>
              </w:rPr>
            </w:pPr>
          </w:p>
        </w:tc>
      </w:tr>
      <w:tr w14:paraId="5A985B7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155ABFDF">
            <w:pPr>
              <w:adjustRightInd w:val="0"/>
              <w:snapToGrid w:val="0"/>
              <w:spacing w:line="360" w:lineRule="auto"/>
              <w:jc w:val="center"/>
              <w:rPr>
                <w:rFonts w:hint="eastAsia" w:ascii="仿宋" w:hAnsi="仿宋" w:eastAsia="仿宋" w:cs="仿宋"/>
                <w:color w:val="auto"/>
                <w:sz w:val="21"/>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7CF3F9FA">
            <w:pPr>
              <w:adjustRightInd w:val="0"/>
              <w:snapToGrid w:val="0"/>
              <w:spacing w:line="360" w:lineRule="auto"/>
              <w:jc w:val="center"/>
              <w:rPr>
                <w:rFonts w:hint="eastAsia" w:ascii="仿宋" w:hAnsi="仿宋" w:eastAsia="仿宋" w:cs="仿宋"/>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ED1D781">
            <w:pPr>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银行账号</w:t>
            </w:r>
          </w:p>
        </w:tc>
        <w:tc>
          <w:tcPr>
            <w:tcW w:w="1259" w:type="pct"/>
            <w:tcBorders>
              <w:top w:val="single" w:color="auto" w:sz="2" w:space="0"/>
              <w:left w:val="single" w:color="auto" w:sz="2" w:space="0"/>
              <w:bottom w:val="single" w:color="auto" w:sz="2" w:space="0"/>
            </w:tcBorders>
            <w:vAlign w:val="center"/>
          </w:tcPr>
          <w:p w14:paraId="2BC8CB60">
            <w:pPr>
              <w:adjustRightInd w:val="0"/>
              <w:snapToGrid w:val="0"/>
              <w:spacing w:line="360" w:lineRule="auto"/>
              <w:jc w:val="center"/>
              <w:rPr>
                <w:rFonts w:hint="eastAsia" w:ascii="仿宋" w:hAnsi="仿宋" w:eastAsia="仿宋" w:cs="仿宋"/>
                <w:color w:val="auto"/>
                <w:spacing w:val="20"/>
                <w:sz w:val="21"/>
                <w:szCs w:val="21"/>
                <w:highlight w:val="none"/>
              </w:rPr>
            </w:pPr>
          </w:p>
        </w:tc>
      </w:tr>
      <w:tr w14:paraId="45F3738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jc w:val="center"/>
        </w:trPr>
        <w:tc>
          <w:tcPr>
            <w:tcW w:w="5000" w:type="pct"/>
            <w:gridSpan w:val="4"/>
            <w:tcBorders>
              <w:top w:val="single" w:color="auto" w:sz="2" w:space="0"/>
            </w:tcBorders>
            <w:vAlign w:val="center"/>
          </w:tcPr>
          <w:p w14:paraId="7A36D005">
            <w:pPr>
              <w:pStyle w:val="13"/>
              <w:adjustRightInd w:val="0"/>
              <w:snapToGrid w:val="0"/>
              <w:spacing w:before="156" w:beforeLines="50" w:after="0" w:line="360" w:lineRule="auto"/>
              <w:ind w:left="0" w:leftChars="0"/>
              <w:jc w:val="left"/>
              <w:rPr>
                <w:rFonts w:hint="eastAsia" w:ascii="仿宋" w:hAnsi="仿宋" w:eastAsia="仿宋" w:cs="仿宋"/>
                <w:color w:val="auto"/>
                <w:spacing w:val="20"/>
                <w:sz w:val="21"/>
                <w:szCs w:val="21"/>
                <w:highlight w:val="none"/>
              </w:rPr>
            </w:pPr>
            <w:r>
              <w:rPr>
                <w:rFonts w:hint="eastAsia" w:ascii="仿宋" w:hAnsi="仿宋" w:eastAsia="仿宋" w:cs="仿宋"/>
                <w:color w:val="auto"/>
                <w:sz w:val="21"/>
                <w:szCs w:val="21"/>
                <w:highlight w:val="none"/>
              </w:rPr>
              <w:t>注：涉及联合体或其他合同主体的信息应按上表格式加列。</w:t>
            </w:r>
          </w:p>
        </w:tc>
      </w:tr>
    </w:tbl>
    <w:p w14:paraId="5275CB04">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548CC874">
      <w:pPr>
        <w:pStyle w:val="4"/>
        <w:adjustRightInd w:val="0"/>
        <w:snapToGrid w:val="0"/>
        <w:spacing w:before="156" w:beforeLines="50" w:line="360" w:lineRule="auto"/>
        <w:jc w:val="center"/>
        <w:rPr>
          <w:rFonts w:hint="eastAsia" w:ascii="仿宋" w:hAnsi="仿宋" w:eastAsia="仿宋" w:cs="仿宋"/>
          <w:color w:val="auto"/>
          <w:sz w:val="24"/>
          <w:szCs w:val="24"/>
          <w:highlight w:val="none"/>
        </w:rPr>
      </w:pPr>
      <w:bookmarkStart w:id="54" w:name="_Toc27624"/>
      <w:bookmarkStart w:id="55" w:name="_Toc2248"/>
      <w:r>
        <w:rPr>
          <w:rFonts w:hint="eastAsia" w:ascii="仿宋" w:hAnsi="仿宋" w:eastAsia="仿宋" w:cs="仿宋"/>
          <w:b/>
          <w:bCs/>
          <w:color w:val="auto"/>
          <w:sz w:val="24"/>
          <w:szCs w:val="24"/>
          <w:highlight w:val="none"/>
        </w:rPr>
        <w:t>第二节 政府采购合同通用条款</w:t>
      </w:r>
      <w:bookmarkEnd w:id="54"/>
      <w:bookmarkEnd w:id="55"/>
    </w:p>
    <w:p w14:paraId="5BF2FF93">
      <w:pPr>
        <w:tabs>
          <w:tab w:val="left" w:pos="8820"/>
          <w:tab w:val="left" w:pos="9345"/>
          <w:tab w:val="left" w:pos="9765"/>
        </w:tabs>
        <w:adjustRightInd w:val="0"/>
        <w:snapToGrid w:val="0"/>
        <w:spacing w:before="0"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bCs/>
          <w:color w:val="auto"/>
          <w:sz w:val="24"/>
          <w:szCs w:val="24"/>
          <w:highlight w:val="none"/>
        </w:rPr>
        <w:t>定义</w:t>
      </w:r>
    </w:p>
    <w:p w14:paraId="11E5BA13">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1.1合同当事人</w:t>
      </w:r>
    </w:p>
    <w:p w14:paraId="0A5ADEEC">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（1）采购人（以下称甲方）是指使用财政性资金，通过政府采购方式向供应商购买货物</w:t>
      </w:r>
      <w:r>
        <w:rPr>
          <w:rFonts w:hint="eastAsia" w:ascii="仿宋" w:hAnsi="仿宋" w:eastAsia="仿宋" w:cs="仿宋"/>
          <w:color w:val="auto"/>
          <w:sz w:val="24"/>
          <w:szCs w:val="24"/>
          <w:highlight w:val="none"/>
          <w:lang w:val="en-US" w:eastAsia="zh-CN"/>
        </w:rPr>
        <w:t>及其相关服务的</w:t>
      </w:r>
      <w:r>
        <w:rPr>
          <w:rFonts w:hint="eastAsia" w:ascii="仿宋" w:hAnsi="仿宋" w:eastAsia="仿宋" w:cs="仿宋"/>
          <w:color w:val="auto"/>
          <w:sz w:val="24"/>
          <w:szCs w:val="24"/>
          <w:highlight w:val="none"/>
        </w:rPr>
        <w:t>国家机关、事业单位、团体组织。</w:t>
      </w:r>
    </w:p>
    <w:p w14:paraId="3FDA68C1">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（2）供应商（以下称</w:t>
      </w:r>
      <w:r>
        <w:rPr>
          <w:rFonts w:hint="eastAsia" w:ascii="仿宋" w:hAnsi="仿宋" w:eastAsia="仿宋" w:cs="仿宋"/>
          <w:color w:val="auto"/>
          <w:sz w:val="24"/>
          <w:szCs w:val="24"/>
          <w:highlight w:val="none"/>
          <w:lang w:eastAsia="zh-CN"/>
        </w:rPr>
        <w:t>乙</w:t>
      </w:r>
      <w:r>
        <w:rPr>
          <w:rFonts w:hint="eastAsia" w:ascii="仿宋" w:hAnsi="仿宋" w:eastAsia="仿宋" w:cs="仿宋"/>
          <w:color w:val="auto"/>
          <w:sz w:val="24"/>
          <w:szCs w:val="24"/>
          <w:highlight w:val="none"/>
        </w:rPr>
        <w:t>方）是指参加政府采购活动并且中标（成交），向采购人提供</w:t>
      </w:r>
      <w:r>
        <w:rPr>
          <w:rFonts w:hint="eastAsia" w:ascii="仿宋" w:hAnsi="仿宋" w:eastAsia="仿宋" w:cs="仿宋"/>
          <w:color w:val="auto"/>
          <w:sz w:val="24"/>
          <w:szCs w:val="24"/>
          <w:highlight w:val="none"/>
          <w:lang w:val="en-US" w:eastAsia="zh-CN"/>
        </w:rPr>
        <w:t>合同约定的货物及其相关服务的法人、非法人组织或者自然人</w:t>
      </w:r>
      <w:r>
        <w:rPr>
          <w:rFonts w:hint="eastAsia" w:ascii="仿宋" w:hAnsi="仿宋" w:eastAsia="仿宋" w:cs="仿宋"/>
          <w:color w:val="auto"/>
          <w:sz w:val="24"/>
          <w:szCs w:val="24"/>
          <w:highlight w:val="none"/>
        </w:rPr>
        <w:t>。</w:t>
      </w:r>
    </w:p>
    <w:p w14:paraId="4498A62C">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（3）其他合同主体是指除采购人和供应商以外，</w:t>
      </w:r>
      <w:r>
        <w:rPr>
          <w:rFonts w:hint="eastAsia" w:ascii="仿宋" w:hAnsi="仿宋" w:eastAsia="仿宋" w:cs="仿宋"/>
          <w:bCs/>
          <w:color w:val="auto"/>
          <w:sz w:val="24"/>
          <w:szCs w:val="24"/>
          <w:highlight w:val="none"/>
        </w:rPr>
        <w:t>依法参与合同缔结或履行，享有权利、承担义务的合同当事人</w:t>
      </w:r>
      <w:r>
        <w:rPr>
          <w:rFonts w:hint="eastAsia" w:ascii="仿宋" w:hAnsi="仿宋" w:eastAsia="仿宋" w:cs="仿宋"/>
          <w:color w:val="auto"/>
          <w:sz w:val="24"/>
          <w:szCs w:val="24"/>
          <w:highlight w:val="none"/>
        </w:rPr>
        <w:t>。</w:t>
      </w:r>
    </w:p>
    <w:p w14:paraId="6DB3C3BD">
      <w:pPr>
        <w:tabs>
          <w:tab w:val="left" w:pos="570"/>
          <w:tab w:val="left" w:pos="9240"/>
          <w:tab w:val="left" w:pos="9555"/>
        </w:tabs>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1.2本合同下列术语应解释为：</w:t>
      </w:r>
    </w:p>
    <w:p w14:paraId="1163595C">
      <w:pPr>
        <w:adjustRightInd w:val="0"/>
        <w:snapToGrid w:val="0"/>
        <w:spacing w:before="0" w:beforeLines="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（1）“合同”系指</w:t>
      </w:r>
      <w:r>
        <w:rPr>
          <w:rFonts w:hint="eastAsia" w:ascii="仿宋" w:hAnsi="仿宋" w:eastAsia="仿宋" w:cs="仿宋"/>
          <w:bCs/>
          <w:color w:val="auto"/>
          <w:sz w:val="24"/>
          <w:szCs w:val="24"/>
          <w:highlight w:val="none"/>
        </w:rPr>
        <w:t>合同当事人意思表示达成一致的任何协议，包括签署的</w:t>
      </w:r>
      <w:r>
        <w:rPr>
          <w:rFonts w:hint="eastAsia" w:ascii="仿宋" w:hAnsi="仿宋" w:eastAsia="仿宋" w:cs="仿宋"/>
          <w:color w:val="auto"/>
          <w:sz w:val="24"/>
          <w:szCs w:val="24"/>
          <w:highlight w:val="none"/>
          <w:lang w:eastAsia="zh-CN"/>
        </w:rPr>
        <w:t>政府采购</w:t>
      </w:r>
      <w:r>
        <w:rPr>
          <w:rFonts w:hint="eastAsia" w:ascii="仿宋" w:hAnsi="仿宋" w:eastAsia="仿宋" w:cs="仿宋"/>
          <w:color w:val="auto"/>
          <w:sz w:val="24"/>
          <w:szCs w:val="24"/>
          <w:highlight w:val="none"/>
        </w:rPr>
        <w:t>合同协议书及其变更、补充</w:t>
      </w:r>
      <w:r>
        <w:rPr>
          <w:rFonts w:hint="eastAsia" w:ascii="仿宋" w:hAnsi="仿宋" w:eastAsia="仿宋" w:cs="仿宋"/>
          <w:color w:val="auto"/>
          <w:sz w:val="24"/>
          <w:szCs w:val="24"/>
          <w:highlight w:val="none"/>
          <w:lang w:eastAsia="zh-CN"/>
        </w:rPr>
        <w:t>协议，</w:t>
      </w:r>
      <w:r>
        <w:rPr>
          <w:rFonts w:hint="eastAsia" w:ascii="仿宋" w:hAnsi="仿宋" w:eastAsia="仿宋" w:cs="仿宋"/>
          <w:color w:val="auto"/>
          <w:sz w:val="24"/>
          <w:szCs w:val="24"/>
          <w:highlight w:val="none"/>
        </w:rPr>
        <w:t>政府采购合同专用条款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政府采购合同通用条款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通知书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投标（响应）文件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有关技术文件</w:t>
      </w:r>
      <w:r>
        <w:rPr>
          <w:rFonts w:hint="eastAsia" w:ascii="仿宋" w:hAnsi="仿宋" w:eastAsia="仿宋" w:cs="仿宋"/>
          <w:color w:val="auto"/>
          <w:sz w:val="24"/>
          <w:szCs w:val="24"/>
          <w:highlight w:val="none"/>
          <w:lang w:eastAsia="zh-CN"/>
        </w:rPr>
        <w:t>和</w:t>
      </w:r>
      <w:r>
        <w:rPr>
          <w:rFonts w:hint="eastAsia" w:ascii="仿宋" w:hAnsi="仿宋" w:eastAsia="仿宋" w:cs="仿宋"/>
          <w:color w:val="auto"/>
          <w:sz w:val="24"/>
          <w:szCs w:val="24"/>
          <w:highlight w:val="none"/>
        </w:rPr>
        <w:t>图纸</w:t>
      </w:r>
      <w:r>
        <w:rPr>
          <w:rFonts w:hint="eastAsia" w:ascii="仿宋" w:hAnsi="仿宋" w:eastAsia="仿宋" w:cs="仿宋"/>
          <w:color w:val="auto"/>
          <w:sz w:val="24"/>
          <w:szCs w:val="24"/>
          <w:highlight w:val="none"/>
          <w:lang w:eastAsia="zh-CN"/>
        </w:rPr>
        <w:t>，以及</w:t>
      </w:r>
      <w:r>
        <w:rPr>
          <w:rFonts w:hint="eastAsia" w:ascii="仿宋" w:hAnsi="仿宋" w:eastAsia="仿宋" w:cs="仿宋"/>
          <w:bCs w:val="0"/>
          <w:color w:val="auto"/>
          <w:kern w:val="2"/>
          <w:sz w:val="24"/>
          <w:szCs w:val="24"/>
          <w:highlight w:val="none"/>
          <w:lang w:eastAsia="zh-CN"/>
        </w:rPr>
        <w:t>国家法律、行政法规和规章制度规定或合同约定的作为合同组成部分的其他文件</w:t>
      </w:r>
      <w:r>
        <w:rPr>
          <w:rFonts w:hint="eastAsia" w:ascii="仿宋" w:hAnsi="仿宋" w:eastAsia="仿宋" w:cs="仿宋"/>
          <w:color w:val="auto"/>
          <w:sz w:val="24"/>
          <w:szCs w:val="24"/>
          <w:highlight w:val="none"/>
        </w:rPr>
        <w:t>。</w:t>
      </w:r>
    </w:p>
    <w:p w14:paraId="5A7C328B">
      <w:pPr>
        <w:tabs>
          <w:tab w:val="left" w:pos="570"/>
          <w:tab w:val="left" w:pos="9240"/>
          <w:tab w:val="left" w:pos="9555"/>
        </w:tabs>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）“合同价</w:t>
      </w:r>
      <w:r>
        <w:rPr>
          <w:rFonts w:hint="eastAsia" w:ascii="仿宋" w:hAnsi="仿宋" w:eastAsia="仿宋" w:cs="仿宋"/>
          <w:color w:val="auto"/>
          <w:sz w:val="24"/>
          <w:szCs w:val="24"/>
          <w:highlight w:val="none"/>
          <w:lang w:val="en-US" w:eastAsia="zh-CN"/>
        </w:rPr>
        <w:t>款</w:t>
      </w:r>
      <w:r>
        <w:rPr>
          <w:rFonts w:hint="eastAsia" w:ascii="仿宋" w:hAnsi="仿宋" w:eastAsia="仿宋" w:cs="仿宋"/>
          <w:color w:val="auto"/>
          <w:sz w:val="24"/>
          <w:szCs w:val="24"/>
          <w:highlight w:val="none"/>
        </w:rPr>
        <w:t>”系指根据本合同规定乙方在全面履行合同义务后甲方应支付给乙方的价款。</w:t>
      </w:r>
    </w:p>
    <w:p w14:paraId="7A611532">
      <w:pPr>
        <w:tabs>
          <w:tab w:val="left" w:pos="570"/>
          <w:tab w:val="left" w:pos="9240"/>
          <w:tab w:val="left" w:pos="9555"/>
        </w:tabs>
        <w:adjustRightInd w:val="0"/>
        <w:snapToGrid w:val="0"/>
        <w:spacing w:before="0"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）“货物”系指乙方根据本合同规定须向甲方提供的各种形态和种类的物品，包括原材料、设备、产品（包括软件）及相关的其备品备件、工具、手册及</w:t>
      </w:r>
      <w:r>
        <w:rPr>
          <w:rFonts w:hint="eastAsia" w:ascii="仿宋" w:hAnsi="仿宋" w:eastAsia="仿宋" w:cs="仿宋"/>
          <w:color w:val="auto"/>
          <w:sz w:val="24"/>
          <w:szCs w:val="24"/>
          <w:highlight w:val="none"/>
          <w:lang w:val="en"/>
        </w:rPr>
        <w:t>其他</w:t>
      </w:r>
      <w:r>
        <w:rPr>
          <w:rFonts w:hint="eastAsia" w:ascii="仿宋" w:hAnsi="仿宋" w:eastAsia="仿宋" w:cs="仿宋"/>
          <w:color w:val="auto"/>
          <w:sz w:val="24"/>
          <w:szCs w:val="24"/>
          <w:highlight w:val="none"/>
        </w:rPr>
        <w:t>技术资料和材料</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w:t>
      </w:r>
    </w:p>
    <w:p w14:paraId="5EED8312">
      <w:pPr>
        <w:adjustRightInd w:val="0"/>
        <w:snapToGrid w:val="0"/>
        <w:spacing w:before="0"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相关</w:t>
      </w:r>
      <w:r>
        <w:rPr>
          <w:rFonts w:hint="eastAsia" w:ascii="仿宋" w:hAnsi="仿宋" w:eastAsia="仿宋" w:cs="仿宋"/>
          <w:color w:val="auto"/>
          <w:sz w:val="24"/>
          <w:szCs w:val="24"/>
          <w:highlight w:val="none"/>
        </w:rPr>
        <w:t>服务”系指根据合同规定，乙方应提供的</w:t>
      </w:r>
      <w:r>
        <w:rPr>
          <w:rFonts w:hint="eastAsia" w:ascii="仿宋" w:hAnsi="仿宋" w:eastAsia="仿宋" w:cs="仿宋"/>
          <w:color w:val="auto"/>
          <w:sz w:val="24"/>
          <w:szCs w:val="24"/>
          <w:highlight w:val="none"/>
          <w:lang w:val="en-US" w:eastAsia="zh-CN"/>
        </w:rPr>
        <w:t>与货物有关的</w:t>
      </w:r>
      <w:r>
        <w:rPr>
          <w:rFonts w:hint="eastAsia" w:ascii="仿宋" w:hAnsi="仿宋" w:eastAsia="仿宋" w:cs="仿宋"/>
          <w:color w:val="auto"/>
          <w:sz w:val="24"/>
          <w:szCs w:val="24"/>
          <w:highlight w:val="none"/>
        </w:rPr>
        <w:t>技术、管理和</w:t>
      </w:r>
      <w:r>
        <w:rPr>
          <w:rFonts w:hint="eastAsia" w:ascii="仿宋" w:hAnsi="仿宋" w:eastAsia="仿宋" w:cs="仿宋"/>
          <w:color w:val="auto"/>
          <w:sz w:val="24"/>
          <w:szCs w:val="24"/>
          <w:highlight w:val="none"/>
          <w:lang w:val="en"/>
        </w:rPr>
        <w:t>其他</w:t>
      </w:r>
      <w:r>
        <w:rPr>
          <w:rFonts w:hint="eastAsia" w:ascii="仿宋" w:hAnsi="仿宋" w:eastAsia="仿宋" w:cs="仿宋"/>
          <w:color w:val="auto"/>
          <w:sz w:val="24"/>
          <w:szCs w:val="24"/>
          <w:highlight w:val="none"/>
        </w:rPr>
        <w:t>服务，包括但不限于：管理和质量保证、运输、保险、检验、现场准备、安装、集成、调试、培训、维修、</w:t>
      </w:r>
      <w:r>
        <w:rPr>
          <w:rFonts w:hint="eastAsia" w:ascii="仿宋" w:hAnsi="仿宋" w:eastAsia="仿宋" w:cs="仿宋"/>
          <w:color w:val="auto"/>
          <w:sz w:val="24"/>
          <w:szCs w:val="24"/>
          <w:highlight w:val="none"/>
          <w:lang w:eastAsia="zh-CN"/>
        </w:rPr>
        <w:t>废弃处置、</w:t>
      </w:r>
      <w:r>
        <w:rPr>
          <w:rFonts w:hint="eastAsia" w:ascii="仿宋" w:hAnsi="仿宋" w:eastAsia="仿宋" w:cs="仿宋"/>
          <w:color w:val="auto"/>
          <w:sz w:val="24"/>
          <w:szCs w:val="24"/>
          <w:highlight w:val="none"/>
        </w:rPr>
        <w:t>技术支持等以及合同中规定乙方应承担的</w:t>
      </w:r>
      <w:r>
        <w:rPr>
          <w:rFonts w:hint="eastAsia" w:ascii="仿宋" w:hAnsi="仿宋" w:eastAsia="仿宋" w:cs="仿宋"/>
          <w:color w:val="auto"/>
          <w:sz w:val="24"/>
          <w:szCs w:val="24"/>
          <w:highlight w:val="none"/>
          <w:lang w:val="en"/>
        </w:rPr>
        <w:t>其他</w:t>
      </w:r>
      <w:r>
        <w:rPr>
          <w:rFonts w:hint="eastAsia" w:ascii="仿宋" w:hAnsi="仿宋" w:eastAsia="仿宋" w:cs="仿宋"/>
          <w:color w:val="auto"/>
          <w:sz w:val="24"/>
          <w:szCs w:val="24"/>
          <w:highlight w:val="none"/>
        </w:rPr>
        <w:t>义务。</w:t>
      </w:r>
    </w:p>
    <w:p w14:paraId="6580B6C5">
      <w:pPr>
        <w:adjustRightInd w:val="0"/>
        <w:snapToGrid w:val="0"/>
        <w:spacing w:before="0"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）“分包”系指中标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供应商按采购文件、投标（响应）文件的规定，根据分包意向协议，将中标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项目中的部分履约内容，分给具有相应资质条件的供应商履行合同的行为。</w:t>
      </w:r>
    </w:p>
    <w:p w14:paraId="1A950FB2">
      <w:pPr>
        <w:tabs>
          <w:tab w:val="left" w:pos="570"/>
          <w:tab w:val="left" w:pos="9240"/>
          <w:tab w:val="left" w:pos="9555"/>
        </w:tabs>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）“联合体”系指</w:t>
      </w:r>
      <w:r>
        <w:rPr>
          <w:rFonts w:hint="eastAsia" w:ascii="仿宋" w:hAnsi="仿宋" w:eastAsia="仿宋" w:cs="仿宋"/>
          <w:color w:val="auto"/>
          <w:sz w:val="24"/>
          <w:szCs w:val="24"/>
          <w:highlight w:val="none"/>
          <w:lang w:eastAsia="zh-CN"/>
        </w:rPr>
        <w:t>由</w:t>
      </w:r>
      <w:r>
        <w:rPr>
          <w:rFonts w:hint="eastAsia" w:ascii="仿宋" w:hAnsi="仿宋" w:eastAsia="仿宋" w:cs="仿宋"/>
          <w:color w:val="auto"/>
          <w:sz w:val="24"/>
          <w:szCs w:val="24"/>
          <w:highlight w:val="none"/>
        </w:rPr>
        <w:t>两个以上的自然人、法人或者</w:t>
      </w:r>
      <w:r>
        <w:rPr>
          <w:rFonts w:hint="eastAsia" w:ascii="仿宋" w:hAnsi="仿宋" w:eastAsia="仿宋" w:cs="仿宋"/>
          <w:color w:val="auto"/>
          <w:sz w:val="24"/>
          <w:szCs w:val="24"/>
          <w:highlight w:val="none"/>
          <w:lang w:val="en-US" w:eastAsia="zh-CN"/>
        </w:rPr>
        <w:t>非法人</w:t>
      </w:r>
      <w:r>
        <w:rPr>
          <w:rFonts w:hint="eastAsia" w:ascii="仿宋" w:hAnsi="仿宋" w:eastAsia="仿宋" w:cs="仿宋"/>
          <w:color w:val="auto"/>
          <w:sz w:val="24"/>
          <w:szCs w:val="24"/>
          <w:highlight w:val="none"/>
        </w:rPr>
        <w:t>组织组成，</w:t>
      </w:r>
      <w:r>
        <w:rPr>
          <w:rFonts w:hint="eastAsia" w:ascii="仿宋" w:hAnsi="仿宋" w:eastAsia="仿宋" w:cs="仿宋"/>
          <w:color w:val="auto"/>
          <w:sz w:val="24"/>
          <w:szCs w:val="24"/>
          <w:highlight w:val="none"/>
          <w:lang w:eastAsia="zh-CN"/>
        </w:rPr>
        <w:t>以一个供应商的身份共同参加政府采购的主体。</w:t>
      </w:r>
      <w:r>
        <w:rPr>
          <w:rFonts w:hint="eastAsia" w:ascii="仿宋" w:hAnsi="仿宋" w:eastAsia="仿宋" w:cs="仿宋"/>
          <w:color w:val="auto"/>
          <w:sz w:val="24"/>
          <w:szCs w:val="24"/>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承担连带责任。联合体具体要求见【</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w:t>
      </w:r>
    </w:p>
    <w:p w14:paraId="4D0B022B">
      <w:pPr>
        <w:tabs>
          <w:tab w:val="left" w:pos="570"/>
          <w:tab w:val="left" w:pos="9240"/>
          <w:tab w:val="left" w:pos="9555"/>
        </w:tabs>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）其他术语解释，见【</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w:t>
      </w:r>
    </w:p>
    <w:p w14:paraId="1A2DDF34">
      <w:pPr>
        <w:numPr>
          <w:ilvl w:val="0"/>
          <w:numId w:val="5"/>
        </w:numPr>
        <w:autoSpaceDE w:val="0"/>
        <w:autoSpaceDN w:val="0"/>
        <w:adjustRightInd w:val="0"/>
        <w:snapToGrid w:val="0"/>
        <w:spacing w:before="0"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合同标的及金额</w:t>
      </w:r>
    </w:p>
    <w:p w14:paraId="5D9CDE06">
      <w:pPr>
        <w:autoSpaceDE w:val="0"/>
        <w:autoSpaceDN w:val="0"/>
        <w:adjustRightInd w:val="0"/>
        <w:snapToGrid w:val="0"/>
        <w:spacing w:before="0" w:line="360" w:lineRule="auto"/>
        <w:ind w:firstLine="480" w:firstLineChars="200"/>
        <w:jc w:val="left"/>
        <w:rPr>
          <w:rFonts w:hint="eastAsia" w:ascii="仿宋" w:hAnsi="仿宋" w:eastAsia="仿宋" w:cs="仿宋"/>
          <w:b/>
          <w:bCs/>
          <w:i/>
          <w:iCs/>
          <w:color w:val="auto"/>
          <w:sz w:val="24"/>
          <w:szCs w:val="24"/>
          <w:highlight w:val="none"/>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.1 合同标的及金额应与中标（成交）结果一致。乙方为履行本合同而发生的所有费用均应包含在合同</w:t>
      </w:r>
      <w:r>
        <w:rPr>
          <w:rFonts w:hint="eastAsia" w:ascii="仿宋" w:hAnsi="仿宋" w:eastAsia="仿宋" w:cs="仿宋"/>
          <w:color w:val="auto"/>
          <w:sz w:val="24"/>
          <w:szCs w:val="24"/>
          <w:highlight w:val="none"/>
          <w:lang w:eastAsia="zh-CN"/>
        </w:rPr>
        <w:t>价款</w:t>
      </w:r>
      <w:r>
        <w:rPr>
          <w:rFonts w:hint="eastAsia" w:ascii="仿宋" w:hAnsi="仿宋" w:eastAsia="仿宋" w:cs="仿宋"/>
          <w:color w:val="auto"/>
          <w:sz w:val="24"/>
          <w:szCs w:val="24"/>
          <w:highlight w:val="none"/>
        </w:rPr>
        <w:t>中，甲方不再另行支付</w:t>
      </w:r>
      <w:r>
        <w:rPr>
          <w:rFonts w:hint="eastAsia" w:ascii="仿宋" w:hAnsi="仿宋" w:eastAsia="仿宋" w:cs="仿宋"/>
          <w:color w:val="auto"/>
          <w:sz w:val="24"/>
          <w:szCs w:val="24"/>
          <w:highlight w:val="none"/>
          <w:lang w:val="en"/>
        </w:rPr>
        <w:t>其他</w:t>
      </w:r>
      <w:r>
        <w:rPr>
          <w:rFonts w:hint="eastAsia" w:ascii="仿宋" w:hAnsi="仿宋" w:eastAsia="仿宋" w:cs="仿宋"/>
          <w:color w:val="auto"/>
          <w:sz w:val="24"/>
          <w:szCs w:val="24"/>
          <w:highlight w:val="none"/>
        </w:rPr>
        <w:t>任何费用。</w:t>
      </w:r>
    </w:p>
    <w:p w14:paraId="2CDF2D3F">
      <w:pPr>
        <w:adjustRightInd w:val="0"/>
        <w:snapToGrid w:val="0"/>
        <w:spacing w:before="0"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3</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履行合同的时间、地点和方式</w:t>
      </w:r>
    </w:p>
    <w:p w14:paraId="14C5DA5F">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.1 乙方应当在约定的时间、地点</w:t>
      </w:r>
      <w:r>
        <w:rPr>
          <w:rFonts w:hint="eastAsia" w:ascii="仿宋" w:hAnsi="仿宋" w:eastAsia="仿宋" w:cs="仿宋"/>
          <w:color w:val="auto"/>
          <w:sz w:val="24"/>
          <w:szCs w:val="24"/>
          <w:highlight w:val="none"/>
          <w:lang w:eastAsia="zh-CN"/>
        </w:rPr>
        <w:t>，按照约定</w:t>
      </w:r>
      <w:r>
        <w:rPr>
          <w:rFonts w:hint="eastAsia" w:ascii="仿宋" w:hAnsi="仿宋" w:eastAsia="仿宋" w:cs="仿宋"/>
          <w:color w:val="auto"/>
          <w:sz w:val="24"/>
          <w:szCs w:val="24"/>
          <w:highlight w:val="none"/>
        </w:rPr>
        <w:t>方式履行合同。</w:t>
      </w:r>
    </w:p>
    <w:p w14:paraId="1861A1AC">
      <w:pPr>
        <w:autoSpaceDE w:val="0"/>
        <w:autoSpaceDN w:val="0"/>
        <w:adjustRightInd w:val="0"/>
        <w:snapToGrid w:val="0"/>
        <w:spacing w:before="0"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4</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甲方的权利和义务</w:t>
      </w:r>
    </w:p>
    <w:p w14:paraId="2330BD34">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.1 签署合同后，甲方</w:t>
      </w:r>
      <w:r>
        <w:rPr>
          <w:rFonts w:hint="eastAsia" w:ascii="仿宋" w:hAnsi="仿宋" w:eastAsia="仿宋" w:cs="仿宋"/>
          <w:color w:val="auto"/>
          <w:sz w:val="24"/>
          <w:szCs w:val="24"/>
          <w:highlight w:val="none"/>
          <w:lang w:eastAsia="zh-CN"/>
        </w:rPr>
        <w:t>应</w:t>
      </w:r>
      <w:r>
        <w:rPr>
          <w:rFonts w:hint="eastAsia" w:ascii="仿宋" w:hAnsi="仿宋" w:eastAsia="仿宋" w:cs="仿宋"/>
          <w:color w:val="auto"/>
          <w:sz w:val="24"/>
          <w:szCs w:val="24"/>
          <w:highlight w:val="none"/>
        </w:rPr>
        <w:t>确定</w:t>
      </w:r>
      <w:r>
        <w:rPr>
          <w:rFonts w:hint="eastAsia" w:ascii="仿宋" w:hAnsi="仿宋" w:eastAsia="仿宋" w:cs="仿宋"/>
          <w:color w:val="auto"/>
          <w:sz w:val="24"/>
          <w:szCs w:val="24"/>
          <w:highlight w:val="none"/>
          <w:lang w:val="en-US" w:eastAsia="zh-CN"/>
        </w:rPr>
        <w:t>项目负责人（或项目联系人）</w:t>
      </w:r>
      <w:r>
        <w:rPr>
          <w:rFonts w:hint="eastAsia" w:ascii="仿宋" w:hAnsi="仿宋" w:eastAsia="仿宋" w:cs="仿宋"/>
          <w:color w:val="auto"/>
          <w:sz w:val="24"/>
          <w:szCs w:val="24"/>
          <w:highlight w:val="none"/>
        </w:rPr>
        <w:t>，负责与本合同有关的事务。甲方有权对乙方的履约行为进行检查，并及时确认乙方提交的事项。甲方应当配合乙方完成相关项目实施工作。</w:t>
      </w:r>
    </w:p>
    <w:p w14:paraId="35C08D67">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.2 甲方有权要求乙方按时提交各阶段有关安排计划，并有权定期核对乙方提供货物数量、规格、质量等内容。甲方有权督促乙方工作并要求乙方更换不符合要求的货物。</w:t>
      </w:r>
    </w:p>
    <w:p w14:paraId="0AAFAC22">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.3 甲方有权要求乙方对缺陷部分予以修复，并按合同约定享有货物保修及其他合同约定的权利。</w:t>
      </w:r>
    </w:p>
    <w:p w14:paraId="5CB589E3">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4.4 甲方应当按照合同约定及时对交付的货物进行验收，</w:t>
      </w:r>
      <w:r>
        <w:rPr>
          <w:rFonts w:hint="eastAsia" w:ascii="仿宋" w:hAnsi="仿宋" w:eastAsia="仿宋" w:cs="仿宋"/>
          <w:b w:val="0"/>
          <w:bCs w:val="0"/>
          <w:color w:val="auto"/>
          <w:sz w:val="24"/>
          <w:szCs w:val="24"/>
          <w:highlight w:val="none"/>
          <w:lang w:eastAsia="zh-CN"/>
        </w:rPr>
        <w:t>未</w:t>
      </w:r>
      <w:r>
        <w:rPr>
          <w:rFonts w:hint="eastAsia" w:ascii="仿宋" w:hAnsi="仿宋" w:eastAsia="仿宋" w:cs="仿宋"/>
          <w:color w:val="auto"/>
          <w:sz w:val="24"/>
          <w:szCs w:val="24"/>
          <w:highlight w:val="none"/>
          <w:lang w:val="en-US" w:eastAsia="zh-CN"/>
        </w:rPr>
        <w:t>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b w:val="0"/>
          <w:bCs w:val="0"/>
          <w:color w:val="auto"/>
          <w:sz w:val="24"/>
          <w:szCs w:val="24"/>
          <w:highlight w:val="none"/>
          <w:lang w:eastAsia="zh-CN"/>
        </w:rPr>
        <w:t>约定的期限内对乙方履约提出任何异议或者向乙方作出任何说明的，</w:t>
      </w:r>
      <w:r>
        <w:rPr>
          <w:rFonts w:hint="eastAsia" w:ascii="仿宋" w:hAnsi="仿宋" w:eastAsia="仿宋" w:cs="仿宋"/>
          <w:color w:val="auto"/>
          <w:sz w:val="24"/>
          <w:szCs w:val="24"/>
          <w:highlight w:val="none"/>
          <w:lang w:val="en-US" w:eastAsia="zh-CN"/>
        </w:rPr>
        <w:t>视为验收通过。</w:t>
      </w:r>
    </w:p>
    <w:p w14:paraId="698FFD25">
      <w:pPr>
        <w:autoSpaceDE w:val="0"/>
        <w:autoSpaceDN w:val="0"/>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甲方应当根据合同约定</w:t>
      </w:r>
      <w:r>
        <w:rPr>
          <w:rFonts w:hint="eastAsia" w:ascii="仿宋" w:hAnsi="仿宋" w:eastAsia="仿宋" w:cs="仿宋"/>
          <w:color w:val="auto"/>
          <w:sz w:val="24"/>
          <w:szCs w:val="24"/>
          <w:highlight w:val="none"/>
          <w:lang w:eastAsia="zh-CN"/>
        </w:rPr>
        <w:t>及</w:t>
      </w:r>
      <w:r>
        <w:rPr>
          <w:rFonts w:hint="eastAsia" w:ascii="仿宋" w:hAnsi="仿宋" w:eastAsia="仿宋" w:cs="仿宋"/>
          <w:color w:val="auto"/>
          <w:sz w:val="24"/>
          <w:szCs w:val="24"/>
          <w:highlight w:val="none"/>
        </w:rPr>
        <w:t>时向乙方支付</w:t>
      </w:r>
      <w:r>
        <w:rPr>
          <w:rFonts w:hint="eastAsia" w:ascii="仿宋" w:hAnsi="仿宋" w:eastAsia="仿宋" w:cs="仿宋"/>
          <w:color w:val="auto"/>
          <w:sz w:val="24"/>
          <w:szCs w:val="24"/>
          <w:highlight w:val="none"/>
          <w:lang w:eastAsia="zh-CN"/>
        </w:rPr>
        <w:t>合同价款，不得以内部人员变更、履行内部付款流程等为由，拒绝或迟延支付。</w:t>
      </w:r>
    </w:p>
    <w:p w14:paraId="3D3273B0">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 xml:space="preserve"> 国家法律法规规定</w:t>
      </w:r>
      <w:r>
        <w:rPr>
          <w:rFonts w:hint="eastAsia" w:ascii="仿宋" w:hAnsi="仿宋" w:eastAsia="仿宋" w:cs="仿宋"/>
          <w:color w:val="auto"/>
          <w:sz w:val="24"/>
          <w:szCs w:val="24"/>
          <w:highlight w:val="none"/>
          <w:lang w:eastAsia="zh-CN"/>
        </w:rPr>
        <w:t>及</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lang w:eastAsia="zh-CN"/>
        </w:rPr>
        <w:t>约定应</w:t>
      </w:r>
      <w:r>
        <w:rPr>
          <w:rFonts w:hint="eastAsia" w:ascii="仿宋" w:hAnsi="仿宋" w:eastAsia="仿宋" w:cs="仿宋"/>
          <w:color w:val="auto"/>
          <w:sz w:val="24"/>
          <w:szCs w:val="24"/>
          <w:highlight w:val="none"/>
        </w:rPr>
        <w:t>由甲方承担的其他义务和责任。</w:t>
      </w:r>
    </w:p>
    <w:p w14:paraId="536852C0">
      <w:pPr>
        <w:autoSpaceDE w:val="0"/>
        <w:autoSpaceDN w:val="0"/>
        <w:adjustRightInd w:val="0"/>
        <w:snapToGrid w:val="0"/>
        <w:spacing w:before="0"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5</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乙方的权利和义务</w:t>
      </w:r>
    </w:p>
    <w:p w14:paraId="2C4CBFC7">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.1 签署合同后，乙方</w:t>
      </w:r>
      <w:r>
        <w:rPr>
          <w:rFonts w:hint="eastAsia" w:ascii="仿宋" w:hAnsi="仿宋" w:eastAsia="仿宋" w:cs="仿宋"/>
          <w:color w:val="auto"/>
          <w:sz w:val="24"/>
          <w:szCs w:val="24"/>
          <w:highlight w:val="none"/>
          <w:lang w:eastAsia="zh-CN"/>
        </w:rPr>
        <w:t>应</w:t>
      </w:r>
      <w:r>
        <w:rPr>
          <w:rFonts w:hint="eastAsia" w:ascii="仿宋" w:hAnsi="仿宋" w:eastAsia="仿宋" w:cs="仿宋"/>
          <w:color w:val="auto"/>
          <w:sz w:val="24"/>
          <w:szCs w:val="24"/>
          <w:highlight w:val="none"/>
        </w:rPr>
        <w:t>确定</w:t>
      </w:r>
      <w:r>
        <w:rPr>
          <w:rFonts w:hint="eastAsia" w:ascii="仿宋" w:hAnsi="仿宋" w:eastAsia="仿宋" w:cs="仿宋"/>
          <w:color w:val="auto"/>
          <w:sz w:val="24"/>
          <w:szCs w:val="24"/>
          <w:highlight w:val="none"/>
          <w:lang w:val="en-US" w:eastAsia="zh-CN"/>
        </w:rPr>
        <w:t>项目负责人（或项目联系人）</w:t>
      </w:r>
      <w:r>
        <w:rPr>
          <w:rFonts w:hint="eastAsia" w:ascii="仿宋" w:hAnsi="仿宋" w:eastAsia="仿宋" w:cs="仿宋"/>
          <w:color w:val="auto"/>
          <w:sz w:val="24"/>
          <w:szCs w:val="24"/>
          <w:highlight w:val="none"/>
        </w:rPr>
        <w:t>，负责与本合同有关的事务。</w:t>
      </w:r>
    </w:p>
    <w:p w14:paraId="71557A25">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.2 乙方应按照合同要求履约，充分合理安排，确保提供的货物</w:t>
      </w:r>
      <w:r>
        <w:rPr>
          <w:rFonts w:hint="eastAsia" w:ascii="仿宋" w:hAnsi="仿宋" w:eastAsia="仿宋" w:cs="仿宋"/>
          <w:color w:val="auto"/>
          <w:sz w:val="24"/>
          <w:szCs w:val="24"/>
          <w:highlight w:val="none"/>
          <w:lang w:eastAsia="zh-CN"/>
        </w:rPr>
        <w:t>及相关</w:t>
      </w:r>
      <w:r>
        <w:rPr>
          <w:rFonts w:hint="eastAsia" w:ascii="仿宋" w:hAnsi="仿宋" w:eastAsia="仿宋" w:cs="仿宋"/>
          <w:color w:val="auto"/>
          <w:sz w:val="24"/>
          <w:szCs w:val="24"/>
          <w:highlight w:val="none"/>
        </w:rPr>
        <w:t>服务符合合同</w:t>
      </w:r>
      <w:r>
        <w:rPr>
          <w:rFonts w:hint="eastAsia" w:ascii="仿宋" w:hAnsi="仿宋" w:eastAsia="仿宋" w:cs="仿宋"/>
          <w:color w:val="auto"/>
          <w:sz w:val="24"/>
          <w:szCs w:val="24"/>
          <w:highlight w:val="none"/>
          <w:lang w:eastAsia="zh-CN"/>
        </w:rPr>
        <w:t>有关</w:t>
      </w:r>
      <w:r>
        <w:rPr>
          <w:rFonts w:hint="eastAsia" w:ascii="仿宋" w:hAnsi="仿宋" w:eastAsia="仿宋" w:cs="仿宋"/>
          <w:color w:val="auto"/>
          <w:sz w:val="24"/>
          <w:szCs w:val="24"/>
          <w:highlight w:val="none"/>
        </w:rPr>
        <w:t>要求。接受项目行业管理部门及政府有关部门的指导，配合甲方的履约检查</w:t>
      </w:r>
      <w:r>
        <w:rPr>
          <w:rFonts w:hint="eastAsia" w:ascii="仿宋" w:hAnsi="仿宋" w:eastAsia="仿宋" w:cs="仿宋"/>
          <w:color w:val="auto"/>
          <w:sz w:val="24"/>
          <w:szCs w:val="24"/>
          <w:highlight w:val="none"/>
          <w:lang w:eastAsia="zh-CN"/>
        </w:rPr>
        <w:t>及验收</w:t>
      </w:r>
      <w:r>
        <w:rPr>
          <w:rFonts w:hint="eastAsia" w:ascii="仿宋" w:hAnsi="仿宋" w:eastAsia="仿宋" w:cs="仿宋"/>
          <w:color w:val="auto"/>
          <w:sz w:val="24"/>
          <w:szCs w:val="24"/>
          <w:highlight w:val="none"/>
        </w:rPr>
        <w:t>，并负责项目实施过程中的所有协调工作。</w:t>
      </w:r>
    </w:p>
    <w:p w14:paraId="533CF9B5">
      <w:pPr>
        <w:pStyle w:val="11"/>
        <w:spacing w:after="0" w:line="360" w:lineRule="auto"/>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.3乙方有权根据合同约定向甲方收取</w:t>
      </w:r>
      <w:r>
        <w:rPr>
          <w:rFonts w:hint="eastAsia" w:ascii="仿宋" w:hAnsi="仿宋" w:eastAsia="仿宋" w:cs="仿宋"/>
          <w:color w:val="auto"/>
          <w:sz w:val="24"/>
          <w:szCs w:val="24"/>
          <w:highlight w:val="none"/>
          <w:lang w:eastAsia="zh-CN"/>
        </w:rPr>
        <w:t>合同价款</w:t>
      </w:r>
      <w:r>
        <w:rPr>
          <w:rFonts w:hint="eastAsia" w:ascii="仿宋" w:hAnsi="仿宋" w:eastAsia="仿宋" w:cs="仿宋"/>
          <w:color w:val="auto"/>
          <w:sz w:val="24"/>
          <w:szCs w:val="24"/>
          <w:highlight w:val="none"/>
        </w:rPr>
        <w:t>。</w:t>
      </w:r>
    </w:p>
    <w:p w14:paraId="5F6F0AC7">
      <w:pPr>
        <w:pStyle w:val="11"/>
        <w:spacing w:after="0" w:line="360" w:lineRule="auto"/>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.4国家法律法规规定</w:t>
      </w:r>
      <w:r>
        <w:rPr>
          <w:rFonts w:hint="eastAsia" w:ascii="仿宋" w:hAnsi="仿宋" w:eastAsia="仿宋" w:cs="仿宋"/>
          <w:color w:val="auto"/>
          <w:sz w:val="24"/>
          <w:szCs w:val="24"/>
          <w:highlight w:val="none"/>
          <w:lang w:eastAsia="zh-CN"/>
        </w:rPr>
        <w:t>及</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b w:val="0"/>
          <w:bCs w:val="0"/>
          <w:color w:val="auto"/>
          <w:sz w:val="24"/>
          <w:szCs w:val="24"/>
          <w:highlight w:val="none"/>
          <w:lang w:eastAsia="zh-CN"/>
        </w:rPr>
        <w:t>约定应</w:t>
      </w:r>
      <w:r>
        <w:rPr>
          <w:rFonts w:hint="eastAsia" w:ascii="仿宋" w:hAnsi="仿宋" w:eastAsia="仿宋" w:cs="仿宋"/>
          <w:color w:val="auto"/>
          <w:sz w:val="24"/>
          <w:szCs w:val="24"/>
          <w:highlight w:val="none"/>
        </w:rPr>
        <w:t>由乙方承担的其他义务和责任。</w:t>
      </w:r>
    </w:p>
    <w:p w14:paraId="4D84228D">
      <w:pPr>
        <w:numPr>
          <w:ilvl w:val="0"/>
          <w:numId w:val="6"/>
        </w:numPr>
        <w:autoSpaceDE w:val="0"/>
        <w:autoSpaceDN w:val="0"/>
        <w:adjustRightInd w:val="0"/>
        <w:snapToGrid w:val="0"/>
        <w:spacing w:before="0"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合同履</w:t>
      </w:r>
      <w:r>
        <w:rPr>
          <w:rFonts w:hint="eastAsia" w:ascii="仿宋" w:hAnsi="仿宋" w:eastAsia="仿宋" w:cs="仿宋"/>
          <w:b/>
          <w:bCs/>
          <w:color w:val="auto"/>
          <w:sz w:val="24"/>
          <w:szCs w:val="24"/>
          <w:highlight w:val="none"/>
          <w:lang w:val="en-US" w:eastAsia="zh-CN"/>
        </w:rPr>
        <w:t>行</w:t>
      </w:r>
    </w:p>
    <w:p w14:paraId="414AE17D">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6</w:t>
      </w:r>
      <w:r>
        <w:rPr>
          <w:rFonts w:hint="eastAsia" w:ascii="仿宋" w:hAnsi="仿宋" w:eastAsia="仿宋" w:cs="仿宋"/>
          <w:color w:val="auto"/>
          <w:sz w:val="24"/>
          <w:szCs w:val="24"/>
          <w:highlight w:val="none"/>
        </w:rPr>
        <w:t>.1 甲乙双方应当按照</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约定顺序履行合同义务；如果没有先后顺序的，应当同时履行。</w:t>
      </w:r>
    </w:p>
    <w:p w14:paraId="0700A5D7">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6</w:t>
      </w:r>
      <w:r>
        <w:rPr>
          <w:rFonts w:hint="eastAsia" w:ascii="仿宋" w:hAnsi="仿宋" w:eastAsia="仿宋" w:cs="仿宋"/>
          <w:color w:val="auto"/>
          <w:sz w:val="24"/>
          <w:szCs w:val="24"/>
          <w:highlight w:val="none"/>
        </w:rPr>
        <w:t>.2 甲乙双方按照合同约定顺序履行合同义务时，应当先履行一方未履行的，后履行一方有权拒绝其履行请求。先履行一方履行不符合约定的，后履行一方有权拒绝其相应的履行请求。</w:t>
      </w:r>
    </w:p>
    <w:p w14:paraId="1EE9204E">
      <w:pPr>
        <w:adjustRightInd w:val="0"/>
        <w:snapToGrid w:val="0"/>
        <w:spacing w:before="0"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7</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货物包装、运输</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保险</w:t>
      </w:r>
      <w:r>
        <w:rPr>
          <w:rFonts w:hint="eastAsia" w:ascii="仿宋" w:hAnsi="仿宋" w:eastAsia="仿宋" w:cs="仿宋"/>
          <w:b/>
          <w:bCs/>
          <w:color w:val="auto"/>
          <w:sz w:val="24"/>
          <w:szCs w:val="24"/>
          <w:highlight w:val="none"/>
          <w:lang w:eastAsia="zh-CN"/>
        </w:rPr>
        <w:t>和交付</w:t>
      </w:r>
      <w:r>
        <w:rPr>
          <w:rFonts w:hint="eastAsia" w:ascii="仿宋" w:hAnsi="仿宋" w:eastAsia="仿宋" w:cs="仿宋"/>
          <w:b/>
          <w:bCs/>
          <w:color w:val="auto"/>
          <w:sz w:val="24"/>
          <w:szCs w:val="24"/>
          <w:highlight w:val="none"/>
        </w:rPr>
        <w:t>要求</w:t>
      </w:r>
    </w:p>
    <w:p w14:paraId="37E7CB86">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rPr>
        <w:t>.1 本合同</w:t>
      </w:r>
      <w:r>
        <w:rPr>
          <w:rFonts w:hint="eastAsia" w:ascii="仿宋" w:hAnsi="仿宋" w:eastAsia="仿宋" w:cs="仿宋"/>
          <w:bCs/>
          <w:color w:val="auto"/>
          <w:sz w:val="24"/>
          <w:szCs w:val="24"/>
          <w:highlight w:val="none"/>
        </w:rPr>
        <w:t>涉及商品包装</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快递包装的，</w:t>
      </w:r>
      <w:r>
        <w:rPr>
          <w:rFonts w:hint="eastAsia" w:ascii="仿宋" w:hAnsi="仿宋" w:eastAsia="仿宋" w:cs="仿宋"/>
          <w:color w:val="auto"/>
          <w:sz w:val="24"/>
          <w:szCs w:val="24"/>
          <w:highlight w:val="none"/>
        </w:rPr>
        <w:t>除</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另有</w:t>
      </w:r>
      <w:r>
        <w:rPr>
          <w:rFonts w:hint="eastAsia" w:ascii="仿宋" w:hAnsi="仿宋" w:eastAsia="仿宋" w:cs="仿宋"/>
          <w:bCs/>
          <w:color w:val="auto"/>
          <w:sz w:val="24"/>
          <w:szCs w:val="24"/>
          <w:highlight w:val="none"/>
          <w:lang w:eastAsia="zh-CN"/>
        </w:rPr>
        <w:t>约</w:t>
      </w:r>
      <w:r>
        <w:rPr>
          <w:rFonts w:hint="eastAsia" w:ascii="仿宋" w:hAnsi="仿宋" w:eastAsia="仿宋" w:cs="仿宋"/>
          <w:bCs/>
          <w:color w:val="auto"/>
          <w:sz w:val="24"/>
          <w:szCs w:val="24"/>
          <w:highlight w:val="none"/>
        </w:rPr>
        <w:t>定</w:t>
      </w:r>
      <w:r>
        <w:rPr>
          <w:rFonts w:hint="eastAsia" w:ascii="仿宋" w:hAnsi="仿宋" w:eastAsia="仿宋" w:cs="仿宋"/>
          <w:bCs/>
          <w:color w:val="auto"/>
          <w:sz w:val="24"/>
          <w:szCs w:val="24"/>
          <w:highlight w:val="none"/>
          <w:lang w:eastAsia="zh-CN"/>
        </w:rPr>
        <w:t>外</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包装应适应远距离运输、防潮、防震、防锈和防野蛮装卸等要求，确保货物安全无损地运抵</w:t>
      </w:r>
      <w:r>
        <w:rPr>
          <w:rFonts w:hint="eastAsia" w:ascii="仿宋" w:hAnsi="仿宋" w:eastAsia="仿宋" w:cs="仿宋"/>
          <w:b/>
          <w:color w:val="auto"/>
          <w:sz w:val="24"/>
          <w:szCs w:val="24"/>
          <w:highlight w:val="none"/>
        </w:rPr>
        <w:t>【政府采购合同专用条款】</w:t>
      </w:r>
      <w:r>
        <w:rPr>
          <w:rFonts w:hint="eastAsia" w:ascii="仿宋" w:hAnsi="仿宋" w:eastAsia="仿宋" w:cs="仿宋"/>
          <w:b w:val="0"/>
          <w:bCs/>
          <w:color w:val="auto"/>
          <w:sz w:val="24"/>
          <w:szCs w:val="24"/>
          <w:highlight w:val="none"/>
          <w:lang w:eastAsia="zh-CN"/>
        </w:rPr>
        <w:t>约定的</w:t>
      </w:r>
      <w:r>
        <w:rPr>
          <w:rFonts w:hint="eastAsia" w:ascii="仿宋" w:hAnsi="仿宋" w:eastAsia="仿宋" w:cs="仿宋"/>
          <w:color w:val="auto"/>
          <w:sz w:val="24"/>
          <w:szCs w:val="24"/>
          <w:highlight w:val="none"/>
        </w:rPr>
        <w:t>指定现场。</w:t>
      </w:r>
    </w:p>
    <w:p w14:paraId="314D10A9">
      <w:pPr>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rPr>
        <w:t>.2 除</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另有</w:t>
      </w:r>
      <w:r>
        <w:rPr>
          <w:rFonts w:hint="eastAsia" w:ascii="仿宋" w:hAnsi="仿宋" w:eastAsia="仿宋" w:cs="仿宋"/>
          <w:bCs/>
          <w:color w:val="auto"/>
          <w:sz w:val="24"/>
          <w:szCs w:val="24"/>
          <w:highlight w:val="none"/>
          <w:lang w:eastAsia="zh-CN"/>
        </w:rPr>
        <w:t>约</w:t>
      </w:r>
      <w:r>
        <w:rPr>
          <w:rFonts w:hint="eastAsia" w:ascii="仿宋" w:hAnsi="仿宋" w:eastAsia="仿宋" w:cs="仿宋"/>
          <w:bCs/>
          <w:color w:val="auto"/>
          <w:sz w:val="24"/>
          <w:szCs w:val="24"/>
          <w:highlight w:val="none"/>
        </w:rPr>
        <w:t>定</w:t>
      </w:r>
      <w:r>
        <w:rPr>
          <w:rFonts w:hint="eastAsia" w:ascii="仿宋" w:hAnsi="仿宋" w:eastAsia="仿宋" w:cs="仿宋"/>
          <w:bCs/>
          <w:color w:val="auto"/>
          <w:sz w:val="24"/>
          <w:szCs w:val="24"/>
          <w:highlight w:val="none"/>
          <w:lang w:eastAsia="zh-CN"/>
        </w:rPr>
        <w:t>外</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乙方负责办理将货物运抵本合同规定的交货地点</w:t>
      </w:r>
      <w:r>
        <w:rPr>
          <w:rFonts w:hint="eastAsia" w:ascii="仿宋" w:hAnsi="仿宋" w:eastAsia="仿宋" w:cs="仿宋"/>
          <w:color w:val="auto"/>
          <w:sz w:val="24"/>
          <w:szCs w:val="24"/>
          <w:highlight w:val="none"/>
          <w:lang w:eastAsia="zh-CN"/>
        </w:rPr>
        <w:t>，并装卸、交付至甲方</w:t>
      </w:r>
      <w:r>
        <w:rPr>
          <w:rFonts w:hint="eastAsia" w:ascii="仿宋" w:hAnsi="仿宋" w:eastAsia="仿宋" w:cs="仿宋"/>
          <w:color w:val="auto"/>
          <w:sz w:val="24"/>
          <w:szCs w:val="24"/>
          <w:highlight w:val="none"/>
        </w:rPr>
        <w:t>的一切运输事项，相关费用应</w:t>
      </w:r>
      <w:r>
        <w:rPr>
          <w:rFonts w:hint="eastAsia" w:ascii="仿宋" w:hAnsi="仿宋" w:eastAsia="仿宋" w:cs="仿宋"/>
          <w:color w:val="auto"/>
          <w:sz w:val="24"/>
          <w:szCs w:val="24"/>
          <w:highlight w:val="none"/>
          <w:lang w:eastAsia="zh-CN"/>
        </w:rPr>
        <w:t>包含</w:t>
      </w:r>
      <w:r>
        <w:rPr>
          <w:rFonts w:hint="eastAsia" w:ascii="仿宋" w:hAnsi="仿宋" w:eastAsia="仿宋" w:cs="仿宋"/>
          <w:color w:val="auto"/>
          <w:sz w:val="24"/>
          <w:szCs w:val="24"/>
          <w:highlight w:val="none"/>
        </w:rPr>
        <w:t>在合同</w:t>
      </w:r>
      <w:r>
        <w:rPr>
          <w:rFonts w:hint="eastAsia" w:ascii="仿宋" w:hAnsi="仿宋" w:eastAsia="仿宋" w:cs="仿宋"/>
          <w:color w:val="auto"/>
          <w:sz w:val="24"/>
          <w:szCs w:val="24"/>
          <w:highlight w:val="none"/>
          <w:lang w:eastAsia="zh-CN"/>
        </w:rPr>
        <w:t>价款</w:t>
      </w:r>
      <w:r>
        <w:rPr>
          <w:rFonts w:hint="eastAsia" w:ascii="仿宋" w:hAnsi="仿宋" w:eastAsia="仿宋" w:cs="仿宋"/>
          <w:color w:val="auto"/>
          <w:sz w:val="24"/>
          <w:szCs w:val="24"/>
          <w:highlight w:val="none"/>
        </w:rPr>
        <w:t>中。</w:t>
      </w:r>
    </w:p>
    <w:p w14:paraId="085900A0">
      <w:pPr>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rPr>
        <w:t>.3 货物保险要求按</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规定执行</w:t>
      </w:r>
      <w:r>
        <w:rPr>
          <w:rFonts w:hint="eastAsia" w:ascii="仿宋" w:hAnsi="仿宋" w:eastAsia="仿宋" w:cs="仿宋"/>
          <w:color w:val="auto"/>
          <w:sz w:val="24"/>
          <w:szCs w:val="24"/>
          <w:highlight w:val="none"/>
        </w:rPr>
        <w:t>。</w:t>
      </w:r>
    </w:p>
    <w:p w14:paraId="20530830">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rPr>
        <w:t xml:space="preserve">.4 </w:t>
      </w:r>
      <w:r>
        <w:rPr>
          <w:rFonts w:hint="eastAsia" w:ascii="仿宋" w:hAnsi="仿宋" w:eastAsia="仿宋" w:cs="仿宋"/>
          <w:color w:val="auto"/>
          <w:sz w:val="24"/>
          <w:szCs w:val="24"/>
          <w:highlight w:val="none"/>
          <w:lang w:val="en-US" w:eastAsia="zh-CN"/>
        </w:rPr>
        <w:t>除采购活动</w:t>
      </w:r>
      <w:r>
        <w:rPr>
          <w:rFonts w:hint="eastAsia" w:ascii="仿宋" w:hAnsi="仿宋" w:eastAsia="仿宋" w:cs="仿宋"/>
          <w:color w:val="auto"/>
          <w:sz w:val="24"/>
          <w:szCs w:val="24"/>
          <w:highlight w:val="none"/>
        </w:rPr>
        <w:t>对商品包装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快递包装</w:t>
      </w:r>
      <w:r>
        <w:rPr>
          <w:rFonts w:hint="eastAsia" w:ascii="仿宋" w:hAnsi="仿宋" w:eastAsia="仿宋" w:cs="仿宋"/>
          <w:color w:val="auto"/>
          <w:sz w:val="24"/>
          <w:szCs w:val="24"/>
          <w:highlight w:val="none"/>
          <w:lang w:val="en-US" w:eastAsia="zh-CN"/>
        </w:rPr>
        <w:t>达成具体约定外</w:t>
      </w:r>
      <w:r>
        <w:rPr>
          <w:rFonts w:hint="eastAsia" w:ascii="仿宋" w:hAnsi="仿宋" w:eastAsia="仿宋" w:cs="仿宋"/>
          <w:color w:val="auto"/>
          <w:sz w:val="24"/>
          <w:szCs w:val="24"/>
          <w:highlight w:val="none"/>
        </w:rPr>
        <w:t>，乙方提供产品及相关快递服务</w:t>
      </w:r>
      <w:r>
        <w:rPr>
          <w:rFonts w:hint="eastAsia" w:ascii="仿宋" w:hAnsi="仿宋" w:eastAsia="仿宋" w:cs="仿宋"/>
          <w:color w:val="auto"/>
          <w:sz w:val="24"/>
          <w:szCs w:val="24"/>
          <w:highlight w:val="none"/>
          <w:lang w:val="en-US" w:eastAsia="zh-CN"/>
        </w:rPr>
        <w:t>涉及到</w:t>
      </w:r>
      <w:r>
        <w:rPr>
          <w:rFonts w:hint="eastAsia" w:ascii="仿宋" w:hAnsi="仿宋" w:eastAsia="仿宋" w:cs="仿宋"/>
          <w:color w:val="auto"/>
          <w:sz w:val="24"/>
          <w:szCs w:val="24"/>
          <w:highlight w:val="none"/>
        </w:rPr>
        <w:t>具体包装要求</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应</w:t>
      </w:r>
      <w:r>
        <w:rPr>
          <w:rFonts w:hint="eastAsia" w:ascii="仿宋" w:hAnsi="仿宋" w:eastAsia="仿宋" w:cs="仿宋"/>
          <w:color w:val="auto"/>
          <w:sz w:val="24"/>
          <w:szCs w:val="24"/>
          <w:highlight w:val="none"/>
          <w:lang w:val="en-US" w:eastAsia="zh-CN"/>
        </w:rPr>
        <w:t>不低于</w:t>
      </w:r>
      <w:r>
        <w:rPr>
          <w:rFonts w:hint="eastAsia" w:ascii="仿宋" w:hAnsi="仿宋" w:eastAsia="仿宋" w:cs="仿宋"/>
          <w:color w:val="auto"/>
          <w:sz w:val="24"/>
          <w:szCs w:val="24"/>
          <w:highlight w:val="none"/>
        </w:rPr>
        <w:t>《商品包装政府采购需求标准（试行）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快递包装政府采购需求标准（试行）》</w:t>
      </w:r>
      <w:r>
        <w:rPr>
          <w:rFonts w:hint="eastAsia" w:ascii="仿宋" w:hAnsi="仿宋" w:eastAsia="仿宋" w:cs="仿宋"/>
          <w:color w:val="auto"/>
          <w:sz w:val="24"/>
          <w:szCs w:val="24"/>
          <w:highlight w:val="none"/>
          <w:lang w:val="en-US" w:eastAsia="zh-CN"/>
        </w:rPr>
        <w:t>标准</w:t>
      </w:r>
      <w:r>
        <w:rPr>
          <w:rFonts w:hint="eastAsia" w:ascii="仿宋" w:hAnsi="仿宋" w:eastAsia="仿宋" w:cs="仿宋"/>
          <w:color w:val="auto"/>
          <w:sz w:val="24"/>
          <w:szCs w:val="24"/>
          <w:highlight w:val="none"/>
        </w:rPr>
        <w:t>，并作为履约验收的内容，必要时甲方可以要求乙方在履约验收环节出具检测报告。</w:t>
      </w:r>
    </w:p>
    <w:p w14:paraId="48D32DDF">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7.5 </w:t>
      </w:r>
      <w:r>
        <w:rPr>
          <w:rFonts w:hint="eastAsia" w:ascii="仿宋" w:hAnsi="仿宋" w:eastAsia="仿宋" w:cs="仿宋"/>
          <w:color w:val="auto"/>
          <w:sz w:val="24"/>
          <w:szCs w:val="24"/>
          <w:highlight w:val="none"/>
        </w:rPr>
        <w:t>乙方在运输到达之前</w:t>
      </w:r>
      <w:r>
        <w:rPr>
          <w:rFonts w:hint="eastAsia" w:ascii="仿宋" w:hAnsi="仿宋" w:eastAsia="仿宋" w:cs="仿宋"/>
          <w:color w:val="auto"/>
          <w:sz w:val="24"/>
          <w:szCs w:val="24"/>
          <w:highlight w:val="none"/>
          <w:lang w:eastAsia="zh-CN"/>
        </w:rPr>
        <w:t>应</w:t>
      </w:r>
      <w:r>
        <w:rPr>
          <w:rFonts w:hint="eastAsia" w:ascii="仿宋" w:hAnsi="仿宋" w:eastAsia="仿宋" w:cs="仿宋"/>
          <w:color w:val="auto"/>
          <w:sz w:val="24"/>
          <w:szCs w:val="24"/>
          <w:highlight w:val="none"/>
        </w:rPr>
        <w:t>提前通知</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，并提示货物运输装卸的注意事项</w:t>
      </w:r>
      <w:r>
        <w:rPr>
          <w:rFonts w:hint="eastAsia" w:ascii="仿宋" w:hAnsi="仿宋" w:eastAsia="仿宋" w:cs="仿宋"/>
          <w:color w:val="auto"/>
          <w:sz w:val="24"/>
          <w:szCs w:val="24"/>
          <w:highlight w:val="none"/>
          <w:lang w:eastAsia="zh-CN"/>
        </w:rPr>
        <w:t>，甲方配合乙方做好货物的接收工作。</w:t>
      </w:r>
    </w:p>
    <w:p w14:paraId="0CF9EF8B">
      <w:pPr>
        <w:pStyle w:val="205"/>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rPr>
        <w:t xml:space="preserve">7.6 </w:t>
      </w:r>
      <w:r>
        <w:rPr>
          <w:rFonts w:hint="eastAsia" w:ascii="仿宋" w:hAnsi="仿宋" w:eastAsia="仿宋" w:cs="仿宋"/>
          <w:color w:val="auto"/>
          <w:kern w:val="2"/>
          <w:sz w:val="24"/>
          <w:szCs w:val="24"/>
          <w:highlight w:val="none"/>
        </w:rPr>
        <w:t>如因包装</w:t>
      </w:r>
      <w:r>
        <w:rPr>
          <w:rFonts w:hint="eastAsia" w:ascii="仿宋" w:hAnsi="仿宋" w:eastAsia="仿宋" w:cs="仿宋"/>
          <w:color w:val="auto"/>
          <w:kern w:val="2"/>
          <w:sz w:val="24"/>
          <w:szCs w:val="24"/>
          <w:highlight w:val="none"/>
          <w:lang w:eastAsia="zh-CN"/>
        </w:rPr>
        <w:t>、运输</w:t>
      </w:r>
      <w:r>
        <w:rPr>
          <w:rFonts w:hint="eastAsia" w:ascii="仿宋" w:hAnsi="仿宋" w:eastAsia="仿宋" w:cs="仿宋"/>
          <w:color w:val="auto"/>
          <w:kern w:val="2"/>
          <w:sz w:val="24"/>
          <w:szCs w:val="24"/>
          <w:highlight w:val="none"/>
        </w:rPr>
        <w:t>问题导致货物</w:t>
      </w:r>
      <w:r>
        <w:rPr>
          <w:rFonts w:hint="eastAsia" w:ascii="仿宋" w:hAnsi="仿宋" w:eastAsia="仿宋" w:cs="仿宋"/>
          <w:color w:val="auto"/>
          <w:kern w:val="2"/>
          <w:sz w:val="24"/>
          <w:szCs w:val="24"/>
          <w:highlight w:val="none"/>
          <w:lang w:eastAsia="zh-CN"/>
        </w:rPr>
        <w:t>损毁、丢失</w:t>
      </w:r>
      <w:r>
        <w:rPr>
          <w:rFonts w:hint="eastAsia" w:ascii="仿宋" w:hAnsi="仿宋" w:eastAsia="仿宋" w:cs="仿宋"/>
          <w:color w:val="auto"/>
          <w:kern w:val="2"/>
          <w:sz w:val="24"/>
          <w:szCs w:val="24"/>
          <w:highlight w:val="none"/>
        </w:rPr>
        <w:t>或者品质下降，</w:t>
      </w:r>
      <w:r>
        <w:rPr>
          <w:rFonts w:hint="eastAsia" w:ascii="仿宋" w:hAnsi="仿宋" w:eastAsia="仿宋" w:cs="仿宋"/>
          <w:color w:val="auto"/>
          <w:kern w:val="2"/>
          <w:sz w:val="24"/>
          <w:szCs w:val="24"/>
          <w:highlight w:val="none"/>
          <w:lang w:eastAsia="zh-CN"/>
        </w:rPr>
        <w:t>甲方</w:t>
      </w:r>
      <w:r>
        <w:rPr>
          <w:rFonts w:hint="eastAsia" w:ascii="仿宋" w:hAnsi="仿宋" w:eastAsia="仿宋" w:cs="仿宋"/>
          <w:color w:val="auto"/>
          <w:kern w:val="2"/>
          <w:sz w:val="24"/>
          <w:szCs w:val="24"/>
          <w:highlight w:val="none"/>
        </w:rPr>
        <w:t>有权要求降价、换货、拒收部分或整批货物，由此</w:t>
      </w:r>
      <w:r>
        <w:rPr>
          <w:rFonts w:hint="eastAsia" w:ascii="仿宋" w:hAnsi="仿宋" w:eastAsia="仿宋" w:cs="仿宋"/>
          <w:color w:val="auto"/>
          <w:kern w:val="2"/>
          <w:sz w:val="24"/>
          <w:szCs w:val="24"/>
          <w:highlight w:val="none"/>
          <w:lang w:eastAsia="zh-CN"/>
        </w:rPr>
        <w:t>产生</w:t>
      </w:r>
      <w:r>
        <w:rPr>
          <w:rFonts w:hint="eastAsia" w:ascii="仿宋" w:hAnsi="仿宋" w:eastAsia="仿宋" w:cs="仿宋"/>
          <w:color w:val="auto"/>
          <w:kern w:val="2"/>
          <w:sz w:val="24"/>
          <w:szCs w:val="24"/>
          <w:highlight w:val="none"/>
        </w:rPr>
        <w:t>的费用和损失，均由</w:t>
      </w:r>
      <w:r>
        <w:rPr>
          <w:rFonts w:hint="eastAsia" w:ascii="仿宋" w:hAnsi="仿宋" w:eastAsia="仿宋" w:cs="仿宋"/>
          <w:color w:val="auto"/>
          <w:kern w:val="2"/>
          <w:sz w:val="24"/>
          <w:szCs w:val="24"/>
          <w:highlight w:val="none"/>
          <w:lang w:eastAsia="zh-CN"/>
        </w:rPr>
        <w:t>乙方</w:t>
      </w:r>
      <w:r>
        <w:rPr>
          <w:rFonts w:hint="eastAsia" w:ascii="仿宋" w:hAnsi="仿宋" w:eastAsia="仿宋" w:cs="仿宋"/>
          <w:color w:val="auto"/>
          <w:kern w:val="2"/>
          <w:sz w:val="24"/>
          <w:szCs w:val="24"/>
          <w:highlight w:val="none"/>
        </w:rPr>
        <w:t>承担。</w:t>
      </w:r>
    </w:p>
    <w:p w14:paraId="6602CA5F">
      <w:pPr>
        <w:adjustRightInd w:val="0"/>
        <w:snapToGrid w:val="0"/>
        <w:spacing w:before="0"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8</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质量标准和保证</w:t>
      </w:r>
    </w:p>
    <w:p w14:paraId="43DB357D">
      <w:pPr>
        <w:pStyle w:val="16"/>
        <w:adjustRightInd w:val="0"/>
        <w:snapToGrid w:val="0"/>
        <w:spacing w:before="0" w:line="360" w:lineRule="auto"/>
        <w:ind w:firstLine="480" w:firstLineChars="200"/>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eastAsia="zh-CN"/>
        </w:rPr>
        <w:t>8</w:t>
      </w:r>
      <w:r>
        <w:rPr>
          <w:rFonts w:hint="eastAsia" w:ascii="仿宋" w:hAnsi="仿宋" w:eastAsia="仿宋" w:cs="仿宋"/>
          <w:color w:val="auto"/>
          <w:sz w:val="24"/>
          <w:szCs w:val="24"/>
          <w:highlight w:val="none"/>
        </w:rPr>
        <w:t>.1 质量标准</w:t>
      </w:r>
    </w:p>
    <w:p w14:paraId="1B05DFEF">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（1）本合同下</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的货物应符合</w:t>
      </w:r>
      <w:r>
        <w:rPr>
          <w:rFonts w:hint="eastAsia" w:ascii="仿宋" w:hAnsi="仿宋" w:eastAsia="仿宋" w:cs="仿宋"/>
          <w:color w:val="auto"/>
          <w:sz w:val="24"/>
          <w:szCs w:val="24"/>
          <w:highlight w:val="none"/>
          <w:lang w:eastAsia="zh-CN"/>
        </w:rPr>
        <w:t>合同约</w:t>
      </w:r>
      <w:r>
        <w:rPr>
          <w:rFonts w:hint="eastAsia" w:ascii="仿宋" w:hAnsi="仿宋" w:eastAsia="仿宋" w:cs="仿宋"/>
          <w:color w:val="auto"/>
          <w:sz w:val="24"/>
          <w:szCs w:val="24"/>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仿宋" w:hAnsi="仿宋" w:eastAsia="仿宋" w:cs="仿宋"/>
          <w:color w:val="auto"/>
          <w:sz w:val="24"/>
          <w:szCs w:val="24"/>
          <w:highlight w:val="none"/>
          <w:lang w:eastAsia="zh-CN"/>
        </w:rPr>
        <w:t>。</w:t>
      </w:r>
    </w:p>
    <w:p w14:paraId="3CC95905">
      <w:pPr>
        <w:pStyle w:val="16"/>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（2）采用中华人民共和国法定计量单位。</w:t>
      </w:r>
    </w:p>
    <w:p w14:paraId="4757CA0B">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（3）乙方所</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的货物应符合国家有关安全、环保、卫生</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规定。</w:t>
      </w:r>
    </w:p>
    <w:p w14:paraId="5896DB73">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（4）乙方应向甲方提交所</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货物的技术文件，包括相应的中文技术文件，如：产品目录、图纸、操作手册、使用说明、维护手册或服务指南</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上述</w:t>
      </w:r>
      <w:r>
        <w:rPr>
          <w:rFonts w:hint="eastAsia" w:ascii="仿宋" w:hAnsi="仿宋" w:eastAsia="仿宋" w:cs="仿宋"/>
          <w:color w:val="auto"/>
          <w:sz w:val="24"/>
          <w:szCs w:val="24"/>
          <w:highlight w:val="none"/>
        </w:rPr>
        <w:t>文件应包装好随货物一同发运。</w:t>
      </w:r>
    </w:p>
    <w:p w14:paraId="69590483">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8</w:t>
      </w:r>
      <w:r>
        <w:rPr>
          <w:rFonts w:hint="eastAsia" w:ascii="仿宋" w:hAnsi="仿宋" w:eastAsia="仿宋" w:cs="仿宋"/>
          <w:color w:val="auto"/>
          <w:sz w:val="24"/>
          <w:szCs w:val="24"/>
          <w:highlight w:val="none"/>
        </w:rPr>
        <w:t>.2 保证</w:t>
      </w:r>
    </w:p>
    <w:p w14:paraId="269CE247">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（1）乙方应保证</w:t>
      </w:r>
      <w:r>
        <w:rPr>
          <w:rFonts w:hint="eastAsia" w:ascii="仿宋" w:hAnsi="仿宋" w:eastAsia="仿宋" w:cs="仿宋"/>
          <w:color w:val="auto"/>
          <w:sz w:val="24"/>
          <w:szCs w:val="24"/>
          <w:highlight w:val="none"/>
          <w:lang w:eastAsia="zh-CN"/>
        </w:rPr>
        <w:t>提供的货物</w:t>
      </w:r>
      <w:r>
        <w:rPr>
          <w:rFonts w:hint="eastAsia" w:ascii="仿宋" w:hAnsi="仿宋" w:eastAsia="仿宋" w:cs="仿宋"/>
          <w:color w:val="auto"/>
          <w:sz w:val="24"/>
          <w:szCs w:val="24"/>
          <w:highlight w:val="none"/>
        </w:rPr>
        <w:t>完全符合合同规定的质量、规格和性能要求。乙方应保证货物在正确安装、正常使用和保养条件下，在其使用寿命期内具</w:t>
      </w:r>
      <w:r>
        <w:rPr>
          <w:rFonts w:hint="eastAsia" w:ascii="仿宋" w:hAnsi="仿宋" w:eastAsia="仿宋" w:cs="仿宋"/>
          <w:color w:val="auto"/>
          <w:sz w:val="24"/>
          <w:szCs w:val="24"/>
          <w:highlight w:val="none"/>
          <w:lang w:eastAsia="zh-CN"/>
        </w:rPr>
        <w:t>备合同约定</w:t>
      </w:r>
      <w:r>
        <w:rPr>
          <w:rFonts w:hint="eastAsia" w:ascii="仿宋" w:hAnsi="仿宋" w:eastAsia="仿宋" w:cs="仿宋"/>
          <w:color w:val="auto"/>
          <w:sz w:val="24"/>
          <w:szCs w:val="24"/>
          <w:highlight w:val="none"/>
        </w:rPr>
        <w:t>的性能。</w:t>
      </w:r>
      <w:r>
        <w:rPr>
          <w:rFonts w:hint="eastAsia" w:ascii="仿宋" w:hAnsi="仿宋" w:eastAsia="仿宋" w:cs="仿宋"/>
          <w:color w:val="auto"/>
          <w:sz w:val="24"/>
          <w:szCs w:val="24"/>
          <w:highlight w:val="none"/>
          <w:lang w:eastAsia="zh-CN"/>
        </w:rPr>
        <w:t>存在</w:t>
      </w:r>
      <w:r>
        <w:rPr>
          <w:rFonts w:hint="eastAsia" w:ascii="仿宋" w:hAnsi="仿宋" w:eastAsia="仿宋" w:cs="仿宋"/>
          <w:color w:val="auto"/>
          <w:sz w:val="24"/>
          <w:szCs w:val="24"/>
          <w:highlight w:val="none"/>
        </w:rPr>
        <w:t>质量保证期的，货物最终交付验收</w:t>
      </w:r>
      <w:r>
        <w:rPr>
          <w:rFonts w:hint="eastAsia" w:ascii="仿宋" w:hAnsi="仿宋" w:eastAsia="仿宋" w:cs="仿宋"/>
          <w:color w:val="auto"/>
          <w:sz w:val="24"/>
          <w:szCs w:val="24"/>
          <w:highlight w:val="none"/>
          <w:lang w:eastAsia="zh-CN"/>
        </w:rPr>
        <w:t>合格</w:t>
      </w:r>
      <w:r>
        <w:rPr>
          <w:rFonts w:hint="eastAsia" w:ascii="仿宋" w:hAnsi="仿宋" w:eastAsia="仿宋" w:cs="仿宋"/>
          <w:color w:val="auto"/>
          <w:sz w:val="24"/>
          <w:szCs w:val="24"/>
          <w:highlight w:val="none"/>
        </w:rPr>
        <w:t>后</w:t>
      </w:r>
      <w:r>
        <w:rPr>
          <w:rFonts w:hint="eastAsia" w:ascii="仿宋" w:hAnsi="仿宋" w:eastAsia="仿宋" w:cs="仿宋"/>
          <w:color w:val="auto"/>
          <w:sz w:val="24"/>
          <w:szCs w:val="24"/>
          <w:highlight w:val="none"/>
          <w:lang w:eastAsia="zh-CN"/>
        </w:rPr>
        <w:t>在</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规定或乙方</w:t>
      </w:r>
      <w:r>
        <w:rPr>
          <w:rFonts w:hint="eastAsia" w:ascii="仿宋" w:hAnsi="仿宋" w:eastAsia="仿宋" w:cs="仿宋"/>
          <w:color w:val="auto"/>
          <w:sz w:val="24"/>
          <w:szCs w:val="24"/>
          <w:highlight w:val="none"/>
          <w:lang w:eastAsia="zh-CN"/>
        </w:rPr>
        <w:t>书面</w:t>
      </w:r>
      <w:r>
        <w:rPr>
          <w:rFonts w:hint="eastAsia" w:ascii="仿宋" w:hAnsi="仿宋" w:eastAsia="仿宋" w:cs="仿宋"/>
          <w:color w:val="auto"/>
          <w:sz w:val="24"/>
          <w:szCs w:val="24"/>
          <w:highlight w:val="none"/>
        </w:rPr>
        <w:t>承诺（两者以较长的为准）的质量保证期内，本保证保持有效。</w:t>
      </w:r>
    </w:p>
    <w:p w14:paraId="01C18018">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（2）在质量保证期内所发现的缺陷，甲方应尽快以书面形式通知乙方。</w:t>
      </w:r>
    </w:p>
    <w:p w14:paraId="4433FBBC">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（3）乙方收到通知后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应在</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规定的响应时间内以合理的速度免费维修或更换有缺陷的货物或部件。</w:t>
      </w:r>
    </w:p>
    <w:p w14:paraId="74C9141C">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.1条规定以书面形式</w:t>
      </w:r>
      <w:r>
        <w:rPr>
          <w:rFonts w:hint="eastAsia" w:ascii="仿宋" w:hAnsi="仿宋" w:eastAsia="仿宋" w:cs="仿宋"/>
          <w:color w:val="auto"/>
          <w:sz w:val="24"/>
          <w:szCs w:val="24"/>
          <w:highlight w:val="none"/>
          <w:lang w:eastAsia="zh-CN"/>
        </w:rPr>
        <w:t>追究</w:t>
      </w: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eastAsia="zh-CN"/>
        </w:rPr>
        <w:t>的违约责任</w:t>
      </w:r>
      <w:r>
        <w:rPr>
          <w:rFonts w:hint="eastAsia" w:ascii="仿宋" w:hAnsi="仿宋" w:eastAsia="仿宋" w:cs="仿宋"/>
          <w:color w:val="auto"/>
          <w:sz w:val="24"/>
          <w:szCs w:val="24"/>
          <w:highlight w:val="none"/>
        </w:rPr>
        <w:t>。</w:t>
      </w:r>
    </w:p>
    <w:p w14:paraId="4D6E26C8">
      <w:pPr>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（5）乙方在约定的时间内未能弥补缺陷，甲方可采取必要的补救措施，但其风险和费用将由乙方承担，甲方根据合同</w:t>
      </w:r>
      <w:r>
        <w:rPr>
          <w:rFonts w:hint="eastAsia" w:ascii="仿宋" w:hAnsi="仿宋" w:eastAsia="仿宋" w:cs="仿宋"/>
          <w:color w:val="auto"/>
          <w:sz w:val="24"/>
          <w:szCs w:val="24"/>
          <w:highlight w:val="none"/>
          <w:lang w:eastAsia="zh-CN"/>
        </w:rPr>
        <w:t>约定</w:t>
      </w:r>
      <w:r>
        <w:rPr>
          <w:rFonts w:hint="eastAsia" w:ascii="仿宋" w:hAnsi="仿宋" w:eastAsia="仿宋" w:cs="仿宋"/>
          <w:color w:val="auto"/>
          <w:sz w:val="24"/>
          <w:szCs w:val="24"/>
          <w:highlight w:val="none"/>
        </w:rPr>
        <w:t>对乙方行使的其他权利不受影响。</w:t>
      </w:r>
    </w:p>
    <w:p w14:paraId="0747654B">
      <w:pPr>
        <w:adjustRightInd w:val="0"/>
        <w:snapToGrid w:val="0"/>
        <w:spacing w:before="0"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9</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权利瑕疵担保</w:t>
      </w:r>
    </w:p>
    <w:p w14:paraId="5ABA0613">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9</w:t>
      </w:r>
      <w:r>
        <w:rPr>
          <w:rFonts w:hint="eastAsia" w:ascii="仿宋" w:hAnsi="仿宋" w:eastAsia="仿宋" w:cs="仿宋"/>
          <w:color w:val="auto"/>
          <w:sz w:val="24"/>
          <w:szCs w:val="24"/>
          <w:highlight w:val="none"/>
        </w:rPr>
        <w:t>.1 乙方保证对其出售的货物享有合法的权利。</w:t>
      </w:r>
    </w:p>
    <w:p w14:paraId="39E5BF20">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9</w:t>
      </w:r>
      <w:r>
        <w:rPr>
          <w:rFonts w:hint="eastAsia" w:ascii="仿宋" w:hAnsi="仿宋" w:eastAsia="仿宋" w:cs="仿宋"/>
          <w:color w:val="auto"/>
          <w:sz w:val="24"/>
          <w:szCs w:val="24"/>
          <w:highlight w:val="none"/>
        </w:rPr>
        <w:t>.2 乙方保证在交付的货物上不存在抵押权等担保物权。</w:t>
      </w:r>
    </w:p>
    <w:p w14:paraId="621AB86B">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9</w:t>
      </w:r>
      <w:r>
        <w:rPr>
          <w:rFonts w:hint="eastAsia" w:ascii="仿宋" w:hAnsi="仿宋" w:eastAsia="仿宋" w:cs="仿宋"/>
          <w:color w:val="auto"/>
          <w:sz w:val="24"/>
          <w:szCs w:val="24"/>
          <w:highlight w:val="none"/>
        </w:rPr>
        <w:t>.3 如甲方使用</w:t>
      </w:r>
      <w:r>
        <w:rPr>
          <w:rFonts w:hint="eastAsia" w:ascii="仿宋" w:hAnsi="仿宋" w:eastAsia="仿宋" w:cs="仿宋"/>
          <w:color w:val="auto"/>
          <w:sz w:val="24"/>
          <w:szCs w:val="24"/>
          <w:highlight w:val="none"/>
          <w:lang w:val="en-US" w:eastAsia="zh-CN"/>
        </w:rPr>
        <w:t>上述</w:t>
      </w:r>
      <w:r>
        <w:rPr>
          <w:rFonts w:hint="eastAsia" w:ascii="仿宋" w:hAnsi="仿宋" w:eastAsia="仿宋" w:cs="仿宋"/>
          <w:color w:val="auto"/>
          <w:sz w:val="24"/>
          <w:szCs w:val="24"/>
          <w:highlight w:val="none"/>
        </w:rPr>
        <w:t>货物构成</w:t>
      </w:r>
      <w:r>
        <w:rPr>
          <w:rFonts w:hint="eastAsia" w:ascii="仿宋" w:hAnsi="仿宋" w:eastAsia="仿宋" w:cs="仿宋"/>
          <w:color w:val="auto"/>
          <w:sz w:val="24"/>
          <w:szCs w:val="24"/>
          <w:highlight w:val="none"/>
          <w:lang w:val="en-US" w:eastAsia="zh-CN"/>
        </w:rPr>
        <w:t>对第三人</w:t>
      </w:r>
      <w:r>
        <w:rPr>
          <w:rFonts w:hint="eastAsia" w:ascii="仿宋" w:hAnsi="仿宋" w:eastAsia="仿宋" w:cs="仿宋"/>
          <w:color w:val="auto"/>
          <w:sz w:val="24"/>
          <w:szCs w:val="24"/>
          <w:highlight w:val="none"/>
        </w:rPr>
        <w:t>侵权的，则由乙方承担全部责任。</w:t>
      </w:r>
    </w:p>
    <w:p w14:paraId="02D033FF">
      <w:pPr>
        <w:autoSpaceDE w:val="0"/>
        <w:autoSpaceDN w:val="0"/>
        <w:adjustRightInd w:val="0"/>
        <w:snapToGrid w:val="0"/>
        <w:spacing w:before="0"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0</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知识产权保护</w:t>
      </w:r>
    </w:p>
    <w:p w14:paraId="45A22495">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rPr>
        <w:t>.1 乙方对其所销售的货物应当享有知识产权或经权利人合法授权，保证没有侵犯任何第三人的知识产权等权利。</w:t>
      </w:r>
      <w:bookmarkStart w:id="56" w:name="_Hlk163047038"/>
      <w:r>
        <w:rPr>
          <w:rFonts w:hint="eastAsia" w:ascii="仿宋" w:hAnsi="仿宋" w:eastAsia="仿宋" w:cs="仿宋"/>
          <w:color w:val="auto"/>
          <w:sz w:val="24"/>
          <w:szCs w:val="24"/>
          <w:highlight w:val="none"/>
        </w:rPr>
        <w:t>因违反前述约定对第三人构成侵权的，应当由乙方向第三人承担法律责任；甲方依法向第三人赔偿后，有权向乙方追偿。甲方有其他损失的，乙方应当赔偿</w:t>
      </w:r>
      <w:bookmarkEnd w:id="56"/>
      <w:r>
        <w:rPr>
          <w:rFonts w:hint="eastAsia" w:ascii="仿宋" w:hAnsi="仿宋" w:eastAsia="仿宋" w:cs="仿宋"/>
          <w:color w:val="auto"/>
          <w:sz w:val="24"/>
          <w:szCs w:val="24"/>
          <w:highlight w:val="none"/>
        </w:rPr>
        <w:t>。</w:t>
      </w:r>
    </w:p>
    <w:p w14:paraId="76D1B676">
      <w:pPr>
        <w:autoSpaceDE w:val="0"/>
        <w:autoSpaceDN w:val="0"/>
        <w:adjustRightInd w:val="0"/>
        <w:snapToGrid w:val="0"/>
        <w:spacing w:before="0"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1</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保密义务</w:t>
      </w:r>
    </w:p>
    <w:p w14:paraId="11037D2C">
      <w:pPr>
        <w:autoSpaceDE w:val="0"/>
        <w:autoSpaceDN w:val="0"/>
        <w:adjustRightInd w:val="0"/>
        <w:snapToGrid w:val="0"/>
        <w:spacing w:before="0" w:line="360" w:lineRule="auto"/>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11.1 </w:t>
      </w:r>
      <w:r>
        <w:rPr>
          <w:rFonts w:hint="eastAsia" w:ascii="仿宋" w:hAnsi="仿宋" w:eastAsia="仿宋" w:cs="仿宋"/>
          <w:color w:val="auto"/>
          <w:sz w:val="24"/>
          <w:szCs w:val="24"/>
          <w:highlight w:val="none"/>
        </w:rPr>
        <w:t>甲、乙双方</w:t>
      </w:r>
      <w:r>
        <w:rPr>
          <w:rFonts w:hint="eastAsia" w:ascii="仿宋" w:hAnsi="仿宋" w:eastAsia="仿宋" w:cs="仿宋"/>
          <w:color w:val="auto"/>
          <w:sz w:val="24"/>
          <w:szCs w:val="24"/>
          <w:highlight w:val="none"/>
          <w:lang w:eastAsia="zh-CN"/>
        </w:rPr>
        <w:t>对</w:t>
      </w:r>
      <w:r>
        <w:rPr>
          <w:rFonts w:hint="eastAsia" w:ascii="仿宋" w:hAnsi="仿宋" w:eastAsia="仿宋" w:cs="仿宋"/>
          <w:color w:val="auto"/>
          <w:sz w:val="24"/>
          <w:szCs w:val="24"/>
          <w:highlight w:val="none"/>
        </w:rPr>
        <w:t>采购和合同履行过程中所获悉的</w:t>
      </w:r>
      <w:r>
        <w:rPr>
          <w:rFonts w:hint="eastAsia" w:ascii="仿宋" w:hAnsi="仿宋" w:eastAsia="仿宋" w:cs="仿宋"/>
          <w:color w:val="auto"/>
          <w:sz w:val="24"/>
          <w:szCs w:val="24"/>
          <w:highlight w:val="none"/>
          <w:lang w:eastAsia="zh-CN"/>
        </w:rPr>
        <w:t>国家秘密、工作秘密、</w:t>
      </w:r>
      <w:r>
        <w:rPr>
          <w:rFonts w:hint="eastAsia" w:ascii="仿宋" w:hAnsi="仿宋" w:eastAsia="仿宋" w:cs="仿宋"/>
          <w:color w:val="auto"/>
          <w:sz w:val="24"/>
          <w:szCs w:val="24"/>
          <w:highlight w:val="none"/>
        </w:rPr>
        <w:t>商业秘密或者其他应当保密的信息，均有保密义务</w:t>
      </w:r>
      <w:r>
        <w:rPr>
          <w:rFonts w:hint="eastAsia" w:ascii="仿宋" w:hAnsi="仿宋" w:eastAsia="仿宋" w:cs="仿宋"/>
          <w:color w:val="auto"/>
          <w:sz w:val="24"/>
          <w:szCs w:val="24"/>
          <w:highlight w:val="none"/>
          <w:lang w:eastAsia="zh-CN"/>
        </w:rPr>
        <w:t>且不受合同有效期所限，直至该信息成为公开信息</w:t>
      </w:r>
      <w:r>
        <w:rPr>
          <w:rFonts w:hint="eastAsia" w:ascii="仿宋" w:hAnsi="仿宋" w:eastAsia="仿宋" w:cs="仿宋"/>
          <w:color w:val="auto"/>
          <w:sz w:val="24"/>
          <w:szCs w:val="24"/>
          <w:highlight w:val="none"/>
        </w:rPr>
        <w:t>。泄露、不正当地使用</w:t>
      </w:r>
      <w:r>
        <w:rPr>
          <w:rFonts w:hint="eastAsia" w:ascii="仿宋" w:hAnsi="仿宋" w:eastAsia="仿宋" w:cs="仿宋"/>
          <w:color w:val="auto"/>
          <w:sz w:val="24"/>
          <w:szCs w:val="24"/>
          <w:highlight w:val="none"/>
          <w:lang w:eastAsia="zh-CN"/>
        </w:rPr>
        <w:t>国家秘密、工作秘密、</w:t>
      </w:r>
      <w:r>
        <w:rPr>
          <w:rFonts w:hint="eastAsia" w:ascii="仿宋" w:hAnsi="仿宋" w:eastAsia="仿宋" w:cs="仿宋"/>
          <w:color w:val="auto"/>
          <w:sz w:val="24"/>
          <w:szCs w:val="24"/>
          <w:highlight w:val="none"/>
        </w:rPr>
        <w:t>商业秘密或者</w:t>
      </w:r>
      <w:r>
        <w:rPr>
          <w:rFonts w:hint="eastAsia" w:ascii="仿宋" w:hAnsi="仿宋" w:eastAsia="仿宋" w:cs="仿宋"/>
          <w:color w:val="auto"/>
          <w:sz w:val="24"/>
          <w:szCs w:val="24"/>
          <w:highlight w:val="none"/>
          <w:lang w:eastAsia="zh-CN"/>
        </w:rPr>
        <w:t>其他应当保密的</w:t>
      </w:r>
      <w:r>
        <w:rPr>
          <w:rFonts w:hint="eastAsia" w:ascii="仿宋" w:hAnsi="仿宋" w:eastAsia="仿宋" w:cs="仿宋"/>
          <w:color w:val="auto"/>
          <w:sz w:val="24"/>
          <w:szCs w:val="24"/>
          <w:highlight w:val="none"/>
        </w:rPr>
        <w:t>信息，应当承担</w:t>
      </w:r>
      <w:r>
        <w:rPr>
          <w:rFonts w:hint="eastAsia" w:ascii="仿宋" w:hAnsi="仿宋" w:eastAsia="仿宋" w:cs="仿宋"/>
          <w:color w:val="auto"/>
          <w:sz w:val="24"/>
          <w:szCs w:val="24"/>
          <w:highlight w:val="none"/>
          <w:lang w:eastAsia="zh-CN"/>
        </w:rPr>
        <w:t>相应</w:t>
      </w:r>
      <w:r>
        <w:rPr>
          <w:rFonts w:hint="eastAsia" w:ascii="仿宋" w:hAnsi="仿宋" w:eastAsia="仿宋" w:cs="仿宋"/>
          <w:color w:val="auto"/>
          <w:sz w:val="24"/>
          <w:szCs w:val="24"/>
          <w:highlight w:val="none"/>
        </w:rPr>
        <w:t>责任。其他应当保密的信息由双方在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中约定。</w:t>
      </w:r>
    </w:p>
    <w:p w14:paraId="36FEB8F5">
      <w:pPr>
        <w:autoSpaceDE w:val="0"/>
        <w:autoSpaceDN w:val="0"/>
        <w:adjustRightInd w:val="0"/>
        <w:snapToGrid w:val="0"/>
        <w:spacing w:before="0" w:line="360" w:lineRule="auto"/>
        <w:jc w:val="left"/>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2</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合同价款支付</w:t>
      </w:r>
    </w:p>
    <w:p w14:paraId="105C97DB">
      <w:pPr>
        <w:autoSpaceDE/>
        <w:autoSpaceDN/>
        <w:adjustRightInd w:val="0"/>
        <w:snapToGrid w:val="0"/>
        <w:spacing w:before="0" w:line="360" w:lineRule="auto"/>
        <w:ind w:firstLine="480" w:firstLineChars="200"/>
        <w:jc w:val="lef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eastAsia="zh-CN"/>
        </w:rPr>
        <w:t>合同价款支付</w:t>
      </w:r>
      <w:r>
        <w:rPr>
          <w:rFonts w:hint="eastAsia" w:ascii="仿宋" w:hAnsi="仿宋" w:eastAsia="仿宋" w:cs="仿宋"/>
          <w:color w:val="auto"/>
          <w:sz w:val="24"/>
          <w:szCs w:val="24"/>
          <w:highlight w:val="none"/>
        </w:rPr>
        <w:t>按照国库集中支付</w:t>
      </w:r>
      <w:r>
        <w:rPr>
          <w:rFonts w:hint="eastAsia" w:ascii="仿宋" w:hAnsi="仿宋" w:eastAsia="仿宋" w:cs="仿宋"/>
          <w:color w:val="auto"/>
          <w:sz w:val="24"/>
          <w:szCs w:val="24"/>
          <w:highlight w:val="none"/>
          <w:lang w:eastAsia="zh-CN"/>
        </w:rPr>
        <w:t>制度及财政管理相关</w:t>
      </w:r>
      <w:r>
        <w:rPr>
          <w:rFonts w:hint="eastAsia" w:ascii="仿宋" w:hAnsi="仿宋" w:eastAsia="仿宋" w:cs="仿宋"/>
          <w:color w:val="auto"/>
          <w:sz w:val="24"/>
          <w:szCs w:val="24"/>
          <w:highlight w:val="none"/>
        </w:rPr>
        <w:t>规定执行。</w:t>
      </w:r>
    </w:p>
    <w:p w14:paraId="33FC6676">
      <w:pPr>
        <w:spacing w:line="360" w:lineRule="auto"/>
        <w:ind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 xml:space="preserve">12.2 </w:t>
      </w:r>
      <w:r>
        <w:rPr>
          <w:rFonts w:hint="eastAsia" w:ascii="仿宋" w:hAnsi="仿宋" w:eastAsia="仿宋" w:cs="仿宋"/>
          <w:b w:val="0"/>
          <w:bCs w:val="0"/>
          <w:color w:val="auto"/>
          <w:kern w:val="2"/>
          <w:sz w:val="24"/>
          <w:szCs w:val="24"/>
          <w:highlight w:val="none"/>
        </w:rPr>
        <w:t>对于满足合同约定支付条件的，</w:t>
      </w:r>
      <w:r>
        <w:rPr>
          <w:rFonts w:hint="eastAsia" w:ascii="仿宋" w:hAnsi="仿宋" w:eastAsia="仿宋" w:cs="仿宋"/>
          <w:b w:val="0"/>
          <w:bCs w:val="0"/>
          <w:color w:val="auto"/>
          <w:kern w:val="2"/>
          <w:sz w:val="24"/>
          <w:szCs w:val="24"/>
          <w:highlight w:val="none"/>
          <w:lang w:val="en-US" w:eastAsia="zh-CN"/>
        </w:rPr>
        <w:t>甲方</w:t>
      </w:r>
      <w:r>
        <w:rPr>
          <w:rFonts w:hint="eastAsia" w:ascii="仿宋" w:hAnsi="仿宋" w:eastAsia="仿宋" w:cs="仿宋"/>
          <w:b w:val="0"/>
          <w:bCs w:val="0"/>
          <w:i w:val="0"/>
          <w:iCs w:val="0"/>
          <w:caps w:val="0"/>
          <w:color w:val="auto"/>
          <w:spacing w:val="0"/>
          <w:sz w:val="24"/>
          <w:szCs w:val="24"/>
          <w:highlight w:val="none"/>
          <w:shd w:val="clear"/>
          <w:vertAlign w:val="baseline"/>
        </w:rPr>
        <w:t>原则上应当自收到发票后10个工作日内</w:t>
      </w:r>
      <w:r>
        <w:rPr>
          <w:rFonts w:hint="eastAsia" w:ascii="仿宋" w:hAnsi="仿宋" w:eastAsia="仿宋" w:cs="仿宋"/>
          <w:b w:val="0"/>
          <w:bCs w:val="0"/>
          <w:color w:val="auto"/>
          <w:kern w:val="2"/>
          <w:sz w:val="24"/>
          <w:szCs w:val="24"/>
          <w:highlight w:val="none"/>
        </w:rPr>
        <w:t>将资金支付到合同约定的</w:t>
      </w:r>
      <w:r>
        <w:rPr>
          <w:rFonts w:hint="eastAsia" w:ascii="仿宋" w:hAnsi="仿宋" w:eastAsia="仿宋" w:cs="仿宋"/>
          <w:b w:val="0"/>
          <w:bCs w:val="0"/>
          <w:color w:val="auto"/>
          <w:kern w:val="2"/>
          <w:sz w:val="24"/>
          <w:szCs w:val="24"/>
          <w:highlight w:val="none"/>
          <w:lang w:eastAsia="zh-CN"/>
        </w:rPr>
        <w:t>乙方</w:t>
      </w:r>
      <w:r>
        <w:rPr>
          <w:rFonts w:hint="eastAsia" w:ascii="仿宋" w:hAnsi="仿宋" w:eastAsia="仿宋" w:cs="仿宋"/>
          <w:b w:val="0"/>
          <w:bCs w:val="0"/>
          <w:color w:val="auto"/>
          <w:kern w:val="2"/>
          <w:sz w:val="24"/>
          <w:szCs w:val="24"/>
          <w:highlight w:val="none"/>
        </w:rPr>
        <w:t>账户，不得以机构变动、人员更替、政策调整等为由迟延付款，不得将采购文件和合同中未规定的义务作为向</w:t>
      </w:r>
      <w:r>
        <w:rPr>
          <w:rFonts w:hint="eastAsia" w:ascii="仿宋" w:hAnsi="仿宋" w:eastAsia="仿宋" w:cs="仿宋"/>
          <w:b w:val="0"/>
          <w:bCs w:val="0"/>
          <w:color w:val="auto"/>
          <w:kern w:val="2"/>
          <w:sz w:val="24"/>
          <w:szCs w:val="24"/>
          <w:highlight w:val="none"/>
          <w:lang w:val="en-US" w:eastAsia="zh-CN"/>
        </w:rPr>
        <w:t>乙方</w:t>
      </w:r>
      <w:r>
        <w:rPr>
          <w:rFonts w:hint="eastAsia" w:ascii="仿宋" w:hAnsi="仿宋" w:eastAsia="仿宋" w:cs="仿宋"/>
          <w:b w:val="0"/>
          <w:bCs w:val="0"/>
          <w:color w:val="auto"/>
          <w:kern w:val="2"/>
          <w:sz w:val="24"/>
          <w:szCs w:val="24"/>
          <w:highlight w:val="none"/>
        </w:rPr>
        <w:t>付款的条件。具体合同价款支付时间在【</w:t>
      </w:r>
      <w:r>
        <w:rPr>
          <w:rFonts w:hint="eastAsia" w:ascii="仿宋" w:hAnsi="仿宋" w:eastAsia="仿宋" w:cs="仿宋"/>
          <w:b/>
          <w:bCs/>
          <w:color w:val="auto"/>
          <w:kern w:val="2"/>
          <w:sz w:val="24"/>
          <w:szCs w:val="24"/>
          <w:highlight w:val="none"/>
        </w:rPr>
        <w:t>政府采购合同专用条款</w:t>
      </w:r>
      <w:r>
        <w:rPr>
          <w:rFonts w:hint="eastAsia" w:ascii="仿宋" w:hAnsi="仿宋" w:eastAsia="仿宋" w:cs="仿宋"/>
          <w:b w:val="0"/>
          <w:bCs w:val="0"/>
          <w:color w:val="auto"/>
          <w:kern w:val="2"/>
          <w:sz w:val="24"/>
          <w:szCs w:val="24"/>
          <w:highlight w:val="none"/>
        </w:rPr>
        <w:t>】中</w:t>
      </w:r>
      <w:r>
        <w:rPr>
          <w:rFonts w:hint="eastAsia" w:ascii="仿宋" w:hAnsi="仿宋" w:eastAsia="仿宋" w:cs="仿宋"/>
          <w:b w:val="0"/>
          <w:bCs w:val="0"/>
          <w:color w:val="auto"/>
          <w:kern w:val="2"/>
          <w:sz w:val="24"/>
          <w:szCs w:val="24"/>
          <w:highlight w:val="none"/>
          <w:lang w:eastAsia="zh-CN"/>
        </w:rPr>
        <w:t>约</w:t>
      </w:r>
      <w:r>
        <w:rPr>
          <w:rFonts w:hint="eastAsia" w:ascii="仿宋" w:hAnsi="仿宋" w:eastAsia="仿宋" w:cs="仿宋"/>
          <w:b w:val="0"/>
          <w:bCs w:val="0"/>
          <w:color w:val="auto"/>
          <w:kern w:val="2"/>
          <w:sz w:val="24"/>
          <w:szCs w:val="24"/>
          <w:highlight w:val="none"/>
        </w:rPr>
        <w:t>定。</w:t>
      </w:r>
    </w:p>
    <w:p w14:paraId="7EF543E3">
      <w:pPr>
        <w:pStyle w:val="11"/>
        <w:spacing w:after="0"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3</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履约保证金</w:t>
      </w:r>
    </w:p>
    <w:p w14:paraId="1317C1FA">
      <w:pPr>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.1 乙方应当以支票、汇票、本票或者金融机构、担保机构出具的保函等非现金形式提交。</w:t>
      </w:r>
    </w:p>
    <w:p w14:paraId="1FCD17D5">
      <w:pPr>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.2 如果乙方</w:t>
      </w:r>
      <w:r>
        <w:rPr>
          <w:rFonts w:hint="eastAsia" w:ascii="仿宋" w:hAnsi="仿宋" w:eastAsia="仿宋" w:cs="仿宋"/>
          <w:color w:val="auto"/>
          <w:sz w:val="24"/>
          <w:szCs w:val="24"/>
          <w:highlight w:val="none"/>
          <w:lang w:eastAsia="zh-CN"/>
        </w:rPr>
        <w:t>出现</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b w:val="0"/>
          <w:bCs w:val="0"/>
          <w:color w:val="auto"/>
          <w:sz w:val="24"/>
          <w:szCs w:val="24"/>
          <w:highlight w:val="none"/>
          <w:lang w:eastAsia="zh-CN"/>
        </w:rPr>
        <w:t>约定情形的</w:t>
      </w:r>
      <w:r>
        <w:rPr>
          <w:rFonts w:hint="eastAsia" w:ascii="仿宋" w:hAnsi="仿宋" w:eastAsia="仿宋" w:cs="仿宋"/>
          <w:color w:val="auto"/>
          <w:sz w:val="24"/>
          <w:szCs w:val="24"/>
          <w:highlight w:val="none"/>
        </w:rPr>
        <w:t>，履约保证金不予退还；如果乙方未能按合同约定全面履行义务，甲方有权从履约保证金中取得补偿或赔偿，</w:t>
      </w:r>
      <w:r>
        <w:rPr>
          <w:rFonts w:hint="eastAsia" w:ascii="仿宋" w:hAnsi="仿宋" w:eastAsia="仿宋" w:cs="仿宋"/>
          <w:color w:val="auto"/>
          <w:sz w:val="24"/>
          <w:szCs w:val="24"/>
          <w:highlight w:val="none"/>
          <w:lang w:eastAsia="zh-CN"/>
        </w:rPr>
        <w:t>且</w:t>
      </w:r>
      <w:r>
        <w:rPr>
          <w:rFonts w:hint="eastAsia" w:ascii="仿宋" w:hAnsi="仿宋" w:eastAsia="仿宋" w:cs="仿宋"/>
          <w:color w:val="auto"/>
          <w:sz w:val="24"/>
          <w:szCs w:val="24"/>
          <w:highlight w:val="none"/>
        </w:rPr>
        <w:t>不影响甲方要求乙方承担合同约定的超过履约保证金的违约责任的权利。</w:t>
      </w:r>
    </w:p>
    <w:p w14:paraId="37E041E1">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.3 甲方在项目通过验收后按照</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规定的时间内将履约保证金退还乙方；逾期退还的，乙方可要求甲方支付违约金，违约金按照</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规定支付。</w:t>
      </w:r>
    </w:p>
    <w:p w14:paraId="44D61DC3">
      <w:pPr>
        <w:autoSpaceDE w:val="0"/>
        <w:autoSpaceDN w:val="0"/>
        <w:adjustRightInd w:val="0"/>
        <w:snapToGrid w:val="0"/>
        <w:spacing w:before="0" w:line="360" w:lineRule="auto"/>
        <w:jc w:val="left"/>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4</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color w:val="auto"/>
          <w:sz w:val="24"/>
          <w:szCs w:val="24"/>
          <w:highlight w:val="none"/>
        </w:rPr>
        <w:t>售后服务</w:t>
      </w:r>
    </w:p>
    <w:p w14:paraId="46D6F0A4">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.1 除项目不涉及或采购活动中明确约定无须承担外，乙方还应提供下列服务：</w:t>
      </w:r>
    </w:p>
    <w:p w14:paraId="1996AD16">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（1）货物的现场移动、安装、调试、启动监督及技术支持；</w:t>
      </w:r>
    </w:p>
    <w:p w14:paraId="2E0BD8A7">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（2）提供货物组装和维修所需的专用工具和辅助材料；</w:t>
      </w:r>
    </w:p>
    <w:p w14:paraId="3D1B8F66">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lang w:eastAsia="zh-CN"/>
        </w:rPr>
        <w:t>约定</w:t>
      </w:r>
      <w:r>
        <w:rPr>
          <w:rFonts w:hint="eastAsia" w:ascii="仿宋" w:hAnsi="仿宋" w:eastAsia="仿宋" w:cs="仿宋"/>
          <w:color w:val="auto"/>
          <w:sz w:val="24"/>
          <w:szCs w:val="24"/>
          <w:highlight w:val="none"/>
        </w:rPr>
        <w:t>的期限内对所有的货物实施运行监督、维修，但前提条件是该服务并不能免除乙方在质量保证期内所承担的义务；</w:t>
      </w:r>
    </w:p>
    <w:p w14:paraId="16808BC5">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（4）在制造商</w:t>
      </w:r>
      <w:r>
        <w:rPr>
          <w:rFonts w:hint="eastAsia" w:ascii="仿宋" w:hAnsi="仿宋" w:eastAsia="仿宋" w:cs="仿宋"/>
          <w:color w:val="auto"/>
          <w:sz w:val="24"/>
          <w:szCs w:val="24"/>
          <w:highlight w:val="none"/>
          <w:lang w:eastAsia="zh-CN"/>
        </w:rPr>
        <w:t>所在地</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eastAsia="zh-CN"/>
        </w:rPr>
        <w:t>指定</w:t>
      </w:r>
      <w:r>
        <w:rPr>
          <w:rFonts w:hint="eastAsia" w:ascii="仿宋" w:hAnsi="仿宋" w:eastAsia="仿宋" w:cs="仿宋"/>
          <w:color w:val="auto"/>
          <w:sz w:val="24"/>
          <w:szCs w:val="24"/>
          <w:highlight w:val="none"/>
        </w:rPr>
        <w:t>现场就货物的安装、启动、运营、维护</w:t>
      </w:r>
      <w:r>
        <w:rPr>
          <w:rFonts w:hint="eastAsia" w:ascii="仿宋" w:hAnsi="仿宋" w:eastAsia="仿宋" w:cs="仿宋"/>
          <w:color w:val="auto"/>
          <w:sz w:val="24"/>
          <w:szCs w:val="24"/>
          <w:highlight w:val="none"/>
          <w:lang w:eastAsia="zh-CN"/>
        </w:rPr>
        <w:t>、废弃处置等</w:t>
      </w:r>
      <w:r>
        <w:rPr>
          <w:rFonts w:hint="eastAsia" w:ascii="仿宋" w:hAnsi="仿宋" w:eastAsia="仿宋" w:cs="仿宋"/>
          <w:color w:val="auto"/>
          <w:sz w:val="24"/>
          <w:szCs w:val="24"/>
          <w:highlight w:val="none"/>
        </w:rPr>
        <w:t>对甲方操作人员进行培训</w:t>
      </w:r>
      <w:r>
        <w:rPr>
          <w:rFonts w:hint="eastAsia" w:ascii="仿宋" w:hAnsi="仿宋" w:eastAsia="仿宋" w:cs="仿宋"/>
          <w:color w:val="auto"/>
          <w:sz w:val="24"/>
          <w:szCs w:val="24"/>
          <w:highlight w:val="none"/>
          <w:lang w:eastAsia="zh-CN"/>
        </w:rPr>
        <w:t>；</w:t>
      </w:r>
    </w:p>
    <w:p w14:paraId="7A311604">
      <w:pPr>
        <w:pStyle w:val="205"/>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（5）依照法律、行政法规的规定或者按照</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约定，货物在有效使用年限届满后应予回收的，乙方负有自行或者委托第三人对货物予以回收的义务；</w:t>
      </w:r>
    </w:p>
    <w:p w14:paraId="2E516CE2">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规定由乙方提供的其他服务。</w:t>
      </w:r>
    </w:p>
    <w:p w14:paraId="0F6336C3">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.2 乙方提供的</w:t>
      </w:r>
      <w:r>
        <w:rPr>
          <w:rFonts w:hint="eastAsia" w:ascii="仿宋" w:hAnsi="仿宋" w:eastAsia="仿宋" w:cs="仿宋"/>
          <w:color w:val="auto"/>
          <w:sz w:val="24"/>
          <w:szCs w:val="24"/>
          <w:highlight w:val="none"/>
          <w:lang w:eastAsia="zh-CN"/>
        </w:rPr>
        <w:t>售后</w:t>
      </w:r>
      <w:r>
        <w:rPr>
          <w:rFonts w:hint="eastAsia" w:ascii="仿宋" w:hAnsi="仿宋" w:eastAsia="仿宋" w:cs="仿宋"/>
          <w:color w:val="auto"/>
          <w:sz w:val="24"/>
          <w:szCs w:val="24"/>
          <w:highlight w:val="none"/>
        </w:rPr>
        <w:t>服务的费用</w:t>
      </w:r>
      <w:r>
        <w:rPr>
          <w:rFonts w:hint="eastAsia" w:ascii="仿宋" w:hAnsi="仿宋" w:eastAsia="仿宋" w:cs="仿宋"/>
          <w:color w:val="auto"/>
          <w:sz w:val="24"/>
          <w:szCs w:val="24"/>
          <w:highlight w:val="none"/>
          <w:lang w:val="en-US" w:eastAsia="zh-CN"/>
        </w:rPr>
        <w:t>已</w:t>
      </w:r>
      <w:r>
        <w:rPr>
          <w:rFonts w:hint="eastAsia" w:ascii="仿宋" w:hAnsi="仿宋" w:eastAsia="仿宋" w:cs="仿宋"/>
          <w:color w:val="auto"/>
          <w:sz w:val="24"/>
          <w:szCs w:val="24"/>
          <w:highlight w:val="none"/>
        </w:rPr>
        <w:t>包含在合同价款中，甲方不再另行支付。</w:t>
      </w:r>
    </w:p>
    <w:p w14:paraId="6A0A2A8B">
      <w:pPr>
        <w:adjustRightInd w:val="0"/>
        <w:snapToGrid w:val="0"/>
        <w:spacing w:before="0"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5</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违约责任</w:t>
      </w:r>
    </w:p>
    <w:p w14:paraId="2DB553EB">
      <w:pPr>
        <w:adjustRightInd w:val="0"/>
        <w:snapToGrid w:val="0"/>
        <w:spacing w:before="0"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5</w:t>
      </w:r>
      <w:r>
        <w:rPr>
          <w:rFonts w:hint="eastAsia" w:ascii="仿宋" w:hAnsi="仿宋" w:eastAsia="仿宋" w:cs="仿宋"/>
          <w:bCs/>
          <w:color w:val="auto"/>
          <w:sz w:val="24"/>
          <w:szCs w:val="24"/>
          <w:highlight w:val="none"/>
        </w:rPr>
        <w:t>.1质量瑕疵的</w:t>
      </w:r>
      <w:r>
        <w:rPr>
          <w:rFonts w:hint="eastAsia" w:ascii="仿宋" w:hAnsi="仿宋" w:eastAsia="仿宋" w:cs="仿宋"/>
          <w:bCs/>
          <w:color w:val="auto"/>
          <w:sz w:val="24"/>
          <w:szCs w:val="24"/>
          <w:highlight w:val="none"/>
          <w:lang w:eastAsia="zh-CN"/>
        </w:rPr>
        <w:t>违约责任</w:t>
      </w:r>
    </w:p>
    <w:p w14:paraId="0B180C6E">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的产品不符合</w:t>
      </w:r>
      <w:r>
        <w:rPr>
          <w:rFonts w:hint="eastAsia" w:ascii="仿宋" w:hAnsi="仿宋" w:eastAsia="仿宋" w:cs="仿宋"/>
          <w:color w:val="auto"/>
          <w:sz w:val="24"/>
          <w:szCs w:val="24"/>
          <w:highlight w:val="none"/>
          <w:lang w:eastAsia="zh-CN"/>
        </w:rPr>
        <w:t>合同约定的</w:t>
      </w:r>
      <w:r>
        <w:rPr>
          <w:rFonts w:hint="eastAsia" w:ascii="仿宋" w:hAnsi="仿宋" w:eastAsia="仿宋" w:cs="仿宋"/>
          <w:color w:val="auto"/>
          <w:sz w:val="24"/>
          <w:szCs w:val="24"/>
          <w:highlight w:val="none"/>
        </w:rPr>
        <w:t>质量标准或存在产品质量缺陷，</w:t>
      </w:r>
      <w:r>
        <w:rPr>
          <w:rFonts w:hint="eastAsia" w:ascii="仿宋" w:hAnsi="仿宋" w:eastAsia="仿宋" w:cs="仿宋"/>
          <w:color w:val="auto"/>
          <w:sz w:val="24"/>
          <w:szCs w:val="24"/>
          <w:highlight w:val="none"/>
          <w:lang w:eastAsia="zh-CN"/>
        </w:rPr>
        <w:t>甲方有权要求乙方根据</w:t>
      </w:r>
      <w:r>
        <w:rPr>
          <w:rFonts w:hint="eastAsia" w:ascii="仿宋" w:hAnsi="仿宋" w:eastAsia="仿宋" w:cs="仿宋"/>
          <w:b/>
          <w:color w:val="auto"/>
          <w:sz w:val="24"/>
          <w:szCs w:val="24"/>
          <w:highlight w:val="none"/>
        </w:rPr>
        <w:t>【政府采购合同专用条款】</w:t>
      </w:r>
      <w:r>
        <w:rPr>
          <w:rFonts w:hint="eastAsia" w:ascii="仿宋" w:hAnsi="仿宋" w:eastAsia="仿宋" w:cs="仿宋"/>
          <w:b w:val="0"/>
          <w:bCs/>
          <w:color w:val="auto"/>
          <w:sz w:val="24"/>
          <w:szCs w:val="24"/>
          <w:highlight w:val="none"/>
          <w:lang w:eastAsia="zh-CN"/>
        </w:rPr>
        <w:t>要求</w:t>
      </w:r>
      <w:r>
        <w:rPr>
          <w:rFonts w:hint="eastAsia" w:ascii="仿宋" w:hAnsi="仿宋" w:eastAsia="仿宋" w:cs="仿宋"/>
          <w:color w:val="auto"/>
          <w:sz w:val="24"/>
          <w:szCs w:val="24"/>
          <w:highlight w:val="none"/>
          <w:lang w:eastAsia="zh-CN"/>
        </w:rPr>
        <w:t>及时修理、重作、更换，并承担由此给甲</w:t>
      </w:r>
      <w:r>
        <w:rPr>
          <w:rFonts w:hint="eastAsia" w:ascii="仿宋" w:hAnsi="仿宋" w:eastAsia="仿宋" w:cs="仿宋"/>
          <w:color w:val="auto"/>
          <w:sz w:val="24"/>
          <w:szCs w:val="24"/>
          <w:highlight w:val="none"/>
        </w:rPr>
        <w:t>方</w:t>
      </w:r>
      <w:r>
        <w:rPr>
          <w:rFonts w:hint="eastAsia" w:ascii="仿宋" w:hAnsi="仿宋" w:eastAsia="仿宋" w:cs="仿宋"/>
          <w:color w:val="auto"/>
          <w:sz w:val="24"/>
          <w:szCs w:val="24"/>
          <w:highlight w:val="none"/>
          <w:lang w:eastAsia="zh-CN"/>
        </w:rPr>
        <w:t>造成的损失</w:t>
      </w:r>
      <w:r>
        <w:rPr>
          <w:rFonts w:hint="eastAsia" w:ascii="仿宋" w:hAnsi="仿宋" w:eastAsia="仿宋" w:cs="仿宋"/>
          <w:color w:val="auto"/>
          <w:sz w:val="24"/>
          <w:szCs w:val="24"/>
          <w:highlight w:val="none"/>
        </w:rPr>
        <w:t>。</w:t>
      </w:r>
    </w:p>
    <w:p w14:paraId="07A1E89B">
      <w:pPr>
        <w:autoSpaceDE w:val="0"/>
        <w:autoSpaceDN w:val="0"/>
        <w:adjustRightInd w:val="0"/>
        <w:snapToGrid w:val="0"/>
        <w:spacing w:before="0"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5</w:t>
      </w:r>
      <w:r>
        <w:rPr>
          <w:rFonts w:hint="eastAsia" w:ascii="仿宋" w:hAnsi="仿宋" w:eastAsia="仿宋" w:cs="仿宋"/>
          <w:bCs/>
          <w:color w:val="auto"/>
          <w:sz w:val="24"/>
          <w:szCs w:val="24"/>
          <w:highlight w:val="none"/>
        </w:rPr>
        <w:t>.2 迟延交货的违约责任</w:t>
      </w:r>
    </w:p>
    <w:p w14:paraId="1BCC6DF3">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（1）乙方应按照本合同规定的时间、地点交货和提供</w:t>
      </w:r>
      <w:r>
        <w:rPr>
          <w:rFonts w:hint="eastAsia" w:ascii="仿宋" w:hAnsi="仿宋" w:eastAsia="仿宋" w:cs="仿宋"/>
          <w:color w:val="auto"/>
          <w:sz w:val="24"/>
          <w:szCs w:val="24"/>
          <w:highlight w:val="none"/>
          <w:lang w:eastAsia="zh-CN"/>
        </w:rPr>
        <w:t>相关</w:t>
      </w:r>
      <w:r>
        <w:rPr>
          <w:rFonts w:hint="eastAsia" w:ascii="仿宋" w:hAnsi="仿宋" w:eastAsia="仿宋" w:cs="仿宋"/>
          <w:color w:val="auto"/>
          <w:sz w:val="24"/>
          <w:szCs w:val="24"/>
          <w:highlight w:val="none"/>
        </w:rPr>
        <w:t>服务。在履行合同过程中，如果乙方遇到可能</w:t>
      </w:r>
      <w:r>
        <w:rPr>
          <w:rFonts w:hint="eastAsia" w:ascii="仿宋" w:hAnsi="仿宋" w:eastAsia="仿宋" w:cs="仿宋"/>
          <w:color w:val="auto"/>
          <w:sz w:val="24"/>
          <w:szCs w:val="24"/>
          <w:highlight w:val="none"/>
          <w:lang w:eastAsia="zh-CN"/>
        </w:rPr>
        <w:t>影响</w:t>
      </w:r>
      <w:r>
        <w:rPr>
          <w:rFonts w:hint="eastAsia" w:ascii="仿宋" w:hAnsi="仿宋" w:eastAsia="仿宋" w:cs="仿宋"/>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仿宋" w:hAnsi="仿宋" w:eastAsia="仿宋" w:cs="仿宋"/>
          <w:color w:val="auto"/>
          <w:sz w:val="24"/>
          <w:szCs w:val="24"/>
          <w:highlight w:val="none"/>
          <w:lang w:eastAsia="zh-CN"/>
        </w:rPr>
        <w:t>长</w:t>
      </w:r>
      <w:r>
        <w:rPr>
          <w:rFonts w:hint="eastAsia" w:ascii="仿宋" w:hAnsi="仿宋" w:eastAsia="仿宋" w:cs="仿宋"/>
          <w:color w:val="auto"/>
          <w:sz w:val="24"/>
          <w:szCs w:val="24"/>
          <w:highlight w:val="none"/>
        </w:rPr>
        <w:t>交货时间或延期提供服务。</w:t>
      </w:r>
    </w:p>
    <w:p w14:paraId="5F3A640B">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（2）如果乙方没有按照合同规定的时间交货和提供</w:t>
      </w:r>
      <w:r>
        <w:rPr>
          <w:rFonts w:hint="eastAsia" w:ascii="仿宋" w:hAnsi="仿宋" w:eastAsia="仿宋" w:cs="仿宋"/>
          <w:color w:val="auto"/>
          <w:sz w:val="24"/>
          <w:szCs w:val="24"/>
          <w:highlight w:val="none"/>
          <w:lang w:eastAsia="zh-CN"/>
        </w:rPr>
        <w:t>相关</w:t>
      </w:r>
      <w:r>
        <w:rPr>
          <w:rFonts w:hint="eastAsia" w:ascii="仿宋" w:hAnsi="仿宋" w:eastAsia="仿宋" w:cs="仿宋"/>
          <w:color w:val="auto"/>
          <w:sz w:val="24"/>
          <w:szCs w:val="24"/>
          <w:highlight w:val="none"/>
        </w:rPr>
        <w:t>服务，甲方有权从货款中扣除误期赔偿费而不影响合同项下的其他补救方法，赔偿费按</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规定执行。如果涉及公共利益，且赔偿金额无法弥补公共利益损失，</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可要求继续履行或者</w:t>
      </w:r>
      <w:r>
        <w:rPr>
          <w:rFonts w:hint="eastAsia" w:ascii="仿宋" w:hAnsi="仿宋" w:eastAsia="仿宋" w:cs="仿宋"/>
          <w:color w:val="auto"/>
          <w:sz w:val="24"/>
          <w:szCs w:val="24"/>
          <w:highlight w:val="none"/>
          <w:lang w:eastAsia="zh-CN"/>
        </w:rPr>
        <w:t>采取其他补救措施</w:t>
      </w:r>
      <w:r>
        <w:rPr>
          <w:rFonts w:hint="eastAsia" w:ascii="仿宋" w:hAnsi="仿宋" w:eastAsia="仿宋" w:cs="仿宋"/>
          <w:color w:val="auto"/>
          <w:sz w:val="24"/>
          <w:szCs w:val="24"/>
          <w:highlight w:val="none"/>
        </w:rPr>
        <w:t>。</w:t>
      </w:r>
    </w:p>
    <w:p w14:paraId="6BB99106">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.3 迟延支付的违约责任</w:t>
      </w:r>
    </w:p>
    <w:p w14:paraId="78FA3E18">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甲方存在迟延支付乙方合同款项的，应当承担</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规定的逾期付款利息。</w:t>
      </w:r>
    </w:p>
    <w:p w14:paraId="7382DA5E">
      <w:pPr>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5</w:t>
      </w:r>
      <w:r>
        <w:rPr>
          <w:rFonts w:hint="eastAsia" w:ascii="仿宋" w:hAnsi="仿宋" w:eastAsia="仿宋" w:cs="仿宋"/>
          <w:bCs/>
          <w:color w:val="auto"/>
          <w:sz w:val="24"/>
          <w:szCs w:val="24"/>
          <w:highlight w:val="none"/>
        </w:rPr>
        <w:t>.4其他违约责任根据项目实际需要按</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规定执行。</w:t>
      </w:r>
    </w:p>
    <w:p w14:paraId="53406D05">
      <w:pPr>
        <w:numPr>
          <w:ilvl w:val="0"/>
          <w:numId w:val="7"/>
        </w:numPr>
        <w:autoSpaceDE w:val="0"/>
        <w:autoSpaceDN w:val="0"/>
        <w:adjustRightInd w:val="0"/>
        <w:snapToGrid w:val="0"/>
        <w:spacing w:before="0"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合同变更</w:t>
      </w:r>
      <w:r>
        <w:rPr>
          <w:rFonts w:hint="eastAsia" w:ascii="仿宋" w:hAnsi="仿宋" w:eastAsia="仿宋" w:cs="仿宋"/>
          <w:b/>
          <w:color w:val="auto"/>
          <w:sz w:val="24"/>
          <w:szCs w:val="24"/>
          <w:highlight w:val="none"/>
          <w:lang w:eastAsia="zh-CN"/>
        </w:rPr>
        <w:t>、中止与终止</w:t>
      </w:r>
    </w:p>
    <w:p w14:paraId="485EF92C">
      <w:pPr>
        <w:autoSpaceDE/>
        <w:autoSpaceDN/>
        <w:adjustRightInd w:val="0"/>
        <w:snapToGrid w:val="0"/>
        <w:spacing w:before="0" w:line="36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.1合同的</w:t>
      </w:r>
      <w:r>
        <w:rPr>
          <w:rFonts w:hint="eastAsia" w:ascii="仿宋" w:hAnsi="仿宋" w:eastAsia="仿宋" w:cs="仿宋"/>
          <w:color w:val="auto"/>
          <w:sz w:val="24"/>
          <w:szCs w:val="24"/>
          <w:highlight w:val="none"/>
          <w:lang w:eastAsia="zh-CN"/>
        </w:rPr>
        <w:t>变更</w:t>
      </w:r>
    </w:p>
    <w:p w14:paraId="72E31325">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政府采购合同履行中，</w:t>
      </w:r>
      <w:r>
        <w:rPr>
          <w:rFonts w:hint="eastAsia" w:ascii="仿宋" w:hAnsi="仿宋" w:eastAsia="仿宋" w:cs="仿宋"/>
          <w:color w:val="auto"/>
          <w:sz w:val="24"/>
          <w:szCs w:val="24"/>
          <w:highlight w:val="none"/>
        </w:rPr>
        <w:t>在不改变合同其他条款的前提下，甲方可以在合同价款10%的范围内追加与合同标的相同的货物，并就此与乙方协商</w:t>
      </w:r>
      <w:r>
        <w:rPr>
          <w:rFonts w:hint="eastAsia" w:ascii="仿宋" w:hAnsi="仿宋" w:eastAsia="仿宋" w:cs="仿宋"/>
          <w:color w:val="auto"/>
          <w:sz w:val="24"/>
          <w:szCs w:val="24"/>
          <w:highlight w:val="none"/>
          <w:lang w:eastAsia="zh-CN"/>
        </w:rPr>
        <w:t>一致后</w:t>
      </w:r>
      <w:r>
        <w:rPr>
          <w:rFonts w:hint="eastAsia" w:ascii="仿宋" w:hAnsi="仿宋" w:eastAsia="仿宋" w:cs="仿宋"/>
          <w:color w:val="auto"/>
          <w:sz w:val="24"/>
          <w:szCs w:val="24"/>
          <w:highlight w:val="none"/>
        </w:rPr>
        <w:t>签订补充协议。</w:t>
      </w:r>
    </w:p>
    <w:p w14:paraId="54C891A0">
      <w:pPr>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合同的中止</w:t>
      </w:r>
    </w:p>
    <w:p w14:paraId="615F2DAE">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（1）合同履行过程中因供应商就采购文件、采购过程或结果提起投诉的，甲方认为有必要的，</w:t>
      </w:r>
      <w:r>
        <w:rPr>
          <w:rFonts w:hint="eastAsia" w:ascii="仿宋" w:hAnsi="仿宋" w:eastAsia="仿宋" w:cs="仿宋"/>
          <w:color w:val="auto"/>
          <w:sz w:val="24"/>
          <w:szCs w:val="24"/>
          <w:highlight w:val="none"/>
          <w:lang w:eastAsia="zh-CN"/>
        </w:rPr>
        <w:t>可以</w:t>
      </w:r>
      <w:r>
        <w:rPr>
          <w:rFonts w:hint="eastAsia" w:ascii="仿宋" w:hAnsi="仿宋" w:eastAsia="仿宋" w:cs="仿宋"/>
          <w:color w:val="auto"/>
          <w:sz w:val="24"/>
          <w:szCs w:val="24"/>
          <w:highlight w:val="none"/>
        </w:rPr>
        <w:t>中止合同的履行。</w:t>
      </w:r>
    </w:p>
    <w:p w14:paraId="7AC2395E">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合同履行过程中，</w:t>
      </w:r>
      <w:r>
        <w:rPr>
          <w:rFonts w:hint="eastAsia" w:ascii="仿宋" w:hAnsi="仿宋" w:eastAsia="仿宋" w:cs="仿宋"/>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仿宋" w:hAnsi="仿宋" w:eastAsia="仿宋" w:cs="仿宋"/>
          <w:color w:val="auto"/>
          <w:sz w:val="24"/>
          <w:szCs w:val="24"/>
          <w:highlight w:val="none"/>
          <w:lang w:eastAsia="zh-CN"/>
        </w:rPr>
        <w:t>，乙方有义务及时告知甲方</w:t>
      </w: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lang w:eastAsia="zh-CN"/>
        </w:rPr>
        <w:t>有权</w:t>
      </w:r>
      <w:r>
        <w:rPr>
          <w:rFonts w:hint="eastAsia" w:ascii="仿宋" w:hAnsi="仿宋" w:eastAsia="仿宋" w:cs="仿宋"/>
          <w:color w:val="auto"/>
          <w:sz w:val="24"/>
          <w:szCs w:val="24"/>
          <w:highlight w:val="none"/>
        </w:rPr>
        <w:t>以书面形式通知乙方中止合同</w:t>
      </w:r>
      <w:r>
        <w:rPr>
          <w:rFonts w:hint="eastAsia" w:ascii="仿宋" w:hAnsi="仿宋" w:eastAsia="仿宋" w:cs="仿宋"/>
          <w:color w:val="auto"/>
          <w:sz w:val="24"/>
          <w:szCs w:val="24"/>
          <w:highlight w:val="none"/>
          <w:lang w:eastAsia="zh-CN"/>
        </w:rPr>
        <w:t>并要求乙方在合理期限内消除相关情形或者提供适当担保。</w:t>
      </w:r>
      <w:r>
        <w:rPr>
          <w:rFonts w:hint="eastAsia" w:ascii="仿宋" w:hAnsi="仿宋" w:eastAsia="仿宋" w:cs="仿宋"/>
          <w:color w:val="auto"/>
          <w:sz w:val="24"/>
          <w:szCs w:val="24"/>
          <w:highlight w:val="none"/>
        </w:rPr>
        <w:t>乙方提供适当担保的，</w:t>
      </w:r>
      <w:r>
        <w:rPr>
          <w:rFonts w:hint="eastAsia" w:ascii="仿宋" w:hAnsi="仿宋" w:eastAsia="仿宋" w:cs="仿宋"/>
          <w:color w:val="auto"/>
          <w:sz w:val="24"/>
          <w:szCs w:val="24"/>
          <w:highlight w:val="none"/>
          <w:lang w:eastAsia="zh-CN"/>
        </w:rPr>
        <w:t>合同继续</w:t>
      </w:r>
      <w:r>
        <w:rPr>
          <w:rFonts w:hint="eastAsia" w:ascii="仿宋" w:hAnsi="仿宋" w:eastAsia="仿宋" w:cs="仿宋"/>
          <w:color w:val="auto"/>
          <w:sz w:val="24"/>
          <w:szCs w:val="24"/>
          <w:highlight w:val="none"/>
        </w:rPr>
        <w:t>履行</w:t>
      </w:r>
      <w:r>
        <w:rPr>
          <w:rFonts w:hint="eastAsia" w:ascii="仿宋" w:hAnsi="仿宋" w:eastAsia="仿宋" w:cs="仿宋"/>
          <w:color w:val="auto"/>
          <w:sz w:val="24"/>
          <w:szCs w:val="24"/>
          <w:highlight w:val="none"/>
          <w:lang w:eastAsia="zh-CN"/>
        </w:rPr>
        <w:t>；乙</w:t>
      </w:r>
      <w:r>
        <w:rPr>
          <w:rFonts w:hint="eastAsia" w:ascii="仿宋" w:hAnsi="仿宋" w:eastAsia="仿宋" w:cs="仿宋"/>
          <w:color w:val="auto"/>
          <w:sz w:val="24"/>
          <w:szCs w:val="24"/>
          <w:highlight w:val="none"/>
        </w:rPr>
        <w:t>方在合理期限内未恢复履约能力且未提供适当担保的，视为拒绝</w:t>
      </w:r>
      <w:r>
        <w:rPr>
          <w:rFonts w:hint="eastAsia" w:ascii="仿宋" w:hAnsi="仿宋" w:eastAsia="仿宋" w:cs="仿宋"/>
          <w:color w:val="auto"/>
          <w:sz w:val="24"/>
          <w:szCs w:val="24"/>
          <w:highlight w:val="none"/>
          <w:lang w:eastAsia="zh-CN"/>
        </w:rPr>
        <w:t>继续</w:t>
      </w:r>
      <w:r>
        <w:rPr>
          <w:rFonts w:hint="eastAsia" w:ascii="仿宋" w:hAnsi="仿宋" w:eastAsia="仿宋" w:cs="仿宋"/>
          <w:color w:val="auto"/>
          <w:sz w:val="24"/>
          <w:szCs w:val="24"/>
          <w:highlight w:val="none"/>
        </w:rPr>
        <w:t>履约，甲方</w:t>
      </w:r>
      <w:r>
        <w:rPr>
          <w:rFonts w:hint="eastAsia" w:ascii="仿宋" w:hAnsi="仿宋" w:eastAsia="仿宋" w:cs="仿宋"/>
          <w:color w:val="auto"/>
          <w:sz w:val="24"/>
          <w:szCs w:val="24"/>
          <w:highlight w:val="none"/>
          <w:lang w:eastAsia="zh-CN"/>
        </w:rPr>
        <w:t>有权</w:t>
      </w:r>
      <w:r>
        <w:rPr>
          <w:rFonts w:hint="eastAsia" w:ascii="仿宋" w:hAnsi="仿宋" w:eastAsia="仿宋" w:cs="仿宋"/>
          <w:color w:val="auto"/>
          <w:sz w:val="24"/>
          <w:szCs w:val="24"/>
          <w:highlight w:val="none"/>
        </w:rPr>
        <w:t>解除合同并要求乙方承担</w:t>
      </w:r>
      <w:r>
        <w:rPr>
          <w:rFonts w:hint="eastAsia" w:ascii="仿宋" w:hAnsi="仿宋" w:eastAsia="仿宋" w:cs="仿宋"/>
          <w:color w:val="auto"/>
          <w:sz w:val="24"/>
          <w:szCs w:val="24"/>
          <w:highlight w:val="none"/>
          <w:lang w:eastAsia="zh-CN"/>
        </w:rPr>
        <w:t>由此给甲方造成的损失</w:t>
      </w:r>
      <w:r>
        <w:rPr>
          <w:rFonts w:hint="eastAsia" w:ascii="仿宋" w:hAnsi="仿宋" w:eastAsia="仿宋" w:cs="仿宋"/>
          <w:color w:val="auto"/>
          <w:sz w:val="24"/>
          <w:szCs w:val="24"/>
          <w:highlight w:val="none"/>
        </w:rPr>
        <w:t>。</w:t>
      </w:r>
    </w:p>
    <w:p w14:paraId="61BD4FDD">
      <w:pPr>
        <w:pStyle w:val="205"/>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（3）乙方分立、合并或者变更住所的，应当及时以书面形式告知甲方。乙方没有</w:t>
      </w:r>
      <w:r>
        <w:rPr>
          <w:rFonts w:hint="eastAsia" w:ascii="仿宋" w:hAnsi="仿宋" w:eastAsia="仿宋" w:cs="仿宋"/>
          <w:color w:val="auto"/>
          <w:sz w:val="24"/>
          <w:szCs w:val="24"/>
          <w:highlight w:val="none"/>
          <w:lang w:eastAsia="zh-CN"/>
        </w:rPr>
        <w:t>及时告知</w:t>
      </w:r>
      <w:r>
        <w:rPr>
          <w:rFonts w:hint="eastAsia" w:ascii="仿宋" w:hAnsi="仿宋" w:eastAsia="仿宋" w:cs="仿宋"/>
          <w:color w:val="auto"/>
          <w:sz w:val="24"/>
          <w:szCs w:val="24"/>
          <w:highlight w:val="none"/>
        </w:rPr>
        <w:t>甲方，致使</w:t>
      </w:r>
      <w:r>
        <w:rPr>
          <w:rFonts w:hint="eastAsia" w:ascii="仿宋" w:hAnsi="仿宋" w:eastAsia="仿宋" w:cs="仿宋"/>
          <w:color w:val="auto"/>
          <w:sz w:val="24"/>
          <w:szCs w:val="24"/>
          <w:highlight w:val="none"/>
          <w:lang w:eastAsia="zh-CN"/>
        </w:rPr>
        <w:t>合同</w:t>
      </w:r>
      <w:r>
        <w:rPr>
          <w:rFonts w:hint="eastAsia" w:ascii="仿宋" w:hAnsi="仿宋" w:eastAsia="仿宋" w:cs="仿宋"/>
          <w:color w:val="auto"/>
          <w:sz w:val="24"/>
          <w:szCs w:val="24"/>
          <w:highlight w:val="none"/>
        </w:rPr>
        <w:t>履行发生困难的，甲方可以中止合同履行并要求乙方承担由此给甲方造成的损失。</w:t>
      </w:r>
    </w:p>
    <w:p w14:paraId="52C0EACC">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）甲方不得以行政区划调整、政府换届、机构或者职能调整以及相关责任人更替为由中止合同。</w:t>
      </w:r>
    </w:p>
    <w:p w14:paraId="2EF1EA37">
      <w:pPr>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合同的终止</w:t>
      </w:r>
    </w:p>
    <w:p w14:paraId="0513BDF4">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（1）合同因有效期限届满而终止；</w:t>
      </w:r>
    </w:p>
    <w:p w14:paraId="4AE7B825">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（2）乙方未</w:t>
      </w:r>
      <w:r>
        <w:rPr>
          <w:rFonts w:hint="eastAsia" w:ascii="仿宋" w:hAnsi="仿宋" w:eastAsia="仿宋" w:cs="仿宋"/>
          <w:color w:val="auto"/>
          <w:sz w:val="24"/>
          <w:szCs w:val="24"/>
          <w:highlight w:val="none"/>
          <w:lang w:eastAsia="zh-CN"/>
        </w:rPr>
        <w:t>按</w:t>
      </w:r>
      <w:r>
        <w:rPr>
          <w:rFonts w:hint="eastAsia" w:ascii="仿宋" w:hAnsi="仿宋" w:eastAsia="仿宋" w:cs="仿宋"/>
          <w:color w:val="auto"/>
          <w:sz w:val="24"/>
          <w:szCs w:val="24"/>
          <w:highlight w:val="none"/>
        </w:rPr>
        <w:t>合同约定履行，构成根本性违约的，甲方有权终止合同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并追究乙方的违约责</w:t>
      </w:r>
      <w:r>
        <w:rPr>
          <w:rFonts w:hint="eastAsia" w:ascii="仿宋" w:hAnsi="仿宋" w:eastAsia="仿宋" w:cs="仿宋"/>
          <w:color w:val="auto"/>
          <w:sz w:val="24"/>
          <w:szCs w:val="24"/>
          <w:highlight w:val="none"/>
          <w:lang w:val="en-US" w:eastAsia="zh-CN"/>
        </w:rPr>
        <w:t>任</w:t>
      </w:r>
      <w:r>
        <w:rPr>
          <w:rFonts w:hint="eastAsia" w:ascii="仿宋" w:hAnsi="仿宋" w:eastAsia="仿宋" w:cs="仿宋"/>
          <w:color w:val="auto"/>
          <w:sz w:val="24"/>
          <w:szCs w:val="24"/>
          <w:highlight w:val="none"/>
        </w:rPr>
        <w:t>。</w:t>
      </w:r>
    </w:p>
    <w:p w14:paraId="4B8BD0B4">
      <w:pPr>
        <w:pStyle w:val="205"/>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16.4 </w:t>
      </w:r>
      <w:r>
        <w:rPr>
          <w:rFonts w:hint="eastAsia" w:ascii="仿宋" w:hAnsi="仿宋" w:eastAsia="仿宋" w:cs="仿宋"/>
          <w:color w:val="auto"/>
          <w:kern w:val="2"/>
          <w:sz w:val="24"/>
          <w:szCs w:val="24"/>
          <w:highlight w:val="none"/>
          <w:lang w:val="en-US" w:eastAsia="zh-CN"/>
        </w:rPr>
        <w:t>涉及国家利益、社会公共利益的情形</w:t>
      </w:r>
    </w:p>
    <w:p w14:paraId="48FEF299">
      <w:pPr>
        <w:pStyle w:val="205"/>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政府采购合同继续履行将损害国家利益和社会公共利益的，双方当事人</w:t>
      </w:r>
      <w:r>
        <w:rPr>
          <w:rFonts w:hint="eastAsia" w:ascii="仿宋" w:hAnsi="仿宋" w:eastAsia="仿宋" w:cs="仿宋"/>
          <w:color w:val="auto"/>
          <w:sz w:val="24"/>
          <w:szCs w:val="24"/>
          <w:highlight w:val="none"/>
          <w:lang w:val="en-US" w:eastAsia="zh-CN"/>
        </w:rPr>
        <w:t>应当变更、</w:t>
      </w:r>
      <w:r>
        <w:rPr>
          <w:rFonts w:hint="eastAsia" w:ascii="仿宋" w:hAnsi="仿宋" w:eastAsia="仿宋" w:cs="仿宋"/>
          <w:color w:val="auto"/>
          <w:sz w:val="24"/>
          <w:szCs w:val="24"/>
          <w:highlight w:val="none"/>
        </w:rPr>
        <w:t>中止</w:t>
      </w:r>
      <w:r>
        <w:rPr>
          <w:rFonts w:hint="eastAsia" w:ascii="仿宋" w:hAnsi="仿宋" w:eastAsia="仿宋" w:cs="仿宋"/>
          <w:color w:val="auto"/>
          <w:sz w:val="24"/>
          <w:szCs w:val="24"/>
          <w:highlight w:val="none"/>
          <w:lang w:eastAsia="zh-CN"/>
        </w:rPr>
        <w:t>或者终止</w:t>
      </w:r>
      <w:r>
        <w:rPr>
          <w:rFonts w:hint="eastAsia" w:ascii="仿宋" w:hAnsi="仿宋" w:eastAsia="仿宋" w:cs="仿宋"/>
          <w:color w:val="auto"/>
          <w:sz w:val="24"/>
          <w:szCs w:val="24"/>
          <w:highlight w:val="none"/>
        </w:rPr>
        <w:t>合同。有过错的一方应当承担赔偿责任，双方都有过错的，各自承担相应的责任。</w:t>
      </w:r>
    </w:p>
    <w:p w14:paraId="4198C0C6">
      <w:pPr>
        <w:autoSpaceDE w:val="0"/>
        <w:autoSpaceDN w:val="0"/>
        <w:adjustRightInd w:val="0"/>
        <w:snapToGrid w:val="0"/>
        <w:spacing w:before="0"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合同分包</w:t>
      </w:r>
    </w:p>
    <w:p w14:paraId="77489FCC">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 乙方不得</w:t>
      </w:r>
      <w:r>
        <w:rPr>
          <w:rFonts w:hint="eastAsia" w:ascii="仿宋" w:hAnsi="仿宋" w:eastAsia="仿宋" w:cs="仿宋"/>
          <w:color w:val="auto"/>
          <w:sz w:val="24"/>
          <w:szCs w:val="24"/>
          <w:highlight w:val="none"/>
          <w:lang w:eastAsia="zh-CN"/>
        </w:rPr>
        <w:t>将合同转包给其他供应商。涉及合同分包的，乙方</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lang w:eastAsia="zh-CN"/>
        </w:rPr>
        <w:t>根据采购文件和投标（响应）文件规定进行</w:t>
      </w:r>
      <w:r>
        <w:rPr>
          <w:rFonts w:hint="eastAsia" w:ascii="仿宋" w:hAnsi="仿宋" w:eastAsia="仿宋" w:cs="仿宋"/>
          <w:color w:val="auto"/>
          <w:sz w:val="24"/>
          <w:szCs w:val="24"/>
          <w:highlight w:val="none"/>
        </w:rPr>
        <w:t>合同分包。</w:t>
      </w:r>
    </w:p>
    <w:p w14:paraId="512B2C0D">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 乙方执行政府采购政策向中小企业依法分包的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乙方应当按采购文件</w:t>
      </w:r>
      <w:r>
        <w:rPr>
          <w:rFonts w:hint="eastAsia" w:ascii="仿宋" w:hAnsi="仿宋" w:eastAsia="仿宋" w:cs="仿宋"/>
          <w:color w:val="auto"/>
          <w:sz w:val="24"/>
          <w:szCs w:val="24"/>
          <w:highlight w:val="none"/>
          <w:lang w:eastAsia="zh-CN"/>
        </w:rPr>
        <w:t>和</w:t>
      </w:r>
      <w:r>
        <w:rPr>
          <w:rFonts w:hint="eastAsia" w:ascii="仿宋" w:hAnsi="仿宋" w:eastAsia="仿宋" w:cs="仿宋"/>
          <w:color w:val="auto"/>
          <w:sz w:val="24"/>
          <w:szCs w:val="24"/>
          <w:highlight w:val="none"/>
        </w:rPr>
        <w:t>投标（响应）文件签订分包</w:t>
      </w:r>
      <w:r>
        <w:rPr>
          <w:rFonts w:hint="eastAsia" w:ascii="仿宋" w:hAnsi="仿宋" w:eastAsia="仿宋" w:cs="仿宋"/>
          <w:color w:val="auto"/>
          <w:sz w:val="24"/>
          <w:szCs w:val="24"/>
          <w:highlight w:val="none"/>
          <w:lang w:eastAsia="zh-CN"/>
        </w:rPr>
        <w:t>意向</w:t>
      </w:r>
      <w:r>
        <w:rPr>
          <w:rFonts w:hint="eastAsia" w:ascii="仿宋" w:hAnsi="仿宋" w:eastAsia="仿宋" w:cs="仿宋"/>
          <w:color w:val="auto"/>
          <w:sz w:val="24"/>
          <w:szCs w:val="24"/>
          <w:highlight w:val="none"/>
        </w:rPr>
        <w:t>协议，分包</w:t>
      </w:r>
      <w:r>
        <w:rPr>
          <w:rFonts w:hint="eastAsia" w:ascii="仿宋" w:hAnsi="仿宋" w:eastAsia="仿宋" w:cs="仿宋"/>
          <w:color w:val="auto"/>
          <w:sz w:val="24"/>
          <w:szCs w:val="24"/>
          <w:highlight w:val="none"/>
          <w:lang w:eastAsia="zh-CN"/>
        </w:rPr>
        <w:t>意向</w:t>
      </w:r>
      <w:r>
        <w:rPr>
          <w:rFonts w:hint="eastAsia" w:ascii="仿宋" w:hAnsi="仿宋" w:eastAsia="仿宋" w:cs="仿宋"/>
          <w:color w:val="auto"/>
          <w:sz w:val="24"/>
          <w:szCs w:val="24"/>
          <w:highlight w:val="none"/>
        </w:rPr>
        <w:t>协议属于本合同组成部分。</w:t>
      </w:r>
    </w:p>
    <w:p w14:paraId="6A9B19EE">
      <w:pPr>
        <w:autoSpaceDE w:val="0"/>
        <w:autoSpaceDN w:val="0"/>
        <w:adjustRightInd w:val="0"/>
        <w:snapToGrid w:val="0"/>
        <w:spacing w:before="0"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1</w:t>
      </w: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不可抗力</w:t>
      </w:r>
    </w:p>
    <w:p w14:paraId="6E3E41E6">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.1 不可抗力是指合同双方不能预见、不能避免且不能克服的客观情况。</w:t>
      </w:r>
    </w:p>
    <w:p w14:paraId="193B1300">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 任何一方对由于不可抗力造成的部分或全部不能履行合同不承担违约责任。但迟延履行后发生不可抗力的，不能免除责任。</w:t>
      </w:r>
    </w:p>
    <w:p w14:paraId="54645F07">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.3 遇有不可抗力的一方，应及时将事件情况以书面形式</w:t>
      </w:r>
      <w:r>
        <w:rPr>
          <w:rFonts w:hint="eastAsia" w:ascii="仿宋" w:hAnsi="仿宋" w:eastAsia="仿宋" w:cs="仿宋"/>
          <w:color w:val="auto"/>
          <w:sz w:val="24"/>
          <w:szCs w:val="24"/>
          <w:highlight w:val="none"/>
          <w:lang w:eastAsia="zh-CN"/>
        </w:rPr>
        <w:t>告</w:t>
      </w:r>
      <w:r>
        <w:rPr>
          <w:rFonts w:hint="eastAsia" w:ascii="仿宋" w:hAnsi="仿宋" w:eastAsia="仿宋" w:cs="仿宋"/>
          <w:color w:val="auto"/>
          <w:sz w:val="24"/>
          <w:szCs w:val="24"/>
          <w:highlight w:val="none"/>
        </w:rPr>
        <w:t>知另一方，并在事件发生后及时向另一方提交合同不能履行或部分不能履行或需要延期履行</w:t>
      </w:r>
      <w:r>
        <w:rPr>
          <w:rFonts w:hint="eastAsia" w:ascii="仿宋" w:hAnsi="仿宋" w:eastAsia="仿宋" w:cs="仿宋"/>
          <w:color w:val="auto"/>
          <w:sz w:val="24"/>
          <w:szCs w:val="24"/>
          <w:highlight w:val="none"/>
          <w:lang w:eastAsia="zh-CN"/>
        </w:rPr>
        <w:t>的详细</w:t>
      </w:r>
      <w:r>
        <w:rPr>
          <w:rFonts w:hint="eastAsia" w:ascii="仿宋" w:hAnsi="仿宋" w:eastAsia="仿宋" w:cs="仿宋"/>
          <w:color w:val="auto"/>
          <w:sz w:val="24"/>
          <w:szCs w:val="24"/>
          <w:highlight w:val="none"/>
        </w:rPr>
        <w:t>报告</w:t>
      </w:r>
      <w:r>
        <w:rPr>
          <w:rFonts w:hint="eastAsia" w:ascii="仿宋" w:hAnsi="仿宋" w:eastAsia="仿宋" w:cs="仿宋"/>
          <w:color w:val="auto"/>
          <w:sz w:val="24"/>
          <w:szCs w:val="24"/>
          <w:highlight w:val="none"/>
          <w:lang w:eastAsia="zh-CN"/>
        </w:rPr>
        <w:t>，以</w:t>
      </w:r>
      <w:r>
        <w:rPr>
          <w:rFonts w:hint="eastAsia" w:ascii="仿宋" w:hAnsi="仿宋" w:eastAsia="仿宋" w:cs="仿宋"/>
          <w:color w:val="auto"/>
          <w:sz w:val="24"/>
          <w:szCs w:val="24"/>
          <w:highlight w:val="none"/>
          <w:lang w:val="en-US" w:eastAsia="zh-CN"/>
        </w:rPr>
        <w:t>及证明不可抗力发生及其持续时间的证据</w:t>
      </w:r>
      <w:r>
        <w:rPr>
          <w:rFonts w:hint="eastAsia" w:ascii="仿宋" w:hAnsi="仿宋" w:eastAsia="仿宋" w:cs="仿宋"/>
          <w:color w:val="auto"/>
          <w:sz w:val="24"/>
          <w:szCs w:val="24"/>
          <w:highlight w:val="none"/>
        </w:rPr>
        <w:t>。</w:t>
      </w:r>
    </w:p>
    <w:p w14:paraId="7C2EB81E">
      <w:pPr>
        <w:autoSpaceDE w:val="0"/>
        <w:autoSpaceDN w:val="0"/>
        <w:adjustRightInd w:val="0"/>
        <w:snapToGrid w:val="0"/>
        <w:spacing w:before="0"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19</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解决争议的方法</w:t>
      </w:r>
    </w:p>
    <w:p w14:paraId="410C2353">
      <w:pPr>
        <w:pStyle w:val="205"/>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.1 因本合同及合同有关事项发生的争议，由</w:t>
      </w:r>
      <w:r>
        <w:rPr>
          <w:rFonts w:hint="eastAsia" w:ascii="仿宋" w:hAnsi="仿宋" w:eastAsia="仿宋" w:cs="仿宋"/>
          <w:color w:val="auto"/>
          <w:sz w:val="24"/>
          <w:szCs w:val="24"/>
          <w:highlight w:val="none"/>
          <w:lang w:eastAsia="zh-CN"/>
        </w:rPr>
        <w:t>甲乙双</w:t>
      </w:r>
      <w:r>
        <w:rPr>
          <w:rFonts w:hint="eastAsia" w:ascii="仿宋" w:hAnsi="仿宋" w:eastAsia="仿宋" w:cs="仿宋"/>
          <w:color w:val="auto"/>
          <w:sz w:val="24"/>
          <w:szCs w:val="24"/>
          <w:highlight w:val="none"/>
        </w:rPr>
        <w:t>方友好协商解决。协商不成时，可以</w:t>
      </w:r>
      <w:r>
        <w:rPr>
          <w:rFonts w:hint="eastAsia" w:ascii="仿宋" w:hAnsi="仿宋" w:eastAsia="仿宋" w:cs="仿宋"/>
          <w:color w:val="auto"/>
          <w:sz w:val="24"/>
          <w:szCs w:val="24"/>
          <w:highlight w:val="none"/>
          <w:lang w:eastAsia="zh-CN"/>
        </w:rPr>
        <w:t>向有关组织申请</w:t>
      </w:r>
      <w:r>
        <w:rPr>
          <w:rFonts w:hint="eastAsia" w:ascii="仿宋" w:hAnsi="仿宋" w:eastAsia="仿宋" w:cs="仿宋"/>
          <w:color w:val="auto"/>
          <w:sz w:val="24"/>
          <w:szCs w:val="24"/>
          <w:highlight w:val="none"/>
        </w:rPr>
        <w:t>调解。合同一方或</w:t>
      </w:r>
      <w:r>
        <w:rPr>
          <w:rFonts w:hint="eastAsia" w:ascii="仿宋" w:hAnsi="仿宋" w:eastAsia="仿宋" w:cs="仿宋"/>
          <w:color w:val="auto"/>
          <w:sz w:val="24"/>
          <w:szCs w:val="24"/>
          <w:highlight w:val="none"/>
          <w:lang w:eastAsia="zh-CN"/>
        </w:rPr>
        <w:t>双</w:t>
      </w:r>
      <w:r>
        <w:rPr>
          <w:rFonts w:hint="eastAsia" w:ascii="仿宋" w:hAnsi="仿宋" w:eastAsia="仿宋" w:cs="仿宋"/>
          <w:color w:val="auto"/>
          <w:sz w:val="24"/>
          <w:szCs w:val="24"/>
          <w:highlight w:val="none"/>
        </w:rPr>
        <w:t>方不愿调解或调解不成的，可以通过仲裁或诉讼的方式解决争议。</w:t>
      </w:r>
    </w:p>
    <w:p w14:paraId="3EA4B994">
      <w:pPr>
        <w:pStyle w:val="205"/>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.2 选择仲裁的，应在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中明确仲裁机构及仲裁地；通过诉讼方式解决的，可以在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中进一步约定选择与争议有实际联系的地点的人民法院管辖，但管辖法院的约定不得违反级别管辖和专属管辖的规定。</w:t>
      </w:r>
    </w:p>
    <w:p w14:paraId="4EFED99E">
      <w:pPr>
        <w:pStyle w:val="205"/>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.3 如</w:t>
      </w:r>
      <w:r>
        <w:rPr>
          <w:rFonts w:hint="eastAsia" w:ascii="仿宋" w:hAnsi="仿宋" w:eastAsia="仿宋" w:cs="仿宋"/>
          <w:color w:val="auto"/>
          <w:sz w:val="24"/>
          <w:szCs w:val="24"/>
          <w:highlight w:val="none"/>
          <w:lang w:eastAsia="zh-CN"/>
        </w:rPr>
        <w:t>甲乙双方</w:t>
      </w:r>
      <w:r>
        <w:rPr>
          <w:rFonts w:hint="eastAsia" w:ascii="仿宋" w:hAnsi="仿宋" w:eastAsia="仿宋" w:cs="仿宋"/>
          <w:color w:val="auto"/>
          <w:sz w:val="24"/>
          <w:szCs w:val="24"/>
          <w:highlight w:val="none"/>
        </w:rPr>
        <w:t>有争议的事项不影响合同其他部分的履行，在争议解决期间，合同其他部分应</w:t>
      </w:r>
      <w:r>
        <w:rPr>
          <w:rFonts w:hint="eastAsia" w:ascii="仿宋" w:hAnsi="仿宋" w:eastAsia="仿宋" w:cs="仿宋"/>
          <w:color w:val="auto"/>
          <w:sz w:val="24"/>
          <w:szCs w:val="24"/>
          <w:highlight w:val="none"/>
          <w:lang w:eastAsia="zh-CN"/>
        </w:rPr>
        <w:t>当</w:t>
      </w:r>
      <w:r>
        <w:rPr>
          <w:rFonts w:hint="eastAsia" w:ascii="仿宋" w:hAnsi="仿宋" w:eastAsia="仿宋" w:cs="仿宋"/>
          <w:color w:val="auto"/>
          <w:sz w:val="24"/>
          <w:szCs w:val="24"/>
          <w:highlight w:val="none"/>
        </w:rPr>
        <w:t>继续履行。</w:t>
      </w:r>
    </w:p>
    <w:p w14:paraId="27AFCB06">
      <w:pPr>
        <w:autoSpaceDE w:val="0"/>
        <w:autoSpaceDN w:val="0"/>
        <w:adjustRightInd w:val="0"/>
        <w:snapToGrid w:val="0"/>
        <w:spacing w:before="0" w:line="360" w:lineRule="auto"/>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20</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政府采购政策</w:t>
      </w:r>
    </w:p>
    <w:p w14:paraId="7422EAD2">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20.1 </w:t>
      </w:r>
      <w:r>
        <w:rPr>
          <w:rFonts w:hint="eastAsia" w:ascii="仿宋" w:hAnsi="仿宋" w:eastAsia="仿宋" w:cs="仿宋"/>
          <w:color w:val="auto"/>
          <w:sz w:val="24"/>
          <w:szCs w:val="24"/>
          <w:highlight w:val="none"/>
          <w:lang w:val="en-GB"/>
        </w:rPr>
        <w:t>本合同应当按照规定执行政府采购政策。</w:t>
      </w:r>
    </w:p>
    <w:p w14:paraId="75A871A4">
      <w:pPr>
        <w:autoSpaceDE w:val="0"/>
        <w:autoSpaceDN w:val="0"/>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本合同依法执行政府采购政策的方式和内容，属于合同履约验收的范围。</w:t>
      </w:r>
      <w:r>
        <w:rPr>
          <w:rFonts w:hint="eastAsia" w:ascii="仿宋" w:hAnsi="仿宋" w:eastAsia="仿宋" w:cs="仿宋"/>
          <w:color w:val="auto"/>
          <w:sz w:val="24"/>
          <w:szCs w:val="24"/>
          <w:highlight w:val="none"/>
          <w:lang w:eastAsia="zh-CN"/>
        </w:rPr>
        <w:t>甲乙双方</w:t>
      </w:r>
      <w:r>
        <w:rPr>
          <w:rFonts w:hint="eastAsia" w:ascii="仿宋" w:hAnsi="仿宋" w:eastAsia="仿宋" w:cs="仿宋"/>
          <w:color w:val="auto"/>
          <w:sz w:val="24"/>
          <w:szCs w:val="24"/>
          <w:highlight w:val="none"/>
          <w:lang w:val="en-GB"/>
        </w:rPr>
        <w:t>未按规定要求执行政府采购政策造成损失的</w:t>
      </w:r>
      <w:r>
        <w:rPr>
          <w:rFonts w:hint="eastAsia" w:ascii="仿宋" w:hAnsi="仿宋" w:eastAsia="仿宋" w:cs="仿宋"/>
          <w:color w:val="auto"/>
          <w:sz w:val="24"/>
          <w:szCs w:val="24"/>
          <w:highlight w:val="none"/>
        </w:rPr>
        <w:t>，有过错的一方应当承担赔偿责任，双方都有过错的，各自承担相应的责任。</w:t>
      </w:r>
    </w:p>
    <w:p w14:paraId="3A7C5252">
      <w:pPr>
        <w:pStyle w:val="11"/>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 对于</w:t>
      </w:r>
      <w:r>
        <w:rPr>
          <w:rFonts w:hint="eastAsia" w:ascii="仿宋" w:hAnsi="仿宋" w:eastAsia="仿宋" w:cs="仿宋"/>
          <w:color w:val="auto"/>
          <w:sz w:val="24"/>
          <w:szCs w:val="24"/>
          <w:highlight w:val="none"/>
          <w:lang w:eastAsia="zh-CN"/>
        </w:rPr>
        <w:t>为落实中小企业支持政策，</w:t>
      </w:r>
      <w:r>
        <w:rPr>
          <w:rFonts w:hint="eastAsia" w:ascii="仿宋" w:hAnsi="仿宋" w:eastAsia="仿宋" w:cs="仿宋"/>
          <w:color w:val="auto"/>
          <w:sz w:val="24"/>
          <w:szCs w:val="24"/>
          <w:highlight w:val="none"/>
        </w:rPr>
        <w:t>通过采购项目</w:t>
      </w:r>
      <w:r>
        <w:rPr>
          <w:rFonts w:hint="eastAsia" w:ascii="仿宋" w:hAnsi="仿宋" w:eastAsia="仿宋" w:cs="仿宋"/>
          <w:color w:val="auto"/>
          <w:sz w:val="24"/>
          <w:szCs w:val="24"/>
          <w:highlight w:val="none"/>
          <w:lang w:eastAsia="zh-CN"/>
        </w:rPr>
        <w:t>整体</w:t>
      </w:r>
      <w:r>
        <w:rPr>
          <w:rFonts w:hint="eastAsia" w:ascii="仿宋" w:hAnsi="仿宋" w:eastAsia="仿宋" w:cs="仿宋"/>
          <w:color w:val="auto"/>
          <w:sz w:val="24"/>
          <w:szCs w:val="24"/>
          <w:highlight w:val="none"/>
        </w:rPr>
        <w:t>预留、</w:t>
      </w:r>
      <w:r>
        <w:rPr>
          <w:rFonts w:hint="eastAsia" w:ascii="仿宋" w:hAnsi="仿宋" w:eastAsia="仿宋" w:cs="仿宋"/>
          <w:color w:val="auto"/>
          <w:sz w:val="24"/>
          <w:szCs w:val="24"/>
          <w:highlight w:val="none"/>
          <w:lang w:eastAsia="zh-CN"/>
        </w:rPr>
        <w:t>设置</w:t>
      </w:r>
      <w:r>
        <w:rPr>
          <w:rFonts w:hint="eastAsia" w:ascii="仿宋" w:hAnsi="仿宋" w:eastAsia="仿宋" w:cs="仿宋"/>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72D514F">
      <w:pPr>
        <w:autoSpaceDE w:val="0"/>
        <w:autoSpaceDN w:val="0"/>
        <w:adjustRightInd w:val="0"/>
        <w:snapToGrid w:val="0"/>
        <w:spacing w:before="0"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法律适用</w:t>
      </w:r>
    </w:p>
    <w:p w14:paraId="231F09D4">
      <w:pPr>
        <w:pStyle w:val="205"/>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 本合同的订立、生效、解释、履行及与本合同有关的争议解决，均适用法律、行政法规。</w:t>
      </w:r>
    </w:p>
    <w:p w14:paraId="058FACEF">
      <w:pPr>
        <w:pStyle w:val="205"/>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.2 本合同条款与法律、行政法规的强制性规定不一致的，双方当事人应按照法律、行政法规的强制性规定修改本合同的相关条款。</w:t>
      </w:r>
    </w:p>
    <w:p w14:paraId="21FDDB50">
      <w:pPr>
        <w:numPr>
          <w:ilvl w:val="-1"/>
          <w:numId w:val="0"/>
        </w:numPr>
        <w:autoSpaceDE w:val="0"/>
        <w:autoSpaceDN w:val="0"/>
        <w:adjustRightInd w:val="0"/>
        <w:snapToGrid w:val="0"/>
        <w:spacing w:before="0"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22. </w:t>
      </w:r>
      <w:r>
        <w:rPr>
          <w:rFonts w:hint="eastAsia" w:ascii="仿宋" w:hAnsi="仿宋" w:eastAsia="仿宋" w:cs="仿宋"/>
          <w:b/>
          <w:color w:val="auto"/>
          <w:sz w:val="24"/>
          <w:szCs w:val="24"/>
          <w:highlight w:val="none"/>
        </w:rPr>
        <w:t>通知</w:t>
      </w:r>
    </w:p>
    <w:p w14:paraId="7A497286">
      <w:pPr>
        <w:pStyle w:val="205"/>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本合同任何一方向对方发出的通知、信件、数据电文等，应当发送至本合同第一部分《政府采购合同协议书》所约定的通讯地址、联系人、联系电话或电子邮箱。</w:t>
      </w:r>
    </w:p>
    <w:p w14:paraId="56882A26">
      <w:pPr>
        <w:pStyle w:val="205"/>
        <w:spacing w:line="360" w:lineRule="auto"/>
        <w:ind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一方当事人变更名称、</w:t>
      </w:r>
      <w:r>
        <w:rPr>
          <w:rFonts w:hint="eastAsia" w:ascii="仿宋" w:hAnsi="仿宋" w:eastAsia="仿宋" w:cs="仿宋"/>
          <w:color w:val="auto"/>
          <w:sz w:val="24"/>
          <w:szCs w:val="24"/>
          <w:highlight w:val="none"/>
          <w:lang w:eastAsia="zh-CN"/>
        </w:rPr>
        <w:t>住所</w:t>
      </w:r>
      <w:r>
        <w:rPr>
          <w:rFonts w:hint="eastAsia" w:ascii="仿宋" w:hAnsi="仿宋" w:eastAsia="仿宋" w:cs="仿宋"/>
          <w:color w:val="auto"/>
          <w:sz w:val="24"/>
          <w:szCs w:val="24"/>
          <w:highlight w:val="none"/>
        </w:rPr>
        <w:t>、联系人、联系电话或电子邮箱</w:t>
      </w:r>
      <w:r>
        <w:rPr>
          <w:rFonts w:hint="eastAsia" w:ascii="仿宋" w:hAnsi="仿宋" w:eastAsia="仿宋" w:cs="仿宋"/>
          <w:color w:val="auto"/>
          <w:sz w:val="24"/>
          <w:szCs w:val="24"/>
          <w:highlight w:val="none"/>
          <w:lang w:eastAsia="zh-CN"/>
        </w:rPr>
        <w:t>等信息</w:t>
      </w:r>
      <w:r>
        <w:rPr>
          <w:rFonts w:hint="eastAsia" w:ascii="仿宋" w:hAnsi="仿宋" w:eastAsia="仿宋" w:cs="仿宋"/>
          <w:color w:val="auto"/>
          <w:sz w:val="24"/>
          <w:szCs w:val="24"/>
          <w:highlight w:val="none"/>
        </w:rPr>
        <w:t>的，应当在变更后3日内及时书面通知对方，对方实际收到变更通知前的送达仍为有效送达。</w:t>
      </w:r>
    </w:p>
    <w:p w14:paraId="4620AED5">
      <w:pPr>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本合同一方给另一方的通知均应采用书面形式，传真或快递送到本合同中规定的对方的地址和办理签收手续。</w:t>
      </w:r>
    </w:p>
    <w:p w14:paraId="1637E8D8">
      <w:pPr>
        <w:adjustRightInd w:val="0"/>
        <w:snapToGrid w:val="0"/>
        <w:spacing w:before="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通知以送达之日或通知书中规定的生效之日起生效，两者中以较迟之日为准。</w:t>
      </w:r>
    </w:p>
    <w:p w14:paraId="4FEA4909">
      <w:pPr>
        <w:numPr>
          <w:ilvl w:val="0"/>
          <w:numId w:val="8"/>
        </w:numPr>
        <w:adjustRightInd w:val="0"/>
        <w:snapToGrid w:val="0"/>
        <w:spacing w:before="0"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合同未尽事项</w:t>
      </w:r>
    </w:p>
    <w:p w14:paraId="76BA6DA8">
      <w:pPr>
        <w:adjustRightInd w:val="0"/>
        <w:snapToGrid w:val="0"/>
        <w:spacing w:before="0"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.1合同未尽事项见</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w:t>
      </w:r>
    </w:p>
    <w:p w14:paraId="16025A7F">
      <w:pPr>
        <w:pStyle w:val="11"/>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 xml:space="preserve">    23.2 合同附件与合同正文具有同等的法律效力。</w:t>
      </w:r>
    </w:p>
    <w:p w14:paraId="01C8DD4B">
      <w:pP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br w:type="page"/>
      </w:r>
    </w:p>
    <w:p w14:paraId="572C8813">
      <w:pPr>
        <w:pStyle w:val="4"/>
        <w:adjustRightInd w:val="0"/>
        <w:snapToGrid w:val="0"/>
        <w:jc w:val="center"/>
        <w:rPr>
          <w:rFonts w:hint="eastAsia" w:ascii="仿宋" w:hAnsi="仿宋" w:eastAsia="仿宋" w:cs="仿宋"/>
          <w:b w:val="0"/>
          <w:bCs w:val="0"/>
          <w:color w:val="auto"/>
          <w:sz w:val="24"/>
          <w:szCs w:val="24"/>
          <w:highlight w:val="none"/>
        </w:rPr>
      </w:pPr>
      <w:bookmarkStart w:id="57" w:name="_Toc24183"/>
      <w:r>
        <w:rPr>
          <w:rFonts w:hint="eastAsia" w:ascii="仿宋" w:hAnsi="仿宋" w:eastAsia="仿宋" w:cs="仿宋"/>
          <w:b/>
          <w:bCs/>
          <w:color w:val="auto"/>
          <w:sz w:val="24"/>
          <w:szCs w:val="24"/>
          <w:highlight w:val="none"/>
        </w:rPr>
        <w:t>第三节 政府采购合同专用条款</w:t>
      </w:r>
      <w:bookmarkEnd w:id="57"/>
    </w:p>
    <w:tbl>
      <w:tblPr>
        <w:tblStyle w:val="38"/>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59C0AE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BD9904F">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09A9388E">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第1.2（</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）项</w:t>
            </w:r>
          </w:p>
        </w:tc>
        <w:tc>
          <w:tcPr>
            <w:tcW w:w="1742" w:type="dxa"/>
            <w:vAlign w:val="center"/>
          </w:tcPr>
          <w:p w14:paraId="33C4FDC5">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联合体具体要求</w:t>
            </w:r>
          </w:p>
        </w:tc>
        <w:tc>
          <w:tcPr>
            <w:tcW w:w="5170" w:type="dxa"/>
            <w:vAlign w:val="center"/>
          </w:tcPr>
          <w:p w14:paraId="6274B6B9">
            <w:pPr>
              <w:adjustRightInd w:val="0"/>
              <w:snapToGrid w:val="0"/>
              <w:jc w:val="left"/>
              <w:rPr>
                <w:rFonts w:hint="eastAsia" w:ascii="仿宋" w:hAnsi="仿宋" w:eastAsia="仿宋" w:cs="仿宋"/>
                <w:color w:val="auto"/>
                <w:sz w:val="21"/>
                <w:szCs w:val="21"/>
                <w:highlight w:val="none"/>
              </w:rPr>
            </w:pPr>
          </w:p>
        </w:tc>
      </w:tr>
      <w:tr w14:paraId="6EF046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19623BAD">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505FC13C">
            <w:pPr>
              <w:adjustRightInd w:val="0"/>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第1.2（</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）项</w:t>
            </w:r>
          </w:p>
        </w:tc>
        <w:tc>
          <w:tcPr>
            <w:tcW w:w="1742" w:type="dxa"/>
            <w:vAlign w:val="center"/>
          </w:tcPr>
          <w:p w14:paraId="1E72C861">
            <w:pPr>
              <w:adjustRightInd w:val="0"/>
              <w:snapToGrid w:val="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其他术语解释</w:t>
            </w:r>
          </w:p>
        </w:tc>
        <w:tc>
          <w:tcPr>
            <w:tcW w:w="5170" w:type="dxa"/>
            <w:vAlign w:val="center"/>
          </w:tcPr>
          <w:p w14:paraId="5F554649">
            <w:pPr>
              <w:adjustRightInd w:val="0"/>
              <w:snapToGrid w:val="0"/>
              <w:jc w:val="left"/>
              <w:rPr>
                <w:rFonts w:hint="eastAsia" w:ascii="仿宋" w:hAnsi="仿宋" w:eastAsia="仿宋" w:cs="仿宋"/>
                <w:color w:val="auto"/>
                <w:kern w:val="2"/>
                <w:sz w:val="21"/>
                <w:szCs w:val="21"/>
                <w:highlight w:val="none"/>
                <w:lang w:val="en-US" w:eastAsia="zh-CN" w:bidi="ar-SA"/>
              </w:rPr>
            </w:pPr>
          </w:p>
        </w:tc>
      </w:tr>
      <w:tr w14:paraId="76DC70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78EAC2B">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6C8D3EAB">
            <w:pPr>
              <w:adjustRightInd w:val="0"/>
              <w:snapToGrid w:val="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第</w:t>
            </w:r>
            <w:r>
              <w:rPr>
                <w:rFonts w:hint="eastAsia" w:ascii="仿宋" w:hAnsi="仿宋" w:eastAsia="仿宋" w:cs="仿宋"/>
                <w:color w:val="auto"/>
                <w:sz w:val="21"/>
                <w:szCs w:val="21"/>
                <w:highlight w:val="none"/>
                <w:lang w:val="en-US" w:eastAsia="zh-CN"/>
              </w:rPr>
              <w:t>4.4款</w:t>
            </w:r>
          </w:p>
        </w:tc>
        <w:tc>
          <w:tcPr>
            <w:tcW w:w="1742" w:type="dxa"/>
            <w:vAlign w:val="center"/>
          </w:tcPr>
          <w:p w14:paraId="68C46C8C">
            <w:pPr>
              <w:adjustRightInd w:val="0"/>
              <w:snapToGrid w:val="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履约验收中甲方提出异议或作出说明的期限</w:t>
            </w:r>
          </w:p>
        </w:tc>
        <w:tc>
          <w:tcPr>
            <w:tcW w:w="5170" w:type="dxa"/>
            <w:vAlign w:val="center"/>
          </w:tcPr>
          <w:p w14:paraId="72DDD5DC">
            <w:pPr>
              <w:adjustRightInd w:val="0"/>
              <w:snapToGrid w:val="0"/>
              <w:jc w:val="left"/>
              <w:rPr>
                <w:rFonts w:hint="eastAsia" w:ascii="仿宋" w:hAnsi="仿宋" w:eastAsia="仿宋" w:cs="仿宋"/>
                <w:color w:val="auto"/>
                <w:kern w:val="2"/>
                <w:sz w:val="21"/>
                <w:szCs w:val="21"/>
                <w:highlight w:val="none"/>
                <w:lang w:val="en-US" w:eastAsia="zh-CN" w:bidi="ar-SA"/>
              </w:rPr>
            </w:pPr>
          </w:p>
        </w:tc>
      </w:tr>
      <w:tr w14:paraId="4354AF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75254B2">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66EF4137">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第</w:t>
            </w:r>
            <w:r>
              <w:rPr>
                <w:rFonts w:hint="eastAsia" w:ascii="仿宋" w:hAnsi="仿宋" w:eastAsia="仿宋" w:cs="仿宋"/>
                <w:color w:val="auto"/>
                <w:sz w:val="21"/>
                <w:szCs w:val="21"/>
                <w:highlight w:val="none"/>
                <w:lang w:val="en-US" w:eastAsia="zh-CN"/>
              </w:rPr>
              <w:t>4.6款</w:t>
            </w:r>
          </w:p>
        </w:tc>
        <w:tc>
          <w:tcPr>
            <w:tcW w:w="1742" w:type="dxa"/>
            <w:vAlign w:val="center"/>
          </w:tcPr>
          <w:p w14:paraId="41FAF635">
            <w:pPr>
              <w:adjustRightInd w:val="0"/>
              <w:snapToGrid w:val="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约定甲方承担的其他义务和责任</w:t>
            </w:r>
          </w:p>
        </w:tc>
        <w:tc>
          <w:tcPr>
            <w:tcW w:w="5170" w:type="dxa"/>
            <w:vAlign w:val="center"/>
          </w:tcPr>
          <w:p w14:paraId="4DA69A7B">
            <w:pPr>
              <w:adjustRightInd w:val="0"/>
              <w:snapToGrid w:val="0"/>
              <w:jc w:val="left"/>
              <w:rPr>
                <w:rFonts w:hint="eastAsia" w:ascii="仿宋" w:hAnsi="仿宋" w:eastAsia="仿宋" w:cs="仿宋"/>
                <w:color w:val="auto"/>
                <w:kern w:val="2"/>
                <w:sz w:val="21"/>
                <w:szCs w:val="21"/>
                <w:highlight w:val="none"/>
                <w:lang w:val="en-US" w:eastAsia="zh-CN" w:bidi="ar-SA"/>
              </w:rPr>
            </w:pPr>
          </w:p>
        </w:tc>
      </w:tr>
      <w:tr w14:paraId="025D65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265DD8A">
            <w:pPr>
              <w:adjustRightInd w:val="0"/>
              <w:snapToGrid w:val="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第二节</w:t>
            </w:r>
          </w:p>
          <w:p w14:paraId="167FF948">
            <w:pPr>
              <w:snapToGrid w:val="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第</w:t>
            </w:r>
            <w:r>
              <w:rPr>
                <w:rFonts w:hint="eastAsia" w:ascii="仿宋" w:hAnsi="仿宋" w:eastAsia="仿宋" w:cs="仿宋"/>
                <w:color w:val="auto"/>
                <w:sz w:val="21"/>
                <w:szCs w:val="21"/>
                <w:highlight w:val="none"/>
                <w:lang w:val="en-US" w:eastAsia="zh-CN"/>
              </w:rPr>
              <w:t>5.4款</w:t>
            </w:r>
          </w:p>
        </w:tc>
        <w:tc>
          <w:tcPr>
            <w:tcW w:w="1742" w:type="dxa"/>
            <w:vAlign w:val="center"/>
          </w:tcPr>
          <w:p w14:paraId="4717B4C1">
            <w:pPr>
              <w:adjustRightInd w:val="0"/>
              <w:snapToGrid w:val="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约定乙方承担的其他义务和责任</w:t>
            </w:r>
          </w:p>
        </w:tc>
        <w:tc>
          <w:tcPr>
            <w:tcW w:w="5170" w:type="dxa"/>
            <w:vAlign w:val="center"/>
          </w:tcPr>
          <w:p w14:paraId="34E57684">
            <w:pPr>
              <w:adjustRightInd w:val="0"/>
              <w:snapToGrid w:val="0"/>
              <w:jc w:val="left"/>
              <w:rPr>
                <w:rFonts w:hint="eastAsia" w:ascii="仿宋" w:hAnsi="仿宋" w:eastAsia="仿宋" w:cs="仿宋"/>
                <w:color w:val="auto"/>
                <w:kern w:val="2"/>
                <w:sz w:val="21"/>
                <w:szCs w:val="21"/>
                <w:highlight w:val="none"/>
                <w:lang w:val="en-US" w:eastAsia="zh-CN" w:bidi="ar-SA"/>
              </w:rPr>
            </w:pPr>
          </w:p>
        </w:tc>
      </w:tr>
      <w:tr w14:paraId="552E4A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8EDA766">
            <w:pPr>
              <w:adjustRightInd w:val="0"/>
              <w:snapToGrid w:val="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第二节</w:t>
            </w:r>
          </w:p>
          <w:p w14:paraId="307788C7">
            <w:pPr>
              <w:snapToGrid w:val="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第</w:t>
            </w:r>
            <w:r>
              <w:rPr>
                <w:rFonts w:hint="eastAsia" w:ascii="仿宋" w:hAnsi="仿宋" w:eastAsia="仿宋" w:cs="仿宋"/>
                <w:color w:val="auto"/>
                <w:sz w:val="21"/>
                <w:szCs w:val="21"/>
                <w:highlight w:val="none"/>
                <w:lang w:val="en-US" w:eastAsia="zh-CN"/>
              </w:rPr>
              <w:t>6.1款</w:t>
            </w:r>
          </w:p>
        </w:tc>
        <w:tc>
          <w:tcPr>
            <w:tcW w:w="1742" w:type="dxa"/>
            <w:vAlign w:val="center"/>
          </w:tcPr>
          <w:p w14:paraId="0222A33D">
            <w:pPr>
              <w:adjustRightInd w:val="0"/>
              <w:snapToGrid w:val="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履行合同义务的顺序</w:t>
            </w:r>
          </w:p>
        </w:tc>
        <w:tc>
          <w:tcPr>
            <w:tcW w:w="5170" w:type="dxa"/>
            <w:vAlign w:val="center"/>
          </w:tcPr>
          <w:p w14:paraId="14176530">
            <w:pPr>
              <w:adjustRightInd w:val="0"/>
              <w:snapToGrid w:val="0"/>
              <w:jc w:val="left"/>
              <w:rPr>
                <w:rFonts w:hint="eastAsia" w:ascii="仿宋" w:hAnsi="仿宋" w:eastAsia="仿宋" w:cs="仿宋"/>
                <w:color w:val="auto"/>
                <w:kern w:val="2"/>
                <w:sz w:val="21"/>
                <w:szCs w:val="21"/>
                <w:highlight w:val="none"/>
                <w:lang w:val="en-US" w:eastAsia="zh-CN" w:bidi="ar-SA"/>
              </w:rPr>
            </w:pPr>
          </w:p>
        </w:tc>
      </w:tr>
      <w:tr w14:paraId="3896AC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694BE598">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1EA624BD">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款</w:t>
            </w:r>
          </w:p>
        </w:tc>
        <w:tc>
          <w:tcPr>
            <w:tcW w:w="1742" w:type="dxa"/>
            <w:vAlign w:val="center"/>
          </w:tcPr>
          <w:p w14:paraId="45FFC5D8">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包装</w:t>
            </w:r>
            <w:r>
              <w:rPr>
                <w:rFonts w:hint="eastAsia" w:ascii="仿宋" w:hAnsi="仿宋" w:eastAsia="仿宋" w:cs="仿宋"/>
                <w:color w:val="auto"/>
                <w:sz w:val="21"/>
                <w:szCs w:val="21"/>
                <w:highlight w:val="none"/>
                <w:lang w:eastAsia="zh-CN"/>
              </w:rPr>
              <w:t>特殊要求</w:t>
            </w:r>
          </w:p>
        </w:tc>
        <w:tc>
          <w:tcPr>
            <w:tcW w:w="5170" w:type="dxa"/>
            <w:vAlign w:val="center"/>
          </w:tcPr>
          <w:p w14:paraId="40C33728">
            <w:pPr>
              <w:rPr>
                <w:rFonts w:hint="eastAsia" w:ascii="仿宋" w:hAnsi="仿宋" w:eastAsia="仿宋" w:cs="仿宋"/>
                <w:color w:val="auto"/>
                <w:sz w:val="21"/>
                <w:szCs w:val="21"/>
                <w:highlight w:val="none"/>
              </w:rPr>
            </w:pPr>
          </w:p>
        </w:tc>
      </w:tr>
      <w:tr w14:paraId="693568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1A374880">
            <w:pPr>
              <w:adjustRightInd w:val="0"/>
              <w:snapToGrid w:val="0"/>
              <w:jc w:val="center"/>
              <w:rPr>
                <w:rFonts w:hint="eastAsia" w:ascii="仿宋" w:hAnsi="仿宋" w:eastAsia="仿宋" w:cs="仿宋"/>
                <w:color w:val="auto"/>
                <w:sz w:val="21"/>
                <w:szCs w:val="21"/>
                <w:highlight w:val="none"/>
              </w:rPr>
            </w:pPr>
          </w:p>
        </w:tc>
        <w:tc>
          <w:tcPr>
            <w:tcW w:w="1742" w:type="dxa"/>
            <w:vAlign w:val="center"/>
          </w:tcPr>
          <w:p w14:paraId="3441811E">
            <w:pPr>
              <w:adjustRightInd w:val="0"/>
              <w:snapToGrid w:val="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指定现场</w:t>
            </w:r>
          </w:p>
        </w:tc>
        <w:tc>
          <w:tcPr>
            <w:tcW w:w="5170" w:type="dxa"/>
            <w:vAlign w:val="center"/>
          </w:tcPr>
          <w:p w14:paraId="1CF4038F">
            <w:pPr>
              <w:rPr>
                <w:rFonts w:hint="eastAsia" w:ascii="仿宋" w:hAnsi="仿宋" w:eastAsia="仿宋" w:cs="仿宋"/>
                <w:color w:val="auto"/>
                <w:sz w:val="21"/>
                <w:szCs w:val="21"/>
                <w:highlight w:val="none"/>
              </w:rPr>
            </w:pPr>
          </w:p>
        </w:tc>
      </w:tr>
      <w:tr w14:paraId="5E8935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8EA8C2B">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286486DB">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款</w:t>
            </w:r>
          </w:p>
        </w:tc>
        <w:tc>
          <w:tcPr>
            <w:tcW w:w="1742" w:type="dxa"/>
            <w:vAlign w:val="center"/>
          </w:tcPr>
          <w:p w14:paraId="7386E41D">
            <w:pPr>
              <w:adjustRightInd w:val="0"/>
              <w:snapToGrid w:val="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运输特殊要求</w:t>
            </w:r>
          </w:p>
        </w:tc>
        <w:tc>
          <w:tcPr>
            <w:tcW w:w="5170" w:type="dxa"/>
            <w:vAlign w:val="center"/>
          </w:tcPr>
          <w:p w14:paraId="078B824D">
            <w:pPr>
              <w:rPr>
                <w:rFonts w:hint="eastAsia" w:ascii="仿宋" w:hAnsi="仿宋" w:eastAsia="仿宋" w:cs="仿宋"/>
                <w:color w:val="auto"/>
                <w:sz w:val="21"/>
                <w:szCs w:val="21"/>
                <w:highlight w:val="none"/>
              </w:rPr>
            </w:pPr>
          </w:p>
        </w:tc>
      </w:tr>
      <w:tr w14:paraId="6DDD3D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0980C3AE">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3BCD6A37">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en-US" w:eastAsia="zh-CN"/>
              </w:rPr>
              <w:t>款</w:t>
            </w:r>
          </w:p>
        </w:tc>
        <w:tc>
          <w:tcPr>
            <w:tcW w:w="1742" w:type="dxa"/>
            <w:vAlign w:val="center"/>
          </w:tcPr>
          <w:p w14:paraId="1551D198">
            <w:pPr>
              <w:adjustRightInd w:val="0"/>
              <w:snapToGrid w:val="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保险要求</w:t>
            </w:r>
          </w:p>
        </w:tc>
        <w:tc>
          <w:tcPr>
            <w:tcW w:w="5170" w:type="dxa"/>
            <w:vAlign w:val="center"/>
          </w:tcPr>
          <w:p w14:paraId="6C331C12">
            <w:pPr>
              <w:rPr>
                <w:rFonts w:hint="eastAsia" w:ascii="仿宋" w:hAnsi="仿宋" w:eastAsia="仿宋" w:cs="仿宋"/>
                <w:color w:val="auto"/>
                <w:sz w:val="21"/>
                <w:szCs w:val="21"/>
                <w:highlight w:val="none"/>
              </w:rPr>
            </w:pPr>
          </w:p>
        </w:tc>
      </w:tr>
      <w:tr w14:paraId="10FD5E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74A95FB">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0F4CC6F5">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.2（1）项</w:t>
            </w:r>
          </w:p>
        </w:tc>
        <w:tc>
          <w:tcPr>
            <w:tcW w:w="1742" w:type="dxa"/>
            <w:vAlign w:val="center"/>
          </w:tcPr>
          <w:p w14:paraId="1257EBF4">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质量保证期</w:t>
            </w:r>
          </w:p>
        </w:tc>
        <w:tc>
          <w:tcPr>
            <w:tcW w:w="5170" w:type="dxa"/>
            <w:vAlign w:val="center"/>
          </w:tcPr>
          <w:p w14:paraId="28A3DB9C">
            <w:pPr>
              <w:autoSpaceDE w:val="0"/>
              <w:autoSpaceDN w:val="0"/>
              <w:adjustRightInd w:val="0"/>
              <w:snapToGrid w:val="0"/>
              <w:ind w:firstLine="420" w:firstLineChars="200"/>
              <w:jc w:val="left"/>
              <w:rPr>
                <w:rFonts w:hint="eastAsia" w:ascii="仿宋" w:hAnsi="仿宋" w:eastAsia="仿宋" w:cs="仿宋"/>
                <w:color w:val="auto"/>
                <w:sz w:val="21"/>
                <w:szCs w:val="21"/>
                <w:highlight w:val="none"/>
              </w:rPr>
            </w:pPr>
          </w:p>
        </w:tc>
      </w:tr>
      <w:tr w14:paraId="310B4D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D8A499C">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790A9EAE">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.2（3）项</w:t>
            </w:r>
          </w:p>
        </w:tc>
        <w:tc>
          <w:tcPr>
            <w:tcW w:w="1742" w:type="dxa"/>
            <w:vAlign w:val="center"/>
          </w:tcPr>
          <w:p w14:paraId="3F94A239">
            <w:pPr>
              <w:adjustRightInd w:val="0"/>
              <w:snapToGrid w:val="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货物质量缺陷</w:t>
            </w:r>
          </w:p>
          <w:p w14:paraId="559BFF1F">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响应时间</w:t>
            </w:r>
          </w:p>
        </w:tc>
        <w:tc>
          <w:tcPr>
            <w:tcW w:w="5170" w:type="dxa"/>
            <w:vAlign w:val="center"/>
          </w:tcPr>
          <w:p w14:paraId="6514DC12">
            <w:pPr>
              <w:adjustRightInd w:val="0"/>
              <w:snapToGrid w:val="0"/>
              <w:jc w:val="left"/>
              <w:rPr>
                <w:rFonts w:hint="eastAsia" w:ascii="仿宋" w:hAnsi="仿宋" w:eastAsia="仿宋" w:cs="仿宋"/>
                <w:color w:val="auto"/>
                <w:sz w:val="21"/>
                <w:szCs w:val="21"/>
                <w:highlight w:val="none"/>
              </w:rPr>
            </w:pPr>
          </w:p>
        </w:tc>
      </w:tr>
      <w:tr w14:paraId="64F8F7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DFB065E">
            <w:pPr>
              <w:snapToGrid w:val="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第二节</w:t>
            </w:r>
          </w:p>
          <w:p w14:paraId="042DEA32">
            <w:pPr>
              <w:pStyle w:val="205"/>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第11.1款</w:t>
            </w:r>
          </w:p>
        </w:tc>
        <w:tc>
          <w:tcPr>
            <w:tcW w:w="1742" w:type="dxa"/>
            <w:vAlign w:val="center"/>
          </w:tcPr>
          <w:p w14:paraId="7C37E963">
            <w:pPr>
              <w:adjustRightInd w:val="0"/>
              <w:snapToGrid w:val="0"/>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其他应当保密的信息</w:t>
            </w:r>
          </w:p>
        </w:tc>
        <w:tc>
          <w:tcPr>
            <w:tcW w:w="5170" w:type="dxa"/>
            <w:vAlign w:val="center"/>
          </w:tcPr>
          <w:p w14:paraId="41D8DE64">
            <w:pPr>
              <w:adjustRightInd w:val="0"/>
              <w:snapToGrid w:val="0"/>
              <w:jc w:val="left"/>
              <w:rPr>
                <w:rFonts w:hint="eastAsia" w:ascii="仿宋" w:hAnsi="仿宋" w:eastAsia="仿宋" w:cs="仿宋"/>
                <w:color w:val="auto"/>
                <w:sz w:val="21"/>
                <w:szCs w:val="21"/>
                <w:highlight w:val="none"/>
              </w:rPr>
            </w:pPr>
          </w:p>
        </w:tc>
      </w:tr>
      <w:tr w14:paraId="435A7C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8DC04FA">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232385E2">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第1</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.2款</w:t>
            </w:r>
          </w:p>
        </w:tc>
        <w:tc>
          <w:tcPr>
            <w:tcW w:w="1742" w:type="dxa"/>
            <w:vAlign w:val="center"/>
          </w:tcPr>
          <w:p w14:paraId="40455045">
            <w:pPr>
              <w:adjustRightInd w:val="0"/>
              <w:snapToGrid w:val="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合同价款支付</w:t>
            </w:r>
            <w:r>
              <w:rPr>
                <w:rFonts w:hint="eastAsia" w:ascii="仿宋" w:hAnsi="仿宋" w:eastAsia="仿宋" w:cs="仿宋"/>
                <w:color w:val="auto"/>
                <w:sz w:val="21"/>
                <w:szCs w:val="21"/>
                <w:highlight w:val="none"/>
                <w:lang w:eastAsia="zh-CN"/>
              </w:rPr>
              <w:t>时间</w:t>
            </w:r>
          </w:p>
        </w:tc>
        <w:tc>
          <w:tcPr>
            <w:tcW w:w="5170" w:type="dxa"/>
            <w:vAlign w:val="center"/>
          </w:tcPr>
          <w:p w14:paraId="4D3E82D1">
            <w:pPr>
              <w:adjustRightInd w:val="0"/>
              <w:snapToGrid w:val="0"/>
              <w:jc w:val="left"/>
              <w:rPr>
                <w:rFonts w:hint="eastAsia" w:ascii="仿宋" w:hAnsi="仿宋" w:eastAsia="仿宋" w:cs="仿宋"/>
                <w:color w:val="auto"/>
                <w:sz w:val="21"/>
                <w:szCs w:val="21"/>
                <w:highlight w:val="none"/>
              </w:rPr>
            </w:pPr>
          </w:p>
        </w:tc>
      </w:tr>
      <w:tr w14:paraId="6079FA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545EFFE">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3F93E849">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w:t>
            </w:r>
            <w:r>
              <w:rPr>
                <w:rFonts w:hint="eastAsia" w:ascii="仿宋" w:hAnsi="仿宋" w:eastAsia="仿宋" w:cs="仿宋"/>
                <w:color w:val="auto"/>
                <w:sz w:val="21"/>
                <w:szCs w:val="21"/>
                <w:highlight w:val="none"/>
                <w:lang w:val="en-US" w:eastAsia="zh-CN"/>
              </w:rPr>
              <w:t>13.2</w:t>
            </w:r>
            <w:r>
              <w:rPr>
                <w:rFonts w:hint="eastAsia" w:ascii="仿宋" w:hAnsi="仿宋" w:eastAsia="仿宋" w:cs="仿宋"/>
                <w:color w:val="auto"/>
                <w:sz w:val="21"/>
                <w:szCs w:val="21"/>
                <w:highlight w:val="none"/>
              </w:rPr>
              <w:t>款</w:t>
            </w:r>
          </w:p>
        </w:tc>
        <w:tc>
          <w:tcPr>
            <w:tcW w:w="1742" w:type="dxa"/>
            <w:vAlign w:val="center"/>
          </w:tcPr>
          <w:p w14:paraId="594533A2">
            <w:pPr>
              <w:adjustRightInd w:val="0"/>
              <w:snapToGrid w:val="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履约保证金不予退还的情形</w:t>
            </w:r>
          </w:p>
        </w:tc>
        <w:tc>
          <w:tcPr>
            <w:tcW w:w="5170" w:type="dxa"/>
            <w:vAlign w:val="center"/>
          </w:tcPr>
          <w:p w14:paraId="2E8A3576">
            <w:pPr>
              <w:adjustRightInd w:val="0"/>
              <w:snapToGrid w:val="0"/>
              <w:jc w:val="left"/>
              <w:rPr>
                <w:rFonts w:hint="eastAsia" w:ascii="仿宋" w:hAnsi="仿宋" w:eastAsia="仿宋" w:cs="仿宋"/>
                <w:color w:val="auto"/>
                <w:sz w:val="21"/>
                <w:szCs w:val="21"/>
                <w:highlight w:val="none"/>
              </w:rPr>
            </w:pPr>
          </w:p>
        </w:tc>
      </w:tr>
      <w:tr w14:paraId="1D31E8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2688FE9">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78A8799E">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w:t>
            </w:r>
            <w:r>
              <w:rPr>
                <w:rFonts w:hint="eastAsia" w:ascii="仿宋" w:hAnsi="仿宋" w:eastAsia="仿宋" w:cs="仿宋"/>
                <w:color w:val="auto"/>
                <w:sz w:val="21"/>
                <w:szCs w:val="21"/>
                <w:highlight w:val="none"/>
                <w:lang w:val="en-US" w:eastAsia="zh-CN"/>
              </w:rPr>
              <w:t>13.3</w:t>
            </w:r>
            <w:r>
              <w:rPr>
                <w:rFonts w:hint="eastAsia" w:ascii="仿宋" w:hAnsi="仿宋" w:eastAsia="仿宋" w:cs="仿宋"/>
                <w:color w:val="auto"/>
                <w:sz w:val="21"/>
                <w:szCs w:val="21"/>
                <w:highlight w:val="none"/>
              </w:rPr>
              <w:t>款</w:t>
            </w:r>
          </w:p>
        </w:tc>
        <w:tc>
          <w:tcPr>
            <w:tcW w:w="1742" w:type="dxa"/>
            <w:vAlign w:val="center"/>
          </w:tcPr>
          <w:p w14:paraId="14E14F09">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履约保证金退还时间及</w:t>
            </w:r>
            <w:r>
              <w:rPr>
                <w:rFonts w:hint="eastAsia" w:ascii="仿宋" w:hAnsi="仿宋" w:eastAsia="仿宋" w:cs="仿宋"/>
                <w:color w:val="auto"/>
                <w:sz w:val="21"/>
                <w:szCs w:val="21"/>
                <w:highlight w:val="none"/>
                <w:lang w:eastAsia="zh-CN"/>
              </w:rPr>
              <w:t>逾期退还的</w:t>
            </w:r>
            <w:r>
              <w:rPr>
                <w:rFonts w:hint="eastAsia" w:ascii="仿宋" w:hAnsi="仿宋" w:eastAsia="仿宋" w:cs="仿宋"/>
                <w:color w:val="auto"/>
                <w:sz w:val="21"/>
                <w:szCs w:val="21"/>
                <w:highlight w:val="none"/>
              </w:rPr>
              <w:t>违约金</w:t>
            </w:r>
          </w:p>
        </w:tc>
        <w:tc>
          <w:tcPr>
            <w:tcW w:w="5170" w:type="dxa"/>
            <w:vAlign w:val="center"/>
          </w:tcPr>
          <w:p w14:paraId="1EC685F3">
            <w:pPr>
              <w:adjustRightInd w:val="0"/>
              <w:snapToGrid w:val="0"/>
              <w:jc w:val="left"/>
              <w:rPr>
                <w:rFonts w:hint="eastAsia" w:ascii="仿宋" w:hAnsi="仿宋" w:eastAsia="仿宋" w:cs="仿宋"/>
                <w:color w:val="auto"/>
                <w:sz w:val="21"/>
                <w:szCs w:val="21"/>
                <w:highlight w:val="none"/>
              </w:rPr>
            </w:pPr>
          </w:p>
        </w:tc>
      </w:tr>
      <w:tr w14:paraId="17D018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53F3CAC">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3E9DCCB2">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第1</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）项</w:t>
            </w:r>
          </w:p>
        </w:tc>
        <w:tc>
          <w:tcPr>
            <w:tcW w:w="1742" w:type="dxa"/>
            <w:vAlign w:val="center"/>
          </w:tcPr>
          <w:p w14:paraId="32CA4D6C">
            <w:pPr>
              <w:adjustRightInd w:val="0"/>
              <w:snapToGrid w:val="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运行监督、维修期限</w:t>
            </w:r>
          </w:p>
        </w:tc>
        <w:tc>
          <w:tcPr>
            <w:tcW w:w="5170" w:type="dxa"/>
            <w:vAlign w:val="center"/>
          </w:tcPr>
          <w:p w14:paraId="4055A7FF">
            <w:pPr>
              <w:adjustRightInd w:val="0"/>
              <w:snapToGrid w:val="0"/>
              <w:jc w:val="left"/>
              <w:rPr>
                <w:rFonts w:hint="eastAsia" w:ascii="仿宋" w:hAnsi="仿宋" w:eastAsia="仿宋" w:cs="仿宋"/>
                <w:color w:val="auto"/>
                <w:sz w:val="21"/>
                <w:szCs w:val="21"/>
                <w:highlight w:val="none"/>
              </w:rPr>
            </w:pPr>
          </w:p>
        </w:tc>
      </w:tr>
      <w:tr w14:paraId="1F188A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3CF5677">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5CCA8ACF">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第1</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）项</w:t>
            </w:r>
          </w:p>
        </w:tc>
        <w:tc>
          <w:tcPr>
            <w:tcW w:w="1742" w:type="dxa"/>
            <w:vAlign w:val="center"/>
          </w:tcPr>
          <w:p w14:paraId="34DF167D">
            <w:pPr>
              <w:adjustRightInd w:val="0"/>
              <w:snapToGrid w:val="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货物回收的约定</w:t>
            </w:r>
          </w:p>
        </w:tc>
        <w:tc>
          <w:tcPr>
            <w:tcW w:w="5170" w:type="dxa"/>
            <w:vAlign w:val="center"/>
          </w:tcPr>
          <w:p w14:paraId="37692DC4">
            <w:pPr>
              <w:adjustRightInd w:val="0"/>
              <w:snapToGrid w:val="0"/>
              <w:jc w:val="left"/>
              <w:rPr>
                <w:rFonts w:hint="eastAsia" w:ascii="仿宋" w:hAnsi="仿宋" w:eastAsia="仿宋" w:cs="仿宋"/>
                <w:color w:val="auto"/>
                <w:sz w:val="21"/>
                <w:szCs w:val="21"/>
                <w:highlight w:val="none"/>
              </w:rPr>
            </w:pPr>
          </w:p>
        </w:tc>
      </w:tr>
      <w:tr w14:paraId="384B12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D2C2905">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5A86A9B9">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第1</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）项</w:t>
            </w:r>
          </w:p>
        </w:tc>
        <w:tc>
          <w:tcPr>
            <w:tcW w:w="1742" w:type="dxa"/>
            <w:vAlign w:val="center"/>
          </w:tcPr>
          <w:p w14:paraId="78B43E9E">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乙方提供的其他服务</w:t>
            </w:r>
          </w:p>
        </w:tc>
        <w:tc>
          <w:tcPr>
            <w:tcW w:w="5170" w:type="dxa"/>
            <w:vAlign w:val="center"/>
          </w:tcPr>
          <w:p w14:paraId="56AD7B3B">
            <w:pPr>
              <w:adjustRightInd w:val="0"/>
              <w:snapToGrid w:val="0"/>
              <w:jc w:val="left"/>
              <w:rPr>
                <w:rFonts w:hint="eastAsia" w:ascii="仿宋" w:hAnsi="仿宋" w:eastAsia="仿宋" w:cs="仿宋"/>
                <w:color w:val="auto"/>
                <w:sz w:val="21"/>
                <w:szCs w:val="21"/>
                <w:highlight w:val="none"/>
              </w:rPr>
            </w:pPr>
          </w:p>
        </w:tc>
      </w:tr>
      <w:tr w14:paraId="56D95B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70AA1EF">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247DD853">
            <w:pPr>
              <w:adjustRightInd w:val="0"/>
              <w:snapToGrid w:val="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第1</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1款</w:t>
            </w:r>
          </w:p>
        </w:tc>
        <w:tc>
          <w:tcPr>
            <w:tcW w:w="1742" w:type="dxa"/>
            <w:vAlign w:val="center"/>
          </w:tcPr>
          <w:p w14:paraId="1ABBD8FA">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修理、重作、更换相关具体规定</w:t>
            </w:r>
          </w:p>
        </w:tc>
        <w:tc>
          <w:tcPr>
            <w:tcW w:w="5170" w:type="dxa"/>
            <w:vAlign w:val="center"/>
          </w:tcPr>
          <w:p w14:paraId="4B72FB4A">
            <w:pPr>
              <w:adjustRightInd w:val="0"/>
              <w:snapToGrid w:val="0"/>
              <w:jc w:val="left"/>
              <w:rPr>
                <w:rFonts w:hint="eastAsia" w:ascii="仿宋" w:hAnsi="仿宋" w:eastAsia="仿宋" w:cs="仿宋"/>
                <w:color w:val="auto"/>
                <w:sz w:val="21"/>
                <w:szCs w:val="21"/>
                <w:highlight w:val="none"/>
              </w:rPr>
            </w:pPr>
          </w:p>
        </w:tc>
      </w:tr>
      <w:tr w14:paraId="7F51F7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1D6884E">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4124A248">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第1</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.2（2）项</w:t>
            </w:r>
          </w:p>
        </w:tc>
        <w:tc>
          <w:tcPr>
            <w:tcW w:w="1742" w:type="dxa"/>
            <w:vAlign w:val="center"/>
          </w:tcPr>
          <w:p w14:paraId="06A5BF1D">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迟延交货赔偿费</w:t>
            </w:r>
          </w:p>
        </w:tc>
        <w:tc>
          <w:tcPr>
            <w:tcW w:w="5170" w:type="dxa"/>
            <w:vAlign w:val="center"/>
          </w:tcPr>
          <w:p w14:paraId="580BCBC5">
            <w:pPr>
              <w:adjustRightInd w:val="0"/>
              <w:snapToGrid w:val="0"/>
              <w:jc w:val="left"/>
              <w:rPr>
                <w:rFonts w:hint="eastAsia" w:ascii="仿宋" w:hAnsi="仿宋" w:eastAsia="仿宋" w:cs="仿宋"/>
                <w:color w:val="auto"/>
                <w:sz w:val="21"/>
                <w:szCs w:val="21"/>
                <w:highlight w:val="none"/>
                <w:u w:val="single"/>
              </w:rPr>
            </w:pPr>
          </w:p>
        </w:tc>
      </w:tr>
      <w:tr w14:paraId="054ED1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50D92CD">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253A823B">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第1</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3款</w:t>
            </w:r>
          </w:p>
        </w:tc>
        <w:tc>
          <w:tcPr>
            <w:tcW w:w="1742" w:type="dxa"/>
            <w:vAlign w:val="center"/>
          </w:tcPr>
          <w:p w14:paraId="528A168F">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逾期付款利息</w:t>
            </w:r>
          </w:p>
        </w:tc>
        <w:tc>
          <w:tcPr>
            <w:tcW w:w="5170" w:type="dxa"/>
            <w:vAlign w:val="center"/>
          </w:tcPr>
          <w:p w14:paraId="52C6CBD3">
            <w:pPr>
              <w:adjustRightInd w:val="0"/>
              <w:snapToGrid w:val="0"/>
              <w:jc w:val="left"/>
              <w:rPr>
                <w:rFonts w:hint="eastAsia" w:ascii="仿宋" w:hAnsi="仿宋" w:eastAsia="仿宋" w:cs="仿宋"/>
                <w:color w:val="auto"/>
                <w:sz w:val="21"/>
                <w:szCs w:val="21"/>
                <w:highlight w:val="none"/>
                <w:u w:val="single"/>
              </w:rPr>
            </w:pPr>
          </w:p>
        </w:tc>
      </w:tr>
      <w:tr w14:paraId="0A64C2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537B2461">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59C56F84">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第1</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0B72031F">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其他违约责任</w:t>
            </w:r>
          </w:p>
        </w:tc>
        <w:tc>
          <w:tcPr>
            <w:tcW w:w="5170" w:type="dxa"/>
            <w:tcBorders>
              <w:left w:val="single" w:color="auto" w:sz="2" w:space="0"/>
              <w:bottom w:val="single" w:color="auto" w:sz="2" w:space="0"/>
            </w:tcBorders>
            <w:vAlign w:val="center"/>
          </w:tcPr>
          <w:p w14:paraId="12C8CA18">
            <w:pPr>
              <w:adjustRightInd w:val="0"/>
              <w:snapToGrid w:val="0"/>
              <w:jc w:val="left"/>
              <w:rPr>
                <w:rFonts w:hint="eastAsia" w:ascii="仿宋" w:hAnsi="仿宋" w:eastAsia="仿宋" w:cs="仿宋"/>
                <w:color w:val="auto"/>
                <w:sz w:val="21"/>
                <w:szCs w:val="21"/>
                <w:highlight w:val="none"/>
                <w:u w:val="single"/>
              </w:rPr>
            </w:pPr>
          </w:p>
        </w:tc>
      </w:tr>
      <w:tr w14:paraId="791D50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073C016A">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69AEAD92">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w:t>
            </w:r>
            <w:r>
              <w:rPr>
                <w:rFonts w:hint="eastAsia" w:ascii="仿宋" w:hAnsi="仿宋" w:eastAsia="仿宋" w:cs="仿宋"/>
                <w:color w:val="auto"/>
                <w:sz w:val="21"/>
                <w:szCs w:val="21"/>
                <w:highlight w:val="none"/>
                <w:lang w:val="en-US" w:eastAsia="zh-CN"/>
              </w:rPr>
              <w:t>19</w:t>
            </w: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7F22EB4B">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解决争议的方法</w:t>
            </w:r>
          </w:p>
        </w:tc>
        <w:tc>
          <w:tcPr>
            <w:tcW w:w="5170" w:type="dxa"/>
            <w:tcBorders>
              <w:top w:val="single" w:color="auto" w:sz="2" w:space="0"/>
              <w:left w:val="single" w:color="auto" w:sz="2" w:space="0"/>
            </w:tcBorders>
            <w:vAlign w:val="center"/>
          </w:tcPr>
          <w:p w14:paraId="7D8426EF">
            <w:pPr>
              <w:autoSpaceDE w:val="0"/>
              <w:autoSpaceDN w:val="0"/>
              <w:adjustRightInd w:val="0"/>
              <w:snapToGrid w:val="0"/>
              <w:spacing w:line="400" w:lineRule="exact"/>
              <w:jc w:val="left"/>
              <w:rPr>
                <w:rFonts w:hint="eastAsia" w:ascii="仿宋" w:hAnsi="仿宋" w:eastAsia="仿宋" w:cs="仿宋"/>
                <w:b w:val="0"/>
                <w:bCs w:val="0"/>
                <w:iCs/>
                <w:color w:val="auto"/>
                <w:sz w:val="21"/>
                <w:szCs w:val="21"/>
                <w:highlight w:val="none"/>
              </w:rPr>
            </w:pPr>
            <w:r>
              <w:rPr>
                <w:rFonts w:hint="eastAsia" w:ascii="仿宋" w:hAnsi="仿宋" w:eastAsia="仿宋" w:cs="仿宋"/>
                <w:b w:val="0"/>
                <w:bCs w:val="0"/>
                <w:iCs/>
                <w:color w:val="auto"/>
                <w:sz w:val="21"/>
                <w:szCs w:val="21"/>
                <w:highlight w:val="none"/>
              </w:rPr>
              <w:t>因本合同及合同有关事项发生的争议，按下列第</w:t>
            </w:r>
            <w:r>
              <w:rPr>
                <w:rFonts w:hint="eastAsia" w:ascii="仿宋" w:hAnsi="仿宋" w:eastAsia="仿宋" w:cs="仿宋"/>
                <w:b w:val="0"/>
                <w:bCs w:val="0"/>
                <w:iCs/>
                <w:color w:val="auto"/>
                <w:sz w:val="21"/>
                <w:szCs w:val="21"/>
                <w:highlight w:val="none"/>
                <w:u w:val="single"/>
              </w:rPr>
              <w:t xml:space="preserve">   </w:t>
            </w:r>
            <w:r>
              <w:rPr>
                <w:rFonts w:hint="eastAsia" w:ascii="仿宋" w:hAnsi="仿宋" w:eastAsia="仿宋" w:cs="仿宋"/>
                <w:b w:val="0"/>
                <w:bCs w:val="0"/>
                <w:iCs/>
                <w:color w:val="auto"/>
                <w:sz w:val="21"/>
                <w:szCs w:val="21"/>
                <w:highlight w:val="none"/>
              </w:rPr>
              <w:t>种方式解决：</w:t>
            </w:r>
          </w:p>
          <w:p w14:paraId="7035F2A7">
            <w:pPr>
              <w:autoSpaceDE w:val="0"/>
              <w:autoSpaceDN w:val="0"/>
              <w:adjustRightInd w:val="0"/>
              <w:snapToGrid w:val="0"/>
              <w:spacing w:line="400" w:lineRule="exact"/>
              <w:jc w:val="left"/>
              <w:rPr>
                <w:rFonts w:hint="eastAsia" w:ascii="仿宋" w:hAnsi="仿宋" w:eastAsia="仿宋" w:cs="仿宋"/>
                <w:b w:val="0"/>
                <w:bCs w:val="0"/>
                <w:iCs/>
                <w:color w:val="auto"/>
                <w:sz w:val="21"/>
                <w:szCs w:val="21"/>
                <w:highlight w:val="none"/>
              </w:rPr>
            </w:pPr>
            <w:r>
              <w:rPr>
                <w:rFonts w:hint="eastAsia" w:ascii="仿宋" w:hAnsi="仿宋" w:eastAsia="仿宋" w:cs="仿宋"/>
                <w:b w:val="0"/>
                <w:bCs w:val="0"/>
                <w:iCs/>
                <w:color w:val="auto"/>
                <w:sz w:val="21"/>
                <w:szCs w:val="21"/>
                <w:highlight w:val="none"/>
              </w:rPr>
              <w:t>（1）向</w:t>
            </w:r>
            <w:r>
              <w:rPr>
                <w:rFonts w:hint="eastAsia" w:ascii="仿宋" w:hAnsi="仿宋" w:eastAsia="仿宋" w:cs="仿宋"/>
                <w:b w:val="0"/>
                <w:bCs w:val="0"/>
                <w:iCs/>
                <w:color w:val="auto"/>
                <w:sz w:val="21"/>
                <w:szCs w:val="21"/>
                <w:highlight w:val="none"/>
                <w:u w:val="single"/>
              </w:rPr>
              <w:t xml:space="preserve">                    </w:t>
            </w:r>
            <w:r>
              <w:rPr>
                <w:rFonts w:hint="eastAsia" w:ascii="仿宋" w:hAnsi="仿宋" w:eastAsia="仿宋" w:cs="仿宋"/>
                <w:b w:val="0"/>
                <w:bCs w:val="0"/>
                <w:iCs/>
                <w:color w:val="auto"/>
                <w:sz w:val="21"/>
                <w:szCs w:val="21"/>
                <w:highlight w:val="none"/>
              </w:rPr>
              <w:t>仲裁委员会申请仲裁，仲裁地点为</w:t>
            </w:r>
            <w:r>
              <w:rPr>
                <w:rFonts w:hint="eastAsia" w:ascii="仿宋" w:hAnsi="仿宋" w:eastAsia="仿宋" w:cs="仿宋"/>
                <w:b w:val="0"/>
                <w:bCs w:val="0"/>
                <w:iCs/>
                <w:color w:val="auto"/>
                <w:sz w:val="21"/>
                <w:szCs w:val="21"/>
                <w:highlight w:val="none"/>
                <w:u w:val="single"/>
              </w:rPr>
              <w:t xml:space="preserve">           </w:t>
            </w:r>
            <w:r>
              <w:rPr>
                <w:rFonts w:hint="eastAsia" w:ascii="仿宋" w:hAnsi="仿宋" w:eastAsia="仿宋" w:cs="仿宋"/>
                <w:b w:val="0"/>
                <w:bCs w:val="0"/>
                <w:iCs/>
                <w:color w:val="auto"/>
                <w:sz w:val="21"/>
                <w:szCs w:val="21"/>
                <w:highlight w:val="none"/>
              </w:rPr>
              <w:t>；</w:t>
            </w:r>
          </w:p>
          <w:p w14:paraId="3FD8EADD">
            <w:pPr>
              <w:adjustRightInd w:val="0"/>
              <w:snapToGrid w:val="0"/>
              <w:ind w:firstLine="0" w:firstLineChars="0"/>
              <w:jc w:val="left"/>
              <w:rPr>
                <w:rFonts w:hint="eastAsia" w:ascii="仿宋" w:hAnsi="仿宋" w:eastAsia="仿宋" w:cs="仿宋"/>
                <w:color w:val="auto"/>
                <w:sz w:val="21"/>
                <w:szCs w:val="21"/>
                <w:highlight w:val="none"/>
                <w:u w:val="single"/>
              </w:rPr>
            </w:pPr>
            <w:r>
              <w:rPr>
                <w:rFonts w:hint="eastAsia" w:ascii="仿宋" w:hAnsi="仿宋" w:eastAsia="仿宋" w:cs="仿宋"/>
                <w:b w:val="0"/>
                <w:bCs w:val="0"/>
                <w:iCs/>
                <w:color w:val="auto"/>
                <w:sz w:val="21"/>
                <w:szCs w:val="21"/>
                <w:highlight w:val="none"/>
              </w:rPr>
              <w:t>（2）向</w:t>
            </w:r>
            <w:r>
              <w:rPr>
                <w:rFonts w:hint="eastAsia" w:ascii="仿宋" w:hAnsi="仿宋" w:eastAsia="仿宋" w:cs="仿宋"/>
                <w:b w:val="0"/>
                <w:bCs w:val="0"/>
                <w:iCs/>
                <w:color w:val="auto"/>
                <w:sz w:val="21"/>
                <w:szCs w:val="21"/>
                <w:highlight w:val="none"/>
                <w:u w:val="single"/>
              </w:rPr>
              <w:t xml:space="preserve">                    </w:t>
            </w:r>
            <w:r>
              <w:rPr>
                <w:rFonts w:hint="eastAsia" w:ascii="仿宋" w:hAnsi="仿宋" w:eastAsia="仿宋" w:cs="仿宋"/>
                <w:b w:val="0"/>
                <w:bCs w:val="0"/>
                <w:iCs/>
                <w:color w:val="auto"/>
                <w:sz w:val="21"/>
                <w:szCs w:val="21"/>
                <w:highlight w:val="none"/>
              </w:rPr>
              <w:t>人民法院起诉。</w:t>
            </w:r>
          </w:p>
        </w:tc>
      </w:tr>
      <w:tr w14:paraId="3D619D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7FDCB779">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第二节</w:t>
            </w:r>
          </w:p>
          <w:p w14:paraId="5B1A2DFC">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第2</w:t>
            </w:r>
            <w:r>
              <w:rPr>
                <w:rFonts w:hint="eastAsia" w:ascii="仿宋" w:hAnsi="仿宋" w:eastAsia="仿宋" w:cs="仿宋"/>
                <w:color w:val="auto"/>
                <w:sz w:val="21"/>
                <w:szCs w:val="21"/>
                <w:highlight w:val="none"/>
                <w:lang w:val="en-US" w:eastAsia="zh-CN"/>
              </w:rPr>
              <w:t>3.1</w:t>
            </w:r>
            <w:r>
              <w:rPr>
                <w:rFonts w:hint="eastAsia" w:ascii="仿宋" w:hAnsi="仿宋" w:eastAsia="仿宋" w:cs="仿宋"/>
                <w:color w:val="auto"/>
                <w:sz w:val="21"/>
                <w:szCs w:val="21"/>
                <w:highlight w:val="none"/>
                <w:lang w:eastAsia="zh-CN"/>
              </w:rPr>
              <w:t>款</w:t>
            </w:r>
          </w:p>
        </w:tc>
        <w:tc>
          <w:tcPr>
            <w:tcW w:w="1742" w:type="dxa"/>
            <w:vAlign w:val="center"/>
          </w:tcPr>
          <w:p w14:paraId="7EFF9E5A">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lang w:eastAsia="zh-CN"/>
              </w:rPr>
              <w:t>其他专用条款</w:t>
            </w:r>
          </w:p>
        </w:tc>
        <w:tc>
          <w:tcPr>
            <w:tcW w:w="5170" w:type="dxa"/>
            <w:vAlign w:val="center"/>
          </w:tcPr>
          <w:p w14:paraId="7A3DBED8">
            <w:pPr>
              <w:adjustRightInd w:val="0"/>
              <w:snapToGrid w:val="0"/>
              <w:jc w:val="left"/>
              <w:rPr>
                <w:rFonts w:hint="eastAsia" w:ascii="仿宋" w:hAnsi="仿宋" w:eastAsia="仿宋" w:cs="仿宋"/>
                <w:color w:val="auto"/>
                <w:sz w:val="21"/>
                <w:szCs w:val="21"/>
                <w:highlight w:val="none"/>
                <w:lang w:val="en-US" w:eastAsia="zh-CN"/>
              </w:rPr>
            </w:pPr>
          </w:p>
        </w:tc>
      </w:tr>
    </w:tbl>
    <w:p w14:paraId="2F1E008A">
      <w:pPr>
        <w:rPr>
          <w:color w:val="auto"/>
          <w:highlight w:val="none"/>
        </w:rPr>
      </w:pPr>
    </w:p>
    <w:p w14:paraId="25BBB642">
      <w:pPr>
        <w:pStyle w:val="11"/>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1978D6B6">
      <w:pPr>
        <w:spacing w:line="440" w:lineRule="exact"/>
        <w:jc w:val="center"/>
        <w:outlineLvl w:val="0"/>
        <w:rPr>
          <w:rFonts w:hint="eastAsia" w:ascii="仿宋" w:hAnsi="仿宋" w:eastAsia="仿宋" w:cs="仿宋"/>
          <w:bCs/>
          <w:color w:val="auto"/>
          <w:sz w:val="24"/>
          <w:szCs w:val="24"/>
          <w:highlight w:val="none"/>
        </w:rPr>
      </w:pPr>
      <w:bookmarkStart w:id="58" w:name="_Toc32743"/>
      <w:r>
        <w:rPr>
          <w:rFonts w:hint="eastAsia" w:ascii="仿宋" w:hAnsi="仿宋" w:eastAsia="仿宋" w:cs="仿宋"/>
          <w:b/>
          <w:color w:val="auto"/>
          <w:sz w:val="24"/>
          <w:szCs w:val="24"/>
          <w:highlight w:val="none"/>
        </w:rPr>
        <w:t>第四章 技术标准和要求</w:t>
      </w:r>
      <w:bookmarkEnd w:id="58"/>
      <w:bookmarkStart w:id="59" w:name="_Toc138638538"/>
      <w:bookmarkEnd w:id="59"/>
      <w:bookmarkStart w:id="60" w:name="_Toc138638883"/>
      <w:bookmarkEnd w:id="60"/>
      <w:bookmarkStart w:id="61" w:name="_合同文件的组成及解释顺序"/>
      <w:bookmarkEnd w:id="61"/>
      <w:bookmarkStart w:id="62" w:name="_Toc138638510"/>
      <w:bookmarkEnd w:id="62"/>
      <w:bookmarkStart w:id="63" w:name="_Toc138638773"/>
      <w:bookmarkEnd w:id="63"/>
      <w:bookmarkStart w:id="64" w:name="_Toc138638535"/>
      <w:bookmarkEnd w:id="64"/>
      <w:bookmarkStart w:id="65" w:name="_Toc138639091"/>
      <w:bookmarkEnd w:id="65"/>
      <w:bookmarkStart w:id="66" w:name="_Toc138638884"/>
      <w:bookmarkEnd w:id="66"/>
      <w:bookmarkStart w:id="67" w:name="_Toc138639145"/>
      <w:bookmarkEnd w:id="67"/>
      <w:bookmarkStart w:id="68" w:name="_Toc138638907"/>
      <w:bookmarkEnd w:id="68"/>
      <w:bookmarkStart w:id="69" w:name="_Toc138638910"/>
      <w:bookmarkEnd w:id="69"/>
      <w:bookmarkStart w:id="70" w:name="_Toc138639074"/>
      <w:bookmarkEnd w:id="70"/>
      <w:bookmarkStart w:id="71" w:name="_Toc138638509"/>
      <w:bookmarkEnd w:id="71"/>
      <w:bookmarkStart w:id="72" w:name="_Toc138639090"/>
      <w:bookmarkEnd w:id="72"/>
      <w:bookmarkStart w:id="73" w:name="_Toc138638534"/>
      <w:bookmarkEnd w:id="73"/>
      <w:bookmarkStart w:id="74" w:name="_Toc138638719"/>
      <w:bookmarkEnd w:id="74"/>
      <w:bookmarkStart w:id="75" w:name="_Toc138638702"/>
      <w:bookmarkEnd w:id="75"/>
      <w:bookmarkStart w:id="76" w:name="_Toc138638906"/>
      <w:bookmarkEnd w:id="76"/>
      <w:bookmarkStart w:id="77" w:name="_Toc138638718"/>
      <w:bookmarkEnd w:id="77"/>
      <w:bookmarkStart w:id="78" w:name="_Toc531016893"/>
    </w:p>
    <w:p w14:paraId="004A0624">
      <w:pPr>
        <w:rPr>
          <w:rFonts w:hint="eastAsia" w:ascii="仿宋" w:hAnsi="仿宋" w:eastAsia="仿宋" w:cs="仿宋"/>
          <w:color w:val="auto"/>
          <w:highlight w:val="none"/>
          <w:lang w:val="en-US" w:eastAsia="zh-CN"/>
        </w:rPr>
      </w:pPr>
    </w:p>
    <w:p w14:paraId="7E73C62B">
      <w:pPr>
        <w:spacing w:line="360" w:lineRule="auto"/>
        <w:ind w:firstLine="360" w:firstLineChars="200"/>
        <w:rPr>
          <w:rFonts w:hint="eastAsia" w:ascii="仿宋" w:hAnsi="仿宋" w:eastAsia="仿宋" w:cs="仿宋"/>
          <w:bCs/>
          <w:color w:val="auto"/>
          <w:sz w:val="18"/>
          <w:szCs w:val="18"/>
          <w:highlight w:val="none"/>
          <w:lang w:val="en-US" w:eastAsia="zh-CN"/>
        </w:rPr>
      </w:pPr>
      <w:r>
        <w:rPr>
          <w:rFonts w:hint="eastAsia" w:ascii="仿宋" w:hAnsi="仿宋" w:eastAsia="仿宋" w:cs="仿宋"/>
          <w:bCs/>
          <w:color w:val="auto"/>
          <w:sz w:val="18"/>
          <w:szCs w:val="18"/>
          <w:highlight w:val="none"/>
        </w:rPr>
        <w:t>说明：投标人应注意采购人在技术规格中指出的参数、工艺、材料和设备等内容仅起说明作用，无任何倾向性或限制性</w:t>
      </w:r>
      <w:r>
        <w:rPr>
          <w:rFonts w:hint="eastAsia" w:ascii="仿宋" w:hAnsi="仿宋" w:eastAsia="仿宋" w:cs="仿宋"/>
          <w:bCs/>
          <w:color w:val="auto"/>
          <w:sz w:val="18"/>
          <w:szCs w:val="18"/>
          <w:highlight w:val="none"/>
          <w:lang w:eastAsia="zh-CN"/>
        </w:rPr>
        <w:t>；</w:t>
      </w:r>
      <w:r>
        <w:rPr>
          <w:rFonts w:hint="eastAsia" w:ascii="仿宋" w:hAnsi="仿宋" w:eastAsia="仿宋" w:cs="仿宋"/>
          <w:bCs/>
          <w:color w:val="auto"/>
          <w:sz w:val="18"/>
          <w:szCs w:val="18"/>
          <w:highlight w:val="none"/>
        </w:rPr>
        <w:t>任何品牌的产品均可依法参加本项目的采购活动。</w:t>
      </w:r>
      <w:r>
        <w:rPr>
          <w:rFonts w:hint="eastAsia" w:ascii="仿宋" w:hAnsi="仿宋" w:eastAsia="仿宋" w:cs="仿宋"/>
          <w:bCs/>
          <w:color w:val="auto"/>
          <w:sz w:val="18"/>
          <w:szCs w:val="18"/>
          <w:highlight w:val="none"/>
          <w:lang w:val="en-US" w:eastAsia="zh-CN"/>
        </w:rPr>
        <w:t>上述产品在安装调试中所需辅材费用包含在投标人投标产品的报价中，不再单独计取。</w:t>
      </w:r>
    </w:p>
    <w:p w14:paraId="6FE35897">
      <w:pPr>
        <w:pStyle w:val="2"/>
        <w:spacing w:line="360" w:lineRule="auto"/>
        <w:jc w:val="center"/>
        <w:outlineLvl w:val="1"/>
        <w:rPr>
          <w:rFonts w:hint="eastAsia"/>
          <w:color w:val="auto"/>
          <w:highlight w:val="none"/>
          <w:lang w:val="en-US" w:eastAsia="zh-CN"/>
        </w:rPr>
      </w:pPr>
      <w:bookmarkStart w:id="79" w:name="_Toc17295"/>
      <w:bookmarkStart w:id="80" w:name="_Toc2792"/>
      <w:r>
        <w:rPr>
          <w:rFonts w:hint="default" w:ascii="仿宋" w:hAnsi="仿宋" w:eastAsia="仿宋" w:cs="仿宋"/>
          <w:b/>
          <w:bCs/>
          <w:i w:val="0"/>
          <w:iCs w:val="0"/>
          <w:color w:val="auto"/>
          <w:kern w:val="0"/>
          <w:sz w:val="24"/>
          <w:szCs w:val="24"/>
          <w:highlight w:val="none"/>
          <w:u w:val="none"/>
          <w:lang w:val="en-US" w:eastAsia="zh-CN" w:bidi="ar"/>
        </w:rPr>
        <w:t>标项一、技术标准和要求</w:t>
      </w:r>
      <w:bookmarkEnd w:id="79"/>
      <w:bookmarkEnd w:id="80"/>
    </w:p>
    <w:tbl>
      <w:tblPr>
        <w:tblStyle w:val="38"/>
        <w:tblW w:w="84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2"/>
        <w:gridCol w:w="4374"/>
        <w:gridCol w:w="1686"/>
        <w:gridCol w:w="728"/>
        <w:gridCol w:w="804"/>
      </w:tblGrid>
      <w:tr w14:paraId="792BF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A69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bookmarkStart w:id="81" w:name="_Toc3298"/>
            <w:bookmarkEnd w:id="81"/>
            <w:r>
              <w:rPr>
                <w:rFonts w:hint="eastAsia" w:ascii="仿宋" w:hAnsi="仿宋" w:eastAsia="仿宋" w:cs="仿宋"/>
                <w:i w:val="0"/>
                <w:iCs w:val="0"/>
                <w:color w:val="auto"/>
                <w:kern w:val="0"/>
                <w:sz w:val="21"/>
                <w:szCs w:val="21"/>
                <w:highlight w:val="none"/>
                <w:u w:val="none"/>
                <w:lang w:val="en-US" w:eastAsia="zh-CN" w:bidi="ar"/>
              </w:rPr>
              <w:t>序号</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DBC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sz w:val="21"/>
                <w:szCs w:val="21"/>
                <w:highlight w:val="none"/>
              </w:rPr>
              <w:t>标的名称</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4F4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sz w:val="21"/>
                <w:szCs w:val="21"/>
                <w:highlight w:val="none"/>
                <w:lang w:val="en-US" w:eastAsia="zh-CN"/>
              </w:rPr>
              <w:t>技术规格</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BD53">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sz w:val="21"/>
                <w:szCs w:val="21"/>
                <w:highlight w:val="none"/>
              </w:rPr>
              <w:t>单位</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E23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数量</w:t>
            </w:r>
          </w:p>
        </w:tc>
      </w:tr>
      <w:tr w14:paraId="67A09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988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24A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无缝克隆试剂盒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2EE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20次x3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10AE">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396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7C40F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1C5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CFF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BL21(DE3)感受态细胞</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4E82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10×100μl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744C">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包</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84E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0B2DB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F65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D66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DH5α感受态细胞</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BDD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20×100μl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C013A">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包</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E3A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r>
      <w:tr w14:paraId="7A374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CD2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F99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K599感受态细胞</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D46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10×100μL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7346">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包</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551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6C977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AD9A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6EA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GV3101（pSoup-p19）感受态细胞</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3C1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10×100μL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2F6D">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包</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B25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552DE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D96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EE9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EHA105（pSoup）感受态细胞</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D7E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10×100μL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23BC">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包</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7251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6C72A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F45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2E7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Y2HGold感受态细胞</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04A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10×100μL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54CD">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包</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761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23364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41F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4B7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MS培养基基盐</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B9E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679F">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50A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5F560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597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582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D2000 DNA Marker</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414C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6A3A">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包</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297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r>
      <w:tr w14:paraId="2C627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9E0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021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D5000 DNA Marker</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2B3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A9FCE">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包</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FBC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54CC3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112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432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D15000 DNA Marker</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23E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0040">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包</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0CB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15241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79F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88C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Goldview</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579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1mL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FB97">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包</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5D0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r>
      <w:tr w14:paraId="613F0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ED72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3F0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琼脂粉</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DBE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100g</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7721">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A7A5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07896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936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20A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琼脂糖</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108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100g</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62E9">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015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r>
      <w:tr w14:paraId="0FA92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766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E70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蔗糖</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D41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500g</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DC03">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1A7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7A6FA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D2E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60C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改良型霍格兰营养液(干粉+浓缩液)</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84F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500L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79B1">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套</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E56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76E8D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BEC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196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200mM乙酰丁香酮溶液（除菌）</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76A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10mL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1CBD">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6E3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1ADE6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8D2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30D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pYES2（INVSc1）酵母表达套装</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AD9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1Set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B39B">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套</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DFD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683D4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D44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E8A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LB Broth / LB肉汤（干粉）</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C12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500g</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14CE">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E7D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0B56F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1A9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0FA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GUS染色试剂盒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A89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50mL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6C98">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B3F6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39D57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47D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874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200mM乙酰丁香酮溶液（除菌）</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F55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10mL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EAF9">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5F4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300DB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9EF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141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TBE缓冲液</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FF4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50×0.5L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5E68">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C364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2B7AA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318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0ED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TAE缓冲液</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77F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50×1L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B128">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497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0F67D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AFB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E01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质粒小提试剂盒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286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200T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38F8">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F58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r>
      <w:tr w14:paraId="538C1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8B9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203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琼脂糖凝胶DNA回收试剂盒 (增强型)</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011B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200T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1869">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BFA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7D3C2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0D5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FB6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新型植物基因组DNA提取试剂盒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E44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200T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EEEBB">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40E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r>
      <w:tr w14:paraId="55996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434D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A2C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多糖多酚RNA提取试剂盒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838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3316">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025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6F581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A0B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A09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2×Phanta Max Master Mix (Dye Plus)</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D17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15×1ml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DFD1">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包</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D51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5A246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72A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8AD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2×Taq Plus Master Mix Ⅱ（Dye Plus）</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B00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50×1ml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84EE">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包</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85F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22B00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1C0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547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5X All-In-One RT MasterMix</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4E7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100*20μL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0CD5">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D35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2407A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4C7A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395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过氧化物酶（POD）测试盒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35A2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100管/96样</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1747">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CFA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48418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40E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C59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过氧化氢酶（CAT）测试盒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0C4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100管/96样</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4EA1">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E9A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5E1D1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BAB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1D6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超氧化物歧化酶（SOD）测试盒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4AF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100管/96样</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2DCA0">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A16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59B0F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635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F74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丙二醛（MDA）测试盒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B1A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100管/96样</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B439">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686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175FC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934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E48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植物可溶性糖含量测试盒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83B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100管/96样</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8FB1">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E0B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2E74E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842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E4F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脯氨酸（PRO）含量测试盒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EB2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100管/96样</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4E1B">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529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7B355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7C0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DE3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过氧化氢(H202)试剂盒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501B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100管/96样</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1565">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09D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30128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702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E98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超氧阴离子含量/超氧阴离子产生速率测试盒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FB9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100管/96样</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BF36">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407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487AB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AE2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3AC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植物叶绿素含量试剂盒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BC6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100管/96样</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CA5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894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308D1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38E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33C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多酚氧化酶(PPO)试剂盒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53A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100管/48样</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099C">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85D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16A6C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C86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5618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抗坏血酸过氧化物酶(APX)活性测试</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747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100管/96样</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95A1">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020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1CA7A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101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686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植物总酚测试盒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E5F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100管/48样</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8A70A">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9B9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3CA7D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C00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0B5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半纤维素含量测试盒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015D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100管/96样</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33D6">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3536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03150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0AB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C52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植物类黄酮含量测试盒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0CD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100管/96样</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6D5C">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B7F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127AE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E43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640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一次性塑料培养皿</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7E1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90mm</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2790">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箱</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E76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r>
      <w:tr w14:paraId="49A13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55C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DD5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三角瓶封口膜</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0C9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140mm*140mm</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33C8">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66F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33AAA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983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47</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BE8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三角瓶封口膜</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29E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160mm*160mm</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0EA8">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2F1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7350E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A11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A48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封口膜</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478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pm996</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C968">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567F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w:t>
            </w:r>
          </w:p>
        </w:tc>
      </w:tr>
      <w:tr w14:paraId="04816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DBC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49</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11A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9cm定性滤纸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E66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50盒/箱</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DDD8">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箱</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920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r>
      <w:tr w14:paraId="2BD90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2AA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2C9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7cm定性滤纸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0A8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50盒/箱</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B3F6">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箱</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D3E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r>
      <w:tr w14:paraId="1A1C0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70BB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51</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C0A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10ul吸头</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A3A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70袋/箱</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39D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箱</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3FA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r>
      <w:tr w14:paraId="25A01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D6F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E54B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200ul吸头</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C6E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25袋/箱</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05D1">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箱</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42C7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0FB31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A51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53</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591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1mL吸头</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2A08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10袋/箱</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96FD">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箱</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017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r>
      <w:tr w14:paraId="169EF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322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54</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669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PCR8联管&amp;盖</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B8D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12PK/CS</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1EE8">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箱</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CDD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r>
      <w:tr w14:paraId="6AFE8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908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041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荧光定量PCR板</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526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12PK/CS</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9713">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箱</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6FF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1B094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214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56</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62D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荧光定量封板膜</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DFD2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10/PK</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725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包</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AD5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w:t>
            </w:r>
          </w:p>
        </w:tc>
      </w:tr>
      <w:tr w14:paraId="14BA4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8C9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57</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912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1.5ml离心管</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849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8包/箱</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0615">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箱</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0A0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323D8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7E5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58</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A7A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2.0ml离心管</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C41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8包/箱</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364C">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箱</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A13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2E7C4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25C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59</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2FE0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50ml离心管</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A21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16包/箱</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6C8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箱</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89C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4699D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FD6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941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Bar试纸简装</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01B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100条/盒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9B39">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6C8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r>
      <w:tr w14:paraId="37571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CBC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61</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305C">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乳胶手套</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870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20盒/箱</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328D">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箱</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A740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1E19A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74B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62</w:t>
            </w:r>
          </w:p>
        </w:tc>
        <w:tc>
          <w:tcPr>
            <w:tcW w:w="4374" w:type="dxa"/>
            <w:tcBorders>
              <w:top w:val="nil"/>
              <w:left w:val="single" w:color="000000" w:sz="4" w:space="0"/>
              <w:bottom w:val="single" w:color="000000" w:sz="4" w:space="0"/>
              <w:right w:val="single" w:color="000000" w:sz="4" w:space="0"/>
            </w:tcBorders>
            <w:shd w:val="clear" w:color="auto" w:fill="auto"/>
            <w:vAlign w:val="center"/>
          </w:tcPr>
          <w:p w14:paraId="519E4977">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核/膜蛋⽩酵⺟双杂交建库 试剂盒（5T）</w:t>
            </w:r>
          </w:p>
        </w:tc>
        <w:tc>
          <w:tcPr>
            <w:tcW w:w="1686" w:type="dxa"/>
            <w:tcBorders>
              <w:top w:val="nil"/>
              <w:left w:val="single" w:color="000000" w:sz="4" w:space="0"/>
              <w:bottom w:val="single" w:color="000000" w:sz="4" w:space="0"/>
              <w:right w:val="single" w:color="000000" w:sz="4" w:space="0"/>
            </w:tcBorders>
            <w:shd w:val="clear" w:color="auto" w:fill="auto"/>
            <w:vAlign w:val="center"/>
          </w:tcPr>
          <w:p w14:paraId="4972A8D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5次</w:t>
            </w:r>
          </w:p>
        </w:tc>
        <w:tc>
          <w:tcPr>
            <w:tcW w:w="728" w:type="dxa"/>
            <w:tcBorders>
              <w:top w:val="nil"/>
              <w:left w:val="single" w:color="000000" w:sz="4" w:space="0"/>
              <w:bottom w:val="single" w:color="000000" w:sz="4" w:space="0"/>
              <w:right w:val="single" w:color="000000" w:sz="4" w:space="0"/>
            </w:tcBorders>
            <w:shd w:val="clear" w:color="auto" w:fill="auto"/>
            <w:vAlign w:val="center"/>
          </w:tcPr>
          <w:p w14:paraId="4CF183A7">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nil"/>
              <w:left w:val="single" w:color="000000" w:sz="4" w:space="0"/>
              <w:bottom w:val="single" w:color="000000" w:sz="4" w:space="0"/>
              <w:right w:val="single" w:color="000000" w:sz="4" w:space="0"/>
            </w:tcBorders>
            <w:shd w:val="clear" w:color="auto" w:fill="auto"/>
            <w:vAlign w:val="center"/>
          </w:tcPr>
          <w:p w14:paraId="070B710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14:paraId="13307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88F0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63</w:t>
            </w:r>
          </w:p>
        </w:tc>
        <w:tc>
          <w:tcPr>
            <w:tcW w:w="4374" w:type="dxa"/>
            <w:tcBorders>
              <w:top w:val="nil"/>
              <w:left w:val="nil"/>
              <w:bottom w:val="nil"/>
              <w:right w:val="nil"/>
            </w:tcBorders>
            <w:shd w:val="clear" w:color="auto" w:fill="auto"/>
            <w:vAlign w:val="center"/>
          </w:tcPr>
          <w:p w14:paraId="5105B291">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Y2HGold-GAL4系统酵母双杂互作验证试剂盒</w:t>
            </w:r>
          </w:p>
        </w:tc>
        <w:tc>
          <w:tcPr>
            <w:tcW w:w="1686" w:type="dxa"/>
            <w:tcBorders>
              <w:top w:val="nil"/>
              <w:left w:val="single" w:color="000000" w:sz="4" w:space="0"/>
              <w:bottom w:val="single" w:color="000000" w:sz="4" w:space="0"/>
              <w:right w:val="single" w:color="000000" w:sz="4" w:space="0"/>
            </w:tcBorders>
            <w:shd w:val="clear" w:color="auto" w:fill="auto"/>
            <w:vAlign w:val="center"/>
          </w:tcPr>
          <w:p w14:paraId="06A2A87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10次</w:t>
            </w:r>
          </w:p>
        </w:tc>
        <w:tc>
          <w:tcPr>
            <w:tcW w:w="728" w:type="dxa"/>
            <w:tcBorders>
              <w:top w:val="nil"/>
              <w:left w:val="single" w:color="000000" w:sz="4" w:space="0"/>
              <w:bottom w:val="single" w:color="000000" w:sz="4" w:space="0"/>
              <w:right w:val="single" w:color="000000" w:sz="4" w:space="0"/>
            </w:tcBorders>
            <w:shd w:val="clear" w:color="auto" w:fill="auto"/>
            <w:vAlign w:val="center"/>
          </w:tcPr>
          <w:p w14:paraId="05DF1E0B">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nil"/>
              <w:left w:val="single" w:color="000000" w:sz="4" w:space="0"/>
              <w:bottom w:val="single" w:color="000000" w:sz="4" w:space="0"/>
              <w:right w:val="single" w:color="000000" w:sz="4" w:space="0"/>
            </w:tcBorders>
            <w:shd w:val="clear" w:color="auto" w:fill="auto"/>
            <w:vAlign w:val="center"/>
          </w:tcPr>
          <w:p w14:paraId="70ACB72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14:paraId="6C1FF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C8BD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64</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5CC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多糖多酚植物基因组DNA提取盒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DDB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9A93">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F4A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r>
      <w:tr w14:paraId="5EC98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488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C1B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SuperReal 荧光定量预混试剂增强版(SYBR Green)</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446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500次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30359">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8CD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r>
      <w:tr w14:paraId="66A3F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BA4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66</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3D6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FastKing cDNA 第一链合成kit    ( 去基因组 )</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B41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0D10">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17F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00452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F21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67</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E87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RNAprep Pure 多糖多酚植物总 RNA提取kit</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7D9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76EA">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107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3710E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6E0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68</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790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普通 DNA 产物纯化kit</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DA6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576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E06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w:t>
            </w:r>
          </w:p>
        </w:tc>
      </w:tr>
      <w:tr w14:paraId="46947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9C4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69</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883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快速质粒小提kit</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995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200次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FD83">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CFD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61058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C29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B98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质粒小提测试盒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8EC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200次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2791">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9A3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43856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7B3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71</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22A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2×Taq Plus Master Mix Ⅱ（Dye Plus）</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963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50×1ml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33B5">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DF56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749FF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973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72</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A53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2×Rapid Taq Master Mix</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D13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50×1ml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AA18">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E0A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5EC0F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F7E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73</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EBA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植物基因组DNA提取测试盒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F72F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200次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677A">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852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07900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35E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74</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DA3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无内毒素质粒大提试剂盒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EAD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3DD8">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AD7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7584B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C7C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75</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22F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Uniclone One Step Seamless Cloning Kit</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733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10000rxns</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797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FD3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5545B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34B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76</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D35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高速、高保真、高成功率PCR Master Mix</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F65C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1ml×5支</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93AE">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FDE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6855E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30F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77</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6DF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植物总酚（TP）含量测试盒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D75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100T/48S</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A81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8E50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5D635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647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78</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924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植物脂氧合酶 (LOX)活性测试盒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0C4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100T/96S</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1D21">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AF5A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49E2F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085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79</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057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抗坏血酸过氧化物酶(APX)活性测试盒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B6C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100T/96S</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ACC0">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195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4BB87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495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E90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还原型谷胱甘肽(GSH)含量测试盒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12C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100T/96S</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FB3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9D3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2E4F0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877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81</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C17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超氧化物歧化酶测试盒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C8C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100T/48S</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4481">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806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2EA9D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3E2E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399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脯氨酸(Pro)含量测试盒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89D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100T/96S</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0C4A">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245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5DEF9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79D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83</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AE0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丙二醛(MDA)含量测试盒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76B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100T/96S</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20E8">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37B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3A213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70E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84</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1E4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过氧化氢酶(CAT)测试盒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DEE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100T/96S</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20F9">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3AF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5C792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06B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5A9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植物可溶性糖含量测试盒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0DC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100T/96S</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1E3B">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F93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7416B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6F44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86</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F85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1.5ml离心管</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61B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8包/箱</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4CDC">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箱</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0E4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5C5AB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2C3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87</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F1E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2.0ml离心管</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7BC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8包/箱</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E4EC">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箱</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F2D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48838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55B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88</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4038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50ml离心管</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EE0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16包/箱</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85C0">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箱</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603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6898C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504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89</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E2D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乳胶手套</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CD6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S/M/L（每个尺码2箱，一共6箱）</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02E0">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箱</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7D5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r>
      <w:tr w14:paraId="7BDEF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8FF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F16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超氧化物歧化酶活性检测试剂盒（NBT法）</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02D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100管/96样</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A0D8">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96F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r>
      <w:tr w14:paraId="29860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B7E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91</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758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丙二醛含量检测试剂盒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176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100管/96样</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71F7">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D8C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r>
      <w:tr w14:paraId="574F8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DA4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92</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1542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可溶性蛋白含量检测试剂盒（考马斯亮蓝法）</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5DB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100管/96样</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237C">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DF1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r>
      <w:tr w14:paraId="29DEA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B16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93</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432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植物可溶性糖含量检测试剂盒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9FC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100管/96样</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39CFD">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EB7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r>
      <w:tr w14:paraId="17C6D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FC9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94</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421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过氧化物酶活性检测试剂盒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501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100管/96样</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B755">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96F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r>
      <w:tr w14:paraId="7C53B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EA9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95</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D87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过氧化氢酶活性检测试剂盒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04D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120T/50S</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E03C">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046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710DC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2AC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96</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127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超氧化物歧化酶活性检测试剂盒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423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110T/50S</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390E">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3D2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0CB96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711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97</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F1C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多酚氧化酶活性检测试剂盒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96C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110T/50S</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8139">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AA5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40C1B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078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98</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A27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植物抗坏血酸含量检测试剂盒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9F2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110T/100S</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4600">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058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0F20F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719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99</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E06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植物抗坏血酸氧化酶活性检测试剂盒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047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110T/100S</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A367">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968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2C60A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B8B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B4D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脯氨酸含量检测试剂盒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F37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120T/100S</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A1C8">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6B2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211C5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A02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101</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63F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植物类黄酮含量检测试剂盒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DE90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100T/48S</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48F9">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805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66C13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150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102</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F345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淀粉含量检测试剂盒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095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100T/96S</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A06B">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D79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51EA5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622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103</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0C4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纤维素含量检测试剂盒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D1D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100T/96S</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38B3">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C53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35F2F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EAD0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104</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56D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半纤维素含量检测试剂盒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941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100T/96S</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E447">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FA4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050FA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8B99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105</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DEE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植物总酚含量检测试剂盒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9C3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100T/48S</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3FE5">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E29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68088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E67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106</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872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植物脂氧合酶活性检测试剂盒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FC5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100T/96S</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5C76">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096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1EF64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981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107</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7B2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DL2,000 DNA Marker</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C1E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500 μl × 2</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B80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袋</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14D9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6AAED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B80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108</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B96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2×Phanta Max Master Mix (Dye Plus)</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0757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15×1ml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24D3">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袋</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236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r>
      <w:tr w14:paraId="5E944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40D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109</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A13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 × Rapid Taq Master Mix</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2BB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15×1ml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3120">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袋</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355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r>
      <w:tr w14:paraId="3417A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031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110</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386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 min TA/Blunt-Zero Cloning Kit</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D35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 rxns</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A02A">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袋</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07C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r>
      <w:tr w14:paraId="34CA4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6B12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111</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4BB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DH5α感受态细胞</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A02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20×100μL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F9AE">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袋</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B39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r>
      <w:tr w14:paraId="6296F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1BC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112</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139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BL21感受态细胞</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BEE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10×100μL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2AD7">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袋</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964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0F038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196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113</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0B8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AH109感受态细胞</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DFE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10×100μL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F091">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袋</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6EB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0BDC3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38C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114</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D29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GV3101感受态细胞</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1B66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10×100μL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5D9E">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袋</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C46F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0D28E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EA1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115</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869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EHA105感受态细胞</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9CF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10×100μL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693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袋</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76F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216B0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BAE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116</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569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GelRed核酸染料</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D71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500ul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DE73">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袋</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1E0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4BD36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F01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117</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326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琼脂粉</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BFA1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500g</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DA29E">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罐</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E55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22CB8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03E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118</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E9B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LB肉汤</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282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500g</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D707">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罐</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79B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7095E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175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119</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BAFA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MS培养基</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5F1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1kg</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E8C9">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罐</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2F7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01969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40F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120</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D46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蔗糖</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871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500g</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E075">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罐</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FA8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5375E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C7E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121</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BF2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琼脂糖</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911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100g</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6BE8">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罐</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D5F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15A69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966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122</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F98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PCR八联管</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E52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125 /PK</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D1ED">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袋</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EE5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56649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DD0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123</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9C9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无色离心管</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C66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1.5ml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850F">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箱</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52F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28364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061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124</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167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一次性塑料涂布棒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9E33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100袋/包,</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68B8">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包</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C40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377A8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DEF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125</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5BB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一次性塑料培养皿</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46F3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500个/箱</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D2E3">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箱</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76E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3B793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049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126</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B93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10ul吸头</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6F5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40包/箱</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2686">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箱</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CC2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1DBFE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5925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127</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5F0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200ul吸头(黄)</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5348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16包/箱</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1ADF">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箱</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9C1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1344E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6F3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128</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4D1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1mL吸头(蓝)</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0E0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8包/箱</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018C">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箱</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97B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477B9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388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129</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A10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乳胶手套</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657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S/M/L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E35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箱</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032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1733C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FDA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130</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40E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miRcute增强型miRNA cDNA链合成试剂盒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0CF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20uL×50 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23D6">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A44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21BB3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2CD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131</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41A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miRcute增强型miRNA荧光定量检测试剂盒(SYBR Green)</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E24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20uL×500 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F4E5">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00C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2ABA2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C8E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132</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6C5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多糖多酚植物基因组DNA提取试剂盒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A1D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6B4B">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886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r>
      <w:tr w14:paraId="61D62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09F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133</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667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SuperReal 荧光定量预混试剂增强版(SYBR Green)</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E18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500次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12CA">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E65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r>
      <w:tr w14:paraId="0254B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E72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134</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FC2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FastKing cDNA 第一链合成试剂盒( 去基因组 )</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1DE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F7CF">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C47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r>
      <w:tr w14:paraId="03A10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BA9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135</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7CF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RNAprep Pure 多糖多酚植物总 RNA提取试剂盒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233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6651">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B96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r>
      <w:tr w14:paraId="48D31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3D7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136</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2CC1">
            <w:pPr>
              <w:keepNext w:val="0"/>
              <w:keepLines w:val="0"/>
              <w:widowControl/>
              <w:suppressLineNumbers w:val="0"/>
              <w:jc w:val="center"/>
              <w:textAlignment w:val="center"/>
              <w:rPr>
                <w:rFonts w:hint="default"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auto"/>
                <w:kern w:val="0"/>
                <w:sz w:val="21"/>
                <w:szCs w:val="21"/>
                <w:highlight w:val="none"/>
                <w:u w:val="none"/>
                <w:lang w:val="en-US" w:eastAsia="zh-CN" w:bidi="ar"/>
              </w:rPr>
              <w:t>普通DNA产物纯化试剂盒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513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8719">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250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w:t>
            </w:r>
          </w:p>
        </w:tc>
      </w:tr>
      <w:tr w14:paraId="31552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5B1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137</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A3E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快速质粒小提试剂盒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B5C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200次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E873">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F75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63087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9C1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138</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C19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质粒小提试剂盒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EFD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200次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3BC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516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36B9A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656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139</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0FCD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植物基因组DNA提取试剂盒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C963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200次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B031">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C75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r>
      <w:tr w14:paraId="73250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FB9B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140</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9D2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无内毒素质粒大提试剂盒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680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4E56">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D88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r>
      <w:tr w14:paraId="30C0F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ECC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141</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2D8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荧光定量封板膜</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A03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10/PK</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2693">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袋</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5F8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w:t>
            </w:r>
          </w:p>
        </w:tc>
      </w:tr>
      <w:tr w14:paraId="76D60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B8B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142</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883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10ul吸头</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99F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40袋/箱</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39DF">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箱</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A16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3D10F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7A6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143</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3B94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200ul吸头(黄)</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FEE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25袋/箱</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631C">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箱</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FF3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01EED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8BD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144</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DFB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1mL吸头(蓝)</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3E8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10袋/箱</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7A6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箱</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B9E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3CCE5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5E0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145</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DC9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2ml冻存管</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BBE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500支/包</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BE80">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箱</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8F6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2EFD8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389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146</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D70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5ml冻存管</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764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200支/包</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5FD1">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箱</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B62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18BF9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6B1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147</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DBD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10ml冻存管</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28D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100支/包</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524F">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箱</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12D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27AAE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E47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148</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7DC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一次性塑料培养皿</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D29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90mm</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8333">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箱</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B73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r>
      <w:tr w14:paraId="1AB6D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BBE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149</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3F5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三角瓶封口膜</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A85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160mm*160mm</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437B">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箱</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3680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25A19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73E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EA8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封口膜</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AE4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pm996</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C8C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99B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w:t>
            </w:r>
          </w:p>
        </w:tc>
      </w:tr>
      <w:tr w14:paraId="29CEE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B5E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151</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B6E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定性滤纸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B2E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9cm</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EA0B">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4FC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49169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B41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152</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321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2×Taq PCR Mix</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0F0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5×1ml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A871">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袋</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76B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r>
      <w:tr w14:paraId="455B0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0A6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153</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1FEF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D2000分子量标准</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161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200 lanes</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AF3D">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袋</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B18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65B7F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3F9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154</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726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琼脂糖凝胶DNA回收试剂盒 (增强型)</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E7D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200次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3699">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936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08226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386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155</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9F3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RNAprep Pure 多糖多酚植物总 RNA提取试剂盒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922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C02A">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202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7A8CF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5330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156</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022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miRcute增强型miRNA荧光定量检测试剂盒（SYBR Green）</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291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20µl×500rxn</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233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6BC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29AF2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55B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157</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D71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2×Pfu PCR预混试剂</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367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5ml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1AAE">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E40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r>
      <w:tr w14:paraId="6AB3F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B16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158</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8DC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miRcute增强型miRNA cDNA第一链合成试剂盒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6D8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20µl×50rxn</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877D">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D06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r>
      <w:tr w14:paraId="2C5EC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9DA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159</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8F20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新型植物基因组DNA提取试剂盒（离心柱型）</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BDE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200次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09CF">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433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r>
      <w:tr w14:paraId="5067B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C0C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160</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A16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质粒小提试剂盒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AF3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200次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8DF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643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r>
      <w:tr w14:paraId="71C8E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BFD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161</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F1B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凝胶配制试剂聚合溶液/Acr-Bis 29:1,30%溶液</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4DA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500ml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4E6E">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05E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r>
      <w:tr w14:paraId="3BE95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C83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162</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0C2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TAE(50X)</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628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500ml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4DBB">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7B70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r>
      <w:tr w14:paraId="391A1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694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163</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57A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0.2ml非荧光定量八排管</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14A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200条/包</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AF08">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包</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A73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576A5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3FA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164</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A3B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白色进样瓶</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138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100个/盒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6A75">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B5F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r>
      <w:tr w14:paraId="06F70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E24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165</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8D87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Rifampicin 利福平</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755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1g</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8FC47">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DB9D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14:paraId="736EB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F14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166</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A6C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去离子水 Deionized Water</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318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500ml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E3D9">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BD8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23701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284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167</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9AA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5*TBE Buffer</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20A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500ML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9136">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532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34243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C9F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168</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255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RNaseA（10mg/1ml）</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168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1ml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C35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8CB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5DADE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D16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169</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1D4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Surose 蔗糖</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159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500g</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F338">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14FE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14:paraId="771DD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630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170</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8D3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Tween-20 吐温-20</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3C6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100ml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2B38">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2D0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14:paraId="3C59B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345A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171</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C77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SuperReal 荧光定量预混试剂增强版</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13D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500rxns</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2DFC">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D90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r>
      <w:tr w14:paraId="09756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0C5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172</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1DB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称量纸  100*100（加厚）</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364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500张/包</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C958">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包</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664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14:paraId="42B5B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45D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173</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B23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定性滤纸   15cm（中速）</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148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15cm（中速）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9881">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687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3C1A2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71A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174</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CB3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有机系过滤器13mm 0.22um   (绿色）</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2ED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100个/盒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3D37">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626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r>
      <w:tr w14:paraId="13A60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625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175</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6D9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BL21(DE3)感受态细胞</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922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20×100μl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54C5">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袋</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437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059AA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486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176</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69C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DH5α感受态细胞</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7AE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20×100μl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D9EA">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袋</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5109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1FB9D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F47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177</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8FF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TEMED</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069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10ML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530B">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E84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r>
      <w:tr w14:paraId="03BDC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4CB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178</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34C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F3 单道可变量程移液器 100-1000ul</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26C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100-1000ul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3258">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E0A8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r>
      <w:tr w14:paraId="278FA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F3D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179</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80E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F3 单道可变量程移液器 1-10ml</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82E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1-10ml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913A">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AD05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r>
      <w:tr w14:paraId="34C22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641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180</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769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F3 单道可变量程移液器0.5-5ml</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F2A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0.5-5ml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3A90">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25F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r>
      <w:tr w14:paraId="49D5E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19F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181</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986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1000-5000ul单道手动移液器</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02A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1000-5000ul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0D7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124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r>
      <w:tr w14:paraId="70C9B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BA3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182</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EE2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1000-10000ul单道手动移液器</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B82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1000-10000ul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48C7">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86F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r>
      <w:tr w14:paraId="294A1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6A2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183</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E84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分析柱</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8C0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4.6*250mm</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29A0">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F22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14:paraId="37BAD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C7B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184</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32F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2-10ml单道手动移液器</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5C2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2-10ml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8C6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2F7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r>
      <w:tr w14:paraId="27B62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DA6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185</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B31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乳胶手套/抽取式</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A5A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100只/盒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9405">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6C6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w:t>
            </w:r>
          </w:p>
        </w:tc>
      </w:tr>
      <w:tr w14:paraId="26A32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477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186</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97D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砂芯过滤装置</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637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1000mL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3915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E112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14:paraId="661DC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9F7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187</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08A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记号笔（黑）</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B41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双头</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93619">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9E6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481B2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79B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188</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30F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记号笔(红）</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A9B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双头</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F05A">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AD6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5DAEA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033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189</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EA4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记号笔（蓝）</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F45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双头</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F447F">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230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59DB6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878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5D9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微孔滤膜 有机系</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27C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0.22*50mm</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495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68E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43CDB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C15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191</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3B5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一次性针头过滤器 有机系 0.45um*13mm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FA0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0.45um*13mm</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8B7F">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04D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r>
      <w:tr w14:paraId="74ADD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EF9D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192</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087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改良型霍格兰营养液(干粉+浓缩液)</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1FA4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500L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D73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816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5E66E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592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193</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EF6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MS培养基</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FEE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C47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48A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07DC1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20A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194</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2AF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12%surePAGE预制胶</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629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10板/盒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1A76">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08C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r>
      <w:tr w14:paraId="7BFDE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B0F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195</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61A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HiScript II Q Select RT SuperMix for qPCR(+gDNA wiper)</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484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100rxns</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FC4C">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552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25A7F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C3E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196</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583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一次性培养皿90mm</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0DC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50PK/CS</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EF83">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袋</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6B5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515D4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79C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197</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745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1.5ml离心管</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2A0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10包/箱</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F3BD">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箱</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24B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720BB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F06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198</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888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2ml圆底离心管</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766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10包/箱</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C4DF">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箱</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96A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667D4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DFB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199</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A16E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10ul吸头</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A9D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40袋/箱</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063D">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箱</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227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7F488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BC5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BF4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200ul吸头(黄)</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0F2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15袋/箱</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724A">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箱</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1D0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2854D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774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201</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E8D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1mL吸头(蓝)</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EBBD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8袋/箱</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5FDC">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箱</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AFC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r>
      <w:tr w14:paraId="49AB8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4A8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202</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D54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PCR管</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B27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12PK/CS</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A688">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袋</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12A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r>
      <w:tr w14:paraId="1B1B8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D22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203</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D41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酶标板</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B02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 PK/CS</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AA6E">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袋</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3DE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522C1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BC3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204</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16E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三羟甲基氨基甲烷盐酸盐Tris-Hcl</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6D2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500G</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662D">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EFC5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r>
      <w:tr w14:paraId="5C31C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3FF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205</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631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Acetosyringone 乙酰丁香酮</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077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1g</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C99E">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5B8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14:paraId="72B89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D54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206</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257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6-Benzyl Aminopurine 6-苄氨基喋呤</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BA0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1g</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C03E">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E4A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14:paraId="0F1BE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EE1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207</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E11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Agar,Powder 琼脂粉</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53E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100g</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20F0">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3B60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14:paraId="5884A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445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208</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870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植物可溶性糖含量检测试剂盒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F6A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 Samples</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45F1">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5BE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6D201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C9D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209</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BC8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抗坏血酸含量检测试剂盒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8BC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60T/50S</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35EC">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D61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690A4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9AF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210</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38D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Cefotaxime,Sodium Salt 噻孢霉素</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F99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5g</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7F41">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757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r>
      <w:tr w14:paraId="1048A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C3F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211</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71A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漏斗</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24A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60MM</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D145">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个</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96F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38FAE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A3B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212</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903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玻璃量筒 50ml</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0DC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50ml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D2E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12D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79445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AD3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213</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C44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玻璃量筒 100ml</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B98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100ml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005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0D3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1AE05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5FC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214</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946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白容量瓶 50ml</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D3E2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50ml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912B">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869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38132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0A6E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215</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A84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科研专用加厚铝箔纸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BA9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30cm*20m</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52C5">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A65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575F1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00B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216</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42FD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甜菜碱</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44A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20mg</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D680">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1DD6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2617C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1C6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217</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A2B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褪黑素</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0C4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20mg</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21E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C25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65E68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0BA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218</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1477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辣椒碱（天然）</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DBF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20mg</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7841">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F17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14:paraId="6E081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C79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219</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49C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二氢辣椒碱</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0CF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20mg</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EAF0">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7E0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14:paraId="49863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2B6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220</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01F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Zeatin 玉米素睾酮(睾甾酮)</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524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5mg</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F563">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3D5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14:paraId="0E3BE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491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221</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452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盖玻片</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4F213">
            <w:pPr>
              <w:jc w:val="center"/>
              <w:rPr>
                <w:rFonts w:hint="default"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18mm x 18mm</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A329">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8E7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w:t>
            </w:r>
          </w:p>
        </w:tc>
      </w:tr>
      <w:tr w14:paraId="5B741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432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222</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E4B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一次性塑料培养皿</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7C8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90mm</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D9FDA">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袋</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B64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r>
      <w:tr w14:paraId="08035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234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223</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8B5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D2000 DNA Marker</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BE43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660F">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袋</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273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78805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FF7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224</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AB9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Goldview</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A6E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1mL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42D1">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924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r>
      <w:tr w14:paraId="25A61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185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225</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520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封口膜</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D15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pm996</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9691">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袋</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C98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12E47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658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226</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91E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脯氨酸(Pro)含量测试盒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FEB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100T/96S</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403A">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F72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r>
      <w:tr w14:paraId="24996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DB8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227</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4FD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抗坏血酸过氧化物酶(APX)活性测试盒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B9E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100T/96S</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DF9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49F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r>
      <w:tr w14:paraId="78A5A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907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228</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9C2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植物脂氧合酶 (LOX)活性测试盒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BC6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100T/96S</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7B10">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BAF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r>
      <w:tr w14:paraId="75E78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8764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229</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89A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超氧化物歧化酶（SOD）测试盒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CF1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100管/96样</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AAA5">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0BB0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r>
      <w:tr w14:paraId="2A2DA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5A5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230</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48D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植物总酚（TP）含量测试盒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642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100T/48S</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B27C">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D46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r>
      <w:tr w14:paraId="42569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B9A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231</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A41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过氧化物酶（POD）测试盒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F9F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100管/96样</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1D55">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771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r>
      <w:tr w14:paraId="64075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ADC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232</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5EA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超氧化物歧化酶测试盒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9EE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100T/48S</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0931">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A92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r>
      <w:tr w14:paraId="18E66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E27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233</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291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植物可溶性糖含量测试盒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F8C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100管/96样</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EDFB">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F49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532B8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D49C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234</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63B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丙二醛（MDA）测试盒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34B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100管/96样</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F40D">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1860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2314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49F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235</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962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MS培养基基盐</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615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1A90">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6AC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r>
      <w:tr w14:paraId="3344B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299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236</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345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还原型谷胱甘肽(GSH)含量测试盒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3BA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100T/96S</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3C09">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11E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4E383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BF6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237</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9EA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过氧化氢酶（CAT）测试盒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192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100管/96样</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BF1E">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A84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3B5ED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617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238</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330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丙二醛(MDA)含量测试盒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289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100T/96S</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BBC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699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3CD84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B16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239</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199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GV3101（pSoup-p19）感受态细胞</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41A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10×100μL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2BEC">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3B9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6D60B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832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240</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461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过氧化氢酶(CAT)测试盒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CC8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100T/96S</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2EB9">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D8C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1084F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97A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241</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B11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抗坏血酸过氧化物酶(APX)活性测试</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D70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100管/96样</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AA9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DB2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11ABB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B9E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242</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C46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脯氨酸（PRO）含量测试盒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173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100管/96样</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3889">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CE6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6338C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1F2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243</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B13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半纤维素含量测试盒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E39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100管/96样</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2890">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2DA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5E070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894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244</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A1E2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超氧阴离子含量/超氧阴离子产生速率测试盒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AF1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100管/96样</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FD93">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EE8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559D8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C9D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245</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470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植物总酚测试盒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EA5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100管/48样</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D65E">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C7E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63EC8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934E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246</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76B5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多酚氧化酶(PPO)试剂盒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B90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100管/48样</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9678">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532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5A825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32E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247</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524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植物类黄酮含量测试盒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1A1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100管/96样</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8474E">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98C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74EF4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E70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248</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038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植物叶绿素含量试剂盒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F0D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100管/96样</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F7EA">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1A0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138B6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C33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249</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112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过氧化氢(H202)试剂盒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B95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100管/96样</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271D">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515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19680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E8B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250</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F6B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TBE缓冲液</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386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50×0.5L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2484">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F67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r>
      <w:tr w14:paraId="712D3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627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251</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585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TAE缓冲液</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6E4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50×1L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3778">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4D1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r>
      <w:tr w14:paraId="7529A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E66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252</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C18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D15000 DNA Marker</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9DE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FBDA">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袋</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CF5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r>
      <w:tr w14:paraId="69BEF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646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253</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841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三角瓶封口膜</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BEA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140mm*140mm</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97A0">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包</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921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05733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717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254</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BE3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蔗糖</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BAF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500g</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21A1">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DFA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7BBE3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AA8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255</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F13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D5000 DNA Marker</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E3E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FF58">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袋</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44E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1FD1F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E26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256</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307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无缝克隆试剂盒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DF9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20次x3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5445">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349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r>
      <w:tr w14:paraId="5B9CD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C45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257</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B3E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琼脂糖</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140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100g</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B526">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2F9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14:paraId="70242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D13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258</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0E0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琼脂粉</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DEC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100g</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1BC3">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60C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14:paraId="109B1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788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259</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386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SuperReal PreMix Plus (SYBR Green)试剂盒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349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20uL×500次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119D">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9DC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39056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962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260</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F6D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植物总RNA提取试剂盒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24B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DA99">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44C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2AA02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4AD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261</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388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高效植物基因组DNA 提取试剂盒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B5C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F894B">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6EC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67468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7FF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262</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E32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RNAprep Pure 多糖多酚植物总 RNA提取试剂盒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795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841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091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13972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955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263</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479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FastKing cDNA 第一链合成kit ( 去基因组 )</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57B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5C15">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5ED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39624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6AB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264</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C3F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RNA酶</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C22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25,000 units</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689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257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14:paraId="2591B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849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265</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B36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miRcute增强型miRNA cDNA链合成试剂盒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D808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20uL×50 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9C3E">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A2F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14:paraId="3FCD6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CB2F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266</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0EE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miRcute增强型miRNA荧光定量检测试剂盒(SYBR Green)</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C4A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20uL×500 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5A8B">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731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14:paraId="430DC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B5A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267</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48F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超氧化物歧化酶（SOD）测试盒（NBT法）</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A93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100管/96样</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21C7">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19B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3446E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D84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268</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8A51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丙二醛（MDA）测试盒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FBE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100管/96样</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7835">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DF2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4CA15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0C7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269</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C9B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考马斯亮蓝法蛋白含量测试盒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399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100管/96样</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8B69">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E3D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4441A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ECAD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270</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B3B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植物可溶性糖含量测试盒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7B5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100管/96样</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0965">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677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2015F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885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271</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D4C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过氧化物酶（POD）测试盒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D10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100管/96样</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A3A8">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A49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26D23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5EC7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272</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3BE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HiScript II One Step qRT-PCR SYBR Green Kit</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638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20uL×250 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A7B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4D2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r>
      <w:tr w14:paraId="61FBA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8BF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273</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910F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SupRealQ Ultra Hunter SYBR qPCR Master Mix(U+)</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9C4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500次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4D58">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5AA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5AFFE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BEA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274</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302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Protein A/G Magnetic IP/Co-IP Kit</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71A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F173">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06E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14:paraId="44FE6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AAB4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275</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D7E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基因组编辑突变检测试剂盒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FE9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3CC8">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8A4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14:paraId="462EC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25B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276</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294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生物素标记蛋白Pull-Down试剂盒(Magnetic Beads)</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DC2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E96DB">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AE9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r>
      <w:tr w14:paraId="63E8D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0E0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277</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4EC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Phytotech Z899-50MG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TRANS-ZEATIN RIBOSIDE 玉米素核苷(反式)</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230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50mg</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8B41">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F46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14:paraId="75240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E6F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278</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164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Phytotech T888-100MG THIDIAZURON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噻苯隆/赛苯隆/脱叶灵/脱叶脲(TDZ)</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3B21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100mg</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184B">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77F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r>
      <w:tr w14:paraId="7B31B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79C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279</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FF5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RNA提取/纯化试剂多糖</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多酚植物总RNA提取试剂盒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E5C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7F2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8D3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w:t>
            </w:r>
          </w:p>
        </w:tc>
      </w:tr>
      <w:tr w14:paraId="1BE00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D01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280</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525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反转录试剂盒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8AA2">
            <w:pPr>
              <w:keepNext w:val="0"/>
              <w:keepLines w:val="0"/>
              <w:widowControl/>
              <w:suppressLineNumbers w:val="0"/>
              <w:jc w:val="center"/>
              <w:textAlignment w:val="center"/>
              <w:rPr>
                <w:rFonts w:hint="default"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auto"/>
                <w:kern w:val="0"/>
                <w:sz w:val="21"/>
                <w:szCs w:val="21"/>
                <w:highlight w:val="none"/>
                <w:u w:val="none"/>
                <w:lang w:val="en-US" w:eastAsia="zh-CN" w:bidi="ar"/>
              </w:rPr>
              <w:t>100次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5BBE">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CEE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w:t>
            </w:r>
          </w:p>
        </w:tc>
      </w:tr>
      <w:tr w14:paraId="14956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CD6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281</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21A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qRT-PCR荧光Mix试剂盒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9A5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5×1ml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6E9A">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FE9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r>
      <w:tr w14:paraId="6D815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E68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282</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F5C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高保真DNA聚合酶</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061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 U</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8FA19">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支</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A2C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r>
      <w:tr w14:paraId="6A5CE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5F5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283</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E46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超氧化物歧化酶（SOD）测试盒（NBT法）</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7DF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100管/96样</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A70A">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7C2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1E5BC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F8D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284</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10E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琼脂糖凝胶DNA回收试剂盒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692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200次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5AAF">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10F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r>
      <w:tr w14:paraId="4EA0B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E46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285</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388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0.2ml非荧光定量八排管</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A18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200条/包</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3DBA">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包</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2C0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033F8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9BC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286</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19B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无酶枪头</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0FEF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1000支/袋</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7A27">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袋</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4F58">
            <w:pPr>
              <w:keepNext w:val="0"/>
              <w:keepLines w:val="0"/>
              <w:widowControl/>
              <w:suppressLineNumbers w:val="0"/>
              <w:jc w:val="center"/>
              <w:textAlignment w:val="center"/>
              <w:rPr>
                <w:rFonts w:hint="default"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auto"/>
                <w:kern w:val="0"/>
                <w:sz w:val="21"/>
                <w:szCs w:val="21"/>
                <w:highlight w:val="none"/>
                <w:u w:val="none"/>
                <w:lang w:val="en-US" w:eastAsia="zh-CN" w:bidi="ar"/>
              </w:rPr>
              <w:t>29</w:t>
            </w:r>
          </w:p>
        </w:tc>
      </w:tr>
      <w:tr w14:paraId="393F2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2A2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287</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10E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一次性塑料培养皿</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ECC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90mm</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642D">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个</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2198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600</w:t>
            </w:r>
          </w:p>
        </w:tc>
      </w:tr>
      <w:tr w14:paraId="265FB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E7D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288</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4B2D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ELISA酶联试剂盒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32F24">
            <w:pPr>
              <w:keepNext w:val="0"/>
              <w:keepLines w:val="0"/>
              <w:widowControl/>
              <w:suppressLineNumbers w:val="0"/>
              <w:jc w:val="center"/>
              <w:textAlignment w:val="center"/>
              <w:rPr>
                <w:rFonts w:hint="default"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auto"/>
                <w:kern w:val="0"/>
                <w:sz w:val="21"/>
                <w:szCs w:val="21"/>
                <w:highlight w:val="none"/>
                <w:u w:val="none"/>
                <w:lang w:val="en-US" w:eastAsia="zh-CN" w:bidi="ar"/>
              </w:rPr>
              <w:t>96次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6BAA">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7984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r>
      <w:tr w14:paraId="0C957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F85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289</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CF1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敲除载体试剂盒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1DE2">
            <w:pPr>
              <w:keepNext w:val="0"/>
              <w:keepLines w:val="0"/>
              <w:widowControl/>
              <w:suppressLineNumbers w:val="0"/>
              <w:jc w:val="center"/>
              <w:textAlignment w:val="center"/>
              <w:rPr>
                <w:rFonts w:hint="default"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50次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820A5">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1852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14:paraId="5E13E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9F6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290</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D5E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fldChar w:fldCharType="begin"/>
            </w:r>
            <w:r>
              <w:rPr>
                <w:rFonts w:hint="eastAsia" w:ascii="仿宋" w:hAnsi="仿宋" w:eastAsia="仿宋" w:cs="仿宋"/>
                <w:i w:val="0"/>
                <w:iCs w:val="0"/>
                <w:color w:val="auto"/>
                <w:kern w:val="0"/>
                <w:sz w:val="21"/>
                <w:szCs w:val="21"/>
                <w:highlight w:val="none"/>
                <w:u w:val="none"/>
                <w:lang w:val="en-US" w:eastAsia="zh-CN" w:bidi="ar"/>
              </w:rPr>
              <w:instrText xml:space="preserve"> HYPERLINK "https://www.zcygov.cn/items/2332260594885001" \o "https://www.zcygov.cn/items/2332260594885001" </w:instrText>
            </w:r>
            <w:r>
              <w:rPr>
                <w:rFonts w:hint="eastAsia" w:ascii="仿宋" w:hAnsi="仿宋" w:eastAsia="仿宋" w:cs="仿宋"/>
                <w:i w:val="0"/>
                <w:iCs w:val="0"/>
                <w:color w:val="auto"/>
                <w:kern w:val="0"/>
                <w:sz w:val="21"/>
                <w:szCs w:val="21"/>
                <w:highlight w:val="none"/>
                <w:u w:val="none"/>
                <w:lang w:val="en-US" w:eastAsia="zh-CN" w:bidi="ar"/>
              </w:rPr>
              <w:fldChar w:fldCharType="separate"/>
            </w:r>
            <w:r>
              <w:rPr>
                <w:rStyle w:val="48"/>
                <w:rFonts w:hint="eastAsia" w:ascii="仿宋" w:hAnsi="仿宋" w:eastAsia="仿宋" w:cs="仿宋"/>
                <w:i w:val="0"/>
                <w:iCs w:val="0"/>
                <w:color w:val="auto"/>
                <w:sz w:val="21"/>
                <w:szCs w:val="21"/>
                <w:highlight w:val="none"/>
                <w:u w:val="none"/>
              </w:rPr>
              <w:t>MS培养基</w:t>
            </w:r>
            <w:r>
              <w:rPr>
                <w:rFonts w:hint="eastAsia" w:ascii="仿宋" w:hAnsi="仿宋" w:eastAsia="仿宋" w:cs="仿宋"/>
                <w:i w:val="0"/>
                <w:iCs w:val="0"/>
                <w:color w:val="auto"/>
                <w:kern w:val="0"/>
                <w:sz w:val="21"/>
                <w:szCs w:val="21"/>
                <w:highlight w:val="none"/>
                <w:u w:val="none"/>
                <w:lang w:val="en-US" w:eastAsia="zh-CN" w:bidi="ar"/>
              </w:rPr>
              <w:fldChar w:fldCharType="end"/>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60C7">
            <w:pPr>
              <w:keepNext w:val="0"/>
              <w:keepLines w:val="0"/>
              <w:widowControl/>
              <w:suppressLineNumbers w:val="0"/>
              <w:jc w:val="center"/>
              <w:textAlignment w:val="center"/>
              <w:rPr>
                <w:rFonts w:hint="default"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50L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4E9A">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574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4FD43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D7C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291</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F3A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M519培养基</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211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1000g</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6DD41">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651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r>
      <w:tr w14:paraId="0B1E6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8E8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292</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323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WPM培养基</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9D2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1000g</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1561">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836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r>
      <w:tr w14:paraId="2B6CF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114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293</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227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可重复利用高培养皿</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9622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90mm</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FFEA">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套</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F520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w:t>
            </w:r>
          </w:p>
        </w:tc>
      </w:tr>
      <w:tr w14:paraId="047C6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7F3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294</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31F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质粒抽提试剂盒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22F8">
            <w:pPr>
              <w:keepNext w:val="0"/>
              <w:keepLines w:val="0"/>
              <w:widowControl/>
              <w:suppressLineNumbers w:val="0"/>
              <w:jc w:val="center"/>
              <w:textAlignment w:val="center"/>
              <w:rPr>
                <w:rFonts w:hint="default"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50次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D44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D9F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r>
      <w:tr w14:paraId="5F0C3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783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295</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4F2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一次性针提式过滤器</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BBB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0.45um*13mm</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DFC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21A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7178D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A4C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296</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BFC6">
            <w:pPr>
              <w:keepNext w:val="0"/>
              <w:keepLines w:val="0"/>
              <w:widowControl/>
              <w:suppressLineNumbers w:val="0"/>
              <w:jc w:val="center"/>
              <w:textAlignment w:val="center"/>
              <w:rPr>
                <w:rFonts w:hint="default"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auto"/>
                <w:kern w:val="0"/>
                <w:sz w:val="21"/>
                <w:szCs w:val="21"/>
                <w:highlight w:val="none"/>
                <w:u w:val="none"/>
                <w:lang w:val="en-US" w:eastAsia="zh-CN" w:bidi="ar"/>
              </w:rPr>
              <w:t>POD活性检测试剂盒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636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100T/96S</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0ED3">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FBE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w:t>
            </w:r>
          </w:p>
        </w:tc>
      </w:tr>
      <w:tr w14:paraId="1CBE7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937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297</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52C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液氮</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8E2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9EAC">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升</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163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4000</w:t>
            </w:r>
          </w:p>
        </w:tc>
      </w:tr>
      <w:tr w14:paraId="0A5A1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BA8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298</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619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干冰</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C070">
            <w:pPr>
              <w:keepNext w:val="0"/>
              <w:keepLines w:val="0"/>
              <w:widowControl/>
              <w:suppressLineNumbers w:val="0"/>
              <w:jc w:val="center"/>
              <w:textAlignment w:val="center"/>
              <w:rPr>
                <w:rFonts w:hint="default"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Kg</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2AC3">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kg</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E09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1000</w:t>
            </w:r>
          </w:p>
        </w:tc>
      </w:tr>
      <w:tr w14:paraId="4009D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894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299</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0E4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琼脂粉</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233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Agar-1kg</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BF9D">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AEC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r>
      <w:tr w14:paraId="2469A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793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300</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D739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没食子酸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596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50g</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3C82">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4C1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r>
      <w:tr w14:paraId="6CEAE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D58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301</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637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可溶性糖检测试剂盒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42E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100T/96S</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658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C1A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069D9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B25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302</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3E2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葡萄糖含量试剂盒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ACE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100T/96S</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2CB5">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6DC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1A8F0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645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303</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02B2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果糖含量试剂盒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3E7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100T/96S</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6C49">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4FD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5F640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847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304</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67A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总酚（TP）含量测定试剂盒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49B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100T/96S</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8A50">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C0B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65F5A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E519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305</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DAA9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总黄酮(TF)试剂盒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025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100T/96S</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390F">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26D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57D31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7F0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306</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D46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植物叶绿素含量试剂盒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CFA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100T/96S</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E1C5">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1AF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2EAAE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10E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307</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A9A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总花色苷含量试剂盒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E40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100T/96S</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ED66">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807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r>
      <w:tr w14:paraId="555A2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557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308</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942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多酚氧化酶测定试剂盒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16E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100T/96S</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0CED">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CF6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r>
      <w:tr w14:paraId="14A5E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D31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309</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DA6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过氧化氢酶检测试剂盒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024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100T/96S</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E70ED">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CCF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r>
      <w:tr w14:paraId="627B3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E28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310</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BCA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质粒小提测试盒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C01F">
            <w:pPr>
              <w:keepNext w:val="0"/>
              <w:keepLines w:val="0"/>
              <w:widowControl/>
              <w:suppressLineNumbers w:val="0"/>
              <w:jc w:val="center"/>
              <w:textAlignment w:val="center"/>
              <w:rPr>
                <w:rFonts w:hint="default"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50次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E31A">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CA1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w:t>
            </w:r>
          </w:p>
        </w:tc>
      </w:tr>
      <w:tr w14:paraId="620AC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706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311</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068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蛋白检测试剂盒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F0E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50次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E2B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A28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193BB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174B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312</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0D3D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FastFire qPCR PreMix</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794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50次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7EE6">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1BF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47B89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DD4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313</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17C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大量DNA产物纯化试剂</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8D5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50次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5579">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CF0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r>
      <w:tr w14:paraId="665B4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957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宋体" w:hAnsi="宋体" w:eastAsia="宋体" w:cs="宋体"/>
                <w:i w:val="0"/>
                <w:iCs w:val="0"/>
                <w:color w:val="auto"/>
                <w:kern w:val="0"/>
                <w:sz w:val="22"/>
                <w:szCs w:val="22"/>
                <w:highlight w:val="none"/>
                <w:u w:val="none"/>
                <w:lang w:val="en-US" w:eastAsia="zh-CN" w:bidi="ar"/>
              </w:rPr>
              <w:t>314</w:t>
            </w:r>
          </w:p>
        </w:tc>
        <w:tc>
          <w:tcPr>
            <w:tcW w:w="43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14DEF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cDNA第一链合成测试盒</w:t>
            </w:r>
          </w:p>
        </w:tc>
        <w:tc>
          <w:tcPr>
            <w:tcW w:w="168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9158B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100次</w:t>
            </w:r>
          </w:p>
        </w:tc>
        <w:tc>
          <w:tcPr>
            <w:tcW w:w="7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34FF54">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6736A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bl>
    <w:p w14:paraId="1CD201DD">
      <w:pPr>
        <w:pStyle w:val="2"/>
        <w:rPr>
          <w:rFonts w:hint="eastAsia"/>
          <w:color w:val="auto"/>
          <w:highlight w:val="none"/>
          <w:lang w:val="en-US" w:eastAsia="zh-CN"/>
        </w:rPr>
      </w:pPr>
    </w:p>
    <w:p w14:paraId="13E043CB">
      <w:pPr>
        <w:pStyle w:val="36"/>
        <w:rPr>
          <w:rFonts w:hint="eastAsia" w:ascii="仿宋" w:hAnsi="仿宋" w:eastAsia="仿宋" w:cs="仿宋"/>
          <w:bCs/>
          <w:color w:val="auto"/>
          <w:sz w:val="24"/>
          <w:szCs w:val="24"/>
          <w:highlight w:val="none"/>
          <w:lang w:val="en-US" w:eastAsia="zh-CN"/>
        </w:rPr>
      </w:pPr>
    </w:p>
    <w:p w14:paraId="0D5BBEBA">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52CAED24">
      <w:pPr>
        <w:pStyle w:val="2"/>
        <w:spacing w:line="360" w:lineRule="auto"/>
        <w:jc w:val="center"/>
        <w:outlineLvl w:val="1"/>
        <w:rPr>
          <w:rFonts w:hint="eastAsia"/>
          <w:color w:val="auto"/>
          <w:highlight w:val="none"/>
          <w:lang w:val="en-US" w:eastAsia="zh-CN"/>
        </w:rPr>
      </w:pPr>
      <w:bookmarkStart w:id="82" w:name="_Toc3889"/>
      <w:bookmarkStart w:id="83" w:name="_Toc4702"/>
      <w:r>
        <w:rPr>
          <w:rFonts w:hint="default" w:ascii="仿宋" w:hAnsi="仿宋" w:eastAsia="仿宋" w:cs="仿宋"/>
          <w:b/>
          <w:bCs/>
          <w:i w:val="0"/>
          <w:iCs w:val="0"/>
          <w:color w:val="auto"/>
          <w:kern w:val="0"/>
          <w:sz w:val="24"/>
          <w:szCs w:val="24"/>
          <w:highlight w:val="none"/>
          <w:u w:val="none"/>
          <w:lang w:val="en-US" w:eastAsia="zh-CN" w:bidi="ar"/>
        </w:rPr>
        <w:t>标项</w:t>
      </w:r>
      <w:r>
        <w:rPr>
          <w:rFonts w:hint="eastAsia" w:ascii="仿宋" w:hAnsi="仿宋" w:eastAsia="仿宋" w:cs="仿宋"/>
          <w:b/>
          <w:bCs/>
          <w:i w:val="0"/>
          <w:iCs w:val="0"/>
          <w:color w:val="auto"/>
          <w:kern w:val="0"/>
          <w:sz w:val="24"/>
          <w:szCs w:val="24"/>
          <w:highlight w:val="none"/>
          <w:u w:val="none"/>
          <w:lang w:val="en-US" w:eastAsia="zh-CN" w:bidi="ar"/>
        </w:rPr>
        <w:t>二</w:t>
      </w:r>
      <w:r>
        <w:rPr>
          <w:rFonts w:hint="default" w:ascii="仿宋" w:hAnsi="仿宋" w:eastAsia="仿宋" w:cs="仿宋"/>
          <w:b/>
          <w:bCs/>
          <w:i w:val="0"/>
          <w:iCs w:val="0"/>
          <w:color w:val="auto"/>
          <w:kern w:val="0"/>
          <w:sz w:val="24"/>
          <w:szCs w:val="24"/>
          <w:highlight w:val="none"/>
          <w:u w:val="none"/>
          <w:lang w:val="en-US" w:eastAsia="zh-CN" w:bidi="ar"/>
        </w:rPr>
        <w:t>、技术标准和要求</w:t>
      </w:r>
      <w:bookmarkEnd w:id="82"/>
      <w:bookmarkEnd w:id="83"/>
    </w:p>
    <w:p w14:paraId="35DEDFD7">
      <w:pPr>
        <w:rPr>
          <w:rFonts w:hint="eastAsia" w:ascii="仿宋" w:hAnsi="仿宋" w:eastAsia="仿宋" w:cs="仿宋"/>
          <w:color w:val="auto"/>
          <w:highlight w:val="none"/>
          <w:lang w:val="en-US" w:eastAsia="zh-CN"/>
        </w:rPr>
      </w:pPr>
    </w:p>
    <w:tbl>
      <w:tblPr>
        <w:tblStyle w:val="38"/>
        <w:tblW w:w="84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9"/>
        <w:gridCol w:w="4374"/>
        <w:gridCol w:w="1686"/>
        <w:gridCol w:w="728"/>
        <w:gridCol w:w="804"/>
      </w:tblGrid>
      <w:tr w14:paraId="117B0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43E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序号</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1F5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sz w:val="21"/>
                <w:szCs w:val="21"/>
                <w:highlight w:val="none"/>
              </w:rPr>
              <w:t>标的名称</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9D1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sz w:val="21"/>
                <w:szCs w:val="21"/>
                <w:highlight w:val="none"/>
                <w:lang w:val="en-US" w:eastAsia="zh-CN"/>
              </w:rPr>
              <w:t>技术规格</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8716">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sz w:val="21"/>
                <w:szCs w:val="21"/>
                <w:highlight w:val="none"/>
              </w:rPr>
              <w:t>单位</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B7A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数量</w:t>
            </w:r>
          </w:p>
        </w:tc>
      </w:tr>
      <w:tr w14:paraId="751CA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56FD">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1</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F8D3">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植物总RNA提取试剂盒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1E2C">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50次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2C16">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9F9D">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25</w:t>
            </w:r>
          </w:p>
        </w:tc>
      </w:tr>
      <w:tr w14:paraId="7D3E8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80F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2BF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高效植物基因组DNA 提取试剂盒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0F9A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1B79">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9D2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w:t>
            </w:r>
          </w:p>
        </w:tc>
      </w:tr>
      <w:tr w14:paraId="367E3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BC5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7FA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2×Taq PCR Mix</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212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5×1ml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AEC6D">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袋</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6BF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r>
      <w:tr w14:paraId="3AE8A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BFB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1EF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D2000分子量标准</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F241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200 lanes</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88E4">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袋</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8DD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w:t>
            </w:r>
          </w:p>
        </w:tc>
      </w:tr>
      <w:tr w14:paraId="39010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D08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ECE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琼脂糖凝胶DNA回收试剂盒 (增强型)</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354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200次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3FAF">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D26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r>
      <w:tr w14:paraId="3B563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79A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7E7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多酚氧化酶活性检测试剂盒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DB8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110T/100S</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A467">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FD5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r>
      <w:tr w14:paraId="2BC15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32B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DB9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山梨醇脱氢酶活性检测试剂盒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5A5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110T/100S</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E15E">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CA8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r>
      <w:tr w14:paraId="1DD11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9D3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249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新型植物基因组DNA提取试剂盒（窝心柱型）</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75E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200T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A781">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B6D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r>
      <w:tr w14:paraId="34B1A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B47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AE5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植物组织RNA快速提取试剂盒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D8C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D82B">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9AA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r>
      <w:tr w14:paraId="7BBC7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0C0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C10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荧光定量预混试剂增强版</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D16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500rxns</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E078">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183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307FB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590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3AA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白色进样瓶</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7D9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100个/盒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EA6F">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7737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w:t>
            </w:r>
          </w:p>
        </w:tc>
      </w:tr>
      <w:tr w14:paraId="5E04D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E10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211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过氧化物酶（POD）测试盒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E4F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100管/96样</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2C87">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295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r>
      <w:tr w14:paraId="0A1B7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31B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D02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过氧化氢酶（CAT）测试盒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62A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100管/96样</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7CA1">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B85B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r>
      <w:tr w14:paraId="5E81B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8EF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D86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超氧化物歧化酶（SOD）测试盒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1A6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100管/96样</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4719">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59E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r>
      <w:tr w14:paraId="5F970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0F1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8C4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丙二醛（MDA）测试盒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375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100管/96样</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91F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EBA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r>
      <w:tr w14:paraId="11EC2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420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433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植物类黄酮含量测试盒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787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100管/96样</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275F">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E3A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r>
      <w:tr w14:paraId="45CC6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73D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F65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植物总酚测试盒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248A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100管/48样</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ADF0">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AFF5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r>
      <w:tr w14:paraId="18305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C70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14B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荧光定量PCR板</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228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12PK/CS/箱</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0A82">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箱</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B28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r>
      <w:tr w14:paraId="00943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6327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B1E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PCR联管&amp;盖</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3B9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12PK/CS/箱</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FF5A">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箱</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010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r>
      <w:tr w14:paraId="0A9E5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B59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AF96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1.5ml离心管</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F98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8包/箱</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944D">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箱</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D2E3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r>
      <w:tr w14:paraId="4A68B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E8B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FFE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2.0ml离心管</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6F7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8包/箱</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9245">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箱</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68A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r>
      <w:tr w14:paraId="0F488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748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0FF6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50ml离心管</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D21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16包/箱</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25E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箱</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459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0612A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B2E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23</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95C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10ul吸头(白）</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A53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40包/箱</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9F5F">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箱</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69D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r>
      <w:tr w14:paraId="77FC4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4B4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24</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552D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200ul吸头(黄)</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E28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16包/箱</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1F1A1">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箱</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482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58073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AEC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00C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1mL吸头(蓝)</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E55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8包/箱</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80DA">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箱</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A2B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65F35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8EC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26</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9E7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乳胶手套</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8CF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S/M/L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9611">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75C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r>
      <w:tr w14:paraId="3E6C3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2B1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28</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86B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植物可溶性糖含量检测试剂盒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DA3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60管/50样</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A45B">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239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35</w:t>
            </w:r>
          </w:p>
        </w:tc>
      </w:tr>
      <w:tr w14:paraId="6FF80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869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29</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A71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抗坏血酸含量检测试剂盒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BC1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60管/50样</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763E">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3E2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35</w:t>
            </w:r>
          </w:p>
        </w:tc>
      </w:tr>
      <w:tr w14:paraId="20F6C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3F7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9FD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类胡萝卜素含量检测试剂盒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ACB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110管/100样</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6F70">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6C3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r>
      <w:tr w14:paraId="5FF5B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0474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31</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4D1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植物花色苷检测试剂盒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AC2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110管/100样</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A925">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3E1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w:t>
            </w:r>
          </w:p>
        </w:tc>
      </w:tr>
      <w:tr w14:paraId="61A0C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48B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32</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A93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一次性塑料培养皿</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CAB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500个/箱</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86B4">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箱</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C3B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r>
      <w:tr w14:paraId="3DBDA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0FB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33</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17CF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封口膜</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03C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pm996</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9E1FA">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E1B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w:t>
            </w:r>
          </w:p>
        </w:tc>
      </w:tr>
      <w:tr w14:paraId="32C47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7F4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34</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43D6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定性滤纸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973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9cm</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F25E">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C02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r>
      <w:tr w14:paraId="15318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A17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35</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D14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MS培养基</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552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2112">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12A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r>
      <w:tr w14:paraId="42AC7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B6F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36</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D03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福林酚</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E3A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100ml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F3CE">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2D2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r>
      <w:tr w14:paraId="6A642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FCB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38</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342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芦丁</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291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5g</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17DE">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F80F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r>
      <w:tr w14:paraId="1A71B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653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39</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F72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无酶1.5ml离心管</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807C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500个/盒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C08C">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0D2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w:t>
            </w:r>
          </w:p>
        </w:tc>
      </w:tr>
      <w:tr w14:paraId="77180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A37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81A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2.0ml离心管,无菌</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00D7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500个/盒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8160">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AC1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35</w:t>
            </w:r>
          </w:p>
        </w:tc>
      </w:tr>
      <w:tr w14:paraId="05220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C9D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41</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84E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0.5/1.5ml双面板</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AFF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96孔/个</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16F3">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个</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26C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60</w:t>
            </w:r>
          </w:p>
        </w:tc>
      </w:tr>
      <w:tr w14:paraId="308ED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019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42</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B45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一次性针头过滤器</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44D3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F7AA">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B9C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r>
      <w:tr w14:paraId="1ADAD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E66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43</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CC6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科研专用加厚铝箔纸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06F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30cm*120m</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6786">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卷</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9ED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r>
      <w:tr w14:paraId="09ACA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F21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44</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930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科研专用加厚铝箔纸</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DFE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30cm*20m</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598C0">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卷</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E01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w:t>
            </w:r>
          </w:p>
        </w:tc>
      </w:tr>
      <w:tr w14:paraId="68C62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8DD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45</w:t>
            </w:r>
          </w:p>
        </w:tc>
        <w:tc>
          <w:tcPr>
            <w:tcW w:w="4374" w:type="dxa"/>
            <w:tcBorders>
              <w:top w:val="nil"/>
              <w:left w:val="nil"/>
              <w:bottom w:val="nil"/>
              <w:right w:val="nil"/>
            </w:tcBorders>
            <w:shd w:val="clear" w:color="auto" w:fill="auto"/>
            <w:vAlign w:val="center"/>
          </w:tcPr>
          <w:p w14:paraId="3339872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一次性口罩</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5FE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0778">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4BC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w:t>
            </w:r>
          </w:p>
        </w:tc>
      </w:tr>
      <w:tr w14:paraId="7D61A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517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48</w:t>
            </w:r>
          </w:p>
        </w:tc>
        <w:tc>
          <w:tcPr>
            <w:tcW w:w="4374" w:type="dxa"/>
            <w:tcBorders>
              <w:top w:val="nil"/>
              <w:left w:val="nil"/>
              <w:bottom w:val="nil"/>
              <w:right w:val="nil"/>
            </w:tcBorders>
            <w:shd w:val="clear" w:color="auto" w:fill="auto"/>
            <w:vAlign w:val="center"/>
          </w:tcPr>
          <w:p w14:paraId="5AB5430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冻存盒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6BF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件</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7F70">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A5E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60</w:t>
            </w:r>
          </w:p>
        </w:tc>
      </w:tr>
      <w:tr w14:paraId="4A8AB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1CE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49</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761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液相色谱进样瓶1.5ml</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8DF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100套/件</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2ECD">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025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w:t>
            </w:r>
          </w:p>
        </w:tc>
      </w:tr>
      <w:tr w14:paraId="42FC2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F98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792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液相色谱进样瓶 2ml</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E9C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100套/件</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1DF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A23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w:t>
            </w:r>
          </w:p>
        </w:tc>
      </w:tr>
      <w:tr w14:paraId="21D8C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E5E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51</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33F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有机尼龙滤膜</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D94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25/pk</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F0C5">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7C4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w:t>
            </w:r>
          </w:p>
        </w:tc>
      </w:tr>
      <w:tr w14:paraId="3DFB5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3A9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52</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1F9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有机尼龙滤膜</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FF5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50/pk</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2D59B">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6AD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w:t>
            </w:r>
          </w:p>
        </w:tc>
      </w:tr>
      <w:tr w14:paraId="7A263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3A5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53</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968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水系尼龙滤膜</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2FC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25/pk</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B651">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6DB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w:t>
            </w:r>
          </w:p>
        </w:tc>
      </w:tr>
      <w:tr w14:paraId="7D756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0C9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54</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DDF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水系尼龙滤膜</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C3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50/pk</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2D7F">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0CB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w:t>
            </w:r>
          </w:p>
        </w:tc>
      </w:tr>
      <w:tr w14:paraId="17499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862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55</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23D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有机针头过滤器</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FDC4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100只/盒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25DB">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910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w:t>
            </w:r>
          </w:p>
        </w:tc>
      </w:tr>
      <w:tr w14:paraId="76C97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8D1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56</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C05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水系针头过滤器</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10D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100只/盒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E573">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0CC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w:t>
            </w:r>
          </w:p>
        </w:tc>
      </w:tr>
      <w:tr w14:paraId="7F25F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82D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57</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851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一次性注射器1.5ml</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32A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100支/盒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732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2C4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200</w:t>
            </w:r>
          </w:p>
        </w:tc>
      </w:tr>
      <w:tr w14:paraId="60DBC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AEC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58</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264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一次性注射器2ml</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DFA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100支/盒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73D3B">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417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200</w:t>
            </w:r>
          </w:p>
        </w:tc>
      </w:tr>
      <w:tr w14:paraId="18F4F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226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59</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8F1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玻璃烧杯50ml</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FF1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77CB">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E3A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60</w:t>
            </w:r>
          </w:p>
        </w:tc>
      </w:tr>
      <w:tr w14:paraId="367A3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6C2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60</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A5E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玻璃烧杯100ml</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132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D728">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5AE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w:t>
            </w:r>
          </w:p>
        </w:tc>
      </w:tr>
      <w:tr w14:paraId="70457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A01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61</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0732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自封袋</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B93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包</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50C4">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包</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595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w:t>
            </w:r>
          </w:p>
        </w:tc>
      </w:tr>
      <w:tr w14:paraId="71931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6A6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62</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5A9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进样瓶内插管</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C15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100支/包</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C1D6">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包</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9C5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w:t>
            </w:r>
          </w:p>
        </w:tc>
      </w:tr>
      <w:tr w14:paraId="576A5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6A9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63</w:t>
            </w:r>
          </w:p>
        </w:tc>
        <w:tc>
          <w:tcPr>
            <w:tcW w:w="4374" w:type="dxa"/>
            <w:tcBorders>
              <w:top w:val="nil"/>
              <w:left w:val="nil"/>
              <w:bottom w:val="nil"/>
              <w:right w:val="nil"/>
            </w:tcBorders>
            <w:shd w:val="clear" w:color="auto" w:fill="auto"/>
            <w:vAlign w:val="center"/>
          </w:tcPr>
          <w:p w14:paraId="7DE1B53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田间标识牌</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4E4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件</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C718">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D11E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w:t>
            </w:r>
          </w:p>
        </w:tc>
      </w:tr>
      <w:tr w14:paraId="7E0FD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102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64</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52B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广口瓶</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A49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件</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613B">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997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09692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A4F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65</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E61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锥形瓶</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61B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件</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10B2">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4E7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00679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CA83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66</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520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液氮</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04C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1000L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C81D6">
            <w:pPr>
              <w:keepNext w:val="0"/>
              <w:keepLines w:val="0"/>
              <w:widowControl/>
              <w:suppressLineNumbers w:val="0"/>
              <w:jc w:val="center"/>
              <w:textAlignment w:val="center"/>
              <w:rPr>
                <w:rFonts w:hint="default"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2"/>
                <w:sz w:val="21"/>
                <w:szCs w:val="21"/>
                <w:highlight w:val="none"/>
                <w:u w:val="none"/>
                <w:lang w:val="en-US" w:eastAsia="zh-CN" w:bidi="ar-SA"/>
              </w:rPr>
              <w:t>批</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6F72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370DC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8D3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67</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E06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干冰</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D2C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1100L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C7FB">
            <w:pPr>
              <w:keepNext w:val="0"/>
              <w:keepLines w:val="0"/>
              <w:widowControl/>
              <w:suppressLineNumbers w:val="0"/>
              <w:jc w:val="center"/>
              <w:textAlignment w:val="center"/>
              <w:rPr>
                <w:rFonts w:hint="default"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2"/>
                <w:sz w:val="21"/>
                <w:szCs w:val="21"/>
                <w:highlight w:val="none"/>
                <w:u w:val="none"/>
                <w:lang w:val="en-US" w:eastAsia="zh-CN" w:bidi="ar-SA"/>
              </w:rPr>
              <w:t>批</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EAD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0040F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816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68</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560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氨苄青霉素（抗生素）</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68F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 g</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F767">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448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14:paraId="058FA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B3A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69</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03E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卡那霉素（抗生素）</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060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 g</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B18F">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369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14:paraId="52205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42C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70</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454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利发霉素（抗生素）</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098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 g</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0F0A">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1BC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14:paraId="20F05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714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71</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100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头孢菌素（抗生素）</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212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 g</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8CCC">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AFF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14:paraId="13E0B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AF2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72</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174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IAA（植物激素）</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5A0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 g</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BACF">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0AD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14:paraId="7C32A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211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73</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4F1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NAA（植物激素）</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C534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 g</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56D8">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3DA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14:paraId="108CB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9A7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74</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FAB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6-BA（植物激素）</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7F0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 g</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A83C">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ADB0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14:paraId="741AA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BA9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75</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EF9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ABA（植物激素）</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885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 mg</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0DAB">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039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14:paraId="43D45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9F5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76</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1B1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2,4-D（植物激素）</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1AA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500 mg</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460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EEE9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14:paraId="5F0D5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91D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77</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C3B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ZT（植物激素）</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D46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 mg</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C198">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A89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14:paraId="0D7F2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711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78</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112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蛋白胨</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477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500 g</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B3CD">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EBE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7C070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EAE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79</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2BF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酵母提取物</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D7C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500 g</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1FC5">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0E9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4E9D0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5A6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80</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136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MS培养基</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F7A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 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EFB7">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3A3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5FC96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BC6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81</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D13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蔗糖</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5B5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500 g</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B8B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084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71492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143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82</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188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琼脂</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318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500 g</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F13F">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E62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r>
      <w:tr w14:paraId="7B8C1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9E1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84</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C87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液氮</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A15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7388">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升</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4253">
            <w:pPr>
              <w:keepNext w:val="0"/>
              <w:keepLines w:val="0"/>
              <w:widowControl/>
              <w:suppressLineNumbers w:val="0"/>
              <w:jc w:val="center"/>
              <w:textAlignment w:val="center"/>
              <w:rPr>
                <w:rFonts w:hint="default"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auto"/>
                <w:kern w:val="0"/>
                <w:sz w:val="21"/>
                <w:szCs w:val="21"/>
                <w:highlight w:val="none"/>
                <w:u w:val="none"/>
                <w:lang w:val="en-US" w:eastAsia="zh-CN" w:bidi="ar"/>
              </w:rPr>
              <w:t>1000</w:t>
            </w:r>
          </w:p>
        </w:tc>
      </w:tr>
      <w:tr w14:paraId="31591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4DD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85</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409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高保真DNA聚合酶</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7A7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 U</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0B56">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个</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5C4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r>
      <w:tr w14:paraId="02F08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588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86</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BF4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快速核酸内切酶</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6A7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1000 U</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DFF9">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个</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83F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r>
      <w:tr w14:paraId="151E9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81F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87</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96F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DNA快速连接酶</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1A0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2000 U</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5C868">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个</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637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r>
      <w:tr w14:paraId="2771E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B4F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88</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09C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酵母YPD培养基</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956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250 g</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0D6B">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748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1F594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234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89</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263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SD base</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86B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267 g</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D8B8">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2D4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14CB9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0A8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90</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5B7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酵母染色X-</w:t>
            </w:r>
            <w:r>
              <w:rPr>
                <w:rFonts w:hint="eastAsia" w:ascii="仿宋" w:hAnsi="仿宋" w:eastAsia="仿宋" w:cs="仿宋"/>
                <w:i/>
                <w:iCs/>
                <w:color w:val="auto"/>
                <w:kern w:val="0"/>
                <w:sz w:val="21"/>
                <w:szCs w:val="21"/>
                <w:highlight w:val="none"/>
                <w:u w:val="none"/>
                <w:lang w:val="en-US" w:eastAsia="zh-CN" w:bidi="ar"/>
              </w:rPr>
              <w:t>α</w:t>
            </w:r>
            <w:r>
              <w:rPr>
                <w:rFonts w:hint="eastAsia" w:ascii="仿宋" w:hAnsi="仿宋" w:eastAsia="仿宋" w:cs="仿宋"/>
                <w:i w:val="0"/>
                <w:iCs w:val="0"/>
                <w:color w:val="auto"/>
                <w:kern w:val="0"/>
                <w:sz w:val="21"/>
                <w:szCs w:val="21"/>
                <w:highlight w:val="none"/>
                <w:u w:val="none"/>
                <w:lang w:val="en-US" w:eastAsia="zh-CN" w:bidi="ar"/>
              </w:rPr>
              <w:t>-gal</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EC9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 mg</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26622">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个</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81F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14:paraId="40446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678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91</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702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DNA marker</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BB4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10×100T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E4B3">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16C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r>
      <w:tr w14:paraId="190C9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E65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92</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8AD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大肠杆菌感受态</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B76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10×100 μl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B2D8">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F4A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12FF0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896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93</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29A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农杆菌感受态</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696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10×100 μl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AB8E">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61C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796B9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F4B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94</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DC13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MDA检测试剂盒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4B7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110 T/100S</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BC07">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065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r>
      <w:tr w14:paraId="63E54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753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95</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EA2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PRO检测试剂盒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3B1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 管/96 样</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3C65">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359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r>
      <w:tr w14:paraId="4FD75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7DF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96</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06C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H</w:t>
            </w:r>
            <w:r>
              <w:rPr>
                <w:rFonts w:hint="eastAsia" w:ascii="仿宋" w:hAnsi="仿宋" w:eastAsia="仿宋" w:cs="仿宋"/>
                <w:i w:val="0"/>
                <w:iCs w:val="0"/>
                <w:color w:val="auto"/>
                <w:kern w:val="0"/>
                <w:sz w:val="21"/>
                <w:szCs w:val="21"/>
                <w:highlight w:val="none"/>
                <w:u w:val="none"/>
                <w:vertAlign w:val="subscript"/>
                <w:lang w:val="en-US" w:eastAsia="zh-CN" w:bidi="ar"/>
              </w:rPr>
              <w:t>2</w:t>
            </w:r>
            <w:r>
              <w:rPr>
                <w:rFonts w:hint="eastAsia" w:ascii="仿宋" w:hAnsi="仿宋" w:eastAsia="仿宋" w:cs="仿宋"/>
                <w:i w:val="0"/>
                <w:iCs w:val="0"/>
                <w:color w:val="auto"/>
                <w:kern w:val="0"/>
                <w:sz w:val="21"/>
                <w:szCs w:val="21"/>
                <w:highlight w:val="none"/>
                <w:u w:val="none"/>
                <w:lang w:val="en-US" w:eastAsia="zh-CN" w:bidi="ar"/>
              </w:rPr>
              <w:t>O</w:t>
            </w:r>
            <w:r>
              <w:rPr>
                <w:rFonts w:hint="eastAsia" w:ascii="仿宋" w:hAnsi="仿宋" w:eastAsia="仿宋" w:cs="仿宋"/>
                <w:i w:val="0"/>
                <w:iCs w:val="0"/>
                <w:color w:val="auto"/>
                <w:kern w:val="0"/>
                <w:sz w:val="21"/>
                <w:szCs w:val="21"/>
                <w:highlight w:val="none"/>
                <w:u w:val="none"/>
                <w:vertAlign w:val="subscript"/>
                <w:lang w:val="en-US" w:eastAsia="zh-CN" w:bidi="ar"/>
              </w:rPr>
              <w:t>2</w:t>
            </w:r>
            <w:r>
              <w:rPr>
                <w:rFonts w:hint="eastAsia" w:ascii="仿宋" w:hAnsi="仿宋" w:eastAsia="仿宋" w:cs="仿宋"/>
                <w:i w:val="0"/>
                <w:iCs w:val="0"/>
                <w:color w:val="auto"/>
                <w:kern w:val="0"/>
                <w:sz w:val="21"/>
                <w:szCs w:val="21"/>
                <w:highlight w:val="none"/>
                <w:u w:val="none"/>
                <w:lang w:val="en-US" w:eastAsia="zh-CN" w:bidi="ar"/>
              </w:rPr>
              <w:t>检测试剂盒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9C7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 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6BF0">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38F4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r>
      <w:tr w14:paraId="60E19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FEBC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97</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F83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O</w:t>
            </w:r>
            <w:r>
              <w:rPr>
                <w:rFonts w:hint="eastAsia" w:ascii="仿宋" w:hAnsi="仿宋" w:eastAsia="仿宋" w:cs="仿宋"/>
                <w:i w:val="0"/>
                <w:iCs w:val="0"/>
                <w:color w:val="auto"/>
                <w:kern w:val="0"/>
                <w:sz w:val="21"/>
                <w:szCs w:val="21"/>
                <w:highlight w:val="none"/>
                <w:u w:val="none"/>
                <w:vertAlign w:val="subscript"/>
                <w:lang w:val="en-US" w:eastAsia="zh-CN" w:bidi="ar"/>
              </w:rPr>
              <w:t>2</w:t>
            </w:r>
            <w:r>
              <w:rPr>
                <w:rFonts w:hint="eastAsia" w:ascii="仿宋" w:hAnsi="仿宋" w:eastAsia="仿宋" w:cs="仿宋"/>
                <w:i w:val="0"/>
                <w:iCs w:val="0"/>
                <w:color w:val="auto"/>
                <w:kern w:val="0"/>
                <w:sz w:val="21"/>
                <w:szCs w:val="21"/>
                <w:highlight w:val="none"/>
                <w:u w:val="none"/>
                <w:lang w:val="en-US" w:eastAsia="zh-CN" w:bidi="ar"/>
              </w:rPr>
              <w:t>检测试剂盒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6CD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1E33">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EC2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r>
      <w:tr w14:paraId="7FA7C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11B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98</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5CD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DAB试剂盒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297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 Kit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2C4E">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013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r>
      <w:tr w14:paraId="6388B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0D4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99</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082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NBT试剂盒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1F3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 Kit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3C3A">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A0B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r>
      <w:tr w14:paraId="2FED7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4B5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4D8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GUS染色试剂盒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601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 mL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0DFB">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745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r>
      <w:tr w14:paraId="13682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403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101</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815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DNA凝胶回收试剂盒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206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200 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58A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C11B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r>
      <w:tr w14:paraId="5B5AB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82F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102</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338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质粒提取试剂盒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FA8C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200 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43C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7B7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6F3F5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2DE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103</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FB2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T载体试剂盒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3CC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盒10*60rxn</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B50F">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D6C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6AEA6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787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104</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741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DNA提取试剂盒（离心柱型）</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09B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200 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7E1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E35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0E3F8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DBF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105</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1E1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RNA提取试剂盒（多糖多酚）</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14D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 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4E6C">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7CA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0EF13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DBB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106</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569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反转录试剂盒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C2A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 rxns</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B3680">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DDF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r>
      <w:tr w14:paraId="591FD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F94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107</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515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荧光定量PCR试剂盒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FBF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500 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6F2C">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9C5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1C85A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68E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108</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1A8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酵母单杂交试剂盒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F39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0509">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935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6C487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013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109</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F15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双杂交试剂盒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8B09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D963">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E3F9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7B2AA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0F4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110</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C3E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蛋白纯化试剂盒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C3F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 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9CCE">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CF4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083ED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9C4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111</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EA69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免疫沉淀试剂盒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F46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 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B339">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D5D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159DB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9B9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31F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探针标记试剂盒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7DC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6545">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559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73F09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4A9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113</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4FF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EMSA试剂盒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7A5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 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6B05">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5D0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11581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318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114</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A0C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LUC/REN双荧光素酶报告基因检测试剂盒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472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 μg</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B6EA">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CB6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41099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962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115</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B1C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ChIP试剂盒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3AC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 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2B73">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0CC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0D5CB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127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116</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205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 μl移液器吸头</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2F4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 包/箱</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F156">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箱</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46E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3EADF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79E4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117</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36F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200 μl移液器吸头</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39E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20包/箱</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8FC8">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箱</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A5E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25F56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8F6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118</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85A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 ml移液器吸头</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DF6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 包/箱</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B333">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箱</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FD5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33B87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E26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119</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68E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0.5 ml 离心管</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5EA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1000 个/包</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B1DF">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包</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6B8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5B030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FAE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120</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6F9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 ml 离心管</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7A1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500 个/包</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139F">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包</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730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5392C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29F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121</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992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 ml 离心管</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456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 包/箱</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4108">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箱</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99F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07C01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19C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122</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F77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 ml 离心管</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469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 个/包</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5C59">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包</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E25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7441D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AD1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123</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EE5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 ml 离心管</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8F0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 包/箱</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C5E8">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箱</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EEC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6D2E4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B9B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124</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158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 ml 离心管</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182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 个/包</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430F">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包</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1C4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77162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D08A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125</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4B9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 ml 离心管</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FC1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 个/包</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D92F">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包</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599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125D3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75D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126</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1E7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PCR管（单管）</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DBB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1000 支/包</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144E">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包</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092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28017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EA5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127</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0A0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PCR管（八连管）</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658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125 支/包</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453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包</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9FC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265AA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592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128</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C06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PCR管（96孔板）</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121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 块/盒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AEFD">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9E6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61E47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4AA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129</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63A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一次性乳胶/PE手套</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78A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S/M/L/箱</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4825">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箱</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7BF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14:paraId="59195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E80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130</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A09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三角瓶/250ml</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482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 EA</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0F2F">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个</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73A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w:t>
            </w:r>
          </w:p>
        </w:tc>
      </w:tr>
      <w:tr w14:paraId="242A4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E2F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131</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5AA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组培瓶/230ml</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E3E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 EA</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35CD">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个</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F16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w:t>
            </w:r>
          </w:p>
        </w:tc>
      </w:tr>
      <w:tr w14:paraId="74862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456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132</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BCB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广口瓶</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3DD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 EA</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2ADE">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个</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D367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w:t>
            </w:r>
          </w:p>
        </w:tc>
      </w:tr>
      <w:tr w14:paraId="5AEED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A77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133</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A06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无菌培养皿</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571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500 个/箱</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CE6D">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箱</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AFC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14:paraId="5A29F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91D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134</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22C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记号笔</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854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双头</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E441">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42E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02021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FCF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135</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E2E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封口膜</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CC2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 EA</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C934">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EB8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5F2DE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1B3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136</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1EB0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穴盘</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996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72穴100片/箱</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1F86">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箱</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D11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85</w:t>
            </w:r>
          </w:p>
        </w:tc>
      </w:tr>
      <w:tr w14:paraId="138CD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A3C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137</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A5D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营养钵</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DE5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个/9*9</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9D2E">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个</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1BC6">
            <w:pPr>
              <w:keepNext w:val="0"/>
              <w:keepLines w:val="0"/>
              <w:widowControl/>
              <w:suppressLineNumbers w:val="0"/>
              <w:jc w:val="center"/>
              <w:textAlignment w:val="center"/>
              <w:rPr>
                <w:rFonts w:hint="default"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auto"/>
                <w:kern w:val="0"/>
                <w:sz w:val="21"/>
                <w:szCs w:val="21"/>
                <w:highlight w:val="none"/>
                <w:u w:val="none"/>
                <w:lang w:val="en-US" w:eastAsia="zh-CN" w:bidi="ar"/>
              </w:rPr>
              <w:t>100000</w:t>
            </w:r>
          </w:p>
        </w:tc>
      </w:tr>
      <w:tr w14:paraId="08FE5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EFA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138</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C11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花盆</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D0C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300*280/100个</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2CA4">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2D1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130</w:t>
            </w:r>
          </w:p>
        </w:tc>
      </w:tr>
      <w:tr w14:paraId="6F7FD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AB1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139</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C55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草炭</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7A3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袋</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2303">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袋</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621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280</w:t>
            </w:r>
          </w:p>
        </w:tc>
      </w:tr>
      <w:tr w14:paraId="3AE93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416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140</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E23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蛭石</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185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袋/50升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35E5">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袋</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C9B4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w:t>
            </w:r>
          </w:p>
        </w:tc>
      </w:tr>
      <w:tr w14:paraId="53C52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B19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141</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819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珍珠岩</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78C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袋/60升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CA58">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袋</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3DA0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w:t>
            </w:r>
          </w:p>
        </w:tc>
      </w:tr>
      <w:tr w14:paraId="508D8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A5A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142</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635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纱网</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FD1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平方米/0.6米宽*5米</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EA29">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平方米</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074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r>
      <w:tr w14:paraId="643F3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163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143</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BDF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塑料薄膜</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F22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卷/1米宽*360米</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978A">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卷</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749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27</w:t>
            </w:r>
          </w:p>
        </w:tc>
      </w:tr>
      <w:tr w14:paraId="40043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nil"/>
              <w:right w:val="single" w:color="000000" w:sz="4" w:space="0"/>
            </w:tcBorders>
            <w:shd w:val="clear" w:color="auto" w:fill="auto"/>
            <w:vAlign w:val="center"/>
          </w:tcPr>
          <w:p w14:paraId="05332FD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144</w:t>
            </w:r>
          </w:p>
        </w:tc>
        <w:tc>
          <w:tcPr>
            <w:tcW w:w="4374" w:type="dxa"/>
            <w:tcBorders>
              <w:top w:val="single" w:color="000000" w:sz="4" w:space="0"/>
              <w:left w:val="single" w:color="000000" w:sz="4" w:space="0"/>
              <w:bottom w:val="nil"/>
              <w:right w:val="single" w:color="000000" w:sz="4" w:space="0"/>
            </w:tcBorders>
            <w:shd w:val="clear" w:color="auto" w:fill="auto"/>
            <w:vAlign w:val="center"/>
          </w:tcPr>
          <w:p w14:paraId="79B0C23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标签</w:t>
            </w:r>
          </w:p>
        </w:tc>
        <w:tc>
          <w:tcPr>
            <w:tcW w:w="1686" w:type="dxa"/>
            <w:tcBorders>
              <w:top w:val="single" w:color="000000" w:sz="4" w:space="0"/>
              <w:left w:val="single" w:color="000000" w:sz="4" w:space="0"/>
              <w:bottom w:val="nil"/>
              <w:right w:val="single" w:color="000000" w:sz="4" w:space="0"/>
            </w:tcBorders>
            <w:shd w:val="clear" w:color="auto" w:fill="auto"/>
            <w:vAlign w:val="center"/>
          </w:tcPr>
          <w:p w14:paraId="4C66D74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2400枚</w:t>
            </w:r>
          </w:p>
        </w:tc>
        <w:tc>
          <w:tcPr>
            <w:tcW w:w="728" w:type="dxa"/>
            <w:tcBorders>
              <w:top w:val="single" w:color="000000" w:sz="4" w:space="0"/>
              <w:left w:val="single" w:color="000000" w:sz="4" w:space="0"/>
              <w:bottom w:val="nil"/>
              <w:right w:val="single" w:color="000000" w:sz="4" w:space="0"/>
            </w:tcBorders>
            <w:shd w:val="clear" w:color="auto" w:fill="auto"/>
            <w:vAlign w:val="center"/>
          </w:tcPr>
          <w:p w14:paraId="196731D4">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批</w:t>
            </w:r>
          </w:p>
        </w:tc>
        <w:tc>
          <w:tcPr>
            <w:tcW w:w="804" w:type="dxa"/>
            <w:tcBorders>
              <w:top w:val="single" w:color="000000" w:sz="4" w:space="0"/>
              <w:left w:val="single" w:color="000000" w:sz="4" w:space="0"/>
              <w:bottom w:val="nil"/>
              <w:right w:val="single" w:color="000000" w:sz="4" w:space="0"/>
            </w:tcBorders>
            <w:shd w:val="clear" w:color="auto" w:fill="auto"/>
            <w:vAlign w:val="center"/>
          </w:tcPr>
          <w:p w14:paraId="211649A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1200</w:t>
            </w:r>
          </w:p>
        </w:tc>
      </w:tr>
      <w:tr w14:paraId="0974A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DBB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145</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DA3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高保真酶</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6D57">
            <w:pPr>
              <w:keepNext w:val="0"/>
              <w:keepLines w:val="0"/>
              <w:widowControl/>
              <w:suppressLineNumbers w:val="0"/>
              <w:jc w:val="center"/>
              <w:textAlignment w:val="center"/>
              <w:rPr>
                <w:rFonts w:hint="default"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1ml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4AAF">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管</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066D">
            <w:pPr>
              <w:keepNext w:val="0"/>
              <w:keepLines w:val="0"/>
              <w:widowControl/>
              <w:suppressLineNumbers w:val="0"/>
              <w:jc w:val="center"/>
              <w:textAlignment w:val="center"/>
              <w:rPr>
                <w:rFonts w:hint="default"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auto"/>
                <w:kern w:val="0"/>
                <w:sz w:val="21"/>
                <w:szCs w:val="21"/>
                <w:highlight w:val="none"/>
                <w:u w:val="none"/>
                <w:lang w:val="en-US" w:eastAsia="zh-CN" w:bidi="ar"/>
              </w:rPr>
              <w:t>50</w:t>
            </w:r>
          </w:p>
        </w:tc>
      </w:tr>
      <w:tr w14:paraId="16E8E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2D3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146</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4D6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重组酶</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751E">
            <w:pPr>
              <w:keepNext w:val="0"/>
              <w:keepLines w:val="0"/>
              <w:widowControl/>
              <w:suppressLineNumbers w:val="0"/>
              <w:jc w:val="center"/>
              <w:textAlignment w:val="center"/>
              <w:rPr>
                <w:rFonts w:hint="default"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100ul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BB19F">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管</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01D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42207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A521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147</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904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琼脂糖</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7BD4">
            <w:pPr>
              <w:keepNext w:val="0"/>
              <w:keepLines w:val="0"/>
              <w:widowControl/>
              <w:suppressLineNumbers w:val="0"/>
              <w:jc w:val="center"/>
              <w:textAlignment w:val="center"/>
              <w:rPr>
                <w:rFonts w:hint="default"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100 g</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FEF0">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59D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r>
      <w:tr w14:paraId="606AA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CAC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148</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D38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核酸染料</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CE58">
            <w:pPr>
              <w:keepNext w:val="0"/>
              <w:keepLines w:val="0"/>
              <w:widowControl/>
              <w:suppressLineNumbers w:val="0"/>
              <w:jc w:val="center"/>
              <w:textAlignment w:val="center"/>
              <w:rPr>
                <w:rFonts w:hint="default"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500 μL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8B14">
            <w:pPr>
              <w:keepNext w:val="0"/>
              <w:keepLines w:val="0"/>
              <w:widowControl/>
              <w:suppressLineNumbers w:val="0"/>
              <w:jc w:val="center"/>
              <w:textAlignment w:val="center"/>
              <w:rPr>
                <w:rFonts w:hint="default"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2"/>
                <w:sz w:val="21"/>
                <w:szCs w:val="21"/>
                <w:highlight w:val="none"/>
                <w:u w:val="none"/>
                <w:lang w:val="en-US" w:eastAsia="zh-CN" w:bidi="ar-SA"/>
              </w:rPr>
              <w:t>管</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C1F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r>
      <w:tr w14:paraId="62BB0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9E1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149</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536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培养基（酵母）</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B6B9">
            <w:pPr>
              <w:keepNext w:val="0"/>
              <w:keepLines w:val="0"/>
              <w:widowControl/>
              <w:suppressLineNumbers w:val="0"/>
              <w:jc w:val="center"/>
              <w:textAlignment w:val="center"/>
              <w:rPr>
                <w:rFonts w:hint="default"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500 g</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34D0">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797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r>
      <w:tr w14:paraId="652F0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797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150</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E8B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DNA提取试剂盒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0D78">
            <w:pPr>
              <w:keepNext w:val="0"/>
              <w:keepLines w:val="0"/>
              <w:widowControl/>
              <w:suppressLineNumbers w:val="0"/>
              <w:jc w:val="center"/>
              <w:textAlignment w:val="center"/>
              <w:rPr>
                <w:rFonts w:hint="default"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200 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6E6C">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F2D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r>
      <w:tr w14:paraId="4A156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BC4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151</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934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RNA提取试剂盒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72EA">
            <w:pPr>
              <w:keepNext w:val="0"/>
              <w:keepLines w:val="0"/>
              <w:widowControl/>
              <w:suppressLineNumbers w:val="0"/>
              <w:jc w:val="center"/>
              <w:textAlignment w:val="center"/>
              <w:rPr>
                <w:rFonts w:hint="default"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50 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D26A">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8B1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w:t>
            </w:r>
          </w:p>
        </w:tc>
      </w:tr>
      <w:tr w14:paraId="24CF8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995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152</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87C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质粒试剂盒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41ED">
            <w:pPr>
              <w:keepNext w:val="0"/>
              <w:keepLines w:val="0"/>
              <w:widowControl/>
              <w:suppressLineNumbers w:val="0"/>
              <w:jc w:val="center"/>
              <w:textAlignment w:val="center"/>
              <w:rPr>
                <w:rFonts w:hint="default"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100 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9D52">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062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r>
      <w:tr w14:paraId="1AEB8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A56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153</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98C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反转录酶</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9C8E">
            <w:pPr>
              <w:keepNext w:val="0"/>
              <w:keepLines w:val="0"/>
              <w:widowControl/>
              <w:suppressLineNumbers w:val="0"/>
              <w:jc w:val="center"/>
              <w:textAlignment w:val="center"/>
              <w:rPr>
                <w:rFonts w:hint="default"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100 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274D">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183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r>
      <w:tr w14:paraId="717C4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E26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154</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2A9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荧光定量试剂盒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FF79">
            <w:pPr>
              <w:keepNext w:val="0"/>
              <w:keepLines w:val="0"/>
              <w:widowControl/>
              <w:suppressLineNumbers w:val="0"/>
              <w:jc w:val="center"/>
              <w:textAlignment w:val="center"/>
              <w:rPr>
                <w:rFonts w:hint="default"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100次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D0B0">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C66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r>
      <w:tr w14:paraId="6255A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086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155</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45E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蛋白纯化试剂盒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D7D4">
            <w:pPr>
              <w:keepNext w:val="0"/>
              <w:keepLines w:val="0"/>
              <w:widowControl/>
              <w:suppressLineNumbers w:val="0"/>
              <w:jc w:val="center"/>
              <w:textAlignment w:val="center"/>
              <w:rPr>
                <w:rFonts w:hint="default"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100次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93C4">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BD4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r>
      <w:tr w14:paraId="79451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8F6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156</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815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蛋白抗体</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85A1">
            <w:pPr>
              <w:keepNext w:val="0"/>
              <w:keepLines w:val="0"/>
              <w:widowControl/>
              <w:suppressLineNumbers w:val="0"/>
              <w:jc w:val="center"/>
              <w:textAlignment w:val="center"/>
              <w:rPr>
                <w:rFonts w:hint="default"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10μL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C965">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7F2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r>
      <w:tr w14:paraId="413F8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EFF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157</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DC4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生理指标测定试剂盒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9A86">
            <w:pPr>
              <w:keepNext w:val="0"/>
              <w:keepLines w:val="0"/>
              <w:widowControl/>
              <w:suppressLineNumbers w:val="0"/>
              <w:jc w:val="center"/>
              <w:textAlignment w:val="center"/>
              <w:rPr>
                <w:rFonts w:hint="default"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50次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3B7F">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B3B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200</w:t>
            </w:r>
          </w:p>
        </w:tc>
      </w:tr>
      <w:tr w14:paraId="67304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B3E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158</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0E9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感受态细胞</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34B5">
            <w:pPr>
              <w:keepNext w:val="0"/>
              <w:keepLines w:val="0"/>
              <w:widowControl/>
              <w:suppressLineNumbers w:val="0"/>
              <w:jc w:val="center"/>
              <w:textAlignment w:val="center"/>
              <w:rPr>
                <w:rFonts w:hint="default"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10支/包</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82EF">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包</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C88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w:t>
            </w:r>
          </w:p>
        </w:tc>
      </w:tr>
      <w:tr w14:paraId="4D98E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8AC0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159</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D44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转化载体</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61F2">
            <w:pPr>
              <w:keepNext w:val="0"/>
              <w:keepLines w:val="0"/>
              <w:widowControl/>
              <w:suppressLineNumbers w:val="0"/>
              <w:jc w:val="center"/>
              <w:textAlignment w:val="center"/>
              <w:rPr>
                <w:rFonts w:hint="default"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5 μL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4ADB">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个</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690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w:t>
            </w:r>
          </w:p>
        </w:tc>
      </w:tr>
      <w:tr w14:paraId="62787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BA9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160</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95F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PCR引物</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5228">
            <w:pPr>
              <w:keepNext w:val="0"/>
              <w:keepLines w:val="0"/>
              <w:widowControl/>
              <w:suppressLineNumbers w:val="0"/>
              <w:jc w:val="center"/>
              <w:textAlignment w:val="center"/>
              <w:rPr>
                <w:rFonts w:hint="default"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bp</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42D1">
            <w:pPr>
              <w:keepNext w:val="0"/>
              <w:keepLines w:val="0"/>
              <w:widowControl/>
              <w:suppressLineNumbers w:val="0"/>
              <w:jc w:val="center"/>
              <w:textAlignment w:val="center"/>
              <w:rPr>
                <w:rFonts w:hint="default"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2"/>
                <w:sz w:val="21"/>
                <w:szCs w:val="21"/>
                <w:highlight w:val="none"/>
                <w:u w:val="none"/>
                <w:lang w:val="en-US" w:eastAsia="zh-CN" w:bidi="ar-SA"/>
              </w:rPr>
              <w:t>条</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96A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w:t>
            </w:r>
          </w:p>
        </w:tc>
      </w:tr>
      <w:tr w14:paraId="17626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B48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161</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EEF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杀菌剂</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DDAB9">
            <w:pPr>
              <w:keepNext w:val="0"/>
              <w:keepLines w:val="0"/>
              <w:widowControl/>
              <w:suppressLineNumbers w:val="0"/>
              <w:jc w:val="center"/>
              <w:textAlignment w:val="center"/>
              <w:rPr>
                <w:rFonts w:hint="default"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100mL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2C7B">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B6E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w:t>
            </w:r>
          </w:p>
        </w:tc>
      </w:tr>
      <w:tr w14:paraId="4014B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F90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162</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624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杀虫剂</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686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100mL</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893E">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3D9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w:t>
            </w:r>
          </w:p>
        </w:tc>
      </w:tr>
      <w:tr w14:paraId="2714C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C2E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163</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FE6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外源激素</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318A">
            <w:pPr>
              <w:keepNext w:val="0"/>
              <w:keepLines w:val="0"/>
              <w:widowControl/>
              <w:suppressLineNumbers w:val="0"/>
              <w:jc w:val="center"/>
              <w:textAlignment w:val="center"/>
              <w:rPr>
                <w:rFonts w:hint="default"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100 mg</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571A">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BC3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80</w:t>
            </w:r>
          </w:p>
        </w:tc>
      </w:tr>
      <w:tr w14:paraId="6B70C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2E9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164</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20D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氯化钠</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A1D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500g</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32F8">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2BD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w:t>
            </w:r>
          </w:p>
        </w:tc>
      </w:tr>
      <w:tr w14:paraId="22B34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7E8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169</w:t>
            </w:r>
          </w:p>
        </w:tc>
        <w:tc>
          <w:tcPr>
            <w:tcW w:w="43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D6BC9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冰醋酸</w:t>
            </w:r>
          </w:p>
        </w:tc>
        <w:tc>
          <w:tcPr>
            <w:tcW w:w="168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E32315">
            <w:pPr>
              <w:keepNext w:val="0"/>
              <w:keepLines w:val="0"/>
              <w:widowControl/>
              <w:suppressLineNumbers w:val="0"/>
              <w:jc w:val="center"/>
              <w:textAlignment w:val="center"/>
              <w:rPr>
                <w:rFonts w:hint="default"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500ml</w:t>
            </w:r>
          </w:p>
        </w:tc>
        <w:tc>
          <w:tcPr>
            <w:tcW w:w="7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C0C15C">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C070C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2653A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DF9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170</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F75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酚酞试剂</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293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25g</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32EC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3D2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14:paraId="27C57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0FA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171</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CEC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氢氧化钠</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79F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500g</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A42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8C2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14:paraId="799EE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56F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174</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1D5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植物可溶性糖含量测试盒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63E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100管/96样</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EB9F">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59D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66DE7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D2D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175</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F19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BCA蛋白含量测试盒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394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100管/96样</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064B">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FD0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353A4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68E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176</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DC7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维生素C含量测试盒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F8CA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100管/96样</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B5633">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76D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58B76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3C3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177</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54E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丙二醛试剂盒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F81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100管/96样</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9063">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FEA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5D3EB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E76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178</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5D2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过氧化氢(CAT)试剂盒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CCE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100管/48样</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F143">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6A3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361A9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7B6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179</w:t>
            </w:r>
          </w:p>
        </w:tc>
        <w:tc>
          <w:tcPr>
            <w:tcW w:w="4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4CA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过氧化物酶POD试剂盒</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627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100管/96样</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4946">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FED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60640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000000" w:sz="4" w:space="0"/>
              <w:left w:val="single" w:color="000000" w:sz="4" w:space="0"/>
              <w:bottom w:val="single" w:color="auto" w:sz="4" w:space="0"/>
              <w:right w:val="single" w:color="000000" w:sz="4" w:space="0"/>
            </w:tcBorders>
            <w:shd w:val="clear" w:color="auto" w:fill="auto"/>
            <w:vAlign w:val="center"/>
          </w:tcPr>
          <w:p w14:paraId="137D8EC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180</w:t>
            </w:r>
          </w:p>
        </w:tc>
        <w:tc>
          <w:tcPr>
            <w:tcW w:w="4374" w:type="dxa"/>
            <w:tcBorders>
              <w:top w:val="single" w:color="000000" w:sz="4" w:space="0"/>
              <w:left w:val="single" w:color="000000" w:sz="4" w:space="0"/>
              <w:bottom w:val="single" w:color="auto" w:sz="4" w:space="0"/>
              <w:right w:val="single" w:color="000000" w:sz="4" w:space="0"/>
            </w:tcBorders>
            <w:shd w:val="clear" w:color="auto" w:fill="auto"/>
            <w:vAlign w:val="center"/>
          </w:tcPr>
          <w:p w14:paraId="69FB2B2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超氧化物歧化酶SOD试剂盒</w:t>
            </w:r>
          </w:p>
        </w:tc>
        <w:tc>
          <w:tcPr>
            <w:tcW w:w="1686" w:type="dxa"/>
            <w:tcBorders>
              <w:top w:val="single" w:color="000000" w:sz="4" w:space="0"/>
              <w:left w:val="single" w:color="000000" w:sz="4" w:space="0"/>
              <w:bottom w:val="single" w:color="auto" w:sz="4" w:space="0"/>
              <w:right w:val="single" w:color="000000" w:sz="4" w:space="0"/>
            </w:tcBorders>
            <w:shd w:val="clear" w:color="auto" w:fill="auto"/>
            <w:vAlign w:val="center"/>
          </w:tcPr>
          <w:p w14:paraId="326F0BB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100管/96样</w:t>
            </w:r>
          </w:p>
        </w:tc>
        <w:tc>
          <w:tcPr>
            <w:tcW w:w="728" w:type="dxa"/>
            <w:tcBorders>
              <w:top w:val="single" w:color="000000" w:sz="4" w:space="0"/>
              <w:left w:val="single" w:color="000000" w:sz="4" w:space="0"/>
              <w:bottom w:val="single" w:color="auto" w:sz="4" w:space="0"/>
              <w:right w:val="single" w:color="000000" w:sz="4" w:space="0"/>
            </w:tcBorders>
            <w:shd w:val="clear" w:color="auto" w:fill="auto"/>
            <w:vAlign w:val="center"/>
          </w:tcPr>
          <w:p w14:paraId="4DCB76F7">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000000" w:sz="4" w:space="0"/>
              <w:left w:val="single" w:color="000000" w:sz="4" w:space="0"/>
              <w:bottom w:val="single" w:color="auto" w:sz="4" w:space="0"/>
              <w:right w:val="single" w:color="000000" w:sz="4" w:space="0"/>
            </w:tcBorders>
            <w:shd w:val="clear" w:color="auto" w:fill="auto"/>
            <w:vAlign w:val="center"/>
          </w:tcPr>
          <w:p w14:paraId="1A5688F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5E7EC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20A3569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181</w:t>
            </w:r>
          </w:p>
        </w:tc>
        <w:tc>
          <w:tcPr>
            <w:tcW w:w="4374" w:type="dxa"/>
            <w:tcBorders>
              <w:top w:val="single" w:color="auto" w:sz="4" w:space="0"/>
              <w:left w:val="single" w:color="auto" w:sz="4" w:space="0"/>
              <w:bottom w:val="single" w:color="auto" w:sz="4" w:space="0"/>
              <w:right w:val="single" w:color="auto" w:sz="4" w:space="0"/>
            </w:tcBorders>
            <w:shd w:val="clear" w:color="auto" w:fill="auto"/>
            <w:vAlign w:val="center"/>
          </w:tcPr>
          <w:p w14:paraId="039F7F7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液氮</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41C6D579">
            <w:pPr>
              <w:widowControl/>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Cs w:val="21"/>
                <w:highlight w:val="none"/>
                <w:lang w:bidi="ar"/>
              </w:rPr>
              <w:t>20L/桶</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5FDFAE28">
            <w:pPr>
              <w:widowControl/>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kern w:val="0"/>
                <w:szCs w:val="21"/>
                <w:highlight w:val="none"/>
                <w:lang w:bidi="ar"/>
              </w:rPr>
              <w:t>桶</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5104C64A">
            <w:pPr>
              <w:widowControl/>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Cs w:val="21"/>
                <w:highlight w:val="none"/>
                <w:lang w:bidi="ar"/>
              </w:rPr>
              <w:t>400（次）</w:t>
            </w:r>
          </w:p>
        </w:tc>
      </w:tr>
      <w:tr w14:paraId="068B9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5800C63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182</w:t>
            </w:r>
          </w:p>
        </w:tc>
        <w:tc>
          <w:tcPr>
            <w:tcW w:w="4374" w:type="dxa"/>
            <w:tcBorders>
              <w:top w:val="single" w:color="auto" w:sz="4" w:space="0"/>
              <w:left w:val="single" w:color="auto" w:sz="4" w:space="0"/>
              <w:bottom w:val="single" w:color="auto" w:sz="4" w:space="0"/>
              <w:right w:val="single" w:color="auto" w:sz="4" w:space="0"/>
            </w:tcBorders>
            <w:shd w:val="clear" w:color="auto" w:fill="auto"/>
            <w:vAlign w:val="center"/>
          </w:tcPr>
          <w:p w14:paraId="0ECF92A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FAA固定液</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15E9E741">
            <w:pPr>
              <w:widowControl/>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Cs w:val="21"/>
                <w:highlight w:val="none"/>
                <w:lang w:bidi="ar"/>
              </w:rPr>
              <w:t>500ml/瓶</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23162F21">
            <w:pPr>
              <w:widowControl/>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kern w:val="0"/>
                <w:szCs w:val="21"/>
                <w:highlight w:val="none"/>
                <w:lang w:bidi="ar"/>
              </w:rPr>
              <w:t>瓶</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29FB5E2F">
            <w:pPr>
              <w:widowControl/>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Cs w:val="21"/>
                <w:highlight w:val="none"/>
                <w:lang w:bidi="ar"/>
              </w:rPr>
              <w:t>10</w:t>
            </w:r>
          </w:p>
        </w:tc>
      </w:tr>
      <w:tr w14:paraId="5EB40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3A0A60A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183</w:t>
            </w:r>
          </w:p>
        </w:tc>
        <w:tc>
          <w:tcPr>
            <w:tcW w:w="4374" w:type="dxa"/>
            <w:tcBorders>
              <w:top w:val="single" w:color="auto" w:sz="4" w:space="0"/>
              <w:left w:val="single" w:color="auto" w:sz="4" w:space="0"/>
              <w:bottom w:val="single" w:color="auto" w:sz="4" w:space="0"/>
              <w:right w:val="single" w:color="auto" w:sz="4" w:space="0"/>
            </w:tcBorders>
            <w:shd w:val="clear" w:color="auto" w:fill="auto"/>
            <w:vAlign w:val="center"/>
          </w:tcPr>
          <w:p w14:paraId="5DE616A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RNA提取试剂盒</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478DFD8B">
            <w:pPr>
              <w:widowControl/>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Cs w:val="21"/>
                <w:highlight w:val="none"/>
                <w:lang w:bidi="ar"/>
              </w:rPr>
              <w:t>50次/盒</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3EF5C6C1">
            <w:pPr>
              <w:widowControl/>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kern w:val="0"/>
                <w:szCs w:val="21"/>
                <w:highlight w:val="none"/>
                <w:lang w:bidi="ar"/>
              </w:rPr>
              <w:t>盒</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649B65E5">
            <w:pPr>
              <w:widowControl/>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Cs w:val="21"/>
                <w:highlight w:val="none"/>
                <w:lang w:bidi="ar"/>
              </w:rPr>
              <w:t>10</w:t>
            </w:r>
          </w:p>
        </w:tc>
      </w:tr>
      <w:tr w14:paraId="27F75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23C9957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184</w:t>
            </w:r>
          </w:p>
        </w:tc>
        <w:tc>
          <w:tcPr>
            <w:tcW w:w="4374" w:type="dxa"/>
            <w:tcBorders>
              <w:top w:val="single" w:color="auto" w:sz="4" w:space="0"/>
              <w:left w:val="single" w:color="auto" w:sz="4" w:space="0"/>
              <w:bottom w:val="single" w:color="auto" w:sz="4" w:space="0"/>
              <w:right w:val="single" w:color="auto" w:sz="4" w:space="0"/>
            </w:tcBorders>
            <w:shd w:val="clear" w:color="auto" w:fill="auto"/>
            <w:vAlign w:val="center"/>
          </w:tcPr>
          <w:p w14:paraId="1FE9FD9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荧光定量PCR试剂盒</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5ACF8277">
            <w:pPr>
              <w:widowControl/>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Cs w:val="21"/>
                <w:highlight w:val="none"/>
                <w:lang w:bidi="ar"/>
              </w:rPr>
              <w:t>-</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3F23ACCA">
            <w:pPr>
              <w:widowControl/>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797713E6">
            <w:pPr>
              <w:widowControl/>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Cs w:val="21"/>
                <w:highlight w:val="none"/>
                <w:lang w:bidi="ar"/>
              </w:rPr>
              <w:t>4</w:t>
            </w:r>
          </w:p>
        </w:tc>
      </w:tr>
      <w:tr w14:paraId="1E7BA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7553A53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185</w:t>
            </w:r>
          </w:p>
        </w:tc>
        <w:tc>
          <w:tcPr>
            <w:tcW w:w="4374" w:type="dxa"/>
            <w:tcBorders>
              <w:top w:val="single" w:color="auto" w:sz="4" w:space="0"/>
              <w:left w:val="single" w:color="auto" w:sz="4" w:space="0"/>
              <w:bottom w:val="single" w:color="auto" w:sz="4" w:space="0"/>
              <w:right w:val="single" w:color="auto" w:sz="4" w:space="0"/>
            </w:tcBorders>
            <w:shd w:val="clear" w:color="auto" w:fill="auto"/>
            <w:vAlign w:val="center"/>
          </w:tcPr>
          <w:p w14:paraId="6CE7AE4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FastReal快速荧光定量PCR预混试剂(SYBR Green)</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5D1D3B10">
            <w:pPr>
              <w:widowControl/>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Cs w:val="21"/>
                <w:highlight w:val="none"/>
                <w:lang w:bidi="ar"/>
              </w:rPr>
              <w:t>100次/包</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0ED1FD45">
            <w:pPr>
              <w:widowControl/>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kern w:val="0"/>
                <w:szCs w:val="21"/>
                <w:highlight w:val="none"/>
                <w:lang w:bidi="ar"/>
              </w:rPr>
              <w:t>包</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2935B6E6">
            <w:pPr>
              <w:widowControl/>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Cs w:val="21"/>
                <w:highlight w:val="none"/>
                <w:lang w:bidi="ar"/>
              </w:rPr>
              <w:t>20</w:t>
            </w:r>
          </w:p>
        </w:tc>
      </w:tr>
      <w:tr w14:paraId="77CFC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7F110C8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186</w:t>
            </w:r>
          </w:p>
        </w:tc>
        <w:tc>
          <w:tcPr>
            <w:tcW w:w="4374" w:type="dxa"/>
            <w:tcBorders>
              <w:top w:val="single" w:color="auto" w:sz="4" w:space="0"/>
              <w:left w:val="single" w:color="auto" w:sz="4" w:space="0"/>
              <w:bottom w:val="single" w:color="auto" w:sz="4" w:space="0"/>
              <w:right w:val="single" w:color="auto" w:sz="4" w:space="0"/>
            </w:tcBorders>
            <w:shd w:val="clear" w:color="auto" w:fill="auto"/>
            <w:vAlign w:val="center"/>
          </w:tcPr>
          <w:p w14:paraId="50C0A90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takara逆转录试剂</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2E37C2E0">
            <w:pPr>
              <w:widowControl/>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Cs w:val="21"/>
                <w:highlight w:val="none"/>
                <w:lang w:bidi="ar"/>
              </w:rPr>
              <w:t>200次/包</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2A7E1AD8">
            <w:pPr>
              <w:widowControl/>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kern w:val="0"/>
                <w:szCs w:val="21"/>
                <w:highlight w:val="none"/>
                <w:lang w:bidi="ar"/>
              </w:rPr>
              <w:t>包</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46A98B35">
            <w:pPr>
              <w:widowControl/>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Cs w:val="21"/>
                <w:highlight w:val="none"/>
                <w:lang w:bidi="ar"/>
              </w:rPr>
              <w:t>20</w:t>
            </w:r>
          </w:p>
        </w:tc>
      </w:tr>
      <w:tr w14:paraId="571C8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411C9C8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187</w:t>
            </w:r>
          </w:p>
        </w:tc>
        <w:tc>
          <w:tcPr>
            <w:tcW w:w="4374" w:type="dxa"/>
            <w:tcBorders>
              <w:top w:val="single" w:color="auto" w:sz="4" w:space="0"/>
              <w:left w:val="single" w:color="auto" w:sz="4" w:space="0"/>
              <w:bottom w:val="single" w:color="auto" w:sz="4" w:space="0"/>
              <w:right w:val="single" w:color="auto" w:sz="4" w:space="0"/>
            </w:tcBorders>
            <w:shd w:val="clear" w:color="auto" w:fill="auto"/>
            <w:vAlign w:val="center"/>
          </w:tcPr>
          <w:p w14:paraId="20E4E42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荧光定量96孔板</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4BD020DA">
            <w:pPr>
              <w:widowControl/>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Cs w:val="21"/>
                <w:highlight w:val="none"/>
                <w:lang w:bidi="ar"/>
              </w:rPr>
              <w:t>50块/箱</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5E159FC7">
            <w:pPr>
              <w:widowControl/>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kern w:val="0"/>
                <w:szCs w:val="21"/>
                <w:highlight w:val="none"/>
                <w:lang w:bidi="ar"/>
              </w:rPr>
              <w:t>箱</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0F9F6BCE">
            <w:pPr>
              <w:widowControl/>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Cs w:val="21"/>
                <w:highlight w:val="none"/>
                <w:lang w:bidi="ar"/>
              </w:rPr>
              <w:t>4</w:t>
            </w:r>
          </w:p>
        </w:tc>
      </w:tr>
      <w:tr w14:paraId="0FF79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59A95E9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188</w:t>
            </w:r>
          </w:p>
        </w:tc>
        <w:tc>
          <w:tcPr>
            <w:tcW w:w="4374" w:type="dxa"/>
            <w:tcBorders>
              <w:top w:val="single" w:color="auto" w:sz="4" w:space="0"/>
              <w:left w:val="single" w:color="auto" w:sz="4" w:space="0"/>
              <w:bottom w:val="single" w:color="auto" w:sz="4" w:space="0"/>
              <w:right w:val="single" w:color="auto" w:sz="4" w:space="0"/>
            </w:tcBorders>
            <w:shd w:val="clear" w:color="auto" w:fill="auto"/>
            <w:vAlign w:val="center"/>
          </w:tcPr>
          <w:p w14:paraId="43B8402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荧光定量封板膜</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3E56CEDC">
            <w:pPr>
              <w:widowControl/>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Cs w:val="21"/>
                <w:highlight w:val="none"/>
                <w:lang w:bidi="ar"/>
              </w:rPr>
              <w:t>100片/包</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76A29CDA">
            <w:pPr>
              <w:widowControl/>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kern w:val="0"/>
                <w:szCs w:val="21"/>
                <w:highlight w:val="none"/>
                <w:lang w:bidi="ar"/>
              </w:rPr>
              <w:t>包</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42E60F1E">
            <w:pPr>
              <w:widowControl/>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Cs w:val="21"/>
                <w:highlight w:val="none"/>
                <w:lang w:bidi="ar"/>
              </w:rPr>
              <w:t>2</w:t>
            </w:r>
          </w:p>
        </w:tc>
      </w:tr>
      <w:tr w14:paraId="66A00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1860343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189</w:t>
            </w:r>
          </w:p>
        </w:tc>
        <w:tc>
          <w:tcPr>
            <w:tcW w:w="4374" w:type="dxa"/>
            <w:tcBorders>
              <w:top w:val="single" w:color="auto" w:sz="4" w:space="0"/>
              <w:left w:val="single" w:color="auto" w:sz="4" w:space="0"/>
              <w:bottom w:val="single" w:color="auto" w:sz="4" w:space="0"/>
              <w:right w:val="single" w:color="auto" w:sz="4" w:space="0"/>
            </w:tcBorders>
            <w:shd w:val="clear" w:color="auto" w:fill="auto"/>
            <w:vAlign w:val="center"/>
          </w:tcPr>
          <w:p w14:paraId="2A6302A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SMARTer RACE试剂盒</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7E44955C">
            <w:pPr>
              <w:widowControl/>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Cs w:val="21"/>
                <w:highlight w:val="none"/>
                <w:lang w:bidi="ar"/>
              </w:rPr>
              <w:t>20次/包</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5EED89FE">
            <w:pPr>
              <w:widowControl/>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kern w:val="0"/>
                <w:szCs w:val="21"/>
                <w:highlight w:val="none"/>
                <w:lang w:bidi="ar"/>
              </w:rPr>
              <w:t>包</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42605886">
            <w:pPr>
              <w:widowControl/>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Cs w:val="21"/>
                <w:highlight w:val="none"/>
                <w:lang w:bidi="ar"/>
              </w:rPr>
              <w:t>1</w:t>
            </w:r>
          </w:p>
        </w:tc>
      </w:tr>
      <w:tr w14:paraId="755E0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2CB9B68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190</w:t>
            </w:r>
          </w:p>
        </w:tc>
        <w:tc>
          <w:tcPr>
            <w:tcW w:w="4374" w:type="dxa"/>
            <w:tcBorders>
              <w:top w:val="single" w:color="auto" w:sz="4" w:space="0"/>
              <w:left w:val="single" w:color="auto" w:sz="4" w:space="0"/>
              <w:bottom w:val="single" w:color="auto" w:sz="4" w:space="0"/>
              <w:right w:val="single" w:color="auto" w:sz="4" w:space="0"/>
            </w:tcBorders>
            <w:shd w:val="clear" w:color="auto" w:fill="auto"/>
            <w:vAlign w:val="center"/>
          </w:tcPr>
          <w:p w14:paraId="3117194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Mir-X miRNA First Strand Synthesis Kit</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4345122B">
            <w:pPr>
              <w:widowControl/>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Cs w:val="21"/>
                <w:highlight w:val="none"/>
                <w:lang w:bidi="ar"/>
              </w:rPr>
              <w:t>60次/包</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17AFAF88">
            <w:pPr>
              <w:widowControl/>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kern w:val="0"/>
                <w:szCs w:val="21"/>
                <w:highlight w:val="none"/>
                <w:lang w:bidi="ar"/>
              </w:rPr>
              <w:t>包</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625022C3">
            <w:pPr>
              <w:widowControl/>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Cs w:val="21"/>
                <w:highlight w:val="none"/>
                <w:lang w:bidi="ar"/>
              </w:rPr>
              <w:t>1</w:t>
            </w:r>
          </w:p>
        </w:tc>
      </w:tr>
      <w:tr w14:paraId="3C854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2E60952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191</w:t>
            </w:r>
          </w:p>
        </w:tc>
        <w:tc>
          <w:tcPr>
            <w:tcW w:w="4374" w:type="dxa"/>
            <w:tcBorders>
              <w:top w:val="single" w:color="auto" w:sz="4" w:space="0"/>
              <w:left w:val="single" w:color="auto" w:sz="4" w:space="0"/>
              <w:bottom w:val="single" w:color="auto" w:sz="4" w:space="0"/>
              <w:right w:val="single" w:color="auto" w:sz="4" w:space="0"/>
            </w:tcBorders>
            <w:shd w:val="clear" w:color="auto" w:fill="auto"/>
            <w:vAlign w:val="center"/>
          </w:tcPr>
          <w:p w14:paraId="2FAAAC8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TB green II</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51BBBCDD">
            <w:pPr>
              <w:widowControl/>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Cs w:val="21"/>
                <w:highlight w:val="none"/>
                <w:lang w:bidi="ar"/>
              </w:rPr>
              <w:t>200次/包</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10BF1D5B">
            <w:pPr>
              <w:widowControl/>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kern w:val="0"/>
                <w:szCs w:val="21"/>
                <w:highlight w:val="none"/>
                <w:lang w:bidi="ar"/>
              </w:rPr>
              <w:t>包</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209A2A75">
            <w:pPr>
              <w:widowControl/>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Cs w:val="21"/>
                <w:highlight w:val="none"/>
                <w:lang w:bidi="ar"/>
              </w:rPr>
              <w:t>10</w:t>
            </w:r>
          </w:p>
        </w:tc>
      </w:tr>
      <w:tr w14:paraId="6639A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115D91D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192</w:t>
            </w:r>
          </w:p>
        </w:tc>
        <w:tc>
          <w:tcPr>
            <w:tcW w:w="4374" w:type="dxa"/>
            <w:tcBorders>
              <w:top w:val="single" w:color="auto" w:sz="4" w:space="0"/>
              <w:left w:val="single" w:color="auto" w:sz="4" w:space="0"/>
              <w:bottom w:val="single" w:color="auto" w:sz="4" w:space="0"/>
              <w:right w:val="single" w:color="auto" w:sz="4" w:space="0"/>
            </w:tcBorders>
            <w:shd w:val="clear" w:color="auto" w:fill="auto"/>
            <w:vAlign w:val="center"/>
          </w:tcPr>
          <w:p w14:paraId="132C450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PrimeScript RT Master Mix</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1F1C411C">
            <w:pPr>
              <w:widowControl/>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Cs w:val="21"/>
                <w:highlight w:val="none"/>
                <w:lang w:bidi="ar"/>
              </w:rPr>
              <w:t>200次/包</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0EDC57DC">
            <w:pPr>
              <w:widowControl/>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kern w:val="0"/>
                <w:szCs w:val="21"/>
                <w:highlight w:val="none"/>
                <w:lang w:bidi="ar"/>
              </w:rPr>
              <w:t>包</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27328433">
            <w:pPr>
              <w:widowControl/>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Cs w:val="21"/>
                <w:highlight w:val="none"/>
                <w:lang w:bidi="ar"/>
              </w:rPr>
              <w:t>5</w:t>
            </w:r>
          </w:p>
        </w:tc>
      </w:tr>
      <w:tr w14:paraId="781DC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11CC2E5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193</w:t>
            </w:r>
          </w:p>
        </w:tc>
        <w:tc>
          <w:tcPr>
            <w:tcW w:w="4374" w:type="dxa"/>
            <w:tcBorders>
              <w:top w:val="single" w:color="auto" w:sz="4" w:space="0"/>
              <w:left w:val="single" w:color="auto" w:sz="4" w:space="0"/>
              <w:bottom w:val="single" w:color="auto" w:sz="4" w:space="0"/>
              <w:right w:val="single" w:color="auto" w:sz="4" w:space="0"/>
            </w:tcBorders>
            <w:shd w:val="clear" w:color="auto" w:fill="auto"/>
            <w:vAlign w:val="center"/>
          </w:tcPr>
          <w:p w14:paraId="235063D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高保真酶Phanta Max Master Mix</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100534A5">
            <w:pPr>
              <w:widowControl/>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Cs w:val="21"/>
                <w:highlight w:val="none"/>
                <w:lang w:bidi="ar"/>
              </w:rPr>
              <w:t>1mL/支</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640CD575">
            <w:pPr>
              <w:widowControl/>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kern w:val="0"/>
                <w:szCs w:val="21"/>
                <w:highlight w:val="none"/>
                <w:lang w:bidi="ar"/>
              </w:rPr>
              <w:t>支</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6A6C6556">
            <w:pPr>
              <w:widowControl/>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Cs w:val="21"/>
                <w:highlight w:val="none"/>
                <w:lang w:bidi="ar"/>
              </w:rPr>
              <w:t>10</w:t>
            </w:r>
          </w:p>
        </w:tc>
      </w:tr>
      <w:tr w14:paraId="30520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08C9EF2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194</w:t>
            </w:r>
          </w:p>
        </w:tc>
        <w:tc>
          <w:tcPr>
            <w:tcW w:w="4374" w:type="dxa"/>
            <w:tcBorders>
              <w:top w:val="single" w:color="auto" w:sz="4" w:space="0"/>
              <w:left w:val="single" w:color="auto" w:sz="4" w:space="0"/>
              <w:bottom w:val="single" w:color="auto" w:sz="4" w:space="0"/>
              <w:right w:val="single" w:color="auto" w:sz="4" w:space="0"/>
            </w:tcBorders>
            <w:shd w:val="clear" w:color="auto" w:fill="auto"/>
            <w:vAlign w:val="center"/>
          </w:tcPr>
          <w:p w14:paraId="592CC1E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Taq Master Mix</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6767E611">
            <w:pPr>
              <w:widowControl/>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Cs w:val="21"/>
                <w:highlight w:val="none"/>
                <w:lang w:bidi="ar"/>
              </w:rPr>
              <w:t>5支×1mL</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527EFD65">
            <w:pPr>
              <w:widowControl/>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kern w:val="0"/>
                <w:szCs w:val="21"/>
                <w:highlight w:val="none"/>
                <w:lang w:bidi="ar"/>
              </w:rPr>
              <w:t>包</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46EAF7AB">
            <w:pPr>
              <w:widowControl/>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Cs w:val="21"/>
                <w:highlight w:val="none"/>
                <w:lang w:bidi="ar"/>
              </w:rPr>
              <w:t>150</w:t>
            </w:r>
          </w:p>
        </w:tc>
      </w:tr>
      <w:tr w14:paraId="01CA2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1C90641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195</w:t>
            </w:r>
          </w:p>
        </w:tc>
        <w:tc>
          <w:tcPr>
            <w:tcW w:w="4374" w:type="dxa"/>
            <w:tcBorders>
              <w:top w:val="single" w:color="auto" w:sz="4" w:space="0"/>
              <w:left w:val="single" w:color="auto" w:sz="4" w:space="0"/>
              <w:bottom w:val="single" w:color="auto" w:sz="4" w:space="0"/>
              <w:right w:val="single" w:color="auto" w:sz="4" w:space="0"/>
            </w:tcBorders>
            <w:shd w:val="clear" w:color="auto" w:fill="auto"/>
            <w:vAlign w:val="center"/>
          </w:tcPr>
          <w:p w14:paraId="4B8E720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琼脂糖凝胶DNA回收试剂盒（DP219）</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6B4C9419">
            <w:pPr>
              <w:widowControl/>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Cs w:val="21"/>
                <w:highlight w:val="none"/>
                <w:lang w:bidi="ar"/>
              </w:rPr>
              <w:t>50次/盒</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5A44BA00">
            <w:pPr>
              <w:widowControl/>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kern w:val="0"/>
                <w:szCs w:val="21"/>
                <w:highlight w:val="none"/>
                <w:lang w:bidi="ar"/>
              </w:rPr>
              <w:t>盒</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4E7F3203">
            <w:pPr>
              <w:widowControl/>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Cs w:val="21"/>
                <w:highlight w:val="none"/>
                <w:lang w:bidi="ar"/>
              </w:rPr>
              <w:t>5</w:t>
            </w:r>
          </w:p>
        </w:tc>
      </w:tr>
      <w:tr w14:paraId="6AFEC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5EF07A0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196</w:t>
            </w:r>
          </w:p>
        </w:tc>
        <w:tc>
          <w:tcPr>
            <w:tcW w:w="4374" w:type="dxa"/>
            <w:tcBorders>
              <w:top w:val="single" w:color="auto" w:sz="4" w:space="0"/>
              <w:left w:val="single" w:color="auto" w:sz="4" w:space="0"/>
              <w:bottom w:val="single" w:color="auto" w:sz="4" w:space="0"/>
              <w:right w:val="single" w:color="auto" w:sz="4" w:space="0"/>
            </w:tcBorders>
            <w:shd w:val="clear" w:color="auto" w:fill="auto"/>
            <w:vAlign w:val="center"/>
          </w:tcPr>
          <w:p w14:paraId="4CAF64E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高纯度质粒小提试剂盒</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1878C808">
            <w:pPr>
              <w:widowControl/>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Cs w:val="21"/>
                <w:highlight w:val="none"/>
                <w:lang w:bidi="ar"/>
              </w:rPr>
              <w:t>200次/盒</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698C9637">
            <w:pPr>
              <w:widowControl/>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kern w:val="0"/>
                <w:szCs w:val="21"/>
                <w:highlight w:val="none"/>
                <w:lang w:bidi="ar"/>
              </w:rPr>
              <w:t>盒</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654B132D">
            <w:pPr>
              <w:widowControl/>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Cs w:val="21"/>
                <w:highlight w:val="none"/>
                <w:lang w:bidi="ar"/>
              </w:rPr>
              <w:t>5</w:t>
            </w:r>
          </w:p>
        </w:tc>
      </w:tr>
      <w:tr w14:paraId="0281B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3E4D194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197</w:t>
            </w:r>
          </w:p>
        </w:tc>
        <w:tc>
          <w:tcPr>
            <w:tcW w:w="4374" w:type="dxa"/>
            <w:tcBorders>
              <w:top w:val="single" w:color="auto" w:sz="4" w:space="0"/>
              <w:left w:val="single" w:color="auto" w:sz="4" w:space="0"/>
              <w:bottom w:val="single" w:color="auto" w:sz="4" w:space="0"/>
              <w:right w:val="single" w:color="auto" w:sz="4" w:space="0"/>
            </w:tcBorders>
            <w:shd w:val="clear" w:color="auto" w:fill="auto"/>
            <w:vAlign w:val="center"/>
          </w:tcPr>
          <w:p w14:paraId="57C0CC2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大肠感受态DH5α</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5940F112">
            <w:pPr>
              <w:widowControl/>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Cs w:val="21"/>
                <w:highlight w:val="none"/>
                <w:lang w:bidi="ar"/>
              </w:rPr>
              <w:t>100μL/支，20支/包</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6628A498">
            <w:pPr>
              <w:widowControl/>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kern w:val="0"/>
                <w:szCs w:val="21"/>
                <w:highlight w:val="none"/>
                <w:lang w:bidi="ar"/>
              </w:rPr>
              <w:t>包</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39092186">
            <w:pPr>
              <w:widowControl/>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Cs w:val="21"/>
                <w:highlight w:val="none"/>
                <w:lang w:bidi="ar"/>
              </w:rPr>
              <w:t>10</w:t>
            </w:r>
          </w:p>
        </w:tc>
      </w:tr>
      <w:tr w14:paraId="2D676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70FC90B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198</w:t>
            </w:r>
          </w:p>
        </w:tc>
        <w:tc>
          <w:tcPr>
            <w:tcW w:w="4374" w:type="dxa"/>
            <w:tcBorders>
              <w:top w:val="single" w:color="auto" w:sz="4" w:space="0"/>
              <w:left w:val="single" w:color="auto" w:sz="4" w:space="0"/>
              <w:bottom w:val="single" w:color="auto" w:sz="4" w:space="0"/>
              <w:right w:val="single" w:color="auto" w:sz="4" w:space="0"/>
            </w:tcBorders>
            <w:shd w:val="clear" w:color="auto" w:fill="auto"/>
            <w:vAlign w:val="center"/>
          </w:tcPr>
          <w:p w14:paraId="0C6C289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农杆菌感受态</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3F14C53A">
            <w:pPr>
              <w:widowControl/>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Cs w:val="21"/>
                <w:highlight w:val="none"/>
                <w:lang w:bidi="ar"/>
              </w:rPr>
              <w:t>100μL/支，10支/包</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4DA92E06">
            <w:pPr>
              <w:widowControl/>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kern w:val="0"/>
                <w:szCs w:val="21"/>
                <w:highlight w:val="none"/>
                <w:lang w:bidi="ar"/>
              </w:rPr>
              <w:t>包</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390161D7">
            <w:pPr>
              <w:widowControl/>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Cs w:val="21"/>
                <w:highlight w:val="none"/>
                <w:lang w:bidi="ar"/>
              </w:rPr>
              <w:t>10</w:t>
            </w:r>
          </w:p>
        </w:tc>
      </w:tr>
      <w:tr w14:paraId="41F65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668001C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199</w:t>
            </w:r>
          </w:p>
        </w:tc>
        <w:tc>
          <w:tcPr>
            <w:tcW w:w="4374" w:type="dxa"/>
            <w:tcBorders>
              <w:top w:val="single" w:color="auto" w:sz="4" w:space="0"/>
              <w:left w:val="single" w:color="auto" w:sz="4" w:space="0"/>
              <w:bottom w:val="single" w:color="auto" w:sz="4" w:space="0"/>
              <w:right w:val="single" w:color="auto" w:sz="4" w:space="0"/>
            </w:tcBorders>
            <w:shd w:val="clear" w:color="auto" w:fill="auto"/>
            <w:vAlign w:val="center"/>
          </w:tcPr>
          <w:p w14:paraId="15679AE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酵母感受态</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7B75C294">
            <w:pPr>
              <w:widowControl/>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Cs w:val="21"/>
                <w:highlight w:val="none"/>
                <w:lang w:bidi="ar"/>
              </w:rPr>
              <w:t>100μL/支</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32D6D69E">
            <w:pPr>
              <w:widowControl/>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kern w:val="0"/>
                <w:szCs w:val="21"/>
                <w:highlight w:val="none"/>
                <w:lang w:bidi="ar"/>
              </w:rPr>
              <w:t>支</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29E2F65F">
            <w:pPr>
              <w:widowControl/>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Cs w:val="21"/>
                <w:highlight w:val="none"/>
                <w:lang w:bidi="ar"/>
              </w:rPr>
              <w:t>10</w:t>
            </w:r>
          </w:p>
        </w:tc>
      </w:tr>
      <w:tr w14:paraId="57997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2489CC9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200</w:t>
            </w:r>
          </w:p>
        </w:tc>
        <w:tc>
          <w:tcPr>
            <w:tcW w:w="4374" w:type="dxa"/>
            <w:tcBorders>
              <w:top w:val="single" w:color="auto" w:sz="4" w:space="0"/>
              <w:left w:val="single" w:color="auto" w:sz="4" w:space="0"/>
              <w:bottom w:val="single" w:color="auto" w:sz="4" w:space="0"/>
              <w:right w:val="single" w:color="auto" w:sz="4" w:space="0"/>
            </w:tcBorders>
            <w:shd w:val="clear" w:color="auto" w:fill="auto"/>
            <w:vAlign w:val="center"/>
          </w:tcPr>
          <w:p w14:paraId="63AB078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无酶管</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5E4F9632">
            <w:pPr>
              <w:widowControl/>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Cs w:val="21"/>
                <w:highlight w:val="none"/>
                <w:lang w:bidi="ar"/>
              </w:rPr>
              <w:t>250支/盒</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1520C324">
            <w:pPr>
              <w:widowControl/>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kern w:val="0"/>
                <w:szCs w:val="21"/>
                <w:highlight w:val="none"/>
                <w:lang w:bidi="ar"/>
              </w:rPr>
              <w:t>盒</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4AEF4823">
            <w:pPr>
              <w:widowControl/>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Cs w:val="21"/>
                <w:highlight w:val="none"/>
                <w:lang w:bidi="ar"/>
              </w:rPr>
              <w:t>10</w:t>
            </w:r>
          </w:p>
        </w:tc>
      </w:tr>
      <w:tr w14:paraId="5EC78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1C56C8C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201</w:t>
            </w:r>
          </w:p>
        </w:tc>
        <w:tc>
          <w:tcPr>
            <w:tcW w:w="4374" w:type="dxa"/>
            <w:tcBorders>
              <w:top w:val="single" w:color="auto" w:sz="4" w:space="0"/>
              <w:left w:val="single" w:color="auto" w:sz="4" w:space="0"/>
              <w:bottom w:val="single" w:color="auto" w:sz="4" w:space="0"/>
              <w:right w:val="single" w:color="auto" w:sz="4" w:space="0"/>
            </w:tcBorders>
            <w:shd w:val="clear" w:color="auto" w:fill="auto"/>
            <w:vAlign w:val="center"/>
          </w:tcPr>
          <w:p w14:paraId="2F5B4C0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无酶枪头</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72BECD4B">
            <w:pPr>
              <w:widowControl/>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Cs w:val="21"/>
                <w:highlight w:val="none"/>
                <w:lang w:bidi="ar"/>
              </w:rPr>
              <w:t>1000支/袋</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71F2EC60">
            <w:pPr>
              <w:widowControl/>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kern w:val="0"/>
                <w:szCs w:val="21"/>
                <w:highlight w:val="none"/>
                <w:lang w:bidi="ar"/>
              </w:rPr>
              <w:t>袋</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6A8D6BEF">
            <w:pPr>
              <w:widowControl/>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Cs w:val="21"/>
                <w:highlight w:val="none"/>
                <w:lang w:bidi="ar"/>
              </w:rPr>
              <w:t>20</w:t>
            </w:r>
          </w:p>
        </w:tc>
      </w:tr>
      <w:tr w14:paraId="747DD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45C8913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202</w:t>
            </w:r>
          </w:p>
        </w:tc>
        <w:tc>
          <w:tcPr>
            <w:tcW w:w="4374" w:type="dxa"/>
            <w:tcBorders>
              <w:top w:val="single" w:color="auto" w:sz="4" w:space="0"/>
              <w:left w:val="single" w:color="auto" w:sz="4" w:space="0"/>
              <w:bottom w:val="single" w:color="auto" w:sz="4" w:space="0"/>
              <w:right w:val="single" w:color="auto" w:sz="4" w:space="0"/>
            </w:tcBorders>
            <w:shd w:val="clear" w:color="auto" w:fill="auto"/>
            <w:vAlign w:val="center"/>
          </w:tcPr>
          <w:p w14:paraId="0E21262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研钵</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3D1EC5D5">
            <w:pPr>
              <w:widowControl/>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Cs w:val="21"/>
                <w:highlight w:val="none"/>
                <w:lang w:bidi="ar"/>
              </w:rPr>
              <w:t>15cm直径/套（包含研钵棒）</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4903030A">
            <w:pPr>
              <w:widowControl/>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kern w:val="0"/>
                <w:szCs w:val="21"/>
                <w:highlight w:val="none"/>
                <w:lang w:bidi="ar"/>
              </w:rPr>
              <w:t>套</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1E068E03">
            <w:pPr>
              <w:widowControl/>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Cs w:val="21"/>
                <w:highlight w:val="none"/>
                <w:lang w:bidi="ar"/>
              </w:rPr>
              <w:t>30</w:t>
            </w:r>
          </w:p>
        </w:tc>
      </w:tr>
      <w:tr w14:paraId="011EB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74559C1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203</w:t>
            </w:r>
          </w:p>
        </w:tc>
        <w:tc>
          <w:tcPr>
            <w:tcW w:w="4374" w:type="dxa"/>
            <w:tcBorders>
              <w:top w:val="single" w:color="auto" w:sz="4" w:space="0"/>
              <w:left w:val="single" w:color="auto" w:sz="4" w:space="0"/>
              <w:bottom w:val="single" w:color="auto" w:sz="4" w:space="0"/>
              <w:right w:val="single" w:color="auto" w:sz="4" w:space="0"/>
            </w:tcBorders>
            <w:shd w:val="clear" w:color="auto" w:fill="auto"/>
            <w:vAlign w:val="center"/>
          </w:tcPr>
          <w:p w14:paraId="17E2E7A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干冰</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091600AD">
            <w:pPr>
              <w:widowControl/>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Cs w:val="21"/>
                <w:highlight w:val="none"/>
                <w:lang w:bidi="ar"/>
              </w:rPr>
              <w:t>20千克/箱</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60EAB28D">
            <w:pPr>
              <w:widowControl/>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kern w:val="0"/>
                <w:szCs w:val="21"/>
                <w:highlight w:val="none"/>
                <w:lang w:bidi="ar"/>
              </w:rPr>
              <w:t>箱</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5BC46A78">
            <w:pPr>
              <w:widowControl/>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Cs w:val="21"/>
                <w:highlight w:val="none"/>
                <w:lang w:bidi="ar"/>
              </w:rPr>
              <w:t>15</w:t>
            </w:r>
          </w:p>
        </w:tc>
      </w:tr>
      <w:tr w14:paraId="39D49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7C69D93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204</w:t>
            </w:r>
          </w:p>
        </w:tc>
        <w:tc>
          <w:tcPr>
            <w:tcW w:w="4374" w:type="dxa"/>
            <w:tcBorders>
              <w:top w:val="single" w:color="auto" w:sz="4" w:space="0"/>
              <w:left w:val="single" w:color="auto" w:sz="4" w:space="0"/>
              <w:bottom w:val="single" w:color="auto" w:sz="4" w:space="0"/>
              <w:right w:val="single" w:color="auto" w:sz="4" w:space="0"/>
            </w:tcBorders>
            <w:shd w:val="clear" w:color="auto" w:fill="auto"/>
            <w:vAlign w:val="center"/>
          </w:tcPr>
          <w:p w14:paraId="4CF3C98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植物水培营养液（霍格兰）</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589012B3">
            <w:pPr>
              <w:widowControl/>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Cs w:val="21"/>
                <w:highlight w:val="none"/>
                <w:lang w:bidi="ar"/>
              </w:rPr>
              <w:t>500L</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368A48B6">
            <w:pPr>
              <w:widowControl/>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kern w:val="0"/>
                <w:szCs w:val="21"/>
                <w:highlight w:val="none"/>
                <w:lang w:bidi="ar"/>
              </w:rPr>
              <w:t>瓶</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0037A2AF">
            <w:pPr>
              <w:widowControl/>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Cs w:val="21"/>
                <w:highlight w:val="none"/>
                <w:lang w:bidi="ar"/>
              </w:rPr>
              <w:t>5</w:t>
            </w:r>
          </w:p>
        </w:tc>
      </w:tr>
      <w:tr w14:paraId="6E1B0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64D590E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205</w:t>
            </w:r>
          </w:p>
        </w:tc>
        <w:tc>
          <w:tcPr>
            <w:tcW w:w="4374" w:type="dxa"/>
            <w:tcBorders>
              <w:top w:val="single" w:color="auto" w:sz="4" w:space="0"/>
              <w:left w:val="single" w:color="auto" w:sz="4" w:space="0"/>
              <w:bottom w:val="single" w:color="auto" w:sz="4" w:space="0"/>
              <w:right w:val="single" w:color="auto" w:sz="4" w:space="0"/>
            </w:tcBorders>
            <w:shd w:val="clear" w:color="auto" w:fill="auto"/>
            <w:vAlign w:val="center"/>
          </w:tcPr>
          <w:p w14:paraId="7E0DF46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植物水培盒</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4F47B304">
            <w:pPr>
              <w:widowControl/>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Cs w:val="21"/>
                <w:highlight w:val="none"/>
                <w:lang w:bidi="ar"/>
              </w:rPr>
              <w:t>个</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6DC57FF1">
            <w:pPr>
              <w:widowControl/>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kern w:val="0"/>
                <w:szCs w:val="21"/>
                <w:highlight w:val="none"/>
                <w:lang w:bidi="ar"/>
              </w:rPr>
              <w:t>个</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6B4BF372">
            <w:pPr>
              <w:widowControl/>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Cs w:val="21"/>
                <w:highlight w:val="none"/>
                <w:lang w:bidi="ar"/>
              </w:rPr>
              <w:t>50</w:t>
            </w:r>
          </w:p>
        </w:tc>
      </w:tr>
      <w:tr w14:paraId="1A678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4C576BC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206</w:t>
            </w:r>
          </w:p>
        </w:tc>
        <w:tc>
          <w:tcPr>
            <w:tcW w:w="4374" w:type="dxa"/>
            <w:tcBorders>
              <w:top w:val="single" w:color="auto" w:sz="4" w:space="0"/>
              <w:left w:val="single" w:color="auto" w:sz="4" w:space="0"/>
              <w:bottom w:val="single" w:color="auto" w:sz="4" w:space="0"/>
              <w:right w:val="single" w:color="auto" w:sz="4" w:space="0"/>
            </w:tcBorders>
            <w:shd w:val="clear" w:color="auto" w:fill="auto"/>
            <w:vAlign w:val="center"/>
          </w:tcPr>
          <w:p w14:paraId="7B4DFC2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胰蛋白胨</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2FFC3398">
            <w:pPr>
              <w:widowControl/>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Cs w:val="21"/>
                <w:highlight w:val="none"/>
                <w:lang w:bidi="ar"/>
              </w:rPr>
              <w:t>500g/瓶</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484104C6">
            <w:pPr>
              <w:widowControl/>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kern w:val="0"/>
                <w:szCs w:val="21"/>
                <w:highlight w:val="none"/>
                <w:lang w:bidi="ar"/>
              </w:rPr>
              <w:t>瓶</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53014D8E">
            <w:pPr>
              <w:widowControl/>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Cs w:val="21"/>
                <w:highlight w:val="none"/>
                <w:lang w:bidi="ar"/>
              </w:rPr>
              <w:t>3</w:t>
            </w:r>
          </w:p>
        </w:tc>
      </w:tr>
      <w:tr w14:paraId="20189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7922EB3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207</w:t>
            </w:r>
          </w:p>
        </w:tc>
        <w:tc>
          <w:tcPr>
            <w:tcW w:w="4374" w:type="dxa"/>
            <w:tcBorders>
              <w:top w:val="single" w:color="auto" w:sz="4" w:space="0"/>
              <w:left w:val="single" w:color="auto" w:sz="4" w:space="0"/>
              <w:bottom w:val="single" w:color="auto" w:sz="4" w:space="0"/>
              <w:right w:val="single" w:color="auto" w:sz="4" w:space="0"/>
            </w:tcBorders>
            <w:shd w:val="clear" w:color="auto" w:fill="auto"/>
            <w:vAlign w:val="center"/>
          </w:tcPr>
          <w:p w14:paraId="34C8D55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酵母提取物</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7D6895ED">
            <w:pPr>
              <w:widowControl/>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Cs w:val="21"/>
                <w:highlight w:val="none"/>
                <w:lang w:bidi="ar"/>
              </w:rPr>
              <w:t>500g/瓶</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39864BD6">
            <w:pPr>
              <w:widowControl/>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kern w:val="0"/>
                <w:szCs w:val="21"/>
                <w:highlight w:val="none"/>
                <w:lang w:bidi="ar"/>
              </w:rPr>
              <w:t>瓶</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251B2288">
            <w:pPr>
              <w:widowControl/>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Cs w:val="21"/>
                <w:highlight w:val="none"/>
                <w:lang w:bidi="ar"/>
              </w:rPr>
              <w:t>3</w:t>
            </w:r>
          </w:p>
        </w:tc>
      </w:tr>
      <w:tr w14:paraId="28B71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66BB732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208</w:t>
            </w:r>
          </w:p>
        </w:tc>
        <w:tc>
          <w:tcPr>
            <w:tcW w:w="4374" w:type="dxa"/>
            <w:tcBorders>
              <w:top w:val="single" w:color="auto" w:sz="4" w:space="0"/>
              <w:left w:val="single" w:color="auto" w:sz="4" w:space="0"/>
              <w:bottom w:val="single" w:color="auto" w:sz="4" w:space="0"/>
              <w:right w:val="single" w:color="auto" w:sz="4" w:space="0"/>
            </w:tcBorders>
            <w:shd w:val="clear" w:color="auto" w:fill="auto"/>
            <w:vAlign w:val="center"/>
          </w:tcPr>
          <w:p w14:paraId="0F39D2D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氯化钠</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6D7A074F">
            <w:pPr>
              <w:widowControl/>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Cs w:val="21"/>
                <w:highlight w:val="none"/>
                <w:lang w:bidi="ar"/>
              </w:rPr>
              <w:t>500g/瓶</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31A56129">
            <w:pPr>
              <w:widowControl/>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kern w:val="0"/>
                <w:szCs w:val="21"/>
                <w:highlight w:val="none"/>
                <w:lang w:bidi="ar"/>
              </w:rPr>
              <w:t>瓶</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335E4755">
            <w:pPr>
              <w:widowControl/>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Cs w:val="21"/>
                <w:highlight w:val="none"/>
                <w:lang w:bidi="ar"/>
              </w:rPr>
              <w:t>2</w:t>
            </w:r>
          </w:p>
        </w:tc>
      </w:tr>
      <w:tr w14:paraId="707DE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0BE6EFA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209</w:t>
            </w:r>
          </w:p>
        </w:tc>
        <w:tc>
          <w:tcPr>
            <w:tcW w:w="4374" w:type="dxa"/>
            <w:tcBorders>
              <w:top w:val="single" w:color="auto" w:sz="4" w:space="0"/>
              <w:left w:val="single" w:color="auto" w:sz="4" w:space="0"/>
              <w:bottom w:val="single" w:color="auto" w:sz="4" w:space="0"/>
              <w:right w:val="single" w:color="auto" w:sz="4" w:space="0"/>
            </w:tcBorders>
            <w:shd w:val="clear" w:color="auto" w:fill="auto"/>
            <w:vAlign w:val="center"/>
          </w:tcPr>
          <w:p w14:paraId="2E10FE5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无菌培养皿</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1F5C7BDE">
            <w:pPr>
              <w:widowControl/>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Cs w:val="21"/>
                <w:highlight w:val="none"/>
                <w:lang w:bidi="ar"/>
              </w:rPr>
              <w:t>500套/箱</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1B447810">
            <w:pPr>
              <w:widowControl/>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kern w:val="0"/>
                <w:szCs w:val="21"/>
                <w:highlight w:val="none"/>
                <w:lang w:bidi="ar"/>
              </w:rPr>
              <w:t>箱</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5234D8B0">
            <w:pPr>
              <w:widowControl/>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Cs w:val="21"/>
                <w:highlight w:val="none"/>
                <w:lang w:bidi="ar"/>
              </w:rPr>
              <w:t>1</w:t>
            </w:r>
          </w:p>
        </w:tc>
      </w:tr>
      <w:tr w14:paraId="256D8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6324F3D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210</w:t>
            </w:r>
          </w:p>
        </w:tc>
        <w:tc>
          <w:tcPr>
            <w:tcW w:w="4374" w:type="dxa"/>
            <w:tcBorders>
              <w:top w:val="single" w:color="auto" w:sz="4" w:space="0"/>
              <w:left w:val="single" w:color="auto" w:sz="4" w:space="0"/>
              <w:bottom w:val="single" w:color="auto" w:sz="4" w:space="0"/>
              <w:right w:val="single" w:color="auto" w:sz="4" w:space="0"/>
            </w:tcBorders>
            <w:shd w:val="clear" w:color="auto" w:fill="auto"/>
            <w:vAlign w:val="center"/>
          </w:tcPr>
          <w:p w14:paraId="66BABB56">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2×Pfu PCR预混试剂(KP201)</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7DEBE661">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5ml/瓶</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3DF6C92A">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1348672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r>
      <w:tr w14:paraId="0CF49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72F0B93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211</w:t>
            </w:r>
          </w:p>
        </w:tc>
        <w:tc>
          <w:tcPr>
            <w:tcW w:w="4374" w:type="dxa"/>
            <w:tcBorders>
              <w:top w:val="single" w:color="auto" w:sz="4" w:space="0"/>
              <w:left w:val="single" w:color="auto" w:sz="4" w:space="0"/>
              <w:bottom w:val="single" w:color="auto" w:sz="4" w:space="0"/>
              <w:right w:val="single" w:color="auto" w:sz="4" w:space="0"/>
            </w:tcBorders>
            <w:shd w:val="clear" w:color="auto" w:fill="auto"/>
            <w:vAlign w:val="center"/>
          </w:tcPr>
          <w:p w14:paraId="61CE80F8">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2×Blastaq PCR Taq</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53A7939D">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5ml/瓶</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58451DAB">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394F818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w:t>
            </w:r>
          </w:p>
        </w:tc>
      </w:tr>
      <w:tr w14:paraId="12EDE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26166F0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212</w:t>
            </w:r>
          </w:p>
        </w:tc>
        <w:tc>
          <w:tcPr>
            <w:tcW w:w="4374" w:type="dxa"/>
            <w:tcBorders>
              <w:top w:val="single" w:color="auto" w:sz="4" w:space="0"/>
              <w:left w:val="single" w:color="auto" w:sz="4" w:space="0"/>
              <w:bottom w:val="single" w:color="auto" w:sz="4" w:space="0"/>
              <w:right w:val="single" w:color="auto" w:sz="4" w:space="0"/>
            </w:tcBorders>
            <w:shd w:val="clear" w:color="auto" w:fill="auto"/>
            <w:vAlign w:val="center"/>
          </w:tcPr>
          <w:p w14:paraId="78A2EA90">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特美汀（新型革兰氏阴性菌抗生素）</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2F12B2E1">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3.2 g</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5ED312D3">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121C429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r>
      <w:tr w14:paraId="13395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3C01A69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213</w:t>
            </w:r>
          </w:p>
        </w:tc>
        <w:tc>
          <w:tcPr>
            <w:tcW w:w="4374" w:type="dxa"/>
            <w:tcBorders>
              <w:top w:val="single" w:color="auto" w:sz="4" w:space="0"/>
              <w:left w:val="single" w:color="auto" w:sz="4" w:space="0"/>
              <w:bottom w:val="single" w:color="auto" w:sz="4" w:space="0"/>
              <w:right w:val="single" w:color="auto" w:sz="4" w:space="0"/>
            </w:tcBorders>
            <w:shd w:val="clear" w:color="auto" w:fill="auto"/>
            <w:vAlign w:val="center"/>
          </w:tcPr>
          <w:p w14:paraId="68F210C3">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乙酰丁香酮, 98%</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3F18FE57">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 g/管</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6EEC20CB">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管</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18351AA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5AC35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09FBF59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214</w:t>
            </w:r>
          </w:p>
        </w:tc>
        <w:tc>
          <w:tcPr>
            <w:tcW w:w="4374" w:type="dxa"/>
            <w:tcBorders>
              <w:top w:val="single" w:color="auto" w:sz="4" w:space="0"/>
              <w:left w:val="single" w:color="auto" w:sz="4" w:space="0"/>
              <w:bottom w:val="single" w:color="auto" w:sz="4" w:space="0"/>
              <w:right w:val="single" w:color="auto" w:sz="4" w:space="0"/>
            </w:tcBorders>
            <w:shd w:val="clear" w:color="auto" w:fill="auto"/>
            <w:vAlign w:val="center"/>
          </w:tcPr>
          <w:p w14:paraId="7C21A955">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噻孢霉素/头孢霉素</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4C20C0B0">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5 g/管</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1DB5FB9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管</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37F3078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r>
      <w:tr w14:paraId="47E9D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515EFE2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215</w:t>
            </w:r>
          </w:p>
        </w:tc>
        <w:tc>
          <w:tcPr>
            <w:tcW w:w="4374" w:type="dxa"/>
            <w:tcBorders>
              <w:top w:val="single" w:color="auto" w:sz="4" w:space="0"/>
              <w:left w:val="single" w:color="auto" w:sz="4" w:space="0"/>
              <w:bottom w:val="single" w:color="auto" w:sz="4" w:space="0"/>
              <w:right w:val="single" w:color="auto" w:sz="4" w:space="0"/>
            </w:tcBorders>
            <w:shd w:val="clear" w:color="auto" w:fill="auto"/>
            <w:vAlign w:val="center"/>
          </w:tcPr>
          <w:p w14:paraId="6493CACE">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T4 DNA 连接酶</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55EB964C">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200ul/管</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04833AC1">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套</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76E377C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r>
      <w:tr w14:paraId="7F952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11A10BA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216</w:t>
            </w:r>
          </w:p>
        </w:tc>
        <w:tc>
          <w:tcPr>
            <w:tcW w:w="4374" w:type="dxa"/>
            <w:tcBorders>
              <w:top w:val="single" w:color="auto" w:sz="4" w:space="0"/>
              <w:left w:val="single" w:color="auto" w:sz="4" w:space="0"/>
              <w:bottom w:val="single" w:color="auto" w:sz="4" w:space="0"/>
              <w:right w:val="single" w:color="auto" w:sz="4" w:space="0"/>
            </w:tcBorders>
            <w:shd w:val="clear" w:color="auto" w:fill="auto"/>
            <w:vAlign w:val="center"/>
          </w:tcPr>
          <w:p w14:paraId="34D10B1B">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蔗糖</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5FA01CBF">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500g/瓶</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782FFEF0">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1CFB4A0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w:t>
            </w:r>
          </w:p>
        </w:tc>
      </w:tr>
      <w:tr w14:paraId="56684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31D0C03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217</w:t>
            </w:r>
          </w:p>
        </w:tc>
        <w:tc>
          <w:tcPr>
            <w:tcW w:w="4374" w:type="dxa"/>
            <w:tcBorders>
              <w:top w:val="single" w:color="auto" w:sz="4" w:space="0"/>
              <w:left w:val="single" w:color="auto" w:sz="4" w:space="0"/>
              <w:bottom w:val="single" w:color="auto" w:sz="4" w:space="0"/>
              <w:right w:val="single" w:color="auto" w:sz="4" w:space="0"/>
            </w:tcBorders>
            <w:shd w:val="clear" w:color="auto" w:fill="auto"/>
            <w:vAlign w:val="center"/>
          </w:tcPr>
          <w:p w14:paraId="2A0B4DC8">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琼脂粉</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07D73C83">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500g/瓶</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388E0B70">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5667AB8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w:t>
            </w:r>
          </w:p>
        </w:tc>
      </w:tr>
      <w:tr w14:paraId="21FF0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14D52E5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218</w:t>
            </w:r>
          </w:p>
        </w:tc>
        <w:tc>
          <w:tcPr>
            <w:tcW w:w="4374" w:type="dxa"/>
            <w:tcBorders>
              <w:top w:val="single" w:color="auto" w:sz="4" w:space="0"/>
              <w:left w:val="single" w:color="auto" w:sz="4" w:space="0"/>
              <w:bottom w:val="single" w:color="auto" w:sz="4" w:space="0"/>
              <w:right w:val="single" w:color="auto" w:sz="4" w:space="0"/>
            </w:tcBorders>
            <w:shd w:val="clear" w:color="auto" w:fill="auto"/>
            <w:vAlign w:val="center"/>
          </w:tcPr>
          <w:p w14:paraId="3E39FED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同源重组试剂盒</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02BE515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50次</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4DCCCC0F">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套</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2F41397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672DF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33A808E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219</w:t>
            </w:r>
          </w:p>
        </w:tc>
        <w:tc>
          <w:tcPr>
            <w:tcW w:w="4374" w:type="dxa"/>
            <w:tcBorders>
              <w:top w:val="single" w:color="auto" w:sz="4" w:space="0"/>
              <w:left w:val="single" w:color="auto" w:sz="4" w:space="0"/>
              <w:bottom w:val="single" w:color="auto" w:sz="4" w:space="0"/>
              <w:right w:val="single" w:color="auto" w:sz="4" w:space="0"/>
            </w:tcBorders>
            <w:shd w:val="clear" w:color="auto" w:fill="auto"/>
            <w:vAlign w:val="center"/>
          </w:tcPr>
          <w:p w14:paraId="538D782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topo连接酶</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5B4A943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50次</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7644D98D">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套</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667A22F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0B98E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5A1E990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220</w:t>
            </w:r>
          </w:p>
        </w:tc>
        <w:tc>
          <w:tcPr>
            <w:tcW w:w="4374" w:type="dxa"/>
            <w:tcBorders>
              <w:top w:val="single" w:color="auto" w:sz="4" w:space="0"/>
              <w:left w:val="single" w:color="auto" w:sz="4" w:space="0"/>
              <w:bottom w:val="single" w:color="auto" w:sz="4" w:space="0"/>
              <w:right w:val="single" w:color="auto" w:sz="4" w:space="0"/>
            </w:tcBorders>
            <w:shd w:val="clear" w:color="auto" w:fill="auto"/>
            <w:vAlign w:val="center"/>
          </w:tcPr>
          <w:p w14:paraId="778C658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反转录试剂盒</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75B3665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50次</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6DC0E7C9">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093B7F1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4D34D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6842EE7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221</w:t>
            </w:r>
          </w:p>
        </w:tc>
        <w:tc>
          <w:tcPr>
            <w:tcW w:w="4374" w:type="dxa"/>
            <w:tcBorders>
              <w:top w:val="single" w:color="auto" w:sz="4" w:space="0"/>
              <w:left w:val="single" w:color="auto" w:sz="4" w:space="0"/>
              <w:bottom w:val="single" w:color="auto" w:sz="4" w:space="0"/>
              <w:right w:val="single" w:color="auto" w:sz="4" w:space="0"/>
            </w:tcBorders>
            <w:shd w:val="clear" w:color="auto" w:fill="auto"/>
            <w:vAlign w:val="center"/>
          </w:tcPr>
          <w:p w14:paraId="7430556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名称</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25F3030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规格</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7EFD23B0">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164668A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数量</w:t>
            </w:r>
          </w:p>
        </w:tc>
      </w:tr>
      <w:tr w14:paraId="2FCDB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54A0DE2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222</w:t>
            </w:r>
          </w:p>
        </w:tc>
        <w:tc>
          <w:tcPr>
            <w:tcW w:w="4374" w:type="dxa"/>
            <w:tcBorders>
              <w:top w:val="single" w:color="auto" w:sz="4" w:space="0"/>
              <w:left w:val="single" w:color="auto" w:sz="4" w:space="0"/>
              <w:bottom w:val="single" w:color="auto" w:sz="4" w:space="0"/>
              <w:right w:val="single" w:color="auto" w:sz="4" w:space="0"/>
            </w:tcBorders>
            <w:shd w:val="clear" w:color="auto" w:fill="auto"/>
            <w:vAlign w:val="center"/>
          </w:tcPr>
          <w:p w14:paraId="7C1973E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蒽酮</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1A982CA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10g</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75CC998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73C8CAC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r>
      <w:tr w14:paraId="2C4DE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4CAB0AF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224</w:t>
            </w:r>
          </w:p>
        </w:tc>
        <w:tc>
          <w:tcPr>
            <w:tcW w:w="4374" w:type="dxa"/>
            <w:tcBorders>
              <w:top w:val="single" w:color="auto" w:sz="4" w:space="0"/>
              <w:left w:val="single" w:color="auto" w:sz="4" w:space="0"/>
              <w:bottom w:val="single" w:color="auto" w:sz="4" w:space="0"/>
              <w:right w:val="single" w:color="auto" w:sz="4" w:space="0"/>
            </w:tcBorders>
            <w:shd w:val="clear" w:color="auto" w:fill="auto"/>
            <w:vAlign w:val="center"/>
          </w:tcPr>
          <w:p w14:paraId="63C0B2A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氢氧化钠</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1C33EBE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500g</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379FDBEC">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0BD0823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r>
      <w:tr w14:paraId="75EF8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7042354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225</w:t>
            </w:r>
          </w:p>
        </w:tc>
        <w:tc>
          <w:tcPr>
            <w:tcW w:w="4374" w:type="dxa"/>
            <w:tcBorders>
              <w:top w:val="single" w:color="auto" w:sz="4" w:space="0"/>
              <w:left w:val="single" w:color="auto" w:sz="4" w:space="0"/>
              <w:bottom w:val="single" w:color="auto" w:sz="4" w:space="0"/>
              <w:right w:val="single" w:color="auto" w:sz="4" w:space="0"/>
            </w:tcBorders>
            <w:shd w:val="clear" w:color="auto" w:fill="auto"/>
            <w:vAlign w:val="center"/>
          </w:tcPr>
          <w:p w14:paraId="66E831E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2,6-二氯酚靛溶液</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1628B39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1g</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5FCBD6A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5931280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04DED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3878471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226</w:t>
            </w:r>
          </w:p>
        </w:tc>
        <w:tc>
          <w:tcPr>
            <w:tcW w:w="4374" w:type="dxa"/>
            <w:tcBorders>
              <w:top w:val="single" w:color="auto" w:sz="4" w:space="0"/>
              <w:left w:val="single" w:color="auto" w:sz="4" w:space="0"/>
              <w:bottom w:val="single" w:color="auto" w:sz="4" w:space="0"/>
              <w:right w:val="single" w:color="auto" w:sz="4" w:space="0"/>
            </w:tcBorders>
            <w:shd w:val="clear" w:color="auto" w:fill="auto"/>
            <w:vAlign w:val="center"/>
          </w:tcPr>
          <w:p w14:paraId="1DD7614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草酸</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69CDF2D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500g</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1E5403BC">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2B31FFC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r>
      <w:tr w14:paraId="6DEA7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68FE155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227</w:t>
            </w:r>
          </w:p>
        </w:tc>
        <w:tc>
          <w:tcPr>
            <w:tcW w:w="4374" w:type="dxa"/>
            <w:tcBorders>
              <w:top w:val="single" w:color="auto" w:sz="4" w:space="0"/>
              <w:left w:val="single" w:color="auto" w:sz="4" w:space="0"/>
              <w:bottom w:val="single" w:color="auto" w:sz="4" w:space="0"/>
              <w:right w:val="single" w:color="auto" w:sz="4" w:space="0"/>
            </w:tcBorders>
            <w:shd w:val="clear" w:color="auto" w:fill="auto"/>
            <w:vAlign w:val="center"/>
          </w:tcPr>
          <w:p w14:paraId="791E205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二甲基亚砜</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2E771E4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500mL</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5375CFF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1287085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r>
      <w:tr w14:paraId="1FD2E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61DCDEE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228</w:t>
            </w:r>
          </w:p>
        </w:tc>
        <w:tc>
          <w:tcPr>
            <w:tcW w:w="4374" w:type="dxa"/>
            <w:tcBorders>
              <w:top w:val="single" w:color="auto" w:sz="4" w:space="0"/>
              <w:left w:val="single" w:color="auto" w:sz="4" w:space="0"/>
              <w:bottom w:val="single" w:color="auto" w:sz="4" w:space="0"/>
              <w:right w:val="single" w:color="auto" w:sz="4" w:space="0"/>
            </w:tcBorders>
            <w:shd w:val="clear" w:color="auto" w:fill="auto"/>
            <w:vAlign w:val="center"/>
          </w:tcPr>
          <w:p w14:paraId="5916CCC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Taq DNA聚合酶</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682548E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200μ</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34985E0A">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30D81DB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5366E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444EDF6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229</w:t>
            </w:r>
          </w:p>
        </w:tc>
        <w:tc>
          <w:tcPr>
            <w:tcW w:w="4374" w:type="dxa"/>
            <w:tcBorders>
              <w:top w:val="single" w:color="auto" w:sz="4" w:space="0"/>
              <w:left w:val="single" w:color="auto" w:sz="4" w:space="0"/>
              <w:bottom w:val="single" w:color="auto" w:sz="4" w:space="0"/>
              <w:right w:val="single" w:color="auto" w:sz="4" w:space="0"/>
            </w:tcBorders>
            <w:shd w:val="clear" w:color="auto" w:fill="auto"/>
            <w:vAlign w:val="center"/>
          </w:tcPr>
          <w:p w14:paraId="6852637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DNA Marker</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68E7BB7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50μ</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269E27BF">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09A0CF0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14906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15B2644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231</w:t>
            </w:r>
          </w:p>
        </w:tc>
        <w:tc>
          <w:tcPr>
            <w:tcW w:w="4374" w:type="dxa"/>
            <w:tcBorders>
              <w:top w:val="single" w:color="auto" w:sz="4" w:space="0"/>
              <w:left w:val="single" w:color="auto" w:sz="4" w:space="0"/>
              <w:bottom w:val="single" w:color="auto" w:sz="4" w:space="0"/>
              <w:right w:val="single" w:color="auto" w:sz="4" w:space="0"/>
            </w:tcBorders>
            <w:shd w:val="clear" w:color="auto" w:fill="auto"/>
            <w:vAlign w:val="center"/>
          </w:tcPr>
          <w:p w14:paraId="049492E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琼脂糖</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13BDF01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500g</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6DB2129F">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10D2E98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14:paraId="6C58B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2C0458E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232</w:t>
            </w:r>
          </w:p>
        </w:tc>
        <w:tc>
          <w:tcPr>
            <w:tcW w:w="4374" w:type="dxa"/>
            <w:tcBorders>
              <w:top w:val="single" w:color="auto" w:sz="4" w:space="0"/>
              <w:left w:val="single" w:color="auto" w:sz="4" w:space="0"/>
              <w:bottom w:val="single" w:color="auto" w:sz="4" w:space="0"/>
              <w:right w:val="single" w:color="auto" w:sz="4" w:space="0"/>
            </w:tcBorders>
            <w:shd w:val="clear" w:color="auto" w:fill="auto"/>
            <w:vAlign w:val="center"/>
          </w:tcPr>
          <w:p w14:paraId="67B1A12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DNA试剂盒</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7FB9384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盒</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4A105029">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69A9D0B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14:paraId="0C42A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24EFE13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233</w:t>
            </w:r>
          </w:p>
        </w:tc>
        <w:tc>
          <w:tcPr>
            <w:tcW w:w="4374" w:type="dxa"/>
            <w:tcBorders>
              <w:top w:val="single" w:color="auto" w:sz="4" w:space="0"/>
              <w:left w:val="single" w:color="auto" w:sz="4" w:space="0"/>
              <w:bottom w:val="single" w:color="auto" w:sz="4" w:space="0"/>
              <w:right w:val="single" w:color="auto" w:sz="4" w:space="0"/>
            </w:tcBorders>
            <w:shd w:val="clear" w:color="auto" w:fill="auto"/>
            <w:vAlign w:val="center"/>
          </w:tcPr>
          <w:p w14:paraId="79F98FB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RNA试剂盒</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777586A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盒</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19344117">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5EADDA2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14:paraId="386DB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3592C19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234</w:t>
            </w:r>
          </w:p>
        </w:tc>
        <w:tc>
          <w:tcPr>
            <w:tcW w:w="4374" w:type="dxa"/>
            <w:tcBorders>
              <w:top w:val="single" w:color="auto" w:sz="4" w:space="0"/>
              <w:left w:val="single" w:color="auto" w:sz="4" w:space="0"/>
              <w:bottom w:val="single" w:color="auto" w:sz="4" w:space="0"/>
              <w:right w:val="single" w:color="auto" w:sz="4" w:space="0"/>
            </w:tcBorders>
            <w:shd w:val="clear" w:color="auto" w:fill="auto"/>
            <w:vAlign w:val="center"/>
          </w:tcPr>
          <w:p w14:paraId="107AFD7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TAE缓冲液</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5DA0A9A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1L</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6CD7B0E5">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瓶</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5244638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7C5EF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08EAD45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235</w:t>
            </w:r>
          </w:p>
        </w:tc>
        <w:tc>
          <w:tcPr>
            <w:tcW w:w="4374" w:type="dxa"/>
            <w:tcBorders>
              <w:top w:val="single" w:color="auto" w:sz="4" w:space="0"/>
              <w:left w:val="single" w:color="auto" w:sz="4" w:space="0"/>
              <w:bottom w:val="single" w:color="auto" w:sz="4" w:space="0"/>
              <w:right w:val="single" w:color="auto" w:sz="4" w:space="0"/>
            </w:tcBorders>
            <w:shd w:val="clear" w:color="auto" w:fill="auto"/>
            <w:vAlign w:val="center"/>
          </w:tcPr>
          <w:p w14:paraId="6B5CE8E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锡纸</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5C02F4A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30cm × 10m</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61038553">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卷</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4601BB3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6DFDB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0611E9F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236</w:t>
            </w:r>
          </w:p>
        </w:tc>
        <w:tc>
          <w:tcPr>
            <w:tcW w:w="4374" w:type="dxa"/>
            <w:tcBorders>
              <w:top w:val="single" w:color="auto" w:sz="4" w:space="0"/>
              <w:left w:val="single" w:color="auto" w:sz="4" w:space="0"/>
              <w:bottom w:val="single" w:color="auto" w:sz="4" w:space="0"/>
              <w:right w:val="single" w:color="auto" w:sz="4" w:space="0"/>
            </w:tcBorders>
            <w:shd w:val="clear" w:color="auto" w:fill="auto"/>
            <w:vAlign w:val="center"/>
          </w:tcPr>
          <w:p w14:paraId="3887AEC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冻存管</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14FC0E1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5mL</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7A00CD57">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包</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16C4933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r>
      <w:tr w14:paraId="78AD4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22FB418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237</w:t>
            </w:r>
          </w:p>
        </w:tc>
        <w:tc>
          <w:tcPr>
            <w:tcW w:w="4374" w:type="dxa"/>
            <w:tcBorders>
              <w:top w:val="single" w:color="auto" w:sz="4" w:space="0"/>
              <w:left w:val="single" w:color="auto" w:sz="4" w:space="0"/>
              <w:bottom w:val="single" w:color="auto" w:sz="4" w:space="0"/>
              <w:right w:val="single" w:color="auto" w:sz="4" w:space="0"/>
            </w:tcBorders>
            <w:shd w:val="clear" w:color="auto" w:fill="auto"/>
            <w:vAlign w:val="center"/>
          </w:tcPr>
          <w:p w14:paraId="1B9AD4E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烧杯</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5B19C89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500mL</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58009CCD">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个</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3593073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14:paraId="1B963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0FF21BD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238</w:t>
            </w:r>
          </w:p>
        </w:tc>
        <w:tc>
          <w:tcPr>
            <w:tcW w:w="4374" w:type="dxa"/>
            <w:tcBorders>
              <w:top w:val="single" w:color="auto" w:sz="4" w:space="0"/>
              <w:left w:val="single" w:color="auto" w:sz="4" w:space="0"/>
              <w:bottom w:val="single" w:color="auto" w:sz="4" w:space="0"/>
              <w:right w:val="single" w:color="auto" w:sz="4" w:space="0"/>
            </w:tcBorders>
            <w:shd w:val="clear" w:color="auto" w:fill="auto"/>
            <w:vAlign w:val="center"/>
          </w:tcPr>
          <w:p w14:paraId="0ACCB5C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自封袋</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4D3B991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大号（</w:t>
            </w:r>
            <w:r>
              <w:rPr>
                <w:rStyle w:val="149"/>
                <w:rFonts w:hint="eastAsia" w:ascii="仿宋" w:hAnsi="仿宋" w:eastAsia="仿宋" w:cs="仿宋"/>
                <w:color w:val="auto"/>
                <w:sz w:val="21"/>
                <w:szCs w:val="21"/>
                <w:highlight w:val="none"/>
                <w:lang w:val="en-US" w:eastAsia="zh-CN" w:bidi="ar"/>
              </w:rPr>
              <w:t>20cm × 25cm</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627715E3">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包</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59D4E4D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r>
      <w:tr w14:paraId="0A2B3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3D937AD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239</w:t>
            </w:r>
          </w:p>
        </w:tc>
        <w:tc>
          <w:tcPr>
            <w:tcW w:w="4374" w:type="dxa"/>
            <w:tcBorders>
              <w:top w:val="single" w:color="auto" w:sz="4" w:space="0"/>
              <w:left w:val="single" w:color="auto" w:sz="4" w:space="0"/>
              <w:bottom w:val="single" w:color="auto" w:sz="4" w:space="0"/>
              <w:right w:val="single" w:color="auto" w:sz="4" w:space="0"/>
            </w:tcBorders>
            <w:shd w:val="clear" w:color="auto" w:fill="auto"/>
            <w:vAlign w:val="center"/>
          </w:tcPr>
          <w:p w14:paraId="28EC518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枪头</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2256A95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包</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767B4E59">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包</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05F1787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14:paraId="7444F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7CD9651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240</w:t>
            </w:r>
          </w:p>
        </w:tc>
        <w:tc>
          <w:tcPr>
            <w:tcW w:w="4374" w:type="dxa"/>
            <w:tcBorders>
              <w:top w:val="single" w:color="auto" w:sz="4" w:space="0"/>
              <w:left w:val="single" w:color="auto" w:sz="4" w:space="0"/>
              <w:bottom w:val="single" w:color="auto" w:sz="4" w:space="0"/>
              <w:right w:val="single" w:color="auto" w:sz="4" w:space="0"/>
            </w:tcBorders>
            <w:shd w:val="clear" w:color="auto" w:fill="auto"/>
            <w:vAlign w:val="center"/>
          </w:tcPr>
          <w:p w14:paraId="1DD1507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移液枪</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73E109F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200μL</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3534D430">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把</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3CA7F8F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14:paraId="2D964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61709E9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241</w:t>
            </w:r>
          </w:p>
        </w:tc>
        <w:tc>
          <w:tcPr>
            <w:tcW w:w="4374" w:type="dxa"/>
            <w:tcBorders>
              <w:top w:val="single" w:color="auto" w:sz="4" w:space="0"/>
              <w:left w:val="single" w:color="auto" w:sz="4" w:space="0"/>
              <w:bottom w:val="single" w:color="auto" w:sz="4" w:space="0"/>
              <w:right w:val="single" w:color="auto" w:sz="4" w:space="0"/>
            </w:tcBorders>
            <w:shd w:val="clear" w:color="auto" w:fill="auto"/>
            <w:vAlign w:val="center"/>
          </w:tcPr>
          <w:p w14:paraId="242E624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记号笔</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37B7C35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盒</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78FCDDBD">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4A3864A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14:paraId="02101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4B0D092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242</w:t>
            </w:r>
          </w:p>
        </w:tc>
        <w:tc>
          <w:tcPr>
            <w:tcW w:w="4374" w:type="dxa"/>
            <w:tcBorders>
              <w:top w:val="single" w:color="auto" w:sz="4" w:space="0"/>
              <w:left w:val="single" w:color="auto" w:sz="4" w:space="0"/>
              <w:bottom w:val="single" w:color="auto" w:sz="4" w:space="0"/>
              <w:right w:val="single" w:color="auto" w:sz="4" w:space="0"/>
            </w:tcBorders>
            <w:shd w:val="clear" w:color="auto" w:fill="auto"/>
            <w:vAlign w:val="center"/>
          </w:tcPr>
          <w:p w14:paraId="2979466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手套</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66A71C4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丁腈手套</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4F453827">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6F7E8EF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r>
      <w:tr w14:paraId="53096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7204CF4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243</w:t>
            </w:r>
          </w:p>
        </w:tc>
        <w:tc>
          <w:tcPr>
            <w:tcW w:w="4374" w:type="dxa"/>
            <w:tcBorders>
              <w:top w:val="single" w:color="auto" w:sz="4" w:space="0"/>
              <w:left w:val="single" w:color="auto" w:sz="4" w:space="0"/>
              <w:bottom w:val="single" w:color="auto" w:sz="4" w:space="0"/>
              <w:right w:val="single" w:color="auto" w:sz="4" w:space="0"/>
            </w:tcBorders>
            <w:shd w:val="clear" w:color="auto" w:fill="auto"/>
            <w:vAlign w:val="center"/>
          </w:tcPr>
          <w:p w14:paraId="18119F5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手术刀</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5EEF463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11号</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5602AF31">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盒</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73107ED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bl>
    <w:p w14:paraId="4C3E029F">
      <w:pPr>
        <w:pStyle w:val="2"/>
        <w:rPr>
          <w:rFonts w:hint="default"/>
          <w:color w:val="auto"/>
          <w:highlight w:val="none"/>
          <w:lang w:val="en-US" w:eastAsia="zh-CN"/>
        </w:rPr>
      </w:pPr>
    </w:p>
    <w:p w14:paraId="3EF359E9">
      <w:pPr>
        <w:rPr>
          <w:rFonts w:hint="eastAsia" w:ascii="仿宋" w:hAnsi="仿宋" w:eastAsia="仿宋" w:cs="仿宋"/>
          <w:color w:val="auto"/>
          <w:highlight w:val="none"/>
          <w:lang w:val="en-US" w:eastAsia="zh-CN"/>
        </w:rPr>
      </w:pPr>
    </w:p>
    <w:p w14:paraId="07B9544A">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17BEA65D">
      <w:pPr>
        <w:spacing w:line="440" w:lineRule="exact"/>
        <w:jc w:val="center"/>
        <w:outlineLvl w:val="0"/>
        <w:rPr>
          <w:rFonts w:hint="eastAsia" w:ascii="仿宋" w:hAnsi="仿宋" w:eastAsia="仿宋" w:cs="仿宋"/>
          <w:b/>
          <w:color w:val="auto"/>
          <w:sz w:val="24"/>
          <w:szCs w:val="24"/>
          <w:highlight w:val="none"/>
        </w:rPr>
      </w:pPr>
      <w:bookmarkStart w:id="84" w:name="_Toc25485"/>
      <w:r>
        <w:rPr>
          <w:rFonts w:hint="eastAsia" w:ascii="仿宋" w:hAnsi="仿宋" w:eastAsia="仿宋" w:cs="仿宋"/>
          <w:b/>
          <w:color w:val="auto"/>
          <w:sz w:val="24"/>
          <w:szCs w:val="24"/>
          <w:highlight w:val="none"/>
        </w:rPr>
        <w:t>第五章 投标文件格式</w:t>
      </w:r>
      <w:bookmarkEnd w:id="78"/>
      <w:bookmarkEnd w:id="84"/>
    </w:p>
    <w:p w14:paraId="1B4D7084">
      <w:pPr>
        <w:rPr>
          <w:rFonts w:hint="eastAsia" w:ascii="仿宋" w:hAnsi="仿宋" w:eastAsia="仿宋" w:cs="仿宋"/>
          <w:b/>
          <w:color w:val="auto"/>
          <w:sz w:val="24"/>
          <w:szCs w:val="24"/>
          <w:highlight w:val="none"/>
        </w:rPr>
      </w:pPr>
    </w:p>
    <w:p w14:paraId="144F3838">
      <w:pPr>
        <w:rPr>
          <w:rFonts w:hint="eastAsia" w:ascii="仿宋" w:hAnsi="仿宋" w:eastAsia="仿宋" w:cs="仿宋"/>
          <w:color w:val="auto"/>
          <w:sz w:val="24"/>
          <w:szCs w:val="24"/>
          <w:highlight w:val="none"/>
          <w:u w:val="single"/>
        </w:rPr>
      </w:pPr>
    </w:p>
    <w:p w14:paraId="500D2BE6">
      <w:pP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投标文件封面示例</w:t>
      </w:r>
    </w:p>
    <w:p w14:paraId="747AF557">
      <w:pPr>
        <w:spacing w:line="480" w:lineRule="auto"/>
        <w:jc w:val="center"/>
        <w:rPr>
          <w:rFonts w:hint="eastAsia" w:ascii="仿宋" w:hAnsi="仿宋" w:eastAsia="仿宋" w:cs="仿宋"/>
          <w:b/>
          <w:bCs/>
          <w:color w:val="auto"/>
          <w:sz w:val="24"/>
          <w:szCs w:val="24"/>
          <w:highlight w:val="none"/>
          <w:u w:val="single"/>
        </w:rPr>
      </w:pPr>
    </w:p>
    <w:p w14:paraId="2D34C3A6">
      <w:pPr>
        <w:pStyle w:val="36"/>
        <w:rPr>
          <w:rFonts w:hint="eastAsia" w:ascii="仿宋" w:hAnsi="仿宋" w:eastAsia="仿宋" w:cs="仿宋"/>
          <w:color w:val="auto"/>
          <w:highlight w:val="none"/>
        </w:rPr>
      </w:pPr>
    </w:p>
    <w:p w14:paraId="0E59CFE1">
      <w:pPr>
        <w:spacing w:line="480" w:lineRule="auto"/>
        <w:jc w:val="center"/>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w:t>
      </w:r>
      <w:r>
        <w:rPr>
          <w:rFonts w:hint="eastAsia" w:ascii="仿宋" w:hAnsi="仿宋" w:eastAsia="仿宋" w:cs="仿宋"/>
          <w:b/>
          <w:bCs/>
          <w:color w:val="auto"/>
          <w:sz w:val="24"/>
          <w:szCs w:val="24"/>
          <w:highlight w:val="none"/>
          <w:u w:val="single"/>
          <w:lang w:val="en-US" w:eastAsia="zh-CN"/>
        </w:rPr>
        <w:t>标项</w:t>
      </w:r>
      <w:r>
        <w:rPr>
          <w:rFonts w:hint="eastAsia" w:ascii="仿宋" w:hAnsi="仿宋" w:eastAsia="仿宋" w:cs="仿宋"/>
          <w:b/>
          <w:bCs/>
          <w:color w:val="auto"/>
          <w:sz w:val="24"/>
          <w:szCs w:val="24"/>
          <w:highlight w:val="none"/>
          <w:u w:val="single"/>
        </w:rPr>
        <w:t>名称）</w:t>
      </w:r>
    </w:p>
    <w:p w14:paraId="75977284">
      <w:pPr>
        <w:spacing w:line="480" w:lineRule="auto"/>
        <w:jc w:val="center"/>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w:t>
      </w:r>
      <w:r>
        <w:rPr>
          <w:rFonts w:hint="eastAsia" w:ascii="仿宋" w:hAnsi="仿宋" w:eastAsia="仿宋" w:cs="仿宋"/>
          <w:b/>
          <w:bCs/>
          <w:color w:val="auto"/>
          <w:sz w:val="24"/>
          <w:szCs w:val="24"/>
          <w:highlight w:val="none"/>
          <w:u w:val="single"/>
          <w:lang w:val="en-US" w:eastAsia="zh-CN"/>
        </w:rPr>
        <w:t>标项</w:t>
      </w:r>
      <w:r>
        <w:rPr>
          <w:rFonts w:hint="eastAsia" w:ascii="仿宋" w:hAnsi="仿宋" w:eastAsia="仿宋" w:cs="仿宋"/>
          <w:b/>
          <w:bCs/>
          <w:color w:val="auto"/>
          <w:sz w:val="24"/>
          <w:szCs w:val="24"/>
          <w:highlight w:val="none"/>
          <w:u w:val="single"/>
        </w:rPr>
        <w:t>编号）</w:t>
      </w:r>
    </w:p>
    <w:p w14:paraId="356BFD1A">
      <w:pPr>
        <w:spacing w:line="300" w:lineRule="exact"/>
        <w:jc w:val="center"/>
        <w:rPr>
          <w:rFonts w:hint="eastAsia" w:ascii="仿宋" w:hAnsi="仿宋" w:eastAsia="仿宋" w:cs="仿宋"/>
          <w:b/>
          <w:bCs/>
          <w:color w:val="auto"/>
          <w:sz w:val="24"/>
          <w:szCs w:val="24"/>
          <w:highlight w:val="none"/>
        </w:rPr>
      </w:pPr>
    </w:p>
    <w:p w14:paraId="40134540">
      <w:pPr>
        <w:spacing w:line="300" w:lineRule="exact"/>
        <w:jc w:val="center"/>
        <w:rPr>
          <w:rFonts w:hint="eastAsia" w:ascii="仿宋" w:hAnsi="仿宋" w:eastAsia="仿宋" w:cs="仿宋"/>
          <w:b/>
          <w:bCs/>
          <w:color w:val="auto"/>
          <w:sz w:val="24"/>
          <w:szCs w:val="24"/>
          <w:highlight w:val="none"/>
        </w:rPr>
      </w:pPr>
    </w:p>
    <w:p w14:paraId="55F4CE60">
      <w:pPr>
        <w:spacing w:line="3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w:t>
      </w:r>
    </w:p>
    <w:p w14:paraId="34B2E024">
      <w:pPr>
        <w:spacing w:line="720" w:lineRule="auto"/>
        <w:rPr>
          <w:rFonts w:hint="eastAsia" w:ascii="仿宋" w:hAnsi="仿宋" w:eastAsia="仿宋" w:cs="仿宋"/>
          <w:color w:val="auto"/>
          <w:sz w:val="24"/>
          <w:szCs w:val="24"/>
          <w:highlight w:val="none"/>
        </w:rPr>
      </w:pPr>
    </w:p>
    <w:p w14:paraId="232F27D1">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投标人：（盖章）</w:t>
      </w:r>
    </w:p>
    <w:p w14:paraId="5FC3D3B0">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法定代表人：（盖章）</w:t>
      </w:r>
    </w:p>
    <w:p w14:paraId="3634274F">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p>
    <w:p w14:paraId="662CC0C0">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p w14:paraId="1B8F0C48">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p w14:paraId="773060A4">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14:paraId="22C68F7B">
      <w:pPr>
        <w:spacing w:line="720" w:lineRule="auto"/>
        <w:rPr>
          <w:rFonts w:hint="eastAsia" w:ascii="仿宋" w:hAnsi="仿宋" w:eastAsia="仿宋" w:cs="仿宋"/>
          <w:color w:val="auto"/>
          <w:sz w:val="24"/>
          <w:szCs w:val="24"/>
          <w:highlight w:val="none"/>
        </w:rPr>
      </w:pPr>
    </w:p>
    <w:p w14:paraId="22BB99A0">
      <w:pPr>
        <w:spacing w:line="720" w:lineRule="auto"/>
        <w:ind w:firstLine="2" w:firstLineChars="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30607A51">
      <w:pPr>
        <w:tabs>
          <w:tab w:val="center" w:pos="4832"/>
          <w:tab w:val="left" w:pos="7140"/>
        </w:tabs>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85" w:name="_Toc130252613"/>
      <w:r>
        <w:rPr>
          <w:rFonts w:hint="eastAsia" w:ascii="仿宋" w:hAnsi="仿宋" w:eastAsia="仿宋" w:cs="仿宋"/>
          <w:b/>
          <w:color w:val="auto"/>
          <w:sz w:val="24"/>
          <w:szCs w:val="24"/>
          <w:highlight w:val="none"/>
        </w:rPr>
        <w:t>目 录</w:t>
      </w:r>
      <w:bookmarkEnd w:id="85"/>
    </w:p>
    <w:p w14:paraId="49B4458A">
      <w:pPr>
        <w:spacing w:line="280" w:lineRule="exact"/>
        <w:ind w:firstLine="240" w:firstLineChars="100"/>
        <w:rPr>
          <w:rFonts w:hint="eastAsia" w:ascii="仿宋" w:hAnsi="仿宋" w:eastAsia="仿宋" w:cs="仿宋"/>
          <w:bCs/>
          <w:color w:val="auto"/>
          <w:sz w:val="24"/>
          <w:szCs w:val="24"/>
          <w:highlight w:val="none"/>
        </w:rPr>
      </w:pPr>
    </w:p>
    <w:p w14:paraId="1076F07A">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一、开标一览表</w:t>
      </w:r>
    </w:p>
    <w:p w14:paraId="6BF7CA79">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二、投标函</w:t>
      </w:r>
    </w:p>
    <w:p w14:paraId="306E97CD">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三、投标价格明细表</w:t>
      </w:r>
    </w:p>
    <w:p w14:paraId="336DC9EA">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四、商务条款偏离表</w:t>
      </w:r>
    </w:p>
    <w:p w14:paraId="4A06B4BD">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五、技术条款偏离表</w:t>
      </w:r>
    </w:p>
    <w:p w14:paraId="0829B2D0">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六、法定代表人身份证明书</w:t>
      </w:r>
    </w:p>
    <w:p w14:paraId="6F375270">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七、法定代表人授权委托书</w:t>
      </w:r>
    </w:p>
    <w:p w14:paraId="66BEA769">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八、投标人资格条件证明材料</w:t>
      </w:r>
    </w:p>
    <w:p w14:paraId="1DBBB66B">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九、投标人近年类似项目情况表</w:t>
      </w:r>
    </w:p>
    <w:p w14:paraId="49ED2FAE">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十、售后服务承诺书</w:t>
      </w:r>
    </w:p>
    <w:p w14:paraId="3783BC45">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十一、技术方案</w:t>
      </w:r>
    </w:p>
    <w:p w14:paraId="01D7D477">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十二、其它需要提交的资料</w:t>
      </w:r>
    </w:p>
    <w:p w14:paraId="3E041AA5">
      <w:pPr>
        <w:pStyle w:val="2"/>
        <w:spacing w:line="360" w:lineRule="auto"/>
        <w:rPr>
          <w:rFonts w:hint="eastAsia"/>
          <w:color w:val="auto"/>
          <w:highlight w:val="none"/>
        </w:rPr>
      </w:pPr>
    </w:p>
    <w:p w14:paraId="2535345B">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注：为了便于查找，请按上述顺序编制投标文件内容，并在目录中标明每项内容的起始页码。</w:t>
      </w:r>
    </w:p>
    <w:p w14:paraId="55C1F794">
      <w:pPr>
        <w:numPr>
          <w:ilvl w:val="0"/>
          <w:numId w:val="0"/>
        </w:num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86" w:name="_Toc6644"/>
      <w:bookmarkStart w:id="87" w:name="_Toc22103"/>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开标一览表</w:t>
      </w:r>
      <w:bookmarkEnd w:id="86"/>
      <w:bookmarkEnd w:id="87"/>
    </w:p>
    <w:p w14:paraId="3AEE6744">
      <w:pPr>
        <w:rPr>
          <w:color w:val="auto"/>
          <w:highlight w:val="none"/>
        </w:rPr>
      </w:pPr>
    </w:p>
    <w:p w14:paraId="3772166F">
      <w:pPr>
        <w:rPr>
          <w:color w:val="auto"/>
          <w:highlight w:val="none"/>
        </w:rPr>
      </w:pPr>
    </w:p>
    <w:tbl>
      <w:tblPr>
        <w:tblStyle w:val="38"/>
        <w:tblpPr w:leftFromText="180" w:rightFromText="180" w:vertAnchor="text" w:horzAnchor="page" w:tblpX="1590" w:tblpY="473"/>
        <w:tblOverlap w:val="never"/>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9"/>
        <w:gridCol w:w="6249"/>
      </w:tblGrid>
      <w:tr w14:paraId="4A83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679" w:type="dxa"/>
            <w:tcBorders>
              <w:top w:val="single" w:color="auto" w:sz="4" w:space="0"/>
              <w:left w:val="single" w:color="auto" w:sz="4" w:space="0"/>
              <w:bottom w:val="single" w:color="auto" w:sz="4" w:space="0"/>
              <w:right w:val="single" w:color="auto" w:sz="4" w:space="0"/>
            </w:tcBorders>
            <w:shd w:val="clear" w:color="auto" w:fill="auto"/>
            <w:vAlign w:val="center"/>
          </w:tcPr>
          <w:p w14:paraId="62E9D982">
            <w:pPr>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标项名称</w:t>
            </w:r>
          </w:p>
        </w:tc>
        <w:tc>
          <w:tcPr>
            <w:tcW w:w="3499" w:type="pct"/>
            <w:tcBorders>
              <w:left w:val="single" w:color="auto" w:sz="4" w:space="0"/>
            </w:tcBorders>
            <w:shd w:val="clear" w:color="auto" w:fill="auto"/>
            <w:vAlign w:val="center"/>
          </w:tcPr>
          <w:p w14:paraId="51F124AB">
            <w:pPr>
              <w:spacing w:line="360" w:lineRule="auto"/>
              <w:ind w:right="-670" w:rightChars="0"/>
              <w:rPr>
                <w:rFonts w:ascii="仿宋" w:hAnsi="仿宋" w:eastAsia="仿宋" w:cs="仿宋"/>
                <w:bCs/>
                <w:color w:val="auto"/>
                <w:kern w:val="2"/>
                <w:sz w:val="24"/>
                <w:szCs w:val="24"/>
                <w:highlight w:val="none"/>
                <w:lang w:val="en-US" w:eastAsia="zh-CN" w:bidi="ar-SA"/>
              </w:rPr>
            </w:pPr>
          </w:p>
        </w:tc>
      </w:tr>
      <w:tr w14:paraId="7E45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679" w:type="dxa"/>
            <w:tcBorders>
              <w:top w:val="single" w:color="auto" w:sz="4" w:space="0"/>
              <w:left w:val="single" w:color="auto" w:sz="4" w:space="0"/>
              <w:bottom w:val="single" w:color="auto" w:sz="4" w:space="0"/>
              <w:right w:val="single" w:color="auto" w:sz="4" w:space="0"/>
            </w:tcBorders>
            <w:shd w:val="clear" w:color="auto" w:fill="auto"/>
            <w:vAlign w:val="center"/>
          </w:tcPr>
          <w:p w14:paraId="2C72A370">
            <w:pPr>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标项</w:t>
            </w:r>
            <w:r>
              <w:rPr>
                <w:rFonts w:hint="eastAsia" w:ascii="仿宋" w:hAnsi="仿宋" w:eastAsia="仿宋" w:cs="仿宋"/>
                <w:bCs/>
                <w:color w:val="auto"/>
                <w:sz w:val="24"/>
                <w:szCs w:val="24"/>
                <w:highlight w:val="none"/>
              </w:rPr>
              <w:t>编号</w:t>
            </w:r>
          </w:p>
        </w:tc>
        <w:tc>
          <w:tcPr>
            <w:tcW w:w="3499" w:type="pct"/>
            <w:tcBorders>
              <w:left w:val="single" w:color="auto" w:sz="4" w:space="0"/>
            </w:tcBorders>
            <w:shd w:val="clear" w:color="auto" w:fill="auto"/>
            <w:vAlign w:val="center"/>
          </w:tcPr>
          <w:p w14:paraId="445E1563">
            <w:pPr>
              <w:spacing w:line="360" w:lineRule="auto"/>
              <w:ind w:right="-670" w:rightChars="0"/>
              <w:rPr>
                <w:rFonts w:ascii="仿宋" w:hAnsi="仿宋" w:eastAsia="仿宋" w:cs="仿宋"/>
                <w:bCs/>
                <w:color w:val="auto"/>
                <w:kern w:val="2"/>
                <w:sz w:val="24"/>
                <w:szCs w:val="24"/>
                <w:highlight w:val="none"/>
                <w:lang w:val="en-US" w:eastAsia="zh-CN" w:bidi="ar-SA"/>
              </w:rPr>
            </w:pPr>
          </w:p>
        </w:tc>
      </w:tr>
      <w:tr w14:paraId="0114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221E9B8B">
            <w:pPr>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投标价格</w:t>
            </w:r>
          </w:p>
        </w:tc>
        <w:tc>
          <w:tcPr>
            <w:tcW w:w="3499" w:type="pct"/>
            <w:tcBorders>
              <w:left w:val="single" w:color="auto" w:sz="4" w:space="0"/>
            </w:tcBorders>
            <w:shd w:val="clear" w:color="auto" w:fill="auto"/>
            <w:vAlign w:val="center"/>
          </w:tcPr>
          <w:p w14:paraId="6FE5D5C7">
            <w:pPr>
              <w:spacing w:line="360" w:lineRule="auto"/>
              <w:ind w:right="-670"/>
              <w:rPr>
                <w:rFonts w:hint="default" w:ascii="仿宋" w:hAnsi="仿宋" w:eastAsia="仿宋" w:cs="仿宋"/>
                <w:bCs/>
                <w:color w:val="auto"/>
                <w:sz w:val="24"/>
                <w:szCs w:val="24"/>
                <w:highlight w:val="none"/>
                <w:u w:val="single"/>
                <w:lang w:val="en-US" w:eastAsia="zh-CN"/>
              </w:rPr>
            </w:pPr>
            <w:r>
              <w:rPr>
                <w:rFonts w:hint="eastAsia" w:ascii="仿宋" w:hAnsi="仿宋" w:eastAsia="仿宋" w:cs="仿宋"/>
                <w:bCs/>
                <w:color w:val="auto"/>
                <w:sz w:val="24"/>
                <w:szCs w:val="24"/>
                <w:highlight w:val="none"/>
                <w:lang w:val="en-US" w:eastAsia="zh-CN"/>
              </w:rPr>
              <w:t>小写：</w:t>
            </w:r>
            <w:r>
              <w:rPr>
                <w:rFonts w:hint="eastAsia" w:ascii="仿宋" w:hAnsi="仿宋" w:eastAsia="仿宋" w:cs="仿宋"/>
                <w:bCs/>
                <w:color w:val="auto"/>
                <w:sz w:val="24"/>
                <w:szCs w:val="24"/>
                <w:highlight w:val="none"/>
                <w:u w:val="single"/>
                <w:lang w:val="en-US" w:eastAsia="zh-CN"/>
              </w:rPr>
              <w:t xml:space="preserve">                 </w:t>
            </w:r>
          </w:p>
          <w:p w14:paraId="6C9BC66A">
            <w:pPr>
              <w:pStyle w:val="37"/>
              <w:ind w:left="0" w:leftChars="0" w:firstLine="0" w:firstLineChars="0"/>
              <w:rPr>
                <w:rFonts w:hint="default" w:asciiTheme="minorHAnsi" w:hAnsiTheme="minorHAnsi" w:eastAsiaTheme="minorEastAsia" w:cstheme="minorBidi"/>
                <w:color w:val="auto"/>
                <w:kern w:val="2"/>
                <w:sz w:val="21"/>
                <w:szCs w:val="22"/>
                <w:highlight w:val="none"/>
                <w:lang w:val="en-US" w:eastAsia="zh-CN" w:bidi="ar-SA"/>
              </w:rPr>
            </w:pPr>
            <w:r>
              <w:rPr>
                <w:rFonts w:hint="eastAsia" w:ascii="仿宋" w:hAnsi="仿宋" w:eastAsia="仿宋" w:cs="仿宋"/>
                <w:bCs/>
                <w:color w:val="auto"/>
                <w:sz w:val="24"/>
                <w:szCs w:val="24"/>
                <w:highlight w:val="none"/>
                <w:lang w:val="en-US" w:eastAsia="zh-CN"/>
              </w:rPr>
              <w:t>大写：</w:t>
            </w:r>
            <w:r>
              <w:rPr>
                <w:rFonts w:hint="eastAsia" w:ascii="仿宋" w:hAnsi="仿宋" w:eastAsia="仿宋" w:cs="仿宋"/>
                <w:bCs/>
                <w:color w:val="auto"/>
                <w:sz w:val="24"/>
                <w:szCs w:val="24"/>
                <w:highlight w:val="none"/>
                <w:u w:val="single"/>
                <w:lang w:val="en-US" w:eastAsia="zh-CN"/>
              </w:rPr>
              <w:t xml:space="preserve">                 </w:t>
            </w:r>
          </w:p>
        </w:tc>
      </w:tr>
      <w:tr w14:paraId="67827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63E4F25D">
            <w:pPr>
              <w:snapToGrid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合同履约期限</w:t>
            </w:r>
          </w:p>
        </w:tc>
        <w:tc>
          <w:tcPr>
            <w:tcW w:w="3499" w:type="pct"/>
            <w:tcBorders>
              <w:left w:val="single" w:color="auto" w:sz="4" w:space="0"/>
            </w:tcBorders>
            <w:shd w:val="clear" w:color="auto" w:fill="auto"/>
            <w:vAlign w:val="center"/>
          </w:tcPr>
          <w:p w14:paraId="01C6B984">
            <w:pPr>
              <w:snapToGrid w:val="0"/>
              <w:spacing w:line="360" w:lineRule="auto"/>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eastAsia="zh-CN"/>
              </w:rPr>
              <w:t>自合同签订之日起</w:t>
            </w:r>
            <w:r>
              <w:rPr>
                <w:rFonts w:hint="eastAsia" w:ascii="仿宋" w:hAnsi="仿宋" w:eastAsia="仿宋" w:cs="仿宋"/>
                <w:bCs/>
                <w:color w:val="auto"/>
                <w:sz w:val="24"/>
                <w:szCs w:val="24"/>
                <w:highlight w:val="none"/>
                <w:u w:val="single"/>
                <w:lang w:val="en-US" w:eastAsia="zh-CN"/>
              </w:rPr>
              <w:t xml:space="preserve"> 1  </w:t>
            </w:r>
            <w:r>
              <w:rPr>
                <w:rFonts w:hint="eastAsia" w:ascii="仿宋" w:hAnsi="仿宋" w:eastAsia="仿宋" w:cs="仿宋"/>
                <w:bCs/>
                <w:color w:val="auto"/>
                <w:sz w:val="24"/>
                <w:szCs w:val="24"/>
                <w:highlight w:val="none"/>
                <w:lang w:val="en-US" w:eastAsia="zh-CN"/>
              </w:rPr>
              <w:t>年</w:t>
            </w:r>
            <w:r>
              <w:rPr>
                <w:rFonts w:hint="eastAsia" w:ascii="仿宋" w:hAnsi="仿宋" w:eastAsia="仿宋" w:cs="仿宋"/>
                <w:bCs/>
                <w:color w:val="auto"/>
                <w:sz w:val="24"/>
                <w:szCs w:val="24"/>
                <w:highlight w:val="none"/>
                <w:lang w:eastAsia="zh-CN"/>
              </w:rPr>
              <w:t>内，</w:t>
            </w:r>
            <w:r>
              <w:rPr>
                <w:rFonts w:hint="eastAsia" w:ascii="仿宋" w:hAnsi="仿宋" w:eastAsia="仿宋" w:cs="仿宋"/>
                <w:bCs/>
                <w:color w:val="auto"/>
                <w:sz w:val="24"/>
                <w:szCs w:val="24"/>
                <w:highlight w:val="none"/>
                <w:lang w:val="en-US" w:eastAsia="zh-CN"/>
              </w:rPr>
              <w:t>根据采购人需求分批送达</w:t>
            </w:r>
            <w:r>
              <w:rPr>
                <w:rFonts w:hint="eastAsia" w:ascii="仿宋" w:hAnsi="仿宋" w:eastAsia="仿宋" w:cs="仿宋"/>
                <w:bCs/>
                <w:color w:val="auto"/>
                <w:sz w:val="24"/>
                <w:szCs w:val="24"/>
                <w:highlight w:val="none"/>
                <w:lang w:eastAsia="zh-CN"/>
              </w:rPr>
              <w:t>指定地点。</w:t>
            </w:r>
          </w:p>
        </w:tc>
      </w:tr>
      <w:tr w14:paraId="4FDC4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2D0E40BE">
            <w:pPr>
              <w:snapToGrid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eastAsia="zh-CN"/>
              </w:rPr>
              <w:t>保质期（有效期）</w:t>
            </w:r>
          </w:p>
        </w:tc>
        <w:tc>
          <w:tcPr>
            <w:tcW w:w="3499" w:type="pct"/>
            <w:tcBorders>
              <w:left w:val="single" w:color="auto" w:sz="4" w:space="0"/>
            </w:tcBorders>
            <w:shd w:val="clear" w:color="auto" w:fill="auto"/>
            <w:vAlign w:val="center"/>
          </w:tcPr>
          <w:p w14:paraId="18B5A835">
            <w:pPr>
              <w:snapToGrid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自送达采购人指定地点起不少于</w:t>
            </w:r>
            <w:r>
              <w:rPr>
                <w:rFonts w:hint="eastAsia" w:ascii="仿宋" w:hAnsi="仿宋" w:eastAsia="仿宋" w:cs="仿宋"/>
                <w:bCs/>
                <w:color w:val="auto"/>
                <w:kern w:val="2"/>
                <w:sz w:val="24"/>
                <w:szCs w:val="24"/>
                <w:highlight w:val="none"/>
                <w:u w:val="single"/>
                <w:lang w:val="en-US" w:eastAsia="zh-CN" w:bidi="ar-SA"/>
              </w:rPr>
              <w:t xml:space="preserve"> 1 </w:t>
            </w:r>
            <w:r>
              <w:rPr>
                <w:rFonts w:hint="eastAsia" w:ascii="仿宋" w:hAnsi="仿宋" w:eastAsia="仿宋" w:cs="仿宋"/>
                <w:bCs/>
                <w:color w:val="auto"/>
                <w:kern w:val="2"/>
                <w:sz w:val="24"/>
                <w:szCs w:val="24"/>
                <w:highlight w:val="none"/>
                <w:lang w:val="en-US" w:eastAsia="zh-CN" w:bidi="ar-SA"/>
              </w:rPr>
              <w:t>年。</w:t>
            </w:r>
          </w:p>
        </w:tc>
      </w:tr>
      <w:tr w14:paraId="217DF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1677E23F">
            <w:pPr>
              <w:snapToGrid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投标有效期</w:t>
            </w:r>
          </w:p>
        </w:tc>
        <w:tc>
          <w:tcPr>
            <w:tcW w:w="3499" w:type="pct"/>
            <w:tcBorders>
              <w:left w:val="single" w:color="auto" w:sz="4" w:space="0"/>
            </w:tcBorders>
            <w:shd w:val="clear" w:color="auto" w:fill="auto"/>
            <w:vAlign w:val="center"/>
          </w:tcPr>
          <w:p w14:paraId="0E7870B2">
            <w:pPr>
              <w:snapToGrid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自投标截止之日90日历日</w:t>
            </w:r>
          </w:p>
        </w:tc>
      </w:tr>
      <w:tr w14:paraId="0909D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1FE8837E">
            <w:pPr>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备注</w:t>
            </w:r>
          </w:p>
        </w:tc>
        <w:tc>
          <w:tcPr>
            <w:tcW w:w="3499" w:type="pct"/>
            <w:tcBorders>
              <w:left w:val="single" w:color="auto" w:sz="4" w:space="0"/>
            </w:tcBorders>
            <w:shd w:val="clear" w:color="auto" w:fill="auto"/>
            <w:vAlign w:val="center"/>
          </w:tcPr>
          <w:p w14:paraId="056CF9DE">
            <w:pPr>
              <w:rPr>
                <w:rFonts w:ascii="仿宋" w:hAnsi="仿宋" w:eastAsia="仿宋" w:cs="仿宋"/>
                <w:bCs/>
                <w:color w:val="auto"/>
                <w:kern w:val="2"/>
                <w:sz w:val="24"/>
                <w:szCs w:val="24"/>
                <w:highlight w:val="none"/>
                <w:lang w:val="en-US" w:eastAsia="zh-CN" w:bidi="ar-SA"/>
              </w:rPr>
            </w:pPr>
          </w:p>
        </w:tc>
      </w:tr>
    </w:tbl>
    <w:p w14:paraId="564E1A38">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42A7DDE8">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04841C89">
      <w:pPr>
        <w:pStyle w:val="37"/>
        <w:rPr>
          <w:color w:val="auto"/>
          <w:highlight w:val="none"/>
        </w:rPr>
      </w:pPr>
    </w:p>
    <w:p w14:paraId="45235ABC">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71C7700D">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4AFA75F6">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0433F31C">
      <w:pPr>
        <w:widowControl/>
        <w:shd w:val="clear" w:color="auto" w:fill="FFFFFF"/>
        <w:wordWrap w:val="0"/>
        <w:snapToGrid w:val="0"/>
        <w:spacing w:line="384" w:lineRule="auto"/>
        <w:ind w:firstLine="420"/>
        <w:jc w:val="righ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66E9A015">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65E372EB">
      <w:pPr>
        <w:tabs>
          <w:tab w:val="center" w:pos="4832"/>
          <w:tab w:val="left" w:pos="7140"/>
        </w:tabs>
        <w:jc w:val="center"/>
        <w:outlineLvl w:val="1"/>
        <w:rPr>
          <w:rFonts w:ascii="仿宋" w:hAnsi="仿宋" w:eastAsia="仿宋" w:cs="仿宋"/>
          <w:b/>
          <w:color w:val="auto"/>
          <w:sz w:val="24"/>
          <w:szCs w:val="24"/>
          <w:highlight w:val="none"/>
        </w:rPr>
      </w:pPr>
      <w:bookmarkStart w:id="88" w:name="_Toc11623"/>
      <w:bookmarkStart w:id="89" w:name="_Toc13707"/>
      <w:r>
        <w:rPr>
          <w:rFonts w:hint="eastAsia" w:ascii="仿宋" w:hAnsi="仿宋" w:eastAsia="仿宋" w:cs="仿宋"/>
          <w:b/>
          <w:color w:val="auto"/>
          <w:sz w:val="24"/>
          <w:szCs w:val="24"/>
          <w:highlight w:val="none"/>
        </w:rPr>
        <w:t>二、投标函</w:t>
      </w:r>
      <w:bookmarkEnd w:id="88"/>
      <w:bookmarkEnd w:id="89"/>
    </w:p>
    <w:p w14:paraId="7416A3BD">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4180F53C">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231F7924">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47474B18">
      <w:pPr>
        <w:widowControl/>
        <w:shd w:val="clear" w:color="auto" w:fill="FFFFFF"/>
        <w:snapToGrid w:val="0"/>
        <w:spacing w:line="384" w:lineRule="auto"/>
        <w:ind w:firstLine="42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根据已收到的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（标项名称）的招标文件，遵照《中华人民共和国政府采购法》等有关法律法规的规定，经考察现场和充分研究贵方的招标文件的全部内容后，我方郑重承诺如下：</w:t>
      </w:r>
    </w:p>
    <w:p w14:paraId="57E30557">
      <w:pPr>
        <w:widowControl/>
        <w:shd w:val="clear" w:color="auto" w:fill="FFFFFF"/>
        <w:snapToGrid w:val="0"/>
        <w:spacing w:line="360" w:lineRule="auto"/>
        <w:ind w:firstLine="420"/>
        <w:jc w:val="left"/>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zh-CN"/>
        </w:rPr>
        <w:t xml:space="preserve">、不向项目有关人员及部门赠送礼金礼物、有价证券、回扣以及中介费、介绍费、咨询费等好处费；不为项目有关人员及部门报销应由你方单位或个人支付的费用。 </w:t>
      </w:r>
    </w:p>
    <w:p w14:paraId="00CEADBE">
      <w:pPr>
        <w:widowControl/>
        <w:shd w:val="clear" w:color="auto" w:fill="FFFFFF"/>
        <w:snapToGrid w:val="0"/>
        <w:spacing w:line="360" w:lineRule="auto"/>
        <w:ind w:firstLine="420"/>
        <w:jc w:val="left"/>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zh-CN"/>
        </w:rPr>
        <w:t>、不向项目有关人员及部门提供有可能影响公正的宴请和健身娱乐等活动；不为项目有关人员及部门出国（境）、旅游等提供方便；不为项目有关人员个人装修住房、婚丧嫁娶、配偶子女工作安排等提供好处。</w:t>
      </w:r>
    </w:p>
    <w:p w14:paraId="74B9B536">
      <w:pPr>
        <w:widowControl/>
        <w:shd w:val="clear" w:color="auto" w:fill="FFFFFF"/>
        <w:snapToGrid w:val="0"/>
        <w:spacing w:line="360" w:lineRule="auto"/>
        <w:ind w:firstLine="42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zh-CN"/>
        </w:rPr>
        <w:t xml:space="preserve">、严格遵守《中华人民共和国政府采购法》、《中华人民共和国民法典》等法律法规，诚实守信，合法经营，坚决抵制各种违法违纪行为。 </w:t>
      </w:r>
    </w:p>
    <w:p w14:paraId="1DB9613F">
      <w:pPr>
        <w:widowControl/>
        <w:shd w:val="clear" w:color="auto" w:fill="FFFFFF"/>
        <w:snapToGrid w:val="0"/>
        <w:spacing w:line="360" w:lineRule="auto"/>
        <w:ind w:firstLine="420"/>
        <w:jc w:val="left"/>
        <w:rPr>
          <w:rFonts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rPr>
        <w:t>4、我方所递交的投标文件及有关资料内容完整、真实和准确，且不存在投标人须知前附表规定的投标人不得存在的任何一种情形。</w:t>
      </w:r>
    </w:p>
    <w:p w14:paraId="4A34307B">
      <w:pPr>
        <w:widowControl/>
        <w:shd w:val="clear" w:color="auto" w:fill="FFFFFF"/>
        <w:snapToGrid w:val="0"/>
        <w:spacing w:line="360" w:lineRule="auto"/>
        <w:ind w:firstLine="420"/>
        <w:jc w:val="left"/>
        <w:rPr>
          <w:rFonts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5、本</w:t>
      </w:r>
      <w:r>
        <w:rPr>
          <w:rFonts w:hint="eastAsia" w:ascii="仿宋" w:hAnsi="仿宋" w:eastAsia="仿宋" w:cs="仿宋"/>
          <w:color w:val="auto"/>
          <w:sz w:val="24"/>
          <w:szCs w:val="24"/>
          <w:highlight w:val="none"/>
          <w:shd w:val="clear" w:color="auto" w:fill="FFFFFF" w:themeFill="background1"/>
        </w:rPr>
        <w:t>投标文件</w:t>
      </w:r>
      <w:r>
        <w:rPr>
          <w:rFonts w:hint="eastAsia" w:ascii="仿宋" w:hAnsi="仿宋" w:eastAsia="仿宋" w:cs="仿宋"/>
          <w:color w:val="auto"/>
          <w:kern w:val="0"/>
          <w:sz w:val="24"/>
          <w:szCs w:val="24"/>
          <w:highlight w:val="none"/>
          <w:shd w:val="clear" w:color="auto" w:fill="FFFFFF" w:themeFill="background1"/>
        </w:rPr>
        <w:t>在</w:t>
      </w:r>
      <w:r>
        <w:rPr>
          <w:rFonts w:hint="eastAsia" w:ascii="仿宋" w:hAnsi="仿宋" w:eastAsia="仿宋" w:cs="仿宋"/>
          <w:color w:val="auto"/>
          <w:sz w:val="24"/>
          <w:szCs w:val="24"/>
          <w:highlight w:val="none"/>
          <w:shd w:val="clear" w:color="auto" w:fill="FFFFFF" w:themeFill="background1"/>
        </w:rPr>
        <w:t>招标文件</w:t>
      </w:r>
      <w:r>
        <w:rPr>
          <w:rFonts w:hint="eastAsia" w:ascii="仿宋" w:hAnsi="仿宋" w:eastAsia="仿宋" w:cs="仿宋"/>
          <w:color w:val="auto"/>
          <w:kern w:val="0"/>
          <w:sz w:val="24"/>
          <w:szCs w:val="24"/>
          <w:highlight w:val="none"/>
          <w:shd w:val="clear" w:color="auto" w:fill="FFFFFF" w:themeFill="background1"/>
        </w:rPr>
        <w:t>规定的投标有效期内对我方具有约束力，如果我方在投标有效期内撤销投标，其投标保证金将被贵方没收。</w:t>
      </w:r>
    </w:p>
    <w:p w14:paraId="766BEBCD">
      <w:pPr>
        <w:widowControl/>
        <w:shd w:val="clear" w:color="auto" w:fill="FFFFFF"/>
        <w:snapToGrid w:val="0"/>
        <w:spacing w:line="360" w:lineRule="auto"/>
        <w:ind w:firstLine="42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shd w:val="clear" w:color="auto" w:fill="FFFFFF" w:themeFill="background1"/>
        </w:rPr>
        <w:t>6、</w:t>
      </w:r>
      <w:r>
        <w:rPr>
          <w:rFonts w:hint="eastAsia" w:ascii="仿宋" w:hAnsi="仿宋" w:eastAsia="仿宋" w:cs="仿宋"/>
          <w:color w:val="auto"/>
          <w:kern w:val="0"/>
          <w:sz w:val="24"/>
          <w:szCs w:val="24"/>
          <w:highlight w:val="none"/>
        </w:rPr>
        <w:t>我方已完全理解招标文件的全部内容，并无异议。</w:t>
      </w:r>
    </w:p>
    <w:p w14:paraId="41493F6B">
      <w:pPr>
        <w:widowControl/>
        <w:shd w:val="clear" w:color="auto" w:fill="FFFFFF"/>
        <w:snapToGrid w:val="0"/>
        <w:spacing w:line="360" w:lineRule="auto"/>
        <w:ind w:firstLine="420"/>
        <w:jc w:val="left"/>
        <w:rPr>
          <w:rFonts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7、如我方中标，我方自愿向代理机构支付咨询费，并在合同签订后</w:t>
      </w:r>
      <w:r>
        <w:rPr>
          <w:rFonts w:hint="eastAsia" w:ascii="仿宋" w:hAnsi="仿宋" w:eastAsia="仿宋" w:cs="仿宋"/>
          <w:color w:val="auto"/>
          <w:kern w:val="0"/>
          <w:sz w:val="24"/>
          <w:szCs w:val="24"/>
          <w:highlight w:val="none"/>
          <w:shd w:val="clear" w:color="auto" w:fill="FFFFFF" w:themeFill="background1"/>
          <w:lang w:val="en-US" w:eastAsia="zh-CN"/>
        </w:rPr>
        <w:t>1</w:t>
      </w:r>
      <w:r>
        <w:rPr>
          <w:rFonts w:hint="eastAsia" w:ascii="仿宋" w:hAnsi="仿宋" w:eastAsia="仿宋" w:cs="仿宋"/>
          <w:color w:val="auto"/>
          <w:kern w:val="0"/>
          <w:sz w:val="24"/>
          <w:szCs w:val="24"/>
          <w:highlight w:val="none"/>
          <w:shd w:val="clear" w:color="auto" w:fill="FFFFFF" w:themeFill="background1"/>
        </w:rPr>
        <w:t>个工作日内向采购代理机构提供采购合同原件一份用于采购资料备案工作。</w:t>
      </w:r>
    </w:p>
    <w:p w14:paraId="053776F3">
      <w:pPr>
        <w:widowControl/>
        <w:shd w:val="clear" w:color="auto" w:fill="FFFFFF"/>
        <w:snapToGrid w:val="0"/>
        <w:spacing w:line="360" w:lineRule="auto"/>
        <w:ind w:firstLine="420"/>
        <w:jc w:val="left"/>
        <w:rPr>
          <w:rFonts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8、我方愿意提供贵方可能要求的与采购有关的一切数据或资料，完全理解贵方不一定接受最低投标报价的投标或收到的任何投标。</w:t>
      </w:r>
    </w:p>
    <w:p w14:paraId="09C9651E">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70E2C199">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D61FB9F">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19C41D9B">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798DAE3C">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6E92BEB1">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11DD855B">
      <w:pPr>
        <w:tabs>
          <w:tab w:val="center" w:pos="4832"/>
          <w:tab w:val="left" w:pos="7140"/>
        </w:tabs>
        <w:jc w:val="center"/>
        <w:outlineLvl w:val="1"/>
        <w:rPr>
          <w:rFonts w:hint="eastAsia" w:ascii="仿宋" w:hAnsi="仿宋" w:eastAsia="仿宋" w:cs="仿宋"/>
          <w:b/>
          <w:color w:val="auto"/>
          <w:sz w:val="24"/>
          <w:szCs w:val="24"/>
          <w:highlight w:val="none"/>
        </w:rPr>
      </w:pPr>
      <w:bookmarkStart w:id="90" w:name="_Toc130252615"/>
      <w:bookmarkStart w:id="91" w:name="_Toc12957"/>
      <w:bookmarkStart w:id="92" w:name="_Toc109921158"/>
      <w:bookmarkStart w:id="93" w:name="_Toc110707965"/>
      <w:bookmarkStart w:id="94" w:name="_Toc109941765"/>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、投标价格明细表</w:t>
      </w:r>
      <w:bookmarkEnd w:id="90"/>
      <w:bookmarkEnd w:id="91"/>
      <w:bookmarkEnd w:id="92"/>
      <w:bookmarkEnd w:id="93"/>
      <w:bookmarkEnd w:id="94"/>
    </w:p>
    <w:p w14:paraId="486F8C48">
      <w:pPr>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标项名称</w:t>
      </w:r>
      <w:r>
        <w:rPr>
          <w:rFonts w:hint="eastAsia" w:ascii="仿宋" w:hAnsi="仿宋" w:eastAsia="仿宋" w:cs="仿宋"/>
          <w:color w:val="auto"/>
          <w:sz w:val="24"/>
          <w:szCs w:val="24"/>
          <w:highlight w:val="none"/>
          <w:lang w:eastAsia="zh-CN"/>
        </w:rPr>
        <w:t>：</w:t>
      </w:r>
    </w:p>
    <w:tbl>
      <w:tblPr>
        <w:tblStyle w:val="38"/>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2"/>
        <w:gridCol w:w="1294"/>
        <w:gridCol w:w="718"/>
        <w:gridCol w:w="950"/>
        <w:gridCol w:w="1348"/>
        <w:gridCol w:w="1032"/>
        <w:gridCol w:w="1051"/>
        <w:gridCol w:w="1032"/>
        <w:gridCol w:w="1032"/>
      </w:tblGrid>
      <w:tr w14:paraId="0450B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443" w:type="pct"/>
            <w:vAlign w:val="center"/>
          </w:tcPr>
          <w:p w14:paraId="2931C7FF">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697" w:type="pct"/>
            <w:vAlign w:val="center"/>
          </w:tcPr>
          <w:p w14:paraId="5571A5E5">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标的名称</w:t>
            </w:r>
          </w:p>
        </w:tc>
        <w:tc>
          <w:tcPr>
            <w:tcW w:w="387" w:type="pct"/>
            <w:vAlign w:val="center"/>
          </w:tcPr>
          <w:p w14:paraId="2EDAE8AE">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品牌</w:t>
            </w:r>
          </w:p>
        </w:tc>
        <w:tc>
          <w:tcPr>
            <w:tcW w:w="512" w:type="pct"/>
            <w:vAlign w:val="center"/>
          </w:tcPr>
          <w:p w14:paraId="1394674B">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制造商</w:t>
            </w:r>
          </w:p>
        </w:tc>
        <w:tc>
          <w:tcPr>
            <w:tcW w:w="726" w:type="pct"/>
            <w:vAlign w:val="center"/>
          </w:tcPr>
          <w:p w14:paraId="0760AA84">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规格型号</w:t>
            </w:r>
          </w:p>
        </w:tc>
        <w:tc>
          <w:tcPr>
            <w:tcW w:w="556" w:type="pct"/>
            <w:vAlign w:val="center"/>
          </w:tcPr>
          <w:p w14:paraId="0EC716C5">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数量</w:t>
            </w:r>
          </w:p>
        </w:tc>
        <w:tc>
          <w:tcPr>
            <w:tcW w:w="564" w:type="pct"/>
            <w:vAlign w:val="center"/>
          </w:tcPr>
          <w:p w14:paraId="7D45A3CE">
            <w:pPr>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单价</w:t>
            </w:r>
            <w:r>
              <w:rPr>
                <w:rFonts w:hint="eastAsia" w:ascii="仿宋" w:hAnsi="仿宋" w:eastAsia="仿宋" w:cs="仿宋"/>
                <w:bCs/>
                <w:color w:val="auto"/>
                <w:sz w:val="24"/>
                <w:szCs w:val="24"/>
                <w:highlight w:val="none"/>
                <w:lang w:eastAsia="zh-CN"/>
              </w:rPr>
              <w:t>（</w:t>
            </w:r>
            <w:r>
              <w:rPr>
                <w:rFonts w:hint="eastAsia" w:ascii="仿宋" w:hAnsi="仿宋" w:eastAsia="仿宋" w:cs="仿宋"/>
                <w:color w:val="auto"/>
                <w:sz w:val="24"/>
                <w:szCs w:val="24"/>
                <w:highlight w:val="none"/>
              </w:rPr>
              <w:t>元</w:t>
            </w:r>
            <w:r>
              <w:rPr>
                <w:rFonts w:hint="eastAsia" w:ascii="仿宋" w:hAnsi="仿宋" w:eastAsia="仿宋" w:cs="仿宋"/>
                <w:bCs/>
                <w:color w:val="auto"/>
                <w:sz w:val="24"/>
                <w:szCs w:val="24"/>
                <w:highlight w:val="none"/>
                <w:lang w:eastAsia="zh-CN"/>
              </w:rPr>
              <w:t>）</w:t>
            </w:r>
          </w:p>
        </w:tc>
        <w:tc>
          <w:tcPr>
            <w:tcW w:w="556" w:type="pct"/>
            <w:vAlign w:val="center"/>
          </w:tcPr>
          <w:p w14:paraId="5E2E4FE1">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小计</w:t>
            </w:r>
          </w:p>
        </w:tc>
        <w:tc>
          <w:tcPr>
            <w:tcW w:w="556" w:type="pct"/>
            <w:vAlign w:val="center"/>
          </w:tcPr>
          <w:p w14:paraId="26486694">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tc>
      </w:tr>
      <w:tr w14:paraId="14C8B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5EEFD7BB">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697" w:type="pct"/>
            <w:vAlign w:val="center"/>
          </w:tcPr>
          <w:p w14:paraId="120A899A">
            <w:pPr>
              <w:jc w:val="center"/>
              <w:rPr>
                <w:rFonts w:hint="eastAsia" w:ascii="仿宋" w:hAnsi="仿宋" w:eastAsia="仿宋" w:cs="仿宋"/>
                <w:bCs/>
                <w:color w:val="auto"/>
                <w:sz w:val="24"/>
                <w:szCs w:val="24"/>
                <w:highlight w:val="none"/>
              </w:rPr>
            </w:pPr>
          </w:p>
        </w:tc>
        <w:tc>
          <w:tcPr>
            <w:tcW w:w="387" w:type="pct"/>
            <w:vAlign w:val="center"/>
          </w:tcPr>
          <w:p w14:paraId="2F6DB678">
            <w:pPr>
              <w:jc w:val="center"/>
              <w:rPr>
                <w:rFonts w:hint="eastAsia" w:ascii="仿宋" w:hAnsi="仿宋" w:eastAsia="仿宋" w:cs="仿宋"/>
                <w:bCs/>
                <w:color w:val="auto"/>
                <w:sz w:val="24"/>
                <w:szCs w:val="24"/>
                <w:highlight w:val="none"/>
              </w:rPr>
            </w:pPr>
          </w:p>
        </w:tc>
        <w:tc>
          <w:tcPr>
            <w:tcW w:w="512" w:type="pct"/>
            <w:vAlign w:val="center"/>
          </w:tcPr>
          <w:p w14:paraId="77FB00AD">
            <w:pPr>
              <w:jc w:val="center"/>
              <w:rPr>
                <w:rFonts w:hint="eastAsia" w:ascii="仿宋" w:hAnsi="仿宋" w:eastAsia="仿宋" w:cs="仿宋"/>
                <w:bCs/>
                <w:color w:val="auto"/>
                <w:sz w:val="24"/>
                <w:szCs w:val="24"/>
                <w:highlight w:val="none"/>
              </w:rPr>
            </w:pPr>
          </w:p>
        </w:tc>
        <w:tc>
          <w:tcPr>
            <w:tcW w:w="726" w:type="pct"/>
            <w:vAlign w:val="center"/>
          </w:tcPr>
          <w:p w14:paraId="202F6EFA">
            <w:pPr>
              <w:jc w:val="center"/>
              <w:rPr>
                <w:rFonts w:hint="eastAsia" w:ascii="仿宋" w:hAnsi="仿宋" w:eastAsia="仿宋" w:cs="仿宋"/>
                <w:bCs/>
                <w:color w:val="auto"/>
                <w:sz w:val="24"/>
                <w:szCs w:val="24"/>
                <w:highlight w:val="none"/>
              </w:rPr>
            </w:pPr>
          </w:p>
        </w:tc>
        <w:tc>
          <w:tcPr>
            <w:tcW w:w="556" w:type="pct"/>
            <w:vAlign w:val="center"/>
          </w:tcPr>
          <w:p w14:paraId="7E3C469A">
            <w:pPr>
              <w:jc w:val="center"/>
              <w:rPr>
                <w:rFonts w:hint="eastAsia" w:ascii="仿宋" w:hAnsi="仿宋" w:eastAsia="仿宋" w:cs="仿宋"/>
                <w:bCs/>
                <w:color w:val="auto"/>
                <w:sz w:val="24"/>
                <w:szCs w:val="24"/>
                <w:highlight w:val="none"/>
              </w:rPr>
            </w:pPr>
          </w:p>
        </w:tc>
        <w:tc>
          <w:tcPr>
            <w:tcW w:w="564" w:type="pct"/>
            <w:vAlign w:val="center"/>
          </w:tcPr>
          <w:p w14:paraId="7F2EF75C">
            <w:pPr>
              <w:jc w:val="center"/>
              <w:rPr>
                <w:rFonts w:hint="eastAsia" w:ascii="仿宋" w:hAnsi="仿宋" w:eastAsia="仿宋" w:cs="仿宋"/>
                <w:bCs/>
                <w:color w:val="auto"/>
                <w:sz w:val="24"/>
                <w:szCs w:val="24"/>
                <w:highlight w:val="none"/>
              </w:rPr>
            </w:pPr>
          </w:p>
        </w:tc>
        <w:tc>
          <w:tcPr>
            <w:tcW w:w="556" w:type="pct"/>
            <w:vAlign w:val="center"/>
          </w:tcPr>
          <w:p w14:paraId="3436D38E">
            <w:pPr>
              <w:jc w:val="center"/>
              <w:rPr>
                <w:rFonts w:hint="eastAsia" w:ascii="仿宋" w:hAnsi="仿宋" w:eastAsia="仿宋" w:cs="仿宋"/>
                <w:bCs/>
                <w:color w:val="auto"/>
                <w:sz w:val="24"/>
                <w:szCs w:val="24"/>
                <w:highlight w:val="none"/>
              </w:rPr>
            </w:pPr>
          </w:p>
        </w:tc>
        <w:tc>
          <w:tcPr>
            <w:tcW w:w="556" w:type="pct"/>
            <w:vAlign w:val="center"/>
          </w:tcPr>
          <w:p w14:paraId="5D4CBBD2">
            <w:pPr>
              <w:jc w:val="center"/>
              <w:rPr>
                <w:rFonts w:hint="eastAsia" w:ascii="仿宋" w:hAnsi="仿宋" w:eastAsia="仿宋" w:cs="仿宋"/>
                <w:bCs/>
                <w:color w:val="auto"/>
                <w:sz w:val="24"/>
                <w:szCs w:val="24"/>
                <w:highlight w:val="none"/>
              </w:rPr>
            </w:pPr>
          </w:p>
        </w:tc>
      </w:tr>
      <w:tr w14:paraId="3B3F2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1DF16BF9">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p>
        </w:tc>
        <w:tc>
          <w:tcPr>
            <w:tcW w:w="697" w:type="pct"/>
            <w:vAlign w:val="center"/>
          </w:tcPr>
          <w:p w14:paraId="59F0DB3C">
            <w:pPr>
              <w:jc w:val="center"/>
              <w:rPr>
                <w:rFonts w:hint="eastAsia" w:ascii="仿宋" w:hAnsi="仿宋" w:eastAsia="仿宋" w:cs="仿宋"/>
                <w:bCs/>
                <w:color w:val="auto"/>
                <w:sz w:val="24"/>
                <w:szCs w:val="24"/>
                <w:highlight w:val="none"/>
              </w:rPr>
            </w:pPr>
          </w:p>
        </w:tc>
        <w:tc>
          <w:tcPr>
            <w:tcW w:w="387" w:type="pct"/>
            <w:vAlign w:val="center"/>
          </w:tcPr>
          <w:p w14:paraId="60C81D12">
            <w:pPr>
              <w:jc w:val="center"/>
              <w:rPr>
                <w:rFonts w:hint="eastAsia" w:ascii="仿宋" w:hAnsi="仿宋" w:eastAsia="仿宋" w:cs="仿宋"/>
                <w:bCs/>
                <w:color w:val="auto"/>
                <w:sz w:val="24"/>
                <w:szCs w:val="24"/>
                <w:highlight w:val="none"/>
              </w:rPr>
            </w:pPr>
          </w:p>
        </w:tc>
        <w:tc>
          <w:tcPr>
            <w:tcW w:w="512" w:type="pct"/>
            <w:vAlign w:val="center"/>
          </w:tcPr>
          <w:p w14:paraId="1715DBEC">
            <w:pPr>
              <w:jc w:val="center"/>
              <w:rPr>
                <w:rFonts w:hint="eastAsia" w:ascii="仿宋" w:hAnsi="仿宋" w:eastAsia="仿宋" w:cs="仿宋"/>
                <w:bCs/>
                <w:color w:val="auto"/>
                <w:sz w:val="24"/>
                <w:szCs w:val="24"/>
                <w:highlight w:val="none"/>
              </w:rPr>
            </w:pPr>
          </w:p>
        </w:tc>
        <w:tc>
          <w:tcPr>
            <w:tcW w:w="726" w:type="pct"/>
            <w:vAlign w:val="center"/>
          </w:tcPr>
          <w:p w14:paraId="6D574653">
            <w:pPr>
              <w:jc w:val="center"/>
              <w:rPr>
                <w:rFonts w:hint="eastAsia" w:ascii="仿宋" w:hAnsi="仿宋" w:eastAsia="仿宋" w:cs="仿宋"/>
                <w:bCs/>
                <w:color w:val="auto"/>
                <w:sz w:val="24"/>
                <w:szCs w:val="24"/>
                <w:highlight w:val="none"/>
              </w:rPr>
            </w:pPr>
          </w:p>
        </w:tc>
        <w:tc>
          <w:tcPr>
            <w:tcW w:w="556" w:type="pct"/>
            <w:vAlign w:val="center"/>
          </w:tcPr>
          <w:p w14:paraId="40E5FDEB">
            <w:pPr>
              <w:jc w:val="center"/>
              <w:rPr>
                <w:rFonts w:hint="eastAsia" w:ascii="仿宋" w:hAnsi="仿宋" w:eastAsia="仿宋" w:cs="仿宋"/>
                <w:bCs/>
                <w:color w:val="auto"/>
                <w:sz w:val="24"/>
                <w:szCs w:val="24"/>
                <w:highlight w:val="none"/>
              </w:rPr>
            </w:pPr>
          </w:p>
        </w:tc>
        <w:tc>
          <w:tcPr>
            <w:tcW w:w="564" w:type="pct"/>
            <w:vAlign w:val="center"/>
          </w:tcPr>
          <w:p w14:paraId="6BA63042">
            <w:pPr>
              <w:jc w:val="center"/>
              <w:rPr>
                <w:rFonts w:hint="eastAsia" w:ascii="仿宋" w:hAnsi="仿宋" w:eastAsia="仿宋" w:cs="仿宋"/>
                <w:bCs/>
                <w:color w:val="auto"/>
                <w:sz w:val="24"/>
                <w:szCs w:val="24"/>
                <w:highlight w:val="none"/>
              </w:rPr>
            </w:pPr>
          </w:p>
        </w:tc>
        <w:tc>
          <w:tcPr>
            <w:tcW w:w="556" w:type="pct"/>
            <w:vAlign w:val="center"/>
          </w:tcPr>
          <w:p w14:paraId="6A94224F">
            <w:pPr>
              <w:jc w:val="center"/>
              <w:rPr>
                <w:rFonts w:hint="eastAsia" w:ascii="仿宋" w:hAnsi="仿宋" w:eastAsia="仿宋" w:cs="仿宋"/>
                <w:bCs/>
                <w:color w:val="auto"/>
                <w:sz w:val="24"/>
                <w:szCs w:val="24"/>
                <w:highlight w:val="none"/>
              </w:rPr>
            </w:pPr>
          </w:p>
        </w:tc>
        <w:tc>
          <w:tcPr>
            <w:tcW w:w="556" w:type="pct"/>
            <w:vAlign w:val="center"/>
          </w:tcPr>
          <w:p w14:paraId="67597090">
            <w:pPr>
              <w:jc w:val="center"/>
              <w:rPr>
                <w:rFonts w:hint="eastAsia" w:ascii="仿宋" w:hAnsi="仿宋" w:eastAsia="仿宋" w:cs="仿宋"/>
                <w:bCs/>
                <w:color w:val="auto"/>
                <w:sz w:val="24"/>
                <w:szCs w:val="24"/>
                <w:highlight w:val="none"/>
              </w:rPr>
            </w:pPr>
          </w:p>
        </w:tc>
      </w:tr>
      <w:tr w14:paraId="4DB64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0380A8F3">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p>
        </w:tc>
        <w:tc>
          <w:tcPr>
            <w:tcW w:w="697" w:type="pct"/>
            <w:vAlign w:val="center"/>
          </w:tcPr>
          <w:p w14:paraId="659AA5E2">
            <w:pPr>
              <w:jc w:val="center"/>
              <w:rPr>
                <w:rFonts w:hint="eastAsia" w:ascii="仿宋" w:hAnsi="仿宋" w:eastAsia="仿宋" w:cs="仿宋"/>
                <w:bCs/>
                <w:color w:val="auto"/>
                <w:sz w:val="24"/>
                <w:szCs w:val="24"/>
                <w:highlight w:val="none"/>
              </w:rPr>
            </w:pPr>
          </w:p>
        </w:tc>
        <w:tc>
          <w:tcPr>
            <w:tcW w:w="387" w:type="pct"/>
            <w:vAlign w:val="center"/>
          </w:tcPr>
          <w:p w14:paraId="380F17CD">
            <w:pPr>
              <w:jc w:val="center"/>
              <w:rPr>
                <w:rFonts w:hint="eastAsia" w:ascii="仿宋" w:hAnsi="仿宋" w:eastAsia="仿宋" w:cs="仿宋"/>
                <w:bCs/>
                <w:color w:val="auto"/>
                <w:sz w:val="24"/>
                <w:szCs w:val="24"/>
                <w:highlight w:val="none"/>
              </w:rPr>
            </w:pPr>
          </w:p>
        </w:tc>
        <w:tc>
          <w:tcPr>
            <w:tcW w:w="512" w:type="pct"/>
            <w:vAlign w:val="center"/>
          </w:tcPr>
          <w:p w14:paraId="6BDC5140">
            <w:pPr>
              <w:jc w:val="center"/>
              <w:rPr>
                <w:rFonts w:hint="eastAsia" w:ascii="仿宋" w:hAnsi="仿宋" w:eastAsia="仿宋" w:cs="仿宋"/>
                <w:bCs/>
                <w:color w:val="auto"/>
                <w:sz w:val="24"/>
                <w:szCs w:val="24"/>
                <w:highlight w:val="none"/>
              </w:rPr>
            </w:pPr>
          </w:p>
        </w:tc>
        <w:tc>
          <w:tcPr>
            <w:tcW w:w="726" w:type="pct"/>
            <w:vAlign w:val="center"/>
          </w:tcPr>
          <w:p w14:paraId="6321C910">
            <w:pPr>
              <w:jc w:val="center"/>
              <w:rPr>
                <w:rFonts w:hint="eastAsia" w:ascii="仿宋" w:hAnsi="仿宋" w:eastAsia="仿宋" w:cs="仿宋"/>
                <w:bCs/>
                <w:color w:val="auto"/>
                <w:sz w:val="24"/>
                <w:szCs w:val="24"/>
                <w:highlight w:val="none"/>
              </w:rPr>
            </w:pPr>
          </w:p>
        </w:tc>
        <w:tc>
          <w:tcPr>
            <w:tcW w:w="556" w:type="pct"/>
            <w:vAlign w:val="center"/>
          </w:tcPr>
          <w:p w14:paraId="44673FF1">
            <w:pPr>
              <w:jc w:val="center"/>
              <w:rPr>
                <w:rFonts w:hint="eastAsia" w:ascii="仿宋" w:hAnsi="仿宋" w:eastAsia="仿宋" w:cs="仿宋"/>
                <w:bCs/>
                <w:color w:val="auto"/>
                <w:sz w:val="24"/>
                <w:szCs w:val="24"/>
                <w:highlight w:val="none"/>
              </w:rPr>
            </w:pPr>
          </w:p>
        </w:tc>
        <w:tc>
          <w:tcPr>
            <w:tcW w:w="564" w:type="pct"/>
            <w:vAlign w:val="center"/>
          </w:tcPr>
          <w:p w14:paraId="1978D26F">
            <w:pPr>
              <w:jc w:val="center"/>
              <w:rPr>
                <w:rFonts w:hint="eastAsia" w:ascii="仿宋" w:hAnsi="仿宋" w:eastAsia="仿宋" w:cs="仿宋"/>
                <w:bCs/>
                <w:color w:val="auto"/>
                <w:sz w:val="24"/>
                <w:szCs w:val="24"/>
                <w:highlight w:val="none"/>
              </w:rPr>
            </w:pPr>
          </w:p>
        </w:tc>
        <w:tc>
          <w:tcPr>
            <w:tcW w:w="556" w:type="pct"/>
            <w:vAlign w:val="center"/>
          </w:tcPr>
          <w:p w14:paraId="6BC8919E">
            <w:pPr>
              <w:jc w:val="center"/>
              <w:rPr>
                <w:rFonts w:hint="eastAsia" w:ascii="仿宋" w:hAnsi="仿宋" w:eastAsia="仿宋" w:cs="仿宋"/>
                <w:bCs/>
                <w:color w:val="auto"/>
                <w:sz w:val="24"/>
                <w:szCs w:val="24"/>
                <w:highlight w:val="none"/>
              </w:rPr>
            </w:pPr>
          </w:p>
        </w:tc>
        <w:tc>
          <w:tcPr>
            <w:tcW w:w="556" w:type="pct"/>
            <w:vAlign w:val="center"/>
          </w:tcPr>
          <w:p w14:paraId="3CF82267">
            <w:pPr>
              <w:jc w:val="center"/>
              <w:rPr>
                <w:rFonts w:hint="eastAsia" w:ascii="仿宋" w:hAnsi="仿宋" w:eastAsia="仿宋" w:cs="仿宋"/>
                <w:bCs/>
                <w:color w:val="auto"/>
                <w:sz w:val="24"/>
                <w:szCs w:val="24"/>
                <w:highlight w:val="none"/>
              </w:rPr>
            </w:pPr>
          </w:p>
        </w:tc>
      </w:tr>
      <w:tr w14:paraId="0C382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5F4AD067">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p>
        </w:tc>
        <w:tc>
          <w:tcPr>
            <w:tcW w:w="697" w:type="pct"/>
            <w:vAlign w:val="center"/>
          </w:tcPr>
          <w:p w14:paraId="1090F5BC">
            <w:pPr>
              <w:jc w:val="center"/>
              <w:rPr>
                <w:rFonts w:hint="eastAsia" w:ascii="仿宋" w:hAnsi="仿宋" w:eastAsia="仿宋" w:cs="仿宋"/>
                <w:bCs/>
                <w:color w:val="auto"/>
                <w:sz w:val="24"/>
                <w:szCs w:val="24"/>
                <w:highlight w:val="none"/>
              </w:rPr>
            </w:pPr>
          </w:p>
        </w:tc>
        <w:tc>
          <w:tcPr>
            <w:tcW w:w="387" w:type="pct"/>
            <w:vAlign w:val="center"/>
          </w:tcPr>
          <w:p w14:paraId="7D599E63">
            <w:pPr>
              <w:jc w:val="center"/>
              <w:rPr>
                <w:rFonts w:hint="eastAsia" w:ascii="仿宋" w:hAnsi="仿宋" w:eastAsia="仿宋" w:cs="仿宋"/>
                <w:bCs/>
                <w:color w:val="auto"/>
                <w:sz w:val="24"/>
                <w:szCs w:val="24"/>
                <w:highlight w:val="none"/>
              </w:rPr>
            </w:pPr>
          </w:p>
        </w:tc>
        <w:tc>
          <w:tcPr>
            <w:tcW w:w="512" w:type="pct"/>
            <w:vAlign w:val="center"/>
          </w:tcPr>
          <w:p w14:paraId="34C17C83">
            <w:pPr>
              <w:jc w:val="center"/>
              <w:rPr>
                <w:rFonts w:hint="eastAsia" w:ascii="仿宋" w:hAnsi="仿宋" w:eastAsia="仿宋" w:cs="仿宋"/>
                <w:bCs/>
                <w:color w:val="auto"/>
                <w:sz w:val="24"/>
                <w:szCs w:val="24"/>
                <w:highlight w:val="none"/>
              </w:rPr>
            </w:pPr>
          </w:p>
        </w:tc>
        <w:tc>
          <w:tcPr>
            <w:tcW w:w="726" w:type="pct"/>
            <w:vAlign w:val="center"/>
          </w:tcPr>
          <w:p w14:paraId="5E51658B">
            <w:pPr>
              <w:jc w:val="center"/>
              <w:rPr>
                <w:rFonts w:hint="eastAsia" w:ascii="仿宋" w:hAnsi="仿宋" w:eastAsia="仿宋" w:cs="仿宋"/>
                <w:bCs/>
                <w:color w:val="auto"/>
                <w:sz w:val="24"/>
                <w:szCs w:val="24"/>
                <w:highlight w:val="none"/>
              </w:rPr>
            </w:pPr>
          </w:p>
        </w:tc>
        <w:tc>
          <w:tcPr>
            <w:tcW w:w="556" w:type="pct"/>
            <w:vAlign w:val="center"/>
          </w:tcPr>
          <w:p w14:paraId="25485329">
            <w:pPr>
              <w:jc w:val="center"/>
              <w:rPr>
                <w:rFonts w:hint="eastAsia" w:ascii="仿宋" w:hAnsi="仿宋" w:eastAsia="仿宋" w:cs="仿宋"/>
                <w:bCs/>
                <w:color w:val="auto"/>
                <w:sz w:val="24"/>
                <w:szCs w:val="24"/>
                <w:highlight w:val="none"/>
              </w:rPr>
            </w:pPr>
          </w:p>
        </w:tc>
        <w:tc>
          <w:tcPr>
            <w:tcW w:w="564" w:type="pct"/>
            <w:vAlign w:val="center"/>
          </w:tcPr>
          <w:p w14:paraId="5E8B11EB">
            <w:pPr>
              <w:jc w:val="center"/>
              <w:rPr>
                <w:rFonts w:hint="eastAsia" w:ascii="仿宋" w:hAnsi="仿宋" w:eastAsia="仿宋" w:cs="仿宋"/>
                <w:bCs/>
                <w:color w:val="auto"/>
                <w:sz w:val="24"/>
                <w:szCs w:val="24"/>
                <w:highlight w:val="none"/>
              </w:rPr>
            </w:pPr>
          </w:p>
        </w:tc>
        <w:tc>
          <w:tcPr>
            <w:tcW w:w="556" w:type="pct"/>
            <w:vAlign w:val="center"/>
          </w:tcPr>
          <w:p w14:paraId="4B7DD0B8">
            <w:pPr>
              <w:jc w:val="center"/>
              <w:rPr>
                <w:rFonts w:hint="eastAsia" w:ascii="仿宋" w:hAnsi="仿宋" w:eastAsia="仿宋" w:cs="仿宋"/>
                <w:bCs/>
                <w:color w:val="auto"/>
                <w:sz w:val="24"/>
                <w:szCs w:val="24"/>
                <w:highlight w:val="none"/>
              </w:rPr>
            </w:pPr>
          </w:p>
        </w:tc>
        <w:tc>
          <w:tcPr>
            <w:tcW w:w="556" w:type="pct"/>
            <w:vAlign w:val="center"/>
          </w:tcPr>
          <w:p w14:paraId="36AB3F44">
            <w:pPr>
              <w:jc w:val="center"/>
              <w:rPr>
                <w:rFonts w:hint="eastAsia" w:ascii="仿宋" w:hAnsi="仿宋" w:eastAsia="仿宋" w:cs="仿宋"/>
                <w:bCs/>
                <w:color w:val="auto"/>
                <w:sz w:val="24"/>
                <w:szCs w:val="24"/>
                <w:highlight w:val="none"/>
              </w:rPr>
            </w:pPr>
          </w:p>
        </w:tc>
      </w:tr>
      <w:tr w14:paraId="7130C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7CFA489C">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697" w:type="pct"/>
            <w:vAlign w:val="center"/>
          </w:tcPr>
          <w:p w14:paraId="00878B01">
            <w:pPr>
              <w:jc w:val="center"/>
              <w:rPr>
                <w:rFonts w:hint="eastAsia" w:ascii="仿宋" w:hAnsi="仿宋" w:eastAsia="仿宋" w:cs="仿宋"/>
                <w:bCs/>
                <w:color w:val="auto"/>
                <w:sz w:val="24"/>
                <w:szCs w:val="24"/>
                <w:highlight w:val="none"/>
              </w:rPr>
            </w:pPr>
          </w:p>
        </w:tc>
        <w:tc>
          <w:tcPr>
            <w:tcW w:w="387" w:type="pct"/>
            <w:vAlign w:val="center"/>
          </w:tcPr>
          <w:p w14:paraId="7426C826">
            <w:pPr>
              <w:jc w:val="center"/>
              <w:rPr>
                <w:rFonts w:hint="eastAsia" w:ascii="仿宋" w:hAnsi="仿宋" w:eastAsia="仿宋" w:cs="仿宋"/>
                <w:bCs/>
                <w:color w:val="auto"/>
                <w:sz w:val="24"/>
                <w:szCs w:val="24"/>
                <w:highlight w:val="none"/>
              </w:rPr>
            </w:pPr>
          </w:p>
        </w:tc>
        <w:tc>
          <w:tcPr>
            <w:tcW w:w="512" w:type="pct"/>
            <w:vAlign w:val="center"/>
          </w:tcPr>
          <w:p w14:paraId="5F5D8A28">
            <w:pPr>
              <w:jc w:val="center"/>
              <w:rPr>
                <w:rFonts w:hint="eastAsia" w:ascii="仿宋" w:hAnsi="仿宋" w:eastAsia="仿宋" w:cs="仿宋"/>
                <w:bCs/>
                <w:color w:val="auto"/>
                <w:sz w:val="24"/>
                <w:szCs w:val="24"/>
                <w:highlight w:val="none"/>
              </w:rPr>
            </w:pPr>
          </w:p>
        </w:tc>
        <w:tc>
          <w:tcPr>
            <w:tcW w:w="726" w:type="pct"/>
            <w:vAlign w:val="center"/>
          </w:tcPr>
          <w:p w14:paraId="61C61127">
            <w:pPr>
              <w:jc w:val="center"/>
              <w:rPr>
                <w:rFonts w:hint="eastAsia" w:ascii="仿宋" w:hAnsi="仿宋" w:eastAsia="仿宋" w:cs="仿宋"/>
                <w:bCs/>
                <w:color w:val="auto"/>
                <w:sz w:val="24"/>
                <w:szCs w:val="24"/>
                <w:highlight w:val="none"/>
              </w:rPr>
            </w:pPr>
          </w:p>
        </w:tc>
        <w:tc>
          <w:tcPr>
            <w:tcW w:w="556" w:type="pct"/>
            <w:vAlign w:val="center"/>
          </w:tcPr>
          <w:p w14:paraId="38061DB7">
            <w:pPr>
              <w:jc w:val="center"/>
              <w:rPr>
                <w:rFonts w:hint="eastAsia" w:ascii="仿宋" w:hAnsi="仿宋" w:eastAsia="仿宋" w:cs="仿宋"/>
                <w:bCs/>
                <w:color w:val="auto"/>
                <w:sz w:val="24"/>
                <w:szCs w:val="24"/>
                <w:highlight w:val="none"/>
              </w:rPr>
            </w:pPr>
          </w:p>
        </w:tc>
        <w:tc>
          <w:tcPr>
            <w:tcW w:w="564" w:type="pct"/>
            <w:vAlign w:val="center"/>
          </w:tcPr>
          <w:p w14:paraId="21FB1BDD">
            <w:pPr>
              <w:jc w:val="center"/>
              <w:rPr>
                <w:rFonts w:hint="eastAsia" w:ascii="仿宋" w:hAnsi="仿宋" w:eastAsia="仿宋" w:cs="仿宋"/>
                <w:bCs/>
                <w:color w:val="auto"/>
                <w:sz w:val="24"/>
                <w:szCs w:val="24"/>
                <w:highlight w:val="none"/>
              </w:rPr>
            </w:pPr>
          </w:p>
        </w:tc>
        <w:tc>
          <w:tcPr>
            <w:tcW w:w="556" w:type="pct"/>
            <w:vAlign w:val="center"/>
          </w:tcPr>
          <w:p w14:paraId="4AC38DFA">
            <w:pPr>
              <w:jc w:val="center"/>
              <w:rPr>
                <w:rFonts w:hint="eastAsia" w:ascii="仿宋" w:hAnsi="仿宋" w:eastAsia="仿宋" w:cs="仿宋"/>
                <w:bCs/>
                <w:color w:val="auto"/>
                <w:sz w:val="24"/>
                <w:szCs w:val="24"/>
                <w:highlight w:val="none"/>
              </w:rPr>
            </w:pPr>
          </w:p>
        </w:tc>
        <w:tc>
          <w:tcPr>
            <w:tcW w:w="556" w:type="pct"/>
            <w:vAlign w:val="center"/>
          </w:tcPr>
          <w:p w14:paraId="20DED560">
            <w:pPr>
              <w:jc w:val="center"/>
              <w:rPr>
                <w:rFonts w:hint="eastAsia" w:ascii="仿宋" w:hAnsi="仿宋" w:eastAsia="仿宋" w:cs="仿宋"/>
                <w:bCs/>
                <w:color w:val="auto"/>
                <w:sz w:val="24"/>
                <w:szCs w:val="24"/>
                <w:highlight w:val="none"/>
              </w:rPr>
            </w:pPr>
          </w:p>
        </w:tc>
      </w:tr>
      <w:tr w14:paraId="649FB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41D693B2">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p>
        </w:tc>
        <w:tc>
          <w:tcPr>
            <w:tcW w:w="697" w:type="pct"/>
            <w:vAlign w:val="center"/>
          </w:tcPr>
          <w:p w14:paraId="2FDA6546">
            <w:pPr>
              <w:jc w:val="center"/>
              <w:rPr>
                <w:rFonts w:hint="eastAsia" w:ascii="仿宋" w:hAnsi="仿宋" w:eastAsia="仿宋" w:cs="仿宋"/>
                <w:bCs/>
                <w:color w:val="auto"/>
                <w:sz w:val="24"/>
                <w:szCs w:val="24"/>
                <w:highlight w:val="none"/>
              </w:rPr>
            </w:pPr>
          </w:p>
        </w:tc>
        <w:tc>
          <w:tcPr>
            <w:tcW w:w="387" w:type="pct"/>
            <w:vAlign w:val="center"/>
          </w:tcPr>
          <w:p w14:paraId="04F8DEF3">
            <w:pPr>
              <w:jc w:val="center"/>
              <w:rPr>
                <w:rFonts w:hint="eastAsia" w:ascii="仿宋" w:hAnsi="仿宋" w:eastAsia="仿宋" w:cs="仿宋"/>
                <w:bCs/>
                <w:color w:val="auto"/>
                <w:sz w:val="24"/>
                <w:szCs w:val="24"/>
                <w:highlight w:val="none"/>
              </w:rPr>
            </w:pPr>
          </w:p>
        </w:tc>
        <w:tc>
          <w:tcPr>
            <w:tcW w:w="512" w:type="pct"/>
            <w:vAlign w:val="center"/>
          </w:tcPr>
          <w:p w14:paraId="274A9DC4">
            <w:pPr>
              <w:jc w:val="center"/>
              <w:rPr>
                <w:rFonts w:hint="eastAsia" w:ascii="仿宋" w:hAnsi="仿宋" w:eastAsia="仿宋" w:cs="仿宋"/>
                <w:bCs/>
                <w:color w:val="auto"/>
                <w:sz w:val="24"/>
                <w:szCs w:val="24"/>
                <w:highlight w:val="none"/>
              </w:rPr>
            </w:pPr>
          </w:p>
        </w:tc>
        <w:tc>
          <w:tcPr>
            <w:tcW w:w="726" w:type="pct"/>
            <w:vAlign w:val="center"/>
          </w:tcPr>
          <w:p w14:paraId="30AC98EA">
            <w:pPr>
              <w:jc w:val="center"/>
              <w:rPr>
                <w:rFonts w:hint="eastAsia" w:ascii="仿宋" w:hAnsi="仿宋" w:eastAsia="仿宋" w:cs="仿宋"/>
                <w:bCs/>
                <w:color w:val="auto"/>
                <w:sz w:val="24"/>
                <w:szCs w:val="24"/>
                <w:highlight w:val="none"/>
              </w:rPr>
            </w:pPr>
          </w:p>
        </w:tc>
        <w:tc>
          <w:tcPr>
            <w:tcW w:w="556" w:type="pct"/>
            <w:vAlign w:val="center"/>
          </w:tcPr>
          <w:p w14:paraId="5FCF1B94">
            <w:pPr>
              <w:jc w:val="center"/>
              <w:rPr>
                <w:rFonts w:hint="eastAsia" w:ascii="仿宋" w:hAnsi="仿宋" w:eastAsia="仿宋" w:cs="仿宋"/>
                <w:bCs/>
                <w:color w:val="auto"/>
                <w:sz w:val="24"/>
                <w:szCs w:val="24"/>
                <w:highlight w:val="none"/>
              </w:rPr>
            </w:pPr>
          </w:p>
        </w:tc>
        <w:tc>
          <w:tcPr>
            <w:tcW w:w="564" w:type="pct"/>
            <w:vAlign w:val="center"/>
          </w:tcPr>
          <w:p w14:paraId="09300349">
            <w:pPr>
              <w:jc w:val="center"/>
              <w:rPr>
                <w:rFonts w:hint="eastAsia" w:ascii="仿宋" w:hAnsi="仿宋" w:eastAsia="仿宋" w:cs="仿宋"/>
                <w:bCs/>
                <w:color w:val="auto"/>
                <w:sz w:val="24"/>
                <w:szCs w:val="24"/>
                <w:highlight w:val="none"/>
              </w:rPr>
            </w:pPr>
          </w:p>
        </w:tc>
        <w:tc>
          <w:tcPr>
            <w:tcW w:w="556" w:type="pct"/>
            <w:vAlign w:val="center"/>
          </w:tcPr>
          <w:p w14:paraId="1EBFE1F5">
            <w:pPr>
              <w:jc w:val="center"/>
              <w:rPr>
                <w:rFonts w:hint="eastAsia" w:ascii="仿宋" w:hAnsi="仿宋" w:eastAsia="仿宋" w:cs="仿宋"/>
                <w:bCs/>
                <w:color w:val="auto"/>
                <w:sz w:val="24"/>
                <w:szCs w:val="24"/>
                <w:highlight w:val="none"/>
              </w:rPr>
            </w:pPr>
          </w:p>
        </w:tc>
        <w:tc>
          <w:tcPr>
            <w:tcW w:w="556" w:type="pct"/>
            <w:vAlign w:val="center"/>
          </w:tcPr>
          <w:p w14:paraId="106B3133">
            <w:pPr>
              <w:jc w:val="center"/>
              <w:rPr>
                <w:rFonts w:hint="eastAsia" w:ascii="仿宋" w:hAnsi="仿宋" w:eastAsia="仿宋" w:cs="仿宋"/>
                <w:bCs/>
                <w:color w:val="auto"/>
                <w:sz w:val="24"/>
                <w:szCs w:val="24"/>
                <w:highlight w:val="none"/>
              </w:rPr>
            </w:pPr>
          </w:p>
        </w:tc>
      </w:tr>
      <w:tr w14:paraId="273AA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trPr>
        <w:tc>
          <w:tcPr>
            <w:tcW w:w="3887" w:type="pct"/>
            <w:gridSpan w:val="7"/>
            <w:vAlign w:val="center"/>
          </w:tcPr>
          <w:p w14:paraId="402A0B1B">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合计</w:t>
            </w:r>
          </w:p>
        </w:tc>
        <w:tc>
          <w:tcPr>
            <w:tcW w:w="556" w:type="pct"/>
            <w:vAlign w:val="center"/>
          </w:tcPr>
          <w:p w14:paraId="7FDD65A2">
            <w:pPr>
              <w:jc w:val="center"/>
              <w:rPr>
                <w:rFonts w:hint="eastAsia" w:ascii="仿宋" w:hAnsi="仿宋" w:eastAsia="仿宋" w:cs="仿宋"/>
                <w:bCs/>
                <w:color w:val="auto"/>
                <w:sz w:val="24"/>
                <w:szCs w:val="24"/>
                <w:highlight w:val="none"/>
              </w:rPr>
            </w:pPr>
          </w:p>
        </w:tc>
        <w:tc>
          <w:tcPr>
            <w:tcW w:w="556" w:type="pct"/>
            <w:vAlign w:val="center"/>
          </w:tcPr>
          <w:p w14:paraId="79DC6793">
            <w:pPr>
              <w:jc w:val="center"/>
              <w:rPr>
                <w:rFonts w:hint="eastAsia" w:ascii="仿宋" w:hAnsi="仿宋" w:eastAsia="仿宋" w:cs="仿宋"/>
                <w:bCs/>
                <w:color w:val="auto"/>
                <w:sz w:val="24"/>
                <w:szCs w:val="24"/>
                <w:highlight w:val="none"/>
              </w:rPr>
            </w:pPr>
          </w:p>
        </w:tc>
      </w:tr>
    </w:tbl>
    <w:p w14:paraId="3CC37DEB">
      <w:pPr>
        <w:spacing w:line="360" w:lineRule="auto"/>
        <w:jc w:val="left"/>
        <w:rPr>
          <w:rFonts w:hint="eastAsia" w:ascii="仿宋" w:hAnsi="仿宋" w:eastAsia="仿宋" w:cs="仿宋"/>
          <w:color w:val="auto"/>
          <w:sz w:val="24"/>
          <w:szCs w:val="24"/>
          <w:highlight w:val="none"/>
        </w:rPr>
      </w:pPr>
    </w:p>
    <w:p w14:paraId="3B7B5DB5">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63FEBE7F">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sz w:val="24"/>
          <w:szCs w:val="24"/>
          <w:highlight w:val="none"/>
        </w:rPr>
        <w:t>标的名称</w:t>
      </w:r>
      <w:r>
        <w:rPr>
          <w:rFonts w:hint="eastAsia" w:ascii="仿宋" w:hAnsi="仿宋" w:eastAsia="仿宋" w:cs="仿宋"/>
          <w:color w:val="auto"/>
          <w:sz w:val="24"/>
          <w:szCs w:val="24"/>
          <w:highlight w:val="none"/>
        </w:rPr>
        <w:t>和数量应按照第四章“技术标准和要求”内容填写。</w:t>
      </w:r>
    </w:p>
    <w:p w14:paraId="7C930C91">
      <w:pPr>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kern w:val="0"/>
          <w:sz w:val="24"/>
          <w:szCs w:val="24"/>
          <w:highlight w:val="none"/>
        </w:rPr>
        <w:t>投标价格应包括投标人履行本项目合同（如果中标）所必须的所有成本费用</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人工</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采购、仓储、保险</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运输、</w:t>
      </w:r>
      <w:r>
        <w:rPr>
          <w:rFonts w:hint="eastAsia" w:ascii="仿宋" w:hAnsi="仿宋" w:eastAsia="仿宋" w:cs="仿宋"/>
          <w:color w:val="auto"/>
          <w:kern w:val="0"/>
          <w:sz w:val="24"/>
          <w:szCs w:val="24"/>
          <w:highlight w:val="none"/>
          <w:lang w:val="en-US" w:eastAsia="zh-CN"/>
        </w:rPr>
        <w:t>安装、调试、</w:t>
      </w:r>
      <w:r>
        <w:rPr>
          <w:rFonts w:hint="eastAsia" w:ascii="仿宋" w:hAnsi="仿宋" w:eastAsia="仿宋" w:cs="仿宋"/>
          <w:color w:val="auto"/>
          <w:kern w:val="0"/>
          <w:sz w:val="24"/>
          <w:szCs w:val="24"/>
          <w:highlight w:val="none"/>
        </w:rPr>
        <w:t>培训、技术文档编制</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质保、售后服务等）</w:t>
      </w:r>
      <w:r>
        <w:rPr>
          <w:rFonts w:hint="eastAsia" w:ascii="仿宋" w:hAnsi="仿宋" w:eastAsia="仿宋" w:cs="仿宋"/>
          <w:color w:val="auto"/>
          <w:kern w:val="0"/>
          <w:sz w:val="24"/>
          <w:szCs w:val="24"/>
          <w:highlight w:val="none"/>
        </w:rPr>
        <w:t>和中标人应承担的一切税费；未列和没有填写的项目费用，采购人将视为已包括在投标价格中。</w:t>
      </w:r>
    </w:p>
    <w:p w14:paraId="7DDD179D">
      <w:pPr>
        <w:spacing w:line="360" w:lineRule="auto"/>
        <w:jc w:val="left"/>
        <w:rPr>
          <w:rFonts w:hint="eastAsia" w:ascii="仿宋" w:hAnsi="仿宋" w:eastAsia="仿宋" w:cs="仿宋"/>
          <w:color w:val="auto"/>
          <w:kern w:val="0"/>
          <w:sz w:val="24"/>
          <w:szCs w:val="24"/>
          <w:highlight w:val="none"/>
        </w:rPr>
      </w:pPr>
    </w:p>
    <w:p w14:paraId="24D3CC29">
      <w:pPr>
        <w:spacing w:line="360" w:lineRule="auto"/>
        <w:jc w:val="left"/>
        <w:rPr>
          <w:rFonts w:hint="eastAsia" w:ascii="仿宋" w:hAnsi="仿宋" w:eastAsia="仿宋" w:cs="仿宋"/>
          <w:color w:val="auto"/>
          <w:kern w:val="0"/>
          <w:sz w:val="24"/>
          <w:szCs w:val="24"/>
          <w:highlight w:val="none"/>
        </w:rPr>
      </w:pPr>
    </w:p>
    <w:p w14:paraId="35B4872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7CCBFE3A">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6D94A8E0">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521A263">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54AAE0E4">
      <w:pPr>
        <w:pStyle w:val="37"/>
        <w:rPr>
          <w:color w:val="auto"/>
          <w:highlight w:val="none"/>
        </w:rPr>
      </w:pPr>
    </w:p>
    <w:p w14:paraId="30BAA12B">
      <w:pPr>
        <w:widowControl/>
        <w:shd w:val="clear" w:color="auto" w:fill="FFFFFF"/>
        <w:wordWrap w:val="0"/>
        <w:snapToGrid w:val="0"/>
        <w:spacing w:line="384" w:lineRule="auto"/>
        <w:ind w:firstLine="420"/>
        <w:jc w:val="right"/>
        <w:rPr>
          <w:rFonts w:ascii="仿宋" w:hAnsi="仿宋" w:eastAsia="仿宋" w:cs="仿宋"/>
          <w:color w:val="auto"/>
          <w:kern w:val="0"/>
          <w:sz w:val="24"/>
          <w:szCs w:val="24"/>
          <w:highlight w:val="none"/>
        </w:rPr>
      </w:pPr>
    </w:p>
    <w:p w14:paraId="78427B30">
      <w:pPr>
        <w:tabs>
          <w:tab w:val="center" w:pos="4832"/>
          <w:tab w:val="left" w:pos="7140"/>
        </w:tabs>
        <w:jc w:val="center"/>
        <w:outlineLvl w:val="1"/>
        <w:rPr>
          <w:rFonts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bookmarkStart w:id="95" w:name="_Toc110707968"/>
      <w:bookmarkStart w:id="96" w:name="_Toc130252618"/>
      <w:bookmarkStart w:id="97" w:name="_Toc109921161"/>
      <w:bookmarkStart w:id="98" w:name="_Toc30686"/>
      <w:bookmarkStart w:id="99" w:name="_Toc17089"/>
      <w:bookmarkStart w:id="100" w:name="_Toc109941768"/>
      <w:bookmarkStart w:id="101" w:name="_Toc31164"/>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、商务条款偏离表</w:t>
      </w:r>
      <w:bookmarkEnd w:id="95"/>
      <w:bookmarkEnd w:id="96"/>
      <w:bookmarkEnd w:id="97"/>
      <w:bookmarkEnd w:id="98"/>
      <w:bookmarkEnd w:id="99"/>
      <w:bookmarkEnd w:id="100"/>
      <w:bookmarkEnd w:id="101"/>
    </w:p>
    <w:p w14:paraId="0162C82C">
      <w:pPr>
        <w:rPr>
          <w:rFonts w:ascii="仿宋" w:hAnsi="仿宋" w:eastAsia="仿宋" w:cs="仿宋"/>
          <w:color w:val="auto"/>
          <w:highlight w:val="none"/>
        </w:rPr>
      </w:pPr>
    </w:p>
    <w:tbl>
      <w:tblPr>
        <w:tblStyle w:val="38"/>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2070"/>
        <w:gridCol w:w="2052"/>
        <w:gridCol w:w="2126"/>
        <w:gridCol w:w="1985"/>
      </w:tblGrid>
      <w:tr w14:paraId="0E905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349C7B33">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2070" w:type="dxa"/>
            <w:vAlign w:val="center"/>
          </w:tcPr>
          <w:p w14:paraId="0F1E5F1F">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招标文件条目号</w:t>
            </w:r>
          </w:p>
        </w:tc>
        <w:tc>
          <w:tcPr>
            <w:tcW w:w="2052" w:type="dxa"/>
            <w:vAlign w:val="center"/>
          </w:tcPr>
          <w:p w14:paraId="67FDA229">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招标文件的商务条款</w:t>
            </w:r>
          </w:p>
        </w:tc>
        <w:tc>
          <w:tcPr>
            <w:tcW w:w="2126" w:type="dxa"/>
            <w:vAlign w:val="center"/>
          </w:tcPr>
          <w:p w14:paraId="699A4DED">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投标文件的商务条款</w:t>
            </w:r>
          </w:p>
        </w:tc>
        <w:tc>
          <w:tcPr>
            <w:tcW w:w="1985" w:type="dxa"/>
            <w:vAlign w:val="center"/>
          </w:tcPr>
          <w:p w14:paraId="66C62B63">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说明</w:t>
            </w:r>
          </w:p>
        </w:tc>
      </w:tr>
      <w:tr w14:paraId="2BA8B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50775C28">
            <w:pPr>
              <w:jc w:val="center"/>
              <w:rPr>
                <w:rFonts w:ascii="仿宋" w:hAnsi="仿宋" w:eastAsia="仿宋" w:cs="仿宋"/>
                <w:b/>
                <w:bCs/>
                <w:color w:val="auto"/>
                <w:sz w:val="24"/>
                <w:szCs w:val="24"/>
                <w:highlight w:val="none"/>
              </w:rPr>
            </w:pPr>
          </w:p>
        </w:tc>
        <w:tc>
          <w:tcPr>
            <w:tcW w:w="2070" w:type="dxa"/>
          </w:tcPr>
          <w:p w14:paraId="4F035DCD">
            <w:pPr>
              <w:jc w:val="center"/>
              <w:rPr>
                <w:rFonts w:ascii="仿宋" w:hAnsi="仿宋" w:eastAsia="仿宋" w:cs="仿宋"/>
                <w:b/>
                <w:bCs/>
                <w:color w:val="auto"/>
                <w:sz w:val="24"/>
                <w:szCs w:val="24"/>
                <w:highlight w:val="none"/>
              </w:rPr>
            </w:pPr>
          </w:p>
        </w:tc>
        <w:tc>
          <w:tcPr>
            <w:tcW w:w="2052" w:type="dxa"/>
          </w:tcPr>
          <w:p w14:paraId="3E127D70">
            <w:pPr>
              <w:jc w:val="center"/>
              <w:rPr>
                <w:rFonts w:ascii="仿宋" w:hAnsi="仿宋" w:eastAsia="仿宋" w:cs="仿宋"/>
                <w:b/>
                <w:bCs/>
                <w:color w:val="auto"/>
                <w:sz w:val="24"/>
                <w:szCs w:val="24"/>
                <w:highlight w:val="none"/>
              </w:rPr>
            </w:pPr>
          </w:p>
        </w:tc>
        <w:tc>
          <w:tcPr>
            <w:tcW w:w="2126" w:type="dxa"/>
          </w:tcPr>
          <w:p w14:paraId="3370CB8C">
            <w:pPr>
              <w:jc w:val="center"/>
              <w:rPr>
                <w:rFonts w:ascii="仿宋" w:hAnsi="仿宋" w:eastAsia="仿宋" w:cs="仿宋"/>
                <w:b/>
                <w:bCs/>
                <w:color w:val="auto"/>
                <w:sz w:val="24"/>
                <w:szCs w:val="24"/>
                <w:highlight w:val="none"/>
              </w:rPr>
            </w:pPr>
          </w:p>
        </w:tc>
        <w:tc>
          <w:tcPr>
            <w:tcW w:w="1985" w:type="dxa"/>
          </w:tcPr>
          <w:p w14:paraId="6D1F016C">
            <w:pPr>
              <w:jc w:val="center"/>
              <w:rPr>
                <w:rFonts w:ascii="仿宋" w:hAnsi="仿宋" w:eastAsia="仿宋" w:cs="仿宋"/>
                <w:b/>
                <w:bCs/>
                <w:color w:val="auto"/>
                <w:sz w:val="24"/>
                <w:szCs w:val="24"/>
                <w:highlight w:val="none"/>
              </w:rPr>
            </w:pPr>
          </w:p>
        </w:tc>
      </w:tr>
      <w:tr w14:paraId="3F839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jc w:val="center"/>
        </w:trPr>
        <w:tc>
          <w:tcPr>
            <w:tcW w:w="806" w:type="dxa"/>
          </w:tcPr>
          <w:p w14:paraId="1FBDB120">
            <w:pPr>
              <w:jc w:val="center"/>
              <w:rPr>
                <w:rFonts w:ascii="仿宋" w:hAnsi="仿宋" w:eastAsia="仿宋" w:cs="仿宋"/>
                <w:b/>
                <w:bCs/>
                <w:color w:val="auto"/>
                <w:sz w:val="24"/>
                <w:szCs w:val="24"/>
                <w:highlight w:val="none"/>
              </w:rPr>
            </w:pPr>
          </w:p>
        </w:tc>
        <w:tc>
          <w:tcPr>
            <w:tcW w:w="2070" w:type="dxa"/>
          </w:tcPr>
          <w:p w14:paraId="04F79203">
            <w:pPr>
              <w:jc w:val="center"/>
              <w:rPr>
                <w:rFonts w:ascii="仿宋" w:hAnsi="仿宋" w:eastAsia="仿宋" w:cs="仿宋"/>
                <w:b/>
                <w:bCs/>
                <w:color w:val="auto"/>
                <w:sz w:val="24"/>
                <w:szCs w:val="24"/>
                <w:highlight w:val="none"/>
              </w:rPr>
            </w:pPr>
          </w:p>
        </w:tc>
        <w:tc>
          <w:tcPr>
            <w:tcW w:w="2052" w:type="dxa"/>
          </w:tcPr>
          <w:p w14:paraId="6CCFBB30">
            <w:pPr>
              <w:jc w:val="center"/>
              <w:rPr>
                <w:rFonts w:ascii="仿宋" w:hAnsi="仿宋" w:eastAsia="仿宋" w:cs="仿宋"/>
                <w:b/>
                <w:bCs/>
                <w:color w:val="auto"/>
                <w:sz w:val="24"/>
                <w:szCs w:val="24"/>
                <w:highlight w:val="none"/>
              </w:rPr>
            </w:pPr>
          </w:p>
        </w:tc>
        <w:tc>
          <w:tcPr>
            <w:tcW w:w="2126" w:type="dxa"/>
          </w:tcPr>
          <w:p w14:paraId="1E4FDFEB">
            <w:pPr>
              <w:jc w:val="center"/>
              <w:rPr>
                <w:rFonts w:ascii="仿宋" w:hAnsi="仿宋" w:eastAsia="仿宋" w:cs="仿宋"/>
                <w:b/>
                <w:bCs/>
                <w:color w:val="auto"/>
                <w:sz w:val="24"/>
                <w:szCs w:val="24"/>
                <w:highlight w:val="none"/>
              </w:rPr>
            </w:pPr>
          </w:p>
        </w:tc>
        <w:tc>
          <w:tcPr>
            <w:tcW w:w="1985" w:type="dxa"/>
          </w:tcPr>
          <w:p w14:paraId="202FD2B3">
            <w:pPr>
              <w:jc w:val="center"/>
              <w:rPr>
                <w:rFonts w:ascii="仿宋" w:hAnsi="仿宋" w:eastAsia="仿宋" w:cs="仿宋"/>
                <w:b/>
                <w:bCs/>
                <w:color w:val="auto"/>
                <w:sz w:val="24"/>
                <w:szCs w:val="24"/>
                <w:highlight w:val="none"/>
              </w:rPr>
            </w:pPr>
          </w:p>
        </w:tc>
      </w:tr>
      <w:tr w14:paraId="4992E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9343520">
            <w:pPr>
              <w:jc w:val="center"/>
              <w:rPr>
                <w:rFonts w:ascii="仿宋" w:hAnsi="仿宋" w:eastAsia="仿宋" w:cs="仿宋"/>
                <w:b/>
                <w:bCs/>
                <w:color w:val="auto"/>
                <w:sz w:val="24"/>
                <w:szCs w:val="24"/>
                <w:highlight w:val="none"/>
              </w:rPr>
            </w:pPr>
          </w:p>
        </w:tc>
        <w:tc>
          <w:tcPr>
            <w:tcW w:w="2070" w:type="dxa"/>
          </w:tcPr>
          <w:p w14:paraId="44B384CD">
            <w:pPr>
              <w:jc w:val="center"/>
              <w:rPr>
                <w:rFonts w:ascii="仿宋" w:hAnsi="仿宋" w:eastAsia="仿宋" w:cs="仿宋"/>
                <w:b/>
                <w:bCs/>
                <w:color w:val="auto"/>
                <w:sz w:val="24"/>
                <w:szCs w:val="24"/>
                <w:highlight w:val="none"/>
              </w:rPr>
            </w:pPr>
          </w:p>
        </w:tc>
        <w:tc>
          <w:tcPr>
            <w:tcW w:w="2052" w:type="dxa"/>
          </w:tcPr>
          <w:p w14:paraId="49690099">
            <w:pPr>
              <w:jc w:val="center"/>
              <w:rPr>
                <w:rFonts w:ascii="仿宋" w:hAnsi="仿宋" w:eastAsia="仿宋" w:cs="仿宋"/>
                <w:b/>
                <w:bCs/>
                <w:color w:val="auto"/>
                <w:sz w:val="24"/>
                <w:szCs w:val="24"/>
                <w:highlight w:val="none"/>
              </w:rPr>
            </w:pPr>
          </w:p>
        </w:tc>
        <w:tc>
          <w:tcPr>
            <w:tcW w:w="2126" w:type="dxa"/>
          </w:tcPr>
          <w:p w14:paraId="6BD872CB">
            <w:pPr>
              <w:jc w:val="center"/>
              <w:rPr>
                <w:rFonts w:ascii="仿宋" w:hAnsi="仿宋" w:eastAsia="仿宋" w:cs="仿宋"/>
                <w:b/>
                <w:bCs/>
                <w:color w:val="auto"/>
                <w:sz w:val="24"/>
                <w:szCs w:val="24"/>
                <w:highlight w:val="none"/>
              </w:rPr>
            </w:pPr>
          </w:p>
        </w:tc>
        <w:tc>
          <w:tcPr>
            <w:tcW w:w="1985" w:type="dxa"/>
          </w:tcPr>
          <w:p w14:paraId="3206220B">
            <w:pPr>
              <w:jc w:val="center"/>
              <w:rPr>
                <w:rFonts w:ascii="仿宋" w:hAnsi="仿宋" w:eastAsia="仿宋" w:cs="仿宋"/>
                <w:b/>
                <w:bCs/>
                <w:color w:val="auto"/>
                <w:sz w:val="24"/>
                <w:szCs w:val="24"/>
                <w:highlight w:val="none"/>
              </w:rPr>
            </w:pPr>
          </w:p>
        </w:tc>
      </w:tr>
      <w:tr w14:paraId="3EC4D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150C956B">
            <w:pPr>
              <w:jc w:val="center"/>
              <w:rPr>
                <w:rFonts w:ascii="仿宋" w:hAnsi="仿宋" w:eastAsia="仿宋" w:cs="仿宋"/>
                <w:b/>
                <w:bCs/>
                <w:color w:val="auto"/>
                <w:sz w:val="24"/>
                <w:szCs w:val="24"/>
                <w:highlight w:val="none"/>
              </w:rPr>
            </w:pPr>
          </w:p>
        </w:tc>
        <w:tc>
          <w:tcPr>
            <w:tcW w:w="2070" w:type="dxa"/>
          </w:tcPr>
          <w:p w14:paraId="029E056F">
            <w:pPr>
              <w:jc w:val="center"/>
              <w:rPr>
                <w:rFonts w:ascii="仿宋" w:hAnsi="仿宋" w:eastAsia="仿宋" w:cs="仿宋"/>
                <w:b/>
                <w:bCs/>
                <w:color w:val="auto"/>
                <w:sz w:val="24"/>
                <w:szCs w:val="24"/>
                <w:highlight w:val="none"/>
              </w:rPr>
            </w:pPr>
          </w:p>
        </w:tc>
        <w:tc>
          <w:tcPr>
            <w:tcW w:w="2052" w:type="dxa"/>
          </w:tcPr>
          <w:p w14:paraId="7FDA3284">
            <w:pPr>
              <w:jc w:val="center"/>
              <w:rPr>
                <w:rFonts w:ascii="仿宋" w:hAnsi="仿宋" w:eastAsia="仿宋" w:cs="仿宋"/>
                <w:b/>
                <w:bCs/>
                <w:color w:val="auto"/>
                <w:sz w:val="24"/>
                <w:szCs w:val="24"/>
                <w:highlight w:val="none"/>
              </w:rPr>
            </w:pPr>
          </w:p>
        </w:tc>
        <w:tc>
          <w:tcPr>
            <w:tcW w:w="2126" w:type="dxa"/>
          </w:tcPr>
          <w:p w14:paraId="31E53C58">
            <w:pPr>
              <w:jc w:val="center"/>
              <w:rPr>
                <w:rFonts w:ascii="仿宋" w:hAnsi="仿宋" w:eastAsia="仿宋" w:cs="仿宋"/>
                <w:b/>
                <w:bCs/>
                <w:color w:val="auto"/>
                <w:sz w:val="24"/>
                <w:szCs w:val="24"/>
                <w:highlight w:val="none"/>
              </w:rPr>
            </w:pPr>
          </w:p>
        </w:tc>
        <w:tc>
          <w:tcPr>
            <w:tcW w:w="1985" w:type="dxa"/>
          </w:tcPr>
          <w:p w14:paraId="1B966EF7">
            <w:pPr>
              <w:jc w:val="center"/>
              <w:rPr>
                <w:rFonts w:ascii="仿宋" w:hAnsi="仿宋" w:eastAsia="仿宋" w:cs="仿宋"/>
                <w:b/>
                <w:bCs/>
                <w:color w:val="auto"/>
                <w:sz w:val="24"/>
                <w:szCs w:val="24"/>
                <w:highlight w:val="none"/>
              </w:rPr>
            </w:pPr>
          </w:p>
        </w:tc>
      </w:tr>
      <w:tr w14:paraId="71586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051945C">
            <w:pPr>
              <w:jc w:val="center"/>
              <w:rPr>
                <w:rFonts w:ascii="仿宋" w:hAnsi="仿宋" w:eastAsia="仿宋" w:cs="仿宋"/>
                <w:b/>
                <w:bCs/>
                <w:color w:val="auto"/>
                <w:sz w:val="24"/>
                <w:szCs w:val="24"/>
                <w:highlight w:val="none"/>
              </w:rPr>
            </w:pPr>
          </w:p>
        </w:tc>
        <w:tc>
          <w:tcPr>
            <w:tcW w:w="2070" w:type="dxa"/>
          </w:tcPr>
          <w:p w14:paraId="374C833B">
            <w:pPr>
              <w:jc w:val="center"/>
              <w:rPr>
                <w:rFonts w:ascii="仿宋" w:hAnsi="仿宋" w:eastAsia="仿宋" w:cs="仿宋"/>
                <w:b/>
                <w:bCs/>
                <w:color w:val="auto"/>
                <w:sz w:val="24"/>
                <w:szCs w:val="24"/>
                <w:highlight w:val="none"/>
              </w:rPr>
            </w:pPr>
          </w:p>
        </w:tc>
        <w:tc>
          <w:tcPr>
            <w:tcW w:w="2052" w:type="dxa"/>
          </w:tcPr>
          <w:p w14:paraId="1DF8036B">
            <w:pPr>
              <w:jc w:val="center"/>
              <w:rPr>
                <w:rFonts w:ascii="仿宋" w:hAnsi="仿宋" w:eastAsia="仿宋" w:cs="仿宋"/>
                <w:b/>
                <w:bCs/>
                <w:color w:val="auto"/>
                <w:sz w:val="24"/>
                <w:szCs w:val="24"/>
                <w:highlight w:val="none"/>
              </w:rPr>
            </w:pPr>
          </w:p>
        </w:tc>
        <w:tc>
          <w:tcPr>
            <w:tcW w:w="2126" w:type="dxa"/>
          </w:tcPr>
          <w:p w14:paraId="1B447AA1">
            <w:pPr>
              <w:jc w:val="center"/>
              <w:rPr>
                <w:rFonts w:ascii="仿宋" w:hAnsi="仿宋" w:eastAsia="仿宋" w:cs="仿宋"/>
                <w:b/>
                <w:bCs/>
                <w:color w:val="auto"/>
                <w:sz w:val="24"/>
                <w:szCs w:val="24"/>
                <w:highlight w:val="none"/>
              </w:rPr>
            </w:pPr>
          </w:p>
        </w:tc>
        <w:tc>
          <w:tcPr>
            <w:tcW w:w="1985" w:type="dxa"/>
          </w:tcPr>
          <w:p w14:paraId="2DC73C01">
            <w:pPr>
              <w:jc w:val="center"/>
              <w:rPr>
                <w:rFonts w:ascii="仿宋" w:hAnsi="仿宋" w:eastAsia="仿宋" w:cs="仿宋"/>
                <w:b/>
                <w:bCs/>
                <w:color w:val="auto"/>
                <w:sz w:val="24"/>
                <w:szCs w:val="24"/>
                <w:highlight w:val="none"/>
              </w:rPr>
            </w:pPr>
          </w:p>
        </w:tc>
      </w:tr>
    </w:tbl>
    <w:p w14:paraId="49012061">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注：投标人商务条款有差异的，则在此表中列明实际响应的内容提要并加以说明，以便查对。无差异说明表示完全响应。</w:t>
      </w:r>
    </w:p>
    <w:p w14:paraId="3003BD03">
      <w:pPr>
        <w:spacing w:line="360" w:lineRule="auto"/>
        <w:jc w:val="left"/>
        <w:rPr>
          <w:rFonts w:ascii="仿宋" w:hAnsi="仿宋" w:eastAsia="仿宋" w:cs="仿宋"/>
          <w:color w:val="auto"/>
          <w:sz w:val="24"/>
          <w:szCs w:val="24"/>
          <w:highlight w:val="none"/>
        </w:rPr>
      </w:pPr>
    </w:p>
    <w:p w14:paraId="5EF2B85F">
      <w:pPr>
        <w:spacing w:line="360" w:lineRule="auto"/>
        <w:jc w:val="left"/>
        <w:rPr>
          <w:rFonts w:ascii="仿宋" w:hAnsi="仿宋" w:eastAsia="仿宋" w:cs="仿宋"/>
          <w:color w:val="auto"/>
          <w:sz w:val="24"/>
          <w:szCs w:val="24"/>
          <w:highlight w:val="none"/>
        </w:rPr>
      </w:pPr>
    </w:p>
    <w:p w14:paraId="18D89416">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77066243">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175E88AC">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4FA24E3">
      <w:pPr>
        <w:widowControl/>
        <w:shd w:val="clear" w:color="auto" w:fill="FFFFFF"/>
        <w:wordWrap w:val="0"/>
        <w:snapToGrid w:val="0"/>
        <w:spacing w:line="384" w:lineRule="auto"/>
        <w:ind w:firstLine="420"/>
        <w:jc w:val="righ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300F4448">
      <w:pPr>
        <w:rPr>
          <w:rFonts w:ascii="仿宋" w:hAnsi="仿宋" w:eastAsia="仿宋" w:cs="仿宋"/>
          <w:color w:val="auto"/>
          <w:sz w:val="24"/>
          <w:szCs w:val="24"/>
          <w:highlight w:val="none"/>
        </w:rPr>
      </w:pPr>
      <w:r>
        <w:rPr>
          <w:rFonts w:hint="eastAsia" w:ascii="仿宋" w:hAnsi="仿宋" w:eastAsia="仿宋" w:cs="仿宋"/>
          <w:b/>
          <w:bCs/>
          <w:color w:val="auto"/>
          <w:kern w:val="36"/>
          <w:sz w:val="24"/>
          <w:szCs w:val="24"/>
          <w:highlight w:val="none"/>
        </w:rPr>
        <w:br w:type="page"/>
      </w:r>
    </w:p>
    <w:p w14:paraId="5700CD52">
      <w:pPr>
        <w:widowControl/>
        <w:jc w:val="left"/>
        <w:rPr>
          <w:rFonts w:ascii="仿宋" w:hAnsi="仿宋" w:eastAsia="仿宋" w:cs="仿宋"/>
          <w:color w:val="auto"/>
          <w:sz w:val="24"/>
          <w:szCs w:val="24"/>
          <w:highlight w:val="none"/>
        </w:rPr>
      </w:pPr>
    </w:p>
    <w:p w14:paraId="171E0C6B">
      <w:pPr>
        <w:tabs>
          <w:tab w:val="center" w:pos="4832"/>
          <w:tab w:val="left" w:pos="7140"/>
        </w:tabs>
        <w:jc w:val="center"/>
        <w:outlineLvl w:val="1"/>
        <w:rPr>
          <w:rFonts w:ascii="仿宋" w:hAnsi="仿宋" w:eastAsia="仿宋" w:cs="仿宋"/>
          <w:b/>
          <w:color w:val="auto"/>
          <w:sz w:val="24"/>
          <w:szCs w:val="24"/>
          <w:highlight w:val="none"/>
        </w:rPr>
      </w:pPr>
      <w:bookmarkStart w:id="102" w:name="_Toc109921160"/>
      <w:bookmarkStart w:id="103" w:name="_Toc27420"/>
      <w:bookmarkStart w:id="104" w:name="_Toc32330"/>
      <w:bookmarkStart w:id="105" w:name="_Toc110707967"/>
      <w:bookmarkStart w:id="106" w:name="_Toc130252617"/>
      <w:bookmarkStart w:id="107" w:name="_Toc6958"/>
      <w:bookmarkStart w:id="108" w:name="_Toc109941767"/>
      <w:r>
        <w:rPr>
          <w:rFonts w:hint="eastAsia" w:ascii="仿宋" w:hAnsi="仿宋" w:eastAsia="仿宋" w:cs="仿宋"/>
          <w:b/>
          <w:color w:val="auto"/>
          <w:sz w:val="24"/>
          <w:szCs w:val="24"/>
          <w:highlight w:val="none"/>
          <w:lang w:val="en-US" w:eastAsia="zh-CN"/>
        </w:rPr>
        <w:t>五</w:t>
      </w:r>
      <w:r>
        <w:rPr>
          <w:rFonts w:hint="eastAsia" w:ascii="仿宋" w:hAnsi="仿宋" w:eastAsia="仿宋" w:cs="仿宋"/>
          <w:b/>
          <w:color w:val="auto"/>
          <w:sz w:val="24"/>
          <w:szCs w:val="24"/>
          <w:highlight w:val="none"/>
        </w:rPr>
        <w:t>、技术条款偏离表</w:t>
      </w:r>
      <w:bookmarkEnd w:id="102"/>
      <w:bookmarkEnd w:id="103"/>
      <w:bookmarkEnd w:id="104"/>
      <w:bookmarkEnd w:id="105"/>
      <w:bookmarkEnd w:id="106"/>
      <w:bookmarkEnd w:id="107"/>
      <w:bookmarkEnd w:id="108"/>
    </w:p>
    <w:tbl>
      <w:tblPr>
        <w:tblStyle w:val="38"/>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2070"/>
        <w:gridCol w:w="2052"/>
        <w:gridCol w:w="2126"/>
        <w:gridCol w:w="1985"/>
      </w:tblGrid>
      <w:tr w14:paraId="732E8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3640345F">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2070" w:type="dxa"/>
            <w:vAlign w:val="center"/>
          </w:tcPr>
          <w:p w14:paraId="6838F4AE">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招标文件条目号</w:t>
            </w:r>
          </w:p>
        </w:tc>
        <w:tc>
          <w:tcPr>
            <w:tcW w:w="2052" w:type="dxa"/>
            <w:vAlign w:val="center"/>
          </w:tcPr>
          <w:p w14:paraId="520E867D">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招标文件的技术条款</w:t>
            </w:r>
          </w:p>
        </w:tc>
        <w:tc>
          <w:tcPr>
            <w:tcW w:w="2126" w:type="dxa"/>
            <w:vAlign w:val="center"/>
          </w:tcPr>
          <w:p w14:paraId="3F0CCEE5">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投标文件的技术条款</w:t>
            </w:r>
          </w:p>
        </w:tc>
        <w:tc>
          <w:tcPr>
            <w:tcW w:w="1985" w:type="dxa"/>
            <w:vAlign w:val="center"/>
          </w:tcPr>
          <w:p w14:paraId="5A5D33F0">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说明</w:t>
            </w:r>
          </w:p>
        </w:tc>
      </w:tr>
      <w:tr w14:paraId="661DC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D432912">
            <w:pPr>
              <w:jc w:val="center"/>
              <w:rPr>
                <w:rFonts w:ascii="仿宋" w:hAnsi="仿宋" w:eastAsia="仿宋" w:cs="仿宋"/>
                <w:b/>
                <w:bCs/>
                <w:color w:val="auto"/>
                <w:sz w:val="24"/>
                <w:szCs w:val="24"/>
                <w:highlight w:val="none"/>
              </w:rPr>
            </w:pPr>
          </w:p>
        </w:tc>
        <w:tc>
          <w:tcPr>
            <w:tcW w:w="2070" w:type="dxa"/>
          </w:tcPr>
          <w:p w14:paraId="097A5DB8">
            <w:pPr>
              <w:jc w:val="center"/>
              <w:rPr>
                <w:rFonts w:ascii="仿宋" w:hAnsi="仿宋" w:eastAsia="仿宋" w:cs="仿宋"/>
                <w:b/>
                <w:bCs/>
                <w:color w:val="auto"/>
                <w:sz w:val="24"/>
                <w:szCs w:val="24"/>
                <w:highlight w:val="none"/>
              </w:rPr>
            </w:pPr>
          </w:p>
        </w:tc>
        <w:tc>
          <w:tcPr>
            <w:tcW w:w="2052" w:type="dxa"/>
          </w:tcPr>
          <w:p w14:paraId="4CF621FE">
            <w:pPr>
              <w:jc w:val="center"/>
              <w:rPr>
                <w:rFonts w:ascii="仿宋" w:hAnsi="仿宋" w:eastAsia="仿宋" w:cs="仿宋"/>
                <w:b/>
                <w:bCs/>
                <w:color w:val="auto"/>
                <w:sz w:val="24"/>
                <w:szCs w:val="24"/>
                <w:highlight w:val="none"/>
              </w:rPr>
            </w:pPr>
          </w:p>
        </w:tc>
        <w:tc>
          <w:tcPr>
            <w:tcW w:w="2126" w:type="dxa"/>
          </w:tcPr>
          <w:p w14:paraId="6FC4A5FF">
            <w:pPr>
              <w:jc w:val="center"/>
              <w:rPr>
                <w:rFonts w:ascii="仿宋" w:hAnsi="仿宋" w:eastAsia="仿宋" w:cs="仿宋"/>
                <w:b/>
                <w:bCs/>
                <w:color w:val="auto"/>
                <w:sz w:val="24"/>
                <w:szCs w:val="24"/>
                <w:highlight w:val="none"/>
              </w:rPr>
            </w:pPr>
          </w:p>
        </w:tc>
        <w:tc>
          <w:tcPr>
            <w:tcW w:w="1985" w:type="dxa"/>
          </w:tcPr>
          <w:p w14:paraId="6B88D602">
            <w:pPr>
              <w:jc w:val="center"/>
              <w:rPr>
                <w:rFonts w:ascii="仿宋" w:hAnsi="仿宋" w:eastAsia="仿宋" w:cs="仿宋"/>
                <w:b/>
                <w:bCs/>
                <w:color w:val="auto"/>
                <w:sz w:val="24"/>
                <w:szCs w:val="24"/>
                <w:highlight w:val="none"/>
              </w:rPr>
            </w:pPr>
          </w:p>
        </w:tc>
      </w:tr>
      <w:tr w14:paraId="45BF6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4EE941D8">
            <w:pPr>
              <w:jc w:val="center"/>
              <w:rPr>
                <w:rFonts w:ascii="仿宋" w:hAnsi="仿宋" w:eastAsia="仿宋" w:cs="仿宋"/>
                <w:b/>
                <w:bCs/>
                <w:color w:val="auto"/>
                <w:sz w:val="24"/>
                <w:szCs w:val="24"/>
                <w:highlight w:val="none"/>
              </w:rPr>
            </w:pPr>
          </w:p>
        </w:tc>
        <w:tc>
          <w:tcPr>
            <w:tcW w:w="2070" w:type="dxa"/>
          </w:tcPr>
          <w:p w14:paraId="2BAD935D">
            <w:pPr>
              <w:jc w:val="center"/>
              <w:rPr>
                <w:rFonts w:ascii="仿宋" w:hAnsi="仿宋" w:eastAsia="仿宋" w:cs="仿宋"/>
                <w:b/>
                <w:bCs/>
                <w:color w:val="auto"/>
                <w:sz w:val="24"/>
                <w:szCs w:val="24"/>
                <w:highlight w:val="none"/>
              </w:rPr>
            </w:pPr>
          </w:p>
        </w:tc>
        <w:tc>
          <w:tcPr>
            <w:tcW w:w="2052" w:type="dxa"/>
          </w:tcPr>
          <w:p w14:paraId="1DD567B7">
            <w:pPr>
              <w:jc w:val="center"/>
              <w:rPr>
                <w:rFonts w:ascii="仿宋" w:hAnsi="仿宋" w:eastAsia="仿宋" w:cs="仿宋"/>
                <w:b/>
                <w:bCs/>
                <w:color w:val="auto"/>
                <w:sz w:val="24"/>
                <w:szCs w:val="24"/>
                <w:highlight w:val="none"/>
              </w:rPr>
            </w:pPr>
          </w:p>
        </w:tc>
        <w:tc>
          <w:tcPr>
            <w:tcW w:w="2126" w:type="dxa"/>
          </w:tcPr>
          <w:p w14:paraId="54BBBB46">
            <w:pPr>
              <w:jc w:val="center"/>
              <w:rPr>
                <w:rFonts w:ascii="仿宋" w:hAnsi="仿宋" w:eastAsia="仿宋" w:cs="仿宋"/>
                <w:b/>
                <w:bCs/>
                <w:color w:val="auto"/>
                <w:sz w:val="24"/>
                <w:szCs w:val="24"/>
                <w:highlight w:val="none"/>
              </w:rPr>
            </w:pPr>
          </w:p>
        </w:tc>
        <w:tc>
          <w:tcPr>
            <w:tcW w:w="1985" w:type="dxa"/>
          </w:tcPr>
          <w:p w14:paraId="35FC40E3">
            <w:pPr>
              <w:jc w:val="center"/>
              <w:rPr>
                <w:rFonts w:ascii="仿宋" w:hAnsi="仿宋" w:eastAsia="仿宋" w:cs="仿宋"/>
                <w:b/>
                <w:bCs/>
                <w:color w:val="auto"/>
                <w:sz w:val="24"/>
                <w:szCs w:val="24"/>
                <w:highlight w:val="none"/>
              </w:rPr>
            </w:pPr>
          </w:p>
        </w:tc>
      </w:tr>
      <w:tr w14:paraId="03679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64563316">
            <w:pPr>
              <w:jc w:val="center"/>
              <w:rPr>
                <w:rFonts w:ascii="仿宋" w:hAnsi="仿宋" w:eastAsia="仿宋" w:cs="仿宋"/>
                <w:b/>
                <w:bCs/>
                <w:color w:val="auto"/>
                <w:sz w:val="24"/>
                <w:szCs w:val="24"/>
                <w:highlight w:val="none"/>
              </w:rPr>
            </w:pPr>
          </w:p>
        </w:tc>
        <w:tc>
          <w:tcPr>
            <w:tcW w:w="2070" w:type="dxa"/>
          </w:tcPr>
          <w:p w14:paraId="764B1A3B">
            <w:pPr>
              <w:jc w:val="center"/>
              <w:rPr>
                <w:rFonts w:ascii="仿宋" w:hAnsi="仿宋" w:eastAsia="仿宋" w:cs="仿宋"/>
                <w:b/>
                <w:bCs/>
                <w:color w:val="auto"/>
                <w:sz w:val="24"/>
                <w:szCs w:val="24"/>
                <w:highlight w:val="none"/>
              </w:rPr>
            </w:pPr>
          </w:p>
        </w:tc>
        <w:tc>
          <w:tcPr>
            <w:tcW w:w="2052" w:type="dxa"/>
          </w:tcPr>
          <w:p w14:paraId="5CC0AA24">
            <w:pPr>
              <w:jc w:val="center"/>
              <w:rPr>
                <w:rFonts w:ascii="仿宋" w:hAnsi="仿宋" w:eastAsia="仿宋" w:cs="仿宋"/>
                <w:b/>
                <w:bCs/>
                <w:color w:val="auto"/>
                <w:sz w:val="24"/>
                <w:szCs w:val="24"/>
                <w:highlight w:val="none"/>
              </w:rPr>
            </w:pPr>
          </w:p>
        </w:tc>
        <w:tc>
          <w:tcPr>
            <w:tcW w:w="2126" w:type="dxa"/>
          </w:tcPr>
          <w:p w14:paraId="4A5FD38B">
            <w:pPr>
              <w:jc w:val="center"/>
              <w:rPr>
                <w:rFonts w:ascii="仿宋" w:hAnsi="仿宋" w:eastAsia="仿宋" w:cs="仿宋"/>
                <w:b/>
                <w:bCs/>
                <w:color w:val="auto"/>
                <w:sz w:val="24"/>
                <w:szCs w:val="24"/>
                <w:highlight w:val="none"/>
              </w:rPr>
            </w:pPr>
          </w:p>
        </w:tc>
        <w:tc>
          <w:tcPr>
            <w:tcW w:w="1985" w:type="dxa"/>
          </w:tcPr>
          <w:p w14:paraId="4EACF583">
            <w:pPr>
              <w:jc w:val="center"/>
              <w:rPr>
                <w:rFonts w:ascii="仿宋" w:hAnsi="仿宋" w:eastAsia="仿宋" w:cs="仿宋"/>
                <w:b/>
                <w:bCs/>
                <w:color w:val="auto"/>
                <w:sz w:val="24"/>
                <w:szCs w:val="24"/>
                <w:highlight w:val="none"/>
              </w:rPr>
            </w:pPr>
          </w:p>
        </w:tc>
      </w:tr>
      <w:tr w14:paraId="630AE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jc w:val="center"/>
        </w:trPr>
        <w:tc>
          <w:tcPr>
            <w:tcW w:w="806" w:type="dxa"/>
          </w:tcPr>
          <w:p w14:paraId="6B0C7DA4">
            <w:pPr>
              <w:jc w:val="center"/>
              <w:rPr>
                <w:rFonts w:ascii="仿宋" w:hAnsi="仿宋" w:eastAsia="仿宋" w:cs="仿宋"/>
                <w:b/>
                <w:bCs/>
                <w:color w:val="auto"/>
                <w:sz w:val="24"/>
                <w:szCs w:val="24"/>
                <w:highlight w:val="none"/>
              </w:rPr>
            </w:pPr>
          </w:p>
        </w:tc>
        <w:tc>
          <w:tcPr>
            <w:tcW w:w="2070" w:type="dxa"/>
          </w:tcPr>
          <w:p w14:paraId="0DA7AD72">
            <w:pPr>
              <w:jc w:val="center"/>
              <w:rPr>
                <w:rFonts w:ascii="仿宋" w:hAnsi="仿宋" w:eastAsia="仿宋" w:cs="仿宋"/>
                <w:b/>
                <w:bCs/>
                <w:color w:val="auto"/>
                <w:sz w:val="24"/>
                <w:szCs w:val="24"/>
                <w:highlight w:val="none"/>
              </w:rPr>
            </w:pPr>
          </w:p>
        </w:tc>
        <w:tc>
          <w:tcPr>
            <w:tcW w:w="2052" w:type="dxa"/>
          </w:tcPr>
          <w:p w14:paraId="54E4C0B9">
            <w:pPr>
              <w:jc w:val="center"/>
              <w:rPr>
                <w:rFonts w:ascii="仿宋" w:hAnsi="仿宋" w:eastAsia="仿宋" w:cs="仿宋"/>
                <w:b/>
                <w:bCs/>
                <w:color w:val="auto"/>
                <w:sz w:val="24"/>
                <w:szCs w:val="24"/>
                <w:highlight w:val="none"/>
              </w:rPr>
            </w:pPr>
          </w:p>
        </w:tc>
        <w:tc>
          <w:tcPr>
            <w:tcW w:w="2126" w:type="dxa"/>
          </w:tcPr>
          <w:p w14:paraId="2E4D53FA">
            <w:pPr>
              <w:jc w:val="center"/>
              <w:rPr>
                <w:rFonts w:ascii="仿宋" w:hAnsi="仿宋" w:eastAsia="仿宋" w:cs="仿宋"/>
                <w:b/>
                <w:bCs/>
                <w:color w:val="auto"/>
                <w:sz w:val="24"/>
                <w:szCs w:val="24"/>
                <w:highlight w:val="none"/>
              </w:rPr>
            </w:pPr>
          </w:p>
        </w:tc>
        <w:tc>
          <w:tcPr>
            <w:tcW w:w="1985" w:type="dxa"/>
          </w:tcPr>
          <w:p w14:paraId="1DBC592F">
            <w:pPr>
              <w:jc w:val="center"/>
              <w:rPr>
                <w:rFonts w:ascii="仿宋" w:hAnsi="仿宋" w:eastAsia="仿宋" w:cs="仿宋"/>
                <w:b/>
                <w:bCs/>
                <w:color w:val="auto"/>
                <w:sz w:val="24"/>
                <w:szCs w:val="24"/>
                <w:highlight w:val="none"/>
              </w:rPr>
            </w:pPr>
          </w:p>
        </w:tc>
      </w:tr>
      <w:tr w14:paraId="2B5BA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5A2584E5">
            <w:pPr>
              <w:jc w:val="center"/>
              <w:rPr>
                <w:rFonts w:ascii="仿宋" w:hAnsi="仿宋" w:eastAsia="仿宋" w:cs="仿宋"/>
                <w:b/>
                <w:bCs/>
                <w:color w:val="auto"/>
                <w:sz w:val="24"/>
                <w:szCs w:val="24"/>
                <w:highlight w:val="none"/>
              </w:rPr>
            </w:pPr>
          </w:p>
        </w:tc>
        <w:tc>
          <w:tcPr>
            <w:tcW w:w="2070" w:type="dxa"/>
          </w:tcPr>
          <w:p w14:paraId="34366E97">
            <w:pPr>
              <w:jc w:val="center"/>
              <w:rPr>
                <w:rFonts w:ascii="仿宋" w:hAnsi="仿宋" w:eastAsia="仿宋" w:cs="仿宋"/>
                <w:b/>
                <w:bCs/>
                <w:color w:val="auto"/>
                <w:sz w:val="24"/>
                <w:szCs w:val="24"/>
                <w:highlight w:val="none"/>
              </w:rPr>
            </w:pPr>
          </w:p>
        </w:tc>
        <w:tc>
          <w:tcPr>
            <w:tcW w:w="2052" w:type="dxa"/>
          </w:tcPr>
          <w:p w14:paraId="4A996F5B">
            <w:pPr>
              <w:jc w:val="center"/>
              <w:rPr>
                <w:rFonts w:ascii="仿宋" w:hAnsi="仿宋" w:eastAsia="仿宋" w:cs="仿宋"/>
                <w:b/>
                <w:bCs/>
                <w:color w:val="auto"/>
                <w:sz w:val="24"/>
                <w:szCs w:val="24"/>
                <w:highlight w:val="none"/>
              </w:rPr>
            </w:pPr>
          </w:p>
        </w:tc>
        <w:tc>
          <w:tcPr>
            <w:tcW w:w="2126" w:type="dxa"/>
          </w:tcPr>
          <w:p w14:paraId="7F17B445">
            <w:pPr>
              <w:jc w:val="center"/>
              <w:rPr>
                <w:rFonts w:ascii="仿宋" w:hAnsi="仿宋" w:eastAsia="仿宋" w:cs="仿宋"/>
                <w:b/>
                <w:bCs/>
                <w:color w:val="auto"/>
                <w:sz w:val="24"/>
                <w:szCs w:val="24"/>
                <w:highlight w:val="none"/>
              </w:rPr>
            </w:pPr>
          </w:p>
        </w:tc>
        <w:tc>
          <w:tcPr>
            <w:tcW w:w="1985" w:type="dxa"/>
          </w:tcPr>
          <w:p w14:paraId="3D5DEF29">
            <w:pPr>
              <w:jc w:val="center"/>
              <w:rPr>
                <w:rFonts w:ascii="仿宋" w:hAnsi="仿宋" w:eastAsia="仿宋" w:cs="仿宋"/>
                <w:b/>
                <w:bCs/>
                <w:color w:val="auto"/>
                <w:sz w:val="24"/>
                <w:szCs w:val="24"/>
                <w:highlight w:val="none"/>
              </w:rPr>
            </w:pPr>
          </w:p>
        </w:tc>
      </w:tr>
    </w:tbl>
    <w:p w14:paraId="300AB9CE">
      <w:pPr>
        <w:rPr>
          <w:rFonts w:ascii="仿宋" w:hAnsi="仿宋" w:eastAsia="仿宋" w:cs="仿宋"/>
          <w:color w:val="auto"/>
          <w:highlight w:val="none"/>
        </w:rPr>
      </w:pPr>
    </w:p>
    <w:p w14:paraId="487C44D8">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注：投标人技术条款有差异的，则在此表中列明实际响应的内容提要并加以说明，以便查对。无差异说明表示完全响应。</w:t>
      </w:r>
    </w:p>
    <w:p w14:paraId="23E59122">
      <w:pPr>
        <w:spacing w:line="360" w:lineRule="auto"/>
        <w:ind w:firstLine="475" w:firstLineChars="198"/>
        <w:jc w:val="left"/>
        <w:rPr>
          <w:rFonts w:ascii="仿宋" w:hAnsi="仿宋" w:eastAsia="仿宋" w:cs="仿宋"/>
          <w:color w:val="auto"/>
          <w:sz w:val="24"/>
          <w:szCs w:val="24"/>
          <w:highlight w:val="none"/>
        </w:rPr>
      </w:pPr>
    </w:p>
    <w:p w14:paraId="2024D39E">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1B4CEB14">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5BA73140">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41FBD574">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1C9F366E">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B22A247">
      <w:pPr>
        <w:widowControl/>
        <w:shd w:val="clear" w:color="auto" w:fill="FFFFFF"/>
        <w:wordWrap w:val="0"/>
        <w:snapToGrid w:val="0"/>
        <w:spacing w:line="384" w:lineRule="auto"/>
        <w:ind w:firstLine="420"/>
        <w:jc w:val="righ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00EA6B4A">
      <w:pPr>
        <w:tabs>
          <w:tab w:val="center" w:pos="4832"/>
          <w:tab w:val="left" w:pos="7140"/>
        </w:tabs>
        <w:jc w:val="center"/>
        <w:outlineLvl w:val="1"/>
        <w:rPr>
          <w:rFonts w:ascii="仿宋" w:hAnsi="仿宋" w:eastAsia="仿宋" w:cs="仿宋"/>
          <w:b/>
          <w:color w:val="auto"/>
          <w:sz w:val="24"/>
          <w:szCs w:val="24"/>
          <w:highlight w:val="none"/>
        </w:rPr>
      </w:pPr>
      <w:r>
        <w:rPr>
          <w:rFonts w:hint="eastAsia" w:ascii="仿宋" w:hAnsi="仿宋" w:eastAsia="仿宋" w:cs="仿宋"/>
          <w:b/>
          <w:bCs/>
          <w:color w:val="auto"/>
          <w:kern w:val="36"/>
          <w:sz w:val="24"/>
          <w:szCs w:val="24"/>
          <w:highlight w:val="none"/>
        </w:rPr>
        <w:br w:type="page"/>
      </w:r>
      <w:bookmarkStart w:id="109" w:name="_Toc5075"/>
      <w:bookmarkStart w:id="110" w:name="_Toc110707969"/>
      <w:bookmarkStart w:id="111" w:name="_Toc109921162"/>
      <w:bookmarkStart w:id="112" w:name="_Toc130252619"/>
      <w:bookmarkStart w:id="113" w:name="_Toc29249"/>
      <w:bookmarkStart w:id="114" w:name="_Toc2128"/>
      <w:bookmarkStart w:id="115" w:name="_Toc109941769"/>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、法定代表人身份证明书</w:t>
      </w:r>
      <w:bookmarkEnd w:id="109"/>
      <w:bookmarkEnd w:id="110"/>
      <w:bookmarkEnd w:id="111"/>
      <w:bookmarkEnd w:id="112"/>
      <w:bookmarkEnd w:id="113"/>
      <w:bookmarkEnd w:id="114"/>
      <w:bookmarkEnd w:id="115"/>
    </w:p>
    <w:p w14:paraId="0B1BF9B9">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1A8092C8">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 标 人：</w:t>
      </w:r>
      <w:r>
        <w:rPr>
          <w:rFonts w:hint="eastAsia" w:ascii="仿宋" w:hAnsi="仿宋" w:eastAsia="仿宋" w:cs="仿宋"/>
          <w:color w:val="auto"/>
          <w:kern w:val="0"/>
          <w:sz w:val="24"/>
          <w:szCs w:val="24"/>
          <w:highlight w:val="none"/>
          <w:u w:val="single"/>
        </w:rPr>
        <w:t xml:space="preserve">                              </w:t>
      </w:r>
    </w:p>
    <w:p w14:paraId="48BBD02C">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单位性质：</w:t>
      </w:r>
      <w:r>
        <w:rPr>
          <w:rFonts w:hint="eastAsia" w:ascii="仿宋" w:hAnsi="仿宋" w:eastAsia="仿宋" w:cs="仿宋"/>
          <w:color w:val="auto"/>
          <w:kern w:val="0"/>
          <w:sz w:val="24"/>
          <w:szCs w:val="24"/>
          <w:highlight w:val="none"/>
          <w:u w:val="single"/>
        </w:rPr>
        <w:t xml:space="preserve">                              </w:t>
      </w:r>
    </w:p>
    <w:p w14:paraId="277ABE67">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    址：</w:t>
      </w:r>
      <w:r>
        <w:rPr>
          <w:rFonts w:hint="eastAsia" w:ascii="仿宋" w:hAnsi="仿宋" w:eastAsia="仿宋" w:cs="仿宋"/>
          <w:color w:val="auto"/>
          <w:kern w:val="0"/>
          <w:sz w:val="24"/>
          <w:szCs w:val="24"/>
          <w:highlight w:val="none"/>
          <w:u w:val="single"/>
        </w:rPr>
        <w:t xml:space="preserve">                              </w:t>
      </w:r>
    </w:p>
    <w:p w14:paraId="085AE850">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成立时间：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w:t>
      </w:r>
    </w:p>
    <w:p w14:paraId="45100C64">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经营期限：</w:t>
      </w:r>
      <w:r>
        <w:rPr>
          <w:rFonts w:hint="eastAsia" w:ascii="仿宋" w:hAnsi="仿宋" w:eastAsia="仿宋" w:cs="仿宋"/>
          <w:color w:val="auto"/>
          <w:kern w:val="0"/>
          <w:sz w:val="24"/>
          <w:szCs w:val="24"/>
          <w:highlight w:val="none"/>
          <w:u w:val="single"/>
        </w:rPr>
        <w:t xml:space="preserve">                              </w:t>
      </w:r>
    </w:p>
    <w:p w14:paraId="1B3AEE89">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12ECDAE6">
      <w:pPr>
        <w:widowControl/>
        <w:shd w:val="clear" w:color="auto" w:fill="FFFFFF"/>
        <w:snapToGrid w:val="0"/>
        <w:spacing w:line="384"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姓名：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性别：</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职务：</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（投标人名称）的法定代表人。</w:t>
      </w:r>
    </w:p>
    <w:p w14:paraId="0B420275">
      <w:pPr>
        <w:widowControl/>
        <w:shd w:val="clear" w:color="auto" w:fill="FFFFFF"/>
        <w:snapToGrid w:val="0"/>
        <w:spacing w:line="384"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特此证明。</w:t>
      </w:r>
    </w:p>
    <w:p w14:paraId="433D4DB5">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5BD8C5CA">
      <w:pPr>
        <w:widowControl/>
        <w:shd w:val="clear" w:color="auto" w:fill="FFFFFF"/>
        <w:snapToGrid w:val="0"/>
        <w:spacing w:line="384"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附：法定代表人身份证明</w:t>
      </w:r>
    </w:p>
    <w:p w14:paraId="705BC3DC">
      <w:pPr>
        <w:widowControl/>
        <w:shd w:val="clear" w:color="auto" w:fill="FFFFFF"/>
        <w:snapToGrid w:val="0"/>
        <w:spacing w:line="384" w:lineRule="auto"/>
        <w:jc w:val="left"/>
        <w:rPr>
          <w:rFonts w:ascii="仿宋" w:hAnsi="仿宋" w:eastAsia="仿宋" w:cs="仿宋"/>
          <w:color w:val="auto"/>
          <w:kern w:val="0"/>
          <w:sz w:val="24"/>
          <w:szCs w:val="24"/>
          <w:highlight w:val="none"/>
        </w:rPr>
      </w:pPr>
    </w:p>
    <w:tbl>
      <w:tblPr>
        <w:tblStyle w:val="38"/>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0E89B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51EEA739">
            <w:pPr>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法定代表人身份证复印件（正面）</w:t>
            </w:r>
          </w:p>
        </w:tc>
      </w:tr>
    </w:tbl>
    <w:p w14:paraId="63E2D4A0">
      <w:pPr>
        <w:rPr>
          <w:rFonts w:ascii="仿宋" w:hAnsi="仿宋" w:eastAsia="仿宋" w:cs="仿宋"/>
          <w:vanish/>
          <w:color w:val="auto"/>
          <w:highlight w:val="none"/>
        </w:rPr>
      </w:pPr>
    </w:p>
    <w:tbl>
      <w:tblPr>
        <w:tblStyle w:val="38"/>
        <w:tblpPr w:leftFromText="180" w:rightFromText="180" w:vertAnchor="text" w:horzAnchor="page" w:tblpX="571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25118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78F25EAA">
            <w:pPr>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法定代表人身份证复印件（反面）</w:t>
            </w:r>
          </w:p>
        </w:tc>
      </w:tr>
    </w:tbl>
    <w:p w14:paraId="1D20603A">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13B64D99">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021070C8">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17F582F7">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082923E0">
      <w:pPr>
        <w:widowControl/>
        <w:shd w:val="clear" w:color="auto" w:fill="FFFFFF"/>
        <w:wordWrap w:val="0"/>
        <w:snapToGrid w:val="0"/>
        <w:jc w:val="righ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日 </w:t>
      </w:r>
    </w:p>
    <w:p w14:paraId="6808F52F">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11ABF2D5">
      <w:pPr>
        <w:tabs>
          <w:tab w:val="center" w:pos="4832"/>
          <w:tab w:val="left" w:pos="7140"/>
        </w:tabs>
        <w:jc w:val="center"/>
        <w:outlineLvl w:val="1"/>
        <w:rPr>
          <w:rFonts w:ascii="仿宋" w:hAnsi="仿宋" w:eastAsia="仿宋" w:cs="仿宋"/>
          <w:b/>
          <w:color w:val="auto"/>
          <w:sz w:val="24"/>
          <w:szCs w:val="24"/>
          <w:highlight w:val="none"/>
        </w:rPr>
      </w:pPr>
      <w:bookmarkStart w:id="116" w:name="_Toc19364"/>
      <w:bookmarkStart w:id="117" w:name="_Toc29405"/>
      <w:bookmarkStart w:id="118" w:name="_Toc29077"/>
      <w:bookmarkStart w:id="119" w:name="_Toc130252620"/>
      <w:bookmarkStart w:id="120" w:name="_Toc109941770"/>
      <w:bookmarkStart w:id="121" w:name="_Toc110707970"/>
      <w:bookmarkStart w:id="122" w:name="_Toc109921163"/>
      <w:r>
        <w:rPr>
          <w:rFonts w:hint="eastAsia" w:ascii="仿宋" w:hAnsi="仿宋" w:eastAsia="仿宋" w:cs="仿宋"/>
          <w:b/>
          <w:color w:val="auto"/>
          <w:sz w:val="24"/>
          <w:szCs w:val="24"/>
          <w:highlight w:val="none"/>
          <w:lang w:val="en-US" w:eastAsia="zh-CN"/>
        </w:rPr>
        <w:t>七</w:t>
      </w:r>
      <w:r>
        <w:rPr>
          <w:rFonts w:hint="eastAsia" w:ascii="仿宋" w:hAnsi="仿宋" w:eastAsia="仿宋" w:cs="仿宋"/>
          <w:b/>
          <w:color w:val="auto"/>
          <w:sz w:val="24"/>
          <w:szCs w:val="24"/>
          <w:highlight w:val="none"/>
        </w:rPr>
        <w:t>、法定代表人授权委托书</w:t>
      </w:r>
      <w:bookmarkEnd w:id="116"/>
      <w:bookmarkEnd w:id="117"/>
      <w:bookmarkEnd w:id="118"/>
      <w:bookmarkEnd w:id="119"/>
      <w:bookmarkEnd w:id="120"/>
      <w:bookmarkEnd w:id="121"/>
      <w:bookmarkEnd w:id="122"/>
    </w:p>
    <w:p w14:paraId="5AA250C7">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04BEAF2C">
      <w:pPr>
        <w:widowControl/>
        <w:shd w:val="clear" w:color="auto" w:fill="FFFFFF"/>
        <w:snapToGrid w:val="0"/>
        <w:spacing w:line="384"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（姓名）系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（投标人名称）的法定代表人，现拟派我单位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（姓名）为我方委托代理人。委托代理人根据授权，就</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标项</w:t>
      </w:r>
      <w:r>
        <w:rPr>
          <w:rFonts w:hint="eastAsia" w:ascii="仿宋" w:hAnsi="仿宋" w:eastAsia="仿宋" w:cs="仿宋"/>
          <w:color w:val="auto"/>
          <w:kern w:val="0"/>
          <w:sz w:val="24"/>
          <w:szCs w:val="24"/>
          <w:highlight w:val="none"/>
        </w:rPr>
        <w:t>名称）的投标，以本公司名义处理一切与之有关的事务，其法律后果由我方承担。</w:t>
      </w:r>
    </w:p>
    <w:p w14:paraId="5043522E">
      <w:pPr>
        <w:widowControl/>
        <w:shd w:val="clear" w:color="auto" w:fill="FFFFFF"/>
        <w:snapToGrid w:val="0"/>
        <w:spacing w:line="384" w:lineRule="auto"/>
        <w:ind w:firstLine="480" w:firstLineChars="20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代理人：</w:t>
      </w:r>
      <w:r>
        <w:rPr>
          <w:rFonts w:hint="eastAsia" w:ascii="仿宋" w:hAnsi="仿宋" w:eastAsia="仿宋" w:cs="仿宋"/>
          <w:i/>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性别：</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年龄：</w:t>
      </w:r>
      <w:r>
        <w:rPr>
          <w:rFonts w:hint="eastAsia" w:ascii="仿宋" w:hAnsi="仿宋" w:eastAsia="仿宋" w:cs="仿宋"/>
          <w:color w:val="auto"/>
          <w:kern w:val="0"/>
          <w:sz w:val="24"/>
          <w:szCs w:val="24"/>
          <w:highlight w:val="none"/>
          <w:u w:val="single"/>
        </w:rPr>
        <w:t xml:space="preserve">                    </w:t>
      </w:r>
    </w:p>
    <w:p w14:paraId="4E1FBED6">
      <w:pPr>
        <w:widowControl/>
        <w:shd w:val="clear" w:color="auto" w:fill="FFFFFF"/>
        <w:snapToGrid w:val="0"/>
        <w:spacing w:line="384"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  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部门：</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职务：</w:t>
      </w:r>
      <w:r>
        <w:rPr>
          <w:rFonts w:hint="eastAsia" w:ascii="仿宋" w:hAnsi="仿宋" w:eastAsia="仿宋" w:cs="仿宋"/>
          <w:color w:val="auto"/>
          <w:kern w:val="0"/>
          <w:sz w:val="24"/>
          <w:szCs w:val="24"/>
          <w:highlight w:val="none"/>
          <w:u w:val="single"/>
        </w:rPr>
        <w:t xml:space="preserve">                    </w:t>
      </w:r>
    </w:p>
    <w:p w14:paraId="61DBD91B">
      <w:pPr>
        <w:widowControl/>
        <w:shd w:val="clear" w:color="auto" w:fill="FFFFFF"/>
        <w:snapToGrid w:val="0"/>
        <w:spacing w:line="384"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代理人无转委权，特此申明。</w:t>
      </w:r>
    </w:p>
    <w:p w14:paraId="16DCAAB5">
      <w:pPr>
        <w:widowControl/>
        <w:shd w:val="clear" w:color="auto" w:fill="FFFFFF"/>
        <w:snapToGrid w:val="0"/>
        <w:spacing w:line="384" w:lineRule="auto"/>
        <w:ind w:firstLine="480" w:firstLineChars="200"/>
        <w:jc w:val="left"/>
        <w:rPr>
          <w:rFonts w:ascii="仿宋" w:hAnsi="仿宋" w:eastAsia="仿宋" w:cs="仿宋"/>
          <w:color w:val="auto"/>
          <w:kern w:val="0"/>
          <w:sz w:val="24"/>
          <w:szCs w:val="24"/>
          <w:highlight w:val="none"/>
        </w:rPr>
      </w:pPr>
    </w:p>
    <w:p w14:paraId="374D81AA">
      <w:pPr>
        <w:widowControl/>
        <w:shd w:val="clear" w:color="auto" w:fill="FFFFFF"/>
        <w:snapToGrid w:val="0"/>
        <w:spacing w:line="384"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附：委托代理人身份证明。</w:t>
      </w:r>
    </w:p>
    <w:tbl>
      <w:tblPr>
        <w:tblStyle w:val="38"/>
        <w:tblW w:w="3969" w:type="dxa"/>
        <w:tblInd w:w="5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tblGrid>
      <w:tr w14:paraId="45C45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exact"/>
        </w:trPr>
        <w:tc>
          <w:tcPr>
            <w:tcW w:w="3969" w:type="dxa"/>
            <w:vAlign w:val="center"/>
          </w:tcPr>
          <w:p w14:paraId="4B9C522D">
            <w:pPr>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委托代理人身份证复印件（正面）</w:t>
            </w:r>
          </w:p>
        </w:tc>
      </w:tr>
    </w:tbl>
    <w:p w14:paraId="6174F02A">
      <w:pPr>
        <w:rPr>
          <w:rFonts w:ascii="仿宋" w:hAnsi="仿宋" w:eastAsia="仿宋" w:cs="仿宋"/>
          <w:vanish/>
          <w:color w:val="auto"/>
          <w:highlight w:val="none"/>
        </w:rPr>
      </w:pPr>
    </w:p>
    <w:tbl>
      <w:tblPr>
        <w:tblStyle w:val="38"/>
        <w:tblpPr w:leftFromText="180" w:rightFromText="180" w:vertAnchor="text" w:horzAnchor="margin" w:tblpXSpec="right" w:tblpY="-2446"/>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5B376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23C0C667">
            <w:pPr>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委托代理人身份证复印件（反面）</w:t>
            </w:r>
          </w:p>
        </w:tc>
      </w:tr>
    </w:tbl>
    <w:p w14:paraId="61126C27">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56252EBC">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5160C15E">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58C68E1D">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686D9212">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12121308">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0E3F6C39">
      <w:pPr>
        <w:widowControl/>
        <w:shd w:val="clear" w:color="auto" w:fill="FFFFFF"/>
        <w:wordWrap w:val="0"/>
        <w:snapToGrid w:val="0"/>
        <w:spacing w:line="384" w:lineRule="auto"/>
        <w:ind w:firstLine="420"/>
        <w:jc w:val="righ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5F70394F">
      <w:pPr>
        <w:rPr>
          <w:rFonts w:hint="eastAsia" w:ascii="仿宋" w:hAnsi="仿宋" w:eastAsia="仿宋" w:cs="仿宋"/>
          <w:b/>
          <w:color w:val="auto"/>
          <w:sz w:val="24"/>
          <w:szCs w:val="24"/>
          <w:highlight w:val="none"/>
        </w:rPr>
      </w:pPr>
      <w:bookmarkStart w:id="123" w:name="_Toc109941771"/>
      <w:bookmarkStart w:id="124" w:name="_Toc110707971"/>
      <w:bookmarkStart w:id="125" w:name="_Toc109921164"/>
      <w:bookmarkStart w:id="126" w:name="_Toc29422"/>
      <w:bookmarkStart w:id="127" w:name="_Toc130252621"/>
      <w:bookmarkStart w:id="128" w:name="_Toc25783"/>
      <w:bookmarkStart w:id="129" w:name="_Toc358451723"/>
      <w:r>
        <w:rPr>
          <w:rFonts w:hint="eastAsia" w:ascii="仿宋" w:hAnsi="仿宋" w:eastAsia="仿宋" w:cs="仿宋"/>
          <w:b/>
          <w:color w:val="auto"/>
          <w:sz w:val="24"/>
          <w:szCs w:val="24"/>
          <w:highlight w:val="none"/>
        </w:rPr>
        <w:br w:type="page"/>
      </w:r>
    </w:p>
    <w:p w14:paraId="0F2AB068">
      <w:pPr>
        <w:tabs>
          <w:tab w:val="center" w:pos="4832"/>
          <w:tab w:val="left" w:pos="7140"/>
        </w:tabs>
        <w:jc w:val="center"/>
        <w:outlineLvl w:val="1"/>
        <w:rPr>
          <w:rFonts w:ascii="仿宋" w:hAnsi="仿宋" w:eastAsia="仿宋" w:cs="仿宋"/>
          <w:b/>
          <w:color w:val="auto"/>
          <w:sz w:val="24"/>
          <w:szCs w:val="24"/>
          <w:highlight w:val="none"/>
        </w:rPr>
      </w:pPr>
      <w:bookmarkStart w:id="130" w:name="_Toc27209"/>
      <w:r>
        <w:rPr>
          <w:rFonts w:hint="eastAsia" w:ascii="仿宋" w:hAnsi="仿宋" w:eastAsia="仿宋" w:cs="仿宋"/>
          <w:b/>
          <w:color w:val="auto"/>
          <w:sz w:val="24"/>
          <w:szCs w:val="24"/>
          <w:highlight w:val="none"/>
          <w:lang w:val="en-US" w:eastAsia="zh-CN"/>
        </w:rPr>
        <w:t>八</w:t>
      </w:r>
      <w:r>
        <w:rPr>
          <w:rFonts w:hint="eastAsia" w:ascii="仿宋" w:hAnsi="仿宋" w:eastAsia="仿宋" w:cs="仿宋"/>
          <w:b/>
          <w:color w:val="auto"/>
          <w:sz w:val="24"/>
          <w:szCs w:val="24"/>
          <w:highlight w:val="none"/>
        </w:rPr>
        <w:t>、</w:t>
      </w:r>
      <w:bookmarkEnd w:id="123"/>
      <w:bookmarkEnd w:id="124"/>
      <w:bookmarkEnd w:id="125"/>
      <w:r>
        <w:rPr>
          <w:rFonts w:hint="eastAsia" w:ascii="仿宋" w:hAnsi="仿宋" w:eastAsia="仿宋" w:cs="仿宋"/>
          <w:b/>
          <w:bCs/>
          <w:color w:val="auto"/>
          <w:sz w:val="24"/>
          <w:szCs w:val="24"/>
          <w:highlight w:val="none"/>
        </w:rPr>
        <w:t>投标人资格条件证明材料</w:t>
      </w:r>
      <w:bookmarkEnd w:id="126"/>
      <w:bookmarkEnd w:id="127"/>
      <w:bookmarkEnd w:id="128"/>
      <w:bookmarkEnd w:id="130"/>
    </w:p>
    <w:p w14:paraId="733115E0">
      <w:pPr>
        <w:rPr>
          <w:rFonts w:ascii="仿宋" w:hAnsi="仿宋" w:eastAsia="仿宋" w:cs="仿宋"/>
          <w:color w:val="auto"/>
          <w:highlight w:val="none"/>
        </w:rPr>
      </w:pPr>
    </w:p>
    <w:tbl>
      <w:tblPr>
        <w:tblStyle w:val="38"/>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75C35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56DC354">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投标人名称</w:t>
            </w:r>
          </w:p>
        </w:tc>
        <w:tc>
          <w:tcPr>
            <w:tcW w:w="7300" w:type="dxa"/>
            <w:gridSpan w:val="3"/>
            <w:vAlign w:val="center"/>
          </w:tcPr>
          <w:p w14:paraId="09B435E9">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p>
        </w:tc>
      </w:tr>
      <w:tr w14:paraId="42936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EAE3840">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注册地址</w:t>
            </w:r>
          </w:p>
        </w:tc>
        <w:tc>
          <w:tcPr>
            <w:tcW w:w="3165" w:type="dxa"/>
            <w:vAlign w:val="center"/>
          </w:tcPr>
          <w:p w14:paraId="178D7B0A">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p>
        </w:tc>
        <w:tc>
          <w:tcPr>
            <w:tcW w:w="1995" w:type="dxa"/>
            <w:vAlign w:val="center"/>
          </w:tcPr>
          <w:p w14:paraId="6552EF25">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邮政编码</w:t>
            </w:r>
          </w:p>
        </w:tc>
        <w:tc>
          <w:tcPr>
            <w:tcW w:w="2140" w:type="dxa"/>
            <w:vAlign w:val="center"/>
          </w:tcPr>
          <w:p w14:paraId="3A56D532">
            <w:pPr>
              <w:autoSpaceDE w:val="0"/>
              <w:autoSpaceDN w:val="0"/>
              <w:adjustRightInd w:val="0"/>
              <w:snapToGrid w:val="0"/>
              <w:spacing w:line="360" w:lineRule="auto"/>
              <w:jc w:val="center"/>
              <w:rPr>
                <w:rFonts w:ascii="仿宋" w:hAnsi="仿宋" w:eastAsia="仿宋" w:cs="仿宋"/>
                <w:color w:val="auto"/>
                <w:kern w:val="0"/>
                <w:sz w:val="24"/>
                <w:szCs w:val="24"/>
                <w:highlight w:val="none"/>
                <w:shd w:val="clear" w:color="auto" w:fill="FFFFFF" w:themeFill="background1"/>
              </w:rPr>
            </w:pPr>
          </w:p>
        </w:tc>
      </w:tr>
      <w:tr w14:paraId="5AA17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EF54940">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成立时间</w:t>
            </w:r>
          </w:p>
        </w:tc>
        <w:tc>
          <w:tcPr>
            <w:tcW w:w="3165" w:type="dxa"/>
            <w:vAlign w:val="center"/>
          </w:tcPr>
          <w:p w14:paraId="7310E2F9">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p>
        </w:tc>
        <w:tc>
          <w:tcPr>
            <w:tcW w:w="1995" w:type="dxa"/>
            <w:vAlign w:val="center"/>
          </w:tcPr>
          <w:p w14:paraId="07717CF3">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企业性质</w:t>
            </w:r>
          </w:p>
        </w:tc>
        <w:tc>
          <w:tcPr>
            <w:tcW w:w="2140" w:type="dxa"/>
            <w:vAlign w:val="center"/>
          </w:tcPr>
          <w:p w14:paraId="7D8E7343">
            <w:pPr>
              <w:autoSpaceDE w:val="0"/>
              <w:autoSpaceDN w:val="0"/>
              <w:adjustRightInd w:val="0"/>
              <w:snapToGrid w:val="0"/>
              <w:spacing w:line="360" w:lineRule="auto"/>
              <w:jc w:val="center"/>
              <w:rPr>
                <w:rFonts w:ascii="仿宋" w:hAnsi="仿宋" w:eastAsia="仿宋" w:cs="仿宋"/>
                <w:color w:val="auto"/>
                <w:kern w:val="0"/>
                <w:sz w:val="24"/>
                <w:szCs w:val="24"/>
                <w:highlight w:val="none"/>
                <w:shd w:val="clear" w:color="auto" w:fill="FFFFFF" w:themeFill="background1"/>
              </w:rPr>
            </w:pPr>
          </w:p>
        </w:tc>
      </w:tr>
      <w:tr w14:paraId="1380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ADF4A40">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营业执照号</w:t>
            </w:r>
          </w:p>
        </w:tc>
        <w:tc>
          <w:tcPr>
            <w:tcW w:w="3165" w:type="dxa"/>
            <w:vAlign w:val="center"/>
          </w:tcPr>
          <w:p w14:paraId="0BBB4D3E">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p>
        </w:tc>
        <w:tc>
          <w:tcPr>
            <w:tcW w:w="1995" w:type="dxa"/>
            <w:vAlign w:val="center"/>
          </w:tcPr>
          <w:p w14:paraId="6B191D54">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注册资金</w:t>
            </w:r>
          </w:p>
        </w:tc>
        <w:tc>
          <w:tcPr>
            <w:tcW w:w="2140" w:type="dxa"/>
            <w:vAlign w:val="center"/>
          </w:tcPr>
          <w:p w14:paraId="1B3B191F">
            <w:pPr>
              <w:autoSpaceDE w:val="0"/>
              <w:autoSpaceDN w:val="0"/>
              <w:adjustRightInd w:val="0"/>
              <w:snapToGrid w:val="0"/>
              <w:spacing w:line="360" w:lineRule="auto"/>
              <w:jc w:val="center"/>
              <w:rPr>
                <w:rFonts w:ascii="仿宋" w:hAnsi="仿宋" w:eastAsia="仿宋" w:cs="仿宋"/>
                <w:color w:val="auto"/>
                <w:kern w:val="0"/>
                <w:sz w:val="24"/>
                <w:szCs w:val="24"/>
                <w:highlight w:val="none"/>
                <w:shd w:val="clear" w:color="auto" w:fill="FFFFFF" w:themeFill="background1"/>
              </w:rPr>
            </w:pPr>
          </w:p>
        </w:tc>
      </w:tr>
      <w:tr w14:paraId="3055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B866626">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法定代表人</w:t>
            </w:r>
          </w:p>
        </w:tc>
        <w:tc>
          <w:tcPr>
            <w:tcW w:w="3165" w:type="dxa"/>
            <w:vAlign w:val="center"/>
          </w:tcPr>
          <w:p w14:paraId="547E960D">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p>
        </w:tc>
        <w:tc>
          <w:tcPr>
            <w:tcW w:w="1995" w:type="dxa"/>
            <w:vAlign w:val="center"/>
          </w:tcPr>
          <w:p w14:paraId="211389F4">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电话</w:t>
            </w:r>
          </w:p>
        </w:tc>
        <w:tc>
          <w:tcPr>
            <w:tcW w:w="2140" w:type="dxa"/>
            <w:vAlign w:val="center"/>
          </w:tcPr>
          <w:p w14:paraId="6E013371">
            <w:pPr>
              <w:autoSpaceDE w:val="0"/>
              <w:autoSpaceDN w:val="0"/>
              <w:adjustRightInd w:val="0"/>
              <w:snapToGrid w:val="0"/>
              <w:spacing w:line="360" w:lineRule="auto"/>
              <w:jc w:val="center"/>
              <w:rPr>
                <w:rFonts w:ascii="仿宋" w:hAnsi="仿宋" w:eastAsia="仿宋" w:cs="仿宋"/>
                <w:color w:val="auto"/>
                <w:kern w:val="0"/>
                <w:sz w:val="24"/>
                <w:szCs w:val="24"/>
                <w:highlight w:val="none"/>
                <w:shd w:val="clear" w:color="auto" w:fill="FFFFFF" w:themeFill="background1"/>
              </w:rPr>
            </w:pPr>
          </w:p>
        </w:tc>
      </w:tr>
      <w:tr w14:paraId="65501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674E5BA">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联系人</w:t>
            </w:r>
          </w:p>
        </w:tc>
        <w:tc>
          <w:tcPr>
            <w:tcW w:w="3165" w:type="dxa"/>
            <w:vAlign w:val="center"/>
          </w:tcPr>
          <w:p w14:paraId="2BE3327C">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p>
        </w:tc>
        <w:tc>
          <w:tcPr>
            <w:tcW w:w="1995" w:type="dxa"/>
            <w:vAlign w:val="center"/>
          </w:tcPr>
          <w:p w14:paraId="57C1A1EC">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电话</w:t>
            </w:r>
          </w:p>
        </w:tc>
        <w:tc>
          <w:tcPr>
            <w:tcW w:w="2140" w:type="dxa"/>
            <w:vAlign w:val="center"/>
          </w:tcPr>
          <w:p w14:paraId="59422F3F">
            <w:pPr>
              <w:autoSpaceDE w:val="0"/>
              <w:autoSpaceDN w:val="0"/>
              <w:adjustRightInd w:val="0"/>
              <w:snapToGrid w:val="0"/>
              <w:spacing w:line="360" w:lineRule="auto"/>
              <w:jc w:val="center"/>
              <w:rPr>
                <w:rFonts w:ascii="仿宋" w:hAnsi="仿宋" w:eastAsia="仿宋" w:cs="仿宋"/>
                <w:color w:val="auto"/>
                <w:kern w:val="0"/>
                <w:sz w:val="24"/>
                <w:szCs w:val="24"/>
                <w:highlight w:val="none"/>
                <w:shd w:val="clear" w:color="auto" w:fill="FFFFFF" w:themeFill="background1"/>
              </w:rPr>
            </w:pPr>
          </w:p>
        </w:tc>
      </w:tr>
      <w:tr w14:paraId="7027B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70B76EF">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传真</w:t>
            </w:r>
          </w:p>
        </w:tc>
        <w:tc>
          <w:tcPr>
            <w:tcW w:w="3165" w:type="dxa"/>
            <w:vAlign w:val="center"/>
          </w:tcPr>
          <w:p w14:paraId="5D63EE7F">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p>
        </w:tc>
        <w:tc>
          <w:tcPr>
            <w:tcW w:w="1995" w:type="dxa"/>
            <w:vAlign w:val="center"/>
          </w:tcPr>
          <w:p w14:paraId="15B899AD">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网址</w:t>
            </w:r>
          </w:p>
        </w:tc>
        <w:tc>
          <w:tcPr>
            <w:tcW w:w="2140" w:type="dxa"/>
            <w:vAlign w:val="center"/>
          </w:tcPr>
          <w:p w14:paraId="055FBBBE">
            <w:pPr>
              <w:autoSpaceDE w:val="0"/>
              <w:autoSpaceDN w:val="0"/>
              <w:adjustRightInd w:val="0"/>
              <w:snapToGrid w:val="0"/>
              <w:spacing w:line="360" w:lineRule="auto"/>
              <w:jc w:val="center"/>
              <w:rPr>
                <w:rFonts w:ascii="仿宋" w:hAnsi="仿宋" w:eastAsia="仿宋" w:cs="仿宋"/>
                <w:color w:val="auto"/>
                <w:kern w:val="0"/>
                <w:sz w:val="24"/>
                <w:szCs w:val="24"/>
                <w:highlight w:val="none"/>
                <w:shd w:val="clear" w:color="auto" w:fill="FFFFFF" w:themeFill="background1"/>
              </w:rPr>
            </w:pPr>
          </w:p>
        </w:tc>
      </w:tr>
      <w:tr w14:paraId="5658B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986197E">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开户银行</w:t>
            </w:r>
          </w:p>
        </w:tc>
        <w:tc>
          <w:tcPr>
            <w:tcW w:w="3165" w:type="dxa"/>
            <w:vAlign w:val="center"/>
          </w:tcPr>
          <w:p w14:paraId="0ABF32B3">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p>
        </w:tc>
        <w:tc>
          <w:tcPr>
            <w:tcW w:w="1995" w:type="dxa"/>
            <w:vAlign w:val="center"/>
          </w:tcPr>
          <w:p w14:paraId="3238DDA3">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银行帐号</w:t>
            </w:r>
          </w:p>
        </w:tc>
        <w:tc>
          <w:tcPr>
            <w:tcW w:w="2140" w:type="dxa"/>
            <w:vAlign w:val="center"/>
          </w:tcPr>
          <w:p w14:paraId="06F6CDDE">
            <w:pPr>
              <w:autoSpaceDE w:val="0"/>
              <w:autoSpaceDN w:val="0"/>
              <w:adjustRightInd w:val="0"/>
              <w:snapToGrid w:val="0"/>
              <w:spacing w:line="360" w:lineRule="auto"/>
              <w:jc w:val="center"/>
              <w:rPr>
                <w:rFonts w:ascii="仿宋" w:hAnsi="仿宋" w:eastAsia="仿宋" w:cs="仿宋"/>
                <w:color w:val="auto"/>
                <w:kern w:val="0"/>
                <w:sz w:val="24"/>
                <w:szCs w:val="24"/>
                <w:highlight w:val="none"/>
                <w:shd w:val="clear" w:color="auto" w:fill="FFFFFF" w:themeFill="background1"/>
              </w:rPr>
            </w:pPr>
          </w:p>
        </w:tc>
      </w:tr>
      <w:tr w14:paraId="240DD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77B15644">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职工概况</w:t>
            </w:r>
          </w:p>
        </w:tc>
        <w:tc>
          <w:tcPr>
            <w:tcW w:w="7300" w:type="dxa"/>
            <w:gridSpan w:val="3"/>
            <w:vAlign w:val="center"/>
          </w:tcPr>
          <w:p w14:paraId="31B547CE">
            <w:pPr>
              <w:autoSpaceDE w:val="0"/>
              <w:autoSpaceDN w:val="0"/>
              <w:adjustRightInd w:val="0"/>
              <w:snapToGrid w:val="0"/>
              <w:spacing w:line="360" w:lineRule="auto"/>
              <w:jc w:val="center"/>
              <w:rPr>
                <w:rFonts w:ascii="仿宋" w:hAnsi="仿宋" w:eastAsia="仿宋" w:cs="仿宋"/>
                <w:color w:val="auto"/>
                <w:kern w:val="0"/>
                <w:sz w:val="24"/>
                <w:szCs w:val="24"/>
                <w:highlight w:val="none"/>
                <w:shd w:val="clear" w:color="auto" w:fill="FFFFFF" w:themeFill="background1"/>
              </w:rPr>
            </w:pPr>
          </w:p>
        </w:tc>
      </w:tr>
      <w:tr w14:paraId="58884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79E32990">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经营范围</w:t>
            </w:r>
          </w:p>
        </w:tc>
        <w:tc>
          <w:tcPr>
            <w:tcW w:w="7300" w:type="dxa"/>
            <w:gridSpan w:val="3"/>
            <w:vAlign w:val="center"/>
          </w:tcPr>
          <w:p w14:paraId="290FF28D">
            <w:pPr>
              <w:autoSpaceDE w:val="0"/>
              <w:autoSpaceDN w:val="0"/>
              <w:adjustRightInd w:val="0"/>
              <w:snapToGrid w:val="0"/>
              <w:spacing w:line="360" w:lineRule="auto"/>
              <w:jc w:val="center"/>
              <w:rPr>
                <w:rFonts w:ascii="仿宋" w:hAnsi="仿宋" w:eastAsia="仿宋" w:cs="仿宋"/>
                <w:color w:val="auto"/>
                <w:kern w:val="0"/>
                <w:sz w:val="24"/>
                <w:szCs w:val="24"/>
                <w:highlight w:val="none"/>
                <w:shd w:val="clear" w:color="auto" w:fill="FFFFFF" w:themeFill="background1"/>
              </w:rPr>
            </w:pPr>
          </w:p>
        </w:tc>
      </w:tr>
      <w:tr w14:paraId="1013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44DFCE20">
            <w:pPr>
              <w:autoSpaceDE w:val="0"/>
              <w:autoSpaceDN w:val="0"/>
              <w:adjustRightInd w:val="0"/>
              <w:snapToGrid w:val="0"/>
              <w:spacing w:line="52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关联单位</w:t>
            </w:r>
          </w:p>
          <w:p w14:paraId="71D1E523">
            <w:pPr>
              <w:autoSpaceDE w:val="0"/>
              <w:autoSpaceDN w:val="0"/>
              <w:adjustRightInd w:val="0"/>
              <w:snapToGrid w:val="0"/>
              <w:spacing w:line="520" w:lineRule="exact"/>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 w:val="24"/>
                <w:szCs w:val="24"/>
                <w:highlight w:val="none"/>
              </w:rPr>
              <w:t>（如有）</w:t>
            </w:r>
          </w:p>
        </w:tc>
        <w:tc>
          <w:tcPr>
            <w:tcW w:w="7300" w:type="dxa"/>
            <w:gridSpan w:val="3"/>
            <w:vAlign w:val="center"/>
          </w:tcPr>
          <w:p w14:paraId="059EB111">
            <w:pPr>
              <w:autoSpaceDE w:val="0"/>
              <w:autoSpaceDN w:val="0"/>
              <w:adjustRightInd w:val="0"/>
              <w:snapToGrid w:val="0"/>
              <w:spacing w:line="520" w:lineRule="exact"/>
              <w:rPr>
                <w:rFonts w:ascii="仿宋" w:hAnsi="仿宋" w:eastAsia="仿宋" w:cs="仿宋"/>
                <w:color w:val="auto"/>
                <w:kern w:val="0"/>
                <w:sz w:val="24"/>
                <w:szCs w:val="24"/>
                <w:highlight w:val="none"/>
              </w:rPr>
            </w:pPr>
          </w:p>
          <w:p w14:paraId="5A92BFFF">
            <w:pPr>
              <w:autoSpaceDE w:val="0"/>
              <w:autoSpaceDN w:val="0"/>
              <w:adjustRightInd w:val="0"/>
              <w:snapToGrid w:val="0"/>
              <w:spacing w:line="520" w:lineRule="exact"/>
              <w:jc w:val="left"/>
              <w:rPr>
                <w:rFonts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Cs w:val="21"/>
                <w:highlight w:val="none"/>
              </w:rPr>
              <w:t>注：此处关联单位指单位负责人为同一人或者存在直接控股、管理关系的不同单位。</w:t>
            </w:r>
          </w:p>
        </w:tc>
      </w:tr>
    </w:tbl>
    <w:p w14:paraId="3144D186">
      <w:pPr>
        <w:spacing w:line="360" w:lineRule="auto"/>
        <w:jc w:val="left"/>
        <w:rPr>
          <w:rFonts w:ascii="仿宋" w:hAnsi="仿宋" w:eastAsia="仿宋" w:cs="仿宋"/>
          <w:color w:val="auto"/>
          <w:sz w:val="24"/>
          <w:szCs w:val="24"/>
          <w:highlight w:val="none"/>
        </w:rPr>
      </w:pPr>
    </w:p>
    <w:p w14:paraId="423ECF08">
      <w:pPr>
        <w:spacing w:line="360" w:lineRule="auto"/>
        <w:jc w:val="center"/>
        <w:outlineLvl w:val="1"/>
        <w:rPr>
          <w:rFonts w:ascii="仿宋" w:hAnsi="仿宋" w:eastAsia="仿宋" w:cs="仿宋"/>
          <w:b/>
          <w:color w:val="auto"/>
          <w:sz w:val="24"/>
          <w:szCs w:val="24"/>
          <w:highlight w:val="none"/>
        </w:rPr>
      </w:pPr>
      <w:bookmarkStart w:id="131" w:name="_Toc14695"/>
      <w:bookmarkStart w:id="132" w:name="_Toc11980"/>
      <w:bookmarkStart w:id="133" w:name="_Toc130252623"/>
      <w:bookmarkStart w:id="134" w:name="_Toc141050516"/>
      <w:bookmarkStart w:id="135" w:name="_Toc29380"/>
      <w:bookmarkStart w:id="136" w:name="_Toc13140"/>
      <w:bookmarkStart w:id="137" w:name="_Toc13628"/>
      <w:bookmarkStart w:id="138" w:name="_Toc643"/>
      <w:bookmarkStart w:id="139" w:name="_Toc5144"/>
      <w:bookmarkStart w:id="140" w:name="_Toc19961"/>
      <w:bookmarkStart w:id="141" w:name="_Toc128476879"/>
      <w:bookmarkStart w:id="142" w:name="_Toc31943"/>
      <w:bookmarkStart w:id="143" w:name="_Toc28034"/>
      <w:bookmarkStart w:id="144" w:name="_Toc4679"/>
      <w:bookmarkStart w:id="145" w:name="_Toc30664"/>
      <w:bookmarkStart w:id="146" w:name="_Toc23897"/>
      <w:bookmarkStart w:id="147" w:name="_Toc24317"/>
      <w:bookmarkStart w:id="148" w:name="_Toc113901850"/>
      <w:bookmarkStart w:id="149" w:name="_Toc7702"/>
      <w:bookmarkStart w:id="150" w:name="_Toc18158"/>
      <w:r>
        <w:rPr>
          <w:rFonts w:hint="eastAsia" w:ascii="仿宋" w:hAnsi="仿宋" w:eastAsia="仿宋" w:cs="仿宋"/>
          <w:color w:val="auto"/>
          <w:sz w:val="24"/>
          <w:szCs w:val="24"/>
          <w:highlight w:val="none"/>
        </w:rPr>
        <w:br w:type="page"/>
      </w:r>
      <w:bookmarkStart w:id="151" w:name="_Toc56"/>
      <w:bookmarkStart w:id="152" w:name="_Toc128476878"/>
      <w:bookmarkStart w:id="153" w:name="_Toc27784"/>
      <w:bookmarkStart w:id="154" w:name="_Toc7909"/>
      <w:bookmarkStart w:id="155" w:name="_Toc5302"/>
      <w:bookmarkStart w:id="156" w:name="_Toc14445"/>
      <w:bookmarkStart w:id="157" w:name="_Toc22107"/>
      <w:bookmarkStart w:id="158" w:name="_Toc5059"/>
      <w:bookmarkStart w:id="159" w:name="_Toc141050515"/>
      <w:bookmarkStart w:id="160" w:name="_Toc31890"/>
      <w:bookmarkStart w:id="161" w:name="_Toc130252622"/>
      <w:bookmarkStart w:id="162" w:name="_Toc27589"/>
      <w:bookmarkStart w:id="163" w:name="_Toc2553"/>
      <w:bookmarkStart w:id="164" w:name="_Toc8286"/>
      <w:bookmarkStart w:id="165" w:name="_Toc113901849"/>
      <w:bookmarkStart w:id="166" w:name="_Toc7329"/>
      <w:bookmarkStart w:id="167" w:name="_Toc29907"/>
      <w:bookmarkStart w:id="168" w:name="_Toc29449"/>
      <w:bookmarkStart w:id="169" w:name="_Toc26222"/>
      <w:bookmarkStart w:id="170" w:name="_Toc29597"/>
      <w:bookmarkStart w:id="171" w:name="_Toc11265"/>
      <w:bookmarkStart w:id="172" w:name="_Toc5906"/>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.1 法人或者其他组织的营业执照等证明文件，自然人的身份证明</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061F1144">
      <w:pPr>
        <w:spacing w:line="360" w:lineRule="auto"/>
        <w:rPr>
          <w:rFonts w:ascii="仿宋" w:hAnsi="仿宋" w:eastAsia="仿宋" w:cs="仿宋"/>
          <w:color w:val="auto"/>
          <w:sz w:val="24"/>
          <w:szCs w:val="24"/>
          <w:highlight w:val="none"/>
        </w:rPr>
      </w:pPr>
    </w:p>
    <w:p w14:paraId="51AEDEFE">
      <w:pPr>
        <w:spacing w:line="360" w:lineRule="auto"/>
        <w:ind w:firstLine="480" w:firstLineChars="200"/>
        <w:rPr>
          <w:rFonts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一、如</w:t>
      </w:r>
      <w:r>
        <w:rPr>
          <w:rFonts w:hint="eastAsia" w:ascii="仿宋" w:hAnsi="仿宋" w:eastAsia="仿宋" w:cs="仿宋"/>
          <w:color w:val="auto"/>
          <w:sz w:val="24"/>
          <w:szCs w:val="24"/>
          <w:highlight w:val="none"/>
          <w:shd w:val="clear" w:color="auto" w:fill="FFFFFF" w:themeFill="background1"/>
          <w:lang w:eastAsia="zh-CN"/>
        </w:rPr>
        <w:t>投标人</w:t>
      </w:r>
      <w:r>
        <w:rPr>
          <w:rFonts w:hint="eastAsia" w:ascii="仿宋" w:hAnsi="仿宋" w:eastAsia="仿宋" w:cs="仿宋"/>
          <w:color w:val="auto"/>
          <w:sz w:val="24"/>
          <w:szCs w:val="24"/>
          <w:highlight w:val="none"/>
          <w:shd w:val="clear" w:color="auto" w:fill="FFFFFF" w:themeFill="background1"/>
        </w:rPr>
        <w:t>是企业（包括合伙企业)，应提供在工商部门注册的有效“企业法人营业执照”或“营业执照”;</w:t>
      </w:r>
    </w:p>
    <w:p w14:paraId="5055241D">
      <w:pPr>
        <w:spacing w:line="360" w:lineRule="auto"/>
        <w:ind w:firstLine="480" w:firstLineChars="200"/>
        <w:rPr>
          <w:rFonts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二、如</w:t>
      </w:r>
      <w:r>
        <w:rPr>
          <w:rFonts w:hint="eastAsia" w:ascii="仿宋" w:hAnsi="仿宋" w:eastAsia="仿宋" w:cs="仿宋"/>
          <w:color w:val="auto"/>
          <w:sz w:val="24"/>
          <w:szCs w:val="24"/>
          <w:highlight w:val="none"/>
          <w:shd w:val="clear" w:color="auto" w:fill="FFFFFF" w:themeFill="background1"/>
          <w:lang w:eastAsia="zh-CN"/>
        </w:rPr>
        <w:t>投标人</w:t>
      </w:r>
      <w:r>
        <w:rPr>
          <w:rFonts w:hint="eastAsia" w:ascii="仿宋" w:hAnsi="仿宋" w:eastAsia="仿宋" w:cs="仿宋"/>
          <w:color w:val="auto"/>
          <w:sz w:val="24"/>
          <w:szCs w:val="24"/>
          <w:highlight w:val="none"/>
          <w:shd w:val="clear" w:color="auto" w:fill="FFFFFF" w:themeFill="background1"/>
        </w:rPr>
        <w:t>是事业单位，应提供有效的“事业单位法人证书”;</w:t>
      </w:r>
    </w:p>
    <w:p w14:paraId="3FB59AB7">
      <w:pPr>
        <w:spacing w:line="360" w:lineRule="auto"/>
        <w:ind w:firstLine="480" w:firstLineChars="200"/>
        <w:rPr>
          <w:rFonts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三、如</w:t>
      </w:r>
      <w:r>
        <w:rPr>
          <w:rFonts w:hint="eastAsia" w:ascii="仿宋" w:hAnsi="仿宋" w:eastAsia="仿宋" w:cs="仿宋"/>
          <w:color w:val="auto"/>
          <w:sz w:val="24"/>
          <w:szCs w:val="24"/>
          <w:highlight w:val="none"/>
          <w:shd w:val="clear" w:color="auto" w:fill="FFFFFF" w:themeFill="background1"/>
          <w:lang w:eastAsia="zh-CN"/>
        </w:rPr>
        <w:t>投标人</w:t>
      </w:r>
      <w:r>
        <w:rPr>
          <w:rFonts w:hint="eastAsia" w:ascii="仿宋" w:hAnsi="仿宋" w:eastAsia="仿宋" w:cs="仿宋"/>
          <w:color w:val="auto"/>
          <w:sz w:val="24"/>
          <w:szCs w:val="24"/>
          <w:highlight w:val="none"/>
          <w:shd w:val="clear" w:color="auto" w:fill="FFFFFF" w:themeFill="background1"/>
        </w:rPr>
        <w:t>是非企业专业服务机构的，应提供执业许可证等证明文件;</w:t>
      </w:r>
    </w:p>
    <w:p w14:paraId="12BA2A78">
      <w:pPr>
        <w:spacing w:line="360" w:lineRule="auto"/>
        <w:ind w:firstLine="480" w:firstLineChars="200"/>
        <w:rPr>
          <w:rFonts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四、如</w:t>
      </w:r>
      <w:r>
        <w:rPr>
          <w:rFonts w:hint="eastAsia" w:ascii="仿宋" w:hAnsi="仿宋" w:eastAsia="仿宋" w:cs="仿宋"/>
          <w:color w:val="auto"/>
          <w:sz w:val="24"/>
          <w:szCs w:val="24"/>
          <w:highlight w:val="none"/>
          <w:shd w:val="clear" w:color="auto" w:fill="FFFFFF" w:themeFill="background1"/>
          <w:lang w:eastAsia="zh-CN"/>
        </w:rPr>
        <w:t>投标人</w:t>
      </w:r>
      <w:r>
        <w:rPr>
          <w:rFonts w:hint="eastAsia" w:ascii="仿宋" w:hAnsi="仿宋" w:eastAsia="仿宋" w:cs="仿宋"/>
          <w:color w:val="auto"/>
          <w:sz w:val="24"/>
          <w:szCs w:val="24"/>
          <w:highlight w:val="none"/>
          <w:shd w:val="clear" w:color="auto" w:fill="FFFFFF" w:themeFill="background1"/>
        </w:rPr>
        <w:t>是个体工商户，应提供有效的“个体工商户营业执照”;</w:t>
      </w:r>
    </w:p>
    <w:p w14:paraId="640720C1">
      <w:pPr>
        <w:spacing w:line="360" w:lineRule="auto"/>
        <w:ind w:firstLine="480" w:firstLineChars="200"/>
        <w:rPr>
          <w:rFonts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五、如</w:t>
      </w:r>
      <w:r>
        <w:rPr>
          <w:rFonts w:hint="eastAsia" w:ascii="仿宋" w:hAnsi="仿宋" w:eastAsia="仿宋" w:cs="仿宋"/>
          <w:color w:val="auto"/>
          <w:sz w:val="24"/>
          <w:szCs w:val="24"/>
          <w:highlight w:val="none"/>
          <w:shd w:val="clear" w:color="auto" w:fill="FFFFFF" w:themeFill="background1"/>
          <w:lang w:eastAsia="zh-CN"/>
        </w:rPr>
        <w:t>投标人</w:t>
      </w:r>
      <w:r>
        <w:rPr>
          <w:rFonts w:hint="eastAsia" w:ascii="仿宋" w:hAnsi="仿宋" w:eastAsia="仿宋" w:cs="仿宋"/>
          <w:color w:val="auto"/>
          <w:sz w:val="24"/>
          <w:szCs w:val="24"/>
          <w:highlight w:val="none"/>
          <w:shd w:val="clear" w:color="auto" w:fill="FFFFFF" w:themeFill="background1"/>
        </w:rPr>
        <w:t>是自然人，应提供有效的自然人身份证明。</w:t>
      </w:r>
    </w:p>
    <w:p w14:paraId="03178122">
      <w:pPr>
        <w:spacing w:line="360" w:lineRule="auto"/>
        <w:rPr>
          <w:rFonts w:ascii="仿宋" w:hAnsi="仿宋" w:eastAsia="仿宋" w:cs="仿宋"/>
          <w:color w:val="auto"/>
          <w:sz w:val="24"/>
          <w:szCs w:val="24"/>
          <w:highlight w:val="none"/>
        </w:rPr>
      </w:pPr>
    </w:p>
    <w:p w14:paraId="0D4DAC6E">
      <w:pPr>
        <w:spacing w:line="360" w:lineRule="auto"/>
        <w:rPr>
          <w:rFonts w:ascii="仿宋" w:hAnsi="仿宋" w:eastAsia="仿宋" w:cs="仿宋"/>
          <w:color w:val="auto"/>
          <w:sz w:val="24"/>
          <w:szCs w:val="24"/>
          <w:highlight w:val="none"/>
        </w:rPr>
      </w:pPr>
    </w:p>
    <w:p w14:paraId="25235B88">
      <w:pPr>
        <w:widowControl/>
        <w:spacing w:line="360" w:lineRule="auto"/>
        <w:jc w:val="left"/>
        <w:rPr>
          <w:rFonts w:ascii="仿宋" w:hAnsi="仿宋" w:eastAsia="仿宋" w:cs="仿宋"/>
          <w:color w:val="auto"/>
          <w:highlight w:val="none"/>
        </w:rPr>
      </w:pPr>
      <w:r>
        <w:rPr>
          <w:rFonts w:hint="eastAsia" w:ascii="仿宋" w:hAnsi="仿宋" w:eastAsia="仿宋" w:cs="仿宋"/>
          <w:b/>
          <w:color w:val="auto"/>
          <w:sz w:val="24"/>
          <w:szCs w:val="24"/>
          <w:highlight w:val="none"/>
        </w:rPr>
        <w:br w:type="page"/>
      </w:r>
    </w:p>
    <w:p w14:paraId="13288870">
      <w:pPr>
        <w:spacing w:line="360" w:lineRule="auto"/>
        <w:jc w:val="center"/>
        <w:outlineLvl w:val="1"/>
        <w:rPr>
          <w:rFonts w:ascii="仿宋" w:hAnsi="仿宋" w:eastAsia="仿宋" w:cs="仿宋"/>
          <w:b/>
          <w:color w:val="auto"/>
          <w:sz w:val="24"/>
          <w:szCs w:val="24"/>
          <w:highlight w:val="none"/>
        </w:rPr>
      </w:pPr>
      <w:bookmarkStart w:id="173" w:name="_Toc18262"/>
      <w:bookmarkStart w:id="174" w:name="_Toc24852"/>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.2 财务状况报告，依法缴纳税收和社会保障资金的相关材料</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73"/>
      <w:bookmarkEnd w:id="174"/>
    </w:p>
    <w:p w14:paraId="69944477">
      <w:pPr>
        <w:spacing w:after="120" w:line="360" w:lineRule="auto"/>
        <w:rPr>
          <w:rFonts w:ascii="仿宋" w:hAnsi="仿宋" w:eastAsia="仿宋" w:cs="仿宋"/>
          <w:color w:val="auto"/>
          <w:spacing w:val="10"/>
          <w:kern w:val="0"/>
          <w:sz w:val="24"/>
          <w:szCs w:val="24"/>
          <w:highlight w:val="none"/>
        </w:rPr>
      </w:pPr>
    </w:p>
    <w:p w14:paraId="774EDF59">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一、财务状况报告（满足下述一条要求即可）：</w:t>
      </w:r>
    </w:p>
    <w:p w14:paraId="3199CC39">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要求1、经审计的财务报告（2023年度或2024年度，包括“四表-注”，即资产负债表、利润表、现金流量表、所有者权益变动表及其附注）或银行出具的资信证明（投标文件递交截止之日前六个月内任意一个月）。</w:t>
      </w:r>
    </w:p>
    <w:p w14:paraId="3FBBF22A">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要求2、成立不足</w:t>
      </w:r>
      <w:r>
        <w:rPr>
          <w:rFonts w:hint="eastAsia" w:ascii="仿宋" w:hAnsi="仿宋" w:eastAsia="仿宋" w:cs="仿宋"/>
          <w:color w:val="auto"/>
          <w:spacing w:val="10"/>
          <w:szCs w:val="24"/>
          <w:highlight w:val="none"/>
          <w:shd w:val="clear" w:color="auto" w:fill="FFFFFF" w:themeFill="background1"/>
          <w:lang w:val="en-US" w:eastAsia="zh-CN"/>
        </w:rPr>
        <w:t>六</w:t>
      </w:r>
      <w:r>
        <w:rPr>
          <w:rFonts w:hint="eastAsia" w:ascii="仿宋" w:hAnsi="仿宋" w:eastAsia="仿宋" w:cs="仿宋"/>
          <w:color w:val="auto"/>
          <w:spacing w:val="10"/>
          <w:szCs w:val="24"/>
          <w:highlight w:val="none"/>
          <w:shd w:val="clear" w:color="auto" w:fill="FFFFFF" w:themeFill="background1"/>
        </w:rPr>
        <w:t>个月（以投标文件递交截止之日为期限）的投标人无需提供。</w:t>
      </w:r>
    </w:p>
    <w:p w14:paraId="56B762E2">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p>
    <w:p w14:paraId="0A8A2DD0">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二、依法缴纳税收和社会保障资金的相关材料</w:t>
      </w:r>
    </w:p>
    <w:p w14:paraId="12713D2B">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2.1、依法缴纳税收的证明材料：</w:t>
      </w:r>
    </w:p>
    <w:p w14:paraId="7E273A14">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投标人参加政府采购活动前一段时间（投标文件递交截止之日前六个月内任一个月）内缴纳税收的完税凭证（指各种完税证、缴款书、印花税票、扣（收）税凭证以及其他完税证明）。</w:t>
      </w:r>
    </w:p>
    <w:p w14:paraId="2B747483">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2.2、依法缴纳社会保障资金的证明材料：</w:t>
      </w:r>
    </w:p>
    <w:p w14:paraId="718B56A6">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投标人参加政府采购活动前一段时间（投标文件递交截止之日前六个月内任一个月）内缴纳社会保险的凭据，其他组织和自然人也需要提供缴纳税收的凭据和缴纳社会保险的凭据。</w:t>
      </w:r>
    </w:p>
    <w:p w14:paraId="74EA5075">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2.3、依法免税或不需要缴纳社会保障资金的</w:t>
      </w:r>
      <w:r>
        <w:rPr>
          <w:rFonts w:hint="eastAsia" w:ascii="仿宋" w:hAnsi="仿宋" w:eastAsia="仿宋" w:cs="仿宋"/>
          <w:color w:val="auto"/>
          <w:spacing w:val="10"/>
          <w:szCs w:val="24"/>
          <w:highlight w:val="none"/>
          <w:shd w:val="clear" w:color="auto" w:fill="FFFFFF" w:themeFill="background1"/>
          <w:lang w:eastAsia="zh-CN"/>
        </w:rPr>
        <w:t>投标人</w:t>
      </w:r>
      <w:r>
        <w:rPr>
          <w:rFonts w:hint="eastAsia" w:ascii="仿宋" w:hAnsi="仿宋" w:eastAsia="仿宋" w:cs="仿宋"/>
          <w:color w:val="auto"/>
          <w:spacing w:val="10"/>
          <w:szCs w:val="24"/>
          <w:highlight w:val="none"/>
          <w:shd w:val="clear" w:color="auto" w:fill="FFFFFF" w:themeFill="background1"/>
        </w:rPr>
        <w:t>，应提供相应文件证明其依法免税或不需要缴纳社会保障资金。</w:t>
      </w:r>
    </w:p>
    <w:p w14:paraId="3E1834A2">
      <w:pPr>
        <w:pStyle w:val="11"/>
        <w:spacing w:line="360" w:lineRule="auto"/>
        <w:ind w:right="516" w:firstLine="520" w:firstLineChars="200"/>
        <w:rPr>
          <w:rFonts w:ascii="仿宋" w:hAnsi="仿宋" w:eastAsia="仿宋" w:cs="仿宋"/>
          <w:color w:val="auto"/>
          <w:spacing w:val="10"/>
          <w:szCs w:val="24"/>
          <w:highlight w:val="none"/>
          <w:shd w:val="clear" w:color="auto" w:fill="FFFFFF" w:themeFill="background1"/>
        </w:rPr>
      </w:pPr>
    </w:p>
    <w:p w14:paraId="10FAFF0E">
      <w:pPr>
        <w:pStyle w:val="11"/>
        <w:spacing w:line="360" w:lineRule="auto"/>
        <w:ind w:right="516" w:firstLine="520" w:firstLineChars="200"/>
        <w:rPr>
          <w:rFonts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三、注：</w:t>
      </w:r>
    </w:p>
    <w:p w14:paraId="745ABE33">
      <w:pPr>
        <w:pStyle w:val="11"/>
        <w:spacing w:line="360" w:lineRule="auto"/>
        <w:ind w:right="516" w:firstLine="520" w:firstLineChars="200"/>
        <w:rPr>
          <w:rFonts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3.1、如因有关主管部门政策调整，部分证明材料有所增减，以最新政策要求为准；</w:t>
      </w:r>
    </w:p>
    <w:p w14:paraId="3B292C2A">
      <w:pPr>
        <w:pStyle w:val="11"/>
        <w:spacing w:line="360" w:lineRule="auto"/>
        <w:ind w:right="516" w:firstLine="520" w:firstLineChars="200"/>
        <w:rPr>
          <w:rFonts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3.2、如</w:t>
      </w:r>
      <w:r>
        <w:rPr>
          <w:rFonts w:hint="eastAsia" w:ascii="仿宋" w:hAnsi="仿宋" w:eastAsia="仿宋" w:cs="仿宋"/>
          <w:color w:val="auto"/>
          <w:spacing w:val="10"/>
          <w:szCs w:val="24"/>
          <w:highlight w:val="none"/>
          <w:shd w:val="clear" w:color="auto" w:fill="FFFFFF" w:themeFill="background1"/>
          <w:lang w:eastAsia="zh-CN"/>
        </w:rPr>
        <w:t>投标人</w:t>
      </w:r>
      <w:r>
        <w:rPr>
          <w:rFonts w:hint="eastAsia" w:ascii="仿宋" w:hAnsi="仿宋" w:eastAsia="仿宋" w:cs="仿宋"/>
          <w:color w:val="auto"/>
          <w:spacing w:val="10"/>
          <w:szCs w:val="24"/>
          <w:highlight w:val="none"/>
          <w:shd w:val="clear" w:color="auto" w:fill="FFFFFF" w:themeFill="background1"/>
        </w:rPr>
        <w:t>所在地有关主管部门反馈的证明材料与本文中要求不一致时，以当地要求为准，但须</w:t>
      </w:r>
      <w:r>
        <w:rPr>
          <w:rFonts w:hint="eastAsia" w:ascii="仿宋" w:hAnsi="仿宋" w:eastAsia="仿宋" w:cs="仿宋"/>
          <w:color w:val="auto"/>
          <w:spacing w:val="10"/>
          <w:szCs w:val="24"/>
          <w:highlight w:val="none"/>
          <w:shd w:val="clear" w:color="auto" w:fill="FFFFFF" w:themeFill="background1"/>
          <w:lang w:eastAsia="zh-CN"/>
        </w:rPr>
        <w:t>投标人</w:t>
      </w:r>
      <w:r>
        <w:rPr>
          <w:rFonts w:hint="eastAsia" w:ascii="仿宋" w:hAnsi="仿宋" w:eastAsia="仿宋" w:cs="仿宋"/>
          <w:color w:val="auto"/>
          <w:spacing w:val="10"/>
          <w:szCs w:val="24"/>
          <w:highlight w:val="none"/>
          <w:shd w:val="clear" w:color="auto" w:fill="FFFFFF" w:themeFill="background1"/>
        </w:rPr>
        <w:t>提供文字说明。</w:t>
      </w:r>
    </w:p>
    <w:p w14:paraId="2791E326">
      <w:pPr>
        <w:spacing w:after="120" w:line="360" w:lineRule="auto"/>
        <w:ind w:firstLine="460" w:firstLineChars="200"/>
        <w:rPr>
          <w:rFonts w:ascii="仿宋" w:hAnsi="仿宋" w:eastAsia="仿宋" w:cs="仿宋"/>
          <w:color w:val="auto"/>
          <w:spacing w:val="10"/>
          <w:szCs w:val="24"/>
          <w:highlight w:val="none"/>
          <w:shd w:val="clear" w:color="auto" w:fill="FFFFFF" w:themeFill="background1"/>
        </w:rPr>
      </w:pPr>
    </w:p>
    <w:p w14:paraId="181784BD">
      <w:pPr>
        <w:rPr>
          <w:rFonts w:hint="eastAsia" w:ascii="仿宋" w:hAnsi="仿宋" w:eastAsia="仿宋" w:cs="仿宋"/>
          <w:b/>
          <w:color w:val="auto"/>
          <w:sz w:val="24"/>
          <w:szCs w:val="24"/>
          <w:highlight w:val="none"/>
        </w:rPr>
      </w:pPr>
      <w:bookmarkStart w:id="175" w:name="_Toc113901851"/>
      <w:bookmarkStart w:id="176" w:name="_Toc6527"/>
      <w:bookmarkStart w:id="177" w:name="_Toc141050517"/>
      <w:bookmarkStart w:id="178" w:name="_Toc6490"/>
      <w:bookmarkStart w:id="179" w:name="_Toc29582"/>
      <w:bookmarkStart w:id="180" w:name="_Toc8262"/>
      <w:bookmarkStart w:id="181" w:name="_Toc28937"/>
      <w:bookmarkStart w:id="182" w:name="_Toc22195"/>
      <w:bookmarkStart w:id="183" w:name="_Toc128476880"/>
      <w:bookmarkStart w:id="184" w:name="_Toc20521"/>
      <w:bookmarkStart w:id="185" w:name="_Toc130252624"/>
      <w:bookmarkStart w:id="186" w:name="_Toc15267"/>
      <w:bookmarkStart w:id="187" w:name="_Toc28397"/>
      <w:bookmarkStart w:id="188" w:name="_Toc28756"/>
      <w:bookmarkStart w:id="189" w:name="_Toc3038"/>
      <w:bookmarkStart w:id="190" w:name="_Toc24817"/>
      <w:bookmarkStart w:id="191" w:name="_Toc24943"/>
      <w:bookmarkStart w:id="192" w:name="_Toc111556488"/>
      <w:r>
        <w:rPr>
          <w:rFonts w:hint="eastAsia" w:ascii="仿宋" w:hAnsi="仿宋" w:eastAsia="仿宋" w:cs="仿宋"/>
          <w:b/>
          <w:color w:val="auto"/>
          <w:sz w:val="24"/>
          <w:szCs w:val="24"/>
          <w:highlight w:val="none"/>
        </w:rPr>
        <w:br w:type="page"/>
      </w:r>
    </w:p>
    <w:p w14:paraId="663F6F92">
      <w:pPr>
        <w:tabs>
          <w:tab w:val="center" w:pos="4832"/>
          <w:tab w:val="left" w:pos="7140"/>
        </w:tabs>
        <w:spacing w:line="360" w:lineRule="auto"/>
        <w:jc w:val="center"/>
        <w:outlineLvl w:val="1"/>
        <w:rPr>
          <w:rFonts w:ascii="仿宋" w:hAnsi="仿宋" w:eastAsia="仿宋" w:cs="仿宋"/>
          <w:b/>
          <w:color w:val="auto"/>
          <w:sz w:val="24"/>
          <w:szCs w:val="24"/>
          <w:highlight w:val="none"/>
        </w:rPr>
      </w:pPr>
      <w:bookmarkStart w:id="193" w:name="_Toc6917"/>
      <w:bookmarkStart w:id="194" w:name="_Toc13146"/>
      <w:bookmarkStart w:id="195" w:name="_Toc9085"/>
      <w:bookmarkStart w:id="196" w:name="_Toc2701"/>
      <w:bookmarkStart w:id="197" w:name="_Toc31926"/>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.3 具备履行合同所必需的设备和专业技术能力的证明材料</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3"/>
      <w:bookmarkEnd w:id="194"/>
      <w:bookmarkEnd w:id="195"/>
      <w:bookmarkEnd w:id="196"/>
      <w:bookmarkEnd w:id="197"/>
    </w:p>
    <w:p w14:paraId="3688A8C7">
      <w:pPr>
        <w:spacing w:line="360" w:lineRule="auto"/>
        <w:jc w:val="center"/>
        <w:rPr>
          <w:rFonts w:ascii="仿宋" w:hAnsi="仿宋" w:eastAsia="仿宋" w:cs="仿宋"/>
          <w:b/>
          <w:color w:val="auto"/>
          <w:sz w:val="24"/>
          <w:szCs w:val="24"/>
          <w:highlight w:val="none"/>
        </w:rPr>
      </w:pPr>
    </w:p>
    <w:p w14:paraId="5430C06A">
      <w:pPr>
        <w:spacing w:line="360" w:lineRule="auto"/>
        <w:jc w:val="center"/>
        <w:rPr>
          <w:rFonts w:ascii="仿宋" w:hAnsi="仿宋" w:eastAsia="仿宋" w:cs="仿宋"/>
          <w:b/>
          <w:color w:val="auto"/>
          <w:sz w:val="24"/>
          <w:szCs w:val="24"/>
          <w:highlight w:val="none"/>
        </w:rPr>
      </w:pPr>
    </w:p>
    <w:p w14:paraId="2483ADC4">
      <w:pPr>
        <w:spacing w:line="360" w:lineRule="auto"/>
        <w:jc w:val="center"/>
        <w:rPr>
          <w:rFonts w:ascii="仿宋" w:hAnsi="仿宋" w:eastAsia="仿宋" w:cs="仿宋"/>
          <w:b/>
          <w:color w:val="auto"/>
          <w:sz w:val="24"/>
          <w:szCs w:val="24"/>
          <w:highlight w:val="none"/>
        </w:rPr>
      </w:pPr>
    </w:p>
    <w:p w14:paraId="3412A026">
      <w:pPr>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具有履行合同所必需的设备和专业技术能力的承诺</w:t>
      </w:r>
      <w:bookmarkEnd w:id="192"/>
      <w:r>
        <w:rPr>
          <w:rFonts w:hint="eastAsia" w:ascii="仿宋" w:hAnsi="仿宋" w:eastAsia="仿宋" w:cs="仿宋"/>
          <w:b/>
          <w:color w:val="auto"/>
          <w:sz w:val="24"/>
          <w:szCs w:val="24"/>
          <w:highlight w:val="none"/>
        </w:rPr>
        <w:t>函</w:t>
      </w:r>
    </w:p>
    <w:p w14:paraId="76003852">
      <w:pPr>
        <w:adjustRightInd w:val="0"/>
        <w:snapToGrid w:val="0"/>
        <w:spacing w:line="360" w:lineRule="auto"/>
        <w:ind w:firstLine="480" w:firstLineChars="200"/>
        <w:jc w:val="center"/>
        <w:rPr>
          <w:rFonts w:ascii="仿宋" w:hAnsi="仿宋" w:eastAsia="仿宋" w:cs="仿宋"/>
          <w:color w:val="auto"/>
          <w:sz w:val="24"/>
          <w:szCs w:val="24"/>
          <w:highlight w:val="none"/>
        </w:rPr>
      </w:pPr>
    </w:p>
    <w:p w14:paraId="4C7DB7CB">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2C96C201">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p>
    <w:p w14:paraId="2F9B8A6A">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我单位郑重承诺： </w:t>
      </w:r>
    </w:p>
    <w:p w14:paraId="620BB08E">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我单位具备履行</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标项</w:t>
      </w:r>
      <w:r>
        <w:rPr>
          <w:rFonts w:hint="eastAsia" w:ascii="仿宋" w:hAnsi="仿宋" w:eastAsia="仿宋" w:cs="仿宋"/>
          <w:color w:val="auto"/>
          <w:kern w:val="0"/>
          <w:sz w:val="24"/>
          <w:szCs w:val="24"/>
          <w:highlight w:val="none"/>
        </w:rPr>
        <w:t>名称）合同所必需的设备和专业技术能力；</w:t>
      </w:r>
    </w:p>
    <w:p w14:paraId="2A052C77">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特此承诺。 </w:t>
      </w:r>
    </w:p>
    <w:p w14:paraId="7D356CBC">
      <w:pPr>
        <w:autoSpaceDE w:val="0"/>
        <w:autoSpaceDN w:val="0"/>
        <w:adjustRightInd w:val="0"/>
        <w:spacing w:line="360" w:lineRule="auto"/>
        <w:jc w:val="left"/>
        <w:rPr>
          <w:rFonts w:ascii="仿宋" w:hAnsi="仿宋" w:eastAsia="仿宋" w:cs="仿宋"/>
          <w:color w:val="auto"/>
          <w:kern w:val="0"/>
          <w:sz w:val="24"/>
          <w:szCs w:val="24"/>
          <w:highlight w:val="none"/>
        </w:rPr>
      </w:pPr>
    </w:p>
    <w:p w14:paraId="319D32D8">
      <w:pPr>
        <w:autoSpaceDE w:val="0"/>
        <w:autoSpaceDN w:val="0"/>
        <w:adjustRightInd w:val="0"/>
        <w:spacing w:line="360" w:lineRule="auto"/>
        <w:jc w:val="left"/>
        <w:rPr>
          <w:rFonts w:ascii="仿宋" w:hAnsi="仿宋" w:eastAsia="仿宋" w:cs="仿宋"/>
          <w:color w:val="auto"/>
          <w:kern w:val="0"/>
          <w:sz w:val="24"/>
          <w:szCs w:val="24"/>
          <w:highlight w:val="none"/>
        </w:rPr>
      </w:pPr>
    </w:p>
    <w:p w14:paraId="69F005D5">
      <w:pPr>
        <w:autoSpaceDE w:val="0"/>
        <w:autoSpaceDN w:val="0"/>
        <w:adjustRightInd w:val="0"/>
        <w:spacing w:line="360" w:lineRule="auto"/>
        <w:jc w:val="left"/>
        <w:rPr>
          <w:rFonts w:ascii="仿宋" w:hAnsi="仿宋" w:eastAsia="仿宋" w:cs="仿宋"/>
          <w:color w:val="auto"/>
          <w:kern w:val="0"/>
          <w:sz w:val="24"/>
          <w:szCs w:val="24"/>
          <w:highlight w:val="none"/>
        </w:rPr>
      </w:pPr>
    </w:p>
    <w:p w14:paraId="2AAA97E9">
      <w:pPr>
        <w:autoSpaceDE w:val="0"/>
        <w:autoSpaceDN w:val="0"/>
        <w:adjustRightInd w:val="0"/>
        <w:spacing w:line="360" w:lineRule="auto"/>
        <w:jc w:val="left"/>
        <w:rPr>
          <w:rFonts w:ascii="仿宋" w:hAnsi="仿宋" w:eastAsia="仿宋" w:cs="仿宋"/>
          <w:color w:val="auto"/>
          <w:kern w:val="0"/>
          <w:sz w:val="24"/>
          <w:szCs w:val="24"/>
          <w:highlight w:val="none"/>
        </w:rPr>
      </w:pPr>
    </w:p>
    <w:p w14:paraId="4D4393B5">
      <w:pPr>
        <w:widowControl/>
        <w:shd w:val="clear" w:color="auto" w:fill="FFFFFF"/>
        <w:snapToGrid w:val="0"/>
        <w:spacing w:line="36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8752A08">
      <w:pPr>
        <w:widowControl/>
        <w:shd w:val="clear" w:color="auto" w:fill="FFFFFF"/>
        <w:snapToGrid w:val="0"/>
        <w:spacing w:line="360" w:lineRule="auto"/>
        <w:jc w:val="left"/>
        <w:rPr>
          <w:rFonts w:ascii="仿宋" w:hAnsi="仿宋" w:eastAsia="仿宋" w:cs="仿宋"/>
          <w:color w:val="auto"/>
          <w:kern w:val="0"/>
          <w:sz w:val="24"/>
          <w:szCs w:val="24"/>
          <w:highlight w:val="none"/>
        </w:rPr>
      </w:pPr>
    </w:p>
    <w:p w14:paraId="1B99BB5A">
      <w:pPr>
        <w:widowControl/>
        <w:shd w:val="clear" w:color="auto" w:fill="FFFFFF"/>
        <w:snapToGrid w:val="0"/>
        <w:spacing w:line="360" w:lineRule="auto"/>
        <w:jc w:val="left"/>
        <w:rPr>
          <w:rFonts w:ascii="仿宋" w:hAnsi="仿宋" w:eastAsia="仿宋" w:cs="仿宋"/>
          <w:color w:val="auto"/>
          <w:kern w:val="0"/>
          <w:sz w:val="24"/>
          <w:szCs w:val="24"/>
          <w:highlight w:val="none"/>
        </w:rPr>
      </w:pPr>
    </w:p>
    <w:p w14:paraId="2C85C112">
      <w:pPr>
        <w:widowControl/>
        <w:shd w:val="clear" w:color="auto" w:fill="FFFFFF"/>
        <w:snapToGrid w:val="0"/>
        <w:spacing w:line="360" w:lineRule="auto"/>
        <w:ind w:firstLine="420"/>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日期： 年  月  日</w:t>
      </w:r>
    </w:p>
    <w:p w14:paraId="71480109">
      <w:pPr>
        <w:adjustRightInd w:val="0"/>
        <w:snapToGrid w:val="0"/>
        <w:spacing w:line="360" w:lineRule="auto"/>
        <w:rPr>
          <w:rFonts w:ascii="仿宋" w:hAnsi="仿宋" w:eastAsia="仿宋" w:cs="仿宋"/>
          <w:bCs/>
          <w:color w:val="auto"/>
          <w:sz w:val="24"/>
          <w:szCs w:val="24"/>
          <w:highlight w:val="none"/>
        </w:rPr>
      </w:pPr>
    </w:p>
    <w:p w14:paraId="19A47431">
      <w:pPr>
        <w:spacing w:line="360" w:lineRule="auto"/>
        <w:rPr>
          <w:rFonts w:ascii="仿宋" w:hAnsi="仿宋" w:eastAsia="仿宋" w:cs="仿宋"/>
          <w:color w:val="auto"/>
          <w:sz w:val="24"/>
          <w:szCs w:val="24"/>
          <w:highlight w:val="none"/>
        </w:rPr>
      </w:pPr>
    </w:p>
    <w:p w14:paraId="0C21FAEE">
      <w:pPr>
        <w:spacing w:line="360" w:lineRule="auto"/>
        <w:rPr>
          <w:rFonts w:ascii="仿宋" w:hAnsi="仿宋" w:eastAsia="仿宋" w:cs="仿宋"/>
          <w:color w:val="auto"/>
          <w:sz w:val="24"/>
          <w:szCs w:val="24"/>
          <w:highlight w:val="none"/>
        </w:rPr>
      </w:pPr>
    </w:p>
    <w:p w14:paraId="77D244A1">
      <w:pPr>
        <w:spacing w:line="360" w:lineRule="auto"/>
        <w:rPr>
          <w:rFonts w:ascii="仿宋" w:hAnsi="仿宋" w:eastAsia="仿宋" w:cs="仿宋"/>
          <w:color w:val="auto"/>
          <w:sz w:val="24"/>
          <w:szCs w:val="24"/>
          <w:highlight w:val="none"/>
        </w:rPr>
      </w:pPr>
    </w:p>
    <w:p w14:paraId="7895F352">
      <w:pPr>
        <w:spacing w:line="360" w:lineRule="auto"/>
        <w:rPr>
          <w:rFonts w:ascii="仿宋" w:hAnsi="仿宋" w:eastAsia="仿宋" w:cs="仿宋"/>
          <w:color w:val="auto"/>
          <w:sz w:val="24"/>
          <w:szCs w:val="24"/>
          <w:highlight w:val="none"/>
        </w:rPr>
      </w:pPr>
    </w:p>
    <w:p w14:paraId="2D2A2DA2">
      <w:pPr>
        <w:spacing w:line="360" w:lineRule="auto"/>
        <w:rPr>
          <w:rFonts w:ascii="仿宋" w:hAnsi="仿宋" w:eastAsia="仿宋" w:cs="仿宋"/>
          <w:color w:val="auto"/>
          <w:sz w:val="24"/>
          <w:szCs w:val="24"/>
          <w:highlight w:val="none"/>
        </w:rPr>
      </w:pPr>
    </w:p>
    <w:p w14:paraId="656756FF">
      <w:pPr>
        <w:spacing w:line="360" w:lineRule="auto"/>
        <w:rPr>
          <w:rFonts w:ascii="仿宋" w:hAnsi="仿宋" w:eastAsia="仿宋" w:cs="仿宋"/>
          <w:color w:val="auto"/>
          <w:sz w:val="24"/>
          <w:szCs w:val="24"/>
          <w:highlight w:val="none"/>
        </w:rPr>
      </w:pPr>
    </w:p>
    <w:p w14:paraId="724127BD">
      <w:pPr>
        <w:tabs>
          <w:tab w:val="center" w:pos="4832"/>
          <w:tab w:val="left" w:pos="7140"/>
        </w:tabs>
        <w:spacing w:line="360" w:lineRule="auto"/>
        <w:jc w:val="center"/>
        <w:outlineLvl w:val="1"/>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br w:type="page"/>
      </w:r>
      <w:bookmarkStart w:id="198" w:name="_Toc3056"/>
      <w:bookmarkStart w:id="199" w:name="_Toc19260"/>
      <w:bookmarkStart w:id="200" w:name="_Toc5472"/>
      <w:bookmarkStart w:id="201" w:name="_Toc128476881"/>
      <w:bookmarkStart w:id="202" w:name="_Toc1561"/>
      <w:bookmarkStart w:id="203" w:name="_Toc14597"/>
      <w:bookmarkStart w:id="204" w:name="_Toc27933"/>
      <w:bookmarkStart w:id="205" w:name="_Toc31613"/>
      <w:bookmarkStart w:id="206" w:name="_Toc16035"/>
      <w:bookmarkStart w:id="207" w:name="_Toc113901852"/>
      <w:bookmarkStart w:id="208" w:name="_Toc130252625"/>
      <w:bookmarkStart w:id="209" w:name="_Toc9960"/>
      <w:bookmarkStart w:id="210" w:name="_Toc154"/>
      <w:bookmarkStart w:id="211" w:name="_Toc17656"/>
      <w:bookmarkStart w:id="212" w:name="_Toc12060"/>
      <w:bookmarkStart w:id="213" w:name="_Toc7477"/>
      <w:bookmarkStart w:id="214" w:name="_Toc12742"/>
      <w:bookmarkStart w:id="215" w:name="_Toc12824"/>
      <w:bookmarkStart w:id="216" w:name="_Toc29127"/>
      <w:bookmarkStart w:id="217" w:name="_Toc18553"/>
      <w:bookmarkStart w:id="218" w:name="_Toc9901"/>
      <w:bookmarkStart w:id="219" w:name="_Toc141050518"/>
      <w:bookmarkStart w:id="220" w:name="_Toc111556490"/>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.4 参加政府采购活动前3年内在经营活动中没有重大违法记录的书面声明</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bookmarkEnd w:id="220"/>
    <w:p w14:paraId="719484F3">
      <w:pPr>
        <w:widowControl/>
        <w:adjustRightInd w:val="0"/>
        <w:snapToGrid w:val="0"/>
        <w:spacing w:line="360" w:lineRule="auto"/>
        <w:rPr>
          <w:rFonts w:ascii="仿宋" w:hAnsi="仿宋" w:eastAsia="仿宋" w:cs="仿宋"/>
          <w:color w:val="auto"/>
          <w:sz w:val="24"/>
          <w:szCs w:val="24"/>
          <w:highlight w:val="none"/>
        </w:rPr>
      </w:pPr>
    </w:p>
    <w:p w14:paraId="4837C3D4">
      <w:pPr>
        <w:widowControl/>
        <w:adjustRightInd w:val="0"/>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参加政府采购活动前3年内在经营活动中没有重大违法记录的书面声明</w:t>
      </w:r>
    </w:p>
    <w:p w14:paraId="6CEAAE77">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p>
    <w:p w14:paraId="0EF8C3F4">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3AF9068B">
      <w:pPr>
        <w:adjustRightInd w:val="0"/>
        <w:snapToGrid w:val="0"/>
        <w:spacing w:line="360" w:lineRule="auto"/>
        <w:ind w:firstLine="480" w:firstLineChars="200"/>
        <w:rPr>
          <w:rFonts w:ascii="仿宋" w:hAnsi="仿宋" w:eastAsia="仿宋" w:cs="仿宋"/>
          <w:color w:val="auto"/>
          <w:sz w:val="24"/>
          <w:szCs w:val="24"/>
          <w:highlight w:val="none"/>
        </w:rPr>
      </w:pPr>
    </w:p>
    <w:p w14:paraId="596FAF35">
      <w:pPr>
        <w:adjustRightInd w:val="0"/>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我单位在参与</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en-US" w:eastAsia="zh-CN"/>
        </w:rPr>
        <w:t>标项</w:t>
      </w:r>
      <w:r>
        <w:rPr>
          <w:rFonts w:hint="eastAsia" w:ascii="仿宋" w:hAnsi="仿宋" w:eastAsia="仿宋" w:cs="仿宋"/>
          <w:color w:val="auto"/>
          <w:kern w:val="0"/>
          <w:sz w:val="24"/>
          <w:szCs w:val="24"/>
          <w:highlight w:val="none"/>
        </w:rPr>
        <w:t>名称</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前三年内（以</w:t>
      </w:r>
      <w:r>
        <w:rPr>
          <w:rFonts w:hint="eastAsia" w:ascii="仿宋" w:hAnsi="仿宋" w:eastAsia="仿宋" w:cs="仿宋"/>
          <w:color w:val="auto"/>
          <w:sz w:val="24"/>
          <w:szCs w:val="24"/>
          <w:highlight w:val="none"/>
        </w:rPr>
        <w:t>投标文件递交截止之日为期限</w:t>
      </w:r>
      <w:r>
        <w:rPr>
          <w:rFonts w:hint="eastAsia" w:ascii="仿宋" w:hAnsi="仿宋" w:eastAsia="仿宋" w:cs="仿宋"/>
          <w:color w:val="auto"/>
          <w:kern w:val="0"/>
          <w:sz w:val="24"/>
          <w:szCs w:val="24"/>
          <w:highlight w:val="none"/>
        </w:rPr>
        <w:t>）在经营活动中没有重大违法记录。</w:t>
      </w:r>
    </w:p>
    <w:p w14:paraId="0EE873A4">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若贵方在本项目采购过程中发现我方参加政府采购活动前三年内有重大违法记录；</w:t>
      </w:r>
      <w:r>
        <w:rPr>
          <w:rFonts w:hint="eastAsia" w:ascii="仿宋" w:hAnsi="仿宋" w:eastAsia="仿宋" w:cs="仿宋"/>
          <w:color w:val="auto"/>
          <w:kern w:val="0"/>
          <w:sz w:val="24"/>
          <w:szCs w:val="24"/>
          <w:highlight w:val="none"/>
        </w:rPr>
        <w:t>我单位</w:t>
      </w:r>
      <w:r>
        <w:rPr>
          <w:rFonts w:hint="eastAsia" w:ascii="仿宋" w:hAnsi="仿宋" w:eastAsia="仿宋" w:cs="仿宋"/>
          <w:color w:val="auto"/>
          <w:sz w:val="24"/>
          <w:szCs w:val="24"/>
          <w:highlight w:val="none"/>
        </w:rPr>
        <w:t>将无条件退出本项目的投标，并承担因此引起的一切后果。我方对此声明负全部法律责任。</w:t>
      </w:r>
    </w:p>
    <w:p w14:paraId="4917EC70">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特此声明！</w:t>
      </w:r>
    </w:p>
    <w:p w14:paraId="19A9702F">
      <w:pPr>
        <w:adjustRightInd w:val="0"/>
        <w:snapToGrid w:val="0"/>
        <w:spacing w:line="360" w:lineRule="auto"/>
        <w:ind w:firstLine="480" w:firstLineChars="200"/>
        <w:rPr>
          <w:rFonts w:ascii="仿宋" w:hAnsi="仿宋" w:eastAsia="仿宋" w:cs="仿宋"/>
          <w:color w:val="auto"/>
          <w:sz w:val="24"/>
          <w:szCs w:val="24"/>
          <w:highlight w:val="none"/>
        </w:rPr>
      </w:pPr>
    </w:p>
    <w:p w14:paraId="2A687399">
      <w:pPr>
        <w:adjustRightInd w:val="0"/>
        <w:snapToGrid w:val="0"/>
        <w:spacing w:line="360" w:lineRule="auto"/>
        <w:ind w:firstLine="480" w:firstLineChars="200"/>
        <w:rPr>
          <w:rFonts w:ascii="仿宋" w:hAnsi="仿宋" w:eastAsia="仿宋" w:cs="仿宋"/>
          <w:color w:val="auto"/>
          <w:sz w:val="24"/>
          <w:szCs w:val="24"/>
          <w:highlight w:val="none"/>
        </w:rPr>
      </w:pPr>
    </w:p>
    <w:p w14:paraId="3DA7A54A">
      <w:pPr>
        <w:adjustRightInd w:val="0"/>
        <w:snapToGrid w:val="0"/>
        <w:spacing w:line="360" w:lineRule="auto"/>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备注：</w:t>
      </w:r>
    </w:p>
    <w:p w14:paraId="57D22957">
      <w:pPr>
        <w:adjustRightInd w:val="0"/>
        <w:snapToGrid w:val="0"/>
        <w:spacing w:line="360" w:lineRule="auto"/>
        <w:ind w:firstLine="420" w:firstLineChars="200"/>
        <w:rPr>
          <w:rFonts w:ascii="仿宋" w:hAnsi="仿宋" w:eastAsia="仿宋" w:cs="仿宋"/>
          <w:color w:val="auto"/>
          <w:sz w:val="24"/>
          <w:szCs w:val="24"/>
          <w:highlight w:val="none"/>
        </w:rPr>
      </w:pPr>
      <w:r>
        <w:rPr>
          <w:rFonts w:hint="eastAsia" w:ascii="仿宋" w:hAnsi="仿宋" w:eastAsia="仿宋" w:cs="仿宋"/>
          <w:color w:val="auto"/>
          <w:szCs w:val="24"/>
          <w:highlight w:val="none"/>
        </w:rPr>
        <w:t>若投标人在投标文件递交截止之日成立时间不足三年，以自成立以来的时间计取。</w:t>
      </w:r>
    </w:p>
    <w:p w14:paraId="4E421D78">
      <w:pPr>
        <w:adjustRightInd w:val="0"/>
        <w:snapToGrid w:val="0"/>
        <w:spacing w:line="360" w:lineRule="auto"/>
        <w:ind w:firstLine="480" w:firstLineChars="200"/>
        <w:rPr>
          <w:rFonts w:ascii="仿宋" w:hAnsi="仿宋" w:eastAsia="仿宋" w:cs="仿宋"/>
          <w:color w:val="auto"/>
          <w:kern w:val="0"/>
          <w:sz w:val="24"/>
          <w:szCs w:val="24"/>
          <w:highlight w:val="none"/>
        </w:rPr>
      </w:pPr>
    </w:p>
    <w:p w14:paraId="4AEF244D">
      <w:pPr>
        <w:adjustRightInd w:val="0"/>
        <w:snapToGrid w:val="0"/>
        <w:spacing w:line="360" w:lineRule="auto"/>
        <w:ind w:firstLine="3112" w:firstLineChars="1297"/>
        <w:rPr>
          <w:rFonts w:ascii="仿宋" w:hAnsi="仿宋" w:eastAsia="仿宋" w:cs="仿宋"/>
          <w:color w:val="auto"/>
          <w:sz w:val="24"/>
          <w:szCs w:val="24"/>
          <w:highlight w:val="none"/>
        </w:rPr>
      </w:pPr>
    </w:p>
    <w:p w14:paraId="3A02E3BE">
      <w:pPr>
        <w:widowControl/>
        <w:shd w:val="clear" w:color="auto" w:fill="FFFFFF"/>
        <w:snapToGrid w:val="0"/>
        <w:spacing w:line="36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288F7DC3">
      <w:pPr>
        <w:widowControl/>
        <w:shd w:val="clear" w:color="auto" w:fill="FFFFFF"/>
        <w:snapToGrid w:val="0"/>
        <w:spacing w:line="360" w:lineRule="auto"/>
        <w:ind w:firstLine="420"/>
        <w:jc w:val="center"/>
        <w:rPr>
          <w:rFonts w:ascii="仿宋" w:hAnsi="仿宋" w:eastAsia="仿宋" w:cs="仿宋"/>
          <w:color w:val="auto"/>
          <w:kern w:val="0"/>
          <w:sz w:val="24"/>
          <w:szCs w:val="24"/>
          <w:highlight w:val="none"/>
        </w:rPr>
      </w:pPr>
    </w:p>
    <w:p w14:paraId="62E7B7EC">
      <w:pPr>
        <w:widowControl/>
        <w:shd w:val="clear" w:color="auto" w:fill="FFFFFF"/>
        <w:snapToGrid w:val="0"/>
        <w:spacing w:line="360" w:lineRule="auto"/>
        <w:ind w:firstLine="420"/>
        <w:jc w:val="center"/>
        <w:rPr>
          <w:rFonts w:ascii="仿宋" w:hAnsi="仿宋" w:eastAsia="仿宋" w:cs="仿宋"/>
          <w:color w:val="auto"/>
          <w:kern w:val="0"/>
          <w:sz w:val="24"/>
          <w:szCs w:val="24"/>
          <w:highlight w:val="none"/>
        </w:rPr>
      </w:pPr>
    </w:p>
    <w:p w14:paraId="10F5AA32">
      <w:pPr>
        <w:widowControl/>
        <w:shd w:val="clear" w:color="auto" w:fill="FFFFFF"/>
        <w:snapToGrid w:val="0"/>
        <w:spacing w:line="360" w:lineRule="auto"/>
        <w:ind w:firstLine="420"/>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日期： 年  月  日</w:t>
      </w:r>
    </w:p>
    <w:p w14:paraId="05D71FE8">
      <w:pPr>
        <w:widowControl/>
        <w:shd w:val="clear" w:color="auto" w:fill="FFFFFF"/>
        <w:snapToGrid w:val="0"/>
        <w:spacing w:line="360" w:lineRule="auto"/>
        <w:ind w:firstLine="420"/>
        <w:rPr>
          <w:rFonts w:ascii="仿宋" w:hAnsi="仿宋" w:eastAsia="仿宋" w:cs="仿宋"/>
          <w:color w:val="auto"/>
          <w:kern w:val="0"/>
          <w:sz w:val="24"/>
          <w:szCs w:val="24"/>
          <w:highlight w:val="none"/>
        </w:rPr>
      </w:pPr>
    </w:p>
    <w:p w14:paraId="1AF206A8">
      <w:pPr>
        <w:tabs>
          <w:tab w:val="center" w:pos="4832"/>
          <w:tab w:val="left" w:pos="7140"/>
        </w:tabs>
        <w:spacing w:line="360" w:lineRule="auto"/>
        <w:jc w:val="center"/>
        <w:outlineLvl w:val="1"/>
        <w:rPr>
          <w:rFonts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bookmarkStart w:id="221" w:name="_Toc4675"/>
      <w:bookmarkStart w:id="222" w:name="_Toc9385"/>
      <w:bookmarkStart w:id="223" w:name="_Toc16254"/>
      <w:bookmarkStart w:id="224" w:name="_Toc25108"/>
      <w:bookmarkStart w:id="225" w:name="_Toc313"/>
      <w:bookmarkStart w:id="226" w:name="_Toc31144"/>
      <w:bookmarkStart w:id="227" w:name="_Toc8192"/>
      <w:bookmarkStart w:id="228" w:name="_Toc6424"/>
      <w:bookmarkStart w:id="229" w:name="_Toc11552"/>
      <w:bookmarkStart w:id="230" w:name="_Toc130252626"/>
      <w:bookmarkStart w:id="231" w:name="_Toc15494"/>
      <w:bookmarkStart w:id="232" w:name="_Toc24660"/>
      <w:bookmarkStart w:id="233" w:name="_Toc113901853"/>
      <w:bookmarkStart w:id="234" w:name="_Toc17488"/>
      <w:bookmarkStart w:id="235" w:name="_Toc30930"/>
      <w:bookmarkStart w:id="236" w:name="_Toc13030"/>
      <w:bookmarkStart w:id="237" w:name="_Toc30447"/>
      <w:bookmarkStart w:id="238" w:name="_Toc9134"/>
      <w:bookmarkStart w:id="239" w:name="_Toc26082"/>
      <w:bookmarkStart w:id="240" w:name="_Toc14380"/>
      <w:bookmarkStart w:id="241" w:name="_Toc141050519"/>
      <w:bookmarkStart w:id="242" w:name="_Toc128476882"/>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.5 具备法律、行政法规规定的其他条件的证明材料</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5F13A202">
      <w:pPr>
        <w:widowControl/>
        <w:adjustRightInd w:val="0"/>
        <w:snapToGrid w:val="0"/>
        <w:spacing w:line="360" w:lineRule="auto"/>
        <w:rPr>
          <w:rFonts w:ascii="仿宋" w:hAnsi="仿宋" w:eastAsia="仿宋" w:cs="仿宋"/>
          <w:color w:val="auto"/>
          <w:sz w:val="24"/>
          <w:szCs w:val="24"/>
          <w:highlight w:val="none"/>
        </w:rPr>
      </w:pPr>
    </w:p>
    <w:p w14:paraId="3145C26E">
      <w:pPr>
        <w:widowControl/>
        <w:adjustRightInd w:val="0"/>
        <w:snapToGrid w:val="0"/>
        <w:spacing w:line="360" w:lineRule="auto"/>
        <w:ind w:firstLine="480" w:firstLineChars="200"/>
        <w:rPr>
          <w:rFonts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一、国家有关主管部门的行政许可（如有时）。</w:t>
      </w:r>
    </w:p>
    <w:p w14:paraId="064238CA">
      <w:pPr>
        <w:widowControl/>
        <w:adjustRightInd w:val="0"/>
        <w:snapToGrid w:val="0"/>
        <w:spacing w:line="360" w:lineRule="auto"/>
        <w:ind w:firstLine="480" w:firstLineChars="200"/>
        <w:rPr>
          <w:rFonts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二、中小企业声明函/残疾人福利性单位声明函/监狱企业证明文件（如有时）。</w:t>
      </w:r>
    </w:p>
    <w:p w14:paraId="6EEAD0D9">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29914C0B">
      <w:pPr>
        <w:widowControl/>
        <w:spacing w:line="360" w:lineRule="auto"/>
        <w:jc w:val="left"/>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 xml:space="preserve">附件一、                  </w:t>
      </w:r>
    </w:p>
    <w:p w14:paraId="3656A858">
      <w:pPr>
        <w:spacing w:line="588" w:lineRule="exact"/>
        <w:jc w:val="center"/>
        <w:rPr>
          <w:rFonts w:ascii="仿宋" w:hAnsi="仿宋" w:eastAsia="仿宋" w:cs="仿宋"/>
          <w:b/>
          <w:color w:val="auto"/>
          <w:spacing w:val="6"/>
          <w:sz w:val="24"/>
          <w:szCs w:val="24"/>
          <w:highlight w:val="none"/>
        </w:rPr>
      </w:pPr>
    </w:p>
    <w:p w14:paraId="297417C2">
      <w:pPr>
        <w:spacing w:line="588" w:lineRule="exact"/>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中小企业声明函（货物）</w:t>
      </w:r>
    </w:p>
    <w:p w14:paraId="45AB7106">
      <w:pPr>
        <w:spacing w:line="588" w:lineRule="exact"/>
        <w:jc w:val="center"/>
        <w:rPr>
          <w:rFonts w:hint="eastAsia" w:ascii="仿宋" w:hAnsi="仿宋" w:eastAsia="仿宋" w:cs="仿宋"/>
          <w:b/>
          <w:color w:val="auto"/>
          <w:spacing w:val="6"/>
          <w:sz w:val="24"/>
          <w:szCs w:val="24"/>
          <w:highlight w:val="none"/>
        </w:rPr>
      </w:pPr>
    </w:p>
    <w:p w14:paraId="1485AA53">
      <w:pPr>
        <w:spacing w:line="588"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本公司（联合体）郑重声明，根据《政府采购促进中小企业发展管理办法》（财库﹝2020﹞46 号）的规定，本公司</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（联合体）</w:t>
      </w:r>
      <w:r>
        <w:rPr>
          <w:rFonts w:hint="eastAsia" w:ascii="仿宋" w:hAnsi="仿宋" w:eastAsia="仿宋" w:cs="仿宋"/>
          <w:color w:val="auto"/>
          <w:kern w:val="0"/>
          <w:sz w:val="24"/>
          <w:szCs w:val="24"/>
          <w:highlight w:val="none"/>
        </w:rPr>
        <w:t>参加</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（单位名称）</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u w:val="single"/>
          <w:lang w:val="en-US" w:eastAsia="zh-CN"/>
        </w:rPr>
        <w:t xml:space="preserve">  （标项名称）</w:t>
      </w:r>
      <w:r>
        <w:rPr>
          <w:rFonts w:hint="eastAsia" w:ascii="仿宋" w:hAnsi="仿宋" w:eastAsia="仿宋" w:cs="仿宋"/>
          <w:color w:val="auto"/>
          <w:kern w:val="0"/>
          <w:sz w:val="24"/>
          <w:szCs w:val="24"/>
          <w:highlight w:val="none"/>
        </w:rPr>
        <w:t>采购活动，提供的货物全部由符合政策要求的中小企业制造。相关企业（含联合体中的中小企业、签订分包意向协议的中小企业）的具体情况如下：</w:t>
      </w:r>
    </w:p>
    <w:p w14:paraId="62D4A7B5">
      <w:pPr>
        <w:spacing w:line="588"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（标的名称） </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（采购文件中明确的所属行业）</w:t>
      </w:r>
      <w:r>
        <w:rPr>
          <w:rFonts w:hint="eastAsia" w:ascii="仿宋" w:hAnsi="仿宋" w:eastAsia="仿宋" w:cs="仿宋"/>
          <w:color w:val="auto"/>
          <w:kern w:val="0"/>
          <w:sz w:val="24"/>
          <w:szCs w:val="24"/>
          <w:highlight w:val="none"/>
        </w:rPr>
        <w:t>行业；制造商为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（中型企业、小型企业、微型企业）</w:t>
      </w:r>
      <w:r>
        <w:rPr>
          <w:rFonts w:hint="eastAsia" w:ascii="仿宋" w:hAnsi="仿宋" w:eastAsia="仿宋" w:cs="仿宋"/>
          <w:color w:val="auto"/>
          <w:kern w:val="0"/>
          <w:sz w:val="24"/>
          <w:szCs w:val="24"/>
          <w:highlight w:val="none"/>
        </w:rPr>
        <w:t>；</w:t>
      </w:r>
    </w:p>
    <w:p w14:paraId="1799B494">
      <w:pPr>
        <w:spacing w:line="588"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（标的名称） </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（采购文件中明确的所属行业）</w:t>
      </w:r>
      <w:r>
        <w:rPr>
          <w:rFonts w:hint="eastAsia" w:ascii="仿宋" w:hAnsi="仿宋" w:eastAsia="仿宋" w:cs="仿宋"/>
          <w:color w:val="auto"/>
          <w:kern w:val="0"/>
          <w:sz w:val="24"/>
          <w:szCs w:val="24"/>
          <w:highlight w:val="none"/>
        </w:rPr>
        <w:t>行业；制造商为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（中型企业、小型企业、微型企业）</w:t>
      </w:r>
      <w:r>
        <w:rPr>
          <w:rFonts w:hint="eastAsia" w:ascii="仿宋" w:hAnsi="仿宋" w:eastAsia="仿宋" w:cs="仿宋"/>
          <w:color w:val="auto"/>
          <w:kern w:val="0"/>
          <w:sz w:val="24"/>
          <w:szCs w:val="24"/>
          <w:highlight w:val="none"/>
        </w:rPr>
        <w:t>；</w:t>
      </w:r>
    </w:p>
    <w:p w14:paraId="4B813D5B">
      <w:pPr>
        <w:spacing w:line="588" w:lineRule="exact"/>
        <w:rPr>
          <w:rFonts w:hint="eastAsia" w:ascii="仿宋" w:hAnsi="仿宋" w:eastAsia="仿宋" w:cs="仿宋"/>
          <w:color w:val="auto"/>
          <w:kern w:val="0"/>
          <w:sz w:val="24"/>
          <w:szCs w:val="24"/>
          <w:highlight w:val="none"/>
        </w:rPr>
      </w:pPr>
    </w:p>
    <w:p w14:paraId="5058ACFF">
      <w:pPr>
        <w:spacing w:line="588"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307059CA">
      <w:pPr>
        <w:spacing w:line="588"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以上企业，不属于大企业的分支机构，不存在控股股东为大企业的情形，也不存在与大企业的负责人为同一人的情形。</w:t>
      </w:r>
    </w:p>
    <w:p w14:paraId="3343C8DD">
      <w:pPr>
        <w:spacing w:line="588"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本企业对上述声明内容的真实性负责。如有虚假，将依法承担相应责任。</w:t>
      </w:r>
    </w:p>
    <w:p w14:paraId="07E0D426">
      <w:pPr>
        <w:spacing w:line="588" w:lineRule="exact"/>
        <w:ind w:firstLine="480" w:firstLineChars="200"/>
        <w:rPr>
          <w:rFonts w:hint="eastAsia" w:ascii="仿宋" w:hAnsi="仿宋" w:eastAsia="仿宋" w:cs="仿宋"/>
          <w:color w:val="auto"/>
          <w:kern w:val="0"/>
          <w:sz w:val="24"/>
          <w:szCs w:val="24"/>
          <w:highlight w:val="none"/>
        </w:rPr>
      </w:pPr>
    </w:p>
    <w:p w14:paraId="6AF61830">
      <w:pPr>
        <w:spacing w:line="588" w:lineRule="exact"/>
        <w:ind w:right="48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企业名称（盖章）：</w:t>
      </w:r>
    </w:p>
    <w:p w14:paraId="0D0FF74A">
      <w:pPr>
        <w:spacing w:line="588" w:lineRule="exact"/>
        <w:ind w:right="480" w:firstLine="6240" w:firstLineChars="26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w:t>
      </w:r>
    </w:p>
    <w:p w14:paraId="536E4C44">
      <w:pPr>
        <w:spacing w:line="588" w:lineRule="exact"/>
        <w:ind w:right="480" w:firstLine="6240" w:firstLineChars="2600"/>
        <w:rPr>
          <w:rFonts w:hint="eastAsia" w:ascii="仿宋" w:hAnsi="仿宋" w:eastAsia="仿宋" w:cs="仿宋"/>
          <w:color w:val="auto"/>
          <w:kern w:val="0"/>
          <w:sz w:val="24"/>
          <w:szCs w:val="24"/>
          <w:highlight w:val="none"/>
        </w:rPr>
      </w:pPr>
    </w:p>
    <w:p w14:paraId="11A6233D">
      <w:pPr>
        <w:spacing w:line="588"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注：人员、营业收入、资产总额填报上一年度数据，无上一年度数据的新成立企业可不填报。</w:t>
      </w:r>
    </w:p>
    <w:p w14:paraId="60225F58">
      <w:pPr>
        <w:spacing w:line="588" w:lineRule="exact"/>
        <w:rPr>
          <w:rFonts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b/>
          <w:color w:val="auto"/>
          <w:kern w:val="0"/>
          <w:sz w:val="24"/>
          <w:szCs w:val="24"/>
          <w:highlight w:val="none"/>
        </w:rPr>
        <w:t>附件二、</w:t>
      </w:r>
    </w:p>
    <w:p w14:paraId="3105DF8B">
      <w:pPr>
        <w:spacing w:line="360" w:lineRule="auto"/>
        <w:jc w:val="center"/>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残疾人福利性单位声明函</w:t>
      </w:r>
    </w:p>
    <w:p w14:paraId="00939A98">
      <w:pPr>
        <w:spacing w:line="360" w:lineRule="auto"/>
        <w:rPr>
          <w:rFonts w:ascii="仿宋" w:hAnsi="仿宋" w:eastAsia="仿宋" w:cs="仿宋"/>
          <w:b/>
          <w:color w:val="auto"/>
          <w:spacing w:val="6"/>
          <w:sz w:val="24"/>
          <w:szCs w:val="24"/>
          <w:highlight w:val="none"/>
        </w:rPr>
      </w:pPr>
    </w:p>
    <w:p w14:paraId="0B3F501C">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szCs w:val="24"/>
          <w:highlight w:val="none"/>
        </w:rPr>
        <w:t>〔2017〕 141</w:t>
      </w:r>
      <w:r>
        <w:rPr>
          <w:rFonts w:hint="eastAsia" w:ascii="仿宋" w:hAnsi="仿宋" w:eastAsia="仿宋" w:cs="仿宋"/>
          <w:color w:val="auto"/>
          <w:spacing w:val="6"/>
          <w:sz w:val="24"/>
          <w:szCs w:val="24"/>
          <w:highlight w:val="none"/>
        </w:rPr>
        <w:t>号）的规定，本单位为符合条件的残疾人福利性单位，且本单位参加</w:t>
      </w:r>
      <w:r>
        <w:rPr>
          <w:rFonts w:hint="eastAsia" w:ascii="仿宋" w:hAnsi="仿宋" w:eastAsia="仿宋" w:cs="仿宋"/>
          <w:color w:val="auto"/>
          <w:spacing w:val="6"/>
          <w:sz w:val="24"/>
          <w:szCs w:val="24"/>
          <w:highlight w:val="none"/>
          <w:u w:val="single"/>
          <w:shd w:val="clear" w:color="auto" w:fill="FFFFFF" w:themeFill="background1"/>
        </w:rPr>
        <w:t xml:space="preserve">   </w:t>
      </w:r>
      <w:r>
        <w:rPr>
          <w:rFonts w:hint="eastAsia" w:ascii="仿宋" w:hAnsi="仿宋" w:eastAsia="仿宋" w:cs="仿宋"/>
          <w:color w:val="auto"/>
          <w:spacing w:val="6"/>
          <w:sz w:val="24"/>
          <w:szCs w:val="24"/>
          <w:highlight w:val="none"/>
        </w:rPr>
        <w:t>单位的</w:t>
      </w:r>
      <w:r>
        <w:rPr>
          <w:rFonts w:hint="eastAsia" w:ascii="仿宋" w:hAnsi="仿宋" w:eastAsia="仿宋" w:cs="仿宋"/>
          <w:color w:val="auto"/>
          <w:spacing w:val="6"/>
          <w:sz w:val="24"/>
          <w:szCs w:val="24"/>
          <w:highlight w:val="none"/>
          <w:u w:val="single"/>
          <w:shd w:val="clear" w:color="auto" w:fill="FFFFFF" w:themeFill="background1"/>
        </w:rPr>
        <w:t xml:space="preserve">   </w:t>
      </w:r>
      <w:r>
        <w:rPr>
          <w:rFonts w:hint="eastAsia" w:ascii="仿宋" w:hAnsi="仿宋" w:eastAsia="仿宋" w:cs="仿宋"/>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5EF33CF1">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14:paraId="36AA35DB">
      <w:pPr>
        <w:spacing w:line="360" w:lineRule="auto"/>
        <w:ind w:firstLine="504" w:firstLineChars="200"/>
        <w:rPr>
          <w:rFonts w:ascii="仿宋" w:hAnsi="仿宋" w:eastAsia="仿宋" w:cs="仿宋"/>
          <w:color w:val="auto"/>
          <w:spacing w:val="6"/>
          <w:sz w:val="24"/>
          <w:szCs w:val="24"/>
          <w:highlight w:val="none"/>
        </w:rPr>
      </w:pPr>
    </w:p>
    <w:p w14:paraId="6296D94C">
      <w:pPr>
        <w:spacing w:line="360" w:lineRule="auto"/>
        <w:ind w:firstLine="504" w:firstLineChars="200"/>
        <w:rPr>
          <w:rFonts w:ascii="仿宋" w:hAnsi="仿宋" w:eastAsia="仿宋" w:cs="仿宋"/>
          <w:color w:val="auto"/>
          <w:spacing w:val="6"/>
          <w:sz w:val="24"/>
          <w:szCs w:val="24"/>
          <w:highlight w:val="none"/>
        </w:rPr>
      </w:pPr>
    </w:p>
    <w:p w14:paraId="358728ED">
      <w:pPr>
        <w:tabs>
          <w:tab w:val="left" w:pos="4860"/>
        </w:tabs>
        <w:spacing w:line="360" w:lineRule="auto"/>
        <w:ind w:right="1560"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单位名称（盖章）：</w:t>
      </w:r>
    </w:p>
    <w:p w14:paraId="3AEFDDAD">
      <w:pPr>
        <w:tabs>
          <w:tab w:val="left" w:pos="4860"/>
        </w:tabs>
        <w:spacing w:line="360" w:lineRule="auto"/>
        <w:ind w:right="1560" w:firstLine="504" w:firstLineChars="200"/>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日  期：</w:t>
      </w:r>
    </w:p>
    <w:p w14:paraId="6313BF33">
      <w:pPr>
        <w:spacing w:line="360" w:lineRule="auto"/>
        <w:rPr>
          <w:rFonts w:ascii="仿宋" w:hAnsi="仿宋" w:eastAsia="仿宋" w:cs="仿宋"/>
          <w:color w:val="auto"/>
          <w:sz w:val="24"/>
          <w:szCs w:val="24"/>
          <w:highlight w:val="none"/>
        </w:rPr>
      </w:pPr>
    </w:p>
    <w:p w14:paraId="12F4C7C6">
      <w:pPr>
        <w:spacing w:line="360" w:lineRule="auto"/>
        <w:rPr>
          <w:rFonts w:ascii="仿宋" w:hAnsi="仿宋" w:eastAsia="仿宋" w:cs="仿宋"/>
          <w:color w:val="auto"/>
          <w:sz w:val="24"/>
          <w:szCs w:val="24"/>
          <w:highlight w:val="none"/>
        </w:rPr>
      </w:pPr>
    </w:p>
    <w:p w14:paraId="2487C2BE">
      <w:pPr>
        <w:spacing w:line="360" w:lineRule="auto"/>
        <w:rPr>
          <w:rFonts w:ascii="仿宋" w:hAnsi="仿宋" w:eastAsia="仿宋" w:cs="仿宋"/>
          <w:color w:val="auto"/>
          <w:sz w:val="24"/>
          <w:szCs w:val="24"/>
          <w:highlight w:val="none"/>
        </w:rPr>
      </w:pPr>
    </w:p>
    <w:p w14:paraId="4DE282FE">
      <w:pPr>
        <w:widowControl/>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b/>
          <w:color w:val="auto"/>
          <w:kern w:val="0"/>
          <w:sz w:val="24"/>
          <w:szCs w:val="24"/>
          <w:highlight w:val="none"/>
        </w:rPr>
        <w:t>附件三、</w:t>
      </w:r>
    </w:p>
    <w:p w14:paraId="5B6D9060">
      <w:pPr>
        <w:spacing w:line="360" w:lineRule="auto"/>
        <w:jc w:val="center"/>
        <w:rPr>
          <w:rFonts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监狱企业证明文件</w:t>
      </w:r>
    </w:p>
    <w:p w14:paraId="742289F1">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监狱企业参加政府采购活动时，应当提供由省级以上监狱管理局、戒毒管理局（含新疆生产建设兵团）出具的属于监狱企业的证明文件。</w:t>
      </w:r>
    </w:p>
    <w:p w14:paraId="0C916325">
      <w:pPr>
        <w:widowControl/>
        <w:adjustRightInd w:val="0"/>
        <w:snapToGrid w:val="0"/>
        <w:spacing w:line="360" w:lineRule="auto"/>
        <w:rPr>
          <w:rFonts w:ascii="仿宋" w:hAnsi="仿宋" w:eastAsia="仿宋" w:cs="仿宋"/>
          <w:color w:val="auto"/>
          <w:sz w:val="24"/>
          <w:szCs w:val="24"/>
          <w:highlight w:val="none"/>
        </w:rPr>
      </w:pPr>
    </w:p>
    <w:p w14:paraId="34FD001E">
      <w:pPr>
        <w:tabs>
          <w:tab w:val="center" w:pos="4832"/>
          <w:tab w:val="left" w:pos="7140"/>
        </w:tabs>
        <w:jc w:val="center"/>
        <w:outlineLvl w:val="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243" w:name="_Toc18236"/>
      <w:bookmarkStart w:id="244" w:name="_Toc109921165"/>
      <w:bookmarkStart w:id="245" w:name="_Toc109941772"/>
      <w:bookmarkStart w:id="246" w:name="_Toc110707972"/>
      <w:bookmarkStart w:id="247" w:name="_Toc21546"/>
      <w:bookmarkStart w:id="248" w:name="_Toc130252627"/>
      <w:bookmarkStart w:id="249" w:name="_Toc27167"/>
      <w:bookmarkStart w:id="250" w:name="_Toc20402"/>
      <w:r>
        <w:rPr>
          <w:rFonts w:hint="eastAsia" w:ascii="仿宋" w:hAnsi="仿宋" w:eastAsia="仿宋" w:cs="仿宋"/>
          <w:b/>
          <w:color w:val="auto"/>
          <w:sz w:val="24"/>
          <w:szCs w:val="24"/>
          <w:highlight w:val="none"/>
          <w:lang w:val="en-US" w:eastAsia="zh-CN"/>
        </w:rPr>
        <w:t>九</w:t>
      </w:r>
      <w:r>
        <w:rPr>
          <w:rFonts w:hint="eastAsia" w:ascii="仿宋" w:hAnsi="仿宋" w:eastAsia="仿宋" w:cs="仿宋"/>
          <w:b/>
          <w:color w:val="auto"/>
          <w:sz w:val="24"/>
          <w:szCs w:val="24"/>
          <w:highlight w:val="none"/>
        </w:rPr>
        <w:t>、投标人近年类似项目情况表</w:t>
      </w:r>
      <w:bookmarkEnd w:id="243"/>
      <w:bookmarkEnd w:id="244"/>
      <w:bookmarkEnd w:id="245"/>
      <w:bookmarkEnd w:id="246"/>
      <w:bookmarkEnd w:id="247"/>
      <w:bookmarkEnd w:id="248"/>
      <w:bookmarkEnd w:id="249"/>
      <w:bookmarkEnd w:id="250"/>
    </w:p>
    <w:p w14:paraId="2434995A">
      <w:pPr>
        <w:spacing w:line="360" w:lineRule="auto"/>
        <w:jc w:val="left"/>
        <w:rPr>
          <w:rFonts w:ascii="仿宋" w:hAnsi="仿宋" w:eastAsia="仿宋" w:cs="仿宋"/>
          <w:color w:val="auto"/>
          <w:sz w:val="24"/>
          <w:szCs w:val="24"/>
          <w:highlight w:val="none"/>
        </w:rPr>
      </w:pPr>
    </w:p>
    <w:tbl>
      <w:tblPr>
        <w:tblStyle w:val="38"/>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7"/>
        <w:gridCol w:w="1233"/>
        <w:gridCol w:w="963"/>
        <w:gridCol w:w="1922"/>
        <w:gridCol w:w="1212"/>
        <w:gridCol w:w="1232"/>
        <w:gridCol w:w="1232"/>
        <w:gridCol w:w="795"/>
      </w:tblGrid>
      <w:tr w14:paraId="53DDC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015A38BA">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1233" w:type="dxa"/>
            <w:shd w:val="clear" w:color="auto" w:fill="auto"/>
          </w:tcPr>
          <w:p w14:paraId="21753EC2">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项目名称</w:t>
            </w:r>
          </w:p>
        </w:tc>
        <w:tc>
          <w:tcPr>
            <w:tcW w:w="963" w:type="dxa"/>
            <w:shd w:val="clear" w:color="auto" w:fill="auto"/>
          </w:tcPr>
          <w:p w14:paraId="128BBB8A">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w:t>
            </w:r>
          </w:p>
        </w:tc>
        <w:tc>
          <w:tcPr>
            <w:tcW w:w="1922" w:type="dxa"/>
            <w:shd w:val="clear" w:color="auto" w:fill="auto"/>
          </w:tcPr>
          <w:p w14:paraId="0F9D09DB">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采购人联系方式</w:t>
            </w:r>
          </w:p>
        </w:tc>
        <w:tc>
          <w:tcPr>
            <w:tcW w:w="1212" w:type="dxa"/>
            <w:shd w:val="clear" w:color="auto" w:fill="auto"/>
          </w:tcPr>
          <w:p w14:paraId="7A3797FB">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合同内容</w:t>
            </w:r>
          </w:p>
        </w:tc>
        <w:tc>
          <w:tcPr>
            <w:tcW w:w="1232" w:type="dxa"/>
            <w:shd w:val="clear" w:color="auto" w:fill="auto"/>
          </w:tcPr>
          <w:p w14:paraId="0F7D9294">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合同价格</w:t>
            </w:r>
          </w:p>
        </w:tc>
        <w:tc>
          <w:tcPr>
            <w:tcW w:w="1232" w:type="dxa"/>
            <w:shd w:val="clear" w:color="auto" w:fill="auto"/>
          </w:tcPr>
          <w:p w14:paraId="3B61179B">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签约日期</w:t>
            </w:r>
          </w:p>
        </w:tc>
        <w:tc>
          <w:tcPr>
            <w:tcW w:w="795" w:type="dxa"/>
            <w:shd w:val="clear" w:color="auto" w:fill="auto"/>
          </w:tcPr>
          <w:p w14:paraId="015CCB85">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tc>
      </w:tr>
      <w:tr w14:paraId="615A3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30328BBE">
            <w:pPr>
              <w:rPr>
                <w:rFonts w:ascii="仿宋" w:hAnsi="仿宋" w:eastAsia="仿宋" w:cs="仿宋"/>
                <w:color w:val="auto"/>
                <w:kern w:val="0"/>
                <w:sz w:val="24"/>
                <w:szCs w:val="24"/>
                <w:highlight w:val="none"/>
              </w:rPr>
            </w:pPr>
          </w:p>
        </w:tc>
        <w:tc>
          <w:tcPr>
            <w:tcW w:w="1233" w:type="dxa"/>
            <w:shd w:val="clear" w:color="auto" w:fill="auto"/>
          </w:tcPr>
          <w:p w14:paraId="4B5D9A30">
            <w:pPr>
              <w:rPr>
                <w:rFonts w:ascii="仿宋" w:hAnsi="仿宋" w:eastAsia="仿宋" w:cs="仿宋"/>
                <w:color w:val="auto"/>
                <w:kern w:val="0"/>
                <w:sz w:val="24"/>
                <w:szCs w:val="24"/>
                <w:highlight w:val="none"/>
              </w:rPr>
            </w:pPr>
          </w:p>
        </w:tc>
        <w:tc>
          <w:tcPr>
            <w:tcW w:w="963" w:type="dxa"/>
            <w:shd w:val="clear" w:color="auto" w:fill="auto"/>
          </w:tcPr>
          <w:p w14:paraId="6A24E65F">
            <w:pPr>
              <w:rPr>
                <w:rFonts w:ascii="仿宋" w:hAnsi="仿宋" w:eastAsia="仿宋" w:cs="仿宋"/>
                <w:color w:val="auto"/>
                <w:kern w:val="0"/>
                <w:sz w:val="24"/>
                <w:szCs w:val="24"/>
                <w:highlight w:val="none"/>
              </w:rPr>
            </w:pPr>
          </w:p>
        </w:tc>
        <w:tc>
          <w:tcPr>
            <w:tcW w:w="1922" w:type="dxa"/>
            <w:shd w:val="clear" w:color="auto" w:fill="auto"/>
          </w:tcPr>
          <w:p w14:paraId="76900A40">
            <w:pPr>
              <w:rPr>
                <w:rFonts w:ascii="仿宋" w:hAnsi="仿宋" w:eastAsia="仿宋" w:cs="仿宋"/>
                <w:color w:val="auto"/>
                <w:kern w:val="0"/>
                <w:sz w:val="24"/>
                <w:szCs w:val="24"/>
                <w:highlight w:val="none"/>
              </w:rPr>
            </w:pPr>
          </w:p>
        </w:tc>
        <w:tc>
          <w:tcPr>
            <w:tcW w:w="1212" w:type="dxa"/>
            <w:shd w:val="clear" w:color="auto" w:fill="auto"/>
          </w:tcPr>
          <w:p w14:paraId="4BB21EF8">
            <w:pPr>
              <w:rPr>
                <w:rFonts w:ascii="仿宋" w:hAnsi="仿宋" w:eastAsia="仿宋" w:cs="仿宋"/>
                <w:color w:val="auto"/>
                <w:kern w:val="0"/>
                <w:sz w:val="24"/>
                <w:szCs w:val="24"/>
                <w:highlight w:val="none"/>
              </w:rPr>
            </w:pPr>
          </w:p>
        </w:tc>
        <w:tc>
          <w:tcPr>
            <w:tcW w:w="1232" w:type="dxa"/>
            <w:shd w:val="clear" w:color="auto" w:fill="auto"/>
          </w:tcPr>
          <w:p w14:paraId="1C06F1D2">
            <w:pPr>
              <w:rPr>
                <w:rFonts w:ascii="仿宋" w:hAnsi="仿宋" w:eastAsia="仿宋" w:cs="仿宋"/>
                <w:color w:val="auto"/>
                <w:kern w:val="0"/>
                <w:sz w:val="24"/>
                <w:szCs w:val="24"/>
                <w:highlight w:val="none"/>
              </w:rPr>
            </w:pPr>
          </w:p>
        </w:tc>
        <w:tc>
          <w:tcPr>
            <w:tcW w:w="1232" w:type="dxa"/>
            <w:shd w:val="clear" w:color="auto" w:fill="auto"/>
          </w:tcPr>
          <w:p w14:paraId="182A4455">
            <w:pPr>
              <w:rPr>
                <w:rFonts w:ascii="仿宋" w:hAnsi="仿宋" w:eastAsia="仿宋" w:cs="仿宋"/>
                <w:color w:val="auto"/>
                <w:kern w:val="0"/>
                <w:sz w:val="24"/>
                <w:szCs w:val="24"/>
                <w:highlight w:val="none"/>
              </w:rPr>
            </w:pPr>
          </w:p>
        </w:tc>
        <w:tc>
          <w:tcPr>
            <w:tcW w:w="795" w:type="dxa"/>
            <w:shd w:val="clear" w:color="auto" w:fill="auto"/>
          </w:tcPr>
          <w:p w14:paraId="432C2434">
            <w:pPr>
              <w:rPr>
                <w:rFonts w:ascii="仿宋" w:hAnsi="仿宋" w:eastAsia="仿宋" w:cs="仿宋"/>
                <w:color w:val="auto"/>
                <w:kern w:val="0"/>
                <w:sz w:val="24"/>
                <w:szCs w:val="24"/>
                <w:highlight w:val="none"/>
              </w:rPr>
            </w:pPr>
          </w:p>
        </w:tc>
      </w:tr>
      <w:tr w14:paraId="64F7E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622D50D3">
            <w:pPr>
              <w:rPr>
                <w:rFonts w:ascii="仿宋" w:hAnsi="仿宋" w:eastAsia="仿宋" w:cs="仿宋"/>
                <w:color w:val="auto"/>
                <w:kern w:val="0"/>
                <w:sz w:val="24"/>
                <w:szCs w:val="24"/>
                <w:highlight w:val="none"/>
              </w:rPr>
            </w:pPr>
          </w:p>
        </w:tc>
        <w:tc>
          <w:tcPr>
            <w:tcW w:w="1233" w:type="dxa"/>
            <w:shd w:val="clear" w:color="auto" w:fill="auto"/>
          </w:tcPr>
          <w:p w14:paraId="0F21C7B5">
            <w:pPr>
              <w:rPr>
                <w:rFonts w:ascii="仿宋" w:hAnsi="仿宋" w:eastAsia="仿宋" w:cs="仿宋"/>
                <w:color w:val="auto"/>
                <w:kern w:val="0"/>
                <w:sz w:val="24"/>
                <w:szCs w:val="24"/>
                <w:highlight w:val="none"/>
              </w:rPr>
            </w:pPr>
          </w:p>
        </w:tc>
        <w:tc>
          <w:tcPr>
            <w:tcW w:w="963" w:type="dxa"/>
            <w:shd w:val="clear" w:color="auto" w:fill="auto"/>
          </w:tcPr>
          <w:p w14:paraId="62D2FF2A">
            <w:pPr>
              <w:rPr>
                <w:rFonts w:ascii="仿宋" w:hAnsi="仿宋" w:eastAsia="仿宋" w:cs="仿宋"/>
                <w:color w:val="auto"/>
                <w:kern w:val="0"/>
                <w:sz w:val="24"/>
                <w:szCs w:val="24"/>
                <w:highlight w:val="none"/>
              </w:rPr>
            </w:pPr>
          </w:p>
        </w:tc>
        <w:tc>
          <w:tcPr>
            <w:tcW w:w="1922" w:type="dxa"/>
            <w:shd w:val="clear" w:color="auto" w:fill="auto"/>
          </w:tcPr>
          <w:p w14:paraId="6812D62B">
            <w:pPr>
              <w:rPr>
                <w:rFonts w:ascii="仿宋" w:hAnsi="仿宋" w:eastAsia="仿宋" w:cs="仿宋"/>
                <w:color w:val="auto"/>
                <w:kern w:val="0"/>
                <w:sz w:val="24"/>
                <w:szCs w:val="24"/>
                <w:highlight w:val="none"/>
              </w:rPr>
            </w:pPr>
          </w:p>
        </w:tc>
        <w:tc>
          <w:tcPr>
            <w:tcW w:w="1212" w:type="dxa"/>
            <w:shd w:val="clear" w:color="auto" w:fill="auto"/>
          </w:tcPr>
          <w:p w14:paraId="6390B1F3">
            <w:pPr>
              <w:rPr>
                <w:rFonts w:ascii="仿宋" w:hAnsi="仿宋" w:eastAsia="仿宋" w:cs="仿宋"/>
                <w:color w:val="auto"/>
                <w:kern w:val="0"/>
                <w:sz w:val="24"/>
                <w:szCs w:val="24"/>
                <w:highlight w:val="none"/>
              </w:rPr>
            </w:pPr>
          </w:p>
        </w:tc>
        <w:tc>
          <w:tcPr>
            <w:tcW w:w="1232" w:type="dxa"/>
            <w:shd w:val="clear" w:color="auto" w:fill="auto"/>
          </w:tcPr>
          <w:p w14:paraId="3A0A9FF4">
            <w:pPr>
              <w:rPr>
                <w:rFonts w:ascii="仿宋" w:hAnsi="仿宋" w:eastAsia="仿宋" w:cs="仿宋"/>
                <w:color w:val="auto"/>
                <w:kern w:val="0"/>
                <w:sz w:val="24"/>
                <w:szCs w:val="24"/>
                <w:highlight w:val="none"/>
              </w:rPr>
            </w:pPr>
          </w:p>
        </w:tc>
        <w:tc>
          <w:tcPr>
            <w:tcW w:w="1232" w:type="dxa"/>
            <w:shd w:val="clear" w:color="auto" w:fill="auto"/>
          </w:tcPr>
          <w:p w14:paraId="39B959D2">
            <w:pPr>
              <w:rPr>
                <w:rFonts w:ascii="仿宋" w:hAnsi="仿宋" w:eastAsia="仿宋" w:cs="仿宋"/>
                <w:color w:val="auto"/>
                <w:kern w:val="0"/>
                <w:sz w:val="24"/>
                <w:szCs w:val="24"/>
                <w:highlight w:val="none"/>
              </w:rPr>
            </w:pPr>
          </w:p>
        </w:tc>
        <w:tc>
          <w:tcPr>
            <w:tcW w:w="795" w:type="dxa"/>
            <w:shd w:val="clear" w:color="auto" w:fill="auto"/>
          </w:tcPr>
          <w:p w14:paraId="7821AC2C">
            <w:pPr>
              <w:rPr>
                <w:rFonts w:ascii="仿宋" w:hAnsi="仿宋" w:eastAsia="仿宋" w:cs="仿宋"/>
                <w:color w:val="auto"/>
                <w:kern w:val="0"/>
                <w:sz w:val="24"/>
                <w:szCs w:val="24"/>
                <w:highlight w:val="none"/>
              </w:rPr>
            </w:pPr>
          </w:p>
        </w:tc>
      </w:tr>
      <w:tr w14:paraId="6EC9F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21CBFEE7">
            <w:pPr>
              <w:rPr>
                <w:rFonts w:ascii="仿宋" w:hAnsi="仿宋" w:eastAsia="仿宋" w:cs="仿宋"/>
                <w:color w:val="auto"/>
                <w:kern w:val="0"/>
                <w:sz w:val="24"/>
                <w:szCs w:val="24"/>
                <w:highlight w:val="none"/>
              </w:rPr>
            </w:pPr>
          </w:p>
        </w:tc>
        <w:tc>
          <w:tcPr>
            <w:tcW w:w="1233" w:type="dxa"/>
            <w:shd w:val="clear" w:color="auto" w:fill="auto"/>
          </w:tcPr>
          <w:p w14:paraId="12547F1B">
            <w:pPr>
              <w:rPr>
                <w:rFonts w:ascii="仿宋" w:hAnsi="仿宋" w:eastAsia="仿宋" w:cs="仿宋"/>
                <w:color w:val="auto"/>
                <w:kern w:val="0"/>
                <w:sz w:val="24"/>
                <w:szCs w:val="24"/>
                <w:highlight w:val="none"/>
              </w:rPr>
            </w:pPr>
          </w:p>
        </w:tc>
        <w:tc>
          <w:tcPr>
            <w:tcW w:w="963" w:type="dxa"/>
            <w:shd w:val="clear" w:color="auto" w:fill="auto"/>
          </w:tcPr>
          <w:p w14:paraId="4249A0ED">
            <w:pPr>
              <w:rPr>
                <w:rFonts w:ascii="仿宋" w:hAnsi="仿宋" w:eastAsia="仿宋" w:cs="仿宋"/>
                <w:color w:val="auto"/>
                <w:kern w:val="0"/>
                <w:sz w:val="24"/>
                <w:szCs w:val="24"/>
                <w:highlight w:val="none"/>
              </w:rPr>
            </w:pPr>
          </w:p>
        </w:tc>
        <w:tc>
          <w:tcPr>
            <w:tcW w:w="1922" w:type="dxa"/>
            <w:shd w:val="clear" w:color="auto" w:fill="auto"/>
          </w:tcPr>
          <w:p w14:paraId="3D1CF853">
            <w:pPr>
              <w:rPr>
                <w:rFonts w:ascii="仿宋" w:hAnsi="仿宋" w:eastAsia="仿宋" w:cs="仿宋"/>
                <w:color w:val="auto"/>
                <w:kern w:val="0"/>
                <w:sz w:val="24"/>
                <w:szCs w:val="24"/>
                <w:highlight w:val="none"/>
              </w:rPr>
            </w:pPr>
          </w:p>
        </w:tc>
        <w:tc>
          <w:tcPr>
            <w:tcW w:w="1212" w:type="dxa"/>
            <w:shd w:val="clear" w:color="auto" w:fill="auto"/>
          </w:tcPr>
          <w:p w14:paraId="12EB9617">
            <w:pPr>
              <w:rPr>
                <w:rFonts w:ascii="仿宋" w:hAnsi="仿宋" w:eastAsia="仿宋" w:cs="仿宋"/>
                <w:color w:val="auto"/>
                <w:kern w:val="0"/>
                <w:sz w:val="24"/>
                <w:szCs w:val="24"/>
                <w:highlight w:val="none"/>
              </w:rPr>
            </w:pPr>
          </w:p>
        </w:tc>
        <w:tc>
          <w:tcPr>
            <w:tcW w:w="1232" w:type="dxa"/>
            <w:shd w:val="clear" w:color="auto" w:fill="auto"/>
          </w:tcPr>
          <w:p w14:paraId="56B4AB62">
            <w:pPr>
              <w:rPr>
                <w:rFonts w:ascii="仿宋" w:hAnsi="仿宋" w:eastAsia="仿宋" w:cs="仿宋"/>
                <w:color w:val="auto"/>
                <w:kern w:val="0"/>
                <w:sz w:val="24"/>
                <w:szCs w:val="24"/>
                <w:highlight w:val="none"/>
              </w:rPr>
            </w:pPr>
          </w:p>
        </w:tc>
        <w:tc>
          <w:tcPr>
            <w:tcW w:w="1232" w:type="dxa"/>
            <w:shd w:val="clear" w:color="auto" w:fill="auto"/>
          </w:tcPr>
          <w:p w14:paraId="69746B5E">
            <w:pPr>
              <w:rPr>
                <w:rFonts w:ascii="仿宋" w:hAnsi="仿宋" w:eastAsia="仿宋" w:cs="仿宋"/>
                <w:color w:val="auto"/>
                <w:kern w:val="0"/>
                <w:sz w:val="24"/>
                <w:szCs w:val="24"/>
                <w:highlight w:val="none"/>
              </w:rPr>
            </w:pPr>
          </w:p>
        </w:tc>
        <w:tc>
          <w:tcPr>
            <w:tcW w:w="795" w:type="dxa"/>
            <w:shd w:val="clear" w:color="auto" w:fill="auto"/>
          </w:tcPr>
          <w:p w14:paraId="0E670088">
            <w:pPr>
              <w:rPr>
                <w:rFonts w:ascii="仿宋" w:hAnsi="仿宋" w:eastAsia="仿宋" w:cs="仿宋"/>
                <w:color w:val="auto"/>
                <w:kern w:val="0"/>
                <w:sz w:val="24"/>
                <w:szCs w:val="24"/>
                <w:highlight w:val="none"/>
              </w:rPr>
            </w:pPr>
          </w:p>
        </w:tc>
      </w:tr>
      <w:tr w14:paraId="2FCA0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0CF3AF54">
            <w:pPr>
              <w:rPr>
                <w:rFonts w:ascii="仿宋" w:hAnsi="仿宋" w:eastAsia="仿宋" w:cs="仿宋"/>
                <w:color w:val="auto"/>
                <w:kern w:val="0"/>
                <w:sz w:val="24"/>
                <w:szCs w:val="24"/>
                <w:highlight w:val="none"/>
              </w:rPr>
            </w:pPr>
          </w:p>
        </w:tc>
        <w:tc>
          <w:tcPr>
            <w:tcW w:w="1233" w:type="dxa"/>
            <w:shd w:val="clear" w:color="auto" w:fill="auto"/>
          </w:tcPr>
          <w:p w14:paraId="3C6263C5">
            <w:pPr>
              <w:rPr>
                <w:rFonts w:ascii="仿宋" w:hAnsi="仿宋" w:eastAsia="仿宋" w:cs="仿宋"/>
                <w:color w:val="auto"/>
                <w:kern w:val="0"/>
                <w:sz w:val="24"/>
                <w:szCs w:val="24"/>
                <w:highlight w:val="none"/>
              </w:rPr>
            </w:pPr>
          </w:p>
        </w:tc>
        <w:tc>
          <w:tcPr>
            <w:tcW w:w="963" w:type="dxa"/>
            <w:shd w:val="clear" w:color="auto" w:fill="auto"/>
          </w:tcPr>
          <w:p w14:paraId="074900BF">
            <w:pPr>
              <w:rPr>
                <w:rFonts w:ascii="仿宋" w:hAnsi="仿宋" w:eastAsia="仿宋" w:cs="仿宋"/>
                <w:color w:val="auto"/>
                <w:kern w:val="0"/>
                <w:sz w:val="24"/>
                <w:szCs w:val="24"/>
                <w:highlight w:val="none"/>
              </w:rPr>
            </w:pPr>
          </w:p>
        </w:tc>
        <w:tc>
          <w:tcPr>
            <w:tcW w:w="1922" w:type="dxa"/>
            <w:shd w:val="clear" w:color="auto" w:fill="auto"/>
          </w:tcPr>
          <w:p w14:paraId="09FA70E0">
            <w:pPr>
              <w:rPr>
                <w:rFonts w:ascii="仿宋" w:hAnsi="仿宋" w:eastAsia="仿宋" w:cs="仿宋"/>
                <w:color w:val="auto"/>
                <w:kern w:val="0"/>
                <w:sz w:val="24"/>
                <w:szCs w:val="24"/>
                <w:highlight w:val="none"/>
              </w:rPr>
            </w:pPr>
          </w:p>
        </w:tc>
        <w:tc>
          <w:tcPr>
            <w:tcW w:w="1212" w:type="dxa"/>
            <w:shd w:val="clear" w:color="auto" w:fill="auto"/>
          </w:tcPr>
          <w:p w14:paraId="63EE8EA9">
            <w:pPr>
              <w:rPr>
                <w:rFonts w:ascii="仿宋" w:hAnsi="仿宋" w:eastAsia="仿宋" w:cs="仿宋"/>
                <w:color w:val="auto"/>
                <w:kern w:val="0"/>
                <w:sz w:val="24"/>
                <w:szCs w:val="24"/>
                <w:highlight w:val="none"/>
              </w:rPr>
            </w:pPr>
          </w:p>
        </w:tc>
        <w:tc>
          <w:tcPr>
            <w:tcW w:w="1232" w:type="dxa"/>
            <w:shd w:val="clear" w:color="auto" w:fill="auto"/>
          </w:tcPr>
          <w:p w14:paraId="141CF655">
            <w:pPr>
              <w:rPr>
                <w:rFonts w:ascii="仿宋" w:hAnsi="仿宋" w:eastAsia="仿宋" w:cs="仿宋"/>
                <w:color w:val="auto"/>
                <w:kern w:val="0"/>
                <w:sz w:val="24"/>
                <w:szCs w:val="24"/>
                <w:highlight w:val="none"/>
              </w:rPr>
            </w:pPr>
          </w:p>
        </w:tc>
        <w:tc>
          <w:tcPr>
            <w:tcW w:w="1232" w:type="dxa"/>
            <w:shd w:val="clear" w:color="auto" w:fill="auto"/>
          </w:tcPr>
          <w:p w14:paraId="2D07A812">
            <w:pPr>
              <w:rPr>
                <w:rFonts w:ascii="仿宋" w:hAnsi="仿宋" w:eastAsia="仿宋" w:cs="仿宋"/>
                <w:color w:val="auto"/>
                <w:kern w:val="0"/>
                <w:sz w:val="24"/>
                <w:szCs w:val="24"/>
                <w:highlight w:val="none"/>
              </w:rPr>
            </w:pPr>
          </w:p>
        </w:tc>
        <w:tc>
          <w:tcPr>
            <w:tcW w:w="795" w:type="dxa"/>
            <w:shd w:val="clear" w:color="auto" w:fill="auto"/>
          </w:tcPr>
          <w:p w14:paraId="641868E1">
            <w:pPr>
              <w:rPr>
                <w:rFonts w:ascii="仿宋" w:hAnsi="仿宋" w:eastAsia="仿宋" w:cs="仿宋"/>
                <w:color w:val="auto"/>
                <w:kern w:val="0"/>
                <w:sz w:val="24"/>
                <w:szCs w:val="24"/>
                <w:highlight w:val="none"/>
              </w:rPr>
            </w:pPr>
          </w:p>
        </w:tc>
      </w:tr>
      <w:tr w14:paraId="6B3AD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2A0727B8">
            <w:pPr>
              <w:rPr>
                <w:rFonts w:ascii="仿宋" w:hAnsi="仿宋" w:eastAsia="仿宋" w:cs="仿宋"/>
                <w:color w:val="auto"/>
                <w:kern w:val="0"/>
                <w:sz w:val="24"/>
                <w:szCs w:val="24"/>
                <w:highlight w:val="none"/>
              </w:rPr>
            </w:pPr>
          </w:p>
        </w:tc>
        <w:tc>
          <w:tcPr>
            <w:tcW w:w="1233" w:type="dxa"/>
            <w:shd w:val="clear" w:color="auto" w:fill="auto"/>
          </w:tcPr>
          <w:p w14:paraId="1AF3F5A5">
            <w:pPr>
              <w:rPr>
                <w:rFonts w:ascii="仿宋" w:hAnsi="仿宋" w:eastAsia="仿宋" w:cs="仿宋"/>
                <w:color w:val="auto"/>
                <w:kern w:val="0"/>
                <w:sz w:val="24"/>
                <w:szCs w:val="24"/>
                <w:highlight w:val="none"/>
              </w:rPr>
            </w:pPr>
          </w:p>
        </w:tc>
        <w:tc>
          <w:tcPr>
            <w:tcW w:w="963" w:type="dxa"/>
            <w:shd w:val="clear" w:color="auto" w:fill="auto"/>
          </w:tcPr>
          <w:p w14:paraId="796BD49B">
            <w:pPr>
              <w:rPr>
                <w:rFonts w:ascii="仿宋" w:hAnsi="仿宋" w:eastAsia="仿宋" w:cs="仿宋"/>
                <w:color w:val="auto"/>
                <w:kern w:val="0"/>
                <w:sz w:val="24"/>
                <w:szCs w:val="24"/>
                <w:highlight w:val="none"/>
              </w:rPr>
            </w:pPr>
          </w:p>
        </w:tc>
        <w:tc>
          <w:tcPr>
            <w:tcW w:w="1922" w:type="dxa"/>
            <w:shd w:val="clear" w:color="auto" w:fill="auto"/>
          </w:tcPr>
          <w:p w14:paraId="5093E1C8">
            <w:pPr>
              <w:rPr>
                <w:rFonts w:ascii="仿宋" w:hAnsi="仿宋" w:eastAsia="仿宋" w:cs="仿宋"/>
                <w:color w:val="auto"/>
                <w:kern w:val="0"/>
                <w:sz w:val="24"/>
                <w:szCs w:val="24"/>
                <w:highlight w:val="none"/>
              </w:rPr>
            </w:pPr>
          </w:p>
        </w:tc>
        <w:tc>
          <w:tcPr>
            <w:tcW w:w="1212" w:type="dxa"/>
            <w:shd w:val="clear" w:color="auto" w:fill="auto"/>
          </w:tcPr>
          <w:p w14:paraId="4AF6184B">
            <w:pPr>
              <w:rPr>
                <w:rFonts w:ascii="仿宋" w:hAnsi="仿宋" w:eastAsia="仿宋" w:cs="仿宋"/>
                <w:color w:val="auto"/>
                <w:kern w:val="0"/>
                <w:sz w:val="24"/>
                <w:szCs w:val="24"/>
                <w:highlight w:val="none"/>
              </w:rPr>
            </w:pPr>
          </w:p>
        </w:tc>
        <w:tc>
          <w:tcPr>
            <w:tcW w:w="1232" w:type="dxa"/>
            <w:shd w:val="clear" w:color="auto" w:fill="auto"/>
          </w:tcPr>
          <w:p w14:paraId="768F65B7">
            <w:pPr>
              <w:rPr>
                <w:rFonts w:ascii="仿宋" w:hAnsi="仿宋" w:eastAsia="仿宋" w:cs="仿宋"/>
                <w:color w:val="auto"/>
                <w:kern w:val="0"/>
                <w:sz w:val="24"/>
                <w:szCs w:val="24"/>
                <w:highlight w:val="none"/>
              </w:rPr>
            </w:pPr>
          </w:p>
        </w:tc>
        <w:tc>
          <w:tcPr>
            <w:tcW w:w="1232" w:type="dxa"/>
            <w:shd w:val="clear" w:color="auto" w:fill="auto"/>
          </w:tcPr>
          <w:p w14:paraId="5AB9D7AE">
            <w:pPr>
              <w:rPr>
                <w:rFonts w:ascii="仿宋" w:hAnsi="仿宋" w:eastAsia="仿宋" w:cs="仿宋"/>
                <w:color w:val="auto"/>
                <w:kern w:val="0"/>
                <w:sz w:val="24"/>
                <w:szCs w:val="24"/>
                <w:highlight w:val="none"/>
              </w:rPr>
            </w:pPr>
          </w:p>
        </w:tc>
        <w:tc>
          <w:tcPr>
            <w:tcW w:w="795" w:type="dxa"/>
            <w:shd w:val="clear" w:color="auto" w:fill="auto"/>
          </w:tcPr>
          <w:p w14:paraId="7C1716AB">
            <w:pPr>
              <w:rPr>
                <w:rFonts w:ascii="仿宋" w:hAnsi="仿宋" w:eastAsia="仿宋" w:cs="仿宋"/>
                <w:color w:val="auto"/>
                <w:kern w:val="0"/>
                <w:sz w:val="24"/>
                <w:szCs w:val="24"/>
                <w:highlight w:val="none"/>
              </w:rPr>
            </w:pPr>
          </w:p>
        </w:tc>
      </w:tr>
    </w:tbl>
    <w:p w14:paraId="17CBF279">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1E443F1F">
      <w:pPr>
        <w:tabs>
          <w:tab w:val="center" w:pos="4832"/>
          <w:tab w:val="left" w:pos="7140"/>
        </w:tabs>
        <w:spacing w:line="360" w:lineRule="auto"/>
        <w:jc w:val="center"/>
        <w:outlineLvl w:val="1"/>
        <w:rPr>
          <w:rFonts w:ascii="仿宋" w:hAnsi="仿宋" w:eastAsia="仿宋" w:cs="仿宋"/>
          <w:b/>
          <w:bCs/>
          <w:color w:val="auto"/>
          <w:sz w:val="24"/>
          <w:szCs w:val="24"/>
          <w:highlight w:val="none"/>
          <w:shd w:val="clear" w:color="auto" w:fill="FFFFFF" w:themeFill="background1"/>
        </w:rPr>
      </w:pPr>
      <w:bookmarkStart w:id="251" w:name="_Toc38446480"/>
      <w:bookmarkStart w:id="252" w:name="_Toc18139"/>
      <w:bookmarkStart w:id="253" w:name="_Toc27045"/>
      <w:bookmarkStart w:id="254" w:name="_Toc5084"/>
      <w:bookmarkStart w:id="255" w:name="_Toc507586175"/>
      <w:bookmarkStart w:id="256" w:name="_Toc533503191"/>
      <w:bookmarkStart w:id="257" w:name="_Toc31271"/>
      <w:r>
        <w:rPr>
          <w:rFonts w:hint="eastAsia" w:ascii="仿宋" w:hAnsi="仿宋" w:eastAsia="仿宋" w:cs="仿宋"/>
          <w:b/>
          <w:color w:val="auto"/>
          <w:sz w:val="24"/>
          <w:szCs w:val="24"/>
          <w:highlight w:val="none"/>
          <w:shd w:val="clear" w:color="auto" w:fill="FFFFFF" w:themeFill="background1"/>
          <w:lang w:val="en-US" w:eastAsia="zh-CN"/>
        </w:rPr>
        <w:t>十</w:t>
      </w:r>
      <w:r>
        <w:rPr>
          <w:rFonts w:hint="eastAsia" w:ascii="仿宋" w:hAnsi="仿宋" w:eastAsia="仿宋" w:cs="仿宋"/>
          <w:b/>
          <w:color w:val="auto"/>
          <w:sz w:val="24"/>
          <w:szCs w:val="24"/>
          <w:highlight w:val="none"/>
          <w:shd w:val="clear" w:color="auto" w:fill="FFFFFF" w:themeFill="background1"/>
        </w:rPr>
        <w:t>、</w:t>
      </w:r>
      <w:bookmarkEnd w:id="251"/>
      <w:bookmarkEnd w:id="252"/>
      <w:bookmarkEnd w:id="253"/>
      <w:bookmarkEnd w:id="254"/>
      <w:bookmarkEnd w:id="255"/>
      <w:bookmarkEnd w:id="256"/>
      <w:r>
        <w:rPr>
          <w:rFonts w:hint="eastAsia" w:ascii="仿宋" w:hAnsi="仿宋" w:eastAsia="仿宋" w:cs="仿宋"/>
          <w:b/>
          <w:color w:val="auto"/>
          <w:sz w:val="24"/>
          <w:szCs w:val="24"/>
          <w:highlight w:val="none"/>
          <w:shd w:val="clear" w:color="auto" w:fill="FFFFFF" w:themeFill="background1"/>
        </w:rPr>
        <w:t>售后服务承诺书</w:t>
      </w:r>
      <w:bookmarkEnd w:id="257"/>
    </w:p>
    <w:p w14:paraId="146C69CE">
      <w:pPr>
        <w:spacing w:line="360" w:lineRule="auto"/>
        <w:jc w:val="left"/>
        <w:rPr>
          <w:rFonts w:ascii="仿宋" w:hAnsi="仿宋" w:eastAsia="仿宋" w:cs="仿宋"/>
          <w:color w:val="auto"/>
          <w:sz w:val="24"/>
          <w:szCs w:val="24"/>
          <w:highlight w:val="none"/>
          <w:shd w:val="clear" w:color="auto" w:fill="FFFFFF" w:themeFill="background1"/>
        </w:rPr>
      </w:pPr>
    </w:p>
    <w:p w14:paraId="52EA4C0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格式和内容</w:t>
      </w:r>
      <w:r>
        <w:rPr>
          <w:rFonts w:hint="eastAsia" w:ascii="仿宋" w:hAnsi="仿宋" w:eastAsia="仿宋" w:cs="仿宋"/>
          <w:color w:val="auto"/>
          <w:sz w:val="24"/>
          <w:szCs w:val="24"/>
          <w:highlight w:val="none"/>
        </w:rPr>
        <w:t>自行拟定</w:t>
      </w:r>
    </w:p>
    <w:p w14:paraId="417A6F08">
      <w:pPr>
        <w:spacing w:line="360" w:lineRule="auto"/>
        <w:ind w:firstLine="480" w:firstLineChars="200"/>
        <w:rPr>
          <w:rFonts w:hint="eastAsia" w:ascii="仿宋" w:hAnsi="仿宋" w:eastAsia="仿宋" w:cs="仿宋"/>
          <w:color w:val="auto"/>
          <w:sz w:val="24"/>
          <w:szCs w:val="24"/>
          <w:highlight w:val="none"/>
        </w:rPr>
      </w:pPr>
    </w:p>
    <w:p w14:paraId="70911992">
      <w:pPr>
        <w:spacing w:line="360" w:lineRule="auto"/>
        <w:ind w:firstLine="480" w:firstLineChars="200"/>
        <w:rPr>
          <w:rFonts w:hint="eastAsia" w:ascii="仿宋" w:hAnsi="仿宋" w:eastAsia="仿宋" w:cs="仿宋"/>
          <w:color w:val="auto"/>
          <w:sz w:val="24"/>
          <w:szCs w:val="24"/>
          <w:highlight w:val="none"/>
        </w:rPr>
      </w:pPr>
    </w:p>
    <w:p w14:paraId="54313E23">
      <w:pPr>
        <w:spacing w:line="360" w:lineRule="auto"/>
        <w:ind w:firstLine="480" w:firstLineChars="200"/>
        <w:rPr>
          <w:rFonts w:hint="eastAsia" w:ascii="仿宋" w:hAnsi="仿宋" w:eastAsia="仿宋" w:cs="仿宋"/>
          <w:color w:val="auto"/>
          <w:sz w:val="24"/>
          <w:szCs w:val="24"/>
          <w:highlight w:val="none"/>
        </w:rPr>
      </w:pPr>
    </w:p>
    <w:p w14:paraId="57824C3E">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1FEEC22D">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E33EFCE">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432999B6">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69348FFA">
      <w:pPr>
        <w:tabs>
          <w:tab w:val="center" w:pos="4832"/>
          <w:tab w:val="left" w:pos="7140"/>
        </w:tabs>
        <w:spacing w:line="360" w:lineRule="auto"/>
        <w:jc w:val="center"/>
        <w:outlineLvl w:val="1"/>
        <w:rPr>
          <w:rFonts w:ascii="仿宋" w:hAnsi="仿宋" w:eastAsia="仿宋" w:cs="仿宋"/>
          <w:b/>
          <w:bCs/>
          <w:color w:val="auto"/>
          <w:sz w:val="24"/>
          <w:szCs w:val="24"/>
          <w:highlight w:val="none"/>
          <w:shd w:val="clear" w:color="auto" w:fill="FFFFFF" w:themeFill="background1"/>
        </w:rPr>
      </w:pPr>
      <w:bookmarkStart w:id="258" w:name="_Toc9493"/>
      <w:bookmarkStart w:id="259" w:name="_Toc22814"/>
      <w:bookmarkStart w:id="260" w:name="_Toc6244"/>
      <w:r>
        <w:rPr>
          <w:rFonts w:hint="eastAsia" w:ascii="仿宋" w:hAnsi="仿宋" w:eastAsia="仿宋" w:cs="仿宋"/>
          <w:b/>
          <w:color w:val="auto"/>
          <w:sz w:val="24"/>
          <w:szCs w:val="24"/>
          <w:highlight w:val="none"/>
          <w:shd w:val="clear" w:color="auto" w:fill="FFFFFF" w:themeFill="background1"/>
        </w:rPr>
        <w:t>十</w:t>
      </w:r>
      <w:r>
        <w:rPr>
          <w:rFonts w:hint="eastAsia" w:ascii="仿宋" w:hAnsi="仿宋" w:eastAsia="仿宋" w:cs="仿宋"/>
          <w:b/>
          <w:color w:val="auto"/>
          <w:sz w:val="24"/>
          <w:szCs w:val="24"/>
          <w:highlight w:val="none"/>
          <w:shd w:val="clear" w:color="auto" w:fill="FFFFFF" w:themeFill="background1"/>
          <w:lang w:val="en-US" w:eastAsia="zh-CN"/>
        </w:rPr>
        <w:t>一</w:t>
      </w:r>
      <w:r>
        <w:rPr>
          <w:rFonts w:hint="eastAsia" w:ascii="仿宋" w:hAnsi="仿宋" w:eastAsia="仿宋" w:cs="仿宋"/>
          <w:b/>
          <w:color w:val="auto"/>
          <w:sz w:val="24"/>
          <w:szCs w:val="24"/>
          <w:highlight w:val="none"/>
          <w:shd w:val="clear" w:color="auto" w:fill="FFFFFF" w:themeFill="background1"/>
        </w:rPr>
        <w:t>、</w:t>
      </w:r>
      <w:bookmarkEnd w:id="258"/>
      <w:bookmarkEnd w:id="259"/>
      <w:r>
        <w:rPr>
          <w:rFonts w:hint="eastAsia" w:ascii="仿宋" w:hAnsi="仿宋" w:eastAsia="仿宋" w:cs="仿宋"/>
          <w:b/>
          <w:color w:val="auto"/>
          <w:sz w:val="24"/>
          <w:szCs w:val="24"/>
          <w:highlight w:val="none"/>
          <w:shd w:val="clear" w:color="auto" w:fill="FFFFFF" w:themeFill="background1"/>
        </w:rPr>
        <w:t>技术方案</w:t>
      </w:r>
      <w:bookmarkEnd w:id="260"/>
    </w:p>
    <w:p w14:paraId="1CC81F42">
      <w:pPr>
        <w:widowControl/>
        <w:jc w:val="left"/>
        <w:rPr>
          <w:rFonts w:ascii="仿宋" w:hAnsi="仿宋" w:eastAsia="仿宋" w:cs="仿宋"/>
          <w:color w:val="auto"/>
          <w:highlight w:val="none"/>
        </w:rPr>
      </w:pPr>
    </w:p>
    <w:p w14:paraId="6343852E">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格式和内容自行拟定</w:t>
      </w:r>
    </w:p>
    <w:p w14:paraId="2765EF58">
      <w:pPr>
        <w:pStyle w:val="37"/>
        <w:rPr>
          <w:rFonts w:hint="eastAsia" w:ascii="仿宋" w:hAnsi="仿宋" w:eastAsia="仿宋" w:cs="仿宋"/>
          <w:color w:val="auto"/>
          <w:sz w:val="24"/>
          <w:szCs w:val="24"/>
          <w:highlight w:val="none"/>
          <w:shd w:val="clear" w:color="auto" w:fill="FFFFFF" w:themeFill="background1"/>
        </w:rPr>
      </w:pPr>
    </w:p>
    <w:p w14:paraId="62244E18">
      <w:pPr>
        <w:rPr>
          <w:rFonts w:hint="eastAsia" w:ascii="仿宋" w:hAnsi="仿宋" w:eastAsia="仿宋" w:cs="仿宋"/>
          <w:color w:val="auto"/>
          <w:sz w:val="24"/>
          <w:szCs w:val="24"/>
          <w:highlight w:val="none"/>
          <w:shd w:val="clear" w:color="auto" w:fill="FFFFFF" w:themeFill="background1"/>
        </w:rPr>
      </w:pPr>
    </w:p>
    <w:p w14:paraId="39E0AE16">
      <w:pPr>
        <w:pStyle w:val="37"/>
        <w:rPr>
          <w:color w:val="auto"/>
          <w:highlight w:val="none"/>
        </w:rPr>
      </w:pPr>
    </w:p>
    <w:bookmarkEnd w:id="129"/>
    <w:p w14:paraId="72B7C0E4">
      <w:pPr>
        <w:rPr>
          <w:rFonts w:hint="eastAsia" w:ascii="仿宋" w:hAnsi="仿宋" w:eastAsia="仿宋" w:cs="仿宋"/>
          <w:b/>
          <w:color w:val="auto"/>
          <w:sz w:val="24"/>
          <w:szCs w:val="24"/>
          <w:highlight w:val="none"/>
        </w:rPr>
      </w:pPr>
      <w:bookmarkStart w:id="261" w:name="_Toc16202"/>
      <w:bookmarkStart w:id="262" w:name="_Toc24108"/>
      <w:bookmarkStart w:id="263" w:name="_Toc109921168"/>
      <w:bookmarkStart w:id="264" w:name="_Toc109941775"/>
      <w:bookmarkStart w:id="265" w:name="_Toc130252630"/>
      <w:bookmarkStart w:id="266" w:name="_Toc110707975"/>
      <w:r>
        <w:rPr>
          <w:rFonts w:hint="eastAsia" w:ascii="仿宋" w:hAnsi="仿宋" w:eastAsia="仿宋" w:cs="仿宋"/>
          <w:b/>
          <w:color w:val="auto"/>
          <w:sz w:val="24"/>
          <w:szCs w:val="24"/>
          <w:highlight w:val="none"/>
        </w:rPr>
        <w:br w:type="page"/>
      </w:r>
    </w:p>
    <w:p w14:paraId="448C72BE">
      <w:pPr>
        <w:tabs>
          <w:tab w:val="center" w:pos="4832"/>
          <w:tab w:val="left" w:pos="7140"/>
        </w:tabs>
        <w:jc w:val="center"/>
        <w:outlineLvl w:val="1"/>
        <w:rPr>
          <w:rFonts w:ascii="仿宋" w:hAnsi="仿宋" w:eastAsia="仿宋" w:cs="仿宋"/>
          <w:b/>
          <w:color w:val="auto"/>
          <w:sz w:val="24"/>
          <w:szCs w:val="24"/>
          <w:highlight w:val="none"/>
        </w:rPr>
      </w:pPr>
      <w:bookmarkStart w:id="267" w:name="_Toc18496"/>
      <w:r>
        <w:rPr>
          <w:rFonts w:hint="eastAsia" w:ascii="仿宋" w:hAnsi="仿宋" w:eastAsia="仿宋" w:cs="仿宋"/>
          <w:b/>
          <w:color w:val="auto"/>
          <w:sz w:val="24"/>
          <w:szCs w:val="24"/>
          <w:highlight w:val="none"/>
        </w:rPr>
        <w:t>十二、其它需要提交的资料</w:t>
      </w:r>
      <w:bookmarkEnd w:id="261"/>
      <w:bookmarkEnd w:id="262"/>
      <w:bookmarkEnd w:id="263"/>
      <w:bookmarkEnd w:id="264"/>
      <w:bookmarkEnd w:id="265"/>
      <w:bookmarkEnd w:id="266"/>
      <w:bookmarkEnd w:id="267"/>
    </w:p>
    <w:p w14:paraId="5DD203C3">
      <w:pPr>
        <w:spacing w:line="360" w:lineRule="auto"/>
        <w:ind w:firstLine="480" w:firstLineChars="200"/>
        <w:rPr>
          <w:rFonts w:ascii="仿宋" w:hAnsi="仿宋" w:eastAsia="仿宋" w:cs="仿宋"/>
          <w:color w:val="auto"/>
          <w:sz w:val="24"/>
          <w:szCs w:val="24"/>
          <w:highlight w:val="none"/>
        </w:rPr>
      </w:pPr>
    </w:p>
    <w:p w14:paraId="48C833F3">
      <w:pPr>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rPr>
        <w:t>根据招标文件的要求和投标人认为需要提供的资料</w:t>
      </w:r>
      <w:r>
        <w:rPr>
          <w:rFonts w:hint="eastAsia" w:ascii="仿宋" w:hAnsi="仿宋" w:eastAsia="仿宋" w:cs="仿宋"/>
          <w:color w:val="auto"/>
          <w:sz w:val="24"/>
          <w:szCs w:val="24"/>
          <w:highlight w:val="none"/>
          <w:lang w:eastAsia="zh-CN"/>
        </w:rPr>
        <w:t>。</w:t>
      </w:r>
    </w:p>
    <w:p w14:paraId="2A045D50">
      <w:pPr>
        <w:rPr>
          <w:rFonts w:hint="eastAsia" w:ascii="仿宋" w:hAnsi="仿宋" w:eastAsia="仿宋" w:cs="仿宋"/>
          <w:b/>
          <w:color w:val="auto"/>
          <w:sz w:val="24"/>
          <w:szCs w:val="24"/>
          <w:highlight w:val="none"/>
        </w:rPr>
      </w:pPr>
      <w:bookmarkStart w:id="268" w:name="_Toc30206"/>
      <w:bookmarkStart w:id="269" w:name="_Toc130252631"/>
      <w:bookmarkStart w:id="270" w:name="_Toc60925660"/>
      <w:bookmarkStart w:id="271" w:name="_Toc22688"/>
      <w:r>
        <w:rPr>
          <w:rFonts w:hint="eastAsia" w:ascii="仿宋" w:hAnsi="仿宋" w:eastAsia="仿宋" w:cs="仿宋"/>
          <w:b/>
          <w:color w:val="auto"/>
          <w:sz w:val="24"/>
          <w:szCs w:val="24"/>
          <w:highlight w:val="none"/>
        </w:rPr>
        <w:br w:type="page"/>
      </w:r>
    </w:p>
    <w:p w14:paraId="657CC727">
      <w:pPr>
        <w:spacing w:line="440" w:lineRule="exact"/>
        <w:jc w:val="center"/>
        <w:outlineLvl w:val="0"/>
        <w:rPr>
          <w:rFonts w:ascii="仿宋" w:hAnsi="仿宋" w:eastAsia="仿宋" w:cs="仿宋"/>
          <w:b/>
          <w:color w:val="auto"/>
          <w:sz w:val="24"/>
          <w:szCs w:val="24"/>
          <w:highlight w:val="none"/>
        </w:rPr>
      </w:pPr>
      <w:bookmarkStart w:id="272" w:name="_Toc10089"/>
      <w:r>
        <w:rPr>
          <w:rFonts w:hint="eastAsia" w:ascii="仿宋" w:hAnsi="仿宋" w:eastAsia="仿宋" w:cs="仿宋"/>
          <w:b/>
          <w:color w:val="auto"/>
          <w:sz w:val="24"/>
          <w:szCs w:val="24"/>
          <w:highlight w:val="none"/>
        </w:rPr>
        <w:t>第六章 补充条款</w:t>
      </w:r>
      <w:bookmarkEnd w:id="268"/>
      <w:bookmarkEnd w:id="269"/>
      <w:bookmarkEnd w:id="270"/>
      <w:bookmarkEnd w:id="271"/>
      <w:bookmarkEnd w:id="272"/>
    </w:p>
    <w:p w14:paraId="04D94950">
      <w:pPr>
        <w:rPr>
          <w:rFonts w:ascii="仿宋" w:hAnsi="仿宋" w:eastAsia="仿宋" w:cs="仿宋"/>
          <w:color w:val="auto"/>
          <w:highlight w:val="none"/>
        </w:rPr>
      </w:pPr>
    </w:p>
    <w:p w14:paraId="0A8387AB">
      <w:pPr>
        <w:rPr>
          <w:rFonts w:ascii="仿宋" w:hAnsi="仿宋" w:eastAsia="仿宋" w:cs="仿宋"/>
          <w:color w:val="auto"/>
          <w:highlight w:val="none"/>
        </w:rPr>
      </w:pPr>
    </w:p>
    <w:p w14:paraId="54CBE0F5">
      <w:pPr>
        <w:spacing w:line="360" w:lineRule="auto"/>
        <w:outlineLvl w:val="1"/>
        <w:rPr>
          <w:rFonts w:ascii="仿宋" w:hAnsi="仿宋" w:eastAsia="仿宋" w:cs="仿宋"/>
          <w:color w:val="auto"/>
          <w:spacing w:val="6"/>
          <w:sz w:val="24"/>
          <w:szCs w:val="24"/>
          <w:highlight w:val="none"/>
        </w:rPr>
      </w:pPr>
      <w:bookmarkStart w:id="273" w:name="_Toc21091"/>
      <w:r>
        <w:rPr>
          <w:rFonts w:hint="eastAsia" w:ascii="仿宋" w:hAnsi="仿宋" w:eastAsia="仿宋" w:cs="仿宋"/>
          <w:color w:val="auto"/>
          <w:spacing w:val="6"/>
          <w:sz w:val="24"/>
          <w:szCs w:val="24"/>
          <w:highlight w:val="none"/>
        </w:rPr>
        <w:t>附件</w:t>
      </w:r>
      <w:r>
        <w:rPr>
          <w:rFonts w:hint="eastAsia" w:ascii="仿宋" w:hAnsi="仿宋" w:eastAsia="仿宋" w:cs="仿宋"/>
          <w:color w:val="auto"/>
          <w:spacing w:val="6"/>
          <w:sz w:val="24"/>
          <w:szCs w:val="24"/>
          <w:highlight w:val="none"/>
          <w:lang w:val="en-US" w:eastAsia="zh-CN"/>
        </w:rPr>
        <w:t>1</w:t>
      </w:r>
      <w:r>
        <w:rPr>
          <w:rFonts w:hint="eastAsia" w:ascii="仿宋" w:hAnsi="仿宋" w:eastAsia="仿宋" w:cs="仿宋"/>
          <w:color w:val="auto"/>
          <w:spacing w:val="6"/>
          <w:sz w:val="24"/>
          <w:szCs w:val="24"/>
          <w:highlight w:val="none"/>
        </w:rPr>
        <w:t>、</w:t>
      </w:r>
      <w:bookmarkEnd w:id="273"/>
    </w:p>
    <w:p w14:paraId="148010D8">
      <w:pPr>
        <w:spacing w:line="360" w:lineRule="auto"/>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关于印发中小企业划型标准规定的通知</w:t>
      </w:r>
    </w:p>
    <w:p w14:paraId="3C705406">
      <w:pPr>
        <w:spacing w:line="360" w:lineRule="auto"/>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工信部联企业〔2011〕300号</w:t>
      </w:r>
    </w:p>
    <w:p w14:paraId="4276095D">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各省、自治区、直辖市人民政府，国务院各部委、各直属机构及有关单位：</w:t>
      </w:r>
    </w:p>
    <w:p w14:paraId="3FDDC890">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8BDD1DF">
      <w:pPr>
        <w:spacing w:line="360" w:lineRule="auto"/>
        <w:ind w:firstLine="504" w:firstLineChars="200"/>
        <w:jc w:val="right"/>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工业和信息化部</w:t>
      </w:r>
    </w:p>
    <w:p w14:paraId="06950004">
      <w:pPr>
        <w:spacing w:line="360" w:lineRule="auto"/>
        <w:ind w:firstLine="504" w:firstLineChars="200"/>
        <w:jc w:val="right"/>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国家统计局</w:t>
      </w:r>
    </w:p>
    <w:p w14:paraId="4455EC35">
      <w:pPr>
        <w:spacing w:line="360" w:lineRule="auto"/>
        <w:ind w:firstLine="504" w:firstLineChars="200"/>
        <w:jc w:val="right"/>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国家发展和改革委员会</w:t>
      </w:r>
    </w:p>
    <w:p w14:paraId="58521107">
      <w:pPr>
        <w:spacing w:line="360" w:lineRule="auto"/>
        <w:ind w:firstLine="504" w:firstLineChars="200"/>
        <w:jc w:val="right"/>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财政部</w:t>
      </w:r>
    </w:p>
    <w:p w14:paraId="179CA05F">
      <w:pPr>
        <w:spacing w:line="360" w:lineRule="auto"/>
        <w:ind w:firstLine="504" w:firstLineChars="200"/>
        <w:jc w:val="right"/>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二○一一年六月十八日</w:t>
      </w:r>
    </w:p>
    <w:p w14:paraId="1DDD656E">
      <w:pPr>
        <w:spacing w:line="360" w:lineRule="auto"/>
        <w:ind w:firstLine="504" w:firstLineChars="200"/>
        <w:rPr>
          <w:rFonts w:ascii="仿宋" w:hAnsi="仿宋" w:eastAsia="仿宋" w:cs="仿宋"/>
          <w:color w:val="auto"/>
          <w:spacing w:val="6"/>
          <w:sz w:val="24"/>
          <w:szCs w:val="24"/>
          <w:highlight w:val="none"/>
        </w:rPr>
      </w:pPr>
    </w:p>
    <w:p w14:paraId="1EB147B8">
      <w:pPr>
        <w:spacing w:line="360" w:lineRule="auto"/>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中小企业划型标准规定</w:t>
      </w:r>
    </w:p>
    <w:p w14:paraId="6C5BC20D">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一、根据《中华人民共和国中小企业促进法》和《国务院关于进一步促进中小企业发展的若干意见》(国发〔2009〕36号)，制定本规定。</w:t>
      </w:r>
    </w:p>
    <w:p w14:paraId="7BB75661">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二、中小企业划分为中型、小型、微型三种类型，具体标准根据企业从业人员、营业收入、资产总额等指标，结合行业特点制定。</w:t>
      </w:r>
    </w:p>
    <w:p w14:paraId="14E0EDC1">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4293C13">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四、各行业划型标准为：</w:t>
      </w:r>
    </w:p>
    <w:p w14:paraId="3906DA6E">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14:paraId="067E32B2">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1274D3A">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E013561">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5BCCF6B">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F18D977">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D4881E5">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9A4D28D">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D37CA2D">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3270FC6">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A3AC335">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686EC00">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C0CB228">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707456D">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164B0F3">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A445B74">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03D57AC9">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五、企业类型的划分以统计部门的统计数据为依据。</w:t>
      </w:r>
    </w:p>
    <w:p w14:paraId="66307740">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六、本规定适用于在中华人民共和国境内依法设立的各类所有制和各种组织形式的企业。个体工商户和本规定以外的行业，参照本规定进行划型。</w:t>
      </w:r>
    </w:p>
    <w:p w14:paraId="208720CC">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DE32343">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八、本规定由工业和信息化部、国家统计局会同有关部门根据《国民经济行业分类》修订情况和企业发展变化情况适时修订。</w:t>
      </w:r>
    </w:p>
    <w:p w14:paraId="35DAB4B7">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九、本规定由工业和信息化部、国家统计局会同有关部门负责解释。</w:t>
      </w:r>
    </w:p>
    <w:p w14:paraId="1604C057">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十、本规定自发布之日起执行，原国家经贸委、原国家计委、财政部和国家统计局2003年颁布的《中小企业标准暂行规定》同时废止。</w:t>
      </w:r>
    </w:p>
    <w:p w14:paraId="05F1EB11">
      <w:pP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br w:type="page"/>
      </w:r>
    </w:p>
    <w:p w14:paraId="1DAF3BFD">
      <w:pPr>
        <w:spacing w:line="360" w:lineRule="auto"/>
        <w:outlineLvl w:val="1"/>
        <w:rPr>
          <w:rFonts w:ascii="仿宋" w:hAnsi="仿宋" w:eastAsia="仿宋" w:cs="仿宋"/>
          <w:color w:val="auto"/>
          <w:spacing w:val="6"/>
          <w:sz w:val="24"/>
          <w:szCs w:val="24"/>
          <w:highlight w:val="none"/>
        </w:rPr>
      </w:pPr>
      <w:bookmarkStart w:id="274" w:name="_Toc31230"/>
      <w:r>
        <w:rPr>
          <w:rFonts w:hint="eastAsia" w:ascii="仿宋" w:hAnsi="仿宋" w:eastAsia="仿宋" w:cs="仿宋"/>
          <w:color w:val="auto"/>
          <w:spacing w:val="6"/>
          <w:sz w:val="24"/>
          <w:szCs w:val="24"/>
          <w:highlight w:val="none"/>
        </w:rPr>
        <w:t>附件</w:t>
      </w:r>
      <w:r>
        <w:rPr>
          <w:rFonts w:hint="eastAsia" w:ascii="仿宋" w:hAnsi="仿宋" w:eastAsia="仿宋" w:cs="仿宋"/>
          <w:color w:val="auto"/>
          <w:spacing w:val="6"/>
          <w:sz w:val="24"/>
          <w:szCs w:val="24"/>
          <w:highlight w:val="none"/>
          <w:lang w:val="en-US" w:eastAsia="zh-CN"/>
        </w:rPr>
        <w:t>2</w:t>
      </w:r>
      <w:r>
        <w:rPr>
          <w:rFonts w:hint="eastAsia" w:ascii="仿宋" w:hAnsi="仿宋" w:eastAsia="仿宋" w:cs="仿宋"/>
          <w:color w:val="auto"/>
          <w:spacing w:val="6"/>
          <w:sz w:val="24"/>
          <w:szCs w:val="24"/>
          <w:highlight w:val="none"/>
        </w:rPr>
        <w:t>、</w:t>
      </w:r>
      <w:bookmarkEnd w:id="274"/>
    </w:p>
    <w:p w14:paraId="462725D7">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关于促进残疾人就业政府采购政策的通知</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财库〔2017〕141号</w:t>
      </w:r>
    </w:p>
    <w:p w14:paraId="0ABF691B">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42AD0D7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为了发挥政府采购促进残疾人就业的作用，进一步保障残疾人权益，依照《政府采购法》、《残疾人保障法》等法律法规及相关规定，现就促进残疾人就业政府采购政策通知如下：</w:t>
      </w:r>
    </w:p>
    <w:p w14:paraId="6730DFA9">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一、享受政府采购支持政策的残疾人福利性单位应当同时满足以下条件：</w:t>
      </w:r>
    </w:p>
    <w:p w14:paraId="646BCB63">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（一）安置的残疾人占本单位在职职工人数的比例不低于25%（含25%），并且安置的残疾人人数不少于10人（含10人）；</w:t>
      </w:r>
    </w:p>
    <w:p w14:paraId="2CE4ADBC">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（二）依法与安置的每位残疾人签订了一年以上（含一年）的劳动合同或服务协议；</w:t>
      </w:r>
    </w:p>
    <w:p w14:paraId="54B58420">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（三）为安置的每位残疾人按月足额缴纳了基本养老保险、基本医疗保险、失业保险、工伤保险和生育保险等社会保险费；</w:t>
      </w:r>
    </w:p>
    <w:p w14:paraId="0956FB62">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（四）通过银行等金融机构向安置的每位残疾人，按月支付了不低于单位所在区县适用的经省级人民政府批准的月最低工资标准的工资；</w:t>
      </w:r>
    </w:p>
    <w:p w14:paraId="4F878A26">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（五）提供本单位制造的货物、承担的工程或者服务（以下简称产品），或者提供其他残疾人福利性单位制造的货物（不包括使用非残疾人福利性单位注册商标的货物）。</w:t>
      </w:r>
    </w:p>
    <w:p w14:paraId="2D96946F">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9E2E693">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0682F3D2">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中标、成交供应商为残疾人福利性单位的，采购人或者其委托的采购代理机构应当随中标、成交结果同时公告其《残疾人福利性单位声明函》，接受社会监督。</w:t>
      </w:r>
    </w:p>
    <w:p w14:paraId="2F047415">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供应商提供的《残疾人福利性单位声明函》与事实不符的，依照《政府采购法》第七十七条第一款的规定追究法律责任。</w:t>
      </w:r>
    </w:p>
    <w:p w14:paraId="65F96FD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528782C">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四、采购人采购公开招标数额标准以上的货物或者服务，因落实促进残疾人就业政策的需要，依法履行有关报批程序后，可采用公开招标以外的采购方式。</w:t>
      </w:r>
    </w:p>
    <w:p w14:paraId="716A064A">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63F11236">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0C497C0B">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七、本通知自2017年10月1日起执行。</w:t>
      </w:r>
    </w:p>
    <w:p w14:paraId="34A2E7AB">
      <w:pPr>
        <w:pStyle w:val="2"/>
        <w:rPr>
          <w:rFonts w:hint="eastAsia"/>
          <w:color w:val="auto"/>
          <w:highlight w:val="none"/>
        </w:rPr>
      </w:pPr>
    </w:p>
    <w:p w14:paraId="58C0FA81">
      <w:pPr>
        <w:spacing w:line="360" w:lineRule="auto"/>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财政部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民政部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中国残疾人联合会</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2017年8月22日</w:t>
      </w:r>
    </w:p>
    <w:p w14:paraId="7275990B">
      <w:pP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br w:type="page"/>
      </w:r>
    </w:p>
    <w:p w14:paraId="04AC875F">
      <w:pPr>
        <w:spacing w:line="360" w:lineRule="auto"/>
        <w:outlineLvl w:val="1"/>
        <w:rPr>
          <w:rFonts w:ascii="仿宋" w:hAnsi="仿宋" w:eastAsia="仿宋" w:cs="仿宋"/>
          <w:color w:val="auto"/>
          <w:spacing w:val="6"/>
          <w:sz w:val="24"/>
          <w:szCs w:val="24"/>
          <w:highlight w:val="none"/>
        </w:rPr>
      </w:pPr>
      <w:bookmarkStart w:id="275" w:name="_Toc17348"/>
      <w:r>
        <w:rPr>
          <w:rFonts w:hint="eastAsia" w:ascii="仿宋" w:hAnsi="仿宋" w:eastAsia="仿宋" w:cs="仿宋"/>
          <w:color w:val="auto"/>
          <w:spacing w:val="6"/>
          <w:sz w:val="24"/>
          <w:szCs w:val="24"/>
          <w:highlight w:val="none"/>
        </w:rPr>
        <w:t>附件</w:t>
      </w:r>
      <w:r>
        <w:rPr>
          <w:rFonts w:hint="eastAsia" w:ascii="仿宋" w:hAnsi="仿宋" w:eastAsia="仿宋" w:cs="仿宋"/>
          <w:color w:val="auto"/>
          <w:spacing w:val="6"/>
          <w:sz w:val="24"/>
          <w:szCs w:val="24"/>
          <w:highlight w:val="none"/>
          <w:lang w:val="en-US" w:eastAsia="zh-CN"/>
        </w:rPr>
        <w:t>3</w:t>
      </w:r>
      <w:r>
        <w:rPr>
          <w:rFonts w:hint="eastAsia" w:ascii="仿宋" w:hAnsi="仿宋" w:eastAsia="仿宋" w:cs="仿宋"/>
          <w:color w:val="auto"/>
          <w:spacing w:val="6"/>
          <w:sz w:val="24"/>
          <w:szCs w:val="24"/>
          <w:highlight w:val="none"/>
        </w:rPr>
        <w:t>、</w:t>
      </w:r>
      <w:bookmarkEnd w:id="275"/>
    </w:p>
    <w:p w14:paraId="57B5C2F9">
      <w:pPr>
        <w:spacing w:line="360" w:lineRule="auto"/>
        <w:jc w:val="center"/>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财政部 司法部关于政府采购支持</w:t>
      </w:r>
    </w:p>
    <w:p w14:paraId="16997E4C">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lang w:val="en-US" w:eastAsia="zh-CN"/>
        </w:rPr>
        <w:t>监狱企业发展有关问题的通知</w:t>
      </w:r>
    </w:p>
    <w:p w14:paraId="10CFA688">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财库〔2014〕68号</w:t>
      </w:r>
    </w:p>
    <w:p w14:paraId="3390E73A">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二、在政府采购活动中，监狱企业视同小型、微型企业，享受预留份额、评审中价格扣除等政府采购促进中小企业发展的政府采购政策。向监狱企业采购的金额，计入面向中小企业采购的统计数据。</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四、各地区可以结合本地区实际，对监狱企业生产的办公用品、家具用具、车辆维修和提供的保养服务、消防设备等，提出预留份额等政府采购支持措施，加大对监狱企业产品的采购力度。</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D1DFF0F">
      <w:pPr>
        <w:pStyle w:val="2"/>
        <w:rPr>
          <w:rFonts w:hint="eastAsia"/>
          <w:color w:val="auto"/>
          <w:highlight w:val="none"/>
        </w:rPr>
      </w:pPr>
    </w:p>
    <w:p w14:paraId="6E175885">
      <w:pPr>
        <w:spacing w:line="360" w:lineRule="auto"/>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中华人民共和国财政部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中华人民共和国司法部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2014年6月10日</w:t>
      </w:r>
    </w:p>
    <w:p w14:paraId="0BFB6FD5">
      <w:pPr>
        <w:spacing w:line="360" w:lineRule="auto"/>
        <w:ind w:firstLine="504" w:firstLineChars="200"/>
        <w:rPr>
          <w:rFonts w:hint="eastAsia" w:ascii="仿宋" w:hAnsi="仿宋" w:eastAsia="仿宋" w:cs="仿宋"/>
          <w:color w:val="auto"/>
          <w:spacing w:val="6"/>
          <w:sz w:val="24"/>
          <w:szCs w:val="24"/>
          <w:highlight w:val="none"/>
        </w:rPr>
      </w:pPr>
    </w:p>
    <w:p w14:paraId="7381F5E2">
      <w:pPr>
        <w:spacing w:line="360" w:lineRule="auto"/>
        <w:ind w:firstLine="504" w:firstLineChars="200"/>
        <w:rPr>
          <w:rFonts w:hint="eastAsia" w:ascii="仿宋" w:hAnsi="仿宋" w:eastAsia="仿宋" w:cs="仿宋"/>
          <w:color w:val="auto"/>
          <w:spacing w:val="6"/>
          <w:sz w:val="24"/>
          <w:szCs w:val="24"/>
          <w:highlight w:val="none"/>
        </w:rPr>
      </w:pPr>
    </w:p>
    <w:p w14:paraId="5E90D6B9">
      <w:pPr>
        <w:spacing w:line="360" w:lineRule="auto"/>
        <w:ind w:firstLine="504" w:firstLineChars="200"/>
        <w:rPr>
          <w:rFonts w:hint="eastAsia" w:ascii="仿宋" w:hAnsi="仿宋" w:eastAsia="仿宋" w:cs="仿宋"/>
          <w:color w:val="auto"/>
          <w:spacing w:val="6"/>
          <w:sz w:val="24"/>
          <w:szCs w:val="24"/>
          <w:highlight w:val="none"/>
        </w:rPr>
      </w:pPr>
    </w:p>
    <w:p w14:paraId="49097FF2">
      <w:pPr>
        <w:widowControl/>
        <w:jc w:val="left"/>
        <w:rPr>
          <w:rFonts w:ascii="仿宋" w:hAnsi="仿宋" w:eastAsia="仿宋" w:cs="仿宋"/>
          <w:color w:val="auto"/>
          <w:highlight w:val="none"/>
        </w:rPr>
      </w:pPr>
    </w:p>
    <w:p w14:paraId="13B9359E">
      <w:pPr>
        <w:rPr>
          <w:rFonts w:ascii="仿宋" w:hAnsi="仿宋" w:eastAsia="仿宋" w:cs="仿宋"/>
          <w:b/>
          <w:color w:val="auto"/>
          <w:sz w:val="24"/>
          <w:szCs w:val="24"/>
          <w:highlight w:val="none"/>
        </w:rPr>
      </w:pPr>
    </w:p>
    <w:p w14:paraId="6B492BCF">
      <w:pPr>
        <w:spacing w:line="360" w:lineRule="auto"/>
        <w:ind w:firstLine="480" w:firstLineChars="200"/>
        <w:jc w:val="center"/>
        <w:rPr>
          <w:rFonts w:ascii="仿宋" w:hAnsi="仿宋" w:eastAsia="仿宋" w:cs="仿宋"/>
          <w:color w:val="auto"/>
          <w:sz w:val="24"/>
          <w:szCs w:val="24"/>
          <w:highlight w:val="none"/>
        </w:rPr>
      </w:pPr>
    </w:p>
    <w:p w14:paraId="2FA9C0C7">
      <w:pPr>
        <w:spacing w:line="360" w:lineRule="auto"/>
        <w:ind w:firstLine="480" w:firstLineChars="200"/>
        <w:jc w:val="center"/>
        <w:rPr>
          <w:rFonts w:ascii="仿宋" w:hAnsi="仿宋" w:eastAsia="仿宋" w:cs="仿宋"/>
          <w:color w:val="auto"/>
          <w:sz w:val="24"/>
          <w:szCs w:val="24"/>
          <w:highlight w:val="none"/>
        </w:rPr>
      </w:pPr>
    </w:p>
    <w:p w14:paraId="37ED3158">
      <w:pPr>
        <w:spacing w:line="360" w:lineRule="auto"/>
        <w:ind w:firstLine="480" w:firstLineChars="200"/>
        <w:jc w:val="center"/>
        <w:rPr>
          <w:rFonts w:ascii="仿宋" w:hAnsi="仿宋" w:eastAsia="仿宋" w:cs="仿宋"/>
          <w:color w:val="auto"/>
          <w:sz w:val="24"/>
          <w:szCs w:val="24"/>
          <w:highlight w:val="none"/>
        </w:rPr>
      </w:pPr>
    </w:p>
    <w:p w14:paraId="61EF751A">
      <w:pPr>
        <w:spacing w:line="360" w:lineRule="auto"/>
        <w:jc w:val="both"/>
        <w:rPr>
          <w:rFonts w:hint="eastAsia" w:ascii="仿宋" w:hAnsi="仿宋" w:eastAsia="仿宋" w:cs="仿宋"/>
          <w:color w:val="auto"/>
          <w:sz w:val="24"/>
          <w:szCs w:val="24"/>
          <w:highlight w:val="none"/>
        </w:rPr>
      </w:pPr>
    </w:p>
    <w:sectPr>
      <w:headerReference r:id="rId9" w:type="default"/>
      <w:footerReference r:id="rId10"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onospace">
    <w:altName w:val="Courier New"/>
    <w:panose1 w:val="00000000000000000000"/>
    <w:charset w:val="00"/>
    <w:family w:val="auto"/>
    <w:pitch w:val="default"/>
    <w:sig w:usb0="00000000" w:usb1="00000000" w:usb2="00000000" w:usb3="00000000" w:csb0="00000001" w:csb1="00000000"/>
  </w:font>
  <w:font w:name="Trebuchet MS">
    <w:panose1 w:val="020B0603020202020204"/>
    <w:charset w:val="00"/>
    <w:family w:val="swiss"/>
    <w:pitch w:val="default"/>
    <w:sig w:usb0="00000687" w:usb1="00000000" w:usb2="00000000" w:usb3="00000000" w:csb0="2000009F" w:csb1="00000000"/>
  </w:font>
  <w:font w:name="方正仿宋简体">
    <w:altName w:val="宋体"/>
    <w:panose1 w:val="02010601030101010101"/>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76B49">
    <w:pPr>
      <w:pStyle w:val="21"/>
      <w:ind w:right="9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9F92E">
    <w:pPr>
      <w:pStyle w:val="21"/>
      <w:framePr w:wrap="around" w:vAnchor="text" w:hAnchor="margin" w:xAlign="center" w:y="1"/>
      <w:rPr>
        <w:rStyle w:val="42"/>
      </w:rPr>
    </w:pPr>
    <w:r>
      <w:rPr>
        <w:rStyle w:val="42"/>
      </w:rPr>
      <w:fldChar w:fldCharType="begin"/>
    </w:r>
    <w:r>
      <w:rPr>
        <w:rStyle w:val="42"/>
      </w:rPr>
      <w:instrText xml:space="preserve">PAGE  </w:instrText>
    </w:r>
    <w:r>
      <w:rPr>
        <w:rStyle w:val="42"/>
      </w:rPr>
      <w:fldChar w:fldCharType="separate"/>
    </w:r>
    <w:r>
      <w:rPr>
        <w:rStyle w:val="42"/>
      </w:rPr>
      <w:t>68</w:t>
    </w:r>
    <w:r>
      <w:rPr>
        <w:rStyle w:val="42"/>
      </w:rPr>
      <w:fldChar w:fldCharType="end"/>
    </w:r>
  </w:p>
  <w:p w14:paraId="52D5D66D">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A14BE">
    <w:pPr>
      <w:pStyle w:val="21"/>
      <w:ind w:right="9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2A1C41">
                          <w:pPr>
                            <w:pStyle w:val="21"/>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2</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42A1C41">
                    <w:pPr>
                      <w:pStyle w:val="21"/>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2</w:t>
                    </w:r>
                    <w:r>
                      <w:rPr>
                        <w:rFonts w:hint="eastAsia" w:ascii="仿宋" w:hAnsi="仿宋" w:eastAsia="仿宋" w:cs="仿宋"/>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84E6E">
    <w:pPr>
      <w:pStyle w:val="2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E5AD8B">
                          <w:pPr>
                            <w:pStyle w:val="21"/>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EE5AD8B">
                    <w:pPr>
                      <w:pStyle w:val="21"/>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43A82">
    <w:pPr>
      <w:pStyle w:val="21"/>
      <w:ind w:right="360"/>
      <w:jc w:val="center"/>
      <w:rPr>
        <w:rFonts w:asciiTheme="minorEastAsia" w:hAnsiTheme="minorEastAsia" w:eastAsiaTheme="minorEastAsia"/>
        <w:sz w:val="24"/>
        <w:szCs w:val="24"/>
      </w:rPr>
    </w:pPr>
    <w:r>
      <w:rPr>
        <w:sz w:val="24"/>
        <w:szCs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仿宋" w:hAnsi="仿宋" w:eastAsia="仿宋" w:cs="仿宋"/>
                              <w:sz w:val="24"/>
                              <w:szCs w:val="24"/>
                            </w:rPr>
                            <w:id w:val="-367532114"/>
                          </w:sdtPr>
                          <w:sdtEndPr>
                            <w:rPr>
                              <w:rFonts w:hint="eastAsia" w:cs="仿宋" w:asciiTheme="minorEastAsia" w:hAnsiTheme="minorEastAsia" w:eastAsiaTheme="minorEastAsia"/>
                              <w:sz w:val="30"/>
                              <w:szCs w:val="30"/>
                            </w:rPr>
                          </w:sdtEndPr>
                          <w:sdtContent>
                            <w:p w14:paraId="2B4C5EC3">
                              <w:pPr>
                                <w:pStyle w:val="21"/>
                                <w:ind w:right="360"/>
                                <w:jc w:val="center"/>
                                <w:rPr>
                                  <w:rFonts w:asciiTheme="minorEastAsia" w:hAnsiTheme="minorEastAsia" w:eastAsiaTheme="minorEastAsia"/>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ascii="仿宋" w:hAnsi="仿宋" w:eastAsia="仿宋" w:cs="仿宋"/>
                                  <w:sz w:val="24"/>
                                  <w:szCs w:val="24"/>
                                  <w:lang w:val="zh-CN"/>
                                </w:rPr>
                                <w:t>26</w:t>
                              </w:r>
                              <w:r>
                                <w:rPr>
                                  <w:rFonts w:hint="eastAsia" w:ascii="仿宋" w:hAnsi="仿宋" w:eastAsia="仿宋" w:cs="仿宋"/>
                                  <w:sz w:val="24"/>
                                  <w:szCs w:val="24"/>
                                </w:rPr>
                                <w:fldChar w:fldCharType="end"/>
                              </w:r>
                            </w:p>
                          </w:sdtContent>
                        </w:sdt>
                        <w:p w14:paraId="02121EC1">
                          <w:pPr>
                            <w:rPr>
                              <w:rFonts w:asciiTheme="minorEastAsia" w:hAnsiTheme="minorEastAsia"/>
                              <w:sz w:val="30"/>
                              <w:szCs w:val="3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rPr>
                        <w:rFonts w:hint="eastAsia" w:ascii="仿宋" w:hAnsi="仿宋" w:eastAsia="仿宋" w:cs="仿宋"/>
                        <w:sz w:val="24"/>
                        <w:szCs w:val="24"/>
                      </w:rPr>
                      <w:id w:val="-367532114"/>
                    </w:sdtPr>
                    <w:sdtEndPr>
                      <w:rPr>
                        <w:rFonts w:hint="eastAsia" w:cs="仿宋" w:asciiTheme="minorEastAsia" w:hAnsiTheme="minorEastAsia" w:eastAsiaTheme="minorEastAsia"/>
                        <w:sz w:val="30"/>
                        <w:szCs w:val="30"/>
                      </w:rPr>
                    </w:sdtEndPr>
                    <w:sdtContent>
                      <w:p w14:paraId="2B4C5EC3">
                        <w:pPr>
                          <w:pStyle w:val="21"/>
                          <w:ind w:right="360"/>
                          <w:jc w:val="center"/>
                          <w:rPr>
                            <w:rFonts w:asciiTheme="minorEastAsia" w:hAnsiTheme="minorEastAsia" w:eastAsiaTheme="minorEastAsia"/>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ascii="仿宋" w:hAnsi="仿宋" w:eastAsia="仿宋" w:cs="仿宋"/>
                            <w:sz w:val="24"/>
                            <w:szCs w:val="24"/>
                            <w:lang w:val="zh-CN"/>
                          </w:rPr>
                          <w:t>26</w:t>
                        </w:r>
                        <w:r>
                          <w:rPr>
                            <w:rFonts w:hint="eastAsia" w:ascii="仿宋" w:hAnsi="仿宋" w:eastAsia="仿宋" w:cs="仿宋"/>
                            <w:sz w:val="24"/>
                            <w:szCs w:val="24"/>
                          </w:rPr>
                          <w:fldChar w:fldCharType="end"/>
                        </w:r>
                      </w:p>
                    </w:sdtContent>
                  </w:sdt>
                  <w:p w14:paraId="02121EC1">
                    <w:pPr>
                      <w:rPr>
                        <w:rFonts w:asciiTheme="minorEastAsia" w:hAnsiTheme="minorEastAsia"/>
                        <w:sz w:val="30"/>
                        <w:szCs w:val="30"/>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B3B4F">
    <w:pPr>
      <w:pStyle w:val="22"/>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9B2C2">
    <w:pPr>
      <w:pStyle w:val="2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FD766">
    <w:pPr>
      <w:pStyle w:val="2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644E5166"/>
    <w:multiLevelType w:val="multilevel"/>
    <w:tmpl w:val="644E5166"/>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7A0F6431"/>
    <w:multiLevelType w:val="singleLevel"/>
    <w:tmpl w:val="7A0F6431"/>
    <w:lvl w:ilvl="0" w:tentative="0">
      <w:start w:val="1"/>
      <w:numFmt w:val="decimal"/>
      <w:suff w:val="space"/>
      <w:lvlText w:val="%1."/>
      <w:lvlJc w:val="left"/>
    </w:lvl>
  </w:abstractNum>
  <w:num w:numId="1">
    <w:abstractNumId w:val="6"/>
  </w:num>
  <w:num w:numId="2">
    <w:abstractNumId w:val="7"/>
  </w:num>
  <w:num w:numId="3">
    <w:abstractNumId w:val="1"/>
  </w:num>
  <w:num w:numId="4">
    <w:abstractNumId w:val="5"/>
  </w:num>
  <w:num w:numId="5">
    <w:abstractNumId w:val="3"/>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5YzQ0MWM2NDg3NzAxNTI3MDYxNmNiYmNjZWVhNTgifQ=="/>
    <w:docVar w:name="KSO_WPS_MARK_KEY" w:val="fdbdf24b-0dbf-482d-9e5c-40b2cee7c8c0"/>
  </w:docVars>
  <w:rsids>
    <w:rsidRoot w:val="00172A27"/>
    <w:rsid w:val="000002B4"/>
    <w:rsid w:val="00001340"/>
    <w:rsid w:val="00002143"/>
    <w:rsid w:val="00004DAA"/>
    <w:rsid w:val="00005C75"/>
    <w:rsid w:val="00006BD9"/>
    <w:rsid w:val="00007BA8"/>
    <w:rsid w:val="000104D6"/>
    <w:rsid w:val="00010CE2"/>
    <w:rsid w:val="00012108"/>
    <w:rsid w:val="00012E01"/>
    <w:rsid w:val="00014F7D"/>
    <w:rsid w:val="000162FE"/>
    <w:rsid w:val="00020411"/>
    <w:rsid w:val="0002386B"/>
    <w:rsid w:val="0002405E"/>
    <w:rsid w:val="000244CA"/>
    <w:rsid w:val="0002545E"/>
    <w:rsid w:val="00027B5D"/>
    <w:rsid w:val="00030171"/>
    <w:rsid w:val="00033566"/>
    <w:rsid w:val="00033852"/>
    <w:rsid w:val="000343A0"/>
    <w:rsid w:val="000347EB"/>
    <w:rsid w:val="00036B12"/>
    <w:rsid w:val="000400E8"/>
    <w:rsid w:val="00044B32"/>
    <w:rsid w:val="00046152"/>
    <w:rsid w:val="0005003E"/>
    <w:rsid w:val="00051397"/>
    <w:rsid w:val="00054F47"/>
    <w:rsid w:val="0005551C"/>
    <w:rsid w:val="000604DE"/>
    <w:rsid w:val="0006199F"/>
    <w:rsid w:val="000641A9"/>
    <w:rsid w:val="000653CD"/>
    <w:rsid w:val="000661C0"/>
    <w:rsid w:val="00070AF5"/>
    <w:rsid w:val="00070BFE"/>
    <w:rsid w:val="0007362D"/>
    <w:rsid w:val="00073846"/>
    <w:rsid w:val="00073D96"/>
    <w:rsid w:val="000762D4"/>
    <w:rsid w:val="00077DB3"/>
    <w:rsid w:val="0008025F"/>
    <w:rsid w:val="00080E16"/>
    <w:rsid w:val="000829F2"/>
    <w:rsid w:val="00082FC4"/>
    <w:rsid w:val="00085ED3"/>
    <w:rsid w:val="000904A3"/>
    <w:rsid w:val="00090F37"/>
    <w:rsid w:val="000916AB"/>
    <w:rsid w:val="000923E8"/>
    <w:rsid w:val="000946D4"/>
    <w:rsid w:val="00094989"/>
    <w:rsid w:val="000A0272"/>
    <w:rsid w:val="000A02F9"/>
    <w:rsid w:val="000A1ECD"/>
    <w:rsid w:val="000A32B9"/>
    <w:rsid w:val="000A3552"/>
    <w:rsid w:val="000A43C4"/>
    <w:rsid w:val="000A452A"/>
    <w:rsid w:val="000B210F"/>
    <w:rsid w:val="000B318F"/>
    <w:rsid w:val="000B331B"/>
    <w:rsid w:val="000B4C6A"/>
    <w:rsid w:val="000B7C76"/>
    <w:rsid w:val="000C364C"/>
    <w:rsid w:val="000C3FDE"/>
    <w:rsid w:val="000D171A"/>
    <w:rsid w:val="000D5DA0"/>
    <w:rsid w:val="000D7CE7"/>
    <w:rsid w:val="000E2D54"/>
    <w:rsid w:val="000E34FC"/>
    <w:rsid w:val="000E40A6"/>
    <w:rsid w:val="000E5B9C"/>
    <w:rsid w:val="000E674D"/>
    <w:rsid w:val="000E7461"/>
    <w:rsid w:val="000F186E"/>
    <w:rsid w:val="000F56EE"/>
    <w:rsid w:val="00100D44"/>
    <w:rsid w:val="00101AA4"/>
    <w:rsid w:val="00102AB6"/>
    <w:rsid w:val="00104F86"/>
    <w:rsid w:val="001063D0"/>
    <w:rsid w:val="0010650C"/>
    <w:rsid w:val="00106BA4"/>
    <w:rsid w:val="00111383"/>
    <w:rsid w:val="001145B2"/>
    <w:rsid w:val="00115901"/>
    <w:rsid w:val="00115A4B"/>
    <w:rsid w:val="0011725D"/>
    <w:rsid w:val="00121DF5"/>
    <w:rsid w:val="001248E7"/>
    <w:rsid w:val="00126044"/>
    <w:rsid w:val="00127B38"/>
    <w:rsid w:val="00127C9A"/>
    <w:rsid w:val="0013312B"/>
    <w:rsid w:val="00134210"/>
    <w:rsid w:val="00134F82"/>
    <w:rsid w:val="001357C8"/>
    <w:rsid w:val="00142BB8"/>
    <w:rsid w:val="00143169"/>
    <w:rsid w:val="0014554F"/>
    <w:rsid w:val="00146E26"/>
    <w:rsid w:val="001543A3"/>
    <w:rsid w:val="001575BE"/>
    <w:rsid w:val="00157673"/>
    <w:rsid w:val="0015794E"/>
    <w:rsid w:val="00160159"/>
    <w:rsid w:val="00160311"/>
    <w:rsid w:val="00161961"/>
    <w:rsid w:val="00162DD4"/>
    <w:rsid w:val="001652C6"/>
    <w:rsid w:val="0016644B"/>
    <w:rsid w:val="00170A17"/>
    <w:rsid w:val="00171110"/>
    <w:rsid w:val="00172AA0"/>
    <w:rsid w:val="001733AF"/>
    <w:rsid w:val="00176FAD"/>
    <w:rsid w:val="0017733A"/>
    <w:rsid w:val="00181200"/>
    <w:rsid w:val="001901CA"/>
    <w:rsid w:val="001930FC"/>
    <w:rsid w:val="00193402"/>
    <w:rsid w:val="00194DD8"/>
    <w:rsid w:val="00197628"/>
    <w:rsid w:val="001A1456"/>
    <w:rsid w:val="001A1D16"/>
    <w:rsid w:val="001A2117"/>
    <w:rsid w:val="001A45DD"/>
    <w:rsid w:val="001A4E5A"/>
    <w:rsid w:val="001A4E90"/>
    <w:rsid w:val="001A71AF"/>
    <w:rsid w:val="001B1372"/>
    <w:rsid w:val="001B1748"/>
    <w:rsid w:val="001B5A4C"/>
    <w:rsid w:val="001C15DD"/>
    <w:rsid w:val="001C4134"/>
    <w:rsid w:val="001D029C"/>
    <w:rsid w:val="001D4B73"/>
    <w:rsid w:val="001D50A5"/>
    <w:rsid w:val="001E288B"/>
    <w:rsid w:val="001E33A7"/>
    <w:rsid w:val="001E3D69"/>
    <w:rsid w:val="001E4755"/>
    <w:rsid w:val="001E6E8F"/>
    <w:rsid w:val="001E794E"/>
    <w:rsid w:val="001F292C"/>
    <w:rsid w:val="001F3A08"/>
    <w:rsid w:val="001F610A"/>
    <w:rsid w:val="001F79E8"/>
    <w:rsid w:val="00200BA8"/>
    <w:rsid w:val="0020240F"/>
    <w:rsid w:val="002055DD"/>
    <w:rsid w:val="00205968"/>
    <w:rsid w:val="00205DF6"/>
    <w:rsid w:val="00205F22"/>
    <w:rsid w:val="0021147C"/>
    <w:rsid w:val="00214257"/>
    <w:rsid w:val="00214392"/>
    <w:rsid w:val="00215BA5"/>
    <w:rsid w:val="00215F58"/>
    <w:rsid w:val="00217E00"/>
    <w:rsid w:val="0022016C"/>
    <w:rsid w:val="0022177D"/>
    <w:rsid w:val="002224AE"/>
    <w:rsid w:val="00223931"/>
    <w:rsid w:val="002246D6"/>
    <w:rsid w:val="00226DEC"/>
    <w:rsid w:val="0022747A"/>
    <w:rsid w:val="0023151C"/>
    <w:rsid w:val="0023323E"/>
    <w:rsid w:val="00236A48"/>
    <w:rsid w:val="00236D43"/>
    <w:rsid w:val="00240D63"/>
    <w:rsid w:val="00243861"/>
    <w:rsid w:val="002472C0"/>
    <w:rsid w:val="002508FA"/>
    <w:rsid w:val="00253DC3"/>
    <w:rsid w:val="002541CE"/>
    <w:rsid w:val="00255C6B"/>
    <w:rsid w:val="0025723D"/>
    <w:rsid w:val="00257F22"/>
    <w:rsid w:val="002604A7"/>
    <w:rsid w:val="00260910"/>
    <w:rsid w:val="00262A6E"/>
    <w:rsid w:val="00263141"/>
    <w:rsid w:val="00266F04"/>
    <w:rsid w:val="00280F38"/>
    <w:rsid w:val="00283C54"/>
    <w:rsid w:val="00285885"/>
    <w:rsid w:val="00285ABC"/>
    <w:rsid w:val="002967DA"/>
    <w:rsid w:val="002A6197"/>
    <w:rsid w:val="002A7CE2"/>
    <w:rsid w:val="002B0041"/>
    <w:rsid w:val="002B01D0"/>
    <w:rsid w:val="002B38BE"/>
    <w:rsid w:val="002B3DBF"/>
    <w:rsid w:val="002B77E1"/>
    <w:rsid w:val="002C02A1"/>
    <w:rsid w:val="002C2DD2"/>
    <w:rsid w:val="002C7FCF"/>
    <w:rsid w:val="002D280B"/>
    <w:rsid w:val="002D3439"/>
    <w:rsid w:val="002D635D"/>
    <w:rsid w:val="002D6CF2"/>
    <w:rsid w:val="002E1B79"/>
    <w:rsid w:val="002E25BC"/>
    <w:rsid w:val="002E29B4"/>
    <w:rsid w:val="002E5AAD"/>
    <w:rsid w:val="002F065A"/>
    <w:rsid w:val="002F10F5"/>
    <w:rsid w:val="002F2283"/>
    <w:rsid w:val="002F640F"/>
    <w:rsid w:val="002F7FD1"/>
    <w:rsid w:val="00300C92"/>
    <w:rsid w:val="003017E3"/>
    <w:rsid w:val="00301FBF"/>
    <w:rsid w:val="00304A1A"/>
    <w:rsid w:val="00304D2D"/>
    <w:rsid w:val="00305EE3"/>
    <w:rsid w:val="0030747A"/>
    <w:rsid w:val="003117CE"/>
    <w:rsid w:val="003121AD"/>
    <w:rsid w:val="00313F13"/>
    <w:rsid w:val="00315623"/>
    <w:rsid w:val="00315D4B"/>
    <w:rsid w:val="00315D59"/>
    <w:rsid w:val="003160D4"/>
    <w:rsid w:val="00316DBA"/>
    <w:rsid w:val="00317D34"/>
    <w:rsid w:val="00321036"/>
    <w:rsid w:val="00323AFC"/>
    <w:rsid w:val="0032592F"/>
    <w:rsid w:val="00326152"/>
    <w:rsid w:val="00331C14"/>
    <w:rsid w:val="0033231B"/>
    <w:rsid w:val="00332D2E"/>
    <w:rsid w:val="00333E01"/>
    <w:rsid w:val="00336EED"/>
    <w:rsid w:val="003414CA"/>
    <w:rsid w:val="00344BCD"/>
    <w:rsid w:val="00347E66"/>
    <w:rsid w:val="0035118C"/>
    <w:rsid w:val="003537E4"/>
    <w:rsid w:val="0035581F"/>
    <w:rsid w:val="00357E91"/>
    <w:rsid w:val="00360D30"/>
    <w:rsid w:val="00361C9D"/>
    <w:rsid w:val="00363991"/>
    <w:rsid w:val="00364473"/>
    <w:rsid w:val="003646E5"/>
    <w:rsid w:val="00366F29"/>
    <w:rsid w:val="00367BA8"/>
    <w:rsid w:val="00370F25"/>
    <w:rsid w:val="00373602"/>
    <w:rsid w:val="00373826"/>
    <w:rsid w:val="00373AD1"/>
    <w:rsid w:val="00376E83"/>
    <w:rsid w:val="00384E2D"/>
    <w:rsid w:val="00390A3C"/>
    <w:rsid w:val="00392652"/>
    <w:rsid w:val="003974F8"/>
    <w:rsid w:val="003A28C5"/>
    <w:rsid w:val="003A5B50"/>
    <w:rsid w:val="003A6107"/>
    <w:rsid w:val="003A7427"/>
    <w:rsid w:val="003B0D63"/>
    <w:rsid w:val="003B70AD"/>
    <w:rsid w:val="003B7226"/>
    <w:rsid w:val="003C0B9E"/>
    <w:rsid w:val="003C179F"/>
    <w:rsid w:val="003C21E8"/>
    <w:rsid w:val="003C558B"/>
    <w:rsid w:val="003D01BB"/>
    <w:rsid w:val="003D05EA"/>
    <w:rsid w:val="003D2C56"/>
    <w:rsid w:val="003D3CCB"/>
    <w:rsid w:val="003D4211"/>
    <w:rsid w:val="003E11F4"/>
    <w:rsid w:val="003E4A7A"/>
    <w:rsid w:val="003F08DC"/>
    <w:rsid w:val="003F3849"/>
    <w:rsid w:val="003F4611"/>
    <w:rsid w:val="003F59D7"/>
    <w:rsid w:val="0040310D"/>
    <w:rsid w:val="00404253"/>
    <w:rsid w:val="00407128"/>
    <w:rsid w:val="004079CE"/>
    <w:rsid w:val="004143A5"/>
    <w:rsid w:val="004220B6"/>
    <w:rsid w:val="004238E7"/>
    <w:rsid w:val="00423980"/>
    <w:rsid w:val="0042662D"/>
    <w:rsid w:val="004270EF"/>
    <w:rsid w:val="00427533"/>
    <w:rsid w:val="00432C0C"/>
    <w:rsid w:val="00433EED"/>
    <w:rsid w:val="0044198C"/>
    <w:rsid w:val="0044280B"/>
    <w:rsid w:val="00443888"/>
    <w:rsid w:val="004449F3"/>
    <w:rsid w:val="00444EE1"/>
    <w:rsid w:val="00445872"/>
    <w:rsid w:val="0044799D"/>
    <w:rsid w:val="0045091A"/>
    <w:rsid w:val="00451F71"/>
    <w:rsid w:val="00452BB8"/>
    <w:rsid w:val="00454FA1"/>
    <w:rsid w:val="00455196"/>
    <w:rsid w:val="0045602F"/>
    <w:rsid w:val="00457A37"/>
    <w:rsid w:val="004639BC"/>
    <w:rsid w:val="004640C1"/>
    <w:rsid w:val="00464725"/>
    <w:rsid w:val="00464BAE"/>
    <w:rsid w:val="004660B0"/>
    <w:rsid w:val="004704FB"/>
    <w:rsid w:val="004825A8"/>
    <w:rsid w:val="0048512D"/>
    <w:rsid w:val="004A010F"/>
    <w:rsid w:val="004A01F6"/>
    <w:rsid w:val="004A1F5D"/>
    <w:rsid w:val="004A3D6D"/>
    <w:rsid w:val="004A4981"/>
    <w:rsid w:val="004A5190"/>
    <w:rsid w:val="004A5376"/>
    <w:rsid w:val="004A6517"/>
    <w:rsid w:val="004A67FA"/>
    <w:rsid w:val="004A68AF"/>
    <w:rsid w:val="004A7173"/>
    <w:rsid w:val="004A7D7E"/>
    <w:rsid w:val="004B029E"/>
    <w:rsid w:val="004B0537"/>
    <w:rsid w:val="004B28CA"/>
    <w:rsid w:val="004B7DE5"/>
    <w:rsid w:val="004C1AE6"/>
    <w:rsid w:val="004C6BAD"/>
    <w:rsid w:val="004C7102"/>
    <w:rsid w:val="004C7FD7"/>
    <w:rsid w:val="004D0A4A"/>
    <w:rsid w:val="004D0E18"/>
    <w:rsid w:val="004D11B3"/>
    <w:rsid w:val="004D3C30"/>
    <w:rsid w:val="004D5AE9"/>
    <w:rsid w:val="004D5C23"/>
    <w:rsid w:val="004D5F63"/>
    <w:rsid w:val="004D75D5"/>
    <w:rsid w:val="004E0230"/>
    <w:rsid w:val="004E2088"/>
    <w:rsid w:val="004E419C"/>
    <w:rsid w:val="004E56D8"/>
    <w:rsid w:val="004E5B18"/>
    <w:rsid w:val="004E606C"/>
    <w:rsid w:val="004E6954"/>
    <w:rsid w:val="004E76F6"/>
    <w:rsid w:val="004E7786"/>
    <w:rsid w:val="004F0D23"/>
    <w:rsid w:val="00501303"/>
    <w:rsid w:val="0050507E"/>
    <w:rsid w:val="00507DCF"/>
    <w:rsid w:val="00511664"/>
    <w:rsid w:val="00516A4F"/>
    <w:rsid w:val="005170D9"/>
    <w:rsid w:val="00520FE8"/>
    <w:rsid w:val="0052394D"/>
    <w:rsid w:val="00524F86"/>
    <w:rsid w:val="00526F0E"/>
    <w:rsid w:val="005271EF"/>
    <w:rsid w:val="00527A46"/>
    <w:rsid w:val="005307A5"/>
    <w:rsid w:val="0053132A"/>
    <w:rsid w:val="00536952"/>
    <w:rsid w:val="005369FB"/>
    <w:rsid w:val="00537638"/>
    <w:rsid w:val="0054181E"/>
    <w:rsid w:val="00541AC4"/>
    <w:rsid w:val="00541FB5"/>
    <w:rsid w:val="0055435D"/>
    <w:rsid w:val="005574D7"/>
    <w:rsid w:val="00560740"/>
    <w:rsid w:val="005627EE"/>
    <w:rsid w:val="00562B2E"/>
    <w:rsid w:val="00566F28"/>
    <w:rsid w:val="00570015"/>
    <w:rsid w:val="00573EAA"/>
    <w:rsid w:val="00576ADE"/>
    <w:rsid w:val="00577ECB"/>
    <w:rsid w:val="00577FFA"/>
    <w:rsid w:val="0058012A"/>
    <w:rsid w:val="00582F95"/>
    <w:rsid w:val="00586658"/>
    <w:rsid w:val="00587816"/>
    <w:rsid w:val="005879D1"/>
    <w:rsid w:val="0059145C"/>
    <w:rsid w:val="00594BE3"/>
    <w:rsid w:val="00595F0C"/>
    <w:rsid w:val="00596BA7"/>
    <w:rsid w:val="005A215C"/>
    <w:rsid w:val="005A6326"/>
    <w:rsid w:val="005A69CA"/>
    <w:rsid w:val="005A770A"/>
    <w:rsid w:val="005C53A8"/>
    <w:rsid w:val="005D2A28"/>
    <w:rsid w:val="005D3846"/>
    <w:rsid w:val="005D5695"/>
    <w:rsid w:val="005D651D"/>
    <w:rsid w:val="005D6F56"/>
    <w:rsid w:val="005E22B8"/>
    <w:rsid w:val="005E28BD"/>
    <w:rsid w:val="005E3C18"/>
    <w:rsid w:val="005E617A"/>
    <w:rsid w:val="005F3159"/>
    <w:rsid w:val="005F3701"/>
    <w:rsid w:val="005F437E"/>
    <w:rsid w:val="005F4DCF"/>
    <w:rsid w:val="005F6E37"/>
    <w:rsid w:val="005F7CCF"/>
    <w:rsid w:val="0060072E"/>
    <w:rsid w:val="0060086F"/>
    <w:rsid w:val="00600C9C"/>
    <w:rsid w:val="00601507"/>
    <w:rsid w:val="006053D2"/>
    <w:rsid w:val="00606716"/>
    <w:rsid w:val="00607BD4"/>
    <w:rsid w:val="0061147C"/>
    <w:rsid w:val="00614490"/>
    <w:rsid w:val="0061632F"/>
    <w:rsid w:val="00616341"/>
    <w:rsid w:val="00617E79"/>
    <w:rsid w:val="00617EC4"/>
    <w:rsid w:val="00622699"/>
    <w:rsid w:val="00624E16"/>
    <w:rsid w:val="00630AAC"/>
    <w:rsid w:val="006314C2"/>
    <w:rsid w:val="00631C5A"/>
    <w:rsid w:val="0063569B"/>
    <w:rsid w:val="00635CE4"/>
    <w:rsid w:val="0063610A"/>
    <w:rsid w:val="006367D4"/>
    <w:rsid w:val="00644CAA"/>
    <w:rsid w:val="00646460"/>
    <w:rsid w:val="0064722F"/>
    <w:rsid w:val="00647D58"/>
    <w:rsid w:val="0065082F"/>
    <w:rsid w:val="00650F27"/>
    <w:rsid w:val="00651977"/>
    <w:rsid w:val="006523BD"/>
    <w:rsid w:val="00652A1B"/>
    <w:rsid w:val="00652A7E"/>
    <w:rsid w:val="00652A9D"/>
    <w:rsid w:val="00653B67"/>
    <w:rsid w:val="006546EA"/>
    <w:rsid w:val="00654D73"/>
    <w:rsid w:val="00655FCC"/>
    <w:rsid w:val="006568E0"/>
    <w:rsid w:val="00656C08"/>
    <w:rsid w:val="00657AD0"/>
    <w:rsid w:val="0066102E"/>
    <w:rsid w:val="00661E10"/>
    <w:rsid w:val="00664BD0"/>
    <w:rsid w:val="0066520F"/>
    <w:rsid w:val="006654E8"/>
    <w:rsid w:val="0066681E"/>
    <w:rsid w:val="00666A31"/>
    <w:rsid w:val="00670008"/>
    <w:rsid w:val="00670790"/>
    <w:rsid w:val="0067272A"/>
    <w:rsid w:val="006728AB"/>
    <w:rsid w:val="00672F73"/>
    <w:rsid w:val="00673798"/>
    <w:rsid w:val="00674559"/>
    <w:rsid w:val="00674A1B"/>
    <w:rsid w:val="00674AFD"/>
    <w:rsid w:val="006804BB"/>
    <w:rsid w:val="00691232"/>
    <w:rsid w:val="006932B7"/>
    <w:rsid w:val="00693DA7"/>
    <w:rsid w:val="00694538"/>
    <w:rsid w:val="006956A0"/>
    <w:rsid w:val="0069732C"/>
    <w:rsid w:val="0069791E"/>
    <w:rsid w:val="006A4AC4"/>
    <w:rsid w:val="006A72C3"/>
    <w:rsid w:val="006B014A"/>
    <w:rsid w:val="006B14EC"/>
    <w:rsid w:val="006B2DDD"/>
    <w:rsid w:val="006B6380"/>
    <w:rsid w:val="006B6739"/>
    <w:rsid w:val="006B72B0"/>
    <w:rsid w:val="006B72D9"/>
    <w:rsid w:val="006B7760"/>
    <w:rsid w:val="006C06C9"/>
    <w:rsid w:val="006C08F0"/>
    <w:rsid w:val="006C214D"/>
    <w:rsid w:val="006C2490"/>
    <w:rsid w:val="006C3250"/>
    <w:rsid w:val="006C551A"/>
    <w:rsid w:val="006C5A93"/>
    <w:rsid w:val="006D0395"/>
    <w:rsid w:val="006D21CC"/>
    <w:rsid w:val="006D3A4C"/>
    <w:rsid w:val="006D3A5D"/>
    <w:rsid w:val="006D5419"/>
    <w:rsid w:val="006D541A"/>
    <w:rsid w:val="006D54D4"/>
    <w:rsid w:val="006D72DF"/>
    <w:rsid w:val="006D747B"/>
    <w:rsid w:val="006E249F"/>
    <w:rsid w:val="006E344D"/>
    <w:rsid w:val="006E51CF"/>
    <w:rsid w:val="006F07AB"/>
    <w:rsid w:val="006F2A4E"/>
    <w:rsid w:val="006F3AF3"/>
    <w:rsid w:val="006F5509"/>
    <w:rsid w:val="006F6DB0"/>
    <w:rsid w:val="006F7BBE"/>
    <w:rsid w:val="00700939"/>
    <w:rsid w:val="00703743"/>
    <w:rsid w:val="00704AEC"/>
    <w:rsid w:val="00704C14"/>
    <w:rsid w:val="00705A54"/>
    <w:rsid w:val="00707DD7"/>
    <w:rsid w:val="007104B7"/>
    <w:rsid w:val="00711806"/>
    <w:rsid w:val="00711DFE"/>
    <w:rsid w:val="007127BA"/>
    <w:rsid w:val="00712834"/>
    <w:rsid w:val="007128C2"/>
    <w:rsid w:val="007137F1"/>
    <w:rsid w:val="007138D7"/>
    <w:rsid w:val="007156D2"/>
    <w:rsid w:val="007171D2"/>
    <w:rsid w:val="0072037A"/>
    <w:rsid w:val="00731CAD"/>
    <w:rsid w:val="00737F44"/>
    <w:rsid w:val="00742828"/>
    <w:rsid w:val="00747623"/>
    <w:rsid w:val="007509C9"/>
    <w:rsid w:val="00750F56"/>
    <w:rsid w:val="0075151D"/>
    <w:rsid w:val="0075182A"/>
    <w:rsid w:val="00751E8B"/>
    <w:rsid w:val="00752280"/>
    <w:rsid w:val="00752409"/>
    <w:rsid w:val="007555F9"/>
    <w:rsid w:val="00756E59"/>
    <w:rsid w:val="0075781F"/>
    <w:rsid w:val="0076194F"/>
    <w:rsid w:val="00767044"/>
    <w:rsid w:val="00767A9C"/>
    <w:rsid w:val="007706A6"/>
    <w:rsid w:val="00775831"/>
    <w:rsid w:val="007758AC"/>
    <w:rsid w:val="00775DEA"/>
    <w:rsid w:val="00775E04"/>
    <w:rsid w:val="00777B6C"/>
    <w:rsid w:val="0078033B"/>
    <w:rsid w:val="00781F52"/>
    <w:rsid w:val="00782548"/>
    <w:rsid w:val="00782584"/>
    <w:rsid w:val="00784173"/>
    <w:rsid w:val="00786AAF"/>
    <w:rsid w:val="00787D19"/>
    <w:rsid w:val="007952C7"/>
    <w:rsid w:val="00796034"/>
    <w:rsid w:val="007A0C42"/>
    <w:rsid w:val="007A0E43"/>
    <w:rsid w:val="007A1947"/>
    <w:rsid w:val="007A237A"/>
    <w:rsid w:val="007A3B2A"/>
    <w:rsid w:val="007A5319"/>
    <w:rsid w:val="007A7C18"/>
    <w:rsid w:val="007A7EF1"/>
    <w:rsid w:val="007B2A84"/>
    <w:rsid w:val="007B32E9"/>
    <w:rsid w:val="007C4912"/>
    <w:rsid w:val="007C66D2"/>
    <w:rsid w:val="007C6BBF"/>
    <w:rsid w:val="007D1C55"/>
    <w:rsid w:val="007D3CF4"/>
    <w:rsid w:val="007D3DC6"/>
    <w:rsid w:val="007D4455"/>
    <w:rsid w:val="007D62D7"/>
    <w:rsid w:val="007D68A5"/>
    <w:rsid w:val="007E7421"/>
    <w:rsid w:val="007F314D"/>
    <w:rsid w:val="007F6C55"/>
    <w:rsid w:val="008012FC"/>
    <w:rsid w:val="00801FFA"/>
    <w:rsid w:val="008036B7"/>
    <w:rsid w:val="0080494D"/>
    <w:rsid w:val="00804D5D"/>
    <w:rsid w:val="0080672E"/>
    <w:rsid w:val="008067AA"/>
    <w:rsid w:val="008068DA"/>
    <w:rsid w:val="008068EC"/>
    <w:rsid w:val="00807795"/>
    <w:rsid w:val="00810459"/>
    <w:rsid w:val="00813D04"/>
    <w:rsid w:val="0081414C"/>
    <w:rsid w:val="00816A53"/>
    <w:rsid w:val="00820914"/>
    <w:rsid w:val="00822EBD"/>
    <w:rsid w:val="008247D9"/>
    <w:rsid w:val="00825A15"/>
    <w:rsid w:val="00825F46"/>
    <w:rsid w:val="00825FAA"/>
    <w:rsid w:val="00826C3A"/>
    <w:rsid w:val="00830296"/>
    <w:rsid w:val="0083223D"/>
    <w:rsid w:val="008330C9"/>
    <w:rsid w:val="00835F52"/>
    <w:rsid w:val="00840117"/>
    <w:rsid w:val="00843C8F"/>
    <w:rsid w:val="00844290"/>
    <w:rsid w:val="008443B1"/>
    <w:rsid w:val="00844507"/>
    <w:rsid w:val="0084490D"/>
    <w:rsid w:val="00844A00"/>
    <w:rsid w:val="00846F1B"/>
    <w:rsid w:val="008526D9"/>
    <w:rsid w:val="00854E30"/>
    <w:rsid w:val="00857654"/>
    <w:rsid w:val="00857B62"/>
    <w:rsid w:val="008618C1"/>
    <w:rsid w:val="00862EBB"/>
    <w:rsid w:val="008631DD"/>
    <w:rsid w:val="00864330"/>
    <w:rsid w:val="008703DB"/>
    <w:rsid w:val="00872CE4"/>
    <w:rsid w:val="0087459C"/>
    <w:rsid w:val="00877E4D"/>
    <w:rsid w:val="00880D74"/>
    <w:rsid w:val="00880ED3"/>
    <w:rsid w:val="00881BAB"/>
    <w:rsid w:val="00881D84"/>
    <w:rsid w:val="00883470"/>
    <w:rsid w:val="00884BA6"/>
    <w:rsid w:val="008858F6"/>
    <w:rsid w:val="00890712"/>
    <w:rsid w:val="00890B69"/>
    <w:rsid w:val="00892BDA"/>
    <w:rsid w:val="00892DE8"/>
    <w:rsid w:val="008A072E"/>
    <w:rsid w:val="008A2656"/>
    <w:rsid w:val="008A3A9E"/>
    <w:rsid w:val="008A4942"/>
    <w:rsid w:val="008A4B8E"/>
    <w:rsid w:val="008A53DE"/>
    <w:rsid w:val="008A561B"/>
    <w:rsid w:val="008A6628"/>
    <w:rsid w:val="008B01C2"/>
    <w:rsid w:val="008B029B"/>
    <w:rsid w:val="008B1D39"/>
    <w:rsid w:val="008B5573"/>
    <w:rsid w:val="008C24AF"/>
    <w:rsid w:val="008C5641"/>
    <w:rsid w:val="008C6135"/>
    <w:rsid w:val="008D0766"/>
    <w:rsid w:val="008D4229"/>
    <w:rsid w:val="008D4521"/>
    <w:rsid w:val="008D4BDD"/>
    <w:rsid w:val="008D5387"/>
    <w:rsid w:val="008D60F8"/>
    <w:rsid w:val="008D7591"/>
    <w:rsid w:val="008E1EA1"/>
    <w:rsid w:val="008E337E"/>
    <w:rsid w:val="008E47C0"/>
    <w:rsid w:val="008E6003"/>
    <w:rsid w:val="008E69FC"/>
    <w:rsid w:val="008E6AAE"/>
    <w:rsid w:val="008F1D6D"/>
    <w:rsid w:val="008F52D0"/>
    <w:rsid w:val="008F6AA2"/>
    <w:rsid w:val="00900116"/>
    <w:rsid w:val="009055EE"/>
    <w:rsid w:val="00905A28"/>
    <w:rsid w:val="00910B36"/>
    <w:rsid w:val="00910FF9"/>
    <w:rsid w:val="00913858"/>
    <w:rsid w:val="00914849"/>
    <w:rsid w:val="009166AD"/>
    <w:rsid w:val="0091776B"/>
    <w:rsid w:val="00917C51"/>
    <w:rsid w:val="009209E8"/>
    <w:rsid w:val="009211B4"/>
    <w:rsid w:val="00922373"/>
    <w:rsid w:val="00922592"/>
    <w:rsid w:val="00923C4A"/>
    <w:rsid w:val="009259D5"/>
    <w:rsid w:val="00925B9C"/>
    <w:rsid w:val="00926CDD"/>
    <w:rsid w:val="00926EE7"/>
    <w:rsid w:val="009278C5"/>
    <w:rsid w:val="0093107D"/>
    <w:rsid w:val="009324FE"/>
    <w:rsid w:val="00933150"/>
    <w:rsid w:val="00933165"/>
    <w:rsid w:val="0093334D"/>
    <w:rsid w:val="00934B57"/>
    <w:rsid w:val="00935307"/>
    <w:rsid w:val="0094041C"/>
    <w:rsid w:val="0094055B"/>
    <w:rsid w:val="00941545"/>
    <w:rsid w:val="009435A6"/>
    <w:rsid w:val="009437A7"/>
    <w:rsid w:val="00946789"/>
    <w:rsid w:val="00950163"/>
    <w:rsid w:val="0095139A"/>
    <w:rsid w:val="009546B7"/>
    <w:rsid w:val="00955047"/>
    <w:rsid w:val="00955238"/>
    <w:rsid w:val="009558DD"/>
    <w:rsid w:val="009613A3"/>
    <w:rsid w:val="0096147D"/>
    <w:rsid w:val="0096479F"/>
    <w:rsid w:val="00965552"/>
    <w:rsid w:val="0096574A"/>
    <w:rsid w:val="0096617A"/>
    <w:rsid w:val="00967429"/>
    <w:rsid w:val="009700E7"/>
    <w:rsid w:val="009701A2"/>
    <w:rsid w:val="00971FF1"/>
    <w:rsid w:val="00975775"/>
    <w:rsid w:val="00977D99"/>
    <w:rsid w:val="0098099B"/>
    <w:rsid w:val="00981749"/>
    <w:rsid w:val="00982857"/>
    <w:rsid w:val="00983E4E"/>
    <w:rsid w:val="009840B0"/>
    <w:rsid w:val="00984531"/>
    <w:rsid w:val="0098659E"/>
    <w:rsid w:val="009869E5"/>
    <w:rsid w:val="00991F92"/>
    <w:rsid w:val="0099239A"/>
    <w:rsid w:val="00992683"/>
    <w:rsid w:val="009930AE"/>
    <w:rsid w:val="00994368"/>
    <w:rsid w:val="009960AD"/>
    <w:rsid w:val="00997017"/>
    <w:rsid w:val="009A089A"/>
    <w:rsid w:val="009A1ABA"/>
    <w:rsid w:val="009A456E"/>
    <w:rsid w:val="009A6799"/>
    <w:rsid w:val="009A693B"/>
    <w:rsid w:val="009A7284"/>
    <w:rsid w:val="009A75CB"/>
    <w:rsid w:val="009B074B"/>
    <w:rsid w:val="009B0A3E"/>
    <w:rsid w:val="009B72EB"/>
    <w:rsid w:val="009B792F"/>
    <w:rsid w:val="009C07B4"/>
    <w:rsid w:val="009C4BB9"/>
    <w:rsid w:val="009C4C50"/>
    <w:rsid w:val="009C7D0A"/>
    <w:rsid w:val="009C7FD8"/>
    <w:rsid w:val="009D05BF"/>
    <w:rsid w:val="009D2432"/>
    <w:rsid w:val="009D245C"/>
    <w:rsid w:val="009D6AFE"/>
    <w:rsid w:val="009E0EA7"/>
    <w:rsid w:val="009E36F0"/>
    <w:rsid w:val="009F064F"/>
    <w:rsid w:val="009F11C8"/>
    <w:rsid w:val="009F15EF"/>
    <w:rsid w:val="009F24D1"/>
    <w:rsid w:val="009F3D47"/>
    <w:rsid w:val="009F4563"/>
    <w:rsid w:val="009F487E"/>
    <w:rsid w:val="009F6C40"/>
    <w:rsid w:val="00A01EFD"/>
    <w:rsid w:val="00A039D2"/>
    <w:rsid w:val="00A04B51"/>
    <w:rsid w:val="00A05781"/>
    <w:rsid w:val="00A068B7"/>
    <w:rsid w:val="00A069FC"/>
    <w:rsid w:val="00A0749F"/>
    <w:rsid w:val="00A12D09"/>
    <w:rsid w:val="00A17158"/>
    <w:rsid w:val="00A2031C"/>
    <w:rsid w:val="00A20856"/>
    <w:rsid w:val="00A2140F"/>
    <w:rsid w:val="00A24145"/>
    <w:rsid w:val="00A24411"/>
    <w:rsid w:val="00A252A2"/>
    <w:rsid w:val="00A25ADF"/>
    <w:rsid w:val="00A319A4"/>
    <w:rsid w:val="00A320D2"/>
    <w:rsid w:val="00A32455"/>
    <w:rsid w:val="00A32D75"/>
    <w:rsid w:val="00A33EC9"/>
    <w:rsid w:val="00A36113"/>
    <w:rsid w:val="00A377F1"/>
    <w:rsid w:val="00A40087"/>
    <w:rsid w:val="00A41CA5"/>
    <w:rsid w:val="00A426D2"/>
    <w:rsid w:val="00A46BC3"/>
    <w:rsid w:val="00A51A47"/>
    <w:rsid w:val="00A5296E"/>
    <w:rsid w:val="00A5323E"/>
    <w:rsid w:val="00A5538A"/>
    <w:rsid w:val="00A5692F"/>
    <w:rsid w:val="00A57C84"/>
    <w:rsid w:val="00A6358C"/>
    <w:rsid w:val="00A63DE3"/>
    <w:rsid w:val="00A648D2"/>
    <w:rsid w:val="00A648FB"/>
    <w:rsid w:val="00A665B8"/>
    <w:rsid w:val="00A67621"/>
    <w:rsid w:val="00A709D1"/>
    <w:rsid w:val="00A70DE0"/>
    <w:rsid w:val="00A81B56"/>
    <w:rsid w:val="00A82E49"/>
    <w:rsid w:val="00A83F70"/>
    <w:rsid w:val="00A841E3"/>
    <w:rsid w:val="00A86E53"/>
    <w:rsid w:val="00A920ED"/>
    <w:rsid w:val="00A92497"/>
    <w:rsid w:val="00A94B95"/>
    <w:rsid w:val="00A95164"/>
    <w:rsid w:val="00A96056"/>
    <w:rsid w:val="00A969C3"/>
    <w:rsid w:val="00A97447"/>
    <w:rsid w:val="00AA0C7F"/>
    <w:rsid w:val="00AA1E25"/>
    <w:rsid w:val="00AA65EF"/>
    <w:rsid w:val="00AA6837"/>
    <w:rsid w:val="00AB07FC"/>
    <w:rsid w:val="00AB0BCB"/>
    <w:rsid w:val="00AB1B7A"/>
    <w:rsid w:val="00AB234F"/>
    <w:rsid w:val="00AB490B"/>
    <w:rsid w:val="00AB50A1"/>
    <w:rsid w:val="00AB63EC"/>
    <w:rsid w:val="00AB706C"/>
    <w:rsid w:val="00AB7635"/>
    <w:rsid w:val="00AB7D40"/>
    <w:rsid w:val="00AC0195"/>
    <w:rsid w:val="00AC169A"/>
    <w:rsid w:val="00AC17BD"/>
    <w:rsid w:val="00AC627A"/>
    <w:rsid w:val="00AC7076"/>
    <w:rsid w:val="00AD0219"/>
    <w:rsid w:val="00AD0858"/>
    <w:rsid w:val="00AD159E"/>
    <w:rsid w:val="00AD25AF"/>
    <w:rsid w:val="00AD3FA3"/>
    <w:rsid w:val="00AD5B00"/>
    <w:rsid w:val="00AE0905"/>
    <w:rsid w:val="00AE2F7F"/>
    <w:rsid w:val="00AF35AE"/>
    <w:rsid w:val="00AF394B"/>
    <w:rsid w:val="00AF6C87"/>
    <w:rsid w:val="00AF7196"/>
    <w:rsid w:val="00B001EA"/>
    <w:rsid w:val="00B006E0"/>
    <w:rsid w:val="00B0365E"/>
    <w:rsid w:val="00B03D5C"/>
    <w:rsid w:val="00B11E1C"/>
    <w:rsid w:val="00B12CAE"/>
    <w:rsid w:val="00B12DA9"/>
    <w:rsid w:val="00B1771E"/>
    <w:rsid w:val="00B20979"/>
    <w:rsid w:val="00B20B9D"/>
    <w:rsid w:val="00B20CA6"/>
    <w:rsid w:val="00B2179E"/>
    <w:rsid w:val="00B21830"/>
    <w:rsid w:val="00B24130"/>
    <w:rsid w:val="00B24BED"/>
    <w:rsid w:val="00B259B3"/>
    <w:rsid w:val="00B3066F"/>
    <w:rsid w:val="00B31572"/>
    <w:rsid w:val="00B32FDE"/>
    <w:rsid w:val="00B3485C"/>
    <w:rsid w:val="00B3551C"/>
    <w:rsid w:val="00B41CC5"/>
    <w:rsid w:val="00B4456E"/>
    <w:rsid w:val="00B455A2"/>
    <w:rsid w:val="00B5121C"/>
    <w:rsid w:val="00B55DD4"/>
    <w:rsid w:val="00B562EE"/>
    <w:rsid w:val="00B601DE"/>
    <w:rsid w:val="00B60D21"/>
    <w:rsid w:val="00B61DB0"/>
    <w:rsid w:val="00B628A3"/>
    <w:rsid w:val="00B635C3"/>
    <w:rsid w:val="00B64059"/>
    <w:rsid w:val="00B64E0D"/>
    <w:rsid w:val="00B65DD7"/>
    <w:rsid w:val="00B66B82"/>
    <w:rsid w:val="00B67C8D"/>
    <w:rsid w:val="00B71A77"/>
    <w:rsid w:val="00B746DE"/>
    <w:rsid w:val="00B761D0"/>
    <w:rsid w:val="00B76B5B"/>
    <w:rsid w:val="00B76E0A"/>
    <w:rsid w:val="00B770A1"/>
    <w:rsid w:val="00B826E5"/>
    <w:rsid w:val="00B836E8"/>
    <w:rsid w:val="00B83FBC"/>
    <w:rsid w:val="00B841A4"/>
    <w:rsid w:val="00B871DD"/>
    <w:rsid w:val="00B87B57"/>
    <w:rsid w:val="00B93135"/>
    <w:rsid w:val="00B9774B"/>
    <w:rsid w:val="00BA1954"/>
    <w:rsid w:val="00BA376F"/>
    <w:rsid w:val="00BA5F64"/>
    <w:rsid w:val="00BA61A9"/>
    <w:rsid w:val="00BB0A71"/>
    <w:rsid w:val="00BB11E2"/>
    <w:rsid w:val="00BB33FD"/>
    <w:rsid w:val="00BB33FE"/>
    <w:rsid w:val="00BB5C5F"/>
    <w:rsid w:val="00BB612A"/>
    <w:rsid w:val="00BB627A"/>
    <w:rsid w:val="00BC193E"/>
    <w:rsid w:val="00BC4F1B"/>
    <w:rsid w:val="00BC6F1B"/>
    <w:rsid w:val="00BC753E"/>
    <w:rsid w:val="00BC7668"/>
    <w:rsid w:val="00BC7E29"/>
    <w:rsid w:val="00BD1D60"/>
    <w:rsid w:val="00BD1FA5"/>
    <w:rsid w:val="00BD2812"/>
    <w:rsid w:val="00BD3A3F"/>
    <w:rsid w:val="00BD6949"/>
    <w:rsid w:val="00BD7B88"/>
    <w:rsid w:val="00BE4B8D"/>
    <w:rsid w:val="00BE5EB9"/>
    <w:rsid w:val="00BE73E9"/>
    <w:rsid w:val="00BF0B2C"/>
    <w:rsid w:val="00BF0C97"/>
    <w:rsid w:val="00BF28EC"/>
    <w:rsid w:val="00BF51F6"/>
    <w:rsid w:val="00BF52C5"/>
    <w:rsid w:val="00BF682C"/>
    <w:rsid w:val="00BF7476"/>
    <w:rsid w:val="00C02D9A"/>
    <w:rsid w:val="00C06808"/>
    <w:rsid w:val="00C10DEC"/>
    <w:rsid w:val="00C10EEC"/>
    <w:rsid w:val="00C12240"/>
    <w:rsid w:val="00C138B2"/>
    <w:rsid w:val="00C13F57"/>
    <w:rsid w:val="00C17074"/>
    <w:rsid w:val="00C1758E"/>
    <w:rsid w:val="00C21672"/>
    <w:rsid w:val="00C21ACC"/>
    <w:rsid w:val="00C22755"/>
    <w:rsid w:val="00C31F14"/>
    <w:rsid w:val="00C34E9B"/>
    <w:rsid w:val="00C34FE2"/>
    <w:rsid w:val="00C36041"/>
    <w:rsid w:val="00C36B8D"/>
    <w:rsid w:val="00C402C9"/>
    <w:rsid w:val="00C406A0"/>
    <w:rsid w:val="00C41C1D"/>
    <w:rsid w:val="00C421A0"/>
    <w:rsid w:val="00C439B2"/>
    <w:rsid w:val="00C44001"/>
    <w:rsid w:val="00C4439D"/>
    <w:rsid w:val="00C45F5C"/>
    <w:rsid w:val="00C466A2"/>
    <w:rsid w:val="00C46AF0"/>
    <w:rsid w:val="00C479FE"/>
    <w:rsid w:val="00C47EB3"/>
    <w:rsid w:val="00C50B1D"/>
    <w:rsid w:val="00C53ADD"/>
    <w:rsid w:val="00C56178"/>
    <w:rsid w:val="00C562B0"/>
    <w:rsid w:val="00C56DD1"/>
    <w:rsid w:val="00C57D52"/>
    <w:rsid w:val="00C603C1"/>
    <w:rsid w:val="00C6061D"/>
    <w:rsid w:val="00C62E07"/>
    <w:rsid w:val="00C63C53"/>
    <w:rsid w:val="00C70B15"/>
    <w:rsid w:val="00C70F4F"/>
    <w:rsid w:val="00C7603F"/>
    <w:rsid w:val="00C80ECD"/>
    <w:rsid w:val="00C8206E"/>
    <w:rsid w:val="00C82962"/>
    <w:rsid w:val="00C83BA2"/>
    <w:rsid w:val="00C840F2"/>
    <w:rsid w:val="00C8538F"/>
    <w:rsid w:val="00C9122B"/>
    <w:rsid w:val="00C93D82"/>
    <w:rsid w:val="00C94904"/>
    <w:rsid w:val="00C9683B"/>
    <w:rsid w:val="00CA0EF6"/>
    <w:rsid w:val="00CA31DB"/>
    <w:rsid w:val="00CA4361"/>
    <w:rsid w:val="00CB21A0"/>
    <w:rsid w:val="00CB26B0"/>
    <w:rsid w:val="00CB2ACC"/>
    <w:rsid w:val="00CC0A81"/>
    <w:rsid w:val="00CC2EA3"/>
    <w:rsid w:val="00CC41D4"/>
    <w:rsid w:val="00CD2724"/>
    <w:rsid w:val="00CD33AB"/>
    <w:rsid w:val="00CD4A09"/>
    <w:rsid w:val="00CD5E71"/>
    <w:rsid w:val="00CD6B61"/>
    <w:rsid w:val="00CF08A4"/>
    <w:rsid w:val="00CF0C7B"/>
    <w:rsid w:val="00CF1C70"/>
    <w:rsid w:val="00CF291C"/>
    <w:rsid w:val="00CF4B54"/>
    <w:rsid w:val="00D02613"/>
    <w:rsid w:val="00D060F5"/>
    <w:rsid w:val="00D06613"/>
    <w:rsid w:val="00D114B4"/>
    <w:rsid w:val="00D119E0"/>
    <w:rsid w:val="00D1210A"/>
    <w:rsid w:val="00D12679"/>
    <w:rsid w:val="00D13574"/>
    <w:rsid w:val="00D13FCC"/>
    <w:rsid w:val="00D149B3"/>
    <w:rsid w:val="00D14E0D"/>
    <w:rsid w:val="00D15B9A"/>
    <w:rsid w:val="00D15D80"/>
    <w:rsid w:val="00D1666A"/>
    <w:rsid w:val="00D17D8C"/>
    <w:rsid w:val="00D21BE7"/>
    <w:rsid w:val="00D26793"/>
    <w:rsid w:val="00D27953"/>
    <w:rsid w:val="00D33441"/>
    <w:rsid w:val="00D334C0"/>
    <w:rsid w:val="00D36619"/>
    <w:rsid w:val="00D3707C"/>
    <w:rsid w:val="00D375DC"/>
    <w:rsid w:val="00D450F4"/>
    <w:rsid w:val="00D45431"/>
    <w:rsid w:val="00D505AC"/>
    <w:rsid w:val="00D50730"/>
    <w:rsid w:val="00D50E55"/>
    <w:rsid w:val="00D50E97"/>
    <w:rsid w:val="00D539DF"/>
    <w:rsid w:val="00D53B3B"/>
    <w:rsid w:val="00D542EE"/>
    <w:rsid w:val="00D545D3"/>
    <w:rsid w:val="00D54F3E"/>
    <w:rsid w:val="00D577AF"/>
    <w:rsid w:val="00D57932"/>
    <w:rsid w:val="00D65F39"/>
    <w:rsid w:val="00D664CF"/>
    <w:rsid w:val="00D67757"/>
    <w:rsid w:val="00D72D71"/>
    <w:rsid w:val="00D7654E"/>
    <w:rsid w:val="00D76D8D"/>
    <w:rsid w:val="00D83166"/>
    <w:rsid w:val="00D8329A"/>
    <w:rsid w:val="00D85475"/>
    <w:rsid w:val="00D86304"/>
    <w:rsid w:val="00D87DC8"/>
    <w:rsid w:val="00D9044D"/>
    <w:rsid w:val="00D90F3B"/>
    <w:rsid w:val="00D94EB2"/>
    <w:rsid w:val="00D96521"/>
    <w:rsid w:val="00DA2563"/>
    <w:rsid w:val="00DA318F"/>
    <w:rsid w:val="00DA380B"/>
    <w:rsid w:val="00DA5364"/>
    <w:rsid w:val="00DB160F"/>
    <w:rsid w:val="00DB2F65"/>
    <w:rsid w:val="00DB4270"/>
    <w:rsid w:val="00DB50E6"/>
    <w:rsid w:val="00DB5B28"/>
    <w:rsid w:val="00DB7459"/>
    <w:rsid w:val="00DC2111"/>
    <w:rsid w:val="00DC2BD1"/>
    <w:rsid w:val="00DC32BC"/>
    <w:rsid w:val="00DC3C54"/>
    <w:rsid w:val="00DC499D"/>
    <w:rsid w:val="00DC7034"/>
    <w:rsid w:val="00DC770C"/>
    <w:rsid w:val="00DD3685"/>
    <w:rsid w:val="00DD5A57"/>
    <w:rsid w:val="00DD5B1D"/>
    <w:rsid w:val="00DE664E"/>
    <w:rsid w:val="00DE6FEA"/>
    <w:rsid w:val="00DF29E0"/>
    <w:rsid w:val="00E002E1"/>
    <w:rsid w:val="00E00882"/>
    <w:rsid w:val="00E00DF4"/>
    <w:rsid w:val="00E0178C"/>
    <w:rsid w:val="00E0297A"/>
    <w:rsid w:val="00E0354C"/>
    <w:rsid w:val="00E05CD7"/>
    <w:rsid w:val="00E121FC"/>
    <w:rsid w:val="00E14149"/>
    <w:rsid w:val="00E155EB"/>
    <w:rsid w:val="00E17B8A"/>
    <w:rsid w:val="00E27F9E"/>
    <w:rsid w:val="00E311A1"/>
    <w:rsid w:val="00E34833"/>
    <w:rsid w:val="00E34FF9"/>
    <w:rsid w:val="00E3576F"/>
    <w:rsid w:val="00E36033"/>
    <w:rsid w:val="00E36E35"/>
    <w:rsid w:val="00E40272"/>
    <w:rsid w:val="00E413FB"/>
    <w:rsid w:val="00E41690"/>
    <w:rsid w:val="00E41A56"/>
    <w:rsid w:val="00E41F24"/>
    <w:rsid w:val="00E4229F"/>
    <w:rsid w:val="00E42A20"/>
    <w:rsid w:val="00E4570B"/>
    <w:rsid w:val="00E45AB6"/>
    <w:rsid w:val="00E50150"/>
    <w:rsid w:val="00E501D3"/>
    <w:rsid w:val="00E53766"/>
    <w:rsid w:val="00E53FDA"/>
    <w:rsid w:val="00E56EAE"/>
    <w:rsid w:val="00E62EE1"/>
    <w:rsid w:val="00E656AA"/>
    <w:rsid w:val="00E6785B"/>
    <w:rsid w:val="00E67BB4"/>
    <w:rsid w:val="00E702E4"/>
    <w:rsid w:val="00E705A5"/>
    <w:rsid w:val="00E71356"/>
    <w:rsid w:val="00E713BE"/>
    <w:rsid w:val="00E715AA"/>
    <w:rsid w:val="00E718FA"/>
    <w:rsid w:val="00E73C64"/>
    <w:rsid w:val="00E761CC"/>
    <w:rsid w:val="00E76A25"/>
    <w:rsid w:val="00E82AFE"/>
    <w:rsid w:val="00E8351B"/>
    <w:rsid w:val="00E8434D"/>
    <w:rsid w:val="00E847F7"/>
    <w:rsid w:val="00E84BDF"/>
    <w:rsid w:val="00E86E6A"/>
    <w:rsid w:val="00E87230"/>
    <w:rsid w:val="00E872AD"/>
    <w:rsid w:val="00E87666"/>
    <w:rsid w:val="00E9078D"/>
    <w:rsid w:val="00E90F88"/>
    <w:rsid w:val="00E912E2"/>
    <w:rsid w:val="00E92B97"/>
    <w:rsid w:val="00E92E6C"/>
    <w:rsid w:val="00E94407"/>
    <w:rsid w:val="00E964E5"/>
    <w:rsid w:val="00E96D5C"/>
    <w:rsid w:val="00EA076E"/>
    <w:rsid w:val="00EA75E3"/>
    <w:rsid w:val="00EB19B3"/>
    <w:rsid w:val="00EB312C"/>
    <w:rsid w:val="00EC012F"/>
    <w:rsid w:val="00EC22AB"/>
    <w:rsid w:val="00EC767D"/>
    <w:rsid w:val="00ED1CD5"/>
    <w:rsid w:val="00ED4D77"/>
    <w:rsid w:val="00ED7DB6"/>
    <w:rsid w:val="00EE1040"/>
    <w:rsid w:val="00EE2F7B"/>
    <w:rsid w:val="00EE35B9"/>
    <w:rsid w:val="00EE4888"/>
    <w:rsid w:val="00EE7991"/>
    <w:rsid w:val="00EF0DD2"/>
    <w:rsid w:val="00EF3196"/>
    <w:rsid w:val="00EF3352"/>
    <w:rsid w:val="00EF4BD4"/>
    <w:rsid w:val="00EF6989"/>
    <w:rsid w:val="00F00A1D"/>
    <w:rsid w:val="00F00D73"/>
    <w:rsid w:val="00F011EE"/>
    <w:rsid w:val="00F01EC3"/>
    <w:rsid w:val="00F029A4"/>
    <w:rsid w:val="00F0325A"/>
    <w:rsid w:val="00F04C40"/>
    <w:rsid w:val="00F077F5"/>
    <w:rsid w:val="00F078E8"/>
    <w:rsid w:val="00F101CF"/>
    <w:rsid w:val="00F10359"/>
    <w:rsid w:val="00F11AEB"/>
    <w:rsid w:val="00F141A0"/>
    <w:rsid w:val="00F1438C"/>
    <w:rsid w:val="00F21F0C"/>
    <w:rsid w:val="00F22CC8"/>
    <w:rsid w:val="00F2452B"/>
    <w:rsid w:val="00F26479"/>
    <w:rsid w:val="00F27F0C"/>
    <w:rsid w:val="00F31749"/>
    <w:rsid w:val="00F3403B"/>
    <w:rsid w:val="00F360D6"/>
    <w:rsid w:val="00F37DC2"/>
    <w:rsid w:val="00F41097"/>
    <w:rsid w:val="00F4197F"/>
    <w:rsid w:val="00F42929"/>
    <w:rsid w:val="00F42B8A"/>
    <w:rsid w:val="00F44D8C"/>
    <w:rsid w:val="00F45130"/>
    <w:rsid w:val="00F47920"/>
    <w:rsid w:val="00F518BA"/>
    <w:rsid w:val="00F52661"/>
    <w:rsid w:val="00F5283D"/>
    <w:rsid w:val="00F52D03"/>
    <w:rsid w:val="00F536DA"/>
    <w:rsid w:val="00F555A6"/>
    <w:rsid w:val="00F57796"/>
    <w:rsid w:val="00F61283"/>
    <w:rsid w:val="00F63A6B"/>
    <w:rsid w:val="00F65CFD"/>
    <w:rsid w:val="00F6738F"/>
    <w:rsid w:val="00F72E4D"/>
    <w:rsid w:val="00F73D80"/>
    <w:rsid w:val="00F7596E"/>
    <w:rsid w:val="00F81D99"/>
    <w:rsid w:val="00F83541"/>
    <w:rsid w:val="00F85A84"/>
    <w:rsid w:val="00F94DA0"/>
    <w:rsid w:val="00F95020"/>
    <w:rsid w:val="00F95580"/>
    <w:rsid w:val="00FA6BE0"/>
    <w:rsid w:val="00FA72A6"/>
    <w:rsid w:val="00FB1EB5"/>
    <w:rsid w:val="00FB2B09"/>
    <w:rsid w:val="00FB3DE9"/>
    <w:rsid w:val="00FB5939"/>
    <w:rsid w:val="00FB5C0D"/>
    <w:rsid w:val="00FB5EA4"/>
    <w:rsid w:val="00FC3E48"/>
    <w:rsid w:val="00FC44AA"/>
    <w:rsid w:val="00FC6F7D"/>
    <w:rsid w:val="00FD026D"/>
    <w:rsid w:val="00FD0E95"/>
    <w:rsid w:val="00FD28D5"/>
    <w:rsid w:val="00FD2BC5"/>
    <w:rsid w:val="00FD3D53"/>
    <w:rsid w:val="00FD722D"/>
    <w:rsid w:val="00FE0791"/>
    <w:rsid w:val="00FE2F34"/>
    <w:rsid w:val="00FE3038"/>
    <w:rsid w:val="00FE3D42"/>
    <w:rsid w:val="00FE5094"/>
    <w:rsid w:val="00FF2520"/>
    <w:rsid w:val="00FF2E08"/>
    <w:rsid w:val="00FF4215"/>
    <w:rsid w:val="00FF4B81"/>
    <w:rsid w:val="00FF4C85"/>
    <w:rsid w:val="00FF63F7"/>
    <w:rsid w:val="00FF7BA0"/>
    <w:rsid w:val="01190B56"/>
    <w:rsid w:val="014529B7"/>
    <w:rsid w:val="016519C1"/>
    <w:rsid w:val="01846278"/>
    <w:rsid w:val="019239B4"/>
    <w:rsid w:val="0196601E"/>
    <w:rsid w:val="01BB228F"/>
    <w:rsid w:val="01BD7A4F"/>
    <w:rsid w:val="01C401C9"/>
    <w:rsid w:val="01DD30DE"/>
    <w:rsid w:val="02D23086"/>
    <w:rsid w:val="02DA63DE"/>
    <w:rsid w:val="02F94BC3"/>
    <w:rsid w:val="02FD6D4D"/>
    <w:rsid w:val="03EC32E0"/>
    <w:rsid w:val="04A3407A"/>
    <w:rsid w:val="04A8452D"/>
    <w:rsid w:val="05602A5A"/>
    <w:rsid w:val="056326BB"/>
    <w:rsid w:val="057C19CF"/>
    <w:rsid w:val="05A218FD"/>
    <w:rsid w:val="05BA5435"/>
    <w:rsid w:val="063F4718"/>
    <w:rsid w:val="06C00186"/>
    <w:rsid w:val="071719AF"/>
    <w:rsid w:val="071A149F"/>
    <w:rsid w:val="07702E6D"/>
    <w:rsid w:val="07CA3595"/>
    <w:rsid w:val="07CC05D8"/>
    <w:rsid w:val="07D93108"/>
    <w:rsid w:val="080F6B2A"/>
    <w:rsid w:val="082D6FB0"/>
    <w:rsid w:val="083321D8"/>
    <w:rsid w:val="084D31AF"/>
    <w:rsid w:val="085B3B1D"/>
    <w:rsid w:val="086329D2"/>
    <w:rsid w:val="08A50077"/>
    <w:rsid w:val="09181A0E"/>
    <w:rsid w:val="09197B3E"/>
    <w:rsid w:val="0935436E"/>
    <w:rsid w:val="094B394B"/>
    <w:rsid w:val="09510A7C"/>
    <w:rsid w:val="09662A3F"/>
    <w:rsid w:val="09802D58"/>
    <w:rsid w:val="09870B6B"/>
    <w:rsid w:val="09A45050"/>
    <w:rsid w:val="09D771D4"/>
    <w:rsid w:val="09EF09C1"/>
    <w:rsid w:val="0A3C092A"/>
    <w:rsid w:val="0A454A85"/>
    <w:rsid w:val="0B326FF4"/>
    <w:rsid w:val="0B3A5CA3"/>
    <w:rsid w:val="0CB8153E"/>
    <w:rsid w:val="0CF3376D"/>
    <w:rsid w:val="0D2332ED"/>
    <w:rsid w:val="0D415C54"/>
    <w:rsid w:val="0D5C45C0"/>
    <w:rsid w:val="0D696CDD"/>
    <w:rsid w:val="0DB717F6"/>
    <w:rsid w:val="0DD028B8"/>
    <w:rsid w:val="0DDA3736"/>
    <w:rsid w:val="0DEA1BCB"/>
    <w:rsid w:val="0E347BBB"/>
    <w:rsid w:val="0E9272B5"/>
    <w:rsid w:val="0F4E7C06"/>
    <w:rsid w:val="0F5117D6"/>
    <w:rsid w:val="0F5576A6"/>
    <w:rsid w:val="0F73174D"/>
    <w:rsid w:val="0F75161B"/>
    <w:rsid w:val="0FD348E1"/>
    <w:rsid w:val="0FF7412C"/>
    <w:rsid w:val="103E5A93"/>
    <w:rsid w:val="10923E54"/>
    <w:rsid w:val="10E87F18"/>
    <w:rsid w:val="11204879"/>
    <w:rsid w:val="11C023CD"/>
    <w:rsid w:val="11C845D1"/>
    <w:rsid w:val="11C8783A"/>
    <w:rsid w:val="11F70C71"/>
    <w:rsid w:val="1202500A"/>
    <w:rsid w:val="128F3808"/>
    <w:rsid w:val="12A367ED"/>
    <w:rsid w:val="12BE5A78"/>
    <w:rsid w:val="12DA1AE3"/>
    <w:rsid w:val="131462C7"/>
    <w:rsid w:val="13955291"/>
    <w:rsid w:val="139B3968"/>
    <w:rsid w:val="13BD568C"/>
    <w:rsid w:val="13EF712B"/>
    <w:rsid w:val="13FB724D"/>
    <w:rsid w:val="1461239E"/>
    <w:rsid w:val="14642A47"/>
    <w:rsid w:val="14A423A8"/>
    <w:rsid w:val="14E47444"/>
    <w:rsid w:val="151948F4"/>
    <w:rsid w:val="158E37F0"/>
    <w:rsid w:val="15FD6214"/>
    <w:rsid w:val="1607785B"/>
    <w:rsid w:val="160A7825"/>
    <w:rsid w:val="16353154"/>
    <w:rsid w:val="16610551"/>
    <w:rsid w:val="1669207D"/>
    <w:rsid w:val="167F30CD"/>
    <w:rsid w:val="168510F5"/>
    <w:rsid w:val="16D72F09"/>
    <w:rsid w:val="178D2ADC"/>
    <w:rsid w:val="18047D2E"/>
    <w:rsid w:val="185537EF"/>
    <w:rsid w:val="188E357D"/>
    <w:rsid w:val="18C372FC"/>
    <w:rsid w:val="18CB25F9"/>
    <w:rsid w:val="18FF5BFC"/>
    <w:rsid w:val="19043F59"/>
    <w:rsid w:val="19153875"/>
    <w:rsid w:val="19351120"/>
    <w:rsid w:val="19766A09"/>
    <w:rsid w:val="19A05834"/>
    <w:rsid w:val="1A561CD8"/>
    <w:rsid w:val="1A891F2F"/>
    <w:rsid w:val="1A951111"/>
    <w:rsid w:val="1B140288"/>
    <w:rsid w:val="1B574618"/>
    <w:rsid w:val="1B8F0552"/>
    <w:rsid w:val="1B9A62B3"/>
    <w:rsid w:val="1BD10986"/>
    <w:rsid w:val="1BD664C1"/>
    <w:rsid w:val="1BF72D21"/>
    <w:rsid w:val="1C2D3D71"/>
    <w:rsid w:val="1C312E45"/>
    <w:rsid w:val="1C381D54"/>
    <w:rsid w:val="1CD47504"/>
    <w:rsid w:val="1D2027D7"/>
    <w:rsid w:val="1D860599"/>
    <w:rsid w:val="1DAA1C58"/>
    <w:rsid w:val="1E2A7DC2"/>
    <w:rsid w:val="1E62130A"/>
    <w:rsid w:val="1E9B2A6E"/>
    <w:rsid w:val="1EFF124F"/>
    <w:rsid w:val="1F0813F5"/>
    <w:rsid w:val="1F0C54A8"/>
    <w:rsid w:val="1F574BE7"/>
    <w:rsid w:val="1F601FA9"/>
    <w:rsid w:val="1FC61D6D"/>
    <w:rsid w:val="1FE12702"/>
    <w:rsid w:val="200308CB"/>
    <w:rsid w:val="20646A1B"/>
    <w:rsid w:val="20DB35F6"/>
    <w:rsid w:val="21093CBF"/>
    <w:rsid w:val="21140BF4"/>
    <w:rsid w:val="211704C9"/>
    <w:rsid w:val="21690C01"/>
    <w:rsid w:val="21A36FDB"/>
    <w:rsid w:val="21E9221E"/>
    <w:rsid w:val="22993768"/>
    <w:rsid w:val="22C858FF"/>
    <w:rsid w:val="22DC7E78"/>
    <w:rsid w:val="238F6834"/>
    <w:rsid w:val="23FC43CB"/>
    <w:rsid w:val="23FF3832"/>
    <w:rsid w:val="24117358"/>
    <w:rsid w:val="245C67FB"/>
    <w:rsid w:val="24612064"/>
    <w:rsid w:val="24833D88"/>
    <w:rsid w:val="248A5117"/>
    <w:rsid w:val="249C4E4A"/>
    <w:rsid w:val="252E6649"/>
    <w:rsid w:val="2558466D"/>
    <w:rsid w:val="2573095D"/>
    <w:rsid w:val="25847A9B"/>
    <w:rsid w:val="25873D4C"/>
    <w:rsid w:val="25DD4044"/>
    <w:rsid w:val="2608575D"/>
    <w:rsid w:val="26323CB8"/>
    <w:rsid w:val="264D464E"/>
    <w:rsid w:val="268A58A2"/>
    <w:rsid w:val="272B1672"/>
    <w:rsid w:val="27535154"/>
    <w:rsid w:val="27541D8F"/>
    <w:rsid w:val="275639D6"/>
    <w:rsid w:val="275D6B12"/>
    <w:rsid w:val="27C065A2"/>
    <w:rsid w:val="28092E82"/>
    <w:rsid w:val="283C7070"/>
    <w:rsid w:val="284B1663"/>
    <w:rsid w:val="285831A2"/>
    <w:rsid w:val="287D5314"/>
    <w:rsid w:val="28AB0135"/>
    <w:rsid w:val="28C32245"/>
    <w:rsid w:val="28D771B3"/>
    <w:rsid w:val="28E15521"/>
    <w:rsid w:val="28F22610"/>
    <w:rsid w:val="294D1B32"/>
    <w:rsid w:val="2964062C"/>
    <w:rsid w:val="297B7831"/>
    <w:rsid w:val="29C15A7E"/>
    <w:rsid w:val="2AD4533E"/>
    <w:rsid w:val="2ADF3CE2"/>
    <w:rsid w:val="2B006133"/>
    <w:rsid w:val="2B183E1B"/>
    <w:rsid w:val="2B19215E"/>
    <w:rsid w:val="2BCC11A7"/>
    <w:rsid w:val="2BDB76C2"/>
    <w:rsid w:val="2BE27F2E"/>
    <w:rsid w:val="2BE87AAD"/>
    <w:rsid w:val="2C37360C"/>
    <w:rsid w:val="2C5A3DB0"/>
    <w:rsid w:val="2D5B1AF1"/>
    <w:rsid w:val="2D7121BC"/>
    <w:rsid w:val="2D8F7C42"/>
    <w:rsid w:val="2DB61DC2"/>
    <w:rsid w:val="2E61479F"/>
    <w:rsid w:val="2E935510"/>
    <w:rsid w:val="2EC21111"/>
    <w:rsid w:val="2ED964C1"/>
    <w:rsid w:val="2F0C2E65"/>
    <w:rsid w:val="2F113395"/>
    <w:rsid w:val="2F3F2FA2"/>
    <w:rsid w:val="2FBD207A"/>
    <w:rsid w:val="2FC46C7B"/>
    <w:rsid w:val="2FE8309F"/>
    <w:rsid w:val="2FF975F4"/>
    <w:rsid w:val="30226E93"/>
    <w:rsid w:val="30751371"/>
    <w:rsid w:val="30847806"/>
    <w:rsid w:val="31181CFC"/>
    <w:rsid w:val="31951CA6"/>
    <w:rsid w:val="319770C5"/>
    <w:rsid w:val="325A31AA"/>
    <w:rsid w:val="32650FD7"/>
    <w:rsid w:val="326C0551"/>
    <w:rsid w:val="32755658"/>
    <w:rsid w:val="32916000"/>
    <w:rsid w:val="33163A81"/>
    <w:rsid w:val="332561EC"/>
    <w:rsid w:val="33AB50A9"/>
    <w:rsid w:val="33DC5BDE"/>
    <w:rsid w:val="3446557F"/>
    <w:rsid w:val="34567FB6"/>
    <w:rsid w:val="34A30383"/>
    <w:rsid w:val="34C1517C"/>
    <w:rsid w:val="351E0F07"/>
    <w:rsid w:val="355C77E1"/>
    <w:rsid w:val="3589141A"/>
    <w:rsid w:val="3599165E"/>
    <w:rsid w:val="35AB75E3"/>
    <w:rsid w:val="35D97CAC"/>
    <w:rsid w:val="35E46651"/>
    <w:rsid w:val="35FF348B"/>
    <w:rsid w:val="36063CE6"/>
    <w:rsid w:val="3647031A"/>
    <w:rsid w:val="368528CA"/>
    <w:rsid w:val="36D668E1"/>
    <w:rsid w:val="378138CC"/>
    <w:rsid w:val="378578B7"/>
    <w:rsid w:val="37984548"/>
    <w:rsid w:val="37E61FE4"/>
    <w:rsid w:val="380D6333"/>
    <w:rsid w:val="384004B6"/>
    <w:rsid w:val="38400B30"/>
    <w:rsid w:val="386901D1"/>
    <w:rsid w:val="38DB2C38"/>
    <w:rsid w:val="39206C68"/>
    <w:rsid w:val="394A04AD"/>
    <w:rsid w:val="394B3C70"/>
    <w:rsid w:val="395104A1"/>
    <w:rsid w:val="3989399F"/>
    <w:rsid w:val="39E460AF"/>
    <w:rsid w:val="3A085004"/>
    <w:rsid w:val="3A4A585F"/>
    <w:rsid w:val="3A4D6F07"/>
    <w:rsid w:val="3A5A5133"/>
    <w:rsid w:val="3A685AA2"/>
    <w:rsid w:val="3A773948"/>
    <w:rsid w:val="3A7E0A06"/>
    <w:rsid w:val="3A942F44"/>
    <w:rsid w:val="3A972710"/>
    <w:rsid w:val="3B3E6803"/>
    <w:rsid w:val="3B806E1C"/>
    <w:rsid w:val="3B945A17"/>
    <w:rsid w:val="3BC95E9A"/>
    <w:rsid w:val="3CDE6407"/>
    <w:rsid w:val="3CFB0E50"/>
    <w:rsid w:val="3D136199"/>
    <w:rsid w:val="3D2739F3"/>
    <w:rsid w:val="3D2F6747"/>
    <w:rsid w:val="3D410A49"/>
    <w:rsid w:val="3DF82424"/>
    <w:rsid w:val="3E1C107E"/>
    <w:rsid w:val="3E607FF6"/>
    <w:rsid w:val="3E864749"/>
    <w:rsid w:val="3E9064A4"/>
    <w:rsid w:val="3EA34825"/>
    <w:rsid w:val="3F22673D"/>
    <w:rsid w:val="3F543E53"/>
    <w:rsid w:val="3F984734"/>
    <w:rsid w:val="3FA800E7"/>
    <w:rsid w:val="3FAE422A"/>
    <w:rsid w:val="3FDA7ED4"/>
    <w:rsid w:val="40224945"/>
    <w:rsid w:val="40742202"/>
    <w:rsid w:val="409C0254"/>
    <w:rsid w:val="40BE01CA"/>
    <w:rsid w:val="40D854C8"/>
    <w:rsid w:val="410B008F"/>
    <w:rsid w:val="416845DA"/>
    <w:rsid w:val="418331C2"/>
    <w:rsid w:val="42273EA0"/>
    <w:rsid w:val="423F17DF"/>
    <w:rsid w:val="42402E61"/>
    <w:rsid w:val="4276314B"/>
    <w:rsid w:val="42876CE2"/>
    <w:rsid w:val="42F70A75"/>
    <w:rsid w:val="43BC79A0"/>
    <w:rsid w:val="44093E52"/>
    <w:rsid w:val="44123658"/>
    <w:rsid w:val="441B2477"/>
    <w:rsid w:val="442339D8"/>
    <w:rsid w:val="44617F98"/>
    <w:rsid w:val="448E4357"/>
    <w:rsid w:val="44CC6850"/>
    <w:rsid w:val="44D90D2D"/>
    <w:rsid w:val="44EE4DF6"/>
    <w:rsid w:val="453A7E81"/>
    <w:rsid w:val="453E7B2C"/>
    <w:rsid w:val="454A1600"/>
    <w:rsid w:val="45895E80"/>
    <w:rsid w:val="459F6E66"/>
    <w:rsid w:val="45EC1A9C"/>
    <w:rsid w:val="46152F37"/>
    <w:rsid w:val="465377FB"/>
    <w:rsid w:val="4656787E"/>
    <w:rsid w:val="46DF533E"/>
    <w:rsid w:val="4740699E"/>
    <w:rsid w:val="476538B5"/>
    <w:rsid w:val="480F46F9"/>
    <w:rsid w:val="489108BA"/>
    <w:rsid w:val="490364C8"/>
    <w:rsid w:val="496747FE"/>
    <w:rsid w:val="4972249A"/>
    <w:rsid w:val="498F50D9"/>
    <w:rsid w:val="49D00F6E"/>
    <w:rsid w:val="49EA3D54"/>
    <w:rsid w:val="49EB7B56"/>
    <w:rsid w:val="49FF361D"/>
    <w:rsid w:val="4A3228A6"/>
    <w:rsid w:val="4A3B24EE"/>
    <w:rsid w:val="4A3B6699"/>
    <w:rsid w:val="4A7E7BF1"/>
    <w:rsid w:val="4A835FE1"/>
    <w:rsid w:val="4B553E21"/>
    <w:rsid w:val="4B5C6F5D"/>
    <w:rsid w:val="4BE84ADE"/>
    <w:rsid w:val="4BEA35E2"/>
    <w:rsid w:val="4C023093"/>
    <w:rsid w:val="4C2D26A8"/>
    <w:rsid w:val="4C9B1D07"/>
    <w:rsid w:val="4C9E46AD"/>
    <w:rsid w:val="4CEC3221"/>
    <w:rsid w:val="4D245859"/>
    <w:rsid w:val="4D5221B8"/>
    <w:rsid w:val="4DE8774A"/>
    <w:rsid w:val="4DF354E4"/>
    <w:rsid w:val="4E121B55"/>
    <w:rsid w:val="4E6F2738"/>
    <w:rsid w:val="4E822DD2"/>
    <w:rsid w:val="4EF574D2"/>
    <w:rsid w:val="4F02606E"/>
    <w:rsid w:val="4F22401A"/>
    <w:rsid w:val="4F3D0E54"/>
    <w:rsid w:val="4F561F16"/>
    <w:rsid w:val="4F9D7B44"/>
    <w:rsid w:val="4FC43323"/>
    <w:rsid w:val="4FD712A8"/>
    <w:rsid w:val="50506965"/>
    <w:rsid w:val="50783615"/>
    <w:rsid w:val="50A22688"/>
    <w:rsid w:val="50C03AEB"/>
    <w:rsid w:val="510A745C"/>
    <w:rsid w:val="51482C7D"/>
    <w:rsid w:val="515B7031"/>
    <w:rsid w:val="51965D71"/>
    <w:rsid w:val="520205CD"/>
    <w:rsid w:val="52804A52"/>
    <w:rsid w:val="52B256B5"/>
    <w:rsid w:val="531E4716"/>
    <w:rsid w:val="532F4F57"/>
    <w:rsid w:val="53310342"/>
    <w:rsid w:val="53A72D40"/>
    <w:rsid w:val="53B355D7"/>
    <w:rsid w:val="53C806C1"/>
    <w:rsid w:val="53F33750"/>
    <w:rsid w:val="541E31C1"/>
    <w:rsid w:val="54BE5272"/>
    <w:rsid w:val="55E60D40"/>
    <w:rsid w:val="561C4D71"/>
    <w:rsid w:val="56360FFF"/>
    <w:rsid w:val="567B189B"/>
    <w:rsid w:val="572022FD"/>
    <w:rsid w:val="57633CE5"/>
    <w:rsid w:val="577A4DC8"/>
    <w:rsid w:val="57960AF2"/>
    <w:rsid w:val="57C83332"/>
    <w:rsid w:val="58311772"/>
    <w:rsid w:val="587324F6"/>
    <w:rsid w:val="589E0EC5"/>
    <w:rsid w:val="58D26AB1"/>
    <w:rsid w:val="58E107A1"/>
    <w:rsid w:val="58E16CF4"/>
    <w:rsid w:val="59145045"/>
    <w:rsid w:val="591D7F46"/>
    <w:rsid w:val="5A443ABB"/>
    <w:rsid w:val="5A957D96"/>
    <w:rsid w:val="5AA77AC9"/>
    <w:rsid w:val="5ABE498D"/>
    <w:rsid w:val="5AD76600"/>
    <w:rsid w:val="5B0A2B6C"/>
    <w:rsid w:val="5B2E3D47"/>
    <w:rsid w:val="5B5A431C"/>
    <w:rsid w:val="5BCA7F13"/>
    <w:rsid w:val="5C001B87"/>
    <w:rsid w:val="5C1A4C32"/>
    <w:rsid w:val="5CAC586B"/>
    <w:rsid w:val="5CB519F1"/>
    <w:rsid w:val="5D02486B"/>
    <w:rsid w:val="5D2C38E4"/>
    <w:rsid w:val="5D2D2508"/>
    <w:rsid w:val="5D840BDB"/>
    <w:rsid w:val="5D8B5B79"/>
    <w:rsid w:val="5DE30E18"/>
    <w:rsid w:val="5DF448C0"/>
    <w:rsid w:val="5DFB2D6D"/>
    <w:rsid w:val="5E4F72F6"/>
    <w:rsid w:val="5F57386C"/>
    <w:rsid w:val="5F5B4A5D"/>
    <w:rsid w:val="5F9745B0"/>
    <w:rsid w:val="5FB355F1"/>
    <w:rsid w:val="6010017B"/>
    <w:rsid w:val="602D0A71"/>
    <w:rsid w:val="603277EB"/>
    <w:rsid w:val="60777D0A"/>
    <w:rsid w:val="6098238E"/>
    <w:rsid w:val="60D47DFC"/>
    <w:rsid w:val="60D659FD"/>
    <w:rsid w:val="61835CB6"/>
    <w:rsid w:val="61845D8D"/>
    <w:rsid w:val="61F611D0"/>
    <w:rsid w:val="61FE0917"/>
    <w:rsid w:val="62287777"/>
    <w:rsid w:val="62652744"/>
    <w:rsid w:val="628F56D7"/>
    <w:rsid w:val="62A53835"/>
    <w:rsid w:val="62E4606E"/>
    <w:rsid w:val="62EC4C13"/>
    <w:rsid w:val="63332842"/>
    <w:rsid w:val="633E116D"/>
    <w:rsid w:val="63586D06"/>
    <w:rsid w:val="63A97172"/>
    <w:rsid w:val="642D103F"/>
    <w:rsid w:val="64383AD1"/>
    <w:rsid w:val="64502F80"/>
    <w:rsid w:val="64590086"/>
    <w:rsid w:val="647114A8"/>
    <w:rsid w:val="65735178"/>
    <w:rsid w:val="658C7FE7"/>
    <w:rsid w:val="659155FE"/>
    <w:rsid w:val="65CD26B4"/>
    <w:rsid w:val="65DC4ACB"/>
    <w:rsid w:val="660648E1"/>
    <w:rsid w:val="66154481"/>
    <w:rsid w:val="661A0A16"/>
    <w:rsid w:val="666F1DE3"/>
    <w:rsid w:val="668138C4"/>
    <w:rsid w:val="66B9305E"/>
    <w:rsid w:val="66F83B86"/>
    <w:rsid w:val="66FD14C3"/>
    <w:rsid w:val="6700465F"/>
    <w:rsid w:val="67236BC5"/>
    <w:rsid w:val="676A6F7B"/>
    <w:rsid w:val="67753429"/>
    <w:rsid w:val="677D30E0"/>
    <w:rsid w:val="678609C8"/>
    <w:rsid w:val="67F63633"/>
    <w:rsid w:val="68555008"/>
    <w:rsid w:val="686200DD"/>
    <w:rsid w:val="688D02FE"/>
    <w:rsid w:val="688F22C8"/>
    <w:rsid w:val="68EB20F0"/>
    <w:rsid w:val="68ED3493"/>
    <w:rsid w:val="68F95994"/>
    <w:rsid w:val="6917406C"/>
    <w:rsid w:val="694420CC"/>
    <w:rsid w:val="69661355"/>
    <w:rsid w:val="696E1C4C"/>
    <w:rsid w:val="6A0A597F"/>
    <w:rsid w:val="6A31115D"/>
    <w:rsid w:val="6A7F7B72"/>
    <w:rsid w:val="6ABB454C"/>
    <w:rsid w:val="6AC0668D"/>
    <w:rsid w:val="6AD77F57"/>
    <w:rsid w:val="6ADF6E0B"/>
    <w:rsid w:val="6AFA27E1"/>
    <w:rsid w:val="6B613F7F"/>
    <w:rsid w:val="6B7B77ED"/>
    <w:rsid w:val="6B923E7E"/>
    <w:rsid w:val="6BAF4A30"/>
    <w:rsid w:val="6C16685D"/>
    <w:rsid w:val="6D714693"/>
    <w:rsid w:val="6D9034EF"/>
    <w:rsid w:val="6DD01ED5"/>
    <w:rsid w:val="6DD05733"/>
    <w:rsid w:val="6E1D776A"/>
    <w:rsid w:val="6E3336F6"/>
    <w:rsid w:val="6E3E23D3"/>
    <w:rsid w:val="6E4C4DA6"/>
    <w:rsid w:val="6E58315D"/>
    <w:rsid w:val="6E9137E0"/>
    <w:rsid w:val="6E916298"/>
    <w:rsid w:val="6EA84809"/>
    <w:rsid w:val="6EF041DC"/>
    <w:rsid w:val="6F4831D1"/>
    <w:rsid w:val="6F66625A"/>
    <w:rsid w:val="6FAF3250"/>
    <w:rsid w:val="6FCE7B7A"/>
    <w:rsid w:val="6FD607DD"/>
    <w:rsid w:val="6FF75479"/>
    <w:rsid w:val="6FF869A5"/>
    <w:rsid w:val="70613731"/>
    <w:rsid w:val="70812E3F"/>
    <w:rsid w:val="70981F36"/>
    <w:rsid w:val="70997AC2"/>
    <w:rsid w:val="713003C1"/>
    <w:rsid w:val="713A2FED"/>
    <w:rsid w:val="71706A0F"/>
    <w:rsid w:val="71866233"/>
    <w:rsid w:val="719178EE"/>
    <w:rsid w:val="723839D1"/>
    <w:rsid w:val="72BA11D4"/>
    <w:rsid w:val="739F6935"/>
    <w:rsid w:val="743E2DF5"/>
    <w:rsid w:val="745E5245"/>
    <w:rsid w:val="748F3650"/>
    <w:rsid w:val="74BD01BD"/>
    <w:rsid w:val="74DD43BC"/>
    <w:rsid w:val="74DE2D28"/>
    <w:rsid w:val="75317F36"/>
    <w:rsid w:val="753A7A60"/>
    <w:rsid w:val="759242AE"/>
    <w:rsid w:val="75FC4D15"/>
    <w:rsid w:val="76431924"/>
    <w:rsid w:val="767E572A"/>
    <w:rsid w:val="771E7D75"/>
    <w:rsid w:val="776668EA"/>
    <w:rsid w:val="77E12415"/>
    <w:rsid w:val="77FA5285"/>
    <w:rsid w:val="781E0F73"/>
    <w:rsid w:val="782725D3"/>
    <w:rsid w:val="78515A11"/>
    <w:rsid w:val="78B638A1"/>
    <w:rsid w:val="791871BB"/>
    <w:rsid w:val="794A3E9B"/>
    <w:rsid w:val="798968C0"/>
    <w:rsid w:val="79D96301"/>
    <w:rsid w:val="79DC7338"/>
    <w:rsid w:val="7A1A0D3D"/>
    <w:rsid w:val="7A344A7E"/>
    <w:rsid w:val="7AC51B7A"/>
    <w:rsid w:val="7B0A3A31"/>
    <w:rsid w:val="7B1524BC"/>
    <w:rsid w:val="7BD754B6"/>
    <w:rsid w:val="7BE36163"/>
    <w:rsid w:val="7BE60B10"/>
    <w:rsid w:val="7BF80095"/>
    <w:rsid w:val="7C69085F"/>
    <w:rsid w:val="7D5B1FAF"/>
    <w:rsid w:val="7D7A072A"/>
    <w:rsid w:val="7DC4607A"/>
    <w:rsid w:val="7E1F3C97"/>
    <w:rsid w:val="7E4253D3"/>
    <w:rsid w:val="7E6E734E"/>
    <w:rsid w:val="7E985949"/>
    <w:rsid w:val="7EC30AC6"/>
    <w:rsid w:val="7EFB1398"/>
    <w:rsid w:val="7EFD2ED2"/>
    <w:rsid w:val="7F995383"/>
  </w:rsids>
  <m:mathPr>
    <m:mathFont m:val="Cambria Math"/>
    <m:brkBin m:val="before"/>
    <m:brkBinSub m:val="--"/>
    <m:smallFrac m:val="1"/>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6"/>
    <w:qFormat/>
    <w:uiPriority w:val="9"/>
    <w:pPr>
      <w:keepNext/>
      <w:widowControl/>
      <w:spacing w:before="340" w:after="330" w:line="576" w:lineRule="auto"/>
      <w:jc w:val="center"/>
      <w:outlineLvl w:val="0"/>
    </w:pPr>
    <w:rPr>
      <w:rFonts w:ascii="???" w:hAnsi="???" w:eastAsia="宋体" w:cs="Arial"/>
      <w:b/>
      <w:bCs/>
      <w:color w:val="020000"/>
      <w:kern w:val="36"/>
      <w:sz w:val="44"/>
      <w:szCs w:val="44"/>
    </w:rPr>
  </w:style>
  <w:style w:type="paragraph" w:styleId="4">
    <w:name w:val="heading 2"/>
    <w:basedOn w:val="1"/>
    <w:next w:val="1"/>
    <w:link w:val="58"/>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5">
    <w:name w:val="heading 3"/>
    <w:basedOn w:val="1"/>
    <w:next w:val="1"/>
    <w:link w:val="57"/>
    <w:qFormat/>
    <w:uiPriority w:val="99"/>
    <w:pPr>
      <w:keepNext/>
      <w:widowControl/>
      <w:spacing w:before="260" w:after="260" w:line="412" w:lineRule="auto"/>
      <w:outlineLvl w:val="2"/>
    </w:pPr>
    <w:rPr>
      <w:rFonts w:ascii="??" w:hAnsi="??" w:eastAsia="宋体" w:cs="Arial"/>
      <w:b/>
      <w:bCs/>
      <w:color w:val="000000"/>
      <w:kern w:val="0"/>
      <w:sz w:val="32"/>
      <w:szCs w:val="32"/>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09"/>
    <w:qFormat/>
    <w:uiPriority w:val="99"/>
    <w:pPr>
      <w:ind w:firstLine="420" w:firstLineChars="200"/>
    </w:pPr>
    <w:rPr>
      <w:rFonts w:ascii="Times New Roman" w:hAnsi="Times New Roman" w:eastAsia="宋体" w:cs="Times New Roman"/>
      <w:kern w:val="0"/>
      <w:sz w:val="24"/>
      <w:szCs w:val="20"/>
    </w:rPr>
  </w:style>
  <w:style w:type="paragraph" w:styleId="6">
    <w:name w:val="toc 7"/>
    <w:basedOn w:val="1"/>
    <w:next w:val="1"/>
    <w:qFormat/>
    <w:uiPriority w:val="0"/>
    <w:pPr>
      <w:ind w:left="2520" w:leftChars="1200"/>
    </w:pPr>
    <w:rPr>
      <w:rFonts w:ascii="Times New Roman" w:hAnsi="Times New Roman" w:eastAsia="宋体" w:cs="Times New Roman"/>
      <w:szCs w:val="24"/>
    </w:rPr>
  </w:style>
  <w:style w:type="paragraph" w:styleId="7">
    <w:name w:val="List Numb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Document Map"/>
    <w:basedOn w:val="1"/>
    <w:link w:val="127"/>
    <w:qFormat/>
    <w:uiPriority w:val="0"/>
    <w:rPr>
      <w:rFonts w:ascii="宋体" w:hAnsi="Calibri" w:eastAsia="宋体" w:cs="Times New Roman"/>
      <w:kern w:val="0"/>
      <w:sz w:val="18"/>
      <w:szCs w:val="20"/>
    </w:rPr>
  </w:style>
  <w:style w:type="paragraph" w:styleId="9">
    <w:name w:val="toa heading"/>
    <w:basedOn w:val="1"/>
    <w:next w:val="1"/>
    <w:qFormat/>
    <w:uiPriority w:val="0"/>
    <w:pPr>
      <w:spacing w:before="120"/>
    </w:pPr>
    <w:rPr>
      <w:rFonts w:ascii="Cambria" w:hAnsi="Cambria"/>
      <w:sz w:val="24"/>
      <w:szCs w:val="24"/>
    </w:rPr>
  </w:style>
  <w:style w:type="paragraph" w:styleId="10">
    <w:name w:val="annotation text"/>
    <w:basedOn w:val="1"/>
    <w:link w:val="155"/>
    <w:qFormat/>
    <w:uiPriority w:val="0"/>
    <w:pPr>
      <w:jc w:val="left"/>
    </w:pPr>
  </w:style>
  <w:style w:type="paragraph" w:styleId="11">
    <w:name w:val="Body Text"/>
    <w:basedOn w:val="1"/>
    <w:next w:val="12"/>
    <w:link w:val="130"/>
    <w:qFormat/>
    <w:uiPriority w:val="99"/>
    <w:pPr>
      <w:spacing w:after="120"/>
    </w:pPr>
    <w:rPr>
      <w:rFonts w:ascii="Calibri" w:hAnsi="Calibri" w:eastAsia="宋体" w:cs="Times New Roman"/>
      <w:kern w:val="0"/>
      <w:sz w:val="24"/>
      <w:szCs w:val="20"/>
    </w:rPr>
  </w:style>
  <w:style w:type="paragraph" w:customStyle="1" w:styleId="12">
    <w:name w:val="Default"/>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styleId="13">
    <w:name w:val="Body Text Indent"/>
    <w:basedOn w:val="1"/>
    <w:next w:val="1"/>
    <w:link w:val="61"/>
    <w:qFormat/>
    <w:uiPriority w:val="0"/>
    <w:pPr>
      <w:widowControl/>
      <w:spacing w:after="120"/>
      <w:ind w:left="420"/>
    </w:pPr>
    <w:rPr>
      <w:rFonts w:ascii="??" w:hAnsi="??" w:eastAsia="宋体" w:cs="Arial"/>
      <w:kern w:val="0"/>
      <w:sz w:val="24"/>
      <w:szCs w:val="24"/>
    </w:rPr>
  </w:style>
  <w:style w:type="paragraph" w:styleId="14">
    <w:name w:val="toc 5"/>
    <w:basedOn w:val="1"/>
    <w:next w:val="1"/>
    <w:qFormat/>
    <w:uiPriority w:val="0"/>
    <w:pPr>
      <w:ind w:left="1680" w:leftChars="800"/>
    </w:pPr>
    <w:rPr>
      <w:rFonts w:ascii="Times New Roman" w:hAnsi="Times New Roman" w:eastAsia="宋体" w:cs="Times New Roman"/>
      <w:szCs w:val="24"/>
    </w:rPr>
  </w:style>
  <w:style w:type="paragraph" w:styleId="15">
    <w:name w:val="toc 3"/>
    <w:basedOn w:val="1"/>
    <w:next w:val="1"/>
    <w:qFormat/>
    <w:uiPriority w:val="39"/>
    <w:pPr>
      <w:ind w:left="840" w:leftChars="400"/>
    </w:pPr>
    <w:rPr>
      <w:rFonts w:ascii="Times New Roman" w:hAnsi="Times New Roman" w:eastAsia="宋体" w:cs="Times New Roman"/>
      <w:szCs w:val="24"/>
    </w:rPr>
  </w:style>
  <w:style w:type="paragraph" w:styleId="16">
    <w:name w:val="Plain Text"/>
    <w:basedOn w:val="1"/>
    <w:link w:val="190"/>
    <w:qFormat/>
    <w:uiPriority w:val="0"/>
    <w:rPr>
      <w:rFonts w:ascii="宋体" w:hAnsi="Courier New" w:eastAsia="宋体"/>
      <w:szCs w:val="21"/>
    </w:rPr>
  </w:style>
  <w:style w:type="paragraph" w:styleId="17">
    <w:name w:val="toc 8"/>
    <w:basedOn w:val="1"/>
    <w:next w:val="1"/>
    <w:qFormat/>
    <w:uiPriority w:val="0"/>
    <w:pPr>
      <w:ind w:left="2940" w:leftChars="1400"/>
    </w:pPr>
    <w:rPr>
      <w:rFonts w:ascii="Times New Roman" w:hAnsi="Times New Roman" w:eastAsia="宋体" w:cs="Times New Roman"/>
      <w:szCs w:val="24"/>
    </w:rPr>
  </w:style>
  <w:style w:type="paragraph" w:styleId="18">
    <w:name w:val="Date"/>
    <w:basedOn w:val="1"/>
    <w:next w:val="1"/>
    <w:link w:val="150"/>
    <w:qFormat/>
    <w:uiPriority w:val="0"/>
    <w:rPr>
      <w:szCs w:val="21"/>
    </w:rPr>
  </w:style>
  <w:style w:type="paragraph" w:styleId="19">
    <w:name w:val="Body Text Indent 2"/>
    <w:basedOn w:val="1"/>
    <w:link w:val="123"/>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20">
    <w:name w:val="Balloon Text"/>
    <w:basedOn w:val="1"/>
    <w:link w:val="73"/>
    <w:qFormat/>
    <w:uiPriority w:val="99"/>
    <w:rPr>
      <w:rFonts w:ascii="Calibri" w:hAnsi="Calibri" w:eastAsia="宋体" w:cs="Times New Roman"/>
      <w:sz w:val="18"/>
      <w:szCs w:val="18"/>
    </w:rPr>
  </w:style>
  <w:style w:type="paragraph" w:styleId="21">
    <w:name w:val="footer"/>
    <w:basedOn w:val="1"/>
    <w:link w:val="60"/>
    <w:qFormat/>
    <w:uiPriority w:val="99"/>
    <w:pPr>
      <w:tabs>
        <w:tab w:val="center" w:pos="4153"/>
        <w:tab w:val="right" w:pos="8306"/>
      </w:tabs>
      <w:snapToGrid w:val="0"/>
      <w:jc w:val="left"/>
    </w:pPr>
    <w:rPr>
      <w:rFonts w:ascii="Calibri" w:hAnsi="Calibri" w:eastAsia="宋体" w:cs="Times New Roman"/>
      <w:sz w:val="18"/>
      <w:szCs w:val="18"/>
    </w:rPr>
  </w:style>
  <w:style w:type="paragraph" w:styleId="22">
    <w:name w:val="header"/>
    <w:basedOn w:val="1"/>
    <w:link w:val="59"/>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3">
    <w:name w:val="toc 1"/>
    <w:basedOn w:val="1"/>
    <w:next w:val="1"/>
    <w:qFormat/>
    <w:uiPriority w:val="39"/>
    <w:rPr>
      <w:rFonts w:ascii="Times New Roman" w:hAnsi="Times New Roman" w:eastAsia="宋体" w:cs="Times New Roman"/>
      <w:szCs w:val="24"/>
    </w:rPr>
  </w:style>
  <w:style w:type="paragraph" w:styleId="24">
    <w:name w:val="toc 4"/>
    <w:basedOn w:val="1"/>
    <w:next w:val="1"/>
    <w:qFormat/>
    <w:uiPriority w:val="0"/>
    <w:pPr>
      <w:ind w:left="1260" w:leftChars="600"/>
    </w:pPr>
    <w:rPr>
      <w:rFonts w:ascii="Times New Roman" w:hAnsi="Times New Roman" w:eastAsia="宋体" w:cs="Times New Roman"/>
      <w:szCs w:val="24"/>
    </w:rPr>
  </w:style>
  <w:style w:type="paragraph" w:styleId="25">
    <w:name w:val="footnote text"/>
    <w:basedOn w:val="1"/>
    <w:link w:val="167"/>
    <w:semiHidden/>
    <w:qFormat/>
    <w:uiPriority w:val="0"/>
    <w:pPr>
      <w:snapToGrid w:val="0"/>
      <w:jc w:val="left"/>
    </w:pPr>
    <w:rPr>
      <w:rFonts w:ascii="Times New Roman" w:hAnsi="Times New Roman" w:eastAsia="宋体" w:cs="Times New Roman"/>
      <w:sz w:val="18"/>
      <w:szCs w:val="18"/>
    </w:rPr>
  </w:style>
  <w:style w:type="paragraph" w:styleId="26">
    <w:name w:val="toc 6"/>
    <w:basedOn w:val="1"/>
    <w:next w:val="1"/>
    <w:qFormat/>
    <w:uiPriority w:val="0"/>
    <w:pPr>
      <w:ind w:left="2100" w:leftChars="1000"/>
    </w:pPr>
    <w:rPr>
      <w:rFonts w:ascii="Times New Roman" w:hAnsi="Times New Roman" w:eastAsia="宋体" w:cs="Times New Roman"/>
      <w:szCs w:val="24"/>
    </w:rPr>
  </w:style>
  <w:style w:type="paragraph" w:styleId="27">
    <w:name w:val="Body Text Indent 3"/>
    <w:basedOn w:val="1"/>
    <w:link w:val="125"/>
    <w:qFormat/>
    <w:uiPriority w:val="99"/>
    <w:pPr>
      <w:spacing w:line="440" w:lineRule="exact"/>
      <w:ind w:firstLine="412" w:firstLineChars="200"/>
    </w:pPr>
    <w:rPr>
      <w:rFonts w:ascii="宋体" w:hAnsi="Calibri" w:eastAsia="宋体" w:cs="Times New Roman"/>
      <w:kern w:val="0"/>
      <w:sz w:val="20"/>
      <w:szCs w:val="20"/>
    </w:rPr>
  </w:style>
  <w:style w:type="paragraph" w:styleId="28">
    <w:name w:val="table of figures"/>
    <w:basedOn w:val="1"/>
    <w:next w:val="1"/>
    <w:qFormat/>
    <w:uiPriority w:val="0"/>
    <w:pPr>
      <w:ind w:left="200" w:leftChars="200" w:hanging="200" w:hangingChars="200"/>
    </w:pPr>
    <w:rPr>
      <w:rFonts w:ascii="Times New Roman" w:hAnsi="Times New Roman" w:eastAsia="宋体" w:cs="Times New Roman"/>
      <w:szCs w:val="20"/>
    </w:rPr>
  </w:style>
  <w:style w:type="paragraph" w:styleId="29">
    <w:name w:val="toc 2"/>
    <w:basedOn w:val="1"/>
    <w:next w:val="1"/>
    <w:qFormat/>
    <w:uiPriority w:val="39"/>
    <w:pPr>
      <w:ind w:left="420" w:leftChars="200"/>
    </w:pPr>
    <w:rPr>
      <w:rFonts w:ascii="Times New Roman" w:hAnsi="Times New Roman" w:eastAsia="宋体" w:cs="Times New Roman"/>
      <w:szCs w:val="24"/>
    </w:rPr>
  </w:style>
  <w:style w:type="paragraph" w:styleId="30">
    <w:name w:val="toc 9"/>
    <w:basedOn w:val="1"/>
    <w:next w:val="1"/>
    <w:qFormat/>
    <w:uiPriority w:val="0"/>
    <w:pPr>
      <w:ind w:left="3360" w:leftChars="1600"/>
    </w:pPr>
    <w:rPr>
      <w:rFonts w:ascii="Times New Roman" w:hAnsi="Times New Roman" w:eastAsia="宋体" w:cs="Times New Roman"/>
      <w:szCs w:val="24"/>
    </w:rPr>
  </w:style>
  <w:style w:type="paragraph" w:styleId="31">
    <w:name w:val="List Continue 2"/>
    <w:basedOn w:val="1"/>
    <w:qFormat/>
    <w:uiPriority w:val="99"/>
    <w:pPr>
      <w:spacing w:after="120"/>
      <w:ind w:left="840" w:leftChars="400"/>
    </w:pPr>
    <w:rPr>
      <w:rFonts w:ascii="Times New Roman" w:hAnsi="Times New Roman" w:eastAsia="宋体" w:cs="Times New Roman"/>
      <w:szCs w:val="24"/>
    </w:rPr>
  </w:style>
  <w:style w:type="paragraph" w:styleId="3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3">
    <w:name w:val="index 1"/>
    <w:basedOn w:val="1"/>
    <w:next w:val="1"/>
    <w:qFormat/>
    <w:uiPriority w:val="0"/>
    <w:pPr>
      <w:adjustRightInd w:val="0"/>
      <w:snapToGrid w:val="0"/>
      <w:spacing w:line="300" w:lineRule="exact"/>
    </w:pPr>
    <w:rPr>
      <w:rFonts w:ascii="宋体" w:hAnsi="宋体" w:eastAsia="宋体" w:cs="Times New Roman"/>
      <w:bCs/>
      <w:sz w:val="20"/>
      <w:szCs w:val="21"/>
    </w:rPr>
  </w:style>
  <w:style w:type="paragraph" w:styleId="34">
    <w:name w:val="Title"/>
    <w:basedOn w:val="1"/>
    <w:link w:val="153"/>
    <w:qFormat/>
    <w:uiPriority w:val="0"/>
    <w:pPr>
      <w:spacing w:before="240" w:after="60"/>
      <w:jc w:val="center"/>
      <w:outlineLvl w:val="0"/>
    </w:pPr>
    <w:rPr>
      <w:rFonts w:ascii="Cambria" w:hAnsi="Cambria" w:cs="Times New Roman"/>
      <w:b/>
      <w:bCs/>
      <w:sz w:val="32"/>
      <w:szCs w:val="32"/>
    </w:rPr>
  </w:style>
  <w:style w:type="paragraph" w:styleId="35">
    <w:name w:val="annotation subject"/>
    <w:basedOn w:val="10"/>
    <w:next w:val="10"/>
    <w:link w:val="160"/>
    <w:qFormat/>
    <w:uiPriority w:val="0"/>
    <w:rPr>
      <w:b/>
      <w:bCs/>
    </w:rPr>
  </w:style>
  <w:style w:type="paragraph" w:styleId="36">
    <w:name w:val="Body Text First Indent"/>
    <w:basedOn w:val="11"/>
    <w:link w:val="200"/>
    <w:semiHidden/>
    <w:unhideWhenUsed/>
    <w:qFormat/>
    <w:uiPriority w:val="99"/>
    <w:pPr>
      <w:ind w:firstLine="420" w:firstLineChars="100"/>
    </w:pPr>
    <w:rPr>
      <w:rFonts w:asciiTheme="minorHAnsi" w:hAnsiTheme="minorHAnsi" w:eastAsiaTheme="minorEastAsia" w:cstheme="minorBidi"/>
      <w:kern w:val="2"/>
      <w:sz w:val="21"/>
      <w:szCs w:val="22"/>
    </w:rPr>
  </w:style>
  <w:style w:type="paragraph" w:styleId="37">
    <w:name w:val="Body Text First Indent 2"/>
    <w:basedOn w:val="13"/>
    <w:next w:val="1"/>
    <w:unhideWhenUsed/>
    <w:qFormat/>
    <w:uiPriority w:val="99"/>
    <w:pPr>
      <w:widowControl w:val="0"/>
      <w:ind w:left="200" w:leftChars="200" w:firstLine="420" w:firstLineChars="200"/>
    </w:pPr>
    <w:rPr>
      <w:rFonts w:asciiTheme="minorHAnsi" w:hAnsiTheme="minorHAnsi" w:eastAsiaTheme="minorEastAsia" w:cstheme="minorBidi"/>
      <w:kern w:val="2"/>
      <w:sz w:val="21"/>
      <w:szCs w:val="22"/>
    </w:rPr>
  </w:style>
  <w:style w:type="table" w:styleId="39">
    <w:name w:val="Table Grid"/>
    <w:basedOn w:val="3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Strong"/>
    <w:basedOn w:val="40"/>
    <w:qFormat/>
    <w:uiPriority w:val="22"/>
    <w:rPr>
      <w:rFonts w:cs="Times New Roman"/>
      <w:b/>
    </w:rPr>
  </w:style>
  <w:style w:type="character" w:styleId="42">
    <w:name w:val="page number"/>
    <w:basedOn w:val="40"/>
    <w:qFormat/>
    <w:uiPriority w:val="0"/>
    <w:rPr>
      <w:rFonts w:cs="Times New Roman"/>
    </w:rPr>
  </w:style>
  <w:style w:type="character" w:styleId="43">
    <w:name w:val="FollowedHyperlink"/>
    <w:basedOn w:val="40"/>
    <w:qFormat/>
    <w:uiPriority w:val="99"/>
    <w:rPr>
      <w:rFonts w:cs="Times New Roman"/>
      <w:color w:val="555555"/>
      <w:u w:val="none"/>
    </w:rPr>
  </w:style>
  <w:style w:type="character" w:styleId="44">
    <w:name w:val="Emphasis"/>
    <w:basedOn w:val="40"/>
    <w:qFormat/>
    <w:uiPriority w:val="0"/>
    <w:rPr>
      <w:rFonts w:cs="Times New Roman"/>
      <w:i/>
    </w:rPr>
  </w:style>
  <w:style w:type="character" w:styleId="45">
    <w:name w:val="HTML Definition"/>
    <w:basedOn w:val="40"/>
    <w:qFormat/>
    <w:uiPriority w:val="99"/>
    <w:rPr>
      <w:rFonts w:cs="Times New Roman"/>
    </w:rPr>
  </w:style>
  <w:style w:type="character" w:styleId="46">
    <w:name w:val="HTML Acronym"/>
    <w:basedOn w:val="40"/>
    <w:qFormat/>
    <w:uiPriority w:val="99"/>
    <w:rPr>
      <w:rFonts w:cs="Times New Roman"/>
    </w:rPr>
  </w:style>
  <w:style w:type="character" w:styleId="47">
    <w:name w:val="HTML Variable"/>
    <w:basedOn w:val="40"/>
    <w:qFormat/>
    <w:uiPriority w:val="99"/>
    <w:rPr>
      <w:rFonts w:cs="Times New Roman"/>
    </w:rPr>
  </w:style>
  <w:style w:type="character" w:styleId="48">
    <w:name w:val="Hyperlink"/>
    <w:basedOn w:val="40"/>
    <w:qFormat/>
    <w:uiPriority w:val="99"/>
    <w:rPr>
      <w:rFonts w:cs="Times New Roman"/>
      <w:color w:val="555555"/>
      <w:u w:val="none"/>
    </w:rPr>
  </w:style>
  <w:style w:type="character" w:styleId="49">
    <w:name w:val="HTML Code"/>
    <w:basedOn w:val="40"/>
    <w:qFormat/>
    <w:uiPriority w:val="99"/>
    <w:rPr>
      <w:rFonts w:ascii="monospace" w:hAnsi="monospace" w:cs="Times New Roman"/>
      <w:sz w:val="24"/>
    </w:rPr>
  </w:style>
  <w:style w:type="character" w:styleId="50">
    <w:name w:val="annotation reference"/>
    <w:qFormat/>
    <w:uiPriority w:val="0"/>
    <w:rPr>
      <w:sz w:val="21"/>
      <w:szCs w:val="21"/>
    </w:rPr>
  </w:style>
  <w:style w:type="character" w:styleId="51">
    <w:name w:val="HTML Cite"/>
    <w:basedOn w:val="40"/>
    <w:qFormat/>
    <w:uiPriority w:val="99"/>
    <w:rPr>
      <w:rFonts w:cs="Times New Roman"/>
    </w:rPr>
  </w:style>
  <w:style w:type="character" w:styleId="52">
    <w:name w:val="footnote reference"/>
    <w:semiHidden/>
    <w:qFormat/>
    <w:uiPriority w:val="0"/>
    <w:rPr>
      <w:vertAlign w:val="superscript"/>
    </w:rPr>
  </w:style>
  <w:style w:type="character" w:styleId="53">
    <w:name w:val="HTML Keyboard"/>
    <w:basedOn w:val="40"/>
    <w:qFormat/>
    <w:uiPriority w:val="99"/>
    <w:rPr>
      <w:rFonts w:ascii="monospace" w:hAnsi="monospace" w:cs="Times New Roman"/>
      <w:sz w:val="24"/>
    </w:rPr>
  </w:style>
  <w:style w:type="character" w:styleId="54">
    <w:name w:val="HTML Sample"/>
    <w:basedOn w:val="40"/>
    <w:qFormat/>
    <w:uiPriority w:val="99"/>
    <w:rPr>
      <w:rFonts w:ascii="monospace" w:hAnsi="monospace" w:cs="Times New Roman"/>
      <w:sz w:val="24"/>
    </w:rPr>
  </w:style>
  <w:style w:type="paragraph" w:customStyle="1" w:styleId="55">
    <w:name w:val="方案正文"/>
    <w:basedOn w:val="11"/>
    <w:qFormat/>
    <w:uiPriority w:val="0"/>
    <w:pPr>
      <w:spacing w:after="0"/>
      <w:ind w:firstLine="560" w:firstLineChars="200"/>
      <w:jc w:val="left"/>
    </w:pPr>
    <w:rPr>
      <w:rFonts w:ascii="Arial" w:hAnsi="Arial" w:eastAsia="仿宋" w:cs="宋体"/>
      <w:sz w:val="28"/>
      <w:szCs w:val="21"/>
    </w:rPr>
  </w:style>
  <w:style w:type="character" w:customStyle="1" w:styleId="56">
    <w:name w:val="标题 1 字符"/>
    <w:basedOn w:val="40"/>
    <w:link w:val="3"/>
    <w:qFormat/>
    <w:uiPriority w:val="9"/>
    <w:rPr>
      <w:rFonts w:ascii="???" w:hAnsi="???" w:eastAsia="宋体" w:cs="Arial"/>
      <w:b/>
      <w:bCs/>
      <w:color w:val="020000"/>
      <w:kern w:val="36"/>
      <w:sz w:val="44"/>
      <w:szCs w:val="44"/>
    </w:rPr>
  </w:style>
  <w:style w:type="character" w:customStyle="1" w:styleId="57">
    <w:name w:val="标题 3 字符"/>
    <w:basedOn w:val="40"/>
    <w:link w:val="5"/>
    <w:qFormat/>
    <w:uiPriority w:val="0"/>
    <w:rPr>
      <w:rFonts w:ascii="??" w:hAnsi="??" w:eastAsia="宋体" w:cs="Arial"/>
      <w:b/>
      <w:bCs/>
      <w:color w:val="000000"/>
      <w:kern w:val="0"/>
      <w:sz w:val="32"/>
      <w:szCs w:val="32"/>
    </w:rPr>
  </w:style>
  <w:style w:type="character" w:customStyle="1" w:styleId="58">
    <w:name w:val="标题 2 字符"/>
    <w:basedOn w:val="40"/>
    <w:link w:val="4"/>
    <w:qFormat/>
    <w:uiPriority w:val="99"/>
    <w:rPr>
      <w:rFonts w:ascii="???" w:hAnsi="???" w:eastAsia="宋体" w:cs="Arial"/>
      <w:b/>
      <w:bCs/>
      <w:color w:val="020000"/>
      <w:kern w:val="0"/>
      <w:sz w:val="32"/>
      <w:szCs w:val="32"/>
    </w:rPr>
  </w:style>
  <w:style w:type="character" w:customStyle="1" w:styleId="59">
    <w:name w:val="页眉 字符"/>
    <w:basedOn w:val="40"/>
    <w:link w:val="22"/>
    <w:qFormat/>
    <w:uiPriority w:val="99"/>
    <w:rPr>
      <w:rFonts w:ascii="Calibri" w:hAnsi="Calibri" w:eastAsia="宋体" w:cs="Times New Roman"/>
      <w:sz w:val="18"/>
      <w:szCs w:val="18"/>
    </w:rPr>
  </w:style>
  <w:style w:type="character" w:customStyle="1" w:styleId="60">
    <w:name w:val="页脚 字符"/>
    <w:basedOn w:val="40"/>
    <w:link w:val="21"/>
    <w:qFormat/>
    <w:uiPriority w:val="99"/>
    <w:rPr>
      <w:rFonts w:ascii="Calibri" w:hAnsi="Calibri" w:eastAsia="宋体" w:cs="Times New Roman"/>
      <w:sz w:val="18"/>
      <w:szCs w:val="18"/>
    </w:rPr>
  </w:style>
  <w:style w:type="character" w:customStyle="1" w:styleId="61">
    <w:name w:val="正文文本缩进 字符"/>
    <w:basedOn w:val="40"/>
    <w:link w:val="13"/>
    <w:qFormat/>
    <w:uiPriority w:val="0"/>
    <w:rPr>
      <w:rFonts w:ascii="??" w:hAnsi="??" w:eastAsia="宋体" w:cs="Arial"/>
      <w:kern w:val="0"/>
      <w:sz w:val="24"/>
      <w:szCs w:val="24"/>
    </w:rPr>
  </w:style>
  <w:style w:type="paragraph" w:customStyle="1" w:styleId="62">
    <w:name w:val="列出段落1"/>
    <w:basedOn w:val="1"/>
    <w:qFormat/>
    <w:uiPriority w:val="34"/>
    <w:pPr>
      <w:ind w:firstLine="420" w:firstLineChars="200"/>
    </w:pPr>
    <w:rPr>
      <w:rFonts w:ascii="Calibri" w:hAnsi="Calibri" w:eastAsia="宋体" w:cs="Times New Roman"/>
    </w:rPr>
  </w:style>
  <w:style w:type="character" w:customStyle="1" w:styleId="63">
    <w:name w:val="标题 2 Char Char"/>
    <w:qFormat/>
    <w:uiPriority w:val="99"/>
    <w:rPr>
      <w:rFonts w:ascii="Arial" w:hAnsi="Arial" w:eastAsia="黑体"/>
      <w:b/>
      <w:kern w:val="2"/>
      <w:sz w:val="32"/>
      <w:lang w:val="en-US" w:eastAsia="zh-CN"/>
    </w:rPr>
  </w:style>
  <w:style w:type="character" w:customStyle="1" w:styleId="64">
    <w:name w:val="2charchar"/>
    <w:basedOn w:val="40"/>
    <w:qFormat/>
    <w:uiPriority w:val="99"/>
    <w:rPr>
      <w:rFonts w:cs="Times New Roman"/>
    </w:rPr>
  </w:style>
  <w:style w:type="paragraph" w:customStyle="1" w:styleId="65">
    <w:name w:val="表格文字"/>
    <w:basedOn w:val="1"/>
    <w:qFormat/>
    <w:uiPriority w:val="99"/>
    <w:pPr>
      <w:adjustRightInd w:val="0"/>
      <w:spacing w:line="420" w:lineRule="atLeast"/>
      <w:jc w:val="left"/>
    </w:pPr>
    <w:rPr>
      <w:rFonts w:ascii="Times New Roman" w:hAnsi="Times New Roman" w:eastAsia="宋体" w:cs="Times New Roman"/>
      <w:kern w:val="0"/>
      <w:szCs w:val="20"/>
    </w:rPr>
  </w:style>
  <w:style w:type="paragraph" w:customStyle="1" w:styleId="66">
    <w:name w:val="z-窗体顶端1"/>
    <w:basedOn w:val="1"/>
    <w:next w:val="1"/>
    <w:link w:val="67"/>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67">
    <w:name w:val="z-窗体顶端 Char"/>
    <w:basedOn w:val="40"/>
    <w:link w:val="66"/>
    <w:semiHidden/>
    <w:qFormat/>
    <w:uiPriority w:val="99"/>
    <w:rPr>
      <w:rFonts w:ascii="Arial" w:hAnsi="Arial" w:eastAsia="宋体" w:cs="Arial"/>
      <w:vanish/>
      <w:kern w:val="0"/>
      <w:sz w:val="16"/>
      <w:szCs w:val="16"/>
    </w:rPr>
  </w:style>
  <w:style w:type="paragraph" w:customStyle="1" w:styleId="68">
    <w:name w:val="z-窗体底端1"/>
    <w:basedOn w:val="1"/>
    <w:next w:val="1"/>
    <w:link w:val="69"/>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69">
    <w:name w:val="z-窗体底端 Char"/>
    <w:basedOn w:val="40"/>
    <w:link w:val="68"/>
    <w:semiHidden/>
    <w:qFormat/>
    <w:uiPriority w:val="99"/>
    <w:rPr>
      <w:rFonts w:ascii="Arial" w:hAnsi="Arial" w:eastAsia="宋体" w:cs="Arial"/>
      <w:vanish/>
      <w:kern w:val="0"/>
      <w:sz w:val="16"/>
      <w:szCs w:val="16"/>
    </w:rPr>
  </w:style>
  <w:style w:type="paragraph" w:customStyle="1" w:styleId="70">
    <w:name w:val="hu正文"/>
    <w:basedOn w:val="1"/>
    <w:link w:val="71"/>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71">
    <w:name w:val="hu正文 Char"/>
    <w:link w:val="70"/>
    <w:qFormat/>
    <w:locked/>
    <w:uiPriority w:val="99"/>
    <w:rPr>
      <w:rFonts w:ascii="Times New Roman" w:hAnsi="Times New Roman" w:eastAsia="宋体" w:cs="Times New Roman"/>
      <w:kern w:val="0"/>
      <w:sz w:val="24"/>
      <w:szCs w:val="20"/>
    </w:rPr>
  </w:style>
  <w:style w:type="paragraph" w:customStyle="1" w:styleId="72">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3">
    <w:name w:val="批注框文本 字符"/>
    <w:basedOn w:val="40"/>
    <w:link w:val="20"/>
    <w:qFormat/>
    <w:uiPriority w:val="99"/>
    <w:rPr>
      <w:rFonts w:ascii="Calibri" w:hAnsi="Calibri" w:eastAsia="宋体" w:cs="Times New Roman"/>
      <w:sz w:val="18"/>
      <w:szCs w:val="18"/>
    </w:rPr>
  </w:style>
  <w:style w:type="character" w:customStyle="1" w:styleId="74">
    <w:name w:val="ui-bz-bg-hover1"/>
    <w:basedOn w:val="40"/>
    <w:qFormat/>
    <w:uiPriority w:val="99"/>
    <w:rPr>
      <w:rFonts w:cs="Times New Roman"/>
    </w:rPr>
  </w:style>
  <w:style w:type="character" w:customStyle="1" w:styleId="75">
    <w:name w:val="批注框文本 Char1"/>
    <w:qFormat/>
    <w:uiPriority w:val="99"/>
    <w:rPr>
      <w:rFonts w:ascii="Times New Roman" w:hAnsi="Times New Roman" w:eastAsia="宋体"/>
      <w:sz w:val="18"/>
    </w:rPr>
  </w:style>
  <w:style w:type="character" w:customStyle="1" w:styleId="76">
    <w:name w:val="bds_nopic"/>
    <w:basedOn w:val="40"/>
    <w:qFormat/>
    <w:uiPriority w:val="99"/>
    <w:rPr>
      <w:rFonts w:cs="Times New Roman"/>
    </w:rPr>
  </w:style>
  <w:style w:type="character" w:customStyle="1" w:styleId="77">
    <w:name w:val="tip12"/>
    <w:qFormat/>
    <w:uiPriority w:val="99"/>
    <w:rPr>
      <w:vanish/>
      <w:color w:val="FF0000"/>
      <w:sz w:val="18"/>
    </w:rPr>
  </w:style>
  <w:style w:type="character" w:customStyle="1" w:styleId="78">
    <w:name w:val="Body Text Indent 3 Char"/>
    <w:qFormat/>
    <w:locked/>
    <w:uiPriority w:val="99"/>
    <w:rPr>
      <w:rFonts w:ascii="宋体" w:eastAsia="宋体"/>
    </w:rPr>
  </w:style>
  <w:style w:type="character" w:customStyle="1" w:styleId="79">
    <w:name w:val="HTML Markup"/>
    <w:qFormat/>
    <w:uiPriority w:val="99"/>
    <w:rPr>
      <w:vanish/>
      <w:color w:val="FF0000"/>
    </w:rPr>
  </w:style>
  <w:style w:type="character" w:customStyle="1" w:styleId="80">
    <w:name w:val="tip7"/>
    <w:qFormat/>
    <w:uiPriority w:val="99"/>
    <w:rPr>
      <w:vanish/>
      <w:color w:val="FF0000"/>
      <w:sz w:val="18"/>
    </w:rPr>
  </w:style>
  <w:style w:type="character" w:customStyle="1" w:styleId="81">
    <w:name w:val="f-star"/>
    <w:qFormat/>
    <w:uiPriority w:val="99"/>
    <w:rPr>
      <w:color w:val="999999"/>
      <w:sz w:val="21"/>
    </w:rPr>
  </w:style>
  <w:style w:type="character" w:customStyle="1" w:styleId="82">
    <w:name w:val="Document Map Char1"/>
    <w:qFormat/>
    <w:uiPriority w:val="99"/>
    <w:rPr>
      <w:rFonts w:ascii="Times New Roman" w:hAnsi="Times New Roman"/>
      <w:kern w:val="2"/>
      <w:sz w:val="2"/>
    </w:rPr>
  </w:style>
  <w:style w:type="character" w:customStyle="1" w:styleId="83">
    <w:name w:val="my-class2"/>
    <w:basedOn w:val="40"/>
    <w:qFormat/>
    <w:uiPriority w:val="99"/>
    <w:rPr>
      <w:rFonts w:cs="Times New Roman"/>
    </w:rPr>
  </w:style>
  <w:style w:type="character" w:customStyle="1" w:styleId="84">
    <w:name w:val="no52"/>
    <w:basedOn w:val="40"/>
    <w:qFormat/>
    <w:uiPriority w:val="99"/>
    <w:rPr>
      <w:rFonts w:cs="Times New Roman"/>
    </w:rPr>
  </w:style>
  <w:style w:type="character" w:customStyle="1" w:styleId="85">
    <w:name w:val="no4"/>
    <w:basedOn w:val="40"/>
    <w:qFormat/>
    <w:uiPriority w:val="99"/>
    <w:rPr>
      <w:rFonts w:cs="Times New Roman"/>
    </w:rPr>
  </w:style>
  <w:style w:type="character" w:customStyle="1" w:styleId="86">
    <w:name w:val="my-notice"/>
    <w:basedOn w:val="40"/>
    <w:qFormat/>
    <w:uiPriority w:val="99"/>
    <w:rPr>
      <w:rFonts w:cs="Times New Roman"/>
    </w:rPr>
  </w:style>
  <w:style w:type="character" w:customStyle="1" w:styleId="87">
    <w:name w:val="ico-jiang"/>
    <w:basedOn w:val="40"/>
    <w:qFormat/>
    <w:uiPriority w:val="99"/>
    <w:rPr>
      <w:rFonts w:cs="Times New Roman"/>
    </w:rPr>
  </w:style>
  <w:style w:type="character" w:customStyle="1" w:styleId="88">
    <w:name w:val="ico-jiang2"/>
    <w:basedOn w:val="40"/>
    <w:qFormat/>
    <w:uiPriority w:val="99"/>
    <w:rPr>
      <w:rFonts w:cs="Times New Roman"/>
    </w:rPr>
  </w:style>
  <w:style w:type="character" w:customStyle="1" w:styleId="89">
    <w:name w:val="bds_more1"/>
    <w:qFormat/>
    <w:uiPriority w:val="99"/>
    <w:rPr>
      <w:rFonts w:ascii="宋体" w:hAnsi="宋体" w:eastAsia="宋体"/>
    </w:rPr>
  </w:style>
  <w:style w:type="character" w:customStyle="1" w:styleId="90">
    <w:name w:val="Body Text Indent 2 Char"/>
    <w:qFormat/>
    <w:locked/>
    <w:uiPriority w:val="99"/>
    <w:rPr>
      <w:rFonts w:ascii="宋体" w:eastAsia="宋体"/>
      <w:sz w:val="24"/>
    </w:rPr>
  </w:style>
  <w:style w:type="character" w:customStyle="1" w:styleId="91">
    <w:name w:val="org_name"/>
    <w:basedOn w:val="40"/>
    <w:qFormat/>
    <w:uiPriority w:val="99"/>
    <w:rPr>
      <w:rFonts w:cs="Times New Roman"/>
    </w:rPr>
  </w:style>
  <w:style w:type="character" w:customStyle="1" w:styleId="92">
    <w:name w:val="org_name2"/>
    <w:basedOn w:val="40"/>
    <w:qFormat/>
    <w:uiPriority w:val="99"/>
    <w:rPr>
      <w:rFonts w:cs="Times New Roman"/>
    </w:rPr>
  </w:style>
  <w:style w:type="character" w:customStyle="1" w:styleId="93">
    <w:name w:val="tip10"/>
    <w:qFormat/>
    <w:uiPriority w:val="99"/>
    <w:rPr>
      <w:vanish/>
      <w:color w:val="FF0000"/>
      <w:sz w:val="18"/>
    </w:rPr>
  </w:style>
  <w:style w:type="character" w:customStyle="1" w:styleId="94">
    <w:name w:val="orange"/>
    <w:qFormat/>
    <w:uiPriority w:val="99"/>
    <w:rPr>
      <w:color w:val="3FB58F"/>
    </w:rPr>
  </w:style>
  <w:style w:type="character" w:customStyle="1" w:styleId="95">
    <w:name w:val="bds_more"/>
    <w:basedOn w:val="40"/>
    <w:qFormat/>
    <w:uiPriority w:val="99"/>
    <w:rPr>
      <w:rFonts w:cs="Times New Roman"/>
    </w:rPr>
  </w:style>
  <w:style w:type="character" w:customStyle="1" w:styleId="96">
    <w:name w:val="t-tag"/>
    <w:qFormat/>
    <w:uiPriority w:val="99"/>
    <w:rPr>
      <w:color w:val="FFFFFF"/>
      <w:sz w:val="18"/>
      <w:shd w:val="clear" w:color="auto" w:fill="FE8833"/>
    </w:rPr>
  </w:style>
  <w:style w:type="character" w:customStyle="1" w:styleId="97">
    <w:name w:val="top-icon"/>
    <w:basedOn w:val="40"/>
    <w:qFormat/>
    <w:uiPriority w:val="99"/>
    <w:rPr>
      <w:rFonts w:cs="Times New Roman"/>
    </w:rPr>
  </w:style>
  <w:style w:type="character" w:customStyle="1" w:styleId="98">
    <w:name w:val="Body Text Char"/>
    <w:qFormat/>
    <w:locked/>
    <w:uiPriority w:val="99"/>
    <w:rPr>
      <w:sz w:val="24"/>
    </w:rPr>
  </w:style>
  <w:style w:type="character" w:customStyle="1" w:styleId="99">
    <w:name w:val="no72"/>
    <w:basedOn w:val="40"/>
    <w:qFormat/>
    <w:uiPriority w:val="99"/>
    <w:rPr>
      <w:rFonts w:cs="Times New Roman"/>
    </w:rPr>
  </w:style>
  <w:style w:type="character" w:customStyle="1" w:styleId="100">
    <w:name w:val="bds_nopic2"/>
    <w:basedOn w:val="40"/>
    <w:qFormat/>
    <w:uiPriority w:val="99"/>
    <w:rPr>
      <w:rFonts w:cs="Times New Roman"/>
    </w:rPr>
  </w:style>
  <w:style w:type="character" w:customStyle="1" w:styleId="101">
    <w:name w:val="Document Map Char"/>
    <w:qFormat/>
    <w:uiPriority w:val="99"/>
    <w:rPr>
      <w:rFonts w:ascii="宋体"/>
      <w:sz w:val="18"/>
    </w:rPr>
  </w:style>
  <w:style w:type="character" w:customStyle="1" w:styleId="102">
    <w:name w:val="no6"/>
    <w:basedOn w:val="40"/>
    <w:qFormat/>
    <w:uiPriority w:val="99"/>
    <w:rPr>
      <w:rFonts w:cs="Times New Roman"/>
    </w:rPr>
  </w:style>
  <w:style w:type="character" w:customStyle="1" w:styleId="103">
    <w:name w:val="tip"/>
    <w:qFormat/>
    <w:uiPriority w:val="99"/>
    <w:rPr>
      <w:vanish/>
      <w:color w:val="FF0000"/>
      <w:sz w:val="18"/>
    </w:rPr>
  </w:style>
  <w:style w:type="character" w:customStyle="1" w:styleId="104">
    <w:name w:val="apple-converted-space"/>
    <w:basedOn w:val="40"/>
    <w:qFormat/>
    <w:uiPriority w:val="99"/>
    <w:rPr>
      <w:rFonts w:cs="Times New Roman"/>
    </w:rPr>
  </w:style>
  <w:style w:type="character" w:customStyle="1" w:styleId="105">
    <w:name w:val="bds_more2"/>
    <w:basedOn w:val="40"/>
    <w:qFormat/>
    <w:uiPriority w:val="99"/>
    <w:rPr>
      <w:rFonts w:cs="Times New Roman"/>
    </w:rPr>
  </w:style>
  <w:style w:type="character" w:customStyle="1" w:styleId="106">
    <w:name w:val="my-class"/>
    <w:basedOn w:val="40"/>
    <w:qFormat/>
    <w:uiPriority w:val="99"/>
    <w:rPr>
      <w:rFonts w:cs="Times New Roman"/>
    </w:rPr>
  </w:style>
  <w:style w:type="character" w:customStyle="1" w:styleId="107">
    <w:name w:val="ui-bz-bg-hover"/>
    <w:qFormat/>
    <w:uiPriority w:val="99"/>
    <w:rPr>
      <w:shd w:val="clear" w:color="auto" w:fill="000000"/>
    </w:rPr>
  </w:style>
  <w:style w:type="character" w:customStyle="1" w:styleId="108">
    <w:name w:val="no7"/>
    <w:basedOn w:val="40"/>
    <w:qFormat/>
    <w:uiPriority w:val="99"/>
    <w:rPr>
      <w:rFonts w:cs="Times New Roman"/>
    </w:rPr>
  </w:style>
  <w:style w:type="character" w:customStyle="1" w:styleId="109">
    <w:name w:val="正文缩进 字符"/>
    <w:link w:val="2"/>
    <w:qFormat/>
    <w:locked/>
    <w:uiPriority w:val="99"/>
    <w:rPr>
      <w:rFonts w:ascii="Times New Roman" w:hAnsi="Times New Roman" w:eastAsia="宋体" w:cs="Times New Roman"/>
      <w:kern w:val="0"/>
      <w:sz w:val="24"/>
      <w:szCs w:val="20"/>
    </w:rPr>
  </w:style>
  <w:style w:type="character" w:customStyle="1" w:styleId="110">
    <w:name w:val="ico-jiang1"/>
    <w:basedOn w:val="40"/>
    <w:qFormat/>
    <w:uiPriority w:val="99"/>
    <w:rPr>
      <w:rFonts w:cs="Times New Roman"/>
    </w:rPr>
  </w:style>
  <w:style w:type="character" w:customStyle="1" w:styleId="111">
    <w:name w:val="no62"/>
    <w:basedOn w:val="40"/>
    <w:qFormat/>
    <w:uiPriority w:val="99"/>
    <w:rPr>
      <w:rFonts w:cs="Times New Roman"/>
    </w:rPr>
  </w:style>
  <w:style w:type="character" w:customStyle="1" w:styleId="112">
    <w:name w:val="orange5"/>
    <w:qFormat/>
    <w:uiPriority w:val="99"/>
    <w:rPr>
      <w:color w:val="3FB58F"/>
    </w:rPr>
  </w:style>
  <w:style w:type="character" w:customStyle="1" w:styleId="113">
    <w:name w:val="bds_more4"/>
    <w:basedOn w:val="40"/>
    <w:qFormat/>
    <w:uiPriority w:val="99"/>
    <w:rPr>
      <w:rFonts w:cs="Times New Roman"/>
    </w:rPr>
  </w:style>
  <w:style w:type="character" w:customStyle="1" w:styleId="114">
    <w:name w:val="no5"/>
    <w:basedOn w:val="40"/>
    <w:qFormat/>
    <w:uiPriority w:val="99"/>
    <w:rPr>
      <w:rFonts w:cs="Times New Roman"/>
    </w:rPr>
  </w:style>
  <w:style w:type="character" w:customStyle="1" w:styleId="115">
    <w:name w:val="bds_more3"/>
    <w:basedOn w:val="40"/>
    <w:qFormat/>
    <w:uiPriority w:val="99"/>
    <w:rPr>
      <w:rFonts w:cs="Times New Roman"/>
    </w:rPr>
  </w:style>
  <w:style w:type="character" w:customStyle="1" w:styleId="116">
    <w:name w:val="no42"/>
    <w:basedOn w:val="40"/>
    <w:qFormat/>
    <w:uiPriority w:val="99"/>
    <w:rPr>
      <w:rFonts w:cs="Times New Roman"/>
    </w:rPr>
  </w:style>
  <w:style w:type="character" w:customStyle="1" w:styleId="117">
    <w:name w:val="bds_nopic1"/>
    <w:basedOn w:val="40"/>
    <w:qFormat/>
    <w:uiPriority w:val="99"/>
    <w:rPr>
      <w:rFonts w:cs="Times New Roman"/>
    </w:rPr>
  </w:style>
  <w:style w:type="character" w:customStyle="1" w:styleId="118">
    <w:name w:val="my-notice1"/>
    <w:basedOn w:val="40"/>
    <w:qFormat/>
    <w:uiPriority w:val="99"/>
    <w:rPr>
      <w:rFonts w:cs="Times New Roman"/>
    </w:rPr>
  </w:style>
  <w:style w:type="character" w:customStyle="1" w:styleId="119">
    <w:name w:val="orange6"/>
    <w:qFormat/>
    <w:uiPriority w:val="99"/>
    <w:rPr>
      <w:color w:val="3FB58F"/>
    </w:rPr>
  </w:style>
  <w:style w:type="character" w:customStyle="1" w:styleId="120">
    <w:name w:val="Document Map Char2"/>
    <w:qFormat/>
    <w:locked/>
    <w:uiPriority w:val="99"/>
    <w:rPr>
      <w:rFonts w:ascii="宋体"/>
      <w:sz w:val="18"/>
    </w:rPr>
  </w:style>
  <w:style w:type="character" w:customStyle="1" w:styleId="121">
    <w:name w:val="ico-jiang3"/>
    <w:basedOn w:val="40"/>
    <w:qFormat/>
    <w:uiPriority w:val="99"/>
    <w:rPr>
      <w:rFonts w:cs="Times New Roman"/>
    </w:rPr>
  </w:style>
  <w:style w:type="character" w:customStyle="1" w:styleId="122">
    <w:name w:val="tip13"/>
    <w:qFormat/>
    <w:uiPriority w:val="99"/>
    <w:rPr>
      <w:vanish/>
      <w:color w:val="FF0000"/>
      <w:sz w:val="18"/>
    </w:rPr>
  </w:style>
  <w:style w:type="character" w:customStyle="1" w:styleId="123">
    <w:name w:val="正文文本缩进 2 字符"/>
    <w:basedOn w:val="40"/>
    <w:link w:val="19"/>
    <w:qFormat/>
    <w:uiPriority w:val="99"/>
    <w:rPr>
      <w:rFonts w:ascii="宋体" w:hAnsi="Calibri" w:eastAsia="宋体" w:cs="Times New Roman"/>
      <w:kern w:val="0"/>
      <w:sz w:val="24"/>
      <w:szCs w:val="20"/>
    </w:rPr>
  </w:style>
  <w:style w:type="character" w:customStyle="1" w:styleId="124">
    <w:name w:val="Body Text Indent 2 Char1"/>
    <w:basedOn w:val="40"/>
    <w:semiHidden/>
    <w:qFormat/>
    <w:locked/>
    <w:uiPriority w:val="99"/>
    <w:rPr>
      <w:rFonts w:cs="Times New Roman"/>
    </w:rPr>
  </w:style>
  <w:style w:type="character" w:customStyle="1" w:styleId="125">
    <w:name w:val="正文文本缩进 3 字符"/>
    <w:basedOn w:val="40"/>
    <w:link w:val="27"/>
    <w:qFormat/>
    <w:uiPriority w:val="99"/>
    <w:rPr>
      <w:rFonts w:ascii="宋体" w:hAnsi="Calibri" w:eastAsia="宋体" w:cs="Times New Roman"/>
      <w:kern w:val="0"/>
      <w:sz w:val="20"/>
      <w:szCs w:val="20"/>
    </w:rPr>
  </w:style>
  <w:style w:type="character" w:customStyle="1" w:styleId="126">
    <w:name w:val="Body Text Indent 3 Char1"/>
    <w:basedOn w:val="40"/>
    <w:semiHidden/>
    <w:qFormat/>
    <w:locked/>
    <w:uiPriority w:val="99"/>
    <w:rPr>
      <w:rFonts w:cs="Times New Roman"/>
      <w:sz w:val="16"/>
      <w:szCs w:val="16"/>
    </w:rPr>
  </w:style>
  <w:style w:type="character" w:customStyle="1" w:styleId="127">
    <w:name w:val="文档结构图 字符"/>
    <w:basedOn w:val="40"/>
    <w:link w:val="8"/>
    <w:qFormat/>
    <w:uiPriority w:val="99"/>
    <w:rPr>
      <w:rFonts w:ascii="宋体" w:hAnsi="Calibri" w:eastAsia="宋体" w:cs="Times New Roman"/>
      <w:kern w:val="0"/>
      <w:sz w:val="18"/>
      <w:szCs w:val="20"/>
    </w:rPr>
  </w:style>
  <w:style w:type="character" w:customStyle="1" w:styleId="128">
    <w:name w:val="Document Map Char3"/>
    <w:basedOn w:val="40"/>
    <w:semiHidden/>
    <w:qFormat/>
    <w:locked/>
    <w:uiPriority w:val="99"/>
    <w:rPr>
      <w:rFonts w:ascii="Times New Roman" w:hAnsi="Times New Roman" w:cs="Times New Roman"/>
      <w:sz w:val="2"/>
    </w:rPr>
  </w:style>
  <w:style w:type="paragraph" w:customStyle="1" w:styleId="129">
    <w:name w:val="_Style 1"/>
    <w:basedOn w:val="1"/>
    <w:qFormat/>
    <w:uiPriority w:val="99"/>
    <w:pPr>
      <w:ind w:firstLine="420" w:firstLineChars="200"/>
    </w:pPr>
    <w:rPr>
      <w:rFonts w:ascii="Times New Roman" w:hAnsi="Times New Roman" w:eastAsia="宋体" w:cs="Times New Roman"/>
      <w:szCs w:val="24"/>
    </w:rPr>
  </w:style>
  <w:style w:type="character" w:customStyle="1" w:styleId="130">
    <w:name w:val="正文文本 字符"/>
    <w:basedOn w:val="40"/>
    <w:link w:val="11"/>
    <w:qFormat/>
    <w:uiPriority w:val="99"/>
    <w:rPr>
      <w:rFonts w:ascii="Calibri" w:hAnsi="Calibri" w:eastAsia="宋体" w:cs="Times New Roman"/>
      <w:kern w:val="0"/>
      <w:sz w:val="24"/>
      <w:szCs w:val="20"/>
    </w:rPr>
  </w:style>
  <w:style w:type="character" w:customStyle="1" w:styleId="131">
    <w:name w:val="Body Text Char1"/>
    <w:basedOn w:val="40"/>
    <w:semiHidden/>
    <w:qFormat/>
    <w:locked/>
    <w:uiPriority w:val="99"/>
    <w:rPr>
      <w:rFonts w:cs="Times New Roman"/>
    </w:rPr>
  </w:style>
  <w:style w:type="paragraph" w:customStyle="1" w:styleId="132">
    <w:name w:val="_Style 21"/>
    <w:basedOn w:val="1"/>
    <w:qFormat/>
    <w:uiPriority w:val="99"/>
    <w:rPr>
      <w:rFonts w:ascii="Times New Roman" w:hAnsi="Times New Roman" w:eastAsia="宋体" w:cs="Times New Roman"/>
      <w:szCs w:val="20"/>
    </w:rPr>
  </w:style>
  <w:style w:type="paragraph" w:customStyle="1" w:styleId="133">
    <w:name w:val="p0"/>
    <w:basedOn w:val="1"/>
    <w:qFormat/>
    <w:uiPriority w:val="99"/>
    <w:pPr>
      <w:widowControl/>
    </w:pPr>
    <w:rPr>
      <w:rFonts w:ascii="Times New Roman" w:hAnsi="Times New Roman" w:eastAsia="宋体" w:cs="Times New Roman"/>
      <w:kern w:val="0"/>
      <w:szCs w:val="21"/>
    </w:rPr>
  </w:style>
  <w:style w:type="paragraph" w:customStyle="1" w:styleId="134">
    <w:name w:val="xl3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35">
    <w:name w:val="xl25"/>
    <w:basedOn w:val="1"/>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36">
    <w:name w:val="样式 样式 样式 样式 内容 + 首行缩进:  2 字符18 + 首行缩进:  5.71 厘米 + 首行缩进:  8.04 厘米..."/>
    <w:basedOn w:val="1"/>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37">
    <w:name w:val="无间隔11"/>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38">
    <w:name w:val="列出段落11"/>
    <w:basedOn w:val="1"/>
    <w:qFormat/>
    <w:uiPriority w:val="99"/>
    <w:pPr>
      <w:ind w:firstLine="420" w:firstLineChars="200"/>
    </w:pPr>
    <w:rPr>
      <w:rFonts w:ascii="Times New Roman" w:hAnsi="Times New Roman" w:eastAsia="宋体" w:cs="Times New Roman"/>
      <w:szCs w:val="24"/>
    </w:rPr>
  </w:style>
  <w:style w:type="paragraph" w:customStyle="1" w:styleId="139">
    <w:name w:val="_Style 2"/>
    <w:basedOn w:val="1"/>
    <w:qFormat/>
    <w:uiPriority w:val="99"/>
    <w:pPr>
      <w:ind w:firstLine="420" w:firstLineChars="200"/>
    </w:pPr>
    <w:rPr>
      <w:rFonts w:ascii="Calibri" w:hAnsi="Calibri" w:eastAsia="宋体" w:cs="Times New Roman"/>
    </w:rPr>
  </w:style>
  <w:style w:type="paragraph" w:customStyle="1" w:styleId="140">
    <w:name w:val="txt14"/>
    <w:basedOn w:val="1"/>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1">
    <w:name w:val="_Style 11"/>
    <w:basedOn w:val="1"/>
    <w:qFormat/>
    <w:uiPriority w:val="99"/>
    <w:rPr>
      <w:rFonts w:ascii="Times New Roman" w:hAnsi="Times New Roman" w:eastAsia="宋体" w:cs="Times New Roman"/>
      <w:szCs w:val="24"/>
    </w:rPr>
  </w:style>
  <w:style w:type="paragraph" w:customStyle="1" w:styleId="142">
    <w:name w:val="Char"/>
    <w:basedOn w:val="1"/>
    <w:qFormat/>
    <w:uiPriority w:val="99"/>
    <w:rPr>
      <w:rFonts w:ascii="Times New Roman" w:hAnsi="Times New Roman" w:eastAsia="宋体" w:cs="Times New Roman"/>
      <w:szCs w:val="21"/>
    </w:rPr>
  </w:style>
  <w:style w:type="paragraph" w:customStyle="1" w:styleId="143">
    <w:name w:val="列出段落12"/>
    <w:basedOn w:val="1"/>
    <w:qFormat/>
    <w:uiPriority w:val="99"/>
    <w:pPr>
      <w:ind w:firstLine="420" w:firstLineChars="200"/>
    </w:pPr>
    <w:rPr>
      <w:rFonts w:ascii="Times New Roman" w:hAnsi="Times New Roman" w:eastAsia="宋体" w:cs="Times New Roman"/>
      <w:szCs w:val="24"/>
    </w:rPr>
  </w:style>
  <w:style w:type="paragraph" w:customStyle="1" w:styleId="144">
    <w:name w:val="列出段落2"/>
    <w:basedOn w:val="1"/>
    <w:qFormat/>
    <w:uiPriority w:val="99"/>
    <w:pPr>
      <w:ind w:firstLine="420" w:firstLineChars="200"/>
    </w:pPr>
    <w:rPr>
      <w:rFonts w:ascii="Times New Roman" w:hAnsi="Times New Roman" w:eastAsia="宋体" w:cs="Times New Roman"/>
      <w:szCs w:val="24"/>
    </w:rPr>
  </w:style>
  <w:style w:type="paragraph" w:customStyle="1" w:styleId="145">
    <w:name w:val="TOC 标题1"/>
    <w:basedOn w:val="3"/>
    <w:next w:val="1"/>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46">
    <w:name w:val="正文文本缩进 31"/>
    <w:basedOn w:val="1"/>
    <w:qFormat/>
    <w:uiPriority w:val="99"/>
    <w:pPr>
      <w:spacing w:line="440" w:lineRule="exact"/>
      <w:ind w:firstLine="412" w:firstLineChars="200"/>
    </w:pPr>
    <w:rPr>
      <w:rFonts w:ascii="宋体" w:hAnsi="宋体" w:eastAsia="宋体" w:cs="Times New Roman"/>
      <w:kern w:val="0"/>
      <w:sz w:val="20"/>
      <w:szCs w:val="20"/>
    </w:rPr>
  </w:style>
  <w:style w:type="character" w:customStyle="1" w:styleId="147">
    <w:name w:val="font41"/>
    <w:qFormat/>
    <w:uiPriority w:val="99"/>
    <w:rPr>
      <w:rFonts w:hint="eastAsia" w:ascii="宋体" w:hAnsi="宋体" w:eastAsia="宋体" w:cs="宋体"/>
      <w:b/>
      <w:color w:val="000000"/>
      <w:sz w:val="22"/>
      <w:szCs w:val="22"/>
      <w:u w:val="none"/>
    </w:rPr>
  </w:style>
  <w:style w:type="character" w:customStyle="1" w:styleId="148">
    <w:name w:val="font81"/>
    <w:qFormat/>
    <w:uiPriority w:val="99"/>
    <w:rPr>
      <w:rFonts w:hint="eastAsia" w:ascii="宋体" w:hAnsi="宋体" w:eastAsia="宋体" w:cs="宋体"/>
      <w:b/>
      <w:color w:val="000000"/>
      <w:sz w:val="22"/>
      <w:szCs w:val="22"/>
      <w:u w:val="none"/>
    </w:rPr>
  </w:style>
  <w:style w:type="character" w:customStyle="1" w:styleId="149">
    <w:name w:val="font21"/>
    <w:basedOn w:val="40"/>
    <w:qFormat/>
    <w:uiPriority w:val="0"/>
    <w:rPr>
      <w:rFonts w:hint="eastAsia" w:ascii="宋体" w:hAnsi="宋体" w:eastAsia="宋体" w:cs="宋体"/>
      <w:color w:val="000000"/>
      <w:sz w:val="18"/>
      <w:szCs w:val="18"/>
      <w:u w:val="none"/>
    </w:rPr>
  </w:style>
  <w:style w:type="character" w:customStyle="1" w:styleId="150">
    <w:name w:val="日期 字符"/>
    <w:link w:val="18"/>
    <w:qFormat/>
    <w:uiPriority w:val="0"/>
    <w:rPr>
      <w:szCs w:val="21"/>
    </w:rPr>
  </w:style>
  <w:style w:type="character" w:customStyle="1" w:styleId="151">
    <w:name w:val="font01"/>
    <w:qFormat/>
    <w:uiPriority w:val="99"/>
    <w:rPr>
      <w:rFonts w:hint="eastAsia" w:ascii="宋体" w:hAnsi="宋体" w:eastAsia="宋体" w:cs="宋体"/>
      <w:color w:val="000000"/>
      <w:sz w:val="22"/>
      <w:szCs w:val="22"/>
      <w:u w:val="none"/>
    </w:rPr>
  </w:style>
  <w:style w:type="character" w:customStyle="1" w:styleId="152">
    <w:name w:val="Char Char1"/>
    <w:qFormat/>
    <w:uiPriority w:val="0"/>
    <w:rPr>
      <w:rFonts w:eastAsia="宋体"/>
      <w:kern w:val="2"/>
      <w:sz w:val="18"/>
      <w:szCs w:val="18"/>
      <w:lang w:val="en-US" w:eastAsia="zh-CN" w:bidi="ar-SA"/>
    </w:rPr>
  </w:style>
  <w:style w:type="character" w:customStyle="1" w:styleId="153">
    <w:name w:val="标题 字符"/>
    <w:link w:val="34"/>
    <w:qFormat/>
    <w:uiPriority w:val="0"/>
    <w:rPr>
      <w:rFonts w:ascii="Cambria" w:hAnsi="Cambria" w:cs="Times New Roman"/>
      <w:b/>
      <w:bCs/>
      <w:sz w:val="32"/>
      <w:szCs w:val="32"/>
    </w:rPr>
  </w:style>
  <w:style w:type="character" w:customStyle="1" w:styleId="154">
    <w:name w:val="hei141"/>
    <w:qFormat/>
    <w:uiPriority w:val="0"/>
    <w:rPr>
      <w:rFonts w:hint="eastAsia" w:ascii="宋体" w:hAnsi="宋体" w:eastAsia="宋体"/>
      <w:color w:val="000000"/>
      <w:sz w:val="19"/>
      <w:szCs w:val="19"/>
      <w:u w:val="none"/>
    </w:rPr>
  </w:style>
  <w:style w:type="character" w:customStyle="1" w:styleId="155">
    <w:name w:val="批注文字 字符"/>
    <w:link w:val="10"/>
    <w:qFormat/>
    <w:uiPriority w:val="0"/>
  </w:style>
  <w:style w:type="character" w:customStyle="1" w:styleId="156">
    <w:name w:val="apple-style-span"/>
    <w:basedOn w:val="40"/>
    <w:qFormat/>
    <w:uiPriority w:val="0"/>
  </w:style>
  <w:style w:type="character" w:customStyle="1" w:styleId="157">
    <w:name w:val="param-value"/>
    <w:qFormat/>
    <w:uiPriority w:val="99"/>
    <w:rPr>
      <w:rFonts w:cs="Times New Roman"/>
    </w:rPr>
  </w:style>
  <w:style w:type="character" w:customStyle="1" w:styleId="158">
    <w:name w:val="font61"/>
    <w:qFormat/>
    <w:uiPriority w:val="0"/>
    <w:rPr>
      <w:rFonts w:hint="eastAsia" w:ascii="宋体" w:hAnsi="宋体" w:eastAsia="宋体" w:cs="宋体"/>
      <w:color w:val="000000"/>
      <w:sz w:val="22"/>
      <w:szCs w:val="22"/>
      <w:u w:val="none"/>
    </w:rPr>
  </w:style>
  <w:style w:type="character" w:customStyle="1" w:styleId="159">
    <w:name w:val="font11"/>
    <w:qFormat/>
    <w:uiPriority w:val="0"/>
    <w:rPr>
      <w:rFonts w:hint="eastAsia" w:ascii="宋体" w:hAnsi="宋体" w:eastAsia="宋体" w:cs="宋体"/>
      <w:color w:val="FF0000"/>
      <w:sz w:val="22"/>
      <w:szCs w:val="22"/>
      <w:u w:val="none"/>
    </w:rPr>
  </w:style>
  <w:style w:type="character" w:customStyle="1" w:styleId="160">
    <w:name w:val="批注主题 字符"/>
    <w:link w:val="35"/>
    <w:qFormat/>
    <w:uiPriority w:val="0"/>
    <w:rPr>
      <w:b/>
      <w:bCs/>
    </w:rPr>
  </w:style>
  <w:style w:type="character" w:customStyle="1" w:styleId="161">
    <w:name w:val="批注文字 Char1"/>
    <w:basedOn w:val="40"/>
    <w:semiHidden/>
    <w:qFormat/>
    <w:uiPriority w:val="99"/>
  </w:style>
  <w:style w:type="paragraph" w:customStyle="1" w:styleId="162">
    <w:name w:val="内文"/>
    <w:basedOn w:val="1"/>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3">
    <w:name w:val="批注主题 Char1"/>
    <w:basedOn w:val="161"/>
    <w:semiHidden/>
    <w:qFormat/>
    <w:uiPriority w:val="99"/>
    <w:rPr>
      <w:b/>
      <w:bCs/>
    </w:rPr>
  </w:style>
  <w:style w:type="paragraph" w:customStyle="1" w:styleId="164">
    <w:name w:val="reader-word-layer reader-word-s1-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5">
    <w:name w:val="日期 Char1"/>
    <w:basedOn w:val="40"/>
    <w:semiHidden/>
    <w:qFormat/>
    <w:uiPriority w:val="99"/>
  </w:style>
  <w:style w:type="paragraph" w:customStyle="1" w:styleId="166">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7">
    <w:name w:val="脚注文本 字符"/>
    <w:basedOn w:val="40"/>
    <w:link w:val="25"/>
    <w:semiHidden/>
    <w:qFormat/>
    <w:uiPriority w:val="0"/>
    <w:rPr>
      <w:rFonts w:ascii="Times New Roman" w:hAnsi="Times New Roman" w:eastAsia="宋体" w:cs="Times New Roman"/>
      <w:sz w:val="18"/>
      <w:szCs w:val="18"/>
    </w:rPr>
  </w:style>
  <w:style w:type="paragraph" w:customStyle="1" w:styleId="168">
    <w:name w:val="reader-word-layer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9">
    <w:name w:val="reader-word-layer reader-word-s1-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0">
    <w:name w:val="标题 Char1"/>
    <w:basedOn w:val="40"/>
    <w:qFormat/>
    <w:uiPriority w:val="10"/>
    <w:rPr>
      <w:rFonts w:eastAsia="宋体" w:asciiTheme="majorHAnsi" w:hAnsiTheme="majorHAnsi" w:cstheme="majorBidi"/>
      <w:b/>
      <w:bCs/>
      <w:sz w:val="32"/>
      <w:szCs w:val="32"/>
    </w:rPr>
  </w:style>
  <w:style w:type="paragraph" w:customStyle="1" w:styleId="171">
    <w:name w:val="本文正文"/>
    <w:basedOn w:val="1"/>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2">
    <w:name w:val="reader-word-layer reader-word-s1-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3">
    <w:name w:val="Char Char Char1 Char Char Char Char"/>
    <w:basedOn w:val="1"/>
    <w:qFormat/>
    <w:uiPriority w:val="99"/>
    <w:pPr>
      <w:spacing w:line="300" w:lineRule="auto"/>
    </w:pPr>
    <w:rPr>
      <w:rFonts w:ascii="Tahoma" w:hAnsi="Tahoma" w:eastAsia="宋体" w:cs="Times New Roman"/>
      <w:sz w:val="24"/>
      <w:szCs w:val="24"/>
    </w:rPr>
  </w:style>
  <w:style w:type="paragraph" w:customStyle="1" w:styleId="17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75">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6">
    <w:name w:val="reader-word-layer reader-word-s1-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7">
    <w:name w:val="reader-word-layer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
    <w:name w:val="Char Char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79">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0">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1">
    <w:name w:val="列出段落3"/>
    <w:basedOn w:val="1"/>
    <w:qFormat/>
    <w:uiPriority w:val="0"/>
    <w:pPr>
      <w:ind w:firstLine="420" w:firstLineChars="200"/>
    </w:pPr>
    <w:rPr>
      <w:rFonts w:ascii="Times New Roman" w:hAnsi="Times New Roman" w:eastAsia="宋体" w:cs="Times New Roman"/>
      <w:szCs w:val="24"/>
    </w:rPr>
  </w:style>
  <w:style w:type="character" w:customStyle="1" w:styleId="182">
    <w:name w:val="Char Char12"/>
    <w:qFormat/>
    <w:uiPriority w:val="0"/>
    <w:rPr>
      <w:rFonts w:eastAsia="宋体"/>
      <w:kern w:val="2"/>
      <w:sz w:val="18"/>
      <w:szCs w:val="18"/>
      <w:lang w:val="en-US" w:eastAsia="zh-CN" w:bidi="ar-SA"/>
    </w:rPr>
  </w:style>
  <w:style w:type="paragraph" w:customStyle="1" w:styleId="183">
    <w:name w:val="Char Char4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4">
    <w:name w:val="Char Char4 Char Char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5">
    <w:name w:val="列出段落4"/>
    <w:basedOn w:val="1"/>
    <w:qFormat/>
    <w:uiPriority w:val="0"/>
    <w:pPr>
      <w:ind w:firstLine="420" w:firstLineChars="200"/>
    </w:pPr>
    <w:rPr>
      <w:rFonts w:ascii="Times New Roman" w:hAnsi="Times New Roman" w:eastAsia="宋体" w:cs="Times New Roman"/>
      <w:szCs w:val="24"/>
    </w:rPr>
  </w:style>
  <w:style w:type="character" w:customStyle="1" w:styleId="186">
    <w:name w:val="Char Char11"/>
    <w:qFormat/>
    <w:uiPriority w:val="0"/>
    <w:rPr>
      <w:rFonts w:eastAsia="宋体"/>
      <w:kern w:val="2"/>
      <w:sz w:val="18"/>
      <w:szCs w:val="18"/>
      <w:lang w:val="en-US" w:eastAsia="zh-CN" w:bidi="ar-SA"/>
    </w:rPr>
  </w:style>
  <w:style w:type="paragraph" w:customStyle="1" w:styleId="187">
    <w:name w:val="Char Char4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Char Char4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列出段落5"/>
    <w:basedOn w:val="1"/>
    <w:qFormat/>
    <w:uiPriority w:val="0"/>
    <w:pPr>
      <w:ind w:firstLine="420" w:firstLineChars="200"/>
    </w:pPr>
    <w:rPr>
      <w:rFonts w:ascii="Times New Roman" w:hAnsi="Times New Roman" w:eastAsia="宋体" w:cs="Times New Roman"/>
      <w:szCs w:val="24"/>
    </w:rPr>
  </w:style>
  <w:style w:type="character" w:customStyle="1" w:styleId="190">
    <w:name w:val="纯文本 字符"/>
    <w:link w:val="16"/>
    <w:qFormat/>
    <w:uiPriority w:val="0"/>
    <w:rPr>
      <w:rFonts w:ascii="宋体" w:hAnsi="Courier New" w:eastAsia="宋体"/>
      <w:szCs w:val="21"/>
    </w:rPr>
  </w:style>
  <w:style w:type="character" w:customStyle="1" w:styleId="191">
    <w:name w:val="纯文本 Char1"/>
    <w:basedOn w:val="40"/>
    <w:semiHidden/>
    <w:qFormat/>
    <w:uiPriority w:val="99"/>
    <w:rPr>
      <w:rFonts w:ascii="宋体" w:hAnsi="Courier New" w:eastAsia="宋体" w:cs="Courier New"/>
      <w:szCs w:val="21"/>
    </w:rPr>
  </w:style>
  <w:style w:type="paragraph" w:customStyle="1" w:styleId="192">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93">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4">
    <w:name w:val="样式4"/>
    <w:basedOn w:val="1"/>
    <w:qFormat/>
    <w:uiPriority w:val="0"/>
    <w:pPr>
      <w:adjustRightInd w:val="0"/>
      <w:spacing w:line="480" w:lineRule="auto"/>
      <w:textAlignment w:val="baseline"/>
    </w:pPr>
    <w:rPr>
      <w:rFonts w:ascii="Times New Roman" w:hAnsi="Times New Roman" w:eastAsia="黑体" w:cs="Times New Roman"/>
      <w:spacing w:val="10"/>
      <w:kern w:val="28"/>
      <w:sz w:val="48"/>
      <w:szCs w:val="20"/>
    </w:rPr>
  </w:style>
  <w:style w:type="paragraph" w:customStyle="1" w:styleId="195">
    <w:name w:val="正文缩进2格"/>
    <w:basedOn w:val="1"/>
    <w:link w:val="196"/>
    <w:qFormat/>
    <w:uiPriority w:val="0"/>
    <w:pPr>
      <w:spacing w:line="600" w:lineRule="exact"/>
      <w:ind w:firstLine="639" w:firstLineChars="206"/>
    </w:pPr>
    <w:rPr>
      <w:rFonts w:ascii="仿宋_GB2312" w:hAnsi="宋体" w:eastAsia="仿宋_GB2312" w:cs="Times New Roman"/>
      <w:sz w:val="31"/>
      <w:szCs w:val="28"/>
    </w:rPr>
  </w:style>
  <w:style w:type="character" w:customStyle="1" w:styleId="196">
    <w:name w:val="正文缩进2格 Char"/>
    <w:link w:val="195"/>
    <w:qFormat/>
    <w:uiPriority w:val="0"/>
    <w:rPr>
      <w:rFonts w:ascii="仿宋_GB2312" w:hAnsi="宋体" w:eastAsia="仿宋_GB2312" w:cs="Times New Roman"/>
      <w:sz w:val="31"/>
      <w:szCs w:val="28"/>
    </w:rPr>
  </w:style>
  <w:style w:type="paragraph" w:customStyle="1" w:styleId="197">
    <w:name w:val="文件抬头"/>
    <w:qFormat/>
    <w:uiPriority w:val="0"/>
    <w:pPr>
      <w:widowControl w:val="0"/>
      <w:jc w:val="both"/>
    </w:pPr>
    <w:rPr>
      <w:rFonts w:ascii="Calibri" w:hAnsi="Calibri" w:eastAsia="仿宋_GB2312" w:cs="Times New Roman"/>
      <w:kern w:val="2"/>
      <w:sz w:val="32"/>
      <w:szCs w:val="21"/>
      <w:lang w:val="en-US" w:eastAsia="zh-CN" w:bidi="ar-SA"/>
    </w:rPr>
  </w:style>
  <w:style w:type="paragraph" w:styleId="198">
    <w:name w:val="List Paragraph"/>
    <w:basedOn w:val="1"/>
    <w:qFormat/>
    <w:uiPriority w:val="34"/>
    <w:pPr>
      <w:ind w:firstLine="420" w:firstLineChars="200"/>
    </w:pPr>
  </w:style>
  <w:style w:type="paragraph" w:customStyle="1" w:styleId="199">
    <w:name w:val="普通正文"/>
    <w:basedOn w:val="1"/>
    <w:qFormat/>
    <w:uiPriority w:val="0"/>
    <w:pPr>
      <w:adjustRightInd w:val="0"/>
      <w:spacing w:before="120" w:after="120" w:line="360" w:lineRule="auto"/>
      <w:ind w:left="50" w:leftChars="50" w:right="50" w:rightChars="50" w:firstLine="480" w:firstLineChars="200"/>
      <w:jc w:val="left"/>
      <w:textAlignment w:val="baseline"/>
    </w:pPr>
    <w:rPr>
      <w:rFonts w:ascii="Arial" w:hAnsi="Arial" w:eastAsia="宋体" w:cs="Times New Roman"/>
      <w:kern w:val="0"/>
      <w:sz w:val="24"/>
      <w:szCs w:val="24"/>
    </w:rPr>
  </w:style>
  <w:style w:type="character" w:customStyle="1" w:styleId="200">
    <w:name w:val="正文文本首行缩进 字符"/>
    <w:basedOn w:val="130"/>
    <w:link w:val="36"/>
    <w:semiHidden/>
    <w:qFormat/>
    <w:uiPriority w:val="99"/>
    <w:rPr>
      <w:rFonts w:asciiTheme="minorHAnsi" w:hAnsiTheme="minorHAnsi" w:eastAsiaTheme="minorEastAsia" w:cstheme="minorBidi"/>
      <w:kern w:val="2"/>
      <w:sz w:val="21"/>
      <w:szCs w:val="22"/>
    </w:rPr>
  </w:style>
  <w:style w:type="paragraph" w:customStyle="1" w:styleId="201">
    <w:name w:val="Table Paragraph"/>
    <w:basedOn w:val="1"/>
    <w:qFormat/>
    <w:uiPriority w:val="1"/>
    <w:pPr>
      <w:autoSpaceDE w:val="0"/>
      <w:autoSpaceDN w:val="0"/>
      <w:jc w:val="left"/>
    </w:pPr>
    <w:rPr>
      <w:rFonts w:ascii="宋体" w:hAnsi="宋体" w:eastAsia="宋体" w:cs="宋体"/>
      <w:kern w:val="0"/>
      <w:sz w:val="22"/>
    </w:rPr>
  </w:style>
  <w:style w:type="paragraph" w:customStyle="1" w:styleId="202">
    <w:name w:val="标书正文"/>
    <w:basedOn w:val="1"/>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03">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character" w:customStyle="1" w:styleId="204">
    <w:name w:val="font31"/>
    <w:basedOn w:val="40"/>
    <w:qFormat/>
    <w:uiPriority w:val="0"/>
    <w:rPr>
      <w:rFonts w:ascii="Calibri" w:hAnsi="Calibri" w:cs="Calibri"/>
      <w:color w:val="000000"/>
      <w:sz w:val="18"/>
      <w:szCs w:val="18"/>
      <w:u w:val="none"/>
    </w:rPr>
  </w:style>
  <w:style w:type="paragraph" w:customStyle="1" w:styleId="20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table" w:customStyle="1" w:styleId="206">
    <w:name w:val="Table Normal"/>
    <w:unhideWhenUsed/>
    <w:qFormat/>
    <w:uiPriority w:val="0"/>
    <w:tblPr>
      <w:tblCellMar>
        <w:top w:w="0" w:type="dxa"/>
        <w:left w:w="0" w:type="dxa"/>
        <w:bottom w:w="0" w:type="dxa"/>
        <w:right w:w="0" w:type="dxa"/>
      </w:tblCellMar>
    </w:tblPr>
  </w:style>
  <w:style w:type="paragraph" w:customStyle="1" w:styleId="207">
    <w:name w:val="Normal Indent1"/>
    <w:next w:val="1"/>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customStyle="1" w:styleId="208">
    <w:name w:val="字母编号列项"/>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20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0">
    <w:name w:val="字元 字元"/>
    <w:basedOn w:val="1"/>
    <w:qFormat/>
    <w:uiPriority w:val="0"/>
    <w:rPr>
      <w:rFonts w:ascii="Tahoma" w:hAnsi="Tahoma"/>
      <w:sz w:val="24"/>
      <w:szCs w:val="20"/>
    </w:rPr>
  </w:style>
  <w:style w:type="character" w:customStyle="1" w:styleId="211">
    <w:name w:val="font101"/>
    <w:basedOn w:val="40"/>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0C109-E789-406A-BDBA-9506EB43D9C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86</Pages>
  <Words>11320</Words>
  <Characters>12520</Characters>
  <Lines>257</Lines>
  <Paragraphs>72</Paragraphs>
  <TotalTime>0</TotalTime>
  <ScaleCrop>false</ScaleCrop>
  <LinksUpToDate>false</LinksUpToDate>
  <CharactersWithSpaces>12659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2024-07-05T12:50:00Z</dcterms:created>
  <dc:creator>Administrator</dc:creator>
  <cp:lastModifiedBy>.</cp:lastModifiedBy>
  <cp:lastPrinted>2024-07-28T17:04:00Z</cp:lastPrinted>
  <dcterms:modified xsi:type="dcterms:W3CDTF">2025-06-11T07:00:19Z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0BFB4F07CDAD4DD79DE52D749B7D79C2_13</vt:lpwstr>
  </property>
  <property fmtid="{D5CDD505-2E9C-101B-9397-08002B2CF9AE}" pid="4" name="KSOTemplateDocerSaveRecord">
    <vt:lpwstr>eyJoZGlkIjoiOGE5YzQ0MWM2NDg3NzAxNTI3MDYxNmNiYmNjZWVhNTgiLCJ1c2VySWQiOiIyMDc2NjcyMDcifQ==</vt:lpwstr>
  </property>
</Properties>
</file>