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B1485">
      <w:pPr>
        <w:adjustRightInd w:val="0"/>
        <w:snapToGrid w:val="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drawing>
          <wp:inline distT="0" distB="0" distL="0" distR="0">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p>
    <w:p w14:paraId="281E85E1">
      <w:pPr>
        <w:adjustRightInd w:val="0"/>
        <w:snapToGrid w:val="0"/>
        <w:spacing w:line="480" w:lineRule="exact"/>
        <w:jc w:val="center"/>
        <w:rPr>
          <w:rFonts w:hint="eastAsia" w:ascii="仿宋" w:hAnsi="仿宋" w:eastAsia="仿宋" w:cs="仿宋"/>
          <w:bCs/>
          <w:color w:val="000000" w:themeColor="text1"/>
          <w:sz w:val="48"/>
          <w:szCs w:val="48"/>
          <w:highlight w:val="none"/>
          <w14:textFill>
            <w14:solidFill>
              <w14:schemeClr w14:val="tx1"/>
            </w14:solidFill>
          </w14:textFill>
        </w:rPr>
      </w:pPr>
    </w:p>
    <w:p w14:paraId="43486172">
      <w:pPr>
        <w:adjustRightInd w:val="0"/>
        <w:snapToGrid w:val="0"/>
        <w:spacing w:line="480" w:lineRule="exact"/>
        <w:jc w:val="center"/>
        <w:rPr>
          <w:rFonts w:hint="eastAsia" w:ascii="仿宋" w:hAnsi="仿宋" w:eastAsia="仿宋" w:cs="仿宋"/>
          <w:bCs/>
          <w:color w:val="000000" w:themeColor="text1"/>
          <w:sz w:val="48"/>
          <w:szCs w:val="48"/>
          <w:highlight w:val="none"/>
          <w14:textFill>
            <w14:solidFill>
              <w14:schemeClr w14:val="tx1"/>
            </w14:solidFill>
          </w14:textFill>
        </w:rPr>
      </w:pPr>
      <w:r>
        <w:rPr>
          <w:rFonts w:hint="eastAsia" w:ascii="仿宋" w:hAnsi="仿宋" w:eastAsia="仿宋" w:cs="仿宋"/>
          <w:bCs/>
          <w:color w:val="000000" w:themeColor="text1"/>
          <w:sz w:val="48"/>
          <w:szCs w:val="48"/>
          <w:highlight w:val="none"/>
          <w14:textFill>
            <w14:solidFill>
              <w14:schemeClr w14:val="tx1"/>
            </w14:solidFill>
          </w14:textFill>
        </w:rPr>
        <w:t>招 标 文 件</w:t>
      </w:r>
    </w:p>
    <w:p w14:paraId="4B5D7485">
      <w:pPr>
        <w:jc w:val="center"/>
        <w:rPr>
          <w:rFonts w:hint="eastAsia" w:ascii="仿宋" w:hAnsi="仿宋" w:eastAsia="仿宋" w:cs="仿宋"/>
          <w:b/>
          <w:bCs/>
          <w:color w:val="000000" w:themeColor="text1"/>
          <w:sz w:val="28"/>
          <w:szCs w:val="28"/>
          <w:highlight w:val="none"/>
          <w:lang w:eastAsia="zh-CN"/>
          <w14:textFill>
            <w14:solidFill>
              <w14:schemeClr w14:val="tx1"/>
            </w14:solidFill>
          </w14:textFill>
        </w:rPr>
      </w:pPr>
      <w:r>
        <w:rPr>
          <w:rFonts w:hint="eastAsia" w:ascii="仿宋" w:hAnsi="仿宋" w:eastAsia="仿宋" w:cs="仿宋"/>
          <w:b/>
          <w:bCs/>
          <w:color w:val="000000" w:themeColor="text1"/>
          <w:sz w:val="28"/>
          <w:szCs w:val="28"/>
          <w:highlight w:val="none"/>
          <w:lang w:eastAsia="zh-CN"/>
          <w14:textFill>
            <w14:solidFill>
              <w14:schemeClr w14:val="tx1"/>
            </w14:solidFill>
          </w14:textFill>
        </w:rPr>
        <w:t>（</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公开招标-服务</w:t>
      </w:r>
      <w:r>
        <w:rPr>
          <w:rFonts w:hint="eastAsia" w:ascii="仿宋" w:hAnsi="仿宋" w:eastAsia="仿宋" w:cs="仿宋"/>
          <w:b/>
          <w:bCs/>
          <w:color w:val="000000" w:themeColor="text1"/>
          <w:sz w:val="28"/>
          <w:szCs w:val="28"/>
          <w:highlight w:val="none"/>
          <w:lang w:eastAsia="zh-CN"/>
          <w14:textFill>
            <w14:solidFill>
              <w14:schemeClr w14:val="tx1"/>
            </w14:solidFill>
          </w14:textFill>
        </w:rPr>
        <w:t>）</w:t>
      </w:r>
    </w:p>
    <w:p w14:paraId="01253B25">
      <w:pPr>
        <w:ind w:left="1574" w:right="-191" w:rightChars="-91" w:hanging="1574" w:hangingChars="492"/>
        <w:rPr>
          <w:rFonts w:hint="eastAsia" w:ascii="仿宋" w:hAnsi="仿宋" w:eastAsia="仿宋" w:cs="仿宋"/>
          <w:bCs/>
          <w:color w:val="000000" w:themeColor="text1"/>
          <w:kern w:val="0"/>
          <w:sz w:val="32"/>
          <w:szCs w:val="32"/>
          <w:highlight w:val="none"/>
          <w14:textFill>
            <w14:solidFill>
              <w14:schemeClr w14:val="tx1"/>
            </w14:solidFill>
          </w14:textFill>
        </w:rPr>
      </w:pPr>
    </w:p>
    <w:p w14:paraId="02BC04DF">
      <w:pPr>
        <w:ind w:left="1574" w:right="-191" w:rightChars="-91" w:hanging="1574" w:hangingChars="492"/>
        <w:rPr>
          <w:rFonts w:hint="eastAsia" w:ascii="仿宋" w:hAnsi="仿宋" w:eastAsia="仿宋" w:cs="仿宋"/>
          <w:bCs/>
          <w:color w:val="000000" w:themeColor="text1"/>
          <w:sz w:val="32"/>
          <w:highlight w:val="none"/>
          <w:lang w:eastAsia="zh-CN"/>
          <w14:textFill>
            <w14:solidFill>
              <w14:schemeClr w14:val="tx1"/>
            </w14:solidFill>
          </w14:textFill>
        </w:rPr>
      </w:pPr>
      <w:r>
        <w:rPr>
          <w:rFonts w:hint="eastAsia" w:ascii="仿宋" w:hAnsi="仿宋" w:eastAsia="仿宋" w:cs="仿宋"/>
          <w:bCs/>
          <w:color w:val="000000" w:themeColor="text1"/>
          <w:kern w:val="0"/>
          <w:sz w:val="32"/>
          <w:szCs w:val="32"/>
          <w:highlight w:val="none"/>
          <w14:textFill>
            <w14:solidFill>
              <w14:schemeClr w14:val="tx1"/>
            </w14:solidFill>
          </w14:textFill>
        </w:rPr>
        <w:t>项目名称：</w:t>
      </w:r>
      <w:r>
        <w:rPr>
          <w:rFonts w:hint="eastAsia" w:ascii="仿宋" w:hAnsi="仿宋" w:eastAsia="仿宋" w:cs="仿宋"/>
          <w:bCs/>
          <w:color w:val="000000" w:themeColor="text1"/>
          <w:sz w:val="32"/>
          <w:highlight w:val="none"/>
          <w:lang w:eastAsia="zh-CN"/>
          <w14:textFill>
            <w14:solidFill>
              <w14:schemeClr w14:val="tx1"/>
            </w14:solidFill>
          </w14:textFill>
        </w:rPr>
        <w:t>乌鲁木齐市沙依巴克区分局食堂餐饮服务采购项目</w:t>
      </w:r>
    </w:p>
    <w:p w14:paraId="2A026E38">
      <w:pPr>
        <w:adjustRightInd w:val="0"/>
        <w:snapToGrid w:val="0"/>
        <w:spacing w:line="480" w:lineRule="exact"/>
        <w:rPr>
          <w:rFonts w:hint="eastAsia" w:ascii="仿宋" w:hAnsi="仿宋" w:eastAsia="仿宋" w:cs="仿宋"/>
          <w:bCs/>
          <w:color w:val="000000" w:themeColor="text1"/>
          <w:kern w:val="0"/>
          <w:sz w:val="32"/>
          <w:szCs w:val="32"/>
          <w:highlight w:val="none"/>
          <w14:textFill>
            <w14:solidFill>
              <w14:schemeClr w14:val="tx1"/>
            </w14:solidFill>
          </w14:textFill>
        </w:rPr>
      </w:pPr>
    </w:p>
    <w:p w14:paraId="1BABD549">
      <w:pPr>
        <w:adjustRightInd w:val="0"/>
        <w:snapToGrid w:val="0"/>
        <w:spacing w:line="480" w:lineRule="exact"/>
        <w:rPr>
          <w:rFonts w:hint="eastAsia" w:ascii="仿宋" w:hAnsi="仿宋" w:eastAsia="仿宋" w:cs="仿宋"/>
          <w:bCs/>
          <w:color w:val="000000" w:themeColor="text1"/>
          <w:kern w:val="0"/>
          <w:sz w:val="32"/>
          <w:szCs w:val="32"/>
          <w:highlight w:val="none"/>
          <w:lang w:eastAsia="zh-CN"/>
          <w14:textFill>
            <w14:solidFill>
              <w14:schemeClr w14:val="tx1"/>
            </w14:solidFill>
          </w14:textFill>
        </w:rPr>
      </w:pPr>
      <w:r>
        <w:rPr>
          <w:rFonts w:hint="eastAsia" w:ascii="仿宋" w:hAnsi="仿宋" w:eastAsia="仿宋" w:cs="仿宋"/>
          <w:bCs/>
          <w:color w:val="000000" w:themeColor="text1"/>
          <w:kern w:val="0"/>
          <w:sz w:val="32"/>
          <w:szCs w:val="32"/>
          <w:highlight w:val="none"/>
          <w14:textFill>
            <w14:solidFill>
              <w14:schemeClr w14:val="tx1"/>
            </w14:solidFill>
          </w14:textFill>
        </w:rPr>
        <w:t>采购人(盖章)：</w:t>
      </w:r>
      <w:r>
        <w:rPr>
          <w:rFonts w:hint="eastAsia" w:ascii="仿宋" w:hAnsi="仿宋" w:eastAsia="仿宋" w:cs="仿宋"/>
          <w:bCs/>
          <w:color w:val="000000" w:themeColor="text1"/>
          <w:sz w:val="32"/>
          <w:highlight w:val="none"/>
          <w:lang w:eastAsia="zh-CN"/>
          <w14:textFill>
            <w14:solidFill>
              <w14:schemeClr w14:val="tx1"/>
            </w14:solidFill>
          </w14:textFill>
        </w:rPr>
        <w:t>乌鲁木齐市公安局沙依巴克区分局</w:t>
      </w:r>
    </w:p>
    <w:p w14:paraId="003989C3">
      <w:pPr>
        <w:adjustRightInd w:val="0"/>
        <w:snapToGrid w:val="0"/>
        <w:spacing w:line="480" w:lineRule="exact"/>
        <w:rPr>
          <w:rFonts w:hint="eastAsia" w:ascii="仿宋" w:hAnsi="仿宋" w:eastAsia="仿宋" w:cs="仿宋"/>
          <w:bCs/>
          <w:color w:val="000000" w:themeColor="text1"/>
          <w:sz w:val="32"/>
          <w:szCs w:val="32"/>
          <w:highlight w:val="none"/>
          <w14:textFill>
            <w14:solidFill>
              <w14:schemeClr w14:val="tx1"/>
            </w14:solidFill>
          </w14:textFill>
        </w:rPr>
      </w:pPr>
    </w:p>
    <w:p w14:paraId="0ED11C22">
      <w:pPr>
        <w:adjustRightInd w:val="0"/>
        <w:snapToGrid w:val="0"/>
        <w:spacing w:line="276" w:lineRule="auto"/>
        <w:rPr>
          <w:rFonts w:hint="eastAsia" w:ascii="仿宋" w:hAnsi="仿宋" w:eastAsia="仿宋" w:cs="仿宋"/>
          <w:bCs/>
          <w:color w:val="000000" w:themeColor="text1"/>
          <w:sz w:val="32"/>
          <w:szCs w:val="24"/>
          <w:highlight w:val="none"/>
          <w:lang w:val="en-US" w:eastAsia="zh-CN"/>
          <w14:textFill>
            <w14:solidFill>
              <w14:schemeClr w14:val="tx1"/>
            </w14:solidFill>
          </w14:textFill>
        </w:rPr>
      </w:pPr>
      <w:r>
        <w:rPr>
          <w:rFonts w:hint="eastAsia" w:ascii="仿宋" w:hAnsi="仿宋" w:eastAsia="仿宋" w:cs="仿宋"/>
          <w:bCs/>
          <w:color w:val="000000" w:themeColor="text1"/>
          <w:sz w:val="32"/>
          <w:szCs w:val="24"/>
          <w:highlight w:val="none"/>
          <w14:textFill>
            <w14:solidFill>
              <w14:schemeClr w14:val="tx1"/>
            </w14:solidFill>
          </w14:textFill>
        </w:rPr>
        <w:t>联系人：</w:t>
      </w:r>
      <w:r>
        <w:rPr>
          <w:rFonts w:hint="eastAsia" w:ascii="仿宋" w:hAnsi="仿宋" w:eastAsia="仿宋" w:cs="仿宋"/>
          <w:bCs/>
          <w:color w:val="000000" w:themeColor="text1"/>
          <w:sz w:val="32"/>
          <w:szCs w:val="24"/>
          <w:highlight w:val="none"/>
          <w:lang w:val="en-US" w:eastAsia="zh-CN"/>
          <w14:textFill>
            <w14:solidFill>
              <w14:schemeClr w14:val="tx1"/>
            </w14:solidFill>
          </w14:textFill>
        </w:rPr>
        <w:t>汤宝莲</w:t>
      </w:r>
    </w:p>
    <w:p w14:paraId="54C23D22">
      <w:pPr>
        <w:adjustRightInd w:val="0"/>
        <w:snapToGrid w:val="0"/>
        <w:spacing w:line="276" w:lineRule="auto"/>
        <w:jc w:val="center"/>
        <w:rPr>
          <w:rFonts w:hint="eastAsia" w:ascii="仿宋" w:hAnsi="仿宋" w:eastAsia="仿宋" w:cs="仿宋"/>
          <w:bCs/>
          <w:color w:val="000000" w:themeColor="text1"/>
          <w:sz w:val="32"/>
          <w:szCs w:val="24"/>
          <w:highlight w:val="none"/>
          <w14:textFill>
            <w14:solidFill>
              <w14:schemeClr w14:val="tx1"/>
            </w14:solidFill>
          </w14:textFill>
        </w:rPr>
      </w:pPr>
    </w:p>
    <w:p w14:paraId="4A1C3D66">
      <w:pPr>
        <w:adjustRightInd w:val="0"/>
        <w:snapToGrid w:val="0"/>
        <w:spacing w:line="276" w:lineRule="auto"/>
        <w:jc w:val="left"/>
        <w:rPr>
          <w:rFonts w:hint="eastAsia" w:ascii="仿宋" w:hAnsi="仿宋" w:eastAsia="仿宋" w:cs="仿宋"/>
          <w:bCs/>
          <w:color w:val="000000" w:themeColor="text1"/>
          <w:sz w:val="32"/>
          <w:szCs w:val="24"/>
          <w:highlight w:val="none"/>
          <w:lang w:val="en-US" w:eastAsia="zh-CN"/>
          <w14:textFill>
            <w14:solidFill>
              <w14:schemeClr w14:val="tx1"/>
            </w14:solidFill>
          </w14:textFill>
        </w:rPr>
      </w:pPr>
      <w:r>
        <w:rPr>
          <w:rFonts w:hint="eastAsia" w:ascii="仿宋" w:hAnsi="仿宋" w:eastAsia="仿宋" w:cs="仿宋"/>
          <w:bCs/>
          <w:color w:val="000000" w:themeColor="text1"/>
          <w:sz w:val="32"/>
          <w:szCs w:val="24"/>
          <w:highlight w:val="none"/>
          <w14:textFill>
            <w14:solidFill>
              <w14:schemeClr w14:val="tx1"/>
            </w14:solidFill>
          </w14:textFill>
        </w:rPr>
        <w:t>电话：</w:t>
      </w:r>
      <w:r>
        <w:rPr>
          <w:rFonts w:hint="eastAsia" w:ascii="仿宋" w:hAnsi="仿宋" w:eastAsia="仿宋" w:cs="仿宋"/>
          <w:bCs/>
          <w:color w:val="000000" w:themeColor="text1"/>
          <w:sz w:val="32"/>
          <w:szCs w:val="24"/>
          <w:highlight w:val="none"/>
          <w:lang w:val="en-US" w:eastAsia="zh-CN"/>
          <w14:textFill>
            <w14:solidFill>
              <w14:schemeClr w14:val="tx1"/>
            </w14:solidFill>
          </w14:textFill>
        </w:rPr>
        <w:t>0991-2163103</w:t>
      </w:r>
    </w:p>
    <w:p w14:paraId="52359579">
      <w:pPr>
        <w:rPr>
          <w:rFonts w:hint="eastAsia" w:ascii="仿宋" w:hAnsi="仿宋" w:eastAsia="仿宋" w:cs="仿宋"/>
          <w:color w:val="000000" w:themeColor="text1"/>
          <w:highlight w:val="none"/>
          <w14:textFill>
            <w14:solidFill>
              <w14:schemeClr w14:val="tx1"/>
            </w14:solidFill>
          </w14:textFill>
        </w:rPr>
      </w:pPr>
    </w:p>
    <w:p w14:paraId="5A2A4FFC">
      <w:pPr>
        <w:adjustRightInd w:val="0"/>
        <w:snapToGrid w:val="0"/>
        <w:spacing w:line="480" w:lineRule="exact"/>
        <w:jc w:val="left"/>
        <w:rPr>
          <w:rFonts w:hint="eastAsia" w:ascii="仿宋" w:hAnsi="仿宋" w:eastAsia="仿宋" w:cs="仿宋"/>
          <w:bCs/>
          <w:color w:val="000000" w:themeColor="text1"/>
          <w:kern w:val="0"/>
          <w:sz w:val="32"/>
          <w:szCs w:val="32"/>
          <w:highlight w:val="none"/>
          <w14:textFill>
            <w14:solidFill>
              <w14:schemeClr w14:val="tx1"/>
            </w14:solidFill>
          </w14:textFill>
        </w:rPr>
      </w:pPr>
      <w:r>
        <w:rPr>
          <w:rFonts w:hint="eastAsia" w:ascii="仿宋" w:hAnsi="仿宋" w:eastAsia="仿宋" w:cs="仿宋"/>
          <w:bCs/>
          <w:color w:val="000000" w:themeColor="text1"/>
          <w:kern w:val="0"/>
          <w:sz w:val="32"/>
          <w:szCs w:val="32"/>
          <w:highlight w:val="none"/>
          <w14:textFill>
            <w14:solidFill>
              <w14:schemeClr w14:val="tx1"/>
            </w14:solidFill>
          </w14:textFill>
        </w:rPr>
        <w:t>—————————————————————————————</w:t>
      </w:r>
    </w:p>
    <w:p w14:paraId="35A8C444">
      <w:pPr>
        <w:adjustRightInd w:val="0"/>
        <w:snapToGrid w:val="0"/>
        <w:spacing w:line="480" w:lineRule="exact"/>
        <w:jc w:val="center"/>
        <w:rPr>
          <w:rFonts w:hint="eastAsia" w:ascii="仿宋" w:hAnsi="仿宋" w:eastAsia="仿宋" w:cs="仿宋"/>
          <w:bCs/>
          <w:color w:val="000000" w:themeColor="text1"/>
          <w:sz w:val="32"/>
          <w:szCs w:val="32"/>
          <w:highlight w:val="none"/>
          <w14:textFill>
            <w14:solidFill>
              <w14:schemeClr w14:val="tx1"/>
            </w14:solidFill>
          </w14:textFill>
        </w:rPr>
      </w:pPr>
    </w:p>
    <w:p w14:paraId="1CDEE17F">
      <w:pPr>
        <w:adjustRightInd w:val="0"/>
        <w:snapToGrid w:val="0"/>
        <w:spacing w:line="480" w:lineRule="exact"/>
        <w:rPr>
          <w:rFonts w:hint="eastAsia" w:ascii="仿宋" w:hAnsi="仿宋" w:eastAsia="仿宋" w:cs="仿宋"/>
          <w:bCs/>
          <w:color w:val="000000" w:themeColor="text1"/>
          <w:sz w:val="32"/>
          <w:szCs w:val="32"/>
          <w:highlight w:val="none"/>
          <w14:textFill>
            <w14:solidFill>
              <w14:schemeClr w14:val="tx1"/>
            </w14:solidFill>
          </w14:textFill>
        </w:rPr>
      </w:pPr>
    </w:p>
    <w:p w14:paraId="48E9508C">
      <w:pPr>
        <w:adjustRightInd w:val="0"/>
        <w:snapToGrid w:val="0"/>
        <w:spacing w:line="480" w:lineRule="exact"/>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采购代理机构</w:t>
      </w:r>
      <w:r>
        <w:rPr>
          <w:rFonts w:hint="eastAsia" w:ascii="仿宋" w:hAnsi="仿宋" w:eastAsia="仿宋" w:cs="仿宋"/>
          <w:color w:val="000000" w:themeColor="text1"/>
          <w:sz w:val="32"/>
          <w:szCs w:val="32"/>
          <w:highlight w:val="none"/>
          <w14:textFill>
            <w14:solidFill>
              <w14:schemeClr w14:val="tx1"/>
            </w14:solidFill>
          </w14:textFill>
        </w:rPr>
        <w:t>(盖章)</w:t>
      </w:r>
      <w:r>
        <w:rPr>
          <w:rFonts w:hint="eastAsia" w:ascii="仿宋" w:hAnsi="仿宋" w:eastAsia="仿宋" w:cs="仿宋"/>
          <w:bCs/>
          <w:color w:val="000000" w:themeColor="text1"/>
          <w:sz w:val="32"/>
          <w:szCs w:val="32"/>
          <w:highlight w:val="none"/>
          <w14:textFill>
            <w14:solidFill>
              <w14:schemeClr w14:val="tx1"/>
            </w14:solidFill>
          </w14:textFill>
        </w:rPr>
        <w:t>：新疆新世纪招标有限公司</w:t>
      </w:r>
    </w:p>
    <w:p w14:paraId="16244D1B">
      <w:pPr>
        <w:adjustRightInd w:val="0"/>
        <w:snapToGrid w:val="0"/>
        <w:spacing w:line="480" w:lineRule="exact"/>
        <w:rPr>
          <w:rFonts w:hint="eastAsia" w:ascii="仿宋" w:hAnsi="仿宋" w:eastAsia="仿宋" w:cs="仿宋"/>
          <w:bCs/>
          <w:color w:val="000000" w:themeColor="text1"/>
          <w:sz w:val="32"/>
          <w:szCs w:val="32"/>
          <w:highlight w:val="none"/>
          <w14:textFill>
            <w14:solidFill>
              <w14:schemeClr w14:val="tx1"/>
            </w14:solidFill>
          </w14:textFill>
        </w:rPr>
      </w:pPr>
    </w:p>
    <w:p w14:paraId="6FFE116B">
      <w:pPr>
        <w:adjustRightInd w:val="0"/>
        <w:snapToGrid w:val="0"/>
        <w:spacing w:line="480" w:lineRule="exact"/>
        <w:rPr>
          <w:rFonts w:hint="eastAsia" w:ascii="仿宋" w:hAnsi="仿宋" w:eastAsia="仿宋" w:cs="仿宋"/>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联系人：</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周帅廷、马丹阳</w:t>
      </w:r>
    </w:p>
    <w:p w14:paraId="1F97C145">
      <w:pPr>
        <w:adjustRightInd w:val="0"/>
        <w:snapToGrid w:val="0"/>
        <w:spacing w:line="480" w:lineRule="exact"/>
        <w:jc w:val="center"/>
        <w:rPr>
          <w:rFonts w:hint="eastAsia" w:ascii="仿宋" w:hAnsi="仿宋" w:eastAsia="仿宋" w:cs="仿宋"/>
          <w:bCs/>
          <w:color w:val="000000" w:themeColor="text1"/>
          <w:sz w:val="32"/>
          <w:szCs w:val="32"/>
          <w:highlight w:val="none"/>
          <w14:textFill>
            <w14:solidFill>
              <w14:schemeClr w14:val="tx1"/>
            </w14:solidFill>
          </w14:textFill>
        </w:rPr>
      </w:pPr>
    </w:p>
    <w:p w14:paraId="3DDC8E12">
      <w:pPr>
        <w:adjustRightInd w:val="0"/>
        <w:snapToGrid w:val="0"/>
        <w:spacing w:line="480" w:lineRule="exact"/>
        <w:rPr>
          <w:rFonts w:hint="eastAsia" w:ascii="仿宋" w:hAnsi="仿宋" w:eastAsia="仿宋" w:cs="仿宋"/>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Cs/>
          <w:color w:val="000000" w:themeColor="text1"/>
          <w:kern w:val="0"/>
          <w:sz w:val="32"/>
          <w:szCs w:val="32"/>
          <w:highlight w:val="none"/>
          <w14:textFill>
            <w14:solidFill>
              <w14:schemeClr w14:val="tx1"/>
            </w14:solidFill>
          </w14:textFill>
        </w:rPr>
        <w:t>电话</w:t>
      </w:r>
      <w:r>
        <w:rPr>
          <w:rFonts w:hint="eastAsia" w:ascii="仿宋" w:hAnsi="仿宋" w:eastAsia="仿宋" w:cs="仿宋"/>
          <w:bCs/>
          <w:color w:val="000000" w:themeColor="text1"/>
          <w:sz w:val="32"/>
          <w:szCs w:val="32"/>
          <w:highlight w:val="none"/>
          <w14:textFill>
            <w14:solidFill>
              <w14:schemeClr w14:val="tx1"/>
            </w14:solidFill>
          </w14:textFill>
        </w:rPr>
        <w:t>：0991-4661782</w:t>
      </w:r>
    </w:p>
    <w:p w14:paraId="481DCC4D">
      <w:pPr>
        <w:adjustRightInd w:val="0"/>
        <w:snapToGrid w:val="0"/>
        <w:spacing w:line="480" w:lineRule="exact"/>
        <w:rPr>
          <w:rFonts w:hint="eastAsia" w:ascii="仿宋" w:hAnsi="仿宋" w:eastAsia="仿宋" w:cs="仿宋"/>
          <w:bCs/>
          <w:color w:val="000000" w:themeColor="text1"/>
          <w:sz w:val="32"/>
          <w:szCs w:val="32"/>
          <w:highlight w:val="none"/>
          <w14:textFill>
            <w14:solidFill>
              <w14:schemeClr w14:val="tx1"/>
            </w14:solidFill>
          </w14:textFill>
        </w:rPr>
      </w:pPr>
    </w:p>
    <w:p w14:paraId="26F4AA3D">
      <w:pPr>
        <w:adjustRightInd w:val="0"/>
        <w:snapToGrid w:val="0"/>
        <w:spacing w:line="480" w:lineRule="exact"/>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地址：乌鲁木齐市新兴街20号凤凰大厦五楼</w:t>
      </w:r>
    </w:p>
    <w:p w14:paraId="0201236A">
      <w:pPr>
        <w:adjustRightInd w:val="0"/>
        <w:snapToGrid w:val="0"/>
        <w:spacing w:line="480" w:lineRule="exact"/>
        <w:rPr>
          <w:rFonts w:hint="eastAsia" w:ascii="仿宋" w:hAnsi="仿宋" w:eastAsia="仿宋" w:cs="仿宋"/>
          <w:bCs/>
          <w:color w:val="000000" w:themeColor="text1"/>
          <w:sz w:val="32"/>
          <w:szCs w:val="32"/>
          <w:highlight w:val="none"/>
          <w14:textFill>
            <w14:solidFill>
              <w14:schemeClr w14:val="tx1"/>
            </w14:solidFill>
          </w14:textFill>
        </w:rPr>
      </w:pPr>
    </w:p>
    <w:p w14:paraId="3038F1FE">
      <w:pPr>
        <w:widowControl/>
        <w:jc w:val="left"/>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br w:type="page"/>
      </w:r>
    </w:p>
    <w:p w14:paraId="4BF7D7DE">
      <w:pPr>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目录</w:t>
      </w:r>
    </w:p>
    <w:p w14:paraId="2EE9C69A">
      <w:pPr>
        <w:pStyle w:val="25"/>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fldChar w:fldCharType="begin"/>
      </w:r>
      <w:r>
        <w:rPr>
          <w:rFonts w:hint="eastAsia" w:ascii="仿宋" w:hAnsi="仿宋" w:eastAsia="仿宋" w:cs="仿宋"/>
          <w:color w:val="000000" w:themeColor="text1"/>
          <w:sz w:val="24"/>
          <w:highlight w:val="none"/>
          <w14:textFill>
            <w14:solidFill>
              <w14:schemeClr w14:val="tx1"/>
            </w14:solidFill>
          </w14:textFill>
        </w:rPr>
        <w:instrText xml:space="preserve">TOC \o "1-3" \h \u </w:instrText>
      </w:r>
      <w:r>
        <w:rPr>
          <w:rFonts w:hint="eastAsia" w:ascii="仿宋" w:hAnsi="仿宋" w:eastAsia="仿宋" w:cs="仿宋"/>
          <w:color w:val="000000" w:themeColor="text1"/>
          <w:sz w:val="24"/>
          <w:highlight w:val="none"/>
          <w14:textFill>
            <w14:solidFill>
              <w14:schemeClr w14:val="tx1"/>
            </w14:solidFill>
          </w14:textFill>
        </w:rPr>
        <w:fldChar w:fldCharType="separate"/>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_Toc29207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bCs/>
          <w:color w:val="000000" w:themeColor="text1"/>
          <w:szCs w:val="32"/>
          <w:highlight w:val="none"/>
          <w14:textFill>
            <w14:solidFill>
              <w14:schemeClr w14:val="tx1"/>
            </w14:solidFill>
          </w14:textFill>
        </w:rPr>
        <w:t>招标公告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_Toc29207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62F91043">
      <w:pPr>
        <w:pStyle w:val="25"/>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_Toc4627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14:textFill>
            <w14:solidFill>
              <w14:schemeClr w14:val="tx1"/>
            </w14:solidFill>
          </w14:textFill>
        </w:rPr>
        <w:t>投标人须知前附表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_Toc4627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571C695E">
      <w:pPr>
        <w:pStyle w:val="25"/>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_Toc3941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14:textFill>
            <w14:solidFill>
              <w14:schemeClr w14:val="tx1"/>
            </w14:solidFill>
          </w14:textFill>
        </w:rPr>
        <w:t>第一章 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_Toc3941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097ECD1A">
      <w:pPr>
        <w:pStyle w:val="31"/>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_Toc27466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lang w:val="en-US" w:eastAsia="zh-CN"/>
          <w14:textFill>
            <w14:solidFill>
              <w14:schemeClr w14:val="tx1"/>
            </w14:solidFill>
          </w14:textFill>
        </w:rPr>
        <w:t>一</w:t>
      </w:r>
      <w:r>
        <w:rPr>
          <w:rFonts w:hint="eastAsia" w:ascii="仿宋" w:hAnsi="仿宋" w:eastAsia="仿宋" w:cs="仿宋"/>
          <w:color w:val="000000" w:themeColor="text1"/>
          <w:szCs w:val="24"/>
          <w:highlight w:val="none"/>
          <w:lang w:eastAsia="zh-CN"/>
          <w14:textFill>
            <w14:solidFill>
              <w14:schemeClr w14:val="tx1"/>
            </w14:solidFill>
          </w14:textFill>
        </w:rPr>
        <w:t>、</w:t>
      </w:r>
      <w:r>
        <w:rPr>
          <w:rFonts w:hint="eastAsia" w:ascii="仿宋" w:hAnsi="仿宋" w:eastAsia="仿宋" w:cs="仿宋"/>
          <w:color w:val="000000" w:themeColor="text1"/>
          <w:szCs w:val="24"/>
          <w:highlight w:val="none"/>
          <w14:textFill>
            <w14:solidFill>
              <w14:schemeClr w14:val="tx1"/>
            </w14:solidFill>
          </w14:textFill>
        </w:rPr>
        <w:t>总则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_Toc27466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2F81FFE0">
      <w:pPr>
        <w:pStyle w:val="31"/>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_Toc22780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lang w:val="en-US" w:eastAsia="zh-CN"/>
          <w14:textFill>
            <w14:solidFill>
              <w14:schemeClr w14:val="tx1"/>
            </w14:solidFill>
          </w14:textFill>
        </w:rPr>
        <w:t>二、</w:t>
      </w:r>
      <w:r>
        <w:rPr>
          <w:rFonts w:hint="eastAsia" w:ascii="仿宋" w:hAnsi="仿宋" w:eastAsia="仿宋" w:cs="仿宋"/>
          <w:color w:val="000000" w:themeColor="text1"/>
          <w:szCs w:val="24"/>
          <w:highlight w:val="none"/>
          <w14:textFill>
            <w14:solidFill>
              <w14:schemeClr w14:val="tx1"/>
            </w14:solidFill>
          </w14:textFill>
        </w:rPr>
        <w:t>招标文件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_Toc22780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78F9BDAD">
      <w:pPr>
        <w:pStyle w:val="31"/>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_Toc21749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lang w:val="en-US" w:eastAsia="zh-CN"/>
          <w14:textFill>
            <w14:solidFill>
              <w14:schemeClr w14:val="tx1"/>
            </w14:solidFill>
          </w14:textFill>
        </w:rPr>
        <w:t>三、</w:t>
      </w:r>
      <w:r>
        <w:rPr>
          <w:rFonts w:hint="eastAsia" w:ascii="仿宋" w:hAnsi="仿宋" w:eastAsia="仿宋" w:cs="仿宋"/>
          <w:color w:val="000000" w:themeColor="text1"/>
          <w:szCs w:val="24"/>
          <w:highlight w:val="none"/>
          <w14:textFill>
            <w14:solidFill>
              <w14:schemeClr w14:val="tx1"/>
            </w14:solidFill>
          </w14:textFill>
        </w:rPr>
        <w:t>投标文件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_Toc21749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40D0DD65">
      <w:pPr>
        <w:pStyle w:val="31"/>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_Toc30287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lang w:val="en-US" w:eastAsia="zh-CN"/>
          <w14:textFill>
            <w14:solidFill>
              <w14:schemeClr w14:val="tx1"/>
            </w14:solidFill>
          </w14:textFill>
        </w:rPr>
        <w:t>四、</w:t>
      </w:r>
      <w:r>
        <w:rPr>
          <w:rFonts w:hint="eastAsia" w:ascii="仿宋" w:hAnsi="仿宋" w:eastAsia="仿宋" w:cs="仿宋"/>
          <w:color w:val="000000" w:themeColor="text1"/>
          <w:szCs w:val="24"/>
          <w:highlight w:val="none"/>
          <w14:textFill>
            <w14:solidFill>
              <w14:schemeClr w14:val="tx1"/>
            </w14:solidFill>
          </w14:textFill>
        </w:rPr>
        <w:t>投标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_Toc30287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6363493C">
      <w:pPr>
        <w:pStyle w:val="31"/>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_Toc25889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lang w:val="en-US" w:eastAsia="zh-CN"/>
          <w14:textFill>
            <w14:solidFill>
              <w14:schemeClr w14:val="tx1"/>
            </w14:solidFill>
          </w14:textFill>
        </w:rPr>
        <w:t>五、</w:t>
      </w:r>
      <w:r>
        <w:rPr>
          <w:rFonts w:hint="eastAsia" w:ascii="仿宋" w:hAnsi="仿宋" w:eastAsia="仿宋" w:cs="仿宋"/>
          <w:color w:val="000000" w:themeColor="text1"/>
          <w:szCs w:val="24"/>
          <w:highlight w:val="none"/>
          <w14:textFill>
            <w14:solidFill>
              <w14:schemeClr w14:val="tx1"/>
            </w14:solidFill>
          </w14:textFill>
        </w:rPr>
        <w:t>开标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_Toc25889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46AEFE67">
      <w:pPr>
        <w:pStyle w:val="31"/>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_Toc10232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lang w:val="en-US" w:eastAsia="zh-CN"/>
          <w14:textFill>
            <w14:solidFill>
              <w14:schemeClr w14:val="tx1"/>
            </w14:solidFill>
          </w14:textFill>
        </w:rPr>
        <w:t>六、</w:t>
      </w:r>
      <w:r>
        <w:rPr>
          <w:rFonts w:hint="eastAsia" w:ascii="仿宋" w:hAnsi="仿宋" w:eastAsia="仿宋" w:cs="仿宋"/>
          <w:color w:val="000000" w:themeColor="text1"/>
          <w:szCs w:val="24"/>
          <w:highlight w:val="none"/>
          <w14:textFill>
            <w14:solidFill>
              <w14:schemeClr w14:val="tx1"/>
            </w14:solidFill>
          </w14:textFill>
        </w:rPr>
        <w:t>评标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0EDBF244">
      <w:pPr>
        <w:pStyle w:val="31"/>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_Toc22975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lang w:val="en-US" w:eastAsia="zh-CN"/>
          <w14:textFill>
            <w14:solidFill>
              <w14:schemeClr w14:val="tx1"/>
            </w14:solidFill>
          </w14:textFill>
        </w:rPr>
        <w:t>七、</w:t>
      </w:r>
      <w:r>
        <w:rPr>
          <w:rFonts w:hint="eastAsia" w:ascii="仿宋" w:hAnsi="仿宋" w:eastAsia="仿宋" w:cs="仿宋"/>
          <w:color w:val="000000" w:themeColor="text1"/>
          <w:szCs w:val="24"/>
          <w:highlight w:val="none"/>
          <w14:textFill>
            <w14:solidFill>
              <w14:schemeClr w14:val="tx1"/>
            </w14:solidFill>
          </w14:textFill>
        </w:rPr>
        <w:t>定标及合同授予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_Toc22975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00F6FF38">
      <w:pPr>
        <w:pStyle w:val="31"/>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_Toc7415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lang w:val="en-US" w:eastAsia="zh-CN"/>
          <w14:textFill>
            <w14:solidFill>
              <w14:schemeClr w14:val="tx1"/>
            </w14:solidFill>
          </w14:textFill>
        </w:rPr>
        <w:t>八、</w:t>
      </w:r>
      <w:r>
        <w:rPr>
          <w:rFonts w:hint="eastAsia" w:ascii="仿宋" w:hAnsi="仿宋" w:eastAsia="仿宋" w:cs="仿宋"/>
          <w:color w:val="000000" w:themeColor="text1"/>
          <w:szCs w:val="24"/>
          <w:highlight w:val="none"/>
          <w14:textFill>
            <w14:solidFill>
              <w14:schemeClr w14:val="tx1"/>
            </w14:solidFill>
          </w14:textFill>
        </w:rPr>
        <w:t>纪律和监督</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_Toc7415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7D84FA4B">
      <w:pPr>
        <w:pStyle w:val="25"/>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_Toc21282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14:textFill>
            <w14:solidFill>
              <w14:schemeClr w14:val="tx1"/>
            </w14:solidFill>
          </w14:textFill>
        </w:rPr>
        <w:t>第二章 评标办法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_Toc21282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0359E8F3">
      <w:pPr>
        <w:pStyle w:val="31"/>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_Toc570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14:textFill>
            <w14:solidFill>
              <w14:schemeClr w14:val="tx1"/>
            </w14:solidFill>
          </w14:textFill>
        </w:rPr>
        <w:t>评审办法前附表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082A077B">
      <w:pPr>
        <w:pStyle w:val="31"/>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_Toc25559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lang w:val="en-US" w:eastAsia="zh-CN"/>
          <w14:textFill>
            <w14:solidFill>
              <w14:schemeClr w14:val="tx1"/>
            </w14:solidFill>
          </w14:textFill>
        </w:rPr>
        <w:t>一、</w:t>
      </w:r>
      <w:r>
        <w:rPr>
          <w:rFonts w:hint="eastAsia" w:ascii="仿宋" w:hAnsi="仿宋" w:eastAsia="仿宋" w:cs="仿宋"/>
          <w:color w:val="000000" w:themeColor="text1"/>
          <w:szCs w:val="24"/>
          <w:highlight w:val="none"/>
          <w14:textFill>
            <w14:solidFill>
              <w14:schemeClr w14:val="tx1"/>
            </w14:solidFill>
          </w14:textFill>
        </w:rPr>
        <w:t>评标方法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_Toc25559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458B106E">
      <w:pPr>
        <w:pStyle w:val="31"/>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_Toc25346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lang w:val="en-US" w:eastAsia="zh-CN"/>
          <w14:textFill>
            <w14:solidFill>
              <w14:schemeClr w14:val="tx1"/>
            </w14:solidFill>
          </w14:textFill>
        </w:rPr>
        <w:t>二、</w:t>
      </w:r>
      <w:r>
        <w:rPr>
          <w:rFonts w:hint="eastAsia" w:ascii="仿宋" w:hAnsi="仿宋" w:eastAsia="仿宋" w:cs="仿宋"/>
          <w:color w:val="000000" w:themeColor="text1"/>
          <w:szCs w:val="24"/>
          <w:highlight w:val="none"/>
          <w14:textFill>
            <w14:solidFill>
              <w14:schemeClr w14:val="tx1"/>
            </w14:solidFill>
          </w14:textFill>
        </w:rPr>
        <w:t>评审标准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_Toc25346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345E0C6F">
      <w:pPr>
        <w:pStyle w:val="31"/>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_Toc26473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lang w:val="en-US" w:eastAsia="zh-CN"/>
          <w14:textFill>
            <w14:solidFill>
              <w14:schemeClr w14:val="tx1"/>
            </w14:solidFill>
          </w14:textFill>
        </w:rPr>
        <w:t>三、</w:t>
      </w:r>
      <w:r>
        <w:rPr>
          <w:rFonts w:hint="eastAsia" w:ascii="仿宋" w:hAnsi="仿宋" w:eastAsia="仿宋" w:cs="仿宋"/>
          <w:color w:val="000000" w:themeColor="text1"/>
          <w:szCs w:val="24"/>
          <w:highlight w:val="none"/>
          <w14:textFill>
            <w14:solidFill>
              <w14:schemeClr w14:val="tx1"/>
            </w14:solidFill>
          </w14:textFill>
        </w:rPr>
        <w:t>评标程序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_Toc26473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0F90B28D">
      <w:pPr>
        <w:pStyle w:val="25"/>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_Toc19116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14:textFill>
            <w14:solidFill>
              <w14:schemeClr w14:val="tx1"/>
            </w14:solidFill>
          </w14:textFill>
        </w:rPr>
        <w:t>第三章 合同</w:t>
      </w:r>
      <w:r>
        <w:rPr>
          <w:rFonts w:hint="eastAsia" w:ascii="仿宋" w:hAnsi="仿宋" w:eastAsia="仿宋" w:cs="仿宋"/>
          <w:color w:val="000000" w:themeColor="text1"/>
          <w:szCs w:val="24"/>
          <w:highlight w:val="none"/>
          <w:lang w:val="en-US" w:eastAsia="zh-CN"/>
          <w14:textFill>
            <w14:solidFill>
              <w14:schemeClr w14:val="tx1"/>
            </w14:solidFill>
          </w14:textFill>
        </w:rPr>
        <w:t>文本</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_Toc19116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4BA698F5">
      <w:pPr>
        <w:pStyle w:val="25"/>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_Toc11497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14:textFill>
            <w14:solidFill>
              <w14:schemeClr w14:val="tx1"/>
            </w14:solidFill>
          </w14:textFill>
        </w:rPr>
        <w:t xml:space="preserve">第四章 </w:t>
      </w:r>
      <w:r>
        <w:rPr>
          <w:rFonts w:hint="eastAsia" w:ascii="仿宋" w:hAnsi="仿宋" w:eastAsia="仿宋" w:cs="仿宋"/>
          <w:color w:val="000000" w:themeColor="text1"/>
          <w:szCs w:val="24"/>
          <w:highlight w:val="none"/>
          <w:lang w:eastAsia="zh-CN"/>
          <w14:textFill>
            <w14:solidFill>
              <w14:schemeClr w14:val="tx1"/>
            </w14:solidFill>
          </w14:textFill>
        </w:rPr>
        <w:t>服务标准和要求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_Toc11497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30</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37A1346F">
      <w:pPr>
        <w:pStyle w:val="25"/>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_Toc2512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14:textFill>
            <w14:solidFill>
              <w14:schemeClr w14:val="tx1"/>
            </w14:solidFill>
          </w14:textFill>
        </w:rPr>
        <w:t>第五章 投标文件格式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08A0823A">
      <w:pPr>
        <w:pStyle w:val="31"/>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_Toc12596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lang w:val="en-US" w:eastAsia="zh-CN"/>
          <w14:textFill>
            <w14:solidFill>
              <w14:schemeClr w14:val="tx1"/>
            </w14:solidFill>
          </w14:textFill>
        </w:rPr>
        <w:t>一、</w:t>
      </w:r>
      <w:r>
        <w:rPr>
          <w:rFonts w:hint="eastAsia" w:ascii="仿宋" w:hAnsi="仿宋" w:eastAsia="仿宋" w:cs="仿宋"/>
          <w:color w:val="000000" w:themeColor="text1"/>
          <w:szCs w:val="24"/>
          <w:highlight w:val="none"/>
          <w14:textFill>
            <w14:solidFill>
              <w14:schemeClr w14:val="tx1"/>
            </w14:solidFill>
          </w14:textFill>
        </w:rPr>
        <w:t>开标一览表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_Toc12596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37</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3342B988">
      <w:pPr>
        <w:pStyle w:val="31"/>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_Toc26098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14:textFill>
            <w14:solidFill>
              <w14:schemeClr w14:val="tx1"/>
            </w14:solidFill>
          </w14:textFill>
        </w:rPr>
        <w:t>二、投标函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_Toc26098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417E85AF">
      <w:pPr>
        <w:pStyle w:val="31"/>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_Toc22378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lang w:val="en-US" w:eastAsia="zh-CN"/>
          <w14:textFill>
            <w14:solidFill>
              <w14:schemeClr w14:val="tx1"/>
            </w14:solidFill>
          </w14:textFill>
        </w:rPr>
        <w:t>三</w:t>
      </w:r>
      <w:r>
        <w:rPr>
          <w:rFonts w:hint="eastAsia" w:ascii="仿宋" w:hAnsi="仿宋" w:eastAsia="仿宋" w:cs="仿宋"/>
          <w:color w:val="000000" w:themeColor="text1"/>
          <w:szCs w:val="24"/>
          <w:highlight w:val="none"/>
          <w14:textFill>
            <w14:solidFill>
              <w14:schemeClr w14:val="tx1"/>
            </w14:solidFill>
          </w14:textFill>
        </w:rPr>
        <w:t>、投标价格明细表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_Toc22378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20DCAC78">
      <w:pPr>
        <w:pStyle w:val="31"/>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_Toc25238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lang w:val="en-US" w:eastAsia="zh-CN"/>
          <w14:textFill>
            <w14:solidFill>
              <w14:schemeClr w14:val="tx1"/>
            </w14:solidFill>
          </w14:textFill>
        </w:rPr>
        <w:t>四</w:t>
      </w:r>
      <w:r>
        <w:rPr>
          <w:rFonts w:hint="eastAsia" w:ascii="仿宋" w:hAnsi="仿宋" w:eastAsia="仿宋" w:cs="仿宋"/>
          <w:color w:val="000000" w:themeColor="text1"/>
          <w:szCs w:val="24"/>
          <w:highlight w:val="none"/>
          <w14:textFill>
            <w14:solidFill>
              <w14:schemeClr w14:val="tx1"/>
            </w14:solidFill>
          </w14:textFill>
        </w:rPr>
        <w:t>、商务条款偏离表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_Toc25238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40</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6874C648">
      <w:pPr>
        <w:pStyle w:val="31"/>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_Toc13893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lang w:val="en-US" w:eastAsia="zh-CN"/>
          <w14:textFill>
            <w14:solidFill>
              <w14:schemeClr w14:val="tx1"/>
            </w14:solidFill>
          </w14:textFill>
        </w:rPr>
        <w:t>五</w:t>
      </w:r>
      <w:r>
        <w:rPr>
          <w:rFonts w:hint="eastAsia" w:ascii="仿宋" w:hAnsi="仿宋" w:eastAsia="仿宋" w:cs="仿宋"/>
          <w:color w:val="000000" w:themeColor="text1"/>
          <w:szCs w:val="24"/>
          <w:highlight w:val="none"/>
          <w14:textFill>
            <w14:solidFill>
              <w14:schemeClr w14:val="tx1"/>
            </w14:solidFill>
          </w14:textFill>
        </w:rPr>
        <w:t>、技术条款偏离表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_Toc13893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41</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30D3D0B4">
      <w:pPr>
        <w:pStyle w:val="31"/>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_Toc24527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lang w:val="en-US" w:eastAsia="zh-CN"/>
          <w14:textFill>
            <w14:solidFill>
              <w14:schemeClr w14:val="tx1"/>
            </w14:solidFill>
          </w14:textFill>
        </w:rPr>
        <w:t>六</w:t>
      </w:r>
      <w:r>
        <w:rPr>
          <w:rFonts w:hint="eastAsia" w:ascii="仿宋" w:hAnsi="仿宋" w:eastAsia="仿宋" w:cs="仿宋"/>
          <w:color w:val="000000" w:themeColor="text1"/>
          <w:szCs w:val="24"/>
          <w:highlight w:val="none"/>
          <w14:textFill>
            <w14:solidFill>
              <w14:schemeClr w14:val="tx1"/>
            </w14:solidFill>
          </w14:textFill>
        </w:rPr>
        <w:t>、法定代表人身份证明书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_Toc24527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42</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49F724F9">
      <w:pPr>
        <w:pStyle w:val="31"/>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_Toc10462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lang w:val="en-US" w:eastAsia="zh-CN"/>
          <w14:textFill>
            <w14:solidFill>
              <w14:schemeClr w14:val="tx1"/>
            </w14:solidFill>
          </w14:textFill>
        </w:rPr>
        <w:t>七</w:t>
      </w:r>
      <w:r>
        <w:rPr>
          <w:rFonts w:hint="eastAsia" w:ascii="仿宋" w:hAnsi="仿宋" w:eastAsia="仿宋" w:cs="仿宋"/>
          <w:color w:val="000000" w:themeColor="text1"/>
          <w:szCs w:val="24"/>
          <w:highlight w:val="none"/>
          <w14:textFill>
            <w14:solidFill>
              <w14:schemeClr w14:val="tx1"/>
            </w14:solidFill>
          </w14:textFill>
        </w:rPr>
        <w:t>、法定代表人授权委托书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_Toc10462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43</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286A30EA">
      <w:pPr>
        <w:pStyle w:val="31"/>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_Toc8793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lang w:val="en-US" w:eastAsia="zh-CN"/>
          <w14:textFill>
            <w14:solidFill>
              <w14:schemeClr w14:val="tx1"/>
            </w14:solidFill>
          </w14:textFill>
        </w:rPr>
        <w:t>八</w:t>
      </w:r>
      <w:r>
        <w:rPr>
          <w:rFonts w:hint="eastAsia" w:ascii="仿宋" w:hAnsi="仿宋" w:eastAsia="仿宋" w:cs="仿宋"/>
          <w:color w:val="000000" w:themeColor="text1"/>
          <w:szCs w:val="24"/>
          <w:highlight w:val="none"/>
          <w14:textFill>
            <w14:solidFill>
              <w14:schemeClr w14:val="tx1"/>
            </w14:solidFill>
          </w14:textFill>
        </w:rPr>
        <w:t>、</w:t>
      </w:r>
      <w:r>
        <w:rPr>
          <w:rFonts w:hint="eastAsia" w:ascii="仿宋" w:hAnsi="仿宋" w:eastAsia="仿宋" w:cs="仿宋"/>
          <w:bCs/>
          <w:color w:val="000000" w:themeColor="text1"/>
          <w:szCs w:val="24"/>
          <w:highlight w:val="none"/>
          <w14:textFill>
            <w14:solidFill>
              <w14:schemeClr w14:val="tx1"/>
            </w14:solidFill>
          </w14:textFill>
        </w:rPr>
        <w:t>投标人资格条件证明材料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_Toc8793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44</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7A4AE955">
      <w:pPr>
        <w:pStyle w:val="31"/>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_Toc13473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lang w:val="en-US" w:eastAsia="zh-CN"/>
          <w14:textFill>
            <w14:solidFill>
              <w14:schemeClr w14:val="tx1"/>
            </w14:solidFill>
          </w14:textFill>
        </w:rPr>
        <w:t>九</w:t>
      </w:r>
      <w:r>
        <w:rPr>
          <w:rFonts w:hint="eastAsia" w:ascii="仿宋" w:hAnsi="仿宋" w:eastAsia="仿宋" w:cs="仿宋"/>
          <w:color w:val="000000" w:themeColor="text1"/>
          <w:szCs w:val="24"/>
          <w:highlight w:val="none"/>
          <w14:textFill>
            <w14:solidFill>
              <w14:schemeClr w14:val="tx1"/>
            </w14:solidFill>
          </w14:textFill>
        </w:rPr>
        <w:t>、投标人近年类似项目情况表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_Toc13473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348A76AD">
      <w:pPr>
        <w:pStyle w:val="31"/>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_Toc10475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shd w:val="clear" w:color="auto" w:fill="FFFFFF" w:themeFill="background1"/>
          <w:lang w:val="en-US" w:eastAsia="zh-CN"/>
          <w14:textFill>
            <w14:solidFill>
              <w14:schemeClr w14:val="tx1"/>
            </w14:solidFill>
          </w14:textFill>
        </w:rPr>
        <w:t>十、</w:t>
      </w:r>
      <w:r>
        <w:rPr>
          <w:rFonts w:hint="eastAsia" w:ascii="仿宋" w:hAnsi="仿宋" w:eastAsia="仿宋" w:cs="仿宋"/>
          <w:bCs/>
          <w:color w:val="000000" w:themeColor="text1"/>
          <w:szCs w:val="24"/>
          <w:highlight w:val="none"/>
          <w:shd w:val="clear" w:color="auto" w:fill="FFFFFF" w:themeFill="background1"/>
          <w14:textFill>
            <w14:solidFill>
              <w14:schemeClr w14:val="tx1"/>
            </w14:solidFill>
          </w14:textFill>
        </w:rPr>
        <w:t>项目负责人简历表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_Toc10475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53</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7F1FBFAF">
      <w:pPr>
        <w:pStyle w:val="31"/>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_Toc29996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shd w:val="clear" w:color="auto" w:fill="FFFFFF" w:themeFill="background1"/>
          <w:lang w:val="en-US" w:eastAsia="zh-CN"/>
          <w14:textFill>
            <w14:solidFill>
              <w14:schemeClr w14:val="tx1"/>
            </w14:solidFill>
          </w14:textFill>
        </w:rPr>
        <w:t>十一</w:t>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t>、拟派主要</w:t>
      </w:r>
      <w:r>
        <w:rPr>
          <w:rFonts w:hint="eastAsia" w:ascii="仿宋" w:hAnsi="仿宋" w:eastAsia="仿宋" w:cs="仿宋"/>
          <w:color w:val="000000" w:themeColor="text1"/>
          <w:szCs w:val="24"/>
          <w:highlight w:val="none"/>
          <w:shd w:val="clear" w:color="auto" w:fill="FFFFFF" w:themeFill="background1"/>
          <w:lang w:val="en-US" w:eastAsia="zh-CN"/>
          <w14:textFill>
            <w14:solidFill>
              <w14:schemeClr w14:val="tx1"/>
            </w14:solidFill>
          </w14:textFill>
        </w:rPr>
        <w:t>服务</w:t>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t>人员情况表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_Toc29996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54</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5807CBDD">
      <w:pPr>
        <w:pStyle w:val="31"/>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_Toc10744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14:textFill>
            <w14:solidFill>
              <w14:schemeClr w14:val="tx1"/>
            </w14:solidFill>
          </w14:textFill>
        </w:rPr>
        <w:t>十</w:t>
      </w:r>
      <w:r>
        <w:rPr>
          <w:rFonts w:hint="eastAsia" w:ascii="仿宋" w:hAnsi="仿宋" w:eastAsia="仿宋" w:cs="仿宋"/>
          <w:color w:val="000000" w:themeColor="text1"/>
          <w:szCs w:val="24"/>
          <w:highlight w:val="none"/>
          <w:lang w:val="en-US" w:eastAsia="zh-CN"/>
          <w14:textFill>
            <w14:solidFill>
              <w14:schemeClr w14:val="tx1"/>
            </w14:solidFill>
          </w14:textFill>
        </w:rPr>
        <w:t>二</w:t>
      </w:r>
      <w:r>
        <w:rPr>
          <w:rFonts w:hint="eastAsia" w:ascii="仿宋" w:hAnsi="仿宋" w:eastAsia="仿宋" w:cs="仿宋"/>
          <w:color w:val="000000" w:themeColor="text1"/>
          <w:szCs w:val="24"/>
          <w:highlight w:val="none"/>
          <w14:textFill>
            <w14:solidFill>
              <w14:schemeClr w14:val="tx1"/>
            </w14:solidFill>
          </w14:textFill>
        </w:rPr>
        <w:t>、</w:t>
      </w:r>
      <w:r>
        <w:rPr>
          <w:rFonts w:hint="eastAsia" w:ascii="仿宋" w:hAnsi="仿宋" w:eastAsia="仿宋" w:cs="仿宋"/>
          <w:color w:val="000000" w:themeColor="text1"/>
          <w:szCs w:val="24"/>
          <w:highlight w:val="none"/>
          <w:lang w:eastAsia="zh-CN"/>
          <w14:textFill>
            <w14:solidFill>
              <w14:schemeClr w14:val="tx1"/>
            </w14:solidFill>
          </w14:textFill>
        </w:rPr>
        <w:t>服务方案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_Toc10744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55</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2E5C7AB9">
      <w:pPr>
        <w:pStyle w:val="31"/>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_Toc16410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14:textFill>
            <w14:solidFill>
              <w14:schemeClr w14:val="tx1"/>
            </w14:solidFill>
          </w14:textFill>
        </w:rPr>
        <w:t>十</w:t>
      </w:r>
      <w:r>
        <w:rPr>
          <w:rFonts w:hint="eastAsia" w:ascii="仿宋" w:hAnsi="仿宋" w:eastAsia="仿宋" w:cs="仿宋"/>
          <w:color w:val="000000" w:themeColor="text1"/>
          <w:szCs w:val="24"/>
          <w:highlight w:val="none"/>
          <w:lang w:val="en-US" w:eastAsia="zh-CN"/>
          <w14:textFill>
            <w14:solidFill>
              <w14:schemeClr w14:val="tx1"/>
            </w14:solidFill>
          </w14:textFill>
        </w:rPr>
        <w:t>三</w:t>
      </w:r>
      <w:r>
        <w:rPr>
          <w:rFonts w:hint="eastAsia" w:ascii="仿宋" w:hAnsi="仿宋" w:eastAsia="仿宋" w:cs="仿宋"/>
          <w:color w:val="000000" w:themeColor="text1"/>
          <w:szCs w:val="24"/>
          <w:highlight w:val="none"/>
          <w14:textFill>
            <w14:solidFill>
              <w14:schemeClr w14:val="tx1"/>
            </w14:solidFill>
          </w14:textFill>
        </w:rPr>
        <w:t>、保证金缴纳证明材料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_Toc16410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56</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1A673967">
      <w:pPr>
        <w:pStyle w:val="31"/>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_Toc7317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14:textFill>
            <w14:solidFill>
              <w14:schemeClr w14:val="tx1"/>
            </w14:solidFill>
          </w14:textFill>
        </w:rPr>
        <w:t>十</w:t>
      </w:r>
      <w:r>
        <w:rPr>
          <w:rFonts w:hint="eastAsia" w:ascii="仿宋" w:hAnsi="仿宋" w:eastAsia="仿宋" w:cs="仿宋"/>
          <w:color w:val="000000" w:themeColor="text1"/>
          <w:szCs w:val="24"/>
          <w:highlight w:val="none"/>
          <w:lang w:val="en-US" w:eastAsia="zh-CN"/>
          <w14:textFill>
            <w14:solidFill>
              <w14:schemeClr w14:val="tx1"/>
            </w14:solidFill>
          </w14:textFill>
        </w:rPr>
        <w:t>四</w:t>
      </w:r>
      <w:r>
        <w:rPr>
          <w:rFonts w:hint="eastAsia" w:ascii="仿宋" w:hAnsi="仿宋" w:eastAsia="仿宋" w:cs="仿宋"/>
          <w:color w:val="000000" w:themeColor="text1"/>
          <w:szCs w:val="24"/>
          <w:highlight w:val="none"/>
          <w14:textFill>
            <w14:solidFill>
              <w14:schemeClr w14:val="tx1"/>
            </w14:solidFill>
          </w14:textFill>
        </w:rPr>
        <w:t>、其它需要提交的资料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_Toc7317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57</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58CF6ECC">
      <w:pPr>
        <w:pStyle w:val="25"/>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_Toc13611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14:textFill>
            <w14:solidFill>
              <w14:schemeClr w14:val="tx1"/>
            </w14:solidFill>
          </w14:textFill>
        </w:rPr>
        <w:t>第六章 补充条款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_Toc13611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58</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6FFB3809">
      <w:pPr>
        <w:pStyle w:val="31"/>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_Toc323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pacing w:val="6"/>
          <w:szCs w:val="24"/>
          <w:highlight w:val="none"/>
          <w14:textFill>
            <w14:solidFill>
              <w14:schemeClr w14:val="tx1"/>
            </w14:solidFill>
          </w14:textFill>
        </w:rPr>
        <w:t>附件</w:t>
      </w:r>
      <w:r>
        <w:rPr>
          <w:rFonts w:hint="eastAsia" w:ascii="仿宋" w:hAnsi="仿宋" w:eastAsia="仿宋" w:cs="仿宋"/>
          <w:color w:val="000000" w:themeColor="text1"/>
          <w:spacing w:val="6"/>
          <w:szCs w:val="24"/>
          <w:highlight w:val="none"/>
          <w:lang w:val="en-US" w:eastAsia="zh-CN"/>
          <w14:textFill>
            <w14:solidFill>
              <w14:schemeClr w14:val="tx1"/>
            </w14:solidFill>
          </w14:textFill>
        </w:rPr>
        <w:t>1</w:t>
      </w:r>
      <w:r>
        <w:rPr>
          <w:rFonts w:hint="eastAsia" w:ascii="仿宋" w:hAnsi="仿宋" w:eastAsia="仿宋" w:cs="仿宋"/>
          <w:color w:val="000000" w:themeColor="text1"/>
          <w:spacing w:val="6"/>
          <w:szCs w:val="24"/>
          <w:highlight w:val="none"/>
          <w14:textFill>
            <w14:solidFill>
              <w14:schemeClr w14:val="tx1"/>
            </w14:solidFill>
          </w14:textFill>
        </w:rPr>
        <w:t>、</w:t>
      </w:r>
      <w:r>
        <w:rPr>
          <w:rFonts w:hint="eastAsia" w:ascii="仿宋" w:hAnsi="仿宋" w:eastAsia="仿宋" w:cs="仿宋"/>
          <w:color w:val="000000" w:themeColor="text1"/>
          <w:spacing w:val="6"/>
          <w:szCs w:val="24"/>
          <w:highlight w:val="none"/>
          <w:lang w:val="en-US" w:eastAsia="zh-CN"/>
          <w14:textFill>
            <w14:solidFill>
              <w14:schemeClr w14:val="tx1"/>
            </w14:solidFill>
          </w14:textFill>
        </w:rPr>
        <w:t>中小企业扶持政策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58</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071CD5E1">
      <w:pPr>
        <w:pStyle w:val="31"/>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_Toc15261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pacing w:val="6"/>
          <w:szCs w:val="24"/>
          <w:highlight w:val="none"/>
          <w14:textFill>
            <w14:solidFill>
              <w14:schemeClr w14:val="tx1"/>
            </w14:solidFill>
          </w14:textFill>
        </w:rPr>
        <w:t>附件</w:t>
      </w:r>
      <w:r>
        <w:rPr>
          <w:rFonts w:hint="eastAsia" w:ascii="仿宋" w:hAnsi="仿宋" w:eastAsia="仿宋" w:cs="仿宋"/>
          <w:color w:val="000000" w:themeColor="text1"/>
          <w:spacing w:val="6"/>
          <w:szCs w:val="24"/>
          <w:highlight w:val="none"/>
          <w:lang w:val="en-US" w:eastAsia="zh-CN"/>
          <w14:textFill>
            <w14:solidFill>
              <w14:schemeClr w14:val="tx1"/>
            </w14:solidFill>
          </w14:textFill>
        </w:rPr>
        <w:t>2</w:t>
      </w:r>
      <w:r>
        <w:rPr>
          <w:rFonts w:hint="eastAsia" w:ascii="仿宋" w:hAnsi="仿宋" w:eastAsia="仿宋" w:cs="仿宋"/>
          <w:color w:val="000000" w:themeColor="text1"/>
          <w:spacing w:val="6"/>
          <w:szCs w:val="24"/>
          <w:highlight w:val="none"/>
          <w14:textFill>
            <w14:solidFill>
              <w14:schemeClr w14:val="tx1"/>
            </w14:solidFill>
          </w14:textFill>
        </w:rPr>
        <w:t>、</w:t>
      </w:r>
      <w:r>
        <w:rPr>
          <w:rFonts w:hint="eastAsia" w:ascii="仿宋" w:hAnsi="仿宋" w:eastAsia="仿宋" w:cs="仿宋"/>
          <w:color w:val="000000" w:themeColor="text1"/>
          <w:spacing w:val="6"/>
          <w:szCs w:val="24"/>
          <w:highlight w:val="none"/>
          <w:lang w:val="en-US" w:eastAsia="zh-CN"/>
          <w14:textFill>
            <w14:solidFill>
              <w14:schemeClr w14:val="tx1"/>
            </w14:solidFill>
          </w14:textFill>
        </w:rPr>
        <w:t>残疾人企业扶持政策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_Toc15261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62</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2F611C23">
      <w:pPr>
        <w:pStyle w:val="31"/>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_Toc20507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pacing w:val="6"/>
          <w:szCs w:val="24"/>
          <w:highlight w:val="none"/>
          <w14:textFill>
            <w14:solidFill>
              <w14:schemeClr w14:val="tx1"/>
            </w14:solidFill>
          </w14:textFill>
        </w:rPr>
        <w:t>附件</w:t>
      </w:r>
      <w:r>
        <w:rPr>
          <w:rFonts w:hint="eastAsia" w:ascii="仿宋" w:hAnsi="仿宋" w:eastAsia="仿宋" w:cs="仿宋"/>
          <w:color w:val="000000" w:themeColor="text1"/>
          <w:spacing w:val="6"/>
          <w:szCs w:val="24"/>
          <w:highlight w:val="none"/>
          <w:lang w:val="en-US" w:eastAsia="zh-CN"/>
          <w14:textFill>
            <w14:solidFill>
              <w14:schemeClr w14:val="tx1"/>
            </w14:solidFill>
          </w14:textFill>
        </w:rPr>
        <w:t>3</w:t>
      </w:r>
      <w:r>
        <w:rPr>
          <w:rFonts w:hint="eastAsia" w:ascii="仿宋" w:hAnsi="仿宋" w:eastAsia="仿宋" w:cs="仿宋"/>
          <w:color w:val="000000" w:themeColor="text1"/>
          <w:spacing w:val="6"/>
          <w:szCs w:val="24"/>
          <w:highlight w:val="none"/>
          <w14:textFill>
            <w14:solidFill>
              <w14:schemeClr w14:val="tx1"/>
            </w14:solidFill>
          </w14:textFill>
        </w:rPr>
        <w:t>、</w:t>
      </w:r>
      <w:r>
        <w:rPr>
          <w:rFonts w:hint="eastAsia" w:ascii="仿宋" w:hAnsi="仿宋" w:eastAsia="仿宋" w:cs="仿宋"/>
          <w:color w:val="000000" w:themeColor="text1"/>
          <w:spacing w:val="6"/>
          <w:szCs w:val="24"/>
          <w:highlight w:val="none"/>
          <w:lang w:val="en-US" w:eastAsia="zh-CN"/>
          <w14:textFill>
            <w14:solidFill>
              <w14:schemeClr w14:val="tx1"/>
            </w14:solidFill>
          </w14:textFill>
        </w:rPr>
        <w:t>监狱扶持政策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_Toc20507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64</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76B88218">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end"/>
      </w:r>
    </w:p>
    <w:p w14:paraId="07DFEE24">
      <w:pPr>
        <w:spacing w:line="360" w:lineRule="auto"/>
        <w:jc w:val="center"/>
        <w:outlineLvl w:val="0"/>
        <w:rPr>
          <w:rFonts w:hint="eastAsia" w:ascii="仿宋" w:hAnsi="仿宋" w:eastAsia="仿宋" w:cs="仿宋"/>
          <w:b/>
          <w:bCs/>
          <w:color w:val="000000" w:themeColor="text1"/>
          <w:sz w:val="32"/>
          <w:szCs w:val="32"/>
          <w:highlight w:val="none"/>
          <w14:textFill>
            <w14:solidFill>
              <w14:schemeClr w14:val="tx1"/>
            </w14:solidFill>
          </w14:textFill>
        </w:rPr>
        <w:sectPr>
          <w:headerReference r:id="rId3" w:type="default"/>
          <w:footerReference r:id="rId4" w:type="default"/>
          <w:footerReference r:id="rId5" w:type="even"/>
          <w:pgSz w:w="11906" w:h="16838"/>
          <w:pgMar w:top="1361" w:right="1134" w:bottom="1361" w:left="1418" w:header="851" w:footer="992" w:gutter="0"/>
          <w:pgNumType w:start="1"/>
          <w:cols w:space="720" w:num="1"/>
          <w:docGrid w:type="lines" w:linePitch="312" w:charSpace="0"/>
        </w:sectPr>
      </w:pPr>
    </w:p>
    <w:p w14:paraId="33B9E51C">
      <w:pPr>
        <w:spacing w:line="360" w:lineRule="auto"/>
        <w:jc w:val="center"/>
        <w:outlineLvl w:val="0"/>
        <w:rPr>
          <w:rFonts w:hint="eastAsia" w:ascii="仿宋" w:hAnsi="仿宋" w:eastAsia="仿宋" w:cs="仿宋"/>
          <w:b/>
          <w:bCs/>
          <w:color w:val="000000" w:themeColor="text1"/>
          <w:sz w:val="24"/>
          <w:szCs w:val="24"/>
          <w:highlight w:val="none"/>
          <w14:textFill>
            <w14:solidFill>
              <w14:schemeClr w14:val="tx1"/>
            </w14:solidFill>
          </w14:textFill>
        </w:rPr>
      </w:pPr>
      <w:bookmarkStart w:id="0" w:name="_Toc29207"/>
      <w:r>
        <w:rPr>
          <w:rFonts w:hint="eastAsia" w:ascii="仿宋" w:hAnsi="仿宋" w:eastAsia="仿宋" w:cs="仿宋"/>
          <w:b/>
          <w:bCs/>
          <w:color w:val="000000" w:themeColor="text1"/>
          <w:sz w:val="32"/>
          <w:szCs w:val="32"/>
          <w:highlight w:val="none"/>
          <w14:textFill>
            <w14:solidFill>
              <w14:schemeClr w14:val="tx1"/>
            </w14:solidFill>
          </w14:textFill>
        </w:rPr>
        <w:t>招标公告</w:t>
      </w:r>
      <w:bookmarkEnd w:id="0"/>
    </w:p>
    <w:p w14:paraId="67D4A98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项目概况</w:t>
      </w:r>
    </w:p>
    <w:p w14:paraId="5A20A31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乌鲁木齐市沙依巴克区分局食堂餐饮服务采购项目</w:t>
      </w:r>
      <w:r>
        <w:rPr>
          <w:rFonts w:hint="eastAsia" w:ascii="仿宋" w:hAnsi="仿宋" w:eastAsia="仿宋" w:cs="仿宋"/>
          <w:color w:val="000000" w:themeColor="text1"/>
          <w:sz w:val="24"/>
          <w:szCs w:val="24"/>
          <w:highlight w:val="none"/>
          <w14:textFill>
            <w14:solidFill>
              <w14:schemeClr w14:val="tx1"/>
            </w14:solidFill>
          </w14:textFill>
        </w:rPr>
        <w:t>招标项目的潜在投标人应在政采云平台线上获取招标文件，并于2025年</w:t>
      </w:r>
      <w:r>
        <w:rPr>
          <w:rFonts w:hint="eastAsia" w:ascii="仿宋" w:hAnsi="仿宋" w:eastAsia="仿宋" w:cs="仿宋"/>
          <w:color w:val="000000" w:themeColor="text1"/>
          <w:sz w:val="24"/>
          <w:szCs w:val="24"/>
          <w:highlight w:val="none"/>
          <w:lang w:val="en-US" w:eastAsia="zh-CN"/>
          <w14:textFill>
            <w14:solidFill>
              <w14:schemeClr w14:val="tx1"/>
            </w14:solidFill>
          </w14:textFill>
        </w:rPr>
        <w:t>07月16日16:00</w:t>
      </w:r>
      <w:r>
        <w:rPr>
          <w:rFonts w:hint="eastAsia" w:ascii="仿宋" w:hAnsi="仿宋" w:eastAsia="仿宋" w:cs="仿宋"/>
          <w:color w:val="000000" w:themeColor="text1"/>
          <w:sz w:val="24"/>
          <w:szCs w:val="24"/>
          <w:highlight w:val="none"/>
          <w14:textFill>
            <w14:solidFill>
              <w14:schemeClr w14:val="tx1"/>
            </w14:solidFill>
          </w14:textFill>
        </w:rPr>
        <w:t>（北京时间）前递交投标文件。</w:t>
      </w:r>
    </w:p>
    <w:p w14:paraId="60F3AA5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一、项目基本情况</w:t>
      </w:r>
    </w:p>
    <w:p w14:paraId="0D9FC3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项目编号：</w:t>
      </w:r>
      <w:r>
        <w:rPr>
          <w:rFonts w:hint="eastAsia" w:ascii="仿宋" w:hAnsi="仿宋" w:eastAsia="仿宋" w:cs="仿宋"/>
          <w:color w:val="000000" w:themeColor="text1"/>
          <w:sz w:val="24"/>
          <w:szCs w:val="24"/>
          <w:highlight w:val="none"/>
          <w:lang w:eastAsia="zh-CN"/>
          <w14:textFill>
            <w14:solidFill>
              <w14:schemeClr w14:val="tx1"/>
            </w14:solidFill>
          </w14:textFill>
        </w:rPr>
        <w:t>XSJ2025</w:t>
      </w:r>
      <w:r>
        <w:rPr>
          <w:rFonts w:hint="eastAsia" w:ascii="仿宋" w:hAnsi="仿宋" w:eastAsia="仿宋" w:cs="仿宋"/>
          <w:color w:val="000000" w:themeColor="text1"/>
          <w:sz w:val="24"/>
          <w:szCs w:val="24"/>
          <w:highlight w:val="none"/>
          <w:lang w:val="en-US" w:eastAsia="zh-CN"/>
          <w14:textFill>
            <w14:solidFill>
              <w14:schemeClr w14:val="tx1"/>
            </w14:solidFill>
          </w14:textFill>
        </w:rPr>
        <w:t>0625</w:t>
      </w:r>
    </w:p>
    <w:p w14:paraId="1971BF0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项目名称：</w:t>
      </w:r>
      <w:r>
        <w:rPr>
          <w:rFonts w:hint="eastAsia" w:ascii="仿宋" w:hAnsi="仿宋" w:eastAsia="仿宋" w:cs="仿宋"/>
          <w:color w:val="000000" w:themeColor="text1"/>
          <w:sz w:val="24"/>
          <w:szCs w:val="24"/>
          <w:highlight w:val="none"/>
          <w:lang w:eastAsia="zh-CN"/>
          <w14:textFill>
            <w14:solidFill>
              <w14:schemeClr w14:val="tx1"/>
            </w14:solidFill>
          </w14:textFill>
        </w:rPr>
        <w:t>乌鲁木齐市沙依巴克区分局食堂餐饮服务采购项目</w:t>
      </w:r>
    </w:p>
    <w:p w14:paraId="54211E0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采购方式：公开招标</w:t>
      </w:r>
    </w:p>
    <w:p w14:paraId="2594055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预算金额（元）：</w:t>
      </w:r>
      <w:r>
        <w:rPr>
          <w:rFonts w:hint="eastAsia" w:ascii="仿宋" w:hAnsi="仿宋" w:eastAsia="仿宋" w:cs="仿宋"/>
          <w:color w:val="000000" w:themeColor="text1"/>
          <w:sz w:val="24"/>
          <w:szCs w:val="24"/>
          <w:highlight w:val="none"/>
          <w:lang w:val="en-US" w:eastAsia="zh-CN"/>
          <w14:textFill>
            <w14:solidFill>
              <w14:schemeClr w14:val="tx1"/>
            </w14:solidFill>
          </w14:textFill>
        </w:rPr>
        <w:t>2400000.00</w:t>
      </w:r>
    </w:p>
    <w:p w14:paraId="24249E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最高限价（元）：</w:t>
      </w:r>
      <w:r>
        <w:rPr>
          <w:rFonts w:hint="eastAsia" w:ascii="仿宋" w:hAnsi="仿宋" w:eastAsia="仿宋" w:cs="仿宋"/>
          <w:color w:val="000000" w:themeColor="text1"/>
          <w:sz w:val="24"/>
          <w:szCs w:val="24"/>
          <w:highlight w:val="none"/>
          <w:lang w:val="en-US" w:eastAsia="zh-CN"/>
          <w14:textFill>
            <w14:solidFill>
              <w14:schemeClr w14:val="tx1"/>
            </w14:solidFill>
          </w14:textFill>
        </w:rPr>
        <w:t>2400000.00</w:t>
      </w:r>
    </w:p>
    <w:p w14:paraId="35114F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简要规格描述或项目基本概况介绍、用途：</w:t>
      </w:r>
      <w:r>
        <w:rPr>
          <w:rFonts w:hint="eastAsia" w:ascii="仿宋" w:hAnsi="仿宋" w:eastAsia="仿宋" w:cs="仿宋"/>
          <w:color w:val="000000" w:themeColor="text1"/>
          <w:sz w:val="24"/>
          <w:szCs w:val="24"/>
          <w:highlight w:val="none"/>
          <w:lang w:eastAsia="zh-CN"/>
          <w14:textFill>
            <w14:solidFill>
              <w14:schemeClr w14:val="tx1"/>
            </w14:solidFill>
          </w14:textFill>
        </w:rPr>
        <w:t>食堂餐饮服务</w:t>
      </w:r>
    </w:p>
    <w:p w14:paraId="38C4218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合同履约期限：</w:t>
      </w:r>
      <w:r>
        <w:rPr>
          <w:rFonts w:hint="eastAsia" w:ascii="仿宋" w:hAnsi="仿宋" w:eastAsia="仿宋" w:cs="仿宋"/>
          <w:color w:val="000000" w:themeColor="text1"/>
          <w:sz w:val="24"/>
          <w:szCs w:val="24"/>
          <w:highlight w:val="none"/>
          <w:lang w:eastAsia="zh-CN"/>
          <w14:textFill>
            <w14:solidFill>
              <w14:schemeClr w14:val="tx1"/>
            </w14:solidFill>
          </w14:textFill>
        </w:rPr>
        <w:t>自合同签订之日起1年</w:t>
      </w:r>
    </w:p>
    <w:p w14:paraId="28A2D50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本项目（否）接受联合体投标。</w:t>
      </w:r>
    </w:p>
    <w:p w14:paraId="10C9980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w:t>
      </w: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的资格要求：</w:t>
      </w:r>
    </w:p>
    <w:p w14:paraId="1ABCBFD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满足《中华人民共和国政府采购法》第二十二条规定。</w:t>
      </w:r>
    </w:p>
    <w:p w14:paraId="25733C8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投标人为小微企业。</w:t>
      </w:r>
    </w:p>
    <w:p w14:paraId="44C99845">
      <w:pPr>
        <w:widowControl/>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投标人如在“信用中国”网站（www.creditchina.gov.cn）、中国政府采购网（www.ccgp.gov.cn）等渠道被列入失信被执行人、重大税收违法失信主体、政府采购严重违法失信行为记录名单，尚在处罚期内的将被拒绝参加本次采购活动。</w:t>
      </w:r>
    </w:p>
    <w:p w14:paraId="074D8260">
      <w:pPr>
        <w:widowControl/>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4"/>
          <w:szCs w:val="24"/>
          <w:highlight w:val="none"/>
          <w:lang w:eastAsia="zh-CN" w:bidi="ar"/>
          <w14:textFill>
            <w14:solidFill>
              <w14:schemeClr w14:val="tx1"/>
            </w14:solidFill>
          </w14:textFill>
        </w:rPr>
        <w:t>投标人须具备有效的《食品经营许可证》或《餐饮服务许可证》或《食品流通许可证》</w:t>
      </w:r>
      <w:r>
        <w:rPr>
          <w:rFonts w:hint="eastAsia" w:ascii="仿宋" w:hAnsi="仿宋" w:eastAsia="仿宋" w:cs="仿宋"/>
          <w:color w:val="000000" w:themeColor="text1"/>
          <w:kern w:val="0"/>
          <w:sz w:val="24"/>
          <w:szCs w:val="24"/>
          <w:highlight w:val="none"/>
          <w:lang w:bidi="ar"/>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br w:type="textWrapping"/>
      </w:r>
      <w:r>
        <w:rPr>
          <w:rFonts w:hint="eastAsia" w:ascii="仿宋" w:hAnsi="仿宋" w:eastAsia="仿宋" w:cs="仿宋"/>
          <w:color w:val="000000" w:themeColor="text1"/>
          <w:sz w:val="24"/>
          <w:szCs w:val="24"/>
          <w:highlight w:val="none"/>
          <w14:textFill>
            <w14:solidFill>
              <w14:schemeClr w14:val="tx1"/>
            </w14:solidFill>
          </w14:textFill>
        </w:rPr>
        <w:t>三、获取招标文件</w:t>
      </w:r>
    </w:p>
    <w:p w14:paraId="183858E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时间：2025年</w:t>
      </w:r>
      <w:r>
        <w:rPr>
          <w:rFonts w:hint="eastAsia" w:ascii="仿宋" w:hAnsi="仿宋" w:eastAsia="仿宋" w:cs="仿宋"/>
          <w:color w:val="000000" w:themeColor="text1"/>
          <w:sz w:val="24"/>
          <w:szCs w:val="24"/>
          <w:highlight w:val="none"/>
          <w:lang w:val="en-US" w:eastAsia="zh-CN"/>
          <w14:textFill>
            <w14:solidFill>
              <w14:schemeClr w14:val="tx1"/>
            </w14:solidFill>
          </w14:textFill>
        </w:rPr>
        <w:t>06</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25</w:t>
      </w:r>
      <w:r>
        <w:rPr>
          <w:rFonts w:hint="eastAsia" w:ascii="仿宋" w:hAnsi="仿宋" w:eastAsia="仿宋" w:cs="仿宋"/>
          <w:color w:val="000000" w:themeColor="text1"/>
          <w:sz w:val="24"/>
          <w:szCs w:val="24"/>
          <w:highlight w:val="none"/>
          <w14:textFill>
            <w14:solidFill>
              <w14:schemeClr w14:val="tx1"/>
            </w14:solidFill>
          </w14:textFill>
        </w:rPr>
        <w:t>日至2025年</w:t>
      </w:r>
      <w:r>
        <w:rPr>
          <w:rFonts w:hint="eastAsia" w:ascii="仿宋" w:hAnsi="仿宋" w:eastAsia="仿宋" w:cs="仿宋"/>
          <w:color w:val="000000" w:themeColor="text1"/>
          <w:sz w:val="24"/>
          <w:szCs w:val="24"/>
          <w:highlight w:val="none"/>
          <w:lang w:val="en-US" w:eastAsia="zh-CN"/>
          <w14:textFill>
            <w14:solidFill>
              <w14:schemeClr w14:val="tx1"/>
            </w14:solidFill>
          </w14:textFill>
        </w:rPr>
        <w:t>07</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02</w:t>
      </w:r>
      <w:r>
        <w:rPr>
          <w:rFonts w:hint="eastAsia" w:ascii="仿宋" w:hAnsi="仿宋" w:eastAsia="仿宋" w:cs="仿宋"/>
          <w:color w:val="000000" w:themeColor="text1"/>
          <w:sz w:val="24"/>
          <w:szCs w:val="24"/>
          <w:highlight w:val="none"/>
          <w14:textFill>
            <w14:solidFill>
              <w14:schemeClr w14:val="tx1"/>
            </w14:solidFill>
          </w14:textFill>
        </w:rPr>
        <w:t>日，每天上午00:00至1</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:00，下午1</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:00至23:59（北京时间，法定节假日除外）</w:t>
      </w:r>
    </w:p>
    <w:p w14:paraId="409E127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地点：政采云平台线上</w:t>
      </w:r>
    </w:p>
    <w:p w14:paraId="58B5E7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方式：</w:t>
      </w:r>
      <w:r>
        <w:rPr>
          <w:rFonts w:hint="eastAsia" w:ascii="仿宋" w:hAnsi="仿宋" w:eastAsia="仿宋" w:cs="仿宋"/>
          <w:color w:val="000000" w:themeColor="text1"/>
          <w:sz w:val="24"/>
          <w:szCs w:val="24"/>
          <w:highlight w:val="none"/>
          <w:lang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登录政采云平台https://www.zcygov.cn/在线申请获取采购文件（进入“项目采购”应用，在获取采购文件菜单中选择项目，申请获取采购文件），或者点击采购公告底部潜在</w:t>
      </w:r>
      <w:r>
        <w:rPr>
          <w:rFonts w:hint="eastAsia" w:ascii="仿宋" w:hAnsi="仿宋" w:eastAsia="仿宋" w:cs="仿宋"/>
          <w:color w:val="000000" w:themeColor="text1"/>
          <w:sz w:val="24"/>
          <w:szCs w:val="24"/>
          <w:highlight w:val="none"/>
          <w:lang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“获取采购文件”，页面跳转后登陆，直接获取采购文件。</w:t>
      </w:r>
    </w:p>
    <w:p w14:paraId="49D0339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售价（元）：0</w:t>
      </w:r>
    </w:p>
    <w:p w14:paraId="47C2F7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四、提交投标文件截止时间、开标时间和地点</w:t>
      </w:r>
    </w:p>
    <w:p w14:paraId="0ED75A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提交投标文件截止时间：2025年</w:t>
      </w:r>
      <w:r>
        <w:rPr>
          <w:rFonts w:hint="eastAsia" w:ascii="仿宋" w:hAnsi="仿宋" w:eastAsia="仿宋" w:cs="仿宋"/>
          <w:color w:val="000000" w:themeColor="text1"/>
          <w:sz w:val="24"/>
          <w:szCs w:val="24"/>
          <w:highlight w:val="none"/>
          <w:lang w:val="en-US" w:eastAsia="zh-CN"/>
          <w14:textFill>
            <w14:solidFill>
              <w14:schemeClr w14:val="tx1"/>
            </w14:solidFill>
          </w14:textFill>
        </w:rPr>
        <w:t>07月16日 16:00</w:t>
      </w:r>
      <w:r>
        <w:rPr>
          <w:rFonts w:hint="eastAsia" w:ascii="仿宋" w:hAnsi="仿宋" w:eastAsia="仿宋" w:cs="仿宋"/>
          <w:color w:val="000000" w:themeColor="text1"/>
          <w:sz w:val="24"/>
          <w:szCs w:val="24"/>
          <w:highlight w:val="none"/>
          <w14:textFill>
            <w14:solidFill>
              <w14:schemeClr w14:val="tx1"/>
            </w14:solidFill>
          </w14:textFill>
        </w:rPr>
        <w:t>（北京时间）</w:t>
      </w:r>
    </w:p>
    <w:p w14:paraId="116BF28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投标地点：请登录政采云投标客户端投标</w:t>
      </w:r>
    </w:p>
    <w:p w14:paraId="4CB28AE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开标时间：2025年</w:t>
      </w:r>
      <w:r>
        <w:rPr>
          <w:rFonts w:hint="eastAsia" w:ascii="仿宋" w:hAnsi="仿宋" w:eastAsia="仿宋" w:cs="仿宋"/>
          <w:color w:val="000000" w:themeColor="text1"/>
          <w:sz w:val="24"/>
          <w:szCs w:val="24"/>
          <w:highlight w:val="none"/>
          <w:lang w:val="en-US" w:eastAsia="zh-CN"/>
          <w14:textFill>
            <w14:solidFill>
              <w14:schemeClr w14:val="tx1"/>
            </w14:solidFill>
          </w14:textFill>
        </w:rPr>
        <w:t>07月16日 16:00</w:t>
      </w:r>
      <w:r>
        <w:rPr>
          <w:rFonts w:hint="eastAsia" w:ascii="仿宋" w:hAnsi="仿宋" w:eastAsia="仿宋" w:cs="仿宋"/>
          <w:color w:val="000000" w:themeColor="text1"/>
          <w:sz w:val="24"/>
          <w:szCs w:val="24"/>
          <w:highlight w:val="none"/>
          <w14:textFill>
            <w14:solidFill>
              <w14:schemeClr w14:val="tx1"/>
            </w14:solidFill>
          </w14:textFill>
        </w:rPr>
        <w:t>（北京时间）</w:t>
      </w:r>
    </w:p>
    <w:p w14:paraId="1A112F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开标地点：投标人登录政采云平台https://www.zcygov.cn/，进入“项目采购-开标评标-右边选择对应项目点击“进入项目”进入开标大厅。</w:t>
      </w:r>
    </w:p>
    <w:p w14:paraId="267BB8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五、公告期限</w:t>
      </w:r>
    </w:p>
    <w:p w14:paraId="2345FBA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自本公告发布之日起5个工作日。</w:t>
      </w:r>
    </w:p>
    <w:p w14:paraId="4E0AF9E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六、对本次采购提出询问，请按以下方式联系</w:t>
      </w:r>
    </w:p>
    <w:p w14:paraId="410FEDC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1.采购人信息</w:t>
      </w:r>
    </w:p>
    <w:p w14:paraId="0B0E69D5">
      <w:pPr>
        <w:spacing w:line="360" w:lineRule="auto"/>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名 称：</w:t>
      </w:r>
      <w:r>
        <w:rPr>
          <w:rFonts w:hint="eastAsia" w:ascii="仿宋" w:hAnsi="仿宋" w:eastAsia="仿宋" w:cs="仿宋"/>
          <w:color w:val="000000" w:themeColor="text1"/>
          <w:sz w:val="24"/>
          <w:szCs w:val="24"/>
          <w:highlight w:val="none"/>
          <w:lang w:eastAsia="zh-CN"/>
          <w14:textFill>
            <w14:solidFill>
              <w14:schemeClr w14:val="tx1"/>
            </w14:solidFill>
          </w14:textFill>
        </w:rPr>
        <w:t>乌鲁木齐市公安局沙依巴克区分局</w:t>
      </w:r>
    </w:p>
    <w:p w14:paraId="663844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 址：乌鲁木齐市沙依巴克区经一路4号</w:t>
      </w:r>
    </w:p>
    <w:p w14:paraId="76E961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联系方式：</w:t>
      </w:r>
      <w:r>
        <w:rPr>
          <w:rFonts w:hint="eastAsia" w:ascii="仿宋" w:hAnsi="仿宋" w:eastAsia="仿宋" w:cs="仿宋"/>
          <w:color w:val="000000" w:themeColor="text1"/>
          <w:sz w:val="24"/>
          <w:szCs w:val="24"/>
          <w:highlight w:val="none"/>
          <w:lang w:eastAsia="zh-CN"/>
          <w14:textFill>
            <w14:solidFill>
              <w14:schemeClr w14:val="tx1"/>
            </w14:solidFill>
          </w14:textFill>
        </w:rPr>
        <w:t>0991-2163103</w:t>
      </w:r>
    </w:p>
    <w:p w14:paraId="23D963B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2.采购代理机构信息</w:t>
      </w:r>
    </w:p>
    <w:p w14:paraId="3AE25F7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名 称：新疆新世纪招标有限公司</w:t>
      </w:r>
    </w:p>
    <w:p w14:paraId="53578F7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 址：乌鲁木齐市新兴街20号凤凰大厦五楼</w:t>
      </w:r>
    </w:p>
    <w:p w14:paraId="60A7EFE0">
      <w:pPr>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联系方式：</w:t>
      </w:r>
      <w:r>
        <w:rPr>
          <w:rFonts w:hint="eastAsia" w:ascii="仿宋" w:hAnsi="仿宋" w:eastAsia="仿宋" w:cs="仿宋"/>
          <w:color w:val="000000" w:themeColor="text1"/>
          <w:sz w:val="24"/>
          <w:szCs w:val="24"/>
          <w:highlight w:val="none"/>
          <w:lang w:val="en-US" w:eastAsia="zh-CN"/>
          <w14:textFill>
            <w14:solidFill>
              <w14:schemeClr w14:val="tx1"/>
            </w14:solidFill>
          </w14:textFill>
        </w:rPr>
        <w:t>17390944794</w:t>
      </w:r>
    </w:p>
    <w:p w14:paraId="6BE5744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3.项目联系方式</w:t>
      </w:r>
    </w:p>
    <w:p w14:paraId="766E7DEE">
      <w:pPr>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项目联系人：</w:t>
      </w:r>
      <w:r>
        <w:rPr>
          <w:rFonts w:hint="eastAsia" w:ascii="仿宋" w:hAnsi="仿宋" w:eastAsia="仿宋" w:cs="仿宋"/>
          <w:color w:val="000000" w:themeColor="text1"/>
          <w:sz w:val="24"/>
          <w:szCs w:val="24"/>
          <w:highlight w:val="none"/>
          <w:lang w:val="en-US" w:eastAsia="zh-CN"/>
          <w14:textFill>
            <w14:solidFill>
              <w14:schemeClr w14:val="tx1"/>
            </w14:solidFill>
          </w14:textFill>
        </w:rPr>
        <w:t>周帅廷、马丹阳</w:t>
      </w:r>
    </w:p>
    <w:p w14:paraId="0560E09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 话：0991-4661782</w:t>
      </w:r>
    </w:p>
    <w:p w14:paraId="4CEA1E82">
      <w:pPr>
        <w:pStyle w:val="10"/>
        <w:rPr>
          <w:rFonts w:hint="eastAsia" w:ascii="仿宋" w:hAnsi="仿宋" w:eastAsia="仿宋" w:cs="仿宋"/>
          <w:color w:val="000000" w:themeColor="text1"/>
          <w:highlight w:val="none"/>
          <w14:textFill>
            <w14:solidFill>
              <w14:schemeClr w14:val="tx1"/>
            </w14:solidFill>
          </w14:textFill>
        </w:rPr>
      </w:pPr>
    </w:p>
    <w:p w14:paraId="20CCF4FC">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p>
    <w:p w14:paraId="06BA5047">
      <w:pPr>
        <w:rPr>
          <w:rFonts w:hint="eastAsia" w:ascii="仿宋" w:hAnsi="仿宋" w:eastAsia="仿宋" w:cs="仿宋"/>
          <w:color w:val="000000" w:themeColor="text1"/>
          <w:sz w:val="24"/>
          <w:highlight w:val="none"/>
          <w14:textFill>
            <w14:solidFill>
              <w14:schemeClr w14:val="tx1"/>
            </w14:solidFill>
          </w14:textFill>
        </w:rPr>
        <w:sectPr>
          <w:footerReference r:id="rId6" w:type="default"/>
          <w:pgSz w:w="11906" w:h="16838"/>
          <w:pgMar w:top="1361" w:right="1134" w:bottom="1361" w:left="1418" w:header="851" w:footer="992" w:gutter="0"/>
          <w:pgNumType w:start="1"/>
          <w:cols w:space="720" w:num="1"/>
          <w:docGrid w:type="lines" w:linePitch="312" w:charSpace="0"/>
        </w:sectPr>
      </w:pPr>
    </w:p>
    <w:p w14:paraId="73F38540">
      <w:pPr>
        <w:spacing w:line="440" w:lineRule="exact"/>
        <w:jc w:val="center"/>
        <w:outlineLvl w:val="0"/>
        <w:rPr>
          <w:rFonts w:hint="eastAsia" w:ascii="仿宋" w:hAnsi="仿宋" w:eastAsia="仿宋" w:cs="仿宋"/>
          <w:b/>
          <w:color w:val="000000" w:themeColor="text1"/>
          <w:sz w:val="24"/>
          <w:szCs w:val="24"/>
          <w:highlight w:val="none"/>
          <w14:textFill>
            <w14:solidFill>
              <w14:schemeClr w14:val="tx1"/>
            </w14:solidFill>
          </w14:textFill>
        </w:rPr>
      </w:pPr>
      <w:bookmarkStart w:id="1" w:name="_Toc4627"/>
      <w:r>
        <w:rPr>
          <w:rFonts w:hint="eastAsia" w:ascii="仿宋" w:hAnsi="仿宋" w:eastAsia="仿宋" w:cs="仿宋"/>
          <w:b/>
          <w:color w:val="000000" w:themeColor="text1"/>
          <w:sz w:val="24"/>
          <w:szCs w:val="24"/>
          <w:highlight w:val="none"/>
          <w14:textFill>
            <w14:solidFill>
              <w14:schemeClr w14:val="tx1"/>
            </w14:solidFill>
          </w14:textFill>
        </w:rPr>
        <w:t>投标人须知前附表</w:t>
      </w:r>
      <w:bookmarkEnd w:id="1"/>
    </w:p>
    <w:tbl>
      <w:tblPr>
        <w:tblStyle w:val="39"/>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410"/>
        <w:gridCol w:w="7073"/>
      </w:tblGrid>
      <w:tr w14:paraId="52873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07317197">
            <w:pPr>
              <w:jc w:val="center"/>
              <w:rPr>
                <w:rFonts w:hint="eastAsia" w:ascii="仿宋" w:hAnsi="仿宋" w:eastAsia="仿宋" w:cs="仿宋"/>
                <w:b/>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kern w:val="0"/>
                <w:szCs w:val="21"/>
                <w:highlight w:val="none"/>
                <w14:textFill>
                  <w14:solidFill>
                    <w14:schemeClr w14:val="tx1"/>
                  </w14:solidFill>
                </w14:textFill>
              </w:rPr>
              <w:t>项号</w:t>
            </w:r>
          </w:p>
        </w:tc>
        <w:tc>
          <w:tcPr>
            <w:tcW w:w="8483" w:type="dxa"/>
            <w:gridSpan w:val="2"/>
            <w:vAlign w:val="center"/>
          </w:tcPr>
          <w:p w14:paraId="660C8486">
            <w:pPr>
              <w:jc w:val="center"/>
              <w:rPr>
                <w:rFonts w:hint="eastAsia" w:ascii="仿宋" w:hAnsi="仿宋" w:eastAsia="仿宋" w:cs="仿宋"/>
                <w:b/>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kern w:val="0"/>
                <w:szCs w:val="21"/>
                <w:highlight w:val="none"/>
                <w14:textFill>
                  <w14:solidFill>
                    <w14:schemeClr w14:val="tx1"/>
                  </w14:solidFill>
                </w14:textFill>
              </w:rPr>
              <w:t>编列内容</w:t>
            </w:r>
          </w:p>
        </w:tc>
      </w:tr>
      <w:tr w14:paraId="48B2A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631F3A7B">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w:t>
            </w:r>
          </w:p>
        </w:tc>
        <w:tc>
          <w:tcPr>
            <w:tcW w:w="1410" w:type="dxa"/>
            <w:vAlign w:val="center"/>
          </w:tcPr>
          <w:p w14:paraId="06DA83F6">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项目名称</w:t>
            </w:r>
          </w:p>
        </w:tc>
        <w:tc>
          <w:tcPr>
            <w:tcW w:w="7073" w:type="dxa"/>
            <w:vAlign w:val="center"/>
          </w:tcPr>
          <w:p w14:paraId="46FED05E">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000000" w:themeColor="text1"/>
                <w:kern w:val="0"/>
                <w:szCs w:val="21"/>
                <w:highlight w:val="none"/>
                <w:lang w:eastAsia="zh-CN"/>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乌鲁木齐市沙依巴克区分局食堂餐饮服务采购项目</w:t>
            </w:r>
          </w:p>
        </w:tc>
      </w:tr>
      <w:tr w14:paraId="64419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C39C16B">
            <w:pPr>
              <w:jc w:val="center"/>
              <w:rPr>
                <w:rFonts w:hint="eastAsia" w:ascii="仿宋" w:hAnsi="仿宋" w:eastAsia="仿宋" w:cs="仿宋"/>
                <w:color w:val="000000" w:themeColor="text1"/>
                <w:kern w:val="0"/>
                <w:szCs w:val="21"/>
                <w:highlight w:val="none"/>
                <w14:textFill>
                  <w14:solidFill>
                    <w14:schemeClr w14:val="tx1"/>
                  </w14:solidFill>
                </w14:textFill>
              </w:rPr>
            </w:pPr>
          </w:p>
        </w:tc>
        <w:tc>
          <w:tcPr>
            <w:tcW w:w="1410" w:type="dxa"/>
            <w:vAlign w:val="center"/>
          </w:tcPr>
          <w:p w14:paraId="365A0AE7">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项目编号</w:t>
            </w:r>
          </w:p>
        </w:tc>
        <w:tc>
          <w:tcPr>
            <w:tcW w:w="7073" w:type="dxa"/>
            <w:vAlign w:val="center"/>
          </w:tcPr>
          <w:p w14:paraId="53AD51D0">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default"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XSJ2025</w:t>
            </w:r>
            <w:r>
              <w:rPr>
                <w:rFonts w:hint="eastAsia" w:ascii="仿宋" w:hAnsi="仿宋" w:eastAsia="仿宋" w:cs="仿宋"/>
                <w:color w:val="000000" w:themeColor="text1"/>
                <w:kern w:val="0"/>
                <w:szCs w:val="21"/>
                <w:highlight w:val="none"/>
                <w:lang w:val="en-US" w:eastAsia="zh-CN"/>
                <w14:textFill>
                  <w14:solidFill>
                    <w14:schemeClr w14:val="tx1"/>
                  </w14:solidFill>
                </w14:textFill>
              </w:rPr>
              <w:t>0625</w:t>
            </w:r>
          </w:p>
        </w:tc>
      </w:tr>
      <w:tr w14:paraId="787A1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BD19D84">
            <w:pPr>
              <w:jc w:val="center"/>
              <w:rPr>
                <w:rFonts w:hint="eastAsia" w:ascii="仿宋" w:hAnsi="仿宋" w:eastAsia="仿宋" w:cs="仿宋"/>
                <w:color w:val="000000" w:themeColor="text1"/>
                <w:kern w:val="0"/>
                <w:szCs w:val="21"/>
                <w:highlight w:val="none"/>
                <w14:textFill>
                  <w14:solidFill>
                    <w14:schemeClr w14:val="tx1"/>
                  </w14:solidFill>
                </w14:textFill>
              </w:rPr>
            </w:pPr>
          </w:p>
        </w:tc>
        <w:tc>
          <w:tcPr>
            <w:tcW w:w="1410" w:type="dxa"/>
            <w:vAlign w:val="center"/>
          </w:tcPr>
          <w:p w14:paraId="06F51068">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采购人</w:t>
            </w:r>
          </w:p>
        </w:tc>
        <w:tc>
          <w:tcPr>
            <w:tcW w:w="7073" w:type="dxa"/>
            <w:vAlign w:val="center"/>
          </w:tcPr>
          <w:p w14:paraId="320003BE">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000000" w:themeColor="text1"/>
                <w:kern w:val="0"/>
                <w:szCs w:val="21"/>
                <w:highlight w:val="none"/>
                <w:lang w:eastAsia="zh-CN"/>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乌鲁木齐市公安局沙依巴克区分局</w:t>
            </w:r>
          </w:p>
        </w:tc>
      </w:tr>
      <w:tr w14:paraId="3A55C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85" w:hRule="atLeast"/>
          <w:jc w:val="center"/>
        </w:trPr>
        <w:tc>
          <w:tcPr>
            <w:tcW w:w="597" w:type="dxa"/>
            <w:vMerge w:val="continue"/>
            <w:vAlign w:val="center"/>
          </w:tcPr>
          <w:p w14:paraId="4A5394D2">
            <w:pPr>
              <w:jc w:val="center"/>
              <w:rPr>
                <w:rFonts w:hint="eastAsia" w:ascii="仿宋" w:hAnsi="仿宋" w:eastAsia="仿宋" w:cs="仿宋"/>
                <w:color w:val="000000" w:themeColor="text1"/>
                <w:kern w:val="0"/>
                <w:szCs w:val="21"/>
                <w:highlight w:val="none"/>
                <w14:textFill>
                  <w14:solidFill>
                    <w14:schemeClr w14:val="tx1"/>
                  </w14:solidFill>
                </w14:textFill>
              </w:rPr>
            </w:pPr>
          </w:p>
        </w:tc>
        <w:tc>
          <w:tcPr>
            <w:tcW w:w="1410" w:type="dxa"/>
            <w:vAlign w:val="center"/>
          </w:tcPr>
          <w:p w14:paraId="645B288D">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采购代理机构</w:t>
            </w:r>
          </w:p>
        </w:tc>
        <w:tc>
          <w:tcPr>
            <w:tcW w:w="7073" w:type="dxa"/>
            <w:vAlign w:val="center"/>
          </w:tcPr>
          <w:p w14:paraId="2CE93CC6">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新疆新世纪招标有限公司</w:t>
            </w:r>
          </w:p>
        </w:tc>
      </w:tr>
      <w:tr w14:paraId="663C5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DE7153C">
            <w:pPr>
              <w:jc w:val="center"/>
              <w:rPr>
                <w:rFonts w:hint="eastAsia" w:ascii="仿宋" w:hAnsi="仿宋" w:eastAsia="仿宋" w:cs="仿宋"/>
                <w:color w:val="000000" w:themeColor="text1"/>
                <w:kern w:val="0"/>
                <w:szCs w:val="21"/>
                <w:highlight w:val="none"/>
                <w14:textFill>
                  <w14:solidFill>
                    <w14:schemeClr w14:val="tx1"/>
                  </w14:solidFill>
                </w14:textFill>
              </w:rPr>
            </w:pPr>
          </w:p>
        </w:tc>
        <w:tc>
          <w:tcPr>
            <w:tcW w:w="1410" w:type="dxa"/>
            <w:vAlign w:val="center"/>
          </w:tcPr>
          <w:p w14:paraId="27B06FA7">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项目地点</w:t>
            </w:r>
          </w:p>
        </w:tc>
        <w:tc>
          <w:tcPr>
            <w:tcW w:w="7073" w:type="dxa"/>
            <w:vAlign w:val="center"/>
          </w:tcPr>
          <w:p w14:paraId="4D10BE5B">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乌鲁木齐市</w:t>
            </w:r>
          </w:p>
        </w:tc>
      </w:tr>
      <w:tr w14:paraId="36342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FD0260A">
            <w:pPr>
              <w:jc w:val="center"/>
              <w:rPr>
                <w:rFonts w:hint="eastAsia" w:ascii="仿宋" w:hAnsi="仿宋" w:eastAsia="仿宋" w:cs="仿宋"/>
                <w:color w:val="000000" w:themeColor="text1"/>
                <w:kern w:val="0"/>
                <w:szCs w:val="21"/>
                <w:highlight w:val="none"/>
                <w14:textFill>
                  <w14:solidFill>
                    <w14:schemeClr w14:val="tx1"/>
                  </w14:solidFill>
                </w14:textFill>
              </w:rPr>
            </w:pPr>
          </w:p>
        </w:tc>
        <w:tc>
          <w:tcPr>
            <w:tcW w:w="1410" w:type="dxa"/>
            <w:vAlign w:val="center"/>
          </w:tcPr>
          <w:p w14:paraId="2C055750">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资金来源</w:t>
            </w:r>
          </w:p>
        </w:tc>
        <w:tc>
          <w:tcPr>
            <w:tcW w:w="7073" w:type="dxa"/>
            <w:vAlign w:val="center"/>
          </w:tcPr>
          <w:p w14:paraId="4099B549">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财政资金</w:t>
            </w:r>
          </w:p>
        </w:tc>
      </w:tr>
      <w:tr w14:paraId="14918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7DDA7C6">
            <w:pPr>
              <w:jc w:val="center"/>
              <w:rPr>
                <w:rFonts w:hint="eastAsia" w:ascii="仿宋" w:hAnsi="仿宋" w:eastAsia="仿宋" w:cs="仿宋"/>
                <w:color w:val="000000" w:themeColor="text1"/>
                <w:kern w:val="0"/>
                <w:szCs w:val="21"/>
                <w:highlight w:val="none"/>
                <w14:textFill>
                  <w14:solidFill>
                    <w14:schemeClr w14:val="tx1"/>
                  </w14:solidFill>
                </w14:textFill>
              </w:rPr>
            </w:pPr>
          </w:p>
        </w:tc>
        <w:tc>
          <w:tcPr>
            <w:tcW w:w="1410" w:type="dxa"/>
            <w:vAlign w:val="center"/>
          </w:tcPr>
          <w:p w14:paraId="3E641FD3">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采购预算金额</w:t>
            </w:r>
          </w:p>
        </w:tc>
        <w:tc>
          <w:tcPr>
            <w:tcW w:w="7073" w:type="dxa"/>
            <w:vAlign w:val="center"/>
          </w:tcPr>
          <w:p w14:paraId="0B73B803">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240.00万元</w:t>
            </w:r>
          </w:p>
        </w:tc>
      </w:tr>
      <w:tr w14:paraId="30EFA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C46E238">
            <w:pPr>
              <w:jc w:val="center"/>
              <w:rPr>
                <w:rFonts w:hint="eastAsia" w:ascii="仿宋" w:hAnsi="仿宋" w:eastAsia="仿宋" w:cs="仿宋"/>
                <w:color w:val="000000" w:themeColor="text1"/>
                <w:kern w:val="0"/>
                <w:szCs w:val="21"/>
                <w:highlight w:val="none"/>
                <w14:textFill>
                  <w14:solidFill>
                    <w14:schemeClr w14:val="tx1"/>
                  </w14:solidFill>
                </w14:textFill>
              </w:rPr>
            </w:pPr>
          </w:p>
        </w:tc>
        <w:tc>
          <w:tcPr>
            <w:tcW w:w="1410" w:type="dxa"/>
            <w:vAlign w:val="center"/>
          </w:tcPr>
          <w:p w14:paraId="1E1951EB">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最高限价</w:t>
            </w:r>
          </w:p>
        </w:tc>
        <w:tc>
          <w:tcPr>
            <w:tcW w:w="7073" w:type="dxa"/>
            <w:vAlign w:val="center"/>
          </w:tcPr>
          <w:p w14:paraId="6031052C">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240.00万元</w:t>
            </w:r>
          </w:p>
        </w:tc>
      </w:tr>
      <w:tr w14:paraId="59920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929876E">
            <w:pPr>
              <w:jc w:val="center"/>
              <w:rPr>
                <w:rFonts w:hint="eastAsia" w:ascii="仿宋" w:hAnsi="仿宋" w:eastAsia="仿宋" w:cs="仿宋"/>
                <w:color w:val="000000" w:themeColor="text1"/>
                <w:kern w:val="0"/>
                <w:szCs w:val="21"/>
                <w:highlight w:val="none"/>
                <w14:textFill>
                  <w14:solidFill>
                    <w14:schemeClr w14:val="tx1"/>
                  </w14:solidFill>
                </w14:textFill>
              </w:rPr>
            </w:pPr>
          </w:p>
        </w:tc>
        <w:tc>
          <w:tcPr>
            <w:tcW w:w="1410" w:type="dxa"/>
            <w:shd w:val="clear" w:color="auto" w:fill="auto"/>
            <w:vAlign w:val="center"/>
          </w:tcPr>
          <w:p w14:paraId="20E73394">
            <w:pPr>
              <w:keepNext/>
              <w:widowControl/>
              <w:jc w:val="distribute"/>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合同履约期限</w:t>
            </w:r>
          </w:p>
        </w:tc>
        <w:tc>
          <w:tcPr>
            <w:tcW w:w="7073" w:type="dxa"/>
            <w:shd w:val="clear" w:color="auto" w:fill="auto"/>
            <w:vAlign w:val="center"/>
          </w:tcPr>
          <w:p w14:paraId="36EA2684">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自合同签订之日起1年</w:t>
            </w:r>
          </w:p>
        </w:tc>
      </w:tr>
      <w:tr w14:paraId="53217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95" w:hRule="atLeast"/>
          <w:jc w:val="center"/>
        </w:trPr>
        <w:tc>
          <w:tcPr>
            <w:tcW w:w="597" w:type="dxa"/>
            <w:vMerge w:val="continue"/>
            <w:vAlign w:val="center"/>
          </w:tcPr>
          <w:p w14:paraId="504F5A02">
            <w:pPr>
              <w:jc w:val="center"/>
              <w:rPr>
                <w:rFonts w:hint="eastAsia" w:ascii="仿宋" w:hAnsi="仿宋" w:eastAsia="仿宋" w:cs="仿宋"/>
                <w:color w:val="000000" w:themeColor="text1"/>
                <w:kern w:val="0"/>
                <w:szCs w:val="21"/>
                <w:highlight w:val="none"/>
                <w14:textFill>
                  <w14:solidFill>
                    <w14:schemeClr w14:val="tx1"/>
                  </w14:solidFill>
                </w14:textFill>
              </w:rPr>
            </w:pPr>
          </w:p>
        </w:tc>
        <w:tc>
          <w:tcPr>
            <w:tcW w:w="1410" w:type="dxa"/>
            <w:shd w:val="clear" w:color="auto" w:fill="auto"/>
            <w:vAlign w:val="center"/>
          </w:tcPr>
          <w:p w14:paraId="4849C73C">
            <w:pPr>
              <w:keepNext/>
              <w:widowControl/>
              <w:jc w:val="distribute"/>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服务地点</w:t>
            </w:r>
          </w:p>
        </w:tc>
        <w:tc>
          <w:tcPr>
            <w:tcW w:w="7073" w:type="dxa"/>
            <w:shd w:val="clear" w:color="auto" w:fill="auto"/>
            <w:vAlign w:val="center"/>
          </w:tcPr>
          <w:p w14:paraId="17364C19">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采购人指定地点</w:t>
            </w:r>
            <w:r>
              <w:rPr>
                <w:rFonts w:hint="eastAsia" w:ascii="仿宋" w:hAnsi="仿宋" w:eastAsia="仿宋" w:cs="仿宋"/>
                <w:color w:val="000000" w:themeColor="text1"/>
                <w:kern w:val="0"/>
                <w:szCs w:val="21"/>
                <w:highlight w:val="none"/>
                <w:lang w:eastAsia="zh-CN"/>
                <w14:textFill>
                  <w14:solidFill>
                    <w14:schemeClr w14:val="tx1"/>
                  </w14:solidFill>
                </w14:textFill>
              </w:rPr>
              <w:t>（</w:t>
            </w:r>
            <w:r>
              <w:rPr>
                <w:rFonts w:hint="eastAsia" w:ascii="仿宋" w:hAnsi="仿宋" w:eastAsia="仿宋" w:cs="仿宋"/>
                <w:color w:val="000000" w:themeColor="text1"/>
                <w:kern w:val="0"/>
                <w:szCs w:val="21"/>
                <w:highlight w:val="none"/>
                <w:lang w:val="en-US" w:eastAsia="zh-CN"/>
                <w14:textFill>
                  <w14:solidFill>
                    <w14:schemeClr w14:val="tx1"/>
                  </w14:solidFill>
                </w14:textFill>
              </w:rPr>
              <w:t>详见</w:t>
            </w:r>
            <w:r>
              <w:rPr>
                <w:rFonts w:hint="eastAsia" w:ascii="仿宋" w:hAnsi="仿宋" w:eastAsia="仿宋" w:cs="仿宋"/>
                <w:color w:val="000000" w:themeColor="text1"/>
                <w:kern w:val="0"/>
                <w:szCs w:val="21"/>
                <w:highlight w:val="none"/>
                <w14:textFill>
                  <w14:solidFill>
                    <w14:schemeClr w14:val="tx1"/>
                  </w14:solidFill>
                </w14:textFill>
              </w:rPr>
              <w:t>招标文件第四章“</w:t>
            </w:r>
            <w:r>
              <w:rPr>
                <w:rFonts w:hint="eastAsia" w:ascii="仿宋" w:hAnsi="仿宋" w:eastAsia="仿宋" w:cs="仿宋"/>
                <w:color w:val="000000" w:themeColor="text1"/>
                <w:kern w:val="0"/>
                <w:szCs w:val="21"/>
                <w:highlight w:val="none"/>
                <w:lang w:eastAsia="zh-CN"/>
                <w14:textFill>
                  <w14:solidFill>
                    <w14:schemeClr w14:val="tx1"/>
                  </w14:solidFill>
                </w14:textFill>
              </w:rPr>
              <w:t>服务标准和要求</w:t>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kern w:val="0"/>
                <w:szCs w:val="21"/>
                <w:highlight w:val="none"/>
                <w:lang w:eastAsia="zh-CN"/>
                <w14:textFill>
                  <w14:solidFill>
                    <w14:schemeClr w14:val="tx1"/>
                  </w14:solidFill>
                </w14:textFill>
              </w:rPr>
              <w:t>）</w:t>
            </w:r>
          </w:p>
        </w:tc>
      </w:tr>
      <w:tr w14:paraId="42B04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7B8AD77">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w:t>
            </w:r>
          </w:p>
        </w:tc>
        <w:tc>
          <w:tcPr>
            <w:tcW w:w="1410" w:type="dxa"/>
            <w:vAlign w:val="center"/>
          </w:tcPr>
          <w:p w14:paraId="76CB735F">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采购范围</w:t>
            </w:r>
          </w:p>
        </w:tc>
        <w:tc>
          <w:tcPr>
            <w:tcW w:w="7073" w:type="dxa"/>
            <w:vAlign w:val="center"/>
          </w:tcPr>
          <w:p w14:paraId="3F6A9EE8">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乌鲁木齐市沙依巴克区分局食堂餐饮服务采购项目</w:t>
            </w:r>
            <w:r>
              <w:rPr>
                <w:rFonts w:hint="eastAsia" w:ascii="仿宋" w:hAnsi="仿宋" w:eastAsia="仿宋" w:cs="仿宋"/>
                <w:color w:val="000000" w:themeColor="text1"/>
                <w:kern w:val="0"/>
                <w:szCs w:val="21"/>
                <w:highlight w:val="none"/>
                <w14:textFill>
                  <w14:solidFill>
                    <w14:schemeClr w14:val="tx1"/>
                  </w14:solidFill>
                </w14:textFill>
              </w:rPr>
              <w:t>范围内</w:t>
            </w:r>
            <w:r>
              <w:rPr>
                <w:rFonts w:hint="eastAsia" w:ascii="仿宋" w:hAnsi="仿宋" w:eastAsia="仿宋" w:cs="仿宋"/>
                <w:color w:val="000000" w:themeColor="text1"/>
                <w:kern w:val="0"/>
                <w:szCs w:val="21"/>
                <w:highlight w:val="none"/>
                <w:lang w:val="en-US" w:eastAsia="zh-CN"/>
                <w14:textFill>
                  <w14:solidFill>
                    <w14:schemeClr w14:val="tx1"/>
                  </w14:solidFill>
                </w14:textFill>
              </w:rPr>
              <w:t>对应</w:t>
            </w:r>
            <w:r>
              <w:rPr>
                <w:rFonts w:hint="eastAsia" w:ascii="仿宋" w:hAnsi="仿宋" w:eastAsia="仿宋" w:cs="仿宋"/>
                <w:color w:val="000000" w:themeColor="text1"/>
                <w:kern w:val="0"/>
                <w:szCs w:val="21"/>
                <w:highlight w:val="none"/>
                <w14:textFill>
                  <w14:solidFill>
                    <w14:schemeClr w14:val="tx1"/>
                  </w14:solidFill>
                </w14:textFill>
              </w:rPr>
              <w:t>的所有工作内容，关于采购范围的详细说明见招标文件第四章“</w:t>
            </w:r>
            <w:r>
              <w:rPr>
                <w:rFonts w:hint="eastAsia" w:ascii="仿宋" w:hAnsi="仿宋" w:eastAsia="仿宋" w:cs="仿宋"/>
                <w:color w:val="000000" w:themeColor="text1"/>
                <w:kern w:val="0"/>
                <w:szCs w:val="21"/>
                <w:highlight w:val="none"/>
                <w:lang w:eastAsia="zh-CN"/>
                <w14:textFill>
                  <w14:solidFill>
                    <w14:schemeClr w14:val="tx1"/>
                  </w14:solidFill>
                </w14:textFill>
              </w:rPr>
              <w:t>服务标准和要求</w:t>
            </w:r>
            <w:r>
              <w:rPr>
                <w:rFonts w:hint="eastAsia" w:ascii="仿宋" w:hAnsi="仿宋" w:eastAsia="仿宋" w:cs="仿宋"/>
                <w:color w:val="000000" w:themeColor="text1"/>
                <w:kern w:val="0"/>
                <w:szCs w:val="21"/>
                <w:highlight w:val="none"/>
                <w14:textFill>
                  <w14:solidFill>
                    <w14:schemeClr w14:val="tx1"/>
                  </w14:solidFill>
                </w14:textFill>
              </w:rPr>
              <w:t>”。</w:t>
            </w:r>
          </w:p>
        </w:tc>
      </w:tr>
      <w:tr w14:paraId="43E88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462AB5B9">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w:t>
            </w:r>
          </w:p>
        </w:tc>
        <w:tc>
          <w:tcPr>
            <w:tcW w:w="1410" w:type="dxa"/>
            <w:vAlign w:val="center"/>
          </w:tcPr>
          <w:p w14:paraId="69CF713E">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采购方式</w:t>
            </w:r>
          </w:p>
        </w:tc>
        <w:tc>
          <w:tcPr>
            <w:tcW w:w="7073" w:type="dxa"/>
            <w:vAlign w:val="center"/>
          </w:tcPr>
          <w:p w14:paraId="274C3DD0">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公开招标</w:t>
            </w:r>
          </w:p>
        </w:tc>
      </w:tr>
      <w:tr w14:paraId="70857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35C06DD">
            <w:pPr>
              <w:jc w:val="center"/>
              <w:rPr>
                <w:rFonts w:hint="eastAsia" w:ascii="仿宋" w:hAnsi="仿宋" w:eastAsia="仿宋" w:cs="仿宋"/>
                <w:color w:val="000000" w:themeColor="text1"/>
                <w:kern w:val="0"/>
                <w:szCs w:val="21"/>
                <w:highlight w:val="none"/>
                <w14:textFill>
                  <w14:solidFill>
                    <w14:schemeClr w14:val="tx1"/>
                  </w14:solidFill>
                </w14:textFill>
              </w:rPr>
            </w:pPr>
          </w:p>
        </w:tc>
        <w:tc>
          <w:tcPr>
            <w:tcW w:w="1410" w:type="dxa"/>
            <w:vAlign w:val="center"/>
          </w:tcPr>
          <w:p w14:paraId="0FCA990B">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资格审查方式</w:t>
            </w:r>
          </w:p>
        </w:tc>
        <w:tc>
          <w:tcPr>
            <w:tcW w:w="7073" w:type="dxa"/>
            <w:vAlign w:val="center"/>
          </w:tcPr>
          <w:p w14:paraId="4E77333E">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资格后审</w:t>
            </w:r>
          </w:p>
        </w:tc>
      </w:tr>
      <w:tr w14:paraId="1EF31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4C525654">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4</w:t>
            </w:r>
          </w:p>
        </w:tc>
        <w:tc>
          <w:tcPr>
            <w:tcW w:w="1410" w:type="dxa"/>
            <w:vAlign w:val="center"/>
          </w:tcPr>
          <w:p w14:paraId="394971FD">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评审办法</w:t>
            </w:r>
          </w:p>
        </w:tc>
        <w:tc>
          <w:tcPr>
            <w:tcW w:w="7073" w:type="dxa"/>
            <w:vAlign w:val="center"/>
          </w:tcPr>
          <w:p w14:paraId="008D5E6E">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综合评分法</w:t>
            </w:r>
          </w:p>
        </w:tc>
      </w:tr>
      <w:tr w14:paraId="4724C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7D755CC">
            <w:pPr>
              <w:jc w:val="center"/>
              <w:rPr>
                <w:rFonts w:hint="eastAsia" w:ascii="仿宋" w:hAnsi="仿宋" w:eastAsia="仿宋" w:cs="仿宋"/>
                <w:color w:val="000000" w:themeColor="text1"/>
                <w:kern w:val="0"/>
                <w:szCs w:val="21"/>
                <w:highlight w:val="none"/>
                <w14:textFill>
                  <w14:solidFill>
                    <w14:schemeClr w14:val="tx1"/>
                  </w14:solidFill>
                </w14:textFill>
              </w:rPr>
            </w:pPr>
          </w:p>
        </w:tc>
        <w:tc>
          <w:tcPr>
            <w:tcW w:w="1410" w:type="dxa"/>
            <w:vAlign w:val="center"/>
          </w:tcPr>
          <w:p w14:paraId="6BBD8F52">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定标方法</w:t>
            </w:r>
          </w:p>
        </w:tc>
        <w:tc>
          <w:tcPr>
            <w:tcW w:w="7073" w:type="dxa"/>
            <w:vAlign w:val="center"/>
          </w:tcPr>
          <w:p w14:paraId="38ABAB9D">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000000" w:themeColor="text1"/>
                <w:kern w:val="0"/>
                <w:szCs w:val="21"/>
                <w:highlight w:val="none"/>
                <w:lang w:eastAsia="zh-CN"/>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评标委员会推荐三名中标候选人</w:t>
            </w:r>
          </w:p>
        </w:tc>
      </w:tr>
      <w:tr w14:paraId="265A5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3A6E0A4">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5</w:t>
            </w:r>
          </w:p>
        </w:tc>
        <w:tc>
          <w:tcPr>
            <w:tcW w:w="1410" w:type="dxa"/>
            <w:vAlign w:val="center"/>
          </w:tcPr>
          <w:p w14:paraId="473462FE">
            <w:pPr>
              <w:keepNext/>
              <w:widowControl/>
              <w:jc w:val="distribute"/>
              <w:rPr>
                <w:rFonts w:hint="eastAsia" w:ascii="仿宋" w:hAnsi="仿宋" w:eastAsia="仿宋" w:cs="仿宋"/>
                <w:color w:val="000000" w:themeColor="text1"/>
                <w:kern w:val="0"/>
                <w:szCs w:val="21"/>
                <w:highlight w:val="none"/>
                <w:lang w:eastAsia="zh-CN"/>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投标人的资格要求</w:t>
            </w:r>
          </w:p>
        </w:tc>
        <w:tc>
          <w:tcPr>
            <w:tcW w:w="7073" w:type="dxa"/>
            <w:vAlign w:val="center"/>
          </w:tcPr>
          <w:p w14:paraId="797113EC">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满足《中华人民共和国政府采购法》第二十二条规定。</w:t>
            </w:r>
          </w:p>
          <w:p w14:paraId="10904565">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投标人为小微企业。</w:t>
            </w:r>
          </w:p>
          <w:p w14:paraId="2C72D718">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投标人如在“信用中国”网站（www.creditchina.gov.cn）、中国政府采购网（www.ccgp.gov.cn）等渠道被列入失信被执行人、重大税收违法失信主体、政府采购严重违法失信行为记录名单，尚在处罚期内的将被拒绝参加本次采购活动。</w:t>
            </w:r>
          </w:p>
          <w:p w14:paraId="6EA68342">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w:t>
            </w:r>
            <w:r>
              <w:rPr>
                <w:rFonts w:hint="eastAsia" w:ascii="仿宋" w:hAnsi="仿宋" w:eastAsia="仿宋" w:cs="仿宋"/>
                <w:color w:val="000000" w:themeColor="text1"/>
                <w:highlight w:val="none"/>
                <w:lang w:eastAsia="zh-CN"/>
                <w14:textFill>
                  <w14:solidFill>
                    <w14:schemeClr w14:val="tx1"/>
                  </w14:solidFill>
                </w14:textFill>
              </w:rPr>
              <w:t>投标人须具备有效的《食品经营许可证》或《餐饮服务许可证》或《食品流通许可证》</w:t>
            </w:r>
            <w:r>
              <w:rPr>
                <w:rFonts w:hint="eastAsia" w:ascii="仿宋" w:hAnsi="仿宋" w:eastAsia="仿宋" w:cs="仿宋"/>
                <w:color w:val="000000" w:themeColor="text1"/>
                <w:highlight w:val="none"/>
                <w14:textFill>
                  <w14:solidFill>
                    <w14:schemeClr w14:val="tx1"/>
                  </w14:solidFill>
                </w14:textFill>
              </w:rPr>
              <w:t>。</w:t>
            </w:r>
          </w:p>
        </w:tc>
      </w:tr>
      <w:tr w14:paraId="2DD76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7C718DD">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6</w:t>
            </w:r>
          </w:p>
        </w:tc>
        <w:tc>
          <w:tcPr>
            <w:tcW w:w="1410" w:type="dxa"/>
            <w:vAlign w:val="center"/>
          </w:tcPr>
          <w:p w14:paraId="2AD6D253">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投标人不得存在的情形</w:t>
            </w:r>
          </w:p>
        </w:tc>
        <w:tc>
          <w:tcPr>
            <w:tcW w:w="7073" w:type="dxa"/>
            <w:vAlign w:val="center"/>
          </w:tcPr>
          <w:p w14:paraId="22CCD4F2">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1、本项目不接受联合体。</w:t>
            </w:r>
          </w:p>
          <w:p w14:paraId="7B3F09D7">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2、单位负责人为同一人或者存在直接控股、管理关系的不同投标人，不得参加同一合同项下的政府采购活动。</w:t>
            </w:r>
          </w:p>
          <w:p w14:paraId="3B575EF0">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3、除单一来源采购项目外，为采购项目提供整体设计、规范编制或者项目管理、监理、检测等服务的投标人，不得再参加该采购项目的其他采购活动。</w:t>
            </w:r>
          </w:p>
          <w:p w14:paraId="2EFD5C1B">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4、投标人处于被责令停业、财产被接管、冻结和破产状态，以及投标资格被取消或者被暂停且在暂停期内。</w:t>
            </w:r>
          </w:p>
          <w:p w14:paraId="37889D5B">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5、法律规定的其它情形。</w:t>
            </w:r>
          </w:p>
        </w:tc>
      </w:tr>
      <w:tr w14:paraId="7E8BA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A0E6205">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7</w:t>
            </w:r>
          </w:p>
        </w:tc>
        <w:tc>
          <w:tcPr>
            <w:tcW w:w="1410" w:type="dxa"/>
            <w:vAlign w:val="center"/>
          </w:tcPr>
          <w:p w14:paraId="7F9A63FD">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招标文件费</w:t>
            </w:r>
          </w:p>
        </w:tc>
        <w:tc>
          <w:tcPr>
            <w:tcW w:w="7073" w:type="dxa"/>
            <w:vAlign w:val="center"/>
          </w:tcPr>
          <w:p w14:paraId="4F827EA7">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0元</w:t>
            </w:r>
          </w:p>
        </w:tc>
      </w:tr>
      <w:tr w14:paraId="32CB4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632841D">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8</w:t>
            </w:r>
          </w:p>
        </w:tc>
        <w:tc>
          <w:tcPr>
            <w:tcW w:w="1410" w:type="dxa"/>
            <w:vAlign w:val="center"/>
          </w:tcPr>
          <w:p w14:paraId="31CBCF65">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投标保证金</w:t>
            </w:r>
          </w:p>
        </w:tc>
        <w:tc>
          <w:tcPr>
            <w:tcW w:w="7073" w:type="dxa"/>
            <w:vAlign w:val="center"/>
          </w:tcPr>
          <w:p w14:paraId="16EEA756">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lang w:val="en-US" w:eastAsia="zh-CN"/>
                <w14:textFill>
                  <w14:solidFill>
                    <w14:schemeClr w14:val="tx1"/>
                  </w14:solidFill>
                </w14:textFill>
              </w:rPr>
              <w:t>1、</w:t>
            </w: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投标保证金</w:t>
            </w:r>
            <w:r>
              <w:rPr>
                <w:rFonts w:hint="eastAsia" w:ascii="仿宋" w:hAnsi="仿宋" w:eastAsia="仿宋" w:cs="仿宋"/>
                <w:color w:val="000000" w:themeColor="text1"/>
                <w:kern w:val="0"/>
                <w:szCs w:val="21"/>
                <w:highlight w:val="none"/>
                <w:shd w:val="clear" w:color="auto" w:fill="FFFFFF" w:themeFill="background1"/>
                <w:lang w:val="en-US" w:eastAsia="zh-CN"/>
                <w14:textFill>
                  <w14:solidFill>
                    <w14:schemeClr w14:val="tx1"/>
                  </w14:solidFill>
                </w14:textFill>
              </w:rPr>
              <w:t>金额：20000.00元</w:t>
            </w:r>
          </w:p>
          <w:p w14:paraId="342595B4">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lang w:val="en-US" w:eastAsia="zh-CN"/>
                <w14:textFill>
                  <w14:solidFill>
                    <w14:schemeClr w14:val="tx1"/>
                  </w14:solidFill>
                </w14:textFill>
              </w:rPr>
              <w:t>2、提交截止时间：同投标文件递交截止时间</w:t>
            </w:r>
          </w:p>
          <w:p w14:paraId="6A41B922">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lang w:val="en-US" w:eastAsia="zh-CN"/>
                <w14:textFill>
                  <w14:solidFill>
                    <w14:schemeClr w14:val="tx1"/>
                  </w14:solidFill>
                </w14:textFill>
              </w:rPr>
              <w:t>3、提交形式：</w:t>
            </w: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投标保证金以支票、汇票、本票或者金融机构、担保机构出具的保函等非现金形式提交至采购代理机构。</w:t>
            </w:r>
          </w:p>
          <w:p w14:paraId="421A5C2C">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lang w:val="en-US" w:eastAsia="zh-CN"/>
                <w14:textFill>
                  <w14:solidFill>
                    <w14:schemeClr w14:val="tx1"/>
                  </w14:solidFill>
                </w14:textFill>
              </w:rPr>
              <w:t>4、银行账户信息</w:t>
            </w:r>
          </w:p>
          <w:p w14:paraId="194AD7E2">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采购代理机构名称：新疆新世纪招标有限公司</w:t>
            </w:r>
          </w:p>
          <w:p w14:paraId="24389E02">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纳税人识别号：91650100726988855F</w:t>
            </w:r>
          </w:p>
          <w:p w14:paraId="6C4A07F5">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开户行：中国农业银行乌鲁木齐新民西街支行</w:t>
            </w:r>
          </w:p>
          <w:p w14:paraId="2723FF8D">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账号：30014701040000595</w:t>
            </w:r>
          </w:p>
          <w:p w14:paraId="113B83E8">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lang w:val="en-US" w:eastAsia="zh-CN"/>
                <w14:textFill>
                  <w14:solidFill>
                    <w14:schemeClr w14:val="tx1"/>
                  </w14:solidFill>
                </w14:textFill>
              </w:rPr>
              <w:t>5、投标人在提交投标保证金时需备注项目名称简称。</w:t>
            </w:r>
          </w:p>
        </w:tc>
      </w:tr>
      <w:tr w14:paraId="1128F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CA7B9C5">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9</w:t>
            </w:r>
          </w:p>
        </w:tc>
        <w:tc>
          <w:tcPr>
            <w:tcW w:w="1410" w:type="dxa"/>
            <w:vAlign w:val="center"/>
          </w:tcPr>
          <w:p w14:paraId="6ED89D30">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现场踏勘</w:t>
            </w:r>
          </w:p>
        </w:tc>
        <w:tc>
          <w:tcPr>
            <w:tcW w:w="7073" w:type="dxa"/>
            <w:vAlign w:val="center"/>
          </w:tcPr>
          <w:p w14:paraId="3F09CCBD">
            <w:pPr>
              <w:keepLines w:val="0"/>
              <w:pageBreakBefore w:val="0"/>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不组织</w:t>
            </w:r>
          </w:p>
        </w:tc>
      </w:tr>
      <w:tr w14:paraId="6583A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F500F63">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10</w:t>
            </w:r>
          </w:p>
        </w:tc>
        <w:tc>
          <w:tcPr>
            <w:tcW w:w="1410" w:type="dxa"/>
            <w:vAlign w:val="center"/>
          </w:tcPr>
          <w:p w14:paraId="3B1E135B">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招标答疑</w:t>
            </w:r>
          </w:p>
        </w:tc>
        <w:tc>
          <w:tcPr>
            <w:tcW w:w="7073" w:type="dxa"/>
            <w:vAlign w:val="center"/>
          </w:tcPr>
          <w:p w14:paraId="50CA851B">
            <w:pPr>
              <w:keepLines w:val="0"/>
              <w:pageBreakBefore w:val="0"/>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提出询问的，应当在投标文件递交截止时间15日前以书面形式（加盖公章）递交至新疆新世纪招标有限公司，否则采购人不作任何解释。</w:t>
            </w:r>
          </w:p>
          <w:p w14:paraId="1A013D4E">
            <w:pPr>
              <w:keepLines w:val="0"/>
              <w:pageBreakBefore w:val="0"/>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对招标文件提出质疑的，应当在获取招标文件或者招标文件公告期限届满之日起7个工作日内一次性以书面形式（按照财政部制定的质疑函范本编写）提出并递交至采购代理机构。</w:t>
            </w:r>
          </w:p>
          <w:p w14:paraId="7AAC3DF3">
            <w:pPr>
              <w:keepLines w:val="0"/>
              <w:pageBreakBefore w:val="0"/>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质疑接收人：</w:t>
            </w:r>
            <w:r>
              <w:rPr>
                <w:rFonts w:hint="eastAsia" w:ascii="仿宋" w:hAnsi="仿宋" w:eastAsia="仿宋" w:cs="仿宋"/>
                <w:color w:val="000000" w:themeColor="text1"/>
                <w:szCs w:val="21"/>
                <w:highlight w:val="none"/>
                <w:lang w:val="en-US" w:eastAsia="zh-CN"/>
                <w14:textFill>
                  <w14:solidFill>
                    <w14:schemeClr w14:val="tx1"/>
                  </w14:solidFill>
                </w14:textFill>
              </w:rPr>
              <w:t>周帅廷、马丹阳</w:t>
            </w:r>
            <w:r>
              <w:rPr>
                <w:rFonts w:hint="eastAsia" w:ascii="仿宋" w:hAnsi="仿宋" w:eastAsia="仿宋" w:cs="仿宋"/>
                <w:color w:val="000000" w:themeColor="text1"/>
                <w:szCs w:val="21"/>
                <w:highlight w:val="none"/>
                <w14:textFill>
                  <w14:solidFill>
                    <w14:schemeClr w14:val="tx1"/>
                  </w14:solidFill>
                </w14:textFill>
              </w:rPr>
              <w:t>；联系方式：0991-4661782。</w:t>
            </w:r>
          </w:p>
          <w:p w14:paraId="35AF6960">
            <w:pPr>
              <w:keepLines w:val="0"/>
              <w:pageBreakBefore w:val="0"/>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注：1、投标人必须在法定质疑期内一次性提出针对同一采购程序环节的质疑；</w:t>
            </w:r>
            <w:r>
              <w:rPr>
                <w:rFonts w:hint="eastAsia" w:ascii="仿宋" w:hAnsi="仿宋" w:eastAsia="仿宋" w:cs="仿宋"/>
                <w:color w:val="000000" w:themeColor="text1"/>
                <w:szCs w:val="21"/>
                <w:highlight w:val="none"/>
                <w14:textFill>
                  <w14:solidFill>
                    <w14:schemeClr w14:val="tx1"/>
                  </w14:solidFill>
                </w14:textFill>
              </w:rPr>
              <w:t>投标人投诉的事项不得超出已质疑事项的范围。2、</w:t>
            </w:r>
            <w:r>
              <w:rPr>
                <w:rFonts w:hint="eastAsia" w:ascii="仿宋" w:hAnsi="仿宋" w:eastAsia="仿宋" w:cs="仿宋"/>
                <w:color w:val="000000" w:themeColor="text1"/>
                <w:kern w:val="0"/>
                <w:szCs w:val="21"/>
                <w:highlight w:val="none"/>
                <w14:textFill>
                  <w14:solidFill>
                    <w14:schemeClr w14:val="tx1"/>
                  </w14:solidFill>
                </w14:textFill>
              </w:rPr>
              <w:t>投标人</w:t>
            </w:r>
            <w:r>
              <w:rPr>
                <w:rFonts w:hint="eastAsia" w:ascii="仿宋" w:hAnsi="仿宋" w:eastAsia="仿宋" w:cs="仿宋"/>
                <w:color w:val="000000" w:themeColor="text1"/>
                <w:szCs w:val="21"/>
                <w:highlight w:val="none"/>
                <w14:textFill>
                  <w14:solidFill>
                    <w14:schemeClr w14:val="tx1"/>
                  </w14:solidFill>
                </w14:textFill>
              </w:rPr>
              <w:t>在国家法律规定的时间内未提出书面疑问，视为对招标文件的技术参数、资格条件、评审方法、合同文本等所有内容无异议。</w:t>
            </w:r>
          </w:p>
        </w:tc>
      </w:tr>
      <w:tr w14:paraId="370A3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85D35A5">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11</w:t>
            </w:r>
          </w:p>
        </w:tc>
        <w:tc>
          <w:tcPr>
            <w:tcW w:w="1410" w:type="dxa"/>
            <w:vAlign w:val="center"/>
          </w:tcPr>
          <w:p w14:paraId="56E5B007">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投标文件</w:t>
            </w:r>
          </w:p>
        </w:tc>
        <w:tc>
          <w:tcPr>
            <w:tcW w:w="7073" w:type="dxa"/>
            <w:shd w:val="clear" w:color="auto" w:fill="auto"/>
            <w:vAlign w:val="center"/>
          </w:tcPr>
          <w:p w14:paraId="17D7AE84">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065D4942">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 </w:t>
            </w:r>
          </w:p>
          <w:p w14:paraId="60FCFACE">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3、加密的电子投标文件应在投标文件递交截止时间前通过政采云平台上传完成。逾期上传或者未上传指定地点的投标文件，不予受理。</w:t>
            </w:r>
          </w:p>
          <w:p w14:paraId="196E10C0">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4、投标人在开标前须提前配置好电脑浏览器，开标时请使用制作加密电子投标文件的CA锁进行解密及报价确认。本项目投标文件解密时间定为30分钟，如因自身原因导致无法正常解密，后果由投标人自行承担。</w:t>
            </w:r>
          </w:p>
          <w:p w14:paraId="22E4F1ED">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5、如遇“政采云平台（https://www.zcygov.cn/）”电子交易规则调整，以最新要求为准。</w:t>
            </w:r>
          </w:p>
        </w:tc>
      </w:tr>
      <w:tr w14:paraId="70CE6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CE5CB67">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12</w:t>
            </w:r>
          </w:p>
        </w:tc>
        <w:tc>
          <w:tcPr>
            <w:tcW w:w="1410" w:type="dxa"/>
            <w:vAlign w:val="center"/>
          </w:tcPr>
          <w:p w14:paraId="3C85E10A">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投标文件递交</w:t>
            </w:r>
          </w:p>
        </w:tc>
        <w:tc>
          <w:tcPr>
            <w:tcW w:w="7073" w:type="dxa"/>
            <w:shd w:val="clear" w:color="auto" w:fill="auto"/>
            <w:vAlign w:val="center"/>
          </w:tcPr>
          <w:p w14:paraId="4641B6F8">
            <w:pPr>
              <w:keepLines w:val="0"/>
              <w:pageBreakBefore w:val="0"/>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截止时间：</w:t>
            </w:r>
            <w:r>
              <w:rPr>
                <w:rFonts w:hint="eastAsia" w:ascii="仿宋" w:hAnsi="仿宋" w:eastAsia="仿宋" w:cs="仿宋"/>
                <w:color w:val="000000" w:themeColor="text1"/>
                <w:kern w:val="0"/>
                <w:szCs w:val="21"/>
                <w:highlight w:val="none"/>
                <w:u w:val="single"/>
                <w14:textFill>
                  <w14:solidFill>
                    <w14:schemeClr w14:val="tx1"/>
                  </w14:solidFill>
                </w14:textFill>
              </w:rPr>
              <w:t>2025年</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07月16日 16:00</w:t>
            </w:r>
            <w:r>
              <w:rPr>
                <w:rFonts w:hint="eastAsia" w:ascii="仿宋" w:hAnsi="仿宋" w:eastAsia="仿宋" w:cs="仿宋"/>
                <w:color w:val="000000" w:themeColor="text1"/>
                <w:kern w:val="0"/>
                <w:szCs w:val="21"/>
                <w:highlight w:val="none"/>
                <w14:textFill>
                  <w14:solidFill>
                    <w14:schemeClr w14:val="tx1"/>
                  </w14:solidFill>
                </w14:textFill>
              </w:rPr>
              <w:t>（北京时间）</w:t>
            </w:r>
          </w:p>
          <w:p w14:paraId="5DE409FC">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递交地点：政采云平台（https://www.zcygov.cn/）</w:t>
            </w:r>
          </w:p>
        </w:tc>
      </w:tr>
      <w:tr w14:paraId="23D34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28D156A">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13</w:t>
            </w:r>
          </w:p>
        </w:tc>
        <w:tc>
          <w:tcPr>
            <w:tcW w:w="1410" w:type="dxa"/>
            <w:vAlign w:val="center"/>
          </w:tcPr>
          <w:p w14:paraId="64B9BA04">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开标</w:t>
            </w:r>
          </w:p>
        </w:tc>
        <w:tc>
          <w:tcPr>
            <w:tcW w:w="7073" w:type="dxa"/>
            <w:shd w:val="clear" w:color="auto" w:fill="auto"/>
            <w:vAlign w:val="center"/>
          </w:tcPr>
          <w:p w14:paraId="2625B5C3">
            <w:pPr>
              <w:keepLines w:val="0"/>
              <w:pageBreakBefore w:val="0"/>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000000" w:themeColor="text1"/>
                <w:kern w:val="0"/>
                <w:szCs w:val="21"/>
                <w:highlight w:val="none"/>
                <w:u w:val="singl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时间：</w:t>
            </w:r>
            <w:r>
              <w:rPr>
                <w:rFonts w:hint="eastAsia" w:ascii="仿宋" w:hAnsi="仿宋" w:eastAsia="仿宋" w:cs="仿宋"/>
                <w:color w:val="000000" w:themeColor="text1"/>
                <w:kern w:val="0"/>
                <w:szCs w:val="21"/>
                <w:highlight w:val="none"/>
                <w:u w:val="single"/>
                <w14:textFill>
                  <w14:solidFill>
                    <w14:schemeClr w14:val="tx1"/>
                  </w14:solidFill>
                </w14:textFill>
              </w:rPr>
              <w:t>2025年</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07月16日 16:00</w:t>
            </w:r>
            <w:r>
              <w:rPr>
                <w:rFonts w:hint="eastAsia" w:ascii="仿宋" w:hAnsi="仿宋" w:eastAsia="仿宋" w:cs="仿宋"/>
                <w:color w:val="000000" w:themeColor="text1"/>
                <w:kern w:val="0"/>
                <w:szCs w:val="21"/>
                <w:highlight w:val="none"/>
                <w14:textFill>
                  <w14:solidFill>
                    <w14:schemeClr w14:val="tx1"/>
                  </w14:solidFill>
                </w14:textFill>
              </w:rPr>
              <w:t>（北京时间）</w:t>
            </w:r>
          </w:p>
          <w:p w14:paraId="2344B9E9">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地点：政采云平台（https://www.zcygov.cn/）</w:t>
            </w:r>
          </w:p>
        </w:tc>
      </w:tr>
      <w:tr w14:paraId="6723A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38990E9">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14</w:t>
            </w:r>
          </w:p>
        </w:tc>
        <w:tc>
          <w:tcPr>
            <w:tcW w:w="1410" w:type="dxa"/>
            <w:vAlign w:val="center"/>
          </w:tcPr>
          <w:p w14:paraId="4DF98F8C">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投标有效期</w:t>
            </w:r>
          </w:p>
        </w:tc>
        <w:tc>
          <w:tcPr>
            <w:tcW w:w="7073" w:type="dxa"/>
            <w:vAlign w:val="center"/>
          </w:tcPr>
          <w:p w14:paraId="1FC01D84">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自投标截止之日90日历日</w:t>
            </w:r>
          </w:p>
        </w:tc>
      </w:tr>
      <w:tr w14:paraId="2A97C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E428071">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15</w:t>
            </w:r>
          </w:p>
        </w:tc>
        <w:tc>
          <w:tcPr>
            <w:tcW w:w="1410" w:type="dxa"/>
            <w:vAlign w:val="center"/>
          </w:tcPr>
          <w:p w14:paraId="3A81AEAF">
            <w:pPr>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公告发布媒体</w:t>
            </w:r>
          </w:p>
        </w:tc>
        <w:tc>
          <w:tcPr>
            <w:tcW w:w="7073" w:type="dxa"/>
            <w:vAlign w:val="center"/>
          </w:tcPr>
          <w:p w14:paraId="62E2091B">
            <w:pPr>
              <w:keepLines w:val="0"/>
              <w:pageBreakBefore w:val="0"/>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000000" w:themeColor="text1"/>
                <w:kern w:val="0"/>
                <w:szCs w:val="21"/>
                <w:highlight w:val="none"/>
                <w:u w:val="single"/>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新疆政府采购网</w:t>
            </w:r>
          </w:p>
        </w:tc>
      </w:tr>
      <w:tr w14:paraId="70B2E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4BFBABD">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16</w:t>
            </w:r>
          </w:p>
        </w:tc>
        <w:tc>
          <w:tcPr>
            <w:tcW w:w="1410" w:type="dxa"/>
            <w:vAlign w:val="center"/>
          </w:tcPr>
          <w:p w14:paraId="29E4BB01">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履约保证金</w:t>
            </w:r>
          </w:p>
        </w:tc>
        <w:tc>
          <w:tcPr>
            <w:tcW w:w="7073" w:type="dxa"/>
            <w:vAlign w:val="center"/>
          </w:tcPr>
          <w:p w14:paraId="31471930">
            <w:pPr>
              <w:keepLines w:val="0"/>
              <w:pageBreakBefore w:val="0"/>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1、履约保证金金额：</w:t>
            </w:r>
            <w:r>
              <w:rPr>
                <w:rFonts w:hint="eastAsia" w:ascii="仿宋" w:hAnsi="仿宋" w:eastAsia="仿宋" w:cs="仿宋"/>
                <w:color w:val="000000" w:themeColor="text1"/>
                <w:kern w:val="0"/>
                <w:szCs w:val="21"/>
                <w:highlight w:val="none"/>
                <w:lang w:val="en-US" w:eastAsia="zh-CN"/>
                <w14:textFill>
                  <w14:solidFill>
                    <w14:schemeClr w14:val="tx1"/>
                  </w14:solidFill>
                </w14:textFill>
              </w:rPr>
              <w:t>无。</w:t>
            </w:r>
          </w:p>
          <w:p w14:paraId="31AF8C61">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000000" w:themeColor="text1"/>
                <w:kern w:val="0"/>
                <w:szCs w:val="21"/>
                <w:highlight w:val="none"/>
                <w:lang w:eastAsia="zh-CN"/>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2、</w:t>
            </w:r>
            <w:r>
              <w:rPr>
                <w:rFonts w:hint="eastAsia" w:ascii="仿宋" w:hAnsi="仿宋" w:eastAsia="仿宋" w:cs="仿宋"/>
                <w:color w:val="000000" w:themeColor="text1"/>
                <w:kern w:val="0"/>
                <w:szCs w:val="21"/>
                <w:highlight w:val="none"/>
                <w:shd w:val="clear" w:color="auto" w:fill="FFFFFF" w:themeFill="background1"/>
                <w:lang w:eastAsia="zh-CN"/>
                <w14:textFill>
                  <w14:solidFill>
                    <w14:schemeClr w14:val="tx1"/>
                  </w14:solidFill>
                </w14:textFill>
              </w:rPr>
              <w:t>投标人</w:t>
            </w: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应当以支票、汇票、本票或者金融机构、担保机构出具的保函等非现金形式提交履约保证金。</w:t>
            </w:r>
          </w:p>
        </w:tc>
      </w:tr>
      <w:tr w14:paraId="11D94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248" w:hRule="atLeast"/>
          <w:jc w:val="center"/>
        </w:trPr>
        <w:tc>
          <w:tcPr>
            <w:tcW w:w="597" w:type="dxa"/>
            <w:vAlign w:val="center"/>
          </w:tcPr>
          <w:p w14:paraId="0EDEB885">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17</w:t>
            </w:r>
          </w:p>
        </w:tc>
        <w:tc>
          <w:tcPr>
            <w:tcW w:w="1410" w:type="dxa"/>
            <w:vAlign w:val="center"/>
          </w:tcPr>
          <w:p w14:paraId="3AD8A846">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中小企业政策说明</w:t>
            </w:r>
          </w:p>
        </w:tc>
        <w:tc>
          <w:tcPr>
            <w:tcW w:w="7073" w:type="dxa"/>
            <w:vAlign w:val="center"/>
          </w:tcPr>
          <w:p w14:paraId="4E4E312E">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845216A">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2、在政府采购活动中，投标人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1E8B5ABA">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3、在货物采购项目中，投标人提供的货物既有中小企业制造货物，也有大型企业制造货物的，不享受本办法规定的中小企业扶持政策。</w:t>
            </w:r>
          </w:p>
          <w:p w14:paraId="0B482C84">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4、以联合体形式参加政府采购活动，联合体各方均为中小企业的，联合体视同中小企业。其中，联合体各方均为小微企业的，联合体视同小微企业。</w:t>
            </w:r>
          </w:p>
          <w:p w14:paraId="5C9ABA26">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5、投标人经享受扶持政策获得政府采购合同的，小微企业不得将合同分包给大中型企业，中型企业不得将合同分包给大型企业；</w:t>
            </w:r>
          </w:p>
          <w:p w14:paraId="37C62828">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6、残疾人福利性单位和监狱企业视同小型、微型企业。</w:t>
            </w:r>
          </w:p>
          <w:p w14:paraId="37EDE47D">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7</w:t>
            </w:r>
            <w:r>
              <w:rPr>
                <w:rFonts w:hint="eastAsia" w:ascii="仿宋" w:hAnsi="仿宋" w:eastAsia="仿宋" w:cs="仿宋"/>
                <w:color w:val="000000" w:themeColor="text1"/>
                <w:kern w:val="0"/>
                <w:szCs w:val="21"/>
                <w:highlight w:val="none"/>
                <w14:textFill>
                  <w14:solidFill>
                    <w14:schemeClr w14:val="tx1"/>
                  </w14:solidFill>
                </w14:textFill>
              </w:rPr>
              <w:t>、根据“关于印发中小企业划型标准规定的通知(工信部联企业〔2011〕300号)”等有关规定，本项目标的所属行业为</w:t>
            </w:r>
            <w:r>
              <w:rPr>
                <w:rFonts w:hint="eastAsia" w:ascii="仿宋" w:hAnsi="仿宋" w:eastAsia="仿宋" w:cs="仿宋"/>
                <w:color w:val="000000" w:themeColor="text1"/>
                <w:kern w:val="0"/>
                <w:szCs w:val="21"/>
                <w:highlight w:val="none"/>
                <w:lang w:val="en-US" w:eastAsia="zh-CN"/>
                <w14:textFill>
                  <w14:solidFill>
                    <w14:schemeClr w14:val="tx1"/>
                  </w14:solidFill>
                </w14:textFill>
              </w:rPr>
              <w:t>餐饮业</w:t>
            </w:r>
            <w:r>
              <w:rPr>
                <w:rFonts w:hint="eastAsia" w:ascii="仿宋" w:hAnsi="仿宋" w:eastAsia="仿宋" w:cs="仿宋"/>
                <w:color w:val="000000" w:themeColor="text1"/>
                <w:kern w:val="0"/>
                <w:szCs w:val="21"/>
                <w:highlight w:val="none"/>
                <w14:textFill>
                  <w14:solidFill>
                    <w14:schemeClr w14:val="tx1"/>
                  </w14:solidFill>
                </w14:textFill>
              </w:rPr>
              <w:t>。</w:t>
            </w:r>
          </w:p>
        </w:tc>
      </w:tr>
      <w:tr w14:paraId="3A8DE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A246CDB">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18</w:t>
            </w:r>
          </w:p>
        </w:tc>
        <w:tc>
          <w:tcPr>
            <w:tcW w:w="1410" w:type="dxa"/>
            <w:vAlign w:val="center"/>
          </w:tcPr>
          <w:p w14:paraId="7DED8DB7">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合同</w:t>
            </w:r>
            <w:r>
              <w:rPr>
                <w:rFonts w:hint="eastAsia" w:ascii="仿宋" w:hAnsi="仿宋" w:eastAsia="仿宋" w:cs="仿宋"/>
                <w:color w:val="000000" w:themeColor="text1"/>
                <w:kern w:val="0"/>
                <w:szCs w:val="21"/>
                <w:highlight w:val="none"/>
                <w14:textFill>
                  <w14:solidFill>
                    <w14:schemeClr w14:val="tx1"/>
                  </w14:solidFill>
                </w14:textFill>
              </w:rPr>
              <w:t>分包</w:t>
            </w:r>
          </w:p>
        </w:tc>
        <w:tc>
          <w:tcPr>
            <w:tcW w:w="7073" w:type="dxa"/>
            <w:vAlign w:val="center"/>
          </w:tcPr>
          <w:p w14:paraId="0F6044F9">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☑不允许分包</w:t>
            </w:r>
          </w:p>
          <w:p w14:paraId="11DB1170">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□允许分包,要求：</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  </w:t>
            </w:r>
          </w:p>
        </w:tc>
      </w:tr>
      <w:tr w14:paraId="0CD74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F53522D">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19</w:t>
            </w:r>
          </w:p>
        </w:tc>
        <w:tc>
          <w:tcPr>
            <w:tcW w:w="1410" w:type="dxa"/>
            <w:shd w:val="clear" w:color="auto" w:fill="auto"/>
            <w:vAlign w:val="center"/>
          </w:tcPr>
          <w:p w14:paraId="21C4580C">
            <w:pPr>
              <w:keepNext/>
              <w:widowControl/>
              <w:jc w:val="distribute"/>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说明</w:t>
            </w:r>
          </w:p>
        </w:tc>
        <w:tc>
          <w:tcPr>
            <w:tcW w:w="7073" w:type="dxa"/>
            <w:shd w:val="clear" w:color="auto" w:fill="auto"/>
            <w:vAlign w:val="center"/>
          </w:tcPr>
          <w:p w14:paraId="19B9944C">
            <w:pPr>
              <w:keepNext/>
              <w:widowControl/>
              <w:ind w:firstLine="420" w:firstLineChars="200"/>
              <w:jc w:val="left"/>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1、采购代理咨询费</w:t>
            </w:r>
            <w:r>
              <w:rPr>
                <w:rFonts w:hint="eastAsia" w:ascii="仿宋" w:hAnsi="仿宋" w:eastAsia="仿宋" w:cs="仿宋"/>
                <w:color w:val="000000" w:themeColor="text1"/>
                <w:kern w:val="0"/>
                <w:szCs w:val="21"/>
                <w:highlight w:val="none"/>
                <w:lang w:eastAsia="zh-CN"/>
                <w14:textFill>
                  <w14:solidFill>
                    <w14:schemeClr w14:val="tx1"/>
                  </w14:solidFill>
                </w14:textFill>
              </w:rPr>
              <w:t>以</w:t>
            </w:r>
            <w:r>
              <w:rPr>
                <w:rFonts w:hint="eastAsia" w:ascii="仿宋" w:hAnsi="仿宋" w:eastAsia="仿宋" w:cs="仿宋"/>
                <w:color w:val="000000" w:themeColor="text1"/>
                <w:kern w:val="0"/>
                <w:szCs w:val="21"/>
                <w:highlight w:val="none"/>
                <w:lang w:val="en-US" w:eastAsia="zh-CN"/>
                <w14:textFill>
                  <w14:solidFill>
                    <w14:schemeClr w14:val="tx1"/>
                  </w14:solidFill>
                </w14:textFill>
              </w:rPr>
              <w:t>中标</w:t>
            </w:r>
            <w:r>
              <w:rPr>
                <w:rFonts w:hint="eastAsia" w:ascii="仿宋" w:hAnsi="仿宋" w:eastAsia="仿宋" w:cs="仿宋"/>
                <w:color w:val="000000" w:themeColor="text1"/>
                <w:kern w:val="0"/>
                <w:szCs w:val="21"/>
                <w:highlight w:val="none"/>
                <w:lang w:eastAsia="zh-CN"/>
                <w14:textFill>
                  <w14:solidFill>
                    <w14:schemeClr w14:val="tx1"/>
                  </w14:solidFill>
                </w14:textFill>
              </w:rPr>
              <w:t>价格为基准，参照国家计委《招标代理服务费管理暂行办法》的通知(计价格[2002]1980号)</w:t>
            </w:r>
            <w:r>
              <w:rPr>
                <w:rFonts w:hint="eastAsia" w:ascii="仿宋" w:hAnsi="仿宋" w:eastAsia="仿宋" w:cs="仿宋"/>
                <w:color w:val="000000" w:themeColor="text1"/>
                <w:kern w:val="0"/>
                <w:szCs w:val="21"/>
                <w:highlight w:val="none"/>
                <w:lang w:val="en-US" w:eastAsia="zh-CN"/>
                <w14:textFill>
                  <w14:solidFill>
                    <w14:schemeClr w14:val="tx1"/>
                  </w14:solidFill>
                </w14:textFill>
              </w:rPr>
              <w:t>计取</w:t>
            </w:r>
            <w:r>
              <w:rPr>
                <w:rFonts w:hint="eastAsia" w:ascii="仿宋" w:hAnsi="仿宋" w:eastAsia="仿宋" w:cs="仿宋"/>
                <w:color w:val="000000" w:themeColor="text1"/>
                <w:kern w:val="0"/>
                <w:szCs w:val="21"/>
                <w:highlight w:val="none"/>
                <w:lang w:eastAsia="zh-CN"/>
                <w14:textFill>
                  <w14:solidFill>
                    <w14:schemeClr w14:val="tx1"/>
                  </w14:solidFill>
                </w14:textFill>
              </w:rPr>
              <w:t>，由</w:t>
            </w:r>
            <w:r>
              <w:rPr>
                <w:rFonts w:hint="eastAsia" w:ascii="仿宋" w:hAnsi="仿宋" w:eastAsia="仿宋" w:cs="仿宋"/>
                <w:color w:val="000000" w:themeColor="text1"/>
                <w:kern w:val="0"/>
                <w:szCs w:val="21"/>
                <w:highlight w:val="none"/>
                <w:lang w:val="en-US" w:eastAsia="zh-CN"/>
                <w14:textFill>
                  <w14:solidFill>
                    <w14:schemeClr w14:val="tx1"/>
                  </w14:solidFill>
                </w14:textFill>
              </w:rPr>
              <w:t>中标人在领取中标通知书时支付</w:t>
            </w:r>
            <w:r>
              <w:rPr>
                <w:rFonts w:hint="eastAsia" w:ascii="仿宋" w:hAnsi="仿宋" w:eastAsia="仿宋" w:cs="仿宋"/>
                <w:color w:val="000000" w:themeColor="text1"/>
                <w:kern w:val="0"/>
                <w:szCs w:val="21"/>
                <w:highlight w:val="none"/>
                <w14:textFill>
                  <w14:solidFill>
                    <w14:schemeClr w14:val="tx1"/>
                  </w14:solidFill>
                </w14:textFill>
              </w:rPr>
              <w:t>。</w:t>
            </w:r>
          </w:p>
          <w:p w14:paraId="5E6FADF2">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Cs w:val="21"/>
                <w:highlight w:val="none"/>
                <w14:textFill>
                  <w14:solidFill>
                    <w14:schemeClr w14:val="tx1"/>
                  </w14:solidFill>
                </w14:textFill>
              </w:rPr>
              <w:t>本表内容如与后文内容不一致处，以本表为准。</w:t>
            </w:r>
          </w:p>
        </w:tc>
      </w:tr>
    </w:tbl>
    <w:p w14:paraId="09625969">
      <w:pPr>
        <w:spacing w:line="360" w:lineRule="auto"/>
        <w:jc w:val="center"/>
        <w:outlineLvl w:val="0"/>
        <w:rPr>
          <w:rFonts w:hint="eastAsia" w:ascii="仿宋" w:hAnsi="仿宋" w:eastAsia="仿宋" w:cs="仿宋"/>
          <w:b/>
          <w:color w:val="000000" w:themeColor="text1"/>
          <w:sz w:val="24"/>
          <w:szCs w:val="24"/>
          <w:highlight w:val="none"/>
          <w14:textFill>
            <w14:solidFill>
              <w14:schemeClr w14:val="tx1"/>
            </w14:solidFill>
          </w14:textFill>
        </w:rPr>
      </w:pPr>
      <w:bookmarkStart w:id="2" w:name="_BookMark_3"/>
      <w:bookmarkEnd w:id="2"/>
      <w:r>
        <w:rPr>
          <w:rFonts w:hint="eastAsia" w:ascii="仿宋" w:hAnsi="仿宋" w:eastAsia="仿宋" w:cs="仿宋"/>
          <w:color w:val="000000" w:themeColor="text1"/>
          <w:kern w:val="0"/>
          <w:sz w:val="24"/>
          <w:szCs w:val="24"/>
          <w:highlight w:val="none"/>
          <w14:textFill>
            <w14:solidFill>
              <w14:schemeClr w14:val="tx1"/>
            </w14:solidFill>
          </w14:textFill>
        </w:rPr>
        <w:br w:type="page"/>
      </w:r>
      <w:bookmarkStart w:id="3" w:name="_Toc3941"/>
      <w:r>
        <w:rPr>
          <w:rFonts w:hint="eastAsia" w:ascii="仿宋" w:hAnsi="仿宋" w:eastAsia="仿宋" w:cs="仿宋"/>
          <w:b/>
          <w:color w:val="000000" w:themeColor="text1"/>
          <w:sz w:val="24"/>
          <w:szCs w:val="24"/>
          <w:highlight w:val="none"/>
          <w14:textFill>
            <w14:solidFill>
              <w14:schemeClr w14:val="tx1"/>
            </w14:solidFill>
          </w14:textFill>
        </w:rPr>
        <w:t>第一章 投标人须知</w:t>
      </w:r>
      <w:bookmarkEnd w:id="3"/>
      <w:bookmarkStart w:id="4" w:name="_BookMark_2"/>
      <w:bookmarkEnd w:id="4"/>
    </w:p>
    <w:p w14:paraId="52F900C3">
      <w:pPr>
        <w:tabs>
          <w:tab w:val="center" w:pos="4832"/>
          <w:tab w:val="left" w:pos="7140"/>
        </w:tabs>
        <w:spacing w:line="360" w:lineRule="auto"/>
        <w:ind w:firstLine="472" w:firstLineChars="196"/>
        <w:jc w:val="left"/>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5" w:name="_Toc31299"/>
      <w:bookmarkStart w:id="6" w:name="_Toc27466"/>
      <w:bookmarkStart w:id="7" w:name="_Toc130252597"/>
      <w:r>
        <w:rPr>
          <w:rFonts w:hint="eastAsia" w:ascii="仿宋" w:hAnsi="仿宋" w:eastAsia="仿宋" w:cs="仿宋"/>
          <w:b/>
          <w:color w:val="000000" w:themeColor="text1"/>
          <w:sz w:val="24"/>
          <w:szCs w:val="24"/>
          <w:highlight w:val="none"/>
          <w:lang w:val="en-US" w:eastAsia="zh-CN"/>
          <w14:textFill>
            <w14:solidFill>
              <w14:schemeClr w14:val="tx1"/>
            </w14:solidFill>
          </w14:textFill>
        </w:rPr>
        <w:t>一</w:t>
      </w:r>
      <w:r>
        <w:rPr>
          <w:rFonts w:hint="eastAsia" w:ascii="仿宋" w:hAnsi="仿宋" w:eastAsia="仿宋" w:cs="仿宋"/>
          <w:b/>
          <w:color w:val="000000" w:themeColor="text1"/>
          <w:sz w:val="24"/>
          <w:szCs w:val="24"/>
          <w:highlight w:val="none"/>
          <w:lang w:eastAsia="zh-CN"/>
          <w14:textFill>
            <w14:solidFill>
              <w14:schemeClr w14:val="tx1"/>
            </w14:solidFill>
          </w14:textFill>
        </w:rPr>
        <w:t>、</w:t>
      </w:r>
      <w:r>
        <w:rPr>
          <w:rFonts w:hint="eastAsia" w:ascii="仿宋" w:hAnsi="仿宋" w:eastAsia="仿宋" w:cs="仿宋"/>
          <w:b/>
          <w:color w:val="000000" w:themeColor="text1"/>
          <w:sz w:val="24"/>
          <w:szCs w:val="24"/>
          <w:highlight w:val="none"/>
          <w14:textFill>
            <w14:solidFill>
              <w14:schemeClr w14:val="tx1"/>
            </w14:solidFill>
          </w14:textFill>
        </w:rPr>
        <w:t>总则</w:t>
      </w:r>
      <w:bookmarkEnd w:id="5"/>
      <w:bookmarkEnd w:id="6"/>
      <w:bookmarkEnd w:id="7"/>
    </w:p>
    <w:p w14:paraId="06F2FCB0">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1.1采购项目概况</w:t>
      </w:r>
    </w:p>
    <w:p w14:paraId="3E8D899B">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1.1.1项目名称：见</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投标人</w:t>
      </w:r>
      <w:r>
        <w:rPr>
          <w:rFonts w:hint="eastAsia" w:ascii="仿宋" w:hAnsi="仿宋" w:eastAsia="仿宋" w:cs="仿宋"/>
          <w:color w:val="000000" w:themeColor="text1"/>
          <w:kern w:val="0"/>
          <w:sz w:val="24"/>
          <w:szCs w:val="24"/>
          <w:highlight w:val="none"/>
          <w14:textFill>
            <w14:solidFill>
              <w14:schemeClr w14:val="tx1"/>
            </w14:solidFill>
          </w14:textFill>
        </w:rPr>
        <w:t>须知前附表。</w:t>
      </w:r>
    </w:p>
    <w:p w14:paraId="55283CC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项目编号：见</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投标人</w:t>
      </w:r>
      <w:r>
        <w:rPr>
          <w:rFonts w:hint="eastAsia" w:ascii="仿宋" w:hAnsi="仿宋" w:eastAsia="仿宋" w:cs="仿宋"/>
          <w:color w:val="000000" w:themeColor="text1"/>
          <w:kern w:val="0"/>
          <w:sz w:val="24"/>
          <w:szCs w:val="24"/>
          <w:highlight w:val="none"/>
          <w14:textFill>
            <w14:solidFill>
              <w14:schemeClr w14:val="tx1"/>
            </w14:solidFill>
          </w14:textFill>
        </w:rPr>
        <w:t>须知前附表。</w:t>
      </w:r>
    </w:p>
    <w:p w14:paraId="07B1A8E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14:textFill>
            <w14:solidFill>
              <w14:schemeClr w14:val="tx1"/>
            </w14:solidFill>
          </w14:textFill>
        </w:rPr>
        <w:t>采购人：见投标人须知前附表。</w:t>
      </w:r>
    </w:p>
    <w:p w14:paraId="796C1C00">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4"/>
          <w:szCs w:val="24"/>
          <w:highlight w:val="none"/>
          <w14:textFill>
            <w14:solidFill>
              <w14:schemeClr w14:val="tx1"/>
            </w14:solidFill>
          </w14:textFill>
        </w:rPr>
        <w:t>采购代理机构：见投标人须知前附表。</w:t>
      </w:r>
    </w:p>
    <w:p w14:paraId="2B34551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14:textFill>
            <w14:solidFill>
              <w14:schemeClr w14:val="tx1"/>
            </w14:solidFill>
          </w14:textFill>
        </w:rPr>
        <w:t>项目地点：见投标人须知前附表。</w:t>
      </w:r>
    </w:p>
    <w:p w14:paraId="124713A2">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6</w:t>
      </w:r>
      <w:r>
        <w:rPr>
          <w:rFonts w:hint="eastAsia" w:ascii="仿宋" w:hAnsi="仿宋" w:eastAsia="仿宋" w:cs="仿宋"/>
          <w:color w:val="000000" w:themeColor="text1"/>
          <w:kern w:val="0"/>
          <w:sz w:val="24"/>
          <w:szCs w:val="24"/>
          <w:highlight w:val="none"/>
          <w14:textFill>
            <w14:solidFill>
              <w14:schemeClr w14:val="tx1"/>
            </w14:solidFill>
          </w14:textFill>
        </w:rPr>
        <w:t>资金来源：见投标人须知前附表。</w:t>
      </w:r>
    </w:p>
    <w:p w14:paraId="0A3E86C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7</w:t>
      </w:r>
      <w:r>
        <w:rPr>
          <w:rFonts w:hint="eastAsia" w:ascii="仿宋" w:hAnsi="仿宋" w:eastAsia="仿宋" w:cs="仿宋"/>
          <w:color w:val="000000" w:themeColor="text1"/>
          <w:kern w:val="0"/>
          <w:sz w:val="24"/>
          <w:szCs w:val="24"/>
          <w:highlight w:val="none"/>
          <w14:textFill>
            <w14:solidFill>
              <w14:schemeClr w14:val="tx1"/>
            </w14:solidFill>
          </w14:textFill>
        </w:rPr>
        <w:t>采购预算金额：见投标人须知前附表。</w:t>
      </w:r>
    </w:p>
    <w:p w14:paraId="51C0CEBB">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 w:val="24"/>
          <w:szCs w:val="24"/>
          <w:highlight w:val="none"/>
          <w14:textFill>
            <w14:solidFill>
              <w14:schemeClr w14:val="tx1"/>
            </w14:solidFill>
          </w14:textFill>
        </w:rPr>
        <w:t>最高限价：见投标人须知前附表。</w:t>
      </w:r>
    </w:p>
    <w:p w14:paraId="020B0F7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9</w:t>
      </w:r>
      <w:r>
        <w:rPr>
          <w:rFonts w:hint="eastAsia" w:ascii="仿宋" w:hAnsi="仿宋" w:eastAsia="仿宋" w:cs="仿宋"/>
          <w:color w:val="000000" w:themeColor="text1"/>
          <w:kern w:val="0"/>
          <w:sz w:val="24"/>
          <w:szCs w:val="24"/>
          <w:highlight w:val="none"/>
          <w:lang w:eastAsia="zh-CN"/>
          <w14:textFill>
            <w14:solidFill>
              <w14:schemeClr w14:val="tx1"/>
            </w14:solidFill>
          </w14:textFill>
        </w:rPr>
        <w:t>合同履约期限</w:t>
      </w:r>
      <w:r>
        <w:rPr>
          <w:rFonts w:hint="eastAsia" w:ascii="仿宋" w:hAnsi="仿宋" w:eastAsia="仿宋" w:cs="仿宋"/>
          <w:color w:val="000000" w:themeColor="text1"/>
          <w:kern w:val="0"/>
          <w:sz w:val="24"/>
          <w:szCs w:val="24"/>
          <w:highlight w:val="none"/>
          <w14:textFill>
            <w14:solidFill>
              <w14:schemeClr w14:val="tx1"/>
            </w14:solidFill>
          </w14:textFill>
        </w:rPr>
        <w:t>：见投标人须知前附表。</w:t>
      </w:r>
    </w:p>
    <w:p w14:paraId="55210F6C">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0</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服务地点</w:t>
      </w:r>
      <w:r>
        <w:rPr>
          <w:rFonts w:hint="eastAsia" w:ascii="仿宋" w:hAnsi="仿宋" w:eastAsia="仿宋" w:cs="仿宋"/>
          <w:color w:val="000000" w:themeColor="text1"/>
          <w:kern w:val="0"/>
          <w:sz w:val="24"/>
          <w:szCs w:val="24"/>
          <w:highlight w:val="none"/>
          <w14:textFill>
            <w14:solidFill>
              <w14:schemeClr w14:val="tx1"/>
            </w14:solidFill>
          </w14:textFill>
        </w:rPr>
        <w:t>：见投标人须知前附表。</w:t>
      </w:r>
    </w:p>
    <w:p w14:paraId="2FE60FBD">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1.2采购范围：见投标人须知前附表。</w:t>
      </w:r>
    </w:p>
    <w:p w14:paraId="488528D2">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1.3采购方式和资格审查方式</w:t>
      </w:r>
    </w:p>
    <w:p w14:paraId="11D6A516">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1.3.1采购方式：见投标人须知前附表。</w:t>
      </w:r>
    </w:p>
    <w:p w14:paraId="4F0B101D">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1.3.2资格审查方式：见投标人须知前附表。</w:t>
      </w:r>
    </w:p>
    <w:p w14:paraId="0E231D2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1.4 评审办法及定标方法</w:t>
      </w:r>
    </w:p>
    <w:p w14:paraId="510E259C">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1.4.1评审办法：见投标人须知前附表。</w:t>
      </w:r>
    </w:p>
    <w:p w14:paraId="71D9001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1.4.2定标方法：见投标人须知前附表。</w:t>
      </w:r>
    </w:p>
    <w:p w14:paraId="439416F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1.5</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投标人的资格要求</w:t>
      </w:r>
      <w:r>
        <w:rPr>
          <w:rFonts w:hint="eastAsia" w:ascii="仿宋" w:hAnsi="仿宋" w:eastAsia="仿宋" w:cs="仿宋"/>
          <w:color w:val="000000" w:themeColor="text1"/>
          <w:kern w:val="0"/>
          <w:sz w:val="24"/>
          <w:szCs w:val="24"/>
          <w:highlight w:val="none"/>
          <w14:textFill>
            <w14:solidFill>
              <w14:schemeClr w14:val="tx1"/>
            </w14:solidFill>
          </w14:textFill>
        </w:rPr>
        <w:t>：见投标人须知前附表。</w:t>
      </w:r>
    </w:p>
    <w:p w14:paraId="4986AB2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1.6投标人不得存在的情形：见投标人须知前附表。</w:t>
      </w:r>
    </w:p>
    <w:p w14:paraId="6D297BA7">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1.7费用承担</w:t>
      </w:r>
    </w:p>
    <w:p w14:paraId="76653F4D">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1.7.1招标文件费：见投标人须知前附表。</w:t>
      </w:r>
    </w:p>
    <w:p w14:paraId="153D2EA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1.7.2投标人应承担其编制投标文件与递交投标文件所涉及的一切费用，无论投标结果如何，采购人及采购代理机构对上述费用不作任何补偿。采购代理咨询费由中标人支付。</w:t>
      </w:r>
    </w:p>
    <w:p w14:paraId="5058D69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1.8投标保证金：见投标人须知前附表。</w:t>
      </w:r>
    </w:p>
    <w:p w14:paraId="6371FE27">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1.9现场踏勘</w:t>
      </w:r>
    </w:p>
    <w:p w14:paraId="48D24AE0">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1.9.1投标人须知前附表如规定组织踏勘现场的，采购人或采购代理机构按投标人须知前附表规定的时间、地点组织投标人踏勘项目现场。</w:t>
      </w:r>
    </w:p>
    <w:p w14:paraId="2850ADDD">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1.9.2投标人踏勘现场发生的费用自理。</w:t>
      </w:r>
    </w:p>
    <w:p w14:paraId="7BB3C112">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1.9.3除采购人或采购代理机构的原因外，投标人自行负责在踏勘现场中所发生的人员伤亡和财产损失。</w:t>
      </w:r>
    </w:p>
    <w:p w14:paraId="4FA3F974">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1.9.4采购人或采购代理机构在踏勘现场中介绍的项目有关情况，供投标人在编制投标文件时参考，采购人或采购代理机构不对投标人据此作出的判断和决策负责。</w:t>
      </w:r>
    </w:p>
    <w:p w14:paraId="163628E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1.10招标答疑</w:t>
      </w:r>
    </w:p>
    <w:p w14:paraId="018B2EC1">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1.10.1投标人若有询问或质疑，应按投标人须知前附表规定的时间、方式向采购人或采购代理机构提出，要求采购人对招标文件予以澄清。</w:t>
      </w:r>
    </w:p>
    <w:p w14:paraId="7418DBB0">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1.11投标文件：见投标人须知前附表。</w:t>
      </w:r>
    </w:p>
    <w:p w14:paraId="216C9090">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1.12投标文件递交：见投标人须知前附表。</w:t>
      </w:r>
    </w:p>
    <w:p w14:paraId="033AFF3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1.13开标：见投标人须知前附表。</w:t>
      </w:r>
    </w:p>
    <w:p w14:paraId="250EAF90">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1.14投标有效期：见投标人须知前附表。</w:t>
      </w:r>
    </w:p>
    <w:p w14:paraId="5B81D3A6">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1.15公告发布媒体：见投标人须知前附表。</w:t>
      </w:r>
    </w:p>
    <w:p w14:paraId="49821F08">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1.16履约保证金：见投标人须知前附表。</w:t>
      </w:r>
    </w:p>
    <w:p w14:paraId="791B5B10">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1.17中小企业政策说明：见投标人须知前附表。</w:t>
      </w:r>
    </w:p>
    <w:p w14:paraId="3AA9A79B">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1.18合同分包：见投标人须知前附表。</w:t>
      </w:r>
    </w:p>
    <w:p w14:paraId="439B384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19</w:t>
      </w:r>
      <w:r>
        <w:rPr>
          <w:rFonts w:hint="eastAsia" w:ascii="仿宋" w:hAnsi="仿宋" w:eastAsia="仿宋" w:cs="仿宋"/>
          <w:color w:val="000000" w:themeColor="text1"/>
          <w:kern w:val="0"/>
          <w:sz w:val="24"/>
          <w:szCs w:val="24"/>
          <w:highlight w:val="none"/>
          <w14:textFill>
            <w14:solidFill>
              <w14:schemeClr w14:val="tx1"/>
            </w14:solidFill>
          </w14:textFill>
        </w:rPr>
        <w:t>保密</w:t>
      </w:r>
    </w:p>
    <w:p w14:paraId="5776D687">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参与招标投标活动的各方应当对招标文件和投标文件中的商业和技术等秘密保密，否则应当承担相应的法律责任。</w:t>
      </w:r>
    </w:p>
    <w:p w14:paraId="3AEAFA31">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20</w:t>
      </w:r>
      <w:r>
        <w:rPr>
          <w:rFonts w:hint="eastAsia" w:ascii="仿宋" w:hAnsi="仿宋" w:eastAsia="仿宋" w:cs="仿宋"/>
          <w:color w:val="000000" w:themeColor="text1"/>
          <w:kern w:val="0"/>
          <w:sz w:val="24"/>
          <w:szCs w:val="24"/>
          <w:highlight w:val="none"/>
          <w14:textFill>
            <w14:solidFill>
              <w14:schemeClr w14:val="tx1"/>
            </w14:solidFill>
          </w14:textFill>
        </w:rPr>
        <w:t>语言文字</w:t>
      </w:r>
    </w:p>
    <w:p w14:paraId="7B833BD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除专用术语外，与招标投标有关的语言均应当使用中文。必要时专用术语应附有中文注释。</w:t>
      </w:r>
    </w:p>
    <w:p w14:paraId="1A016098">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1.2</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14:textFill>
            <w14:solidFill>
              <w14:schemeClr w14:val="tx1"/>
            </w14:solidFill>
          </w14:textFill>
        </w:rPr>
        <w:t>计量单位</w:t>
      </w:r>
    </w:p>
    <w:p w14:paraId="4A4BBBA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所有计量均采用中华人民共和国法定计量单位。</w:t>
      </w:r>
    </w:p>
    <w:p w14:paraId="76341FA2">
      <w:pPr>
        <w:tabs>
          <w:tab w:val="center" w:pos="4832"/>
          <w:tab w:val="left" w:pos="7140"/>
        </w:tabs>
        <w:spacing w:line="360" w:lineRule="auto"/>
        <w:ind w:firstLine="472" w:firstLineChars="196"/>
        <w:jc w:val="left"/>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8" w:name="_Toc535592196"/>
      <w:bookmarkStart w:id="9" w:name="_Toc22780"/>
      <w:bookmarkStart w:id="10" w:name="_Toc9197"/>
      <w:r>
        <w:rPr>
          <w:rFonts w:hint="eastAsia" w:ascii="仿宋" w:hAnsi="仿宋" w:eastAsia="仿宋" w:cs="仿宋"/>
          <w:b/>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b/>
          <w:color w:val="000000" w:themeColor="text1"/>
          <w:sz w:val="24"/>
          <w:szCs w:val="24"/>
          <w:highlight w:val="none"/>
          <w14:textFill>
            <w14:solidFill>
              <w14:schemeClr w14:val="tx1"/>
            </w14:solidFill>
          </w14:textFill>
        </w:rPr>
        <w:t>招标文件</w:t>
      </w:r>
      <w:bookmarkEnd w:id="8"/>
      <w:bookmarkEnd w:id="9"/>
      <w:bookmarkEnd w:id="10"/>
    </w:p>
    <w:p w14:paraId="752F9DC8">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2.1 招标文件的组成</w:t>
      </w:r>
    </w:p>
    <w:p w14:paraId="662AA096">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（1）招标公告</w:t>
      </w:r>
    </w:p>
    <w:p w14:paraId="5AEC0D12">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（2）投标人须知前附表</w:t>
      </w:r>
    </w:p>
    <w:p w14:paraId="1880740D">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（3）投标人须知</w:t>
      </w:r>
    </w:p>
    <w:p w14:paraId="5D4E7CC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（4）评标办法</w:t>
      </w:r>
    </w:p>
    <w:p w14:paraId="4BA775E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（5）合同</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文本</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67B7B50C">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（6）</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服务标准和要求</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6817206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（7）投标文件格式；</w:t>
      </w:r>
    </w:p>
    <w:p w14:paraId="35A3DFED">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（8）补充条款。</w:t>
      </w:r>
    </w:p>
    <w:p w14:paraId="00CDA15D">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（9）根据本章第2.4款对招标文件所作的澄清、修改，构成招标文件的组成部分。</w:t>
      </w:r>
    </w:p>
    <w:p w14:paraId="1BB62E3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2.2招标文件的获取</w:t>
      </w:r>
    </w:p>
    <w:p w14:paraId="332F027C">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凡有意参加并符合投标人须知前附表“</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投标人的资格要求</w:t>
      </w:r>
      <w:r>
        <w:rPr>
          <w:rFonts w:hint="eastAsia" w:ascii="仿宋" w:hAnsi="仿宋" w:eastAsia="仿宋" w:cs="仿宋"/>
          <w:color w:val="000000" w:themeColor="text1"/>
          <w:kern w:val="0"/>
          <w:sz w:val="24"/>
          <w:szCs w:val="24"/>
          <w:highlight w:val="none"/>
          <w14:textFill>
            <w14:solidFill>
              <w14:schemeClr w14:val="tx1"/>
            </w14:solidFill>
          </w14:textFill>
        </w:rPr>
        <w:t>”的投标人，均可获取招标文件。</w:t>
      </w:r>
    </w:p>
    <w:p w14:paraId="52E03D1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2.3招标文件的澄清</w:t>
      </w:r>
    </w:p>
    <w:p w14:paraId="3CEC212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2.3.1 投标人应当仔细阅读和检查招标文件的全部内容。如发现缺失或附件不全，应当及时向采购人提出，以便补齐。如有疑问，应当在投标人须知前附表规定的时间、方式向采购人提出，要求采购人对招标文件予以澄清。</w:t>
      </w:r>
    </w:p>
    <w:p w14:paraId="4D925DB1">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2.3.2 招标文件的澄清将按照投标人须知前附表规定的时间、方式发布，但不指明澄清问题的来源。</w:t>
      </w:r>
    </w:p>
    <w:p w14:paraId="07CE65DA">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2.4招标文件的修改</w:t>
      </w:r>
    </w:p>
    <w:p w14:paraId="63AD0411">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2.4.1 招标文件的修改将按照投标人须知前附表规定的时间、方式发布，但不指明澄清问题的来源。</w:t>
      </w:r>
    </w:p>
    <w:p w14:paraId="3439B87D">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2.4.2 在投标人须知前附表规定的截止时间前，无论出于何种原因，采购人或采购代理机构可主动地或在解答潜在投标人提出的澄清问题时对招标文件进行修改。</w:t>
      </w:r>
    </w:p>
    <w:p w14:paraId="50A2FB1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2.4.3 招标文件的修改部分是招标文件的组成部分对投标人具有约束力。</w:t>
      </w:r>
    </w:p>
    <w:p w14:paraId="254FAA4B">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2.4.4 当采购人发放的招标文件及招标文件的答疑文件、修改文件、补充文件前后不一致，发生矛盾情况时，以最后发出的为准。</w:t>
      </w:r>
    </w:p>
    <w:p w14:paraId="4A5F5167">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2.4.5 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14:paraId="3B8BB38D">
      <w:pPr>
        <w:tabs>
          <w:tab w:val="center" w:pos="4832"/>
          <w:tab w:val="left" w:pos="7140"/>
        </w:tabs>
        <w:spacing w:line="360" w:lineRule="auto"/>
        <w:ind w:firstLine="472" w:firstLineChars="196"/>
        <w:jc w:val="left"/>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11" w:name="_BookMark_6"/>
      <w:bookmarkEnd w:id="11"/>
      <w:bookmarkStart w:id="12" w:name="_Toc5120"/>
      <w:bookmarkStart w:id="13" w:name="_Toc535592197"/>
      <w:bookmarkStart w:id="14" w:name="_Toc21749"/>
      <w:r>
        <w:rPr>
          <w:rFonts w:hint="eastAsia" w:ascii="仿宋" w:hAnsi="仿宋" w:eastAsia="仿宋" w:cs="仿宋"/>
          <w:b/>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b/>
          <w:color w:val="000000" w:themeColor="text1"/>
          <w:sz w:val="24"/>
          <w:szCs w:val="24"/>
          <w:highlight w:val="none"/>
          <w14:textFill>
            <w14:solidFill>
              <w14:schemeClr w14:val="tx1"/>
            </w14:solidFill>
          </w14:textFill>
        </w:rPr>
        <w:t>投标文件</w:t>
      </w:r>
      <w:bookmarkEnd w:id="12"/>
      <w:bookmarkEnd w:id="13"/>
      <w:bookmarkEnd w:id="14"/>
    </w:p>
    <w:p w14:paraId="6263CAA6">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3.1 投标文件的组成：</w:t>
      </w:r>
    </w:p>
    <w:p w14:paraId="41086DCC">
      <w:pPr>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、开标一览表</w:t>
      </w:r>
    </w:p>
    <w:p w14:paraId="01D6BF95">
      <w:pPr>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、投标函</w:t>
      </w:r>
    </w:p>
    <w:p w14:paraId="4E62CBF0">
      <w:pPr>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、投标价格明细表</w:t>
      </w:r>
    </w:p>
    <w:p w14:paraId="66BD6A3D">
      <w:pPr>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、商务条款偏离表</w:t>
      </w:r>
    </w:p>
    <w:p w14:paraId="50494CB3">
      <w:pPr>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5</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、技术条款偏离表</w:t>
      </w:r>
    </w:p>
    <w:p w14:paraId="484B5615">
      <w:pPr>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6</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、法定代表人身份证明书</w:t>
      </w:r>
    </w:p>
    <w:p w14:paraId="070ADE09">
      <w:pPr>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7</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、法定代表人授权委托书</w:t>
      </w:r>
    </w:p>
    <w:p w14:paraId="6031D6FA">
      <w:pPr>
        <w:spacing w:line="360" w:lineRule="auto"/>
        <w:ind w:firstLine="480" w:firstLineChars="200"/>
        <w:rPr>
          <w:rFonts w:hint="eastAsia" w:ascii="仿宋" w:hAnsi="仿宋" w:eastAsia="仿宋" w:cs="仿宋"/>
          <w:bCs/>
          <w:color w:val="000000" w:themeColor="text1"/>
          <w:sz w:val="24"/>
          <w:szCs w:val="24"/>
          <w:highlight w:val="none"/>
          <w:lang w:eastAsia="zh-CN"/>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8</w:t>
      </w:r>
      <w:r>
        <w:rPr>
          <w:rFonts w:hint="eastAsia" w:ascii="仿宋" w:hAnsi="仿宋" w:eastAsia="仿宋" w:cs="仿宋"/>
          <w:bCs/>
          <w:color w:val="000000" w:themeColor="text1"/>
          <w:sz w:val="24"/>
          <w:szCs w:val="24"/>
          <w:highlight w:val="none"/>
          <w:lang w:eastAsia="zh-CN"/>
          <w14:textFill>
            <w14:solidFill>
              <w14:schemeClr w14:val="tx1"/>
            </w14:solidFill>
          </w14:textFill>
        </w:rPr>
        <w:t>）、投标人资格条件证明材料</w:t>
      </w:r>
    </w:p>
    <w:p w14:paraId="661354C5">
      <w:pPr>
        <w:spacing w:line="360" w:lineRule="auto"/>
        <w:ind w:firstLine="480" w:firstLineChars="200"/>
        <w:rPr>
          <w:rFonts w:hint="eastAsia" w:ascii="仿宋" w:hAnsi="仿宋" w:eastAsia="仿宋" w:cs="仿宋"/>
          <w:bCs/>
          <w:color w:val="000000" w:themeColor="text1"/>
          <w:sz w:val="24"/>
          <w:szCs w:val="24"/>
          <w:highlight w:val="none"/>
          <w:lang w:eastAsia="zh-CN"/>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9</w:t>
      </w:r>
      <w:r>
        <w:rPr>
          <w:rFonts w:hint="eastAsia" w:ascii="仿宋" w:hAnsi="仿宋" w:eastAsia="仿宋" w:cs="仿宋"/>
          <w:bCs/>
          <w:color w:val="000000" w:themeColor="text1"/>
          <w:sz w:val="24"/>
          <w:szCs w:val="24"/>
          <w:highlight w:val="none"/>
          <w:lang w:eastAsia="zh-CN"/>
          <w14:textFill>
            <w14:solidFill>
              <w14:schemeClr w14:val="tx1"/>
            </w14:solidFill>
          </w14:textFill>
        </w:rPr>
        <w:t>）、投标人近年类似项目情况表</w:t>
      </w:r>
    </w:p>
    <w:p w14:paraId="37B53C45">
      <w:pPr>
        <w:spacing w:line="360" w:lineRule="auto"/>
        <w:ind w:firstLine="480" w:firstLineChars="200"/>
        <w:rPr>
          <w:rFonts w:hint="eastAsia" w:ascii="仿宋" w:hAnsi="仿宋" w:eastAsia="仿宋" w:cs="仿宋"/>
          <w:bCs/>
          <w:color w:val="000000" w:themeColor="text1"/>
          <w:sz w:val="24"/>
          <w:szCs w:val="24"/>
          <w:highlight w:val="none"/>
          <w:lang w:eastAsia="zh-CN"/>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bCs/>
          <w:color w:val="000000" w:themeColor="text1"/>
          <w:sz w:val="24"/>
          <w:szCs w:val="24"/>
          <w:highlight w:val="none"/>
          <w:lang w:eastAsia="zh-CN"/>
          <w14:textFill>
            <w14:solidFill>
              <w14:schemeClr w14:val="tx1"/>
            </w14:solidFill>
          </w14:textFill>
        </w:rPr>
        <w:t>）、项目负责人简历表</w:t>
      </w:r>
    </w:p>
    <w:p w14:paraId="312152DE">
      <w:pPr>
        <w:spacing w:line="360" w:lineRule="auto"/>
        <w:ind w:firstLine="480" w:firstLineChars="200"/>
        <w:rPr>
          <w:rFonts w:hint="eastAsia" w:ascii="仿宋" w:hAnsi="仿宋" w:eastAsia="仿宋" w:cs="仿宋"/>
          <w:bCs/>
          <w:color w:val="000000" w:themeColor="text1"/>
          <w:sz w:val="24"/>
          <w:szCs w:val="24"/>
          <w:highlight w:val="none"/>
          <w:lang w:eastAsia="zh-CN"/>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11</w:t>
      </w:r>
      <w:r>
        <w:rPr>
          <w:rFonts w:hint="eastAsia" w:ascii="仿宋" w:hAnsi="仿宋" w:eastAsia="仿宋" w:cs="仿宋"/>
          <w:bCs/>
          <w:color w:val="000000" w:themeColor="text1"/>
          <w:sz w:val="24"/>
          <w:szCs w:val="24"/>
          <w:highlight w:val="none"/>
          <w:lang w:eastAsia="zh-CN"/>
          <w14:textFill>
            <w14:solidFill>
              <w14:schemeClr w14:val="tx1"/>
            </w14:solidFill>
          </w14:textFill>
        </w:rPr>
        <w:t>）、拟派主要服务人员情况表</w:t>
      </w:r>
    </w:p>
    <w:p w14:paraId="50DAFBEB">
      <w:pPr>
        <w:spacing w:line="360" w:lineRule="auto"/>
        <w:ind w:firstLine="480" w:firstLineChars="200"/>
        <w:rPr>
          <w:rFonts w:hint="eastAsia" w:ascii="仿宋" w:hAnsi="仿宋" w:eastAsia="仿宋" w:cs="仿宋"/>
          <w:bCs/>
          <w:color w:val="000000" w:themeColor="text1"/>
          <w:sz w:val="24"/>
          <w:szCs w:val="24"/>
          <w:highlight w:val="none"/>
          <w:lang w:eastAsia="zh-CN"/>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12</w:t>
      </w:r>
      <w:r>
        <w:rPr>
          <w:rFonts w:hint="eastAsia" w:ascii="仿宋" w:hAnsi="仿宋" w:eastAsia="仿宋" w:cs="仿宋"/>
          <w:bCs/>
          <w:color w:val="000000" w:themeColor="text1"/>
          <w:sz w:val="24"/>
          <w:szCs w:val="24"/>
          <w:highlight w:val="none"/>
          <w:lang w:eastAsia="zh-CN"/>
          <w14:textFill>
            <w14:solidFill>
              <w14:schemeClr w14:val="tx1"/>
            </w14:solidFill>
          </w14:textFill>
        </w:rPr>
        <w:t>）、服务方案</w:t>
      </w:r>
    </w:p>
    <w:p w14:paraId="595F88D3">
      <w:pPr>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13</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保证金缴纳证明材料</w:t>
      </w:r>
    </w:p>
    <w:p w14:paraId="1BB689D4">
      <w:pPr>
        <w:spacing w:line="360" w:lineRule="auto"/>
        <w:ind w:firstLine="480" w:firstLineChars="200"/>
        <w:rPr>
          <w:rFonts w:hint="eastAsia" w:ascii="仿宋" w:hAnsi="仿宋" w:eastAsia="仿宋" w:cs="仿宋"/>
          <w:bCs/>
          <w:color w:val="000000" w:themeColor="text1"/>
          <w:sz w:val="24"/>
          <w:szCs w:val="24"/>
          <w:highlight w:val="none"/>
          <w:lang w:eastAsia="zh-CN"/>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14</w:t>
      </w:r>
      <w:r>
        <w:rPr>
          <w:rFonts w:hint="eastAsia" w:ascii="仿宋" w:hAnsi="仿宋" w:eastAsia="仿宋" w:cs="仿宋"/>
          <w:bCs/>
          <w:color w:val="000000" w:themeColor="text1"/>
          <w:sz w:val="24"/>
          <w:szCs w:val="24"/>
          <w:highlight w:val="none"/>
          <w:lang w:eastAsia="zh-CN"/>
          <w14:textFill>
            <w14:solidFill>
              <w14:schemeClr w14:val="tx1"/>
            </w14:solidFill>
          </w14:textFill>
        </w:rPr>
        <w:t>）、其它需要提交的资料</w:t>
      </w:r>
    </w:p>
    <w:p w14:paraId="25DF9DA7">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3.2 投标价格</w:t>
      </w:r>
    </w:p>
    <w:p w14:paraId="7463267C">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3.2.1投标价格应包括投标人履行本项目合同（如果中标）所必须的所有成本费用和中标人应承担的一切税费</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包括但不</w:t>
      </w:r>
      <w:r>
        <w:rPr>
          <w:rFonts w:hint="eastAsia" w:ascii="仿宋" w:hAnsi="仿宋" w:eastAsia="仿宋" w:cs="仿宋"/>
          <w:color w:val="000000" w:themeColor="text1"/>
          <w:kern w:val="0"/>
          <w:sz w:val="24"/>
          <w:szCs w:val="24"/>
          <w:highlight w:val="none"/>
          <w14:textFill>
            <w14:solidFill>
              <w14:schemeClr w14:val="tx1"/>
            </w14:solidFill>
          </w14:textFill>
        </w:rPr>
        <w:t>；未列和没有填写的项目费用，采购人将视为已包括在投标价格中。</w:t>
      </w:r>
    </w:p>
    <w:p w14:paraId="5240C0FD">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3.2.2 投标人的投标价格不得超出本项目</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最高限价</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11FA7F3C">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3.3 投标有效期</w:t>
      </w:r>
    </w:p>
    <w:p w14:paraId="3C38AD2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3.3.1 在投标人须知前附表规定的投标有效期内，投标人不得要求撤销或修改其投标文件。</w:t>
      </w:r>
    </w:p>
    <w:p w14:paraId="7DD0B2F2">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3.3.2 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p>
    <w:p w14:paraId="3965AAD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3.4 投标保证金</w:t>
      </w:r>
    </w:p>
    <w:p w14:paraId="65773684">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3.4.1 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7FC925A4">
      <w:pPr>
        <w:shd w:val="clear" w:color="auto" w:fill="FFFFFF"/>
        <w:snapToGrid w:val="0"/>
        <w:spacing w:line="384"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3.4.2</w:t>
      </w:r>
      <w:r>
        <w:rPr>
          <w:rFonts w:hint="eastAsia" w:ascii="仿宋" w:hAnsi="仿宋" w:eastAsia="仿宋" w:cs="仿宋"/>
          <w:color w:val="000000" w:themeColor="text1"/>
          <w:sz w:val="24"/>
          <w:szCs w:val="24"/>
          <w:highlight w:val="none"/>
          <w14:textFill>
            <w14:solidFill>
              <w14:schemeClr w14:val="tx1"/>
            </w14:solidFill>
          </w14:textFill>
        </w:rPr>
        <w:t>投标保证金以支票、汇票、本票或者金融机构、担保机构出具的保函等非现金形式提交至采购代理机构。</w:t>
      </w:r>
    </w:p>
    <w:p w14:paraId="3A76424D">
      <w:pPr>
        <w:shd w:val="clear" w:color="auto" w:fill="FFFFFF"/>
        <w:snapToGrid w:val="0"/>
        <w:spacing w:line="384"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采购代理机构名称：新疆新世纪招标有限公司</w:t>
      </w:r>
    </w:p>
    <w:p w14:paraId="0A14FEC1">
      <w:pPr>
        <w:shd w:val="clear" w:color="auto" w:fill="FFFFFF"/>
        <w:snapToGrid w:val="0"/>
        <w:spacing w:line="384"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纳税人识别号：91650100726988855F</w:t>
      </w:r>
    </w:p>
    <w:p w14:paraId="1A9A68BA">
      <w:pPr>
        <w:shd w:val="clear" w:color="auto" w:fill="FFFFFF"/>
        <w:snapToGrid w:val="0"/>
        <w:spacing w:line="384"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开户行：中国农业银行乌鲁木齐新民西街支行</w:t>
      </w:r>
    </w:p>
    <w:p w14:paraId="14EB60F0">
      <w:pPr>
        <w:shd w:val="clear" w:color="auto" w:fill="FFFFFF"/>
        <w:snapToGrid w:val="0"/>
        <w:spacing w:line="384"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账号：30014701040000595</w:t>
      </w:r>
    </w:p>
    <w:p w14:paraId="5AF92FC2">
      <w:pPr>
        <w:shd w:val="clear" w:color="auto" w:fill="FFFFFF"/>
        <w:snapToGrid w:val="0"/>
        <w:spacing w:line="384" w:lineRule="auto"/>
        <w:ind w:firstLine="360" w:firstLineChars="15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3.4.3投标保证金是为了保护采购人免遭因投标人的行为而蒙受损失。采购人在因投标人的行为受到损害时可根据相关法律规定没收投标人的投标保证金。</w:t>
      </w:r>
    </w:p>
    <w:p w14:paraId="00FEA166">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3.4.4 采购人或者采购代理机构应当自中标通知书发出之日起5个工作日内退还未中标人的投标保证金，自采购合同签订之日起5个工作日内退还中标人的投标保证金。</w:t>
      </w:r>
    </w:p>
    <w:p w14:paraId="00768C27">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3.4.5投标保证金有效期与投标有效期一致。</w:t>
      </w:r>
    </w:p>
    <w:p w14:paraId="126F679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3.4.6有下列情形之一的，投标保证金不予退还：</w:t>
      </w:r>
    </w:p>
    <w:p w14:paraId="585A07F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（1）投标人在规定的投标有效期内撤销或修改其投标文件的；</w:t>
      </w:r>
    </w:p>
    <w:p w14:paraId="3F32ED4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（2）中标人在收到中标通知书后，无正当理由拒签合同或在签订合同时提出附加条件或者更改合同实质性内容的；</w:t>
      </w:r>
    </w:p>
    <w:p w14:paraId="6A67ED41">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（3）未按招标文件规定提交履约保证金的。</w:t>
      </w:r>
    </w:p>
    <w:p w14:paraId="2A3E2187">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3.5 投标文件的编制</w:t>
      </w:r>
    </w:p>
    <w:p w14:paraId="442BB5D0">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3.5.1投标文件应按第五章“投标文件格式”进行编写，如有必要，可以增加附页，作为投标文件的组成部分。</w:t>
      </w:r>
    </w:p>
    <w:p w14:paraId="56337F1E">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3.5.2投标文件应当对招标文件有关采购范围、技术与服务要求等实质性内容做出响应。</w:t>
      </w:r>
    </w:p>
    <w:p w14:paraId="07D1C55D">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bookmarkStart w:id="15" w:name="_BookMark_7"/>
      <w:bookmarkEnd w:id="15"/>
      <w:bookmarkStart w:id="16" w:name="_Toc535592198"/>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3.5.3电子投标文件的制作须使用相应的制作工具软件。</w:t>
      </w:r>
    </w:p>
    <w:p w14:paraId="27AC95B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3.5.4电子投标文件须使用投标人电子公章及法定代表人的电子印章。</w:t>
      </w:r>
    </w:p>
    <w:p w14:paraId="59017482">
      <w:pPr>
        <w:widowControl/>
        <w:shd w:val="clear" w:color="auto" w:fill="FFFFFF"/>
        <w:snapToGrid w:val="0"/>
        <w:spacing w:line="360" w:lineRule="auto"/>
        <w:ind w:firstLine="480" w:firstLineChars="200"/>
        <w:rPr>
          <w:rFonts w:hint="eastAsia" w:ascii="仿宋" w:hAnsi="仿宋" w:eastAsia="仿宋" w:cs="仿宋"/>
          <w:color w:val="000000" w:themeColor="text1"/>
          <w:sz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3.5.5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r>
        <w:rPr>
          <w:rFonts w:hint="eastAsia" w:ascii="仿宋" w:hAnsi="仿宋" w:eastAsia="仿宋" w:cs="仿宋"/>
          <w:color w:val="000000" w:themeColor="text1"/>
          <w:sz w:val="24"/>
          <w:highlight w:val="none"/>
          <w:shd w:val="clear" w:color="auto" w:fill="FFFFFF" w:themeFill="background1"/>
          <w14:textFill>
            <w14:solidFill>
              <w14:schemeClr w14:val="tx1"/>
            </w14:solidFill>
          </w14:textFill>
        </w:rPr>
        <w:t>。</w:t>
      </w:r>
    </w:p>
    <w:p w14:paraId="10E9A1A8">
      <w:pPr>
        <w:tabs>
          <w:tab w:val="center" w:pos="4832"/>
          <w:tab w:val="left" w:pos="7140"/>
        </w:tabs>
        <w:spacing w:line="360" w:lineRule="auto"/>
        <w:ind w:firstLine="472" w:firstLineChars="196"/>
        <w:jc w:val="left"/>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17" w:name="_Toc30287"/>
      <w:bookmarkStart w:id="18" w:name="_Toc834"/>
      <w:r>
        <w:rPr>
          <w:rFonts w:hint="eastAsia" w:ascii="仿宋" w:hAnsi="仿宋" w:eastAsia="仿宋" w:cs="仿宋"/>
          <w:b/>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b/>
          <w:color w:val="000000" w:themeColor="text1"/>
          <w:sz w:val="24"/>
          <w:szCs w:val="24"/>
          <w:highlight w:val="none"/>
          <w14:textFill>
            <w14:solidFill>
              <w14:schemeClr w14:val="tx1"/>
            </w14:solidFill>
          </w14:textFill>
        </w:rPr>
        <w:t>投标</w:t>
      </w:r>
      <w:bookmarkEnd w:id="16"/>
      <w:bookmarkEnd w:id="17"/>
      <w:bookmarkEnd w:id="18"/>
    </w:p>
    <w:p w14:paraId="6432D35F">
      <w:pPr>
        <w:tabs>
          <w:tab w:val="center" w:pos="4832"/>
          <w:tab w:val="left" w:pos="7140"/>
        </w:tabs>
        <w:spacing w:line="360" w:lineRule="auto"/>
        <w:ind w:firstLine="470" w:firstLineChars="196"/>
        <w:jc w:val="left"/>
        <w:rPr>
          <w:rFonts w:hint="eastAsia" w:ascii="仿宋" w:hAnsi="仿宋" w:eastAsia="仿宋" w:cs="仿宋"/>
          <w:bCs/>
          <w:color w:val="000000" w:themeColor="text1"/>
          <w:sz w:val="24"/>
          <w:szCs w:val="24"/>
          <w:highlight w:val="none"/>
          <w14:textFill>
            <w14:solidFill>
              <w14:schemeClr w14:val="tx1"/>
            </w14:solidFill>
          </w14:textFill>
        </w:rPr>
      </w:pPr>
      <w:bookmarkStart w:id="19" w:name="_BookMark_8"/>
      <w:bookmarkEnd w:id="19"/>
      <w:bookmarkStart w:id="20" w:name="_Toc535592199"/>
      <w:r>
        <w:rPr>
          <w:rFonts w:hint="eastAsia" w:ascii="仿宋" w:hAnsi="仿宋" w:eastAsia="仿宋" w:cs="仿宋"/>
          <w:bCs/>
          <w:color w:val="000000" w:themeColor="text1"/>
          <w:sz w:val="24"/>
          <w:szCs w:val="24"/>
          <w:highlight w:val="none"/>
          <w14:textFill>
            <w14:solidFill>
              <w14:schemeClr w14:val="tx1"/>
            </w14:solidFill>
          </w14:textFill>
        </w:rPr>
        <w:t xml:space="preserve">4.1本次采购采用电子交易方式，电子交易平台为“政采云平台（https://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6CA1E4E2">
      <w:pPr>
        <w:tabs>
          <w:tab w:val="center" w:pos="4832"/>
          <w:tab w:val="left" w:pos="7140"/>
        </w:tabs>
        <w:spacing w:line="360" w:lineRule="auto"/>
        <w:ind w:firstLine="470" w:firstLineChars="196"/>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247BAD49">
      <w:pPr>
        <w:tabs>
          <w:tab w:val="center" w:pos="4832"/>
          <w:tab w:val="left" w:pos="7140"/>
        </w:tabs>
        <w:spacing w:line="360" w:lineRule="auto"/>
        <w:ind w:firstLine="470" w:firstLineChars="196"/>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4.3投标文件的递交</w:t>
      </w:r>
    </w:p>
    <w:p w14:paraId="65A1D8FB">
      <w:pPr>
        <w:tabs>
          <w:tab w:val="center" w:pos="4832"/>
          <w:tab w:val="left" w:pos="7140"/>
        </w:tabs>
        <w:spacing w:line="360" w:lineRule="auto"/>
        <w:ind w:firstLine="470" w:firstLineChars="196"/>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4.3.1加密的电子投标文件应在投标文件递交截止时间前通过政采云平台上传完成。逾期上传或者未上传指定地点的投标文件，采购人不予受理。</w:t>
      </w:r>
    </w:p>
    <w:p w14:paraId="519E969A">
      <w:pPr>
        <w:tabs>
          <w:tab w:val="center" w:pos="4832"/>
          <w:tab w:val="left" w:pos="7140"/>
        </w:tabs>
        <w:spacing w:line="360" w:lineRule="auto"/>
        <w:ind w:firstLine="470" w:firstLineChars="196"/>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4.3.2采购人事先约定延长投标文件递交截止时间的，采购人与投标人以前的投标截止期方面的全部权利、责任和义务，将适用延长至新的投标截止期。</w:t>
      </w:r>
    </w:p>
    <w:p w14:paraId="47D4BD9D">
      <w:pPr>
        <w:tabs>
          <w:tab w:val="center" w:pos="4832"/>
          <w:tab w:val="left" w:pos="7140"/>
        </w:tabs>
        <w:spacing w:line="360" w:lineRule="auto"/>
        <w:ind w:firstLine="470" w:firstLineChars="196"/>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4.3.3投标人或其投标文件存在下列情形之一的，采购人对其投标文件不予受理：</w:t>
      </w:r>
    </w:p>
    <w:p w14:paraId="7A783D51">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（1）逾期上传的</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43A5C902">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（2）未上传指定地点的</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投标文件；</w:t>
      </w:r>
    </w:p>
    <w:p w14:paraId="6FCFBD4B">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14:textFill>
            <w14:solidFill>
              <w14:schemeClr w14:val="tx1"/>
            </w14:solidFill>
          </w14:textFill>
        </w:rPr>
        <w:t>）未按要求加密的</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投标文件；</w:t>
      </w:r>
    </w:p>
    <w:p w14:paraId="2B55EAF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4"/>
          <w:szCs w:val="24"/>
          <w:highlight w:val="none"/>
          <w14:textFill>
            <w14:solidFill>
              <w14:schemeClr w14:val="tx1"/>
            </w14:solidFill>
          </w14:textFill>
        </w:rPr>
        <w:t>）未</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在规定时间内解密的</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267665A6">
      <w:pPr>
        <w:tabs>
          <w:tab w:val="center" w:pos="4832"/>
          <w:tab w:val="left" w:pos="7140"/>
        </w:tabs>
        <w:spacing w:line="360" w:lineRule="auto"/>
        <w:ind w:firstLine="470" w:firstLineChars="196"/>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4.4投标文件的修改与撤回</w:t>
      </w:r>
    </w:p>
    <w:p w14:paraId="0522AA12">
      <w:pPr>
        <w:tabs>
          <w:tab w:val="center" w:pos="4832"/>
          <w:tab w:val="left" w:pos="7140"/>
        </w:tabs>
        <w:spacing w:line="360" w:lineRule="auto"/>
        <w:ind w:firstLine="470" w:firstLineChars="196"/>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4.4.1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29754B13">
      <w:pPr>
        <w:tabs>
          <w:tab w:val="center" w:pos="4832"/>
          <w:tab w:val="left" w:pos="7140"/>
        </w:tabs>
        <w:spacing w:line="360" w:lineRule="auto"/>
        <w:ind w:firstLine="470" w:firstLineChars="196"/>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4.5投标文件格式</w:t>
      </w:r>
    </w:p>
    <w:p w14:paraId="209A2746">
      <w:pPr>
        <w:tabs>
          <w:tab w:val="center" w:pos="4832"/>
          <w:tab w:val="left" w:pos="7140"/>
        </w:tabs>
        <w:spacing w:line="360" w:lineRule="auto"/>
        <w:ind w:firstLine="470" w:firstLineChars="196"/>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4.5.1投标文件格式见第五章。</w:t>
      </w:r>
    </w:p>
    <w:p w14:paraId="4C21393B">
      <w:pPr>
        <w:tabs>
          <w:tab w:val="center" w:pos="4832"/>
          <w:tab w:val="left" w:pos="7140"/>
        </w:tabs>
        <w:spacing w:line="360" w:lineRule="auto"/>
        <w:ind w:firstLine="470" w:firstLineChars="196"/>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4.5.2投标人应使用本招标文件后面提供的投标文件格式填写，如不够用时，投标人可按同样格式自行编制和填补，如果本招标文件未提供格式的，投标人可自行编制。</w:t>
      </w:r>
    </w:p>
    <w:p w14:paraId="06129465">
      <w:pPr>
        <w:tabs>
          <w:tab w:val="center" w:pos="4832"/>
          <w:tab w:val="left" w:pos="7140"/>
        </w:tabs>
        <w:spacing w:line="360" w:lineRule="auto"/>
        <w:ind w:firstLine="472" w:firstLineChars="196"/>
        <w:jc w:val="left"/>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21" w:name="_Toc25889"/>
      <w:bookmarkStart w:id="22" w:name="_Toc8957"/>
      <w:r>
        <w:rPr>
          <w:rFonts w:hint="eastAsia" w:ascii="仿宋" w:hAnsi="仿宋" w:eastAsia="仿宋" w:cs="仿宋"/>
          <w:b/>
          <w:color w:val="000000" w:themeColor="text1"/>
          <w:sz w:val="24"/>
          <w:szCs w:val="24"/>
          <w:highlight w:val="none"/>
          <w:lang w:val="en-US" w:eastAsia="zh-CN"/>
          <w14:textFill>
            <w14:solidFill>
              <w14:schemeClr w14:val="tx1"/>
            </w14:solidFill>
          </w14:textFill>
        </w:rPr>
        <w:t>五、</w:t>
      </w:r>
      <w:r>
        <w:rPr>
          <w:rFonts w:hint="eastAsia" w:ascii="仿宋" w:hAnsi="仿宋" w:eastAsia="仿宋" w:cs="仿宋"/>
          <w:b/>
          <w:color w:val="000000" w:themeColor="text1"/>
          <w:sz w:val="24"/>
          <w:szCs w:val="24"/>
          <w:highlight w:val="none"/>
          <w14:textFill>
            <w14:solidFill>
              <w14:schemeClr w14:val="tx1"/>
            </w14:solidFill>
          </w14:textFill>
        </w:rPr>
        <w:t>开标</w:t>
      </w:r>
      <w:bookmarkEnd w:id="20"/>
      <w:bookmarkEnd w:id="21"/>
      <w:bookmarkEnd w:id="22"/>
    </w:p>
    <w:p w14:paraId="15125D91">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5.1 开标时间和地点</w:t>
      </w:r>
    </w:p>
    <w:p w14:paraId="1458E3B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采购人或采购代理机构将在投标人须知前附表规定的时间、地点公开开标，所有潜在投标人均可</w:t>
      </w:r>
      <w:r>
        <w:rPr>
          <w:rFonts w:hint="eastAsia" w:ascii="仿宋" w:hAnsi="仿宋" w:eastAsia="仿宋" w:cs="仿宋"/>
          <w:color w:val="000000" w:themeColor="text1"/>
          <w:sz w:val="24"/>
          <w:szCs w:val="24"/>
          <w:highlight w:val="none"/>
          <w14:textFill>
            <w14:solidFill>
              <w14:schemeClr w14:val="tx1"/>
            </w14:solidFill>
          </w14:textFill>
        </w:rPr>
        <w:t>登录政采云平台https://www.zcygov.cn/，进入“项目采购-开标评标-右边选择对应项目点击“进入项目”进入开标大厅。</w:t>
      </w:r>
    </w:p>
    <w:p w14:paraId="287E0206">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5.2 开标程序</w:t>
      </w:r>
    </w:p>
    <w:p w14:paraId="57D15F0E">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按下列程序进行开标：</w:t>
      </w:r>
    </w:p>
    <w:p w14:paraId="134B5400">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（1）投标人解密投标文件</w:t>
      </w:r>
    </w:p>
    <w:p w14:paraId="27CD367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（2）唱标</w:t>
      </w:r>
    </w:p>
    <w:p w14:paraId="417E225E">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（3）投标人确认</w:t>
      </w:r>
    </w:p>
    <w:p w14:paraId="0C3A4C61">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（4）开标结束</w:t>
      </w:r>
    </w:p>
    <w:p w14:paraId="0F1626A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5.3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14:paraId="442F8846">
      <w:pPr>
        <w:tabs>
          <w:tab w:val="center" w:pos="4832"/>
          <w:tab w:val="left" w:pos="7140"/>
        </w:tabs>
        <w:spacing w:line="360" w:lineRule="auto"/>
        <w:ind w:firstLine="472" w:firstLineChars="196"/>
        <w:jc w:val="left"/>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23" w:name="_BookMark_9"/>
      <w:bookmarkEnd w:id="23"/>
      <w:bookmarkStart w:id="24" w:name="_Toc535592200"/>
      <w:bookmarkStart w:id="25" w:name="_Toc14199"/>
      <w:bookmarkStart w:id="26" w:name="_Toc10232"/>
      <w:r>
        <w:rPr>
          <w:rFonts w:hint="eastAsia" w:ascii="仿宋" w:hAnsi="仿宋" w:eastAsia="仿宋" w:cs="仿宋"/>
          <w:b/>
          <w:color w:val="000000" w:themeColor="text1"/>
          <w:sz w:val="24"/>
          <w:szCs w:val="24"/>
          <w:highlight w:val="none"/>
          <w:lang w:val="en-US" w:eastAsia="zh-CN"/>
          <w14:textFill>
            <w14:solidFill>
              <w14:schemeClr w14:val="tx1"/>
            </w14:solidFill>
          </w14:textFill>
        </w:rPr>
        <w:t>六、</w:t>
      </w:r>
      <w:r>
        <w:rPr>
          <w:rFonts w:hint="eastAsia" w:ascii="仿宋" w:hAnsi="仿宋" w:eastAsia="仿宋" w:cs="仿宋"/>
          <w:b/>
          <w:color w:val="000000" w:themeColor="text1"/>
          <w:sz w:val="24"/>
          <w:szCs w:val="24"/>
          <w:highlight w:val="none"/>
          <w14:textFill>
            <w14:solidFill>
              <w14:schemeClr w14:val="tx1"/>
            </w14:solidFill>
          </w14:textFill>
        </w:rPr>
        <w:t>评标</w:t>
      </w:r>
      <w:bookmarkEnd w:id="24"/>
      <w:bookmarkEnd w:id="25"/>
      <w:bookmarkEnd w:id="26"/>
    </w:p>
    <w:p w14:paraId="3430CA57">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6.1 评标委员会</w:t>
      </w:r>
    </w:p>
    <w:p w14:paraId="22F6E78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6.1.1 评标由采购人按照《政府采购评标专家管理办法》财库〔2016〕198号，依法组建的评标委员会负责。评标委员会由采购人熟悉相关业务的代表，以及有关技术、经济等方面的专家组成。</w:t>
      </w:r>
    </w:p>
    <w:p w14:paraId="442CE528">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6.1.2 评标委员会成员有下列情形之一的，应当回避：</w:t>
      </w:r>
    </w:p>
    <w:p w14:paraId="116A062E">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（1）参加采购活动前三年内,与投标人存在劳动关系,或者担任过投标人的董事、监事,或者是投标人的控股股东或实际控制人。</w:t>
      </w:r>
    </w:p>
    <w:p w14:paraId="66226C8C">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（2）与投标人的法定代表人或者负责人有夫妻、直系血亲、三代以内旁系血亲或者近姻亲关系。</w:t>
      </w:r>
    </w:p>
    <w:p w14:paraId="1EB4837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（3）与投标人有其他可能影响政府采购活动公平、公正进行的关系。</w:t>
      </w:r>
    </w:p>
    <w:p w14:paraId="57950758">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6.2 评标原则</w:t>
      </w:r>
    </w:p>
    <w:p w14:paraId="16277506">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评标活动遵循公平、公正、科学和择优的原则。</w:t>
      </w:r>
    </w:p>
    <w:p w14:paraId="36670CB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6.3 评标</w:t>
      </w:r>
    </w:p>
    <w:p w14:paraId="50E8423E">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评标委员会按照招标文件中规定的方法、评标因素、标准和程序对投标文件进行评标。</w:t>
      </w:r>
    </w:p>
    <w:p w14:paraId="0AC0037D">
      <w:pPr>
        <w:tabs>
          <w:tab w:val="center" w:pos="4832"/>
          <w:tab w:val="left" w:pos="7140"/>
        </w:tabs>
        <w:spacing w:line="360" w:lineRule="auto"/>
        <w:ind w:firstLine="472" w:firstLineChars="196"/>
        <w:jc w:val="left"/>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27" w:name="_BookMark_10"/>
      <w:bookmarkEnd w:id="27"/>
      <w:bookmarkStart w:id="28" w:name="_Toc10869"/>
      <w:bookmarkStart w:id="29" w:name="_Toc535592201"/>
      <w:bookmarkStart w:id="30" w:name="_Toc22975"/>
      <w:r>
        <w:rPr>
          <w:rFonts w:hint="eastAsia" w:ascii="仿宋" w:hAnsi="仿宋" w:eastAsia="仿宋" w:cs="仿宋"/>
          <w:b/>
          <w:color w:val="000000" w:themeColor="text1"/>
          <w:sz w:val="24"/>
          <w:szCs w:val="24"/>
          <w:highlight w:val="none"/>
          <w:lang w:val="en-US" w:eastAsia="zh-CN"/>
          <w14:textFill>
            <w14:solidFill>
              <w14:schemeClr w14:val="tx1"/>
            </w14:solidFill>
          </w14:textFill>
        </w:rPr>
        <w:t>七、</w:t>
      </w:r>
      <w:r>
        <w:rPr>
          <w:rFonts w:hint="eastAsia" w:ascii="仿宋" w:hAnsi="仿宋" w:eastAsia="仿宋" w:cs="仿宋"/>
          <w:b/>
          <w:color w:val="000000" w:themeColor="text1"/>
          <w:sz w:val="24"/>
          <w:szCs w:val="24"/>
          <w:highlight w:val="none"/>
          <w14:textFill>
            <w14:solidFill>
              <w14:schemeClr w14:val="tx1"/>
            </w14:solidFill>
          </w14:textFill>
        </w:rPr>
        <w:t>定标及合同授予</w:t>
      </w:r>
      <w:bookmarkEnd w:id="28"/>
      <w:bookmarkEnd w:id="29"/>
      <w:bookmarkEnd w:id="30"/>
    </w:p>
    <w:p w14:paraId="1A2A6AAE">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7.1 定标方法</w:t>
      </w:r>
    </w:p>
    <w:p w14:paraId="3CB9E90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7.1.1 评标活动遵循公平、公正、科学和择优的原则。评标委员会按照招标文件中规定的方法、评标因素、标准和程序对投标文件进行评标，并按投标人须知前附表的规定向采购人推荐中标候选人。采购人依据评标委员会推荐的中标候选人确定中标人。</w:t>
      </w:r>
    </w:p>
    <w:p w14:paraId="01B7C5FE">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7.1.2采购人从中标候选人中确定出中标人的原则：采购人应当确定排名第一的中标候选人为中标人。排名第一的中标候选人放弃中标、因不可抗力不能履行合同、拒绝与采购人签订合同，不按照招标文件要求提交履约保证金、或者被查实存在影响中标结果的违法行为等情形，不符合中标条件的，采购人可以按照评标委员会推荐的中标候选人名单排名依次确定其他中标候选人为中标人。</w:t>
      </w:r>
    </w:p>
    <w:p w14:paraId="24728C0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7.2中标结果公告</w:t>
      </w:r>
    </w:p>
    <w:p w14:paraId="5B80E38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在公告中标结果的同时，采购人或者采购代理机构向中标人发出中标通知书；对未通过资格审查的投标人，应当告知其未通过的原因。</w:t>
      </w:r>
    </w:p>
    <w:p w14:paraId="1FFD0DA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7.3履约保证金</w:t>
      </w:r>
    </w:p>
    <w:p w14:paraId="275BA2F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7.3.1 在签订合同前，中标人应按投标人须知前附表规定的金额、形式向采购人提交履约保证金。联合体中标的，其履约保证金由牵头人提交，并应符合投标人须知前附表的规定。</w:t>
      </w:r>
    </w:p>
    <w:p w14:paraId="3471FA6A">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7.3.2 中标人未按要求提交履约保证金的，视为放弃中标，其投标保证金不予退还；给采购人造成的损失超过投标保证金数额的，中标人还应当对超过部分予以赔偿。</w:t>
      </w:r>
    </w:p>
    <w:p w14:paraId="34A0ABBA">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7.4签订合同</w:t>
      </w:r>
    </w:p>
    <w:p w14:paraId="7053FA72">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7.4.1采购人应当自中标通知书发出之日起30日内，按照招标文件和中标人投标文件的规定，与中标人签订书面合同。</w:t>
      </w:r>
    </w:p>
    <w:p w14:paraId="01CC44E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7.4.2发出中标通知书后，采购人无正当理由拒签合同的，给中标人造成损失的，还应当赔偿中标人损失。</w:t>
      </w:r>
    </w:p>
    <w:p w14:paraId="229A1EC4">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7.4.3发出中标通知书后，中标人无正当理由拒签合同的，采购人将取消其中标资格，其投标保证金不予退还；给采购人造成的损失超过投标保证金数额的，中标人还应当对超过部分予以赔偿。</w:t>
      </w:r>
    </w:p>
    <w:p w14:paraId="77D12229">
      <w:pPr>
        <w:tabs>
          <w:tab w:val="center" w:pos="4832"/>
          <w:tab w:val="left" w:pos="7140"/>
        </w:tabs>
        <w:spacing w:line="360" w:lineRule="auto"/>
        <w:ind w:firstLine="472" w:firstLineChars="196"/>
        <w:jc w:val="left"/>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31" w:name="_BookMark_11"/>
      <w:bookmarkEnd w:id="31"/>
      <w:bookmarkStart w:id="32" w:name="_Toc7415"/>
      <w:bookmarkStart w:id="33" w:name="_Toc24040"/>
      <w:bookmarkStart w:id="34" w:name="_Toc535592202"/>
      <w:r>
        <w:rPr>
          <w:rFonts w:hint="eastAsia" w:ascii="仿宋" w:hAnsi="仿宋" w:eastAsia="仿宋" w:cs="仿宋"/>
          <w:b/>
          <w:color w:val="000000" w:themeColor="text1"/>
          <w:sz w:val="24"/>
          <w:szCs w:val="24"/>
          <w:highlight w:val="none"/>
          <w:lang w:val="en-US" w:eastAsia="zh-CN"/>
          <w14:textFill>
            <w14:solidFill>
              <w14:schemeClr w14:val="tx1"/>
            </w14:solidFill>
          </w14:textFill>
        </w:rPr>
        <w:t>八、</w:t>
      </w:r>
      <w:r>
        <w:rPr>
          <w:rFonts w:hint="eastAsia" w:ascii="仿宋" w:hAnsi="仿宋" w:eastAsia="仿宋" w:cs="仿宋"/>
          <w:b/>
          <w:color w:val="000000" w:themeColor="text1"/>
          <w:sz w:val="24"/>
          <w:szCs w:val="24"/>
          <w:highlight w:val="none"/>
          <w14:textFill>
            <w14:solidFill>
              <w14:schemeClr w14:val="tx1"/>
            </w14:solidFill>
          </w14:textFill>
        </w:rPr>
        <w:t>纪律和监督</w:t>
      </w:r>
      <w:bookmarkEnd w:id="32"/>
      <w:bookmarkEnd w:id="33"/>
      <w:bookmarkEnd w:id="34"/>
    </w:p>
    <w:p w14:paraId="1CAD202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8.1 对采购人的纪律要求</w:t>
      </w:r>
    </w:p>
    <w:p w14:paraId="4FC38FF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采购人不得泄漏招标投标活动中应当保密的情况和资料，不得与投标人串通损害国家利益、社会公共利益或者他人合法权益。</w:t>
      </w:r>
    </w:p>
    <w:p w14:paraId="350B4C12">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8.2 对投标人的纪律要求</w:t>
      </w:r>
    </w:p>
    <w:p w14:paraId="339D2831">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0AC7155A">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8.3 对评标委员会成员的纪律要求</w:t>
      </w:r>
    </w:p>
    <w:p w14:paraId="09D2EE9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评标委员会成员不得收受他人的财物或者其他好处，不得向他人</w:t>
      </w:r>
      <w:r>
        <w:rPr>
          <w:rFonts w:hint="eastAsia" w:ascii="仿宋" w:hAnsi="仿宋" w:eastAsia="仿宋" w:cs="仿宋"/>
          <w:color w:val="000000" w:themeColor="text1"/>
          <w:kern w:val="0"/>
          <w:sz w:val="24"/>
          <w:szCs w:val="24"/>
          <w:highlight w:val="none"/>
          <w:lang w:eastAsia="zh-CN"/>
          <w14:textFill>
            <w14:solidFill>
              <w14:schemeClr w14:val="tx1"/>
            </w14:solidFill>
          </w14:textFill>
        </w:rPr>
        <w:t>透露</w:t>
      </w:r>
      <w:r>
        <w:rPr>
          <w:rFonts w:hint="eastAsia" w:ascii="仿宋" w:hAnsi="仿宋" w:eastAsia="仿宋" w:cs="仿宋"/>
          <w:color w:val="000000" w:themeColor="text1"/>
          <w:kern w:val="0"/>
          <w:sz w:val="24"/>
          <w:szCs w:val="24"/>
          <w:highlight w:val="none"/>
          <w14:textFill>
            <w14:solidFill>
              <w14:schemeClr w14:val="tx1"/>
            </w14:solidFill>
          </w14:textFill>
        </w:rPr>
        <w:t>对投标文件的评标和比较、中标候选人的推荐情况以及评标有关的其他情况。在评标活动中，评标委员会成员不得擅离职守，影响评标程序正常进行，不得使用评标办法没有规定的评标因素和标准进行评标。</w:t>
      </w:r>
    </w:p>
    <w:p w14:paraId="79452F8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8.4 对与评标活动有关的工作人员的纪律要求</w:t>
      </w:r>
    </w:p>
    <w:p w14:paraId="6E08D7E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与评标活动有关的工作人员不得收受他人的财物或者其他好处，不得向他人</w:t>
      </w:r>
      <w:r>
        <w:rPr>
          <w:rFonts w:hint="eastAsia" w:ascii="仿宋" w:hAnsi="仿宋" w:eastAsia="仿宋" w:cs="仿宋"/>
          <w:color w:val="000000" w:themeColor="text1"/>
          <w:kern w:val="0"/>
          <w:sz w:val="24"/>
          <w:szCs w:val="24"/>
          <w:highlight w:val="none"/>
          <w:lang w:eastAsia="zh-CN"/>
          <w14:textFill>
            <w14:solidFill>
              <w14:schemeClr w14:val="tx1"/>
            </w14:solidFill>
          </w14:textFill>
        </w:rPr>
        <w:t>透露</w:t>
      </w:r>
      <w:r>
        <w:rPr>
          <w:rFonts w:hint="eastAsia" w:ascii="仿宋" w:hAnsi="仿宋" w:eastAsia="仿宋" w:cs="仿宋"/>
          <w:color w:val="000000" w:themeColor="text1"/>
          <w:kern w:val="0"/>
          <w:sz w:val="24"/>
          <w:szCs w:val="24"/>
          <w:highlight w:val="none"/>
          <w14:textFill>
            <w14:solidFill>
              <w14:schemeClr w14:val="tx1"/>
            </w14:solidFill>
          </w14:textFill>
        </w:rPr>
        <w:t>对投标文件的评标和比较、中标候选人的推荐情况以及评标有关的其他情况。在评标活动中，与评标活动有关的工作人员不得擅离职守，影响评标程序正常进行。</w:t>
      </w:r>
    </w:p>
    <w:p w14:paraId="4E605CB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8.5 监督</w:t>
      </w:r>
    </w:p>
    <w:p w14:paraId="68840C83">
      <w:pPr>
        <w:widowControl/>
        <w:shd w:val="clear" w:color="auto" w:fill="FFFFFF"/>
        <w:snapToGrid w:val="0"/>
        <w:spacing w:line="360" w:lineRule="auto"/>
        <w:ind w:firstLine="480" w:firstLineChars="200"/>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本项目的招标投标活动及其相关当事人应当接受有管辖权的监督部门依法实施的监督。</w:t>
      </w:r>
      <w:r>
        <w:rPr>
          <w:rFonts w:hint="eastAsia" w:ascii="仿宋" w:hAnsi="仿宋" w:eastAsia="仿宋" w:cs="仿宋"/>
          <w:bCs/>
          <w:color w:val="000000" w:themeColor="text1"/>
          <w:kern w:val="0"/>
          <w:sz w:val="24"/>
          <w:szCs w:val="24"/>
          <w:highlight w:val="none"/>
          <w14:textFill>
            <w14:solidFill>
              <w14:schemeClr w14:val="tx1"/>
            </w14:solidFill>
          </w14:textFill>
        </w:rPr>
        <w:br w:type="page"/>
      </w:r>
    </w:p>
    <w:p w14:paraId="7CA5C7D9">
      <w:pPr>
        <w:widowControl/>
        <w:shd w:val="clear" w:color="auto" w:fill="FFFFFF"/>
        <w:snapToGrid w:val="0"/>
        <w:spacing w:line="360" w:lineRule="auto"/>
        <w:jc w:val="center"/>
        <w:outlineLvl w:val="0"/>
        <w:rPr>
          <w:rFonts w:hint="eastAsia" w:ascii="仿宋" w:hAnsi="仿宋" w:eastAsia="仿宋" w:cs="仿宋"/>
          <w:b/>
          <w:color w:val="000000" w:themeColor="text1"/>
          <w:sz w:val="24"/>
          <w:szCs w:val="24"/>
          <w:highlight w:val="none"/>
          <w14:textFill>
            <w14:solidFill>
              <w14:schemeClr w14:val="tx1"/>
            </w14:solidFill>
          </w14:textFill>
        </w:rPr>
      </w:pPr>
      <w:bookmarkStart w:id="35" w:name="_Toc21282"/>
      <w:r>
        <w:rPr>
          <w:rFonts w:hint="eastAsia" w:ascii="仿宋" w:hAnsi="仿宋" w:eastAsia="仿宋" w:cs="仿宋"/>
          <w:b/>
          <w:color w:val="000000" w:themeColor="text1"/>
          <w:sz w:val="24"/>
          <w:szCs w:val="24"/>
          <w:highlight w:val="none"/>
          <w14:textFill>
            <w14:solidFill>
              <w14:schemeClr w14:val="tx1"/>
            </w14:solidFill>
          </w14:textFill>
        </w:rPr>
        <w:t>第二章 评标办法</w:t>
      </w:r>
      <w:bookmarkEnd w:id="35"/>
    </w:p>
    <w:p w14:paraId="15080F55">
      <w:pPr>
        <w:keepNext w:val="0"/>
        <w:keepLines w:val="0"/>
        <w:pageBreakBefore w:val="0"/>
        <w:widowControl w:val="0"/>
        <w:tabs>
          <w:tab w:val="center" w:pos="4832"/>
          <w:tab w:val="left" w:pos="7140"/>
        </w:tabs>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36" w:name="_BookMark_1"/>
      <w:bookmarkEnd w:id="36"/>
      <w:bookmarkStart w:id="37" w:name="_Toc58342531"/>
      <w:bookmarkStart w:id="38" w:name="_Toc570"/>
      <w:bookmarkStart w:id="39" w:name="_Toc501719166"/>
      <w:r>
        <w:rPr>
          <w:rFonts w:hint="eastAsia" w:ascii="仿宋" w:hAnsi="仿宋" w:eastAsia="仿宋" w:cs="仿宋"/>
          <w:b/>
          <w:color w:val="000000" w:themeColor="text1"/>
          <w:sz w:val="24"/>
          <w:szCs w:val="24"/>
          <w:highlight w:val="none"/>
          <w14:textFill>
            <w14:solidFill>
              <w14:schemeClr w14:val="tx1"/>
            </w14:solidFill>
          </w14:textFill>
        </w:rPr>
        <w:t>评审办法前附表</w:t>
      </w:r>
      <w:bookmarkEnd w:id="37"/>
      <w:bookmarkEnd w:id="38"/>
    </w:p>
    <w:tbl>
      <w:tblPr>
        <w:tblStyle w:val="39"/>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2"/>
        <w:gridCol w:w="2783"/>
        <w:gridCol w:w="5744"/>
      </w:tblGrid>
      <w:tr w14:paraId="470DD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7DD54F14">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序号</w:t>
            </w:r>
          </w:p>
        </w:tc>
        <w:tc>
          <w:tcPr>
            <w:tcW w:w="2783" w:type="dxa"/>
            <w:tcMar>
              <w:top w:w="0" w:type="dxa"/>
              <w:left w:w="28" w:type="dxa"/>
              <w:bottom w:w="0" w:type="dxa"/>
              <w:right w:w="28" w:type="dxa"/>
            </w:tcMar>
            <w:vAlign w:val="center"/>
          </w:tcPr>
          <w:p w14:paraId="06C6CB0B">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条款内容</w:t>
            </w:r>
          </w:p>
        </w:tc>
        <w:tc>
          <w:tcPr>
            <w:tcW w:w="5744" w:type="dxa"/>
            <w:tcMar>
              <w:top w:w="0" w:type="dxa"/>
              <w:left w:w="28" w:type="dxa"/>
              <w:bottom w:w="0" w:type="dxa"/>
              <w:right w:w="28" w:type="dxa"/>
            </w:tcMar>
            <w:vAlign w:val="center"/>
          </w:tcPr>
          <w:p w14:paraId="65972012">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编列内容</w:t>
            </w:r>
          </w:p>
        </w:tc>
      </w:tr>
      <w:tr w14:paraId="0624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atLeast"/>
          <w:jc w:val="center"/>
        </w:trPr>
        <w:tc>
          <w:tcPr>
            <w:tcW w:w="612" w:type="dxa"/>
            <w:tcMar>
              <w:top w:w="0" w:type="dxa"/>
              <w:left w:w="28" w:type="dxa"/>
              <w:bottom w:w="0" w:type="dxa"/>
              <w:right w:w="28" w:type="dxa"/>
            </w:tcMar>
            <w:vAlign w:val="center"/>
          </w:tcPr>
          <w:p w14:paraId="2AFE3258">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2783" w:type="dxa"/>
            <w:tcMar>
              <w:top w:w="0" w:type="dxa"/>
              <w:left w:w="28" w:type="dxa"/>
              <w:bottom w:w="0" w:type="dxa"/>
              <w:right w:w="28" w:type="dxa"/>
            </w:tcMar>
            <w:vAlign w:val="center"/>
          </w:tcPr>
          <w:p w14:paraId="78822EAB">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分值构成</w:t>
            </w:r>
          </w:p>
          <w:p w14:paraId="067953B9">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(总分100分)</w:t>
            </w:r>
          </w:p>
        </w:tc>
        <w:tc>
          <w:tcPr>
            <w:tcW w:w="5744" w:type="dxa"/>
            <w:tcMar>
              <w:top w:w="0" w:type="dxa"/>
              <w:left w:w="28" w:type="dxa"/>
              <w:bottom w:w="0" w:type="dxa"/>
              <w:right w:w="28" w:type="dxa"/>
            </w:tcMar>
            <w:vAlign w:val="center"/>
          </w:tcPr>
          <w:p w14:paraId="02FBDDD5">
            <w:pPr>
              <w:spacing w:line="360" w:lineRule="auto"/>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1.详细评审部分</w:t>
            </w:r>
            <w:r>
              <w:rPr>
                <w:rFonts w:hint="eastAsia" w:ascii="仿宋" w:hAnsi="仿宋" w:eastAsia="仿宋" w:cs="仿宋"/>
                <w:color w:val="000000" w:themeColor="text1"/>
                <w:szCs w:val="21"/>
                <w:highlight w:val="none"/>
                <w:lang w:val="en-US" w:eastAsia="zh-CN"/>
                <w14:textFill>
                  <w14:solidFill>
                    <w14:schemeClr w14:val="tx1"/>
                  </w14:solidFill>
                </w14:textFill>
              </w:rPr>
              <w:t>90</w:t>
            </w:r>
            <w:r>
              <w:rPr>
                <w:rFonts w:hint="eastAsia" w:ascii="仿宋" w:hAnsi="仿宋" w:eastAsia="仿宋" w:cs="仿宋"/>
                <w:color w:val="000000" w:themeColor="text1"/>
                <w:szCs w:val="21"/>
                <w:highlight w:val="none"/>
                <w14:textFill>
                  <w14:solidFill>
                    <w14:schemeClr w14:val="tx1"/>
                  </w14:solidFill>
                </w14:textFill>
              </w:rPr>
              <w:t>分</w:t>
            </w:r>
          </w:p>
          <w:p w14:paraId="71090DC9">
            <w:pPr>
              <w:spacing w:line="360" w:lineRule="auto"/>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2.投标报价部分</w:t>
            </w:r>
            <w:r>
              <w:rPr>
                <w:rFonts w:hint="eastAsia" w:ascii="仿宋" w:hAnsi="仿宋" w:eastAsia="仿宋" w:cs="仿宋"/>
                <w:color w:val="000000" w:themeColor="text1"/>
                <w:szCs w:val="21"/>
                <w:highlight w:val="none"/>
                <w:lang w:val="en-US" w:eastAsia="zh-CN"/>
                <w14:textFill>
                  <w14:solidFill>
                    <w14:schemeClr w14:val="tx1"/>
                  </w14:solidFill>
                </w14:textFill>
              </w:rPr>
              <w:t>10</w:t>
            </w:r>
            <w:r>
              <w:rPr>
                <w:rFonts w:hint="eastAsia" w:ascii="仿宋" w:hAnsi="仿宋" w:eastAsia="仿宋" w:cs="仿宋"/>
                <w:color w:val="000000" w:themeColor="text1"/>
                <w:szCs w:val="21"/>
                <w:highlight w:val="none"/>
                <w14:textFill>
                  <w14:solidFill>
                    <w14:schemeClr w14:val="tx1"/>
                  </w14:solidFill>
                </w14:textFill>
              </w:rPr>
              <w:t>分</w:t>
            </w:r>
          </w:p>
        </w:tc>
      </w:tr>
      <w:tr w14:paraId="6101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 w:hRule="atLeast"/>
          <w:jc w:val="center"/>
        </w:trPr>
        <w:tc>
          <w:tcPr>
            <w:tcW w:w="612" w:type="dxa"/>
            <w:tcMar>
              <w:top w:w="0" w:type="dxa"/>
              <w:left w:w="28" w:type="dxa"/>
              <w:bottom w:w="0" w:type="dxa"/>
              <w:right w:w="28" w:type="dxa"/>
            </w:tcMar>
            <w:vAlign w:val="center"/>
          </w:tcPr>
          <w:p w14:paraId="717AFDEF">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p>
        </w:tc>
        <w:tc>
          <w:tcPr>
            <w:tcW w:w="2783" w:type="dxa"/>
            <w:tcMar>
              <w:top w:w="0" w:type="dxa"/>
              <w:left w:w="28" w:type="dxa"/>
              <w:bottom w:w="0" w:type="dxa"/>
              <w:right w:w="28" w:type="dxa"/>
            </w:tcMar>
            <w:vAlign w:val="center"/>
          </w:tcPr>
          <w:p w14:paraId="4A25573D">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资格审查</w:t>
            </w:r>
          </w:p>
        </w:tc>
        <w:tc>
          <w:tcPr>
            <w:tcW w:w="5744" w:type="dxa"/>
            <w:tcMar>
              <w:top w:w="0" w:type="dxa"/>
              <w:left w:w="28" w:type="dxa"/>
              <w:bottom w:w="0" w:type="dxa"/>
              <w:right w:w="28" w:type="dxa"/>
            </w:tcMar>
            <w:vAlign w:val="center"/>
          </w:tcPr>
          <w:p w14:paraId="172E7DA3">
            <w:pPr>
              <w:spacing w:line="360" w:lineRule="auto"/>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详见《资格审查标准》</w:t>
            </w:r>
          </w:p>
        </w:tc>
      </w:tr>
      <w:tr w14:paraId="1FE1D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47E452C7">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w:t>
            </w:r>
          </w:p>
        </w:tc>
        <w:tc>
          <w:tcPr>
            <w:tcW w:w="2783" w:type="dxa"/>
            <w:tcMar>
              <w:top w:w="0" w:type="dxa"/>
              <w:left w:w="28" w:type="dxa"/>
              <w:bottom w:w="0" w:type="dxa"/>
              <w:right w:w="28" w:type="dxa"/>
            </w:tcMar>
            <w:vAlign w:val="center"/>
          </w:tcPr>
          <w:p w14:paraId="3D07D325">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完备性及符合性审查</w:t>
            </w:r>
          </w:p>
        </w:tc>
        <w:tc>
          <w:tcPr>
            <w:tcW w:w="5744" w:type="dxa"/>
            <w:tcMar>
              <w:top w:w="0" w:type="dxa"/>
              <w:left w:w="28" w:type="dxa"/>
              <w:bottom w:w="0" w:type="dxa"/>
              <w:right w:w="28" w:type="dxa"/>
            </w:tcMar>
            <w:vAlign w:val="center"/>
          </w:tcPr>
          <w:p w14:paraId="62191333">
            <w:pPr>
              <w:spacing w:line="360" w:lineRule="auto"/>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详见《</w:t>
            </w:r>
            <w:r>
              <w:rPr>
                <w:rFonts w:hint="eastAsia" w:ascii="仿宋" w:hAnsi="仿宋" w:eastAsia="仿宋" w:cs="仿宋"/>
                <w:color w:val="000000" w:themeColor="text1"/>
                <w:szCs w:val="21"/>
                <w:highlight w:val="none"/>
                <w:lang w:eastAsia="zh-CN"/>
                <w14:textFill>
                  <w14:solidFill>
                    <w14:schemeClr w14:val="tx1"/>
                  </w14:solidFill>
                </w14:textFill>
              </w:rPr>
              <w:t>符合性审查标准</w:t>
            </w:r>
            <w:r>
              <w:rPr>
                <w:rFonts w:hint="eastAsia" w:ascii="仿宋" w:hAnsi="仿宋" w:eastAsia="仿宋" w:cs="仿宋"/>
                <w:color w:val="000000" w:themeColor="text1"/>
                <w:szCs w:val="21"/>
                <w:highlight w:val="none"/>
                <w14:textFill>
                  <w14:solidFill>
                    <w14:schemeClr w14:val="tx1"/>
                  </w14:solidFill>
                </w14:textFill>
              </w:rPr>
              <w:t>》</w:t>
            </w:r>
          </w:p>
        </w:tc>
      </w:tr>
      <w:tr w14:paraId="5DA7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shd w:val="clear" w:color="auto" w:fill="auto"/>
            <w:tcMar>
              <w:top w:w="0" w:type="dxa"/>
              <w:left w:w="28" w:type="dxa"/>
              <w:bottom w:w="0" w:type="dxa"/>
              <w:right w:w="28" w:type="dxa"/>
            </w:tcMar>
            <w:vAlign w:val="center"/>
          </w:tcPr>
          <w:p w14:paraId="68F01544">
            <w:pPr>
              <w:spacing w:line="360" w:lineRule="auto"/>
              <w:jc w:val="cente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4</w:t>
            </w:r>
          </w:p>
        </w:tc>
        <w:tc>
          <w:tcPr>
            <w:tcW w:w="2783" w:type="dxa"/>
            <w:shd w:val="clear" w:color="auto" w:fill="auto"/>
            <w:tcMar>
              <w:top w:w="0" w:type="dxa"/>
              <w:left w:w="28" w:type="dxa"/>
              <w:bottom w:w="0" w:type="dxa"/>
              <w:right w:w="28" w:type="dxa"/>
            </w:tcMar>
            <w:vAlign w:val="center"/>
          </w:tcPr>
          <w:p w14:paraId="21CDAFD1">
            <w:pPr>
              <w:spacing w:line="360" w:lineRule="auto"/>
              <w:jc w:val="cente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详细评审</w:t>
            </w:r>
          </w:p>
        </w:tc>
        <w:tc>
          <w:tcPr>
            <w:tcW w:w="5744" w:type="dxa"/>
            <w:tcMar>
              <w:top w:w="0" w:type="dxa"/>
              <w:left w:w="28" w:type="dxa"/>
              <w:bottom w:w="0" w:type="dxa"/>
              <w:right w:w="28" w:type="dxa"/>
            </w:tcMar>
            <w:vAlign w:val="center"/>
          </w:tcPr>
          <w:p w14:paraId="795A3152">
            <w:pPr>
              <w:spacing w:line="360" w:lineRule="auto"/>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详见《详细评审标准》及本节第3.</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款</w:t>
            </w:r>
          </w:p>
        </w:tc>
      </w:tr>
    </w:tbl>
    <w:p w14:paraId="1E2E5CA6">
      <w:pPr>
        <w:widowControl/>
        <w:shd w:val="clear" w:color="auto" w:fill="FFFFFF"/>
        <w:snapToGrid w:val="0"/>
        <w:spacing w:line="276" w:lineRule="auto"/>
        <w:jc w:val="center"/>
        <w:rPr>
          <w:rFonts w:hint="eastAsia" w:ascii="仿宋" w:hAnsi="仿宋" w:eastAsia="仿宋" w:cs="仿宋"/>
          <w:b/>
          <w:color w:val="000000" w:themeColor="text1"/>
          <w:kern w:val="0"/>
          <w:sz w:val="24"/>
          <w:szCs w:val="24"/>
          <w:highlight w:val="none"/>
          <w14:textFill>
            <w14:solidFill>
              <w14:schemeClr w14:val="tx1"/>
            </w14:solidFill>
          </w14:textFill>
        </w:rPr>
      </w:pPr>
    </w:p>
    <w:p w14:paraId="38E504EA">
      <w:pPr>
        <w:widowControl/>
        <w:shd w:val="clear" w:color="auto" w:fill="FFFFFF"/>
        <w:snapToGrid w:val="0"/>
        <w:spacing w:line="276" w:lineRule="auto"/>
        <w:jc w:val="center"/>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《资格审查标准》</w:t>
      </w:r>
      <w:bookmarkEnd w:id="39"/>
    </w:p>
    <w:tbl>
      <w:tblPr>
        <w:tblStyle w:val="39"/>
        <w:tblW w:w="54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21"/>
        <w:gridCol w:w="3676"/>
        <w:gridCol w:w="5400"/>
      </w:tblGrid>
      <w:tr w14:paraId="4385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15" w:type="pct"/>
            <w:vAlign w:val="center"/>
          </w:tcPr>
          <w:p w14:paraId="6E676685">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bookmarkStart w:id="40" w:name="_Toc501719167"/>
            <w:r>
              <w:rPr>
                <w:rFonts w:hint="eastAsia" w:ascii="仿宋" w:hAnsi="仿宋" w:eastAsia="仿宋" w:cs="仿宋"/>
                <w:color w:val="000000" w:themeColor="text1"/>
                <w:kern w:val="0"/>
                <w:szCs w:val="24"/>
                <w:highlight w:val="none"/>
                <w14:textFill>
                  <w14:solidFill>
                    <w14:schemeClr w14:val="tx1"/>
                  </w14:solidFill>
                </w14:textFill>
              </w:rPr>
              <w:t>序号</w:t>
            </w:r>
          </w:p>
        </w:tc>
        <w:tc>
          <w:tcPr>
            <w:tcW w:w="1857" w:type="pct"/>
            <w:vAlign w:val="center"/>
          </w:tcPr>
          <w:p w14:paraId="63D5EEA5">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审查要求</w:t>
            </w:r>
          </w:p>
        </w:tc>
        <w:tc>
          <w:tcPr>
            <w:tcW w:w="2726" w:type="pct"/>
            <w:vAlign w:val="center"/>
          </w:tcPr>
          <w:p w14:paraId="5E700455">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要求说明</w:t>
            </w:r>
          </w:p>
        </w:tc>
      </w:tr>
      <w:tr w14:paraId="336B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15" w:type="pct"/>
            <w:vAlign w:val="center"/>
          </w:tcPr>
          <w:p w14:paraId="66ADE6E6">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lang w:val="en-US" w:eastAsia="zh-CN"/>
                <w14:textFill>
                  <w14:solidFill>
                    <w14:schemeClr w14:val="tx1"/>
                  </w14:solidFill>
                </w14:textFill>
              </w:rPr>
            </w:pPr>
            <w:r>
              <w:rPr>
                <w:rFonts w:hint="eastAsia" w:ascii="仿宋" w:hAnsi="仿宋" w:eastAsia="仿宋" w:cs="仿宋"/>
                <w:color w:val="000000" w:themeColor="text1"/>
                <w:kern w:val="0"/>
                <w:szCs w:val="24"/>
                <w:highlight w:val="none"/>
                <w:lang w:val="en-US" w:eastAsia="zh-CN"/>
                <w14:textFill>
                  <w14:solidFill>
                    <w14:schemeClr w14:val="tx1"/>
                  </w14:solidFill>
                </w14:textFill>
              </w:rPr>
              <w:t>1</w:t>
            </w:r>
          </w:p>
        </w:tc>
        <w:tc>
          <w:tcPr>
            <w:tcW w:w="1857" w:type="pct"/>
            <w:shd w:val="clear" w:color="auto" w:fill="auto"/>
            <w:vAlign w:val="center"/>
          </w:tcPr>
          <w:p w14:paraId="45FA4191">
            <w:pPr>
              <w:spacing w:line="288" w:lineRule="auto"/>
              <w:jc w:val="left"/>
              <w:rPr>
                <w:rFonts w:hint="eastAsia" w:ascii="仿宋" w:hAnsi="仿宋" w:eastAsia="仿宋" w:cs="仿宋"/>
                <w:color w:val="000000" w:themeColor="text1"/>
                <w:kern w:val="2"/>
                <w:sz w:val="21"/>
                <w:szCs w:val="21"/>
                <w:highlight w:val="none"/>
                <w:shd w:val="clear" w:color="auto" w:fill="FFFFFF" w:themeFill="background1"/>
                <w:lang w:val="en-US" w:eastAsia="zh-CN" w:bidi="ar-SA"/>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具有独立承担民事责任的能力</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w:t>
            </w:r>
          </w:p>
        </w:tc>
        <w:tc>
          <w:tcPr>
            <w:tcW w:w="2726" w:type="pct"/>
            <w:shd w:val="clear" w:color="auto" w:fill="auto"/>
            <w:vAlign w:val="center"/>
          </w:tcPr>
          <w:p w14:paraId="492BFD90">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000000" w:themeColor="text1"/>
                <w:kern w:val="0"/>
                <w:szCs w:val="24"/>
                <w:highlight w:val="none"/>
                <w:lang w:val="en-US" w:eastAsia="zh-CN"/>
                <w14:textFill>
                  <w14:solidFill>
                    <w14:schemeClr w14:val="tx1"/>
                  </w14:solidFill>
                </w14:textFill>
              </w:rPr>
            </w:pPr>
            <w:r>
              <w:rPr>
                <w:rFonts w:hint="eastAsia" w:ascii="仿宋" w:hAnsi="仿宋" w:eastAsia="仿宋" w:cs="仿宋"/>
                <w:color w:val="000000" w:themeColor="text1"/>
                <w:kern w:val="0"/>
                <w:szCs w:val="24"/>
                <w:highlight w:val="none"/>
                <w:lang w:val="en-US" w:eastAsia="zh-CN"/>
                <w14:textFill>
                  <w14:solidFill>
                    <w14:schemeClr w14:val="tx1"/>
                  </w14:solidFill>
                </w14:textFill>
              </w:rPr>
              <w:t>1、如投标人是企业（包括合伙企业)，应提供在工商部门注册的有效“企业法人营业执照”或“营业执照”;</w:t>
            </w:r>
          </w:p>
          <w:p w14:paraId="7FDA9E78">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000000" w:themeColor="text1"/>
                <w:kern w:val="0"/>
                <w:szCs w:val="24"/>
                <w:highlight w:val="none"/>
                <w:lang w:val="en-US" w:eastAsia="zh-CN"/>
                <w14:textFill>
                  <w14:solidFill>
                    <w14:schemeClr w14:val="tx1"/>
                  </w14:solidFill>
                </w14:textFill>
              </w:rPr>
            </w:pPr>
            <w:r>
              <w:rPr>
                <w:rFonts w:hint="eastAsia" w:ascii="仿宋" w:hAnsi="仿宋" w:eastAsia="仿宋" w:cs="仿宋"/>
                <w:color w:val="000000" w:themeColor="text1"/>
                <w:kern w:val="0"/>
                <w:szCs w:val="24"/>
                <w:highlight w:val="none"/>
                <w:lang w:val="en-US" w:eastAsia="zh-CN"/>
                <w14:textFill>
                  <w14:solidFill>
                    <w14:schemeClr w14:val="tx1"/>
                  </w14:solidFill>
                </w14:textFill>
              </w:rPr>
              <w:t>2、如投标人是事业单位，应提供有效的“事业单位法人证书”;</w:t>
            </w:r>
          </w:p>
          <w:p w14:paraId="48B437B7">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000000" w:themeColor="text1"/>
                <w:kern w:val="0"/>
                <w:szCs w:val="24"/>
                <w:highlight w:val="none"/>
                <w:lang w:val="en-US" w:eastAsia="zh-CN"/>
                <w14:textFill>
                  <w14:solidFill>
                    <w14:schemeClr w14:val="tx1"/>
                  </w14:solidFill>
                </w14:textFill>
              </w:rPr>
            </w:pPr>
            <w:r>
              <w:rPr>
                <w:rFonts w:hint="eastAsia" w:ascii="仿宋" w:hAnsi="仿宋" w:eastAsia="仿宋" w:cs="仿宋"/>
                <w:color w:val="000000" w:themeColor="text1"/>
                <w:kern w:val="0"/>
                <w:szCs w:val="24"/>
                <w:highlight w:val="none"/>
                <w:lang w:val="en-US" w:eastAsia="zh-CN"/>
                <w14:textFill>
                  <w14:solidFill>
                    <w14:schemeClr w14:val="tx1"/>
                  </w14:solidFill>
                </w14:textFill>
              </w:rPr>
              <w:t>3、如投标人是非企业专业服务机构的，应提供执业许可证等证明文件;</w:t>
            </w:r>
          </w:p>
          <w:p w14:paraId="6C0C4090">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000000" w:themeColor="text1"/>
                <w:kern w:val="0"/>
                <w:szCs w:val="24"/>
                <w:highlight w:val="none"/>
                <w:lang w:val="en-US" w:eastAsia="zh-CN"/>
                <w14:textFill>
                  <w14:solidFill>
                    <w14:schemeClr w14:val="tx1"/>
                  </w14:solidFill>
                </w14:textFill>
              </w:rPr>
            </w:pPr>
            <w:r>
              <w:rPr>
                <w:rFonts w:hint="eastAsia" w:ascii="仿宋" w:hAnsi="仿宋" w:eastAsia="仿宋" w:cs="仿宋"/>
                <w:color w:val="000000" w:themeColor="text1"/>
                <w:kern w:val="0"/>
                <w:szCs w:val="24"/>
                <w:highlight w:val="none"/>
                <w:lang w:val="en-US" w:eastAsia="zh-CN"/>
                <w14:textFill>
                  <w14:solidFill>
                    <w14:schemeClr w14:val="tx1"/>
                  </w14:solidFill>
                </w14:textFill>
              </w:rPr>
              <w:t>4、如投标人是个体工商户，应提供有效的“个体工商户营业执照”;</w:t>
            </w:r>
          </w:p>
          <w:p w14:paraId="01180CDD">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000000" w:themeColor="text1"/>
                <w:kern w:val="0"/>
                <w:szCs w:val="24"/>
                <w:highlight w:val="none"/>
                <w:lang w:val="en-US" w:eastAsia="zh-CN"/>
                <w14:textFill>
                  <w14:solidFill>
                    <w14:schemeClr w14:val="tx1"/>
                  </w14:solidFill>
                </w14:textFill>
              </w:rPr>
            </w:pPr>
            <w:r>
              <w:rPr>
                <w:rFonts w:hint="eastAsia" w:ascii="仿宋" w:hAnsi="仿宋" w:eastAsia="仿宋" w:cs="仿宋"/>
                <w:color w:val="000000" w:themeColor="text1"/>
                <w:kern w:val="0"/>
                <w:szCs w:val="24"/>
                <w:highlight w:val="none"/>
                <w:lang w:val="en-US" w:eastAsia="zh-CN"/>
                <w14:textFill>
                  <w14:solidFill>
                    <w14:schemeClr w14:val="tx1"/>
                  </w14:solidFill>
                </w14:textFill>
              </w:rPr>
              <w:t>5、如投标人是自然人，应提供有效的自然人身份证明。</w:t>
            </w:r>
          </w:p>
        </w:tc>
      </w:tr>
      <w:tr w14:paraId="106C1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15" w:type="pct"/>
            <w:vAlign w:val="center"/>
          </w:tcPr>
          <w:p w14:paraId="32297B57">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lang w:val="en-US" w:eastAsia="zh-CN"/>
                <w14:textFill>
                  <w14:solidFill>
                    <w14:schemeClr w14:val="tx1"/>
                  </w14:solidFill>
                </w14:textFill>
              </w:rPr>
            </w:pPr>
            <w:r>
              <w:rPr>
                <w:rFonts w:hint="eastAsia" w:ascii="仿宋" w:hAnsi="仿宋" w:eastAsia="仿宋" w:cs="仿宋"/>
                <w:color w:val="000000" w:themeColor="text1"/>
                <w:kern w:val="0"/>
                <w:szCs w:val="24"/>
                <w:highlight w:val="none"/>
                <w:lang w:val="en-US" w:eastAsia="zh-CN"/>
                <w14:textFill>
                  <w14:solidFill>
                    <w14:schemeClr w14:val="tx1"/>
                  </w14:solidFill>
                </w14:textFill>
              </w:rPr>
              <w:t>2</w:t>
            </w:r>
          </w:p>
        </w:tc>
        <w:tc>
          <w:tcPr>
            <w:tcW w:w="1857" w:type="pct"/>
            <w:shd w:val="clear" w:color="auto" w:fill="auto"/>
            <w:vAlign w:val="center"/>
          </w:tcPr>
          <w:p w14:paraId="6F2D8FB2">
            <w:pPr>
              <w:spacing w:line="288" w:lineRule="auto"/>
              <w:jc w:val="left"/>
              <w:rPr>
                <w:rFonts w:hint="eastAsia" w:ascii="仿宋" w:hAnsi="仿宋" w:eastAsia="仿宋" w:cs="仿宋"/>
                <w:color w:val="000000" w:themeColor="text1"/>
                <w:kern w:val="2"/>
                <w:sz w:val="21"/>
                <w:szCs w:val="21"/>
                <w:highlight w:val="none"/>
                <w:shd w:val="clear" w:color="auto" w:fill="FFFFFF" w:themeFill="background1"/>
                <w:lang w:val="en-US" w:eastAsia="zh-CN" w:bidi="ar-SA"/>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具有良好的商业信誉和健全的财务会计制度</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w:t>
            </w:r>
          </w:p>
        </w:tc>
        <w:tc>
          <w:tcPr>
            <w:tcW w:w="2726" w:type="pct"/>
            <w:shd w:val="clear" w:color="auto" w:fill="auto"/>
            <w:vAlign w:val="center"/>
          </w:tcPr>
          <w:p w14:paraId="45B316EF">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满足下述一条要求即可：</w:t>
            </w:r>
          </w:p>
          <w:p w14:paraId="44A3A3BF">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要求1、经审计的财务报告（2023年度或2024年度，包括“四表-注”，即资产负债表、利润表、现金流量表、所有者权益变动表及其附注）或银行出具的资信证明（投标文件递交截止之日前六个月内任意一个月）。</w:t>
            </w:r>
          </w:p>
          <w:p w14:paraId="2CBA90BB">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000000" w:themeColor="text1"/>
                <w:kern w:val="0"/>
                <w:szCs w:val="24"/>
                <w:highlight w:val="none"/>
                <w:lang w:val="en-US" w:eastAsia="zh-CN"/>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要求2、成立不足</w:t>
            </w:r>
            <w:r>
              <w:rPr>
                <w:rFonts w:hint="eastAsia" w:ascii="仿宋" w:hAnsi="仿宋" w:eastAsia="仿宋" w:cs="仿宋"/>
                <w:color w:val="000000" w:themeColor="text1"/>
                <w:kern w:val="0"/>
                <w:szCs w:val="24"/>
                <w:highlight w:val="none"/>
                <w:lang w:val="en-US" w:eastAsia="zh-CN"/>
                <w14:textFill>
                  <w14:solidFill>
                    <w14:schemeClr w14:val="tx1"/>
                  </w14:solidFill>
                </w14:textFill>
              </w:rPr>
              <w:t>六</w:t>
            </w:r>
            <w:r>
              <w:rPr>
                <w:rFonts w:hint="eastAsia" w:ascii="仿宋" w:hAnsi="仿宋" w:eastAsia="仿宋" w:cs="仿宋"/>
                <w:color w:val="000000" w:themeColor="text1"/>
                <w:kern w:val="0"/>
                <w:szCs w:val="24"/>
                <w:highlight w:val="none"/>
                <w14:textFill>
                  <w14:solidFill>
                    <w14:schemeClr w14:val="tx1"/>
                  </w14:solidFill>
                </w14:textFill>
              </w:rPr>
              <w:t>个月（以投标文件递交截止之日为期限）的投标人无需提供。</w:t>
            </w:r>
          </w:p>
        </w:tc>
      </w:tr>
      <w:tr w14:paraId="1371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15" w:type="pct"/>
            <w:vAlign w:val="center"/>
          </w:tcPr>
          <w:p w14:paraId="02D252C1">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lang w:val="en-US" w:eastAsia="zh-CN"/>
                <w14:textFill>
                  <w14:solidFill>
                    <w14:schemeClr w14:val="tx1"/>
                  </w14:solidFill>
                </w14:textFill>
              </w:rPr>
            </w:pPr>
            <w:r>
              <w:rPr>
                <w:rFonts w:hint="eastAsia" w:ascii="仿宋" w:hAnsi="仿宋" w:eastAsia="仿宋" w:cs="仿宋"/>
                <w:color w:val="000000" w:themeColor="text1"/>
                <w:kern w:val="0"/>
                <w:szCs w:val="24"/>
                <w:highlight w:val="none"/>
                <w:lang w:val="en-US" w:eastAsia="zh-CN"/>
                <w14:textFill>
                  <w14:solidFill>
                    <w14:schemeClr w14:val="tx1"/>
                  </w14:solidFill>
                </w14:textFill>
              </w:rPr>
              <w:t>3</w:t>
            </w:r>
          </w:p>
        </w:tc>
        <w:tc>
          <w:tcPr>
            <w:tcW w:w="1857" w:type="pct"/>
            <w:shd w:val="clear" w:color="auto" w:fill="auto"/>
            <w:vAlign w:val="center"/>
          </w:tcPr>
          <w:p w14:paraId="797610AB">
            <w:pPr>
              <w:spacing w:line="288" w:lineRule="auto"/>
              <w:jc w:val="left"/>
              <w:rPr>
                <w:rFonts w:hint="eastAsia" w:ascii="仿宋" w:hAnsi="仿宋" w:eastAsia="仿宋" w:cs="仿宋"/>
                <w:color w:val="000000" w:themeColor="text1"/>
                <w:kern w:val="2"/>
                <w:sz w:val="21"/>
                <w:szCs w:val="21"/>
                <w:highlight w:val="none"/>
                <w:shd w:val="clear" w:color="auto" w:fill="FFFFFF" w:themeFill="background1"/>
                <w:lang w:val="en-US" w:eastAsia="zh-CN" w:bidi="ar-SA"/>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具有履行合同所必需的设备和专业技术能力</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w:t>
            </w:r>
          </w:p>
        </w:tc>
        <w:tc>
          <w:tcPr>
            <w:tcW w:w="2726" w:type="pct"/>
            <w:shd w:val="clear" w:color="auto" w:fill="auto"/>
            <w:vAlign w:val="center"/>
          </w:tcPr>
          <w:p w14:paraId="34FAD62D">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000000" w:themeColor="text1"/>
                <w:kern w:val="0"/>
                <w:szCs w:val="24"/>
                <w:highlight w:val="none"/>
                <w:lang w:val="en-US" w:eastAsia="zh-CN"/>
                <w14:textFill>
                  <w14:solidFill>
                    <w14:schemeClr w14:val="tx1"/>
                  </w14:solidFill>
                </w14:textFill>
              </w:rPr>
            </w:pPr>
            <w:r>
              <w:rPr>
                <w:rFonts w:hint="eastAsia" w:ascii="仿宋" w:hAnsi="仿宋" w:eastAsia="仿宋" w:cs="仿宋"/>
                <w:color w:val="000000" w:themeColor="text1"/>
                <w:kern w:val="0"/>
                <w:szCs w:val="24"/>
                <w:highlight w:val="none"/>
                <w:lang w:val="en-US" w:eastAsia="zh-CN"/>
                <w14:textFill>
                  <w14:solidFill>
                    <w14:schemeClr w14:val="tx1"/>
                  </w14:solidFill>
                </w14:textFill>
              </w:rPr>
              <w:t>提供《具有履行合同所必需的设备和专业技术能力的承诺函》，加盖投标人章。</w:t>
            </w:r>
          </w:p>
        </w:tc>
      </w:tr>
      <w:tr w14:paraId="6E4C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15" w:type="pct"/>
            <w:vAlign w:val="center"/>
          </w:tcPr>
          <w:p w14:paraId="3B1B982A">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lang w:val="en-US" w:eastAsia="zh-CN"/>
                <w14:textFill>
                  <w14:solidFill>
                    <w14:schemeClr w14:val="tx1"/>
                  </w14:solidFill>
                </w14:textFill>
              </w:rPr>
            </w:pPr>
            <w:r>
              <w:rPr>
                <w:rFonts w:hint="eastAsia" w:ascii="仿宋" w:hAnsi="仿宋" w:eastAsia="仿宋" w:cs="仿宋"/>
                <w:color w:val="000000" w:themeColor="text1"/>
                <w:kern w:val="0"/>
                <w:szCs w:val="24"/>
                <w:highlight w:val="none"/>
                <w:lang w:val="en-US" w:eastAsia="zh-CN"/>
                <w14:textFill>
                  <w14:solidFill>
                    <w14:schemeClr w14:val="tx1"/>
                  </w14:solidFill>
                </w14:textFill>
              </w:rPr>
              <w:t>4</w:t>
            </w:r>
          </w:p>
        </w:tc>
        <w:tc>
          <w:tcPr>
            <w:tcW w:w="1857" w:type="pct"/>
            <w:shd w:val="clear" w:color="auto" w:fill="auto"/>
            <w:vAlign w:val="center"/>
          </w:tcPr>
          <w:p w14:paraId="4C385BA4">
            <w:pPr>
              <w:spacing w:line="288" w:lineRule="auto"/>
              <w:jc w:val="left"/>
              <w:rPr>
                <w:rFonts w:hint="eastAsia" w:ascii="仿宋" w:hAnsi="仿宋" w:eastAsia="仿宋" w:cs="仿宋"/>
                <w:color w:val="000000" w:themeColor="text1"/>
                <w:kern w:val="2"/>
                <w:sz w:val="21"/>
                <w:szCs w:val="21"/>
                <w:highlight w:val="none"/>
                <w:shd w:val="clear" w:color="auto" w:fill="FFFFFF" w:themeFill="background1"/>
                <w:lang w:val="en-US" w:eastAsia="zh-CN" w:bidi="ar-SA"/>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有依法缴纳税收和社会保障资金的良好记录</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w:t>
            </w:r>
          </w:p>
        </w:tc>
        <w:tc>
          <w:tcPr>
            <w:tcW w:w="2726" w:type="pct"/>
            <w:shd w:val="clear" w:color="auto" w:fill="auto"/>
            <w:vAlign w:val="center"/>
          </w:tcPr>
          <w:p w14:paraId="19E4D175">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1、依法缴纳税收的证明材料：</w:t>
            </w:r>
          </w:p>
          <w:p w14:paraId="11CAFE8E">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投标人参加政府采购活动前一段时间（投标文件递交截止之日前六个月内任一个月）内缴纳税收的完税凭证（指各种完税证、缴款书、印花税票、扣（收）税凭证以及其他完税证明）。</w:t>
            </w:r>
          </w:p>
          <w:p w14:paraId="7D25F535">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2、依法缴纳社会保障资金的证明材料：</w:t>
            </w:r>
          </w:p>
          <w:p w14:paraId="7DEC6C40">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投标人参加政府采购活动前一段时间（投标文件递交截止之日前六个月内任一个月）内缴纳社会保险的凭据，其他组织和自然人也需要提供缴纳税收的凭据和缴纳社会保险的凭据。</w:t>
            </w:r>
          </w:p>
          <w:p w14:paraId="6F895779">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000000" w:themeColor="text1"/>
                <w:kern w:val="2"/>
                <w:sz w:val="21"/>
                <w:szCs w:val="21"/>
                <w:highlight w:val="none"/>
                <w:shd w:val="clear" w:color="auto" w:fill="FFFFFF" w:themeFill="background1"/>
                <w:lang w:val="en-US" w:eastAsia="zh-CN" w:bidi="ar-SA"/>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3、依法免税或不需要缴纳社会保障资金的投标人，应提供相应文件证明其依法免税或不需要缴纳社会保障资金。</w:t>
            </w:r>
          </w:p>
        </w:tc>
      </w:tr>
      <w:tr w14:paraId="3769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15" w:type="pct"/>
            <w:vAlign w:val="center"/>
          </w:tcPr>
          <w:p w14:paraId="3E6CA2CF">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lang w:val="en-US" w:eastAsia="zh-CN"/>
                <w14:textFill>
                  <w14:solidFill>
                    <w14:schemeClr w14:val="tx1"/>
                  </w14:solidFill>
                </w14:textFill>
              </w:rPr>
            </w:pPr>
            <w:r>
              <w:rPr>
                <w:rFonts w:hint="eastAsia" w:ascii="仿宋" w:hAnsi="仿宋" w:eastAsia="仿宋" w:cs="仿宋"/>
                <w:color w:val="000000" w:themeColor="text1"/>
                <w:kern w:val="0"/>
                <w:szCs w:val="24"/>
                <w:highlight w:val="none"/>
                <w:lang w:val="en-US" w:eastAsia="zh-CN"/>
                <w14:textFill>
                  <w14:solidFill>
                    <w14:schemeClr w14:val="tx1"/>
                  </w14:solidFill>
                </w14:textFill>
              </w:rPr>
              <w:t>5</w:t>
            </w:r>
          </w:p>
        </w:tc>
        <w:tc>
          <w:tcPr>
            <w:tcW w:w="1857" w:type="pct"/>
            <w:shd w:val="clear" w:color="auto" w:fill="auto"/>
            <w:vAlign w:val="center"/>
          </w:tcPr>
          <w:p w14:paraId="0C47CF54">
            <w:pPr>
              <w:spacing w:line="288" w:lineRule="auto"/>
              <w:jc w:val="left"/>
              <w:rPr>
                <w:rFonts w:hint="eastAsia" w:ascii="仿宋" w:hAnsi="仿宋" w:eastAsia="仿宋" w:cs="仿宋"/>
                <w:color w:val="000000" w:themeColor="text1"/>
                <w:kern w:val="2"/>
                <w:sz w:val="21"/>
                <w:szCs w:val="21"/>
                <w:highlight w:val="none"/>
                <w:shd w:val="clear" w:color="auto" w:fill="FFFFFF" w:themeFill="background1"/>
                <w:lang w:val="en-US" w:eastAsia="zh-CN" w:bidi="ar-SA"/>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参加政府采购活动前三年内，在经营活动中没有重大违法记录</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w:t>
            </w:r>
          </w:p>
        </w:tc>
        <w:tc>
          <w:tcPr>
            <w:tcW w:w="2726" w:type="pct"/>
            <w:shd w:val="clear" w:color="auto" w:fill="auto"/>
            <w:vAlign w:val="center"/>
          </w:tcPr>
          <w:p w14:paraId="151CDE71">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000000" w:themeColor="text1"/>
                <w:kern w:val="2"/>
                <w:sz w:val="21"/>
                <w:szCs w:val="21"/>
                <w:highlight w:val="none"/>
                <w:shd w:val="clear" w:color="auto" w:fill="FFFFFF" w:themeFill="background1"/>
                <w:lang w:val="en-US" w:eastAsia="zh-CN" w:bidi="ar-SA"/>
                <w14:textFill>
                  <w14:solidFill>
                    <w14:schemeClr w14:val="tx1"/>
                  </w14:solidFill>
                </w14:textFill>
              </w:rPr>
            </w:pPr>
            <w:r>
              <w:rPr>
                <w:rFonts w:hint="eastAsia" w:ascii="仿宋" w:hAnsi="仿宋" w:eastAsia="仿宋" w:cs="仿宋"/>
                <w:color w:val="000000" w:themeColor="text1"/>
                <w:kern w:val="0"/>
                <w:szCs w:val="24"/>
                <w:highlight w:val="none"/>
                <w:lang w:val="en-US" w:eastAsia="zh-CN"/>
                <w14:textFill>
                  <w14:solidFill>
                    <w14:schemeClr w14:val="tx1"/>
                  </w14:solidFill>
                </w14:textFill>
              </w:rPr>
              <w:t>提供《参加政府采购活动前3年内在经营活动中没有重大违法记录的书面声明》，加盖投标人章。</w:t>
            </w:r>
          </w:p>
        </w:tc>
      </w:tr>
      <w:tr w14:paraId="7F8A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415" w:type="pct"/>
            <w:vAlign w:val="center"/>
          </w:tcPr>
          <w:p w14:paraId="724D1775">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lang w:val="en-US" w:eastAsia="zh-CN"/>
                <w14:textFill>
                  <w14:solidFill>
                    <w14:schemeClr w14:val="tx1"/>
                  </w14:solidFill>
                </w14:textFill>
              </w:rPr>
            </w:pPr>
            <w:r>
              <w:rPr>
                <w:rFonts w:hint="eastAsia" w:ascii="仿宋" w:hAnsi="仿宋" w:eastAsia="仿宋" w:cs="仿宋"/>
                <w:color w:val="000000" w:themeColor="text1"/>
                <w:kern w:val="0"/>
                <w:szCs w:val="24"/>
                <w:highlight w:val="none"/>
                <w:lang w:val="en-US" w:eastAsia="zh-CN"/>
                <w14:textFill>
                  <w14:solidFill>
                    <w14:schemeClr w14:val="tx1"/>
                  </w14:solidFill>
                </w14:textFill>
              </w:rPr>
              <w:t>6</w:t>
            </w:r>
          </w:p>
        </w:tc>
        <w:tc>
          <w:tcPr>
            <w:tcW w:w="1857" w:type="pct"/>
            <w:shd w:val="clear" w:color="auto" w:fill="auto"/>
            <w:vAlign w:val="center"/>
          </w:tcPr>
          <w:p w14:paraId="7C04EE6C">
            <w:pPr>
              <w:spacing w:line="360" w:lineRule="auto"/>
              <w:jc w:val="left"/>
              <w:rPr>
                <w:rFonts w:hint="eastAsia" w:ascii="仿宋" w:hAnsi="仿宋" w:eastAsia="仿宋" w:cs="仿宋"/>
                <w:color w:val="000000" w:themeColor="text1"/>
                <w:kern w:val="0"/>
                <w:sz w:val="21"/>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4"/>
                <w:highlight w:val="none"/>
                <w:lang w:val="en-US" w:eastAsia="zh-CN"/>
                <w14:textFill>
                  <w14:solidFill>
                    <w14:schemeClr w14:val="tx1"/>
                  </w14:solidFill>
                </w14:textFill>
              </w:rPr>
              <w:t>投标人为小微企业。</w:t>
            </w:r>
          </w:p>
        </w:tc>
        <w:tc>
          <w:tcPr>
            <w:tcW w:w="2726" w:type="pct"/>
            <w:shd w:val="clear" w:color="auto" w:fill="auto"/>
            <w:vAlign w:val="center"/>
          </w:tcPr>
          <w:p w14:paraId="37C296C4">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000000" w:themeColor="text1"/>
                <w:kern w:val="0"/>
                <w:sz w:val="21"/>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提供声明函</w:t>
            </w:r>
            <w:r>
              <w:rPr>
                <w:rFonts w:hint="eastAsia" w:ascii="仿宋" w:hAnsi="仿宋" w:eastAsia="仿宋" w:cs="仿宋"/>
                <w:color w:val="000000" w:themeColor="text1"/>
                <w:kern w:val="0"/>
                <w:szCs w:val="24"/>
                <w:highlight w:val="none"/>
                <w:lang w:val="en-US" w:eastAsia="zh-CN"/>
                <w14:textFill>
                  <w14:solidFill>
                    <w14:schemeClr w14:val="tx1"/>
                  </w14:solidFill>
                </w14:textFill>
              </w:rPr>
              <w:t>，加盖投标人章。</w:t>
            </w:r>
          </w:p>
        </w:tc>
      </w:tr>
      <w:tr w14:paraId="3696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15" w:type="pct"/>
            <w:vAlign w:val="center"/>
          </w:tcPr>
          <w:p w14:paraId="60CB82AB">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lang w:val="en-US" w:eastAsia="zh-CN"/>
                <w14:textFill>
                  <w14:solidFill>
                    <w14:schemeClr w14:val="tx1"/>
                  </w14:solidFill>
                </w14:textFill>
              </w:rPr>
            </w:pPr>
            <w:r>
              <w:rPr>
                <w:rFonts w:hint="eastAsia" w:ascii="仿宋" w:hAnsi="仿宋" w:eastAsia="仿宋" w:cs="仿宋"/>
                <w:color w:val="000000" w:themeColor="text1"/>
                <w:kern w:val="0"/>
                <w:szCs w:val="24"/>
                <w:highlight w:val="none"/>
                <w:lang w:val="en-US" w:eastAsia="zh-CN"/>
                <w14:textFill>
                  <w14:solidFill>
                    <w14:schemeClr w14:val="tx1"/>
                  </w14:solidFill>
                </w14:textFill>
              </w:rPr>
              <w:t>7</w:t>
            </w:r>
          </w:p>
        </w:tc>
        <w:tc>
          <w:tcPr>
            <w:tcW w:w="1857" w:type="pct"/>
            <w:shd w:val="clear" w:color="auto" w:fill="auto"/>
            <w:vAlign w:val="center"/>
          </w:tcPr>
          <w:p w14:paraId="706799FA">
            <w:pPr>
              <w:spacing w:line="360" w:lineRule="auto"/>
              <w:jc w:val="left"/>
              <w:rPr>
                <w:rFonts w:hint="eastAsia" w:ascii="仿宋" w:hAnsi="仿宋" w:eastAsia="仿宋" w:cs="仿宋"/>
                <w:color w:val="000000" w:themeColor="text1"/>
                <w:kern w:val="0"/>
                <w:sz w:val="21"/>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投标人如在“信用中国”网站（www.creditchina.gov.cn）、中国政府采购网（www.ccgp.gov.cn）等渠道被列入失信被执行人、重大税收违法失信主体、政府采购严重违法失信行为记录名单，尚在处罚期内的将被拒绝参加本次采购活动。</w:t>
            </w:r>
          </w:p>
        </w:tc>
        <w:tc>
          <w:tcPr>
            <w:tcW w:w="2726" w:type="pct"/>
            <w:shd w:val="clear" w:color="auto" w:fill="auto"/>
            <w:vAlign w:val="center"/>
          </w:tcPr>
          <w:p w14:paraId="1CB93D01">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000000" w:themeColor="text1"/>
                <w:kern w:val="0"/>
                <w:sz w:val="21"/>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以采购人或者采购代理机构查询记录为准。</w:t>
            </w:r>
          </w:p>
        </w:tc>
      </w:tr>
      <w:tr w14:paraId="00C64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15" w:type="pct"/>
            <w:vAlign w:val="center"/>
          </w:tcPr>
          <w:p w14:paraId="4B355AF3">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lang w:val="en-US" w:eastAsia="zh-CN"/>
                <w14:textFill>
                  <w14:solidFill>
                    <w14:schemeClr w14:val="tx1"/>
                  </w14:solidFill>
                </w14:textFill>
              </w:rPr>
            </w:pP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p>
        </w:tc>
        <w:tc>
          <w:tcPr>
            <w:tcW w:w="1857" w:type="pct"/>
            <w:shd w:val="clear" w:color="auto" w:fill="auto"/>
            <w:vAlign w:val="center"/>
          </w:tcPr>
          <w:p w14:paraId="6AD9FAED">
            <w:pPr>
              <w:spacing w:line="360" w:lineRule="auto"/>
              <w:jc w:val="left"/>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lang w:eastAsia="zh-CN"/>
                <w14:textFill>
                  <w14:solidFill>
                    <w14:schemeClr w14:val="tx1"/>
                  </w14:solidFill>
                </w14:textFill>
              </w:rPr>
              <w:t>投标人须具备有效的《食品经营许可证》或《餐饮服务许可证》或《食品流通许可证》</w:t>
            </w:r>
            <w:r>
              <w:rPr>
                <w:rFonts w:hint="eastAsia" w:ascii="仿宋" w:hAnsi="仿宋" w:eastAsia="仿宋" w:cs="仿宋"/>
                <w:color w:val="000000" w:themeColor="text1"/>
                <w:kern w:val="0"/>
                <w:szCs w:val="24"/>
                <w:highlight w:val="none"/>
                <w14:textFill>
                  <w14:solidFill>
                    <w14:schemeClr w14:val="tx1"/>
                  </w14:solidFill>
                </w14:textFill>
              </w:rPr>
              <w:t>。</w:t>
            </w:r>
          </w:p>
        </w:tc>
        <w:tc>
          <w:tcPr>
            <w:tcW w:w="2726" w:type="pct"/>
            <w:shd w:val="clear" w:color="auto" w:fill="auto"/>
            <w:vAlign w:val="center"/>
          </w:tcPr>
          <w:p w14:paraId="3394DE20">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000000" w:themeColor="text1"/>
                <w:kern w:val="0"/>
                <w:szCs w:val="24"/>
                <w:highlight w:val="none"/>
                <w:lang w:val="en-US" w:eastAsia="zh-CN"/>
                <w14:textFill>
                  <w14:solidFill>
                    <w14:schemeClr w14:val="tx1"/>
                  </w14:solidFill>
                </w14:textFill>
              </w:rPr>
            </w:pPr>
            <w:r>
              <w:rPr>
                <w:rFonts w:hint="eastAsia" w:ascii="仿宋" w:hAnsi="仿宋" w:eastAsia="仿宋" w:cs="仿宋"/>
                <w:color w:val="000000" w:themeColor="text1"/>
                <w:kern w:val="0"/>
                <w:szCs w:val="24"/>
                <w:highlight w:val="none"/>
                <w:lang w:val="en-US" w:eastAsia="zh-CN"/>
                <w14:textFill>
                  <w14:solidFill>
                    <w14:schemeClr w14:val="tx1"/>
                  </w14:solidFill>
                </w14:textFill>
              </w:rPr>
              <w:t>相应许可证件扫描件。</w:t>
            </w:r>
          </w:p>
        </w:tc>
      </w:tr>
      <w:tr w14:paraId="1F0E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5000" w:type="pct"/>
            <w:gridSpan w:val="3"/>
            <w:vAlign w:val="center"/>
          </w:tcPr>
          <w:p w14:paraId="1FB0BCEC">
            <w:pPr>
              <w:widowControl/>
              <w:shd w:val="clear" w:color="auto" w:fill="FFFFFF"/>
              <w:snapToGrid w:val="0"/>
              <w:spacing w:line="360" w:lineRule="auto"/>
              <w:jc w:val="left"/>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备注： 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56D6D878">
      <w:pPr>
        <w:widowControl/>
        <w:shd w:val="clear" w:color="auto" w:fill="FFFFFF"/>
        <w:snapToGrid w:val="0"/>
        <w:spacing w:line="276" w:lineRule="auto"/>
        <w:jc w:val="center"/>
        <w:rPr>
          <w:rFonts w:hint="eastAsia" w:ascii="仿宋" w:hAnsi="仿宋" w:eastAsia="仿宋" w:cs="仿宋"/>
          <w:b/>
          <w:color w:val="000000" w:themeColor="text1"/>
          <w:kern w:val="0"/>
          <w:sz w:val="24"/>
          <w:szCs w:val="24"/>
          <w:highlight w:val="none"/>
          <w14:textFill>
            <w14:solidFill>
              <w14:schemeClr w14:val="tx1"/>
            </w14:solidFill>
          </w14:textFill>
        </w:rPr>
      </w:pPr>
    </w:p>
    <w:p w14:paraId="2967AA62">
      <w:pPr>
        <w:widowControl/>
        <w:shd w:val="clear" w:color="auto" w:fill="FFFFFF"/>
        <w:snapToGrid w:val="0"/>
        <w:spacing w:line="276" w:lineRule="auto"/>
        <w:jc w:val="center"/>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w:t>
      </w:r>
      <w:r>
        <w:rPr>
          <w:rFonts w:hint="eastAsia" w:ascii="仿宋" w:hAnsi="仿宋" w:eastAsia="仿宋" w:cs="仿宋"/>
          <w:b/>
          <w:color w:val="000000" w:themeColor="text1"/>
          <w:kern w:val="0"/>
          <w:sz w:val="24"/>
          <w:szCs w:val="24"/>
          <w:highlight w:val="none"/>
          <w:lang w:eastAsia="zh-CN"/>
          <w14:textFill>
            <w14:solidFill>
              <w14:schemeClr w14:val="tx1"/>
            </w14:solidFill>
          </w14:textFill>
        </w:rPr>
        <w:t>符合性审查标准</w:t>
      </w:r>
      <w:r>
        <w:rPr>
          <w:rFonts w:hint="eastAsia" w:ascii="仿宋" w:hAnsi="仿宋" w:eastAsia="仿宋" w:cs="仿宋"/>
          <w:b/>
          <w:color w:val="000000" w:themeColor="text1"/>
          <w:kern w:val="0"/>
          <w:sz w:val="24"/>
          <w:szCs w:val="24"/>
          <w:highlight w:val="none"/>
          <w14:textFill>
            <w14:solidFill>
              <w14:schemeClr w14:val="tx1"/>
            </w14:solidFill>
          </w14:textFill>
        </w:rPr>
        <w:t>》</w:t>
      </w:r>
      <w:bookmarkEnd w:id="40"/>
    </w:p>
    <w:tbl>
      <w:tblPr>
        <w:tblStyle w:val="39"/>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2"/>
        <w:gridCol w:w="5299"/>
        <w:gridCol w:w="3280"/>
      </w:tblGrid>
      <w:tr w14:paraId="0FBD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607EAF50">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序号</w:t>
            </w:r>
          </w:p>
        </w:tc>
        <w:tc>
          <w:tcPr>
            <w:tcW w:w="5299" w:type="dxa"/>
            <w:vAlign w:val="center"/>
          </w:tcPr>
          <w:p w14:paraId="1A4CF28F">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审查要求</w:t>
            </w:r>
          </w:p>
        </w:tc>
        <w:tc>
          <w:tcPr>
            <w:tcW w:w="3280" w:type="dxa"/>
            <w:vAlign w:val="center"/>
          </w:tcPr>
          <w:p w14:paraId="193D28BA">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要求说明</w:t>
            </w:r>
          </w:p>
        </w:tc>
      </w:tr>
      <w:tr w14:paraId="672C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035BF3C5">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p>
        </w:tc>
        <w:tc>
          <w:tcPr>
            <w:tcW w:w="5299" w:type="dxa"/>
            <w:vAlign w:val="center"/>
          </w:tcPr>
          <w:p w14:paraId="40FBA78D">
            <w:pPr>
              <w:widowControl/>
              <w:shd w:val="clear" w:color="auto" w:fill="FFFFFF"/>
              <w:snapToGrid w:val="0"/>
              <w:spacing w:line="360" w:lineRule="auto"/>
              <w:jc w:val="both"/>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投标文件必须按招标文件要求加盖投标人电子印章、法定代表人电子印章。</w:t>
            </w:r>
          </w:p>
        </w:tc>
        <w:tc>
          <w:tcPr>
            <w:tcW w:w="3280" w:type="dxa"/>
            <w:vAlign w:val="center"/>
          </w:tcPr>
          <w:p w14:paraId="376B4CFA">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w:t>
            </w:r>
          </w:p>
        </w:tc>
      </w:tr>
      <w:tr w14:paraId="1893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0D7197DE">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w:t>
            </w:r>
          </w:p>
        </w:tc>
        <w:tc>
          <w:tcPr>
            <w:tcW w:w="5299" w:type="dxa"/>
            <w:vAlign w:val="center"/>
          </w:tcPr>
          <w:p w14:paraId="22852132">
            <w:pPr>
              <w:widowControl/>
              <w:shd w:val="clear" w:color="auto" w:fill="FFFFFF"/>
              <w:snapToGrid w:val="0"/>
              <w:spacing w:line="360" w:lineRule="auto"/>
              <w:jc w:val="both"/>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投标价格不得超过投标人须知前附表中的</w:t>
            </w:r>
            <w:r>
              <w:rPr>
                <w:rFonts w:hint="eastAsia" w:ascii="仿宋" w:hAnsi="仿宋" w:eastAsia="仿宋" w:cs="仿宋"/>
                <w:color w:val="000000" w:themeColor="text1"/>
                <w:kern w:val="0"/>
                <w:szCs w:val="24"/>
                <w:highlight w:val="none"/>
                <w:lang w:val="en-US" w:eastAsia="zh-CN"/>
                <w14:textFill>
                  <w14:solidFill>
                    <w14:schemeClr w14:val="tx1"/>
                  </w14:solidFill>
                </w14:textFill>
              </w:rPr>
              <w:t>最高限价。</w:t>
            </w:r>
          </w:p>
        </w:tc>
        <w:tc>
          <w:tcPr>
            <w:tcW w:w="3280" w:type="dxa"/>
            <w:vAlign w:val="center"/>
          </w:tcPr>
          <w:p w14:paraId="5BAF4563">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w:t>
            </w:r>
          </w:p>
        </w:tc>
      </w:tr>
      <w:tr w14:paraId="3C0DF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shd w:val="clear" w:color="auto" w:fill="auto"/>
            <w:vAlign w:val="center"/>
          </w:tcPr>
          <w:p w14:paraId="6142D042">
            <w:pPr>
              <w:widowControl/>
              <w:shd w:val="clear" w:color="auto" w:fill="FFFFFF"/>
              <w:snapToGrid w:val="0"/>
              <w:spacing w:line="360" w:lineRule="auto"/>
              <w:jc w:val="center"/>
              <w:rPr>
                <w:rFonts w:hint="eastAsia" w:ascii="仿宋" w:hAnsi="仿宋" w:eastAsia="仿宋" w:cs="仿宋"/>
                <w:color w:val="000000" w:themeColor="text1"/>
                <w:kern w:val="0"/>
                <w:sz w:val="21"/>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w:t>
            </w:r>
          </w:p>
        </w:tc>
        <w:tc>
          <w:tcPr>
            <w:tcW w:w="5299" w:type="dxa"/>
            <w:vAlign w:val="center"/>
          </w:tcPr>
          <w:p w14:paraId="02DA5157">
            <w:pPr>
              <w:widowControl/>
              <w:shd w:val="clear" w:color="auto" w:fill="FFFFFF"/>
              <w:snapToGrid w:val="0"/>
              <w:spacing w:line="360" w:lineRule="auto"/>
              <w:jc w:val="both"/>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投标价格明细表必须完整填写。</w:t>
            </w:r>
          </w:p>
        </w:tc>
        <w:tc>
          <w:tcPr>
            <w:tcW w:w="3280" w:type="dxa"/>
            <w:vAlign w:val="center"/>
          </w:tcPr>
          <w:p w14:paraId="72D73E8C">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lang w:val="en-US" w:eastAsia="zh-CN"/>
                <w14:textFill>
                  <w14:solidFill>
                    <w14:schemeClr w14:val="tx1"/>
                  </w14:solidFill>
                </w14:textFill>
              </w:rPr>
            </w:pPr>
            <w:r>
              <w:rPr>
                <w:rFonts w:hint="eastAsia" w:ascii="仿宋" w:hAnsi="仿宋" w:eastAsia="仿宋" w:cs="仿宋"/>
                <w:color w:val="000000" w:themeColor="text1"/>
                <w:kern w:val="0"/>
                <w:szCs w:val="24"/>
                <w:highlight w:val="none"/>
                <w:lang w:val="en-US" w:eastAsia="zh-CN"/>
                <w14:textFill>
                  <w14:solidFill>
                    <w14:schemeClr w14:val="tx1"/>
                  </w14:solidFill>
                </w14:textFill>
              </w:rPr>
              <w:t>/</w:t>
            </w:r>
          </w:p>
        </w:tc>
      </w:tr>
      <w:tr w14:paraId="7876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shd w:val="clear" w:color="auto" w:fill="auto"/>
            <w:vAlign w:val="center"/>
          </w:tcPr>
          <w:p w14:paraId="7FF1E9C2">
            <w:pPr>
              <w:widowControl/>
              <w:shd w:val="clear" w:color="auto" w:fill="FFFFFF"/>
              <w:snapToGrid w:val="0"/>
              <w:spacing w:line="360" w:lineRule="auto"/>
              <w:jc w:val="center"/>
              <w:rPr>
                <w:rFonts w:hint="eastAsia" w:ascii="仿宋" w:hAnsi="仿宋" w:eastAsia="仿宋" w:cs="仿宋"/>
                <w:color w:val="000000" w:themeColor="text1"/>
                <w:kern w:val="0"/>
                <w:sz w:val="21"/>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4</w:t>
            </w:r>
          </w:p>
        </w:tc>
        <w:tc>
          <w:tcPr>
            <w:tcW w:w="5299" w:type="dxa"/>
            <w:vAlign w:val="center"/>
          </w:tcPr>
          <w:p w14:paraId="703D6C07">
            <w:pPr>
              <w:widowControl/>
              <w:shd w:val="clear" w:color="auto" w:fill="FFFFFF"/>
              <w:snapToGrid w:val="0"/>
              <w:spacing w:line="360" w:lineRule="auto"/>
              <w:jc w:val="both"/>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lang w:eastAsia="zh-CN"/>
                <w14:textFill>
                  <w14:solidFill>
                    <w14:schemeClr w14:val="tx1"/>
                  </w14:solidFill>
                </w14:textFill>
              </w:rPr>
              <w:t>合同履约期限</w:t>
            </w:r>
            <w:r>
              <w:rPr>
                <w:rFonts w:hint="eastAsia" w:ascii="仿宋" w:hAnsi="仿宋" w:eastAsia="仿宋" w:cs="仿宋"/>
                <w:color w:val="000000" w:themeColor="text1"/>
                <w:kern w:val="0"/>
                <w:szCs w:val="24"/>
                <w:highlight w:val="none"/>
                <w14:textFill>
                  <w14:solidFill>
                    <w14:schemeClr w14:val="tx1"/>
                  </w14:solidFill>
                </w14:textFill>
              </w:rPr>
              <w:t>必须满足招标文件要求。</w:t>
            </w:r>
          </w:p>
        </w:tc>
        <w:tc>
          <w:tcPr>
            <w:tcW w:w="3280" w:type="dxa"/>
            <w:vAlign w:val="center"/>
          </w:tcPr>
          <w:p w14:paraId="1C883329">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w:t>
            </w:r>
          </w:p>
        </w:tc>
      </w:tr>
      <w:tr w14:paraId="1255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22" w:type="dxa"/>
            <w:shd w:val="clear" w:color="auto" w:fill="auto"/>
            <w:tcMar>
              <w:top w:w="0" w:type="dxa"/>
              <w:left w:w="28" w:type="dxa"/>
              <w:bottom w:w="0" w:type="dxa"/>
              <w:right w:w="28" w:type="dxa"/>
            </w:tcMar>
            <w:vAlign w:val="center"/>
          </w:tcPr>
          <w:p w14:paraId="5DE46786">
            <w:pPr>
              <w:widowControl/>
              <w:shd w:val="clear" w:color="auto" w:fill="FFFFFF"/>
              <w:snapToGrid w:val="0"/>
              <w:spacing w:line="360" w:lineRule="auto"/>
              <w:jc w:val="center"/>
              <w:rPr>
                <w:rFonts w:hint="eastAsia" w:ascii="仿宋" w:hAnsi="仿宋" w:eastAsia="仿宋" w:cs="仿宋"/>
                <w:color w:val="000000" w:themeColor="text1"/>
                <w:kern w:val="0"/>
                <w:sz w:val="21"/>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5</w:t>
            </w:r>
          </w:p>
        </w:tc>
        <w:tc>
          <w:tcPr>
            <w:tcW w:w="5299" w:type="dxa"/>
            <w:vAlign w:val="center"/>
          </w:tcPr>
          <w:p w14:paraId="6DDE6AAF">
            <w:pPr>
              <w:widowControl/>
              <w:shd w:val="clear" w:color="auto" w:fill="FFFFFF"/>
              <w:snapToGrid w:val="0"/>
              <w:spacing w:line="360" w:lineRule="auto"/>
              <w:jc w:val="both"/>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0"/>
                <w:szCs w:val="24"/>
                <w:highlight w:val="none"/>
                <w:lang w:val="en-US" w:eastAsia="zh-CN"/>
                <w14:textFill>
                  <w14:solidFill>
                    <w14:schemeClr w14:val="tx1"/>
                  </w14:solidFill>
                </w14:textFill>
              </w:rPr>
              <w:t>项目负责人简历表必须提供。</w:t>
            </w:r>
          </w:p>
        </w:tc>
        <w:tc>
          <w:tcPr>
            <w:tcW w:w="3280" w:type="dxa"/>
            <w:tcMar>
              <w:top w:w="0" w:type="dxa"/>
              <w:left w:w="28" w:type="dxa"/>
              <w:bottom w:w="0" w:type="dxa"/>
              <w:right w:w="28" w:type="dxa"/>
            </w:tcMar>
            <w:vAlign w:val="center"/>
          </w:tcPr>
          <w:p w14:paraId="5AE87FEA">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w:t>
            </w:r>
          </w:p>
        </w:tc>
      </w:tr>
      <w:tr w14:paraId="2D63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722" w:type="dxa"/>
            <w:shd w:val="clear" w:color="auto" w:fill="auto"/>
            <w:tcMar>
              <w:top w:w="0" w:type="dxa"/>
              <w:left w:w="28" w:type="dxa"/>
              <w:bottom w:w="0" w:type="dxa"/>
              <w:right w:w="28" w:type="dxa"/>
            </w:tcMar>
            <w:vAlign w:val="center"/>
          </w:tcPr>
          <w:p w14:paraId="6D9A07F5">
            <w:pPr>
              <w:widowControl/>
              <w:shd w:val="clear" w:color="auto" w:fill="FFFFFF"/>
              <w:snapToGrid w:val="0"/>
              <w:spacing w:line="360" w:lineRule="auto"/>
              <w:jc w:val="center"/>
              <w:rPr>
                <w:rFonts w:hint="eastAsia" w:ascii="仿宋" w:hAnsi="仿宋" w:eastAsia="仿宋" w:cs="仿宋"/>
                <w:color w:val="000000" w:themeColor="text1"/>
                <w:kern w:val="0"/>
                <w:sz w:val="21"/>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4"/>
                <w:highlight w:val="none"/>
                <w:lang w:val="en-US" w:eastAsia="zh-CN"/>
                <w14:textFill>
                  <w14:solidFill>
                    <w14:schemeClr w14:val="tx1"/>
                  </w14:solidFill>
                </w14:textFill>
              </w:rPr>
              <w:t>6</w:t>
            </w:r>
          </w:p>
        </w:tc>
        <w:tc>
          <w:tcPr>
            <w:tcW w:w="5299" w:type="dxa"/>
            <w:vAlign w:val="center"/>
          </w:tcPr>
          <w:p w14:paraId="2703C78E">
            <w:pPr>
              <w:widowControl/>
              <w:shd w:val="clear" w:color="auto" w:fill="FFFFFF"/>
              <w:snapToGrid w:val="0"/>
              <w:spacing w:line="360" w:lineRule="auto"/>
              <w:jc w:val="both"/>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拟派主要服务人员情况表</w:t>
            </w:r>
            <w:r>
              <w:rPr>
                <w:rFonts w:hint="eastAsia" w:ascii="仿宋" w:hAnsi="仿宋" w:eastAsia="仿宋" w:cs="仿宋"/>
                <w:color w:val="000000" w:themeColor="text1"/>
                <w:kern w:val="0"/>
                <w:szCs w:val="24"/>
                <w:highlight w:val="none"/>
                <w:lang w:val="en-US" w:eastAsia="zh-CN"/>
                <w14:textFill>
                  <w14:solidFill>
                    <w14:schemeClr w14:val="tx1"/>
                  </w14:solidFill>
                </w14:textFill>
              </w:rPr>
              <w:t>必须提供。</w:t>
            </w:r>
          </w:p>
        </w:tc>
        <w:tc>
          <w:tcPr>
            <w:tcW w:w="3280" w:type="dxa"/>
            <w:tcMar>
              <w:top w:w="0" w:type="dxa"/>
              <w:left w:w="28" w:type="dxa"/>
              <w:bottom w:w="0" w:type="dxa"/>
              <w:right w:w="28" w:type="dxa"/>
            </w:tcMar>
            <w:vAlign w:val="center"/>
          </w:tcPr>
          <w:p w14:paraId="10A8C859">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w:t>
            </w:r>
          </w:p>
        </w:tc>
      </w:tr>
      <w:tr w14:paraId="4440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80" w:hRule="atLeast"/>
          <w:jc w:val="center"/>
        </w:trPr>
        <w:tc>
          <w:tcPr>
            <w:tcW w:w="722" w:type="dxa"/>
            <w:shd w:val="clear" w:color="auto" w:fill="auto"/>
            <w:tcMar>
              <w:top w:w="0" w:type="dxa"/>
              <w:left w:w="28" w:type="dxa"/>
              <w:bottom w:w="0" w:type="dxa"/>
              <w:right w:w="28" w:type="dxa"/>
            </w:tcMar>
            <w:vAlign w:val="center"/>
          </w:tcPr>
          <w:p w14:paraId="08152A50">
            <w:pPr>
              <w:widowControl/>
              <w:shd w:val="clear" w:color="auto" w:fill="FFFFFF"/>
              <w:snapToGrid w:val="0"/>
              <w:spacing w:line="360" w:lineRule="auto"/>
              <w:jc w:val="center"/>
              <w:rPr>
                <w:rFonts w:hint="eastAsia" w:ascii="仿宋" w:hAnsi="仿宋" w:eastAsia="仿宋" w:cs="仿宋"/>
                <w:color w:val="000000" w:themeColor="text1"/>
                <w:kern w:val="0"/>
                <w:sz w:val="21"/>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4"/>
                <w:highlight w:val="none"/>
                <w:lang w:val="en-US" w:eastAsia="zh-CN"/>
                <w14:textFill>
                  <w14:solidFill>
                    <w14:schemeClr w14:val="tx1"/>
                  </w14:solidFill>
                </w14:textFill>
              </w:rPr>
              <w:t>7</w:t>
            </w:r>
          </w:p>
        </w:tc>
        <w:tc>
          <w:tcPr>
            <w:tcW w:w="5299" w:type="dxa"/>
            <w:shd w:val="clear" w:color="auto" w:fill="auto"/>
            <w:vAlign w:val="center"/>
          </w:tcPr>
          <w:p w14:paraId="2ECF5AF1">
            <w:pPr>
              <w:spacing w:line="360" w:lineRule="auto"/>
              <w:jc w:val="both"/>
              <w:rPr>
                <w:rFonts w:hint="eastAsia" w:ascii="仿宋" w:hAnsi="仿宋" w:eastAsia="仿宋" w:cs="仿宋"/>
                <w:color w:val="000000" w:themeColor="text1"/>
                <w:kern w:val="0"/>
                <w:sz w:val="21"/>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投标保证金必须按照招标文件要求缴纳。</w:t>
            </w:r>
          </w:p>
        </w:tc>
        <w:tc>
          <w:tcPr>
            <w:tcW w:w="3280" w:type="dxa"/>
            <w:shd w:val="clear" w:color="auto" w:fill="auto"/>
            <w:tcMar>
              <w:top w:w="0" w:type="dxa"/>
              <w:left w:w="28" w:type="dxa"/>
              <w:bottom w:w="0" w:type="dxa"/>
              <w:right w:w="28" w:type="dxa"/>
            </w:tcMar>
            <w:vAlign w:val="center"/>
          </w:tcPr>
          <w:p w14:paraId="464A444C">
            <w:pPr>
              <w:spacing w:line="360" w:lineRule="auto"/>
              <w:jc w:val="left"/>
              <w:rPr>
                <w:rFonts w:hint="eastAsia" w:ascii="仿宋" w:hAnsi="仿宋" w:eastAsia="仿宋" w:cs="仿宋"/>
                <w:color w:val="000000" w:themeColor="text1"/>
                <w:kern w:val="0"/>
                <w:sz w:val="21"/>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保证金缴纳证明材料：汇款凭证或支票或汇票或保函或保证金收据等的扫描件。</w:t>
            </w:r>
          </w:p>
        </w:tc>
      </w:tr>
      <w:tr w14:paraId="75F4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722" w:type="dxa"/>
            <w:shd w:val="clear" w:color="auto" w:fill="auto"/>
            <w:tcMar>
              <w:top w:w="0" w:type="dxa"/>
              <w:left w:w="28" w:type="dxa"/>
              <w:bottom w:w="0" w:type="dxa"/>
              <w:right w:w="28" w:type="dxa"/>
            </w:tcMar>
            <w:vAlign w:val="center"/>
          </w:tcPr>
          <w:p w14:paraId="58F96C4C">
            <w:pPr>
              <w:widowControl/>
              <w:shd w:val="clear" w:color="auto" w:fill="FFFFFF"/>
              <w:snapToGrid w:val="0"/>
              <w:spacing w:line="360" w:lineRule="auto"/>
              <w:jc w:val="center"/>
              <w:rPr>
                <w:rFonts w:hint="eastAsia" w:ascii="仿宋" w:hAnsi="仿宋" w:eastAsia="仿宋" w:cs="仿宋"/>
                <w:color w:val="000000" w:themeColor="text1"/>
                <w:kern w:val="0"/>
                <w:sz w:val="21"/>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4"/>
                <w:highlight w:val="none"/>
                <w:lang w:val="en-US" w:eastAsia="zh-CN" w:bidi="ar-SA"/>
                <w14:textFill>
                  <w14:solidFill>
                    <w14:schemeClr w14:val="tx1"/>
                  </w14:solidFill>
                </w14:textFill>
              </w:rPr>
              <w:t>8</w:t>
            </w:r>
          </w:p>
        </w:tc>
        <w:tc>
          <w:tcPr>
            <w:tcW w:w="5299" w:type="dxa"/>
            <w:shd w:val="clear" w:color="auto" w:fill="auto"/>
            <w:vAlign w:val="center"/>
          </w:tcPr>
          <w:p w14:paraId="228FDEBC">
            <w:pPr>
              <w:widowControl/>
              <w:shd w:val="clear" w:color="auto" w:fill="FFFFFF"/>
              <w:snapToGrid w:val="0"/>
              <w:spacing w:line="360" w:lineRule="auto"/>
              <w:jc w:val="both"/>
              <w:rPr>
                <w:rFonts w:hint="eastAsia" w:ascii="仿宋" w:hAnsi="仿宋" w:eastAsia="仿宋" w:cs="仿宋"/>
                <w:color w:val="000000" w:themeColor="text1"/>
                <w:kern w:val="0"/>
                <w:sz w:val="21"/>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投标文件符合招标文件全部实质性要求。</w:t>
            </w:r>
          </w:p>
        </w:tc>
        <w:tc>
          <w:tcPr>
            <w:tcW w:w="3280" w:type="dxa"/>
            <w:shd w:val="clear" w:color="auto" w:fill="auto"/>
            <w:tcMar>
              <w:top w:w="0" w:type="dxa"/>
              <w:left w:w="28" w:type="dxa"/>
              <w:bottom w:w="0" w:type="dxa"/>
              <w:right w:w="28" w:type="dxa"/>
            </w:tcMar>
            <w:vAlign w:val="center"/>
          </w:tcPr>
          <w:p w14:paraId="0501C849">
            <w:pPr>
              <w:widowControl/>
              <w:shd w:val="clear" w:color="auto" w:fill="FFFFFF"/>
              <w:snapToGrid w:val="0"/>
              <w:spacing w:line="360" w:lineRule="auto"/>
              <w:jc w:val="center"/>
              <w:rPr>
                <w:rFonts w:hint="eastAsia" w:ascii="仿宋" w:hAnsi="仿宋" w:eastAsia="仿宋" w:cs="仿宋"/>
                <w:color w:val="000000" w:themeColor="text1"/>
                <w:kern w:val="0"/>
                <w:sz w:val="21"/>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w:t>
            </w:r>
          </w:p>
        </w:tc>
      </w:tr>
      <w:tr w14:paraId="20E6A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301" w:type="dxa"/>
            <w:gridSpan w:val="3"/>
            <w:vAlign w:val="center"/>
          </w:tcPr>
          <w:p w14:paraId="18A13121">
            <w:pPr>
              <w:widowControl/>
              <w:shd w:val="clear" w:color="auto" w:fill="FFFFFF"/>
              <w:snapToGrid w:val="0"/>
              <w:spacing w:line="360" w:lineRule="auto"/>
              <w:jc w:val="left"/>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14:paraId="10C282D5">
      <w:pPr>
        <w:rPr>
          <w:rFonts w:hint="eastAsia" w:ascii="仿宋" w:hAnsi="仿宋" w:eastAsia="仿宋" w:cs="仿宋"/>
          <w:b/>
          <w:color w:val="000000" w:themeColor="text1"/>
          <w:szCs w:val="24"/>
          <w:highlight w:val="none"/>
          <w14:textFill>
            <w14:solidFill>
              <w14:schemeClr w14:val="tx1"/>
            </w14:solidFill>
          </w14:textFill>
        </w:rPr>
      </w:pPr>
    </w:p>
    <w:p w14:paraId="559C4B65">
      <w:pPr>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br w:type="page"/>
      </w:r>
    </w:p>
    <w:p w14:paraId="1EE21171">
      <w:pPr>
        <w:pStyle w:val="14"/>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《详细评审标准》</w:t>
      </w:r>
    </w:p>
    <w:tbl>
      <w:tblPr>
        <w:tblStyle w:val="39"/>
        <w:tblW w:w="9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200"/>
        <w:gridCol w:w="819"/>
        <w:gridCol w:w="7244"/>
      </w:tblGrid>
      <w:tr w14:paraId="26DD0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noWrap w:val="0"/>
            <w:vAlign w:val="center"/>
          </w:tcPr>
          <w:p w14:paraId="773D5227">
            <w:pPr>
              <w:pStyle w:val="56"/>
              <w:keepLines w:val="0"/>
              <w:pageBreakBefore w:val="0"/>
              <w:wordWrap/>
              <w:overflowPunct/>
              <w:topLinePunct w:val="0"/>
              <w:bidi w:val="0"/>
              <w:spacing w:line="360" w:lineRule="auto"/>
              <w:jc w:val="center"/>
              <w:outlineLvl w:val="9"/>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序号</w:t>
            </w:r>
          </w:p>
        </w:tc>
        <w:tc>
          <w:tcPr>
            <w:tcW w:w="1200" w:type="dxa"/>
            <w:noWrap w:val="0"/>
            <w:vAlign w:val="center"/>
          </w:tcPr>
          <w:p w14:paraId="232FC491">
            <w:pPr>
              <w:pStyle w:val="56"/>
              <w:keepLines w:val="0"/>
              <w:pageBreakBefore w:val="0"/>
              <w:wordWrap/>
              <w:overflowPunct/>
              <w:topLinePunct w:val="0"/>
              <w:bidi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评标项目</w:t>
            </w:r>
          </w:p>
        </w:tc>
        <w:tc>
          <w:tcPr>
            <w:tcW w:w="819" w:type="dxa"/>
            <w:noWrap w:val="0"/>
            <w:vAlign w:val="center"/>
          </w:tcPr>
          <w:p w14:paraId="0F044936">
            <w:pPr>
              <w:pStyle w:val="56"/>
              <w:keepLines w:val="0"/>
              <w:pageBreakBefore w:val="0"/>
              <w:wordWrap/>
              <w:overflowPunct/>
              <w:topLinePunct w:val="0"/>
              <w:bidi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评标分值</w:t>
            </w:r>
          </w:p>
        </w:tc>
        <w:tc>
          <w:tcPr>
            <w:tcW w:w="7244" w:type="dxa"/>
            <w:noWrap w:val="0"/>
            <w:vAlign w:val="center"/>
          </w:tcPr>
          <w:p w14:paraId="3AF022A3">
            <w:pPr>
              <w:pStyle w:val="56"/>
              <w:keepLines w:val="0"/>
              <w:pageBreakBefore w:val="0"/>
              <w:wordWrap/>
              <w:overflowPunct/>
              <w:topLinePunct w:val="0"/>
              <w:bidi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评标方法描述</w:t>
            </w:r>
          </w:p>
        </w:tc>
      </w:tr>
      <w:tr w14:paraId="0778B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553" w:type="dxa"/>
            <w:noWrap w:val="0"/>
            <w:vAlign w:val="center"/>
          </w:tcPr>
          <w:p w14:paraId="3C7015B3">
            <w:pPr>
              <w:keepLines w:val="0"/>
              <w:pageBreakBefore w:val="0"/>
              <w:wordWrap/>
              <w:overflowPunct/>
              <w:topLinePunct w:val="0"/>
              <w:bidi w:val="0"/>
              <w:spacing w:line="360" w:lineRule="auto"/>
              <w:jc w:val="center"/>
              <w:outlineLvl w:val="9"/>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1200" w:type="dxa"/>
            <w:noWrap w:val="0"/>
            <w:vAlign w:val="center"/>
          </w:tcPr>
          <w:p w14:paraId="69BAFFBD">
            <w:pPr>
              <w:keepLines w:val="0"/>
              <w:pageBreakBefore w:val="0"/>
              <w:wordWrap/>
              <w:overflowPunct/>
              <w:topLinePunct w:val="0"/>
              <w:bidi w:val="0"/>
              <w:spacing w:line="360" w:lineRule="auto"/>
              <w:ind w:left="-105" w:leftChars="-50" w:right="-105" w:rightChars="-50"/>
              <w:jc w:val="center"/>
              <w:outlineLvl w:val="9"/>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投标报价</w:t>
            </w:r>
          </w:p>
        </w:tc>
        <w:tc>
          <w:tcPr>
            <w:tcW w:w="819" w:type="dxa"/>
            <w:noWrap w:val="0"/>
            <w:vAlign w:val="center"/>
          </w:tcPr>
          <w:p w14:paraId="30598B72">
            <w:pPr>
              <w:keepLines w:val="0"/>
              <w:pageBreakBefore w:val="0"/>
              <w:wordWrap/>
              <w:overflowPunct/>
              <w:topLinePunct w:val="0"/>
              <w:bidi w:val="0"/>
              <w:spacing w:line="360" w:lineRule="auto"/>
              <w:ind w:left="-105" w:leftChars="-50" w:right="-105" w:rightChars="-50"/>
              <w:jc w:val="center"/>
              <w:outlineLvl w:val="9"/>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0</w:t>
            </w:r>
          </w:p>
        </w:tc>
        <w:tc>
          <w:tcPr>
            <w:tcW w:w="7244" w:type="dxa"/>
            <w:noWrap w:val="0"/>
            <w:vAlign w:val="center"/>
          </w:tcPr>
          <w:p w14:paraId="038FC114">
            <w:pPr>
              <w:keepLines w:val="0"/>
              <w:pageBreakBefore w:val="0"/>
              <w:wordWrap/>
              <w:overflowPunct/>
              <w:topLinePunct w:val="0"/>
              <w:bidi w:val="0"/>
              <w:spacing w:line="360" w:lineRule="auto"/>
              <w:ind w:firstLine="420" w:firstLineChars="200"/>
              <w:outlineLvl w:val="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投标报价得分计算方法：</w:t>
            </w:r>
          </w:p>
          <w:p w14:paraId="23BAFE28">
            <w:pPr>
              <w:keepLines w:val="0"/>
              <w:pageBreakBefore w:val="0"/>
              <w:wordWrap/>
              <w:overflowPunct/>
              <w:topLinePunct w:val="0"/>
              <w:bidi w:val="0"/>
              <w:spacing w:line="360" w:lineRule="auto"/>
              <w:ind w:firstLine="420" w:firstLineChars="200"/>
              <w:outlineLvl w:val="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1.投标报价的确定</w:t>
            </w:r>
          </w:p>
          <w:p w14:paraId="75C9F593">
            <w:pPr>
              <w:keepLines w:val="0"/>
              <w:pageBreakBefore w:val="0"/>
              <w:wordWrap/>
              <w:overflowPunct/>
              <w:topLinePunct w:val="0"/>
              <w:bidi w:val="0"/>
              <w:spacing w:line="360" w:lineRule="auto"/>
              <w:ind w:firstLine="420" w:firstLineChars="200"/>
              <w:outlineLvl w:val="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投标报价是指经评审的且不超过采购预算金额的投标价格</w:t>
            </w:r>
          </w:p>
          <w:p w14:paraId="6864B3B9">
            <w:pPr>
              <w:keepLines w:val="0"/>
              <w:pageBreakBefore w:val="0"/>
              <w:wordWrap/>
              <w:overflowPunct/>
              <w:topLinePunct w:val="0"/>
              <w:bidi w:val="0"/>
              <w:spacing w:line="360" w:lineRule="auto"/>
              <w:ind w:firstLine="420" w:firstLineChars="200"/>
              <w:outlineLvl w:val="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2.评标基准价的确定</w:t>
            </w:r>
          </w:p>
          <w:p w14:paraId="50F3D0AA">
            <w:pPr>
              <w:keepLines w:val="0"/>
              <w:pageBreakBefore w:val="0"/>
              <w:wordWrap/>
              <w:overflowPunct/>
              <w:topLinePunct w:val="0"/>
              <w:bidi w:val="0"/>
              <w:spacing w:line="360" w:lineRule="auto"/>
              <w:ind w:firstLine="420" w:firstLineChars="200"/>
              <w:outlineLvl w:val="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满足招标文件要求且投标报价最低的为评标基准价</w:t>
            </w:r>
          </w:p>
          <w:p w14:paraId="2EF4B5D6">
            <w:pPr>
              <w:keepLines w:val="0"/>
              <w:pageBreakBefore w:val="0"/>
              <w:numPr>
                <w:ilvl w:val="0"/>
                <w:numId w:val="0"/>
              </w:numPr>
              <w:wordWrap/>
              <w:overflowPunct/>
              <w:topLinePunct w:val="0"/>
              <w:bidi w:val="0"/>
              <w:spacing w:line="360" w:lineRule="auto"/>
              <w:ind w:firstLine="420" w:firstLineChars="200"/>
              <w:outlineLvl w:val="9"/>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投标报价得分=(评标基准价／投标报价)×</w:t>
            </w:r>
            <w:r>
              <w:rPr>
                <w:rFonts w:hint="eastAsia" w:ascii="仿宋" w:hAnsi="仿宋" w:eastAsia="仿宋" w:cs="仿宋"/>
                <w:color w:val="000000" w:themeColor="text1"/>
                <w:sz w:val="21"/>
                <w:szCs w:val="21"/>
                <w:highlight w:val="none"/>
                <w:lang w:val="en-US" w:eastAsia="zh-CN"/>
                <w14:textFill>
                  <w14:solidFill>
                    <w14:schemeClr w14:val="tx1"/>
                  </w14:solidFill>
                </w14:textFill>
              </w:rPr>
              <w:t>10</w:t>
            </w:r>
          </w:p>
          <w:p w14:paraId="4619E926">
            <w:pPr>
              <w:keepLines w:val="0"/>
              <w:pageBreakBefore w:val="0"/>
              <w:wordWrap/>
              <w:overflowPunct/>
              <w:topLinePunct w:val="0"/>
              <w:bidi w:val="0"/>
              <w:spacing w:line="360" w:lineRule="auto"/>
              <w:ind w:firstLine="420" w:firstLineChars="200"/>
              <w:outlineLvl w:val="9"/>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4.评分分值计算保留小数点后两位，小数点后三位“四舍五入”。</w:t>
            </w:r>
          </w:p>
        </w:tc>
      </w:tr>
      <w:tr w14:paraId="6B7FC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noWrap w:val="0"/>
            <w:vAlign w:val="center"/>
          </w:tcPr>
          <w:p w14:paraId="1153206F">
            <w:pPr>
              <w:keepLines w:val="0"/>
              <w:pageBreakBefore w:val="0"/>
              <w:wordWrap/>
              <w:overflowPunct/>
              <w:topLinePunct w:val="0"/>
              <w:bidi w:val="0"/>
              <w:spacing w:line="360" w:lineRule="auto"/>
              <w:jc w:val="center"/>
              <w:outlineLvl w:val="9"/>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w:t>
            </w:r>
          </w:p>
        </w:tc>
        <w:tc>
          <w:tcPr>
            <w:tcW w:w="1200" w:type="dxa"/>
            <w:noWrap w:val="0"/>
            <w:vAlign w:val="center"/>
          </w:tcPr>
          <w:p w14:paraId="7B6A902D">
            <w:pPr>
              <w:spacing w:line="360" w:lineRule="auto"/>
              <w:jc w:val="cente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企业业绩</w:t>
            </w:r>
          </w:p>
        </w:tc>
        <w:tc>
          <w:tcPr>
            <w:tcW w:w="819" w:type="dxa"/>
            <w:noWrap w:val="0"/>
            <w:vAlign w:val="center"/>
          </w:tcPr>
          <w:p w14:paraId="6B393E2C">
            <w:pPr>
              <w:spacing w:line="360" w:lineRule="auto"/>
              <w:jc w:val="cente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4</w:t>
            </w:r>
          </w:p>
        </w:tc>
        <w:tc>
          <w:tcPr>
            <w:tcW w:w="7244" w:type="dxa"/>
            <w:noWrap w:val="0"/>
            <w:vAlign w:val="center"/>
          </w:tcPr>
          <w:p w14:paraId="546AD8B2">
            <w:pPr>
              <w:spacing w:line="360" w:lineRule="auto"/>
              <w:ind w:firstLine="420" w:firstLineChars="200"/>
              <w:jc w:val="left"/>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投标人近三年（202</w:t>
            </w:r>
            <w:r>
              <w:rPr>
                <w:rFonts w:hint="eastAsia" w:ascii="仿宋" w:hAnsi="仿宋" w:eastAsia="仿宋" w:cs="仿宋"/>
                <w:color w:val="000000" w:themeColor="text1"/>
                <w:kern w:val="0"/>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Cs w:val="21"/>
                <w:highlight w:val="none"/>
                <w14:textFill>
                  <w14:solidFill>
                    <w14:schemeClr w14:val="tx1"/>
                  </w14:solidFill>
                </w14:textFill>
              </w:rPr>
              <w:t>年1月1日-至今）承接的</w:t>
            </w:r>
            <w:r>
              <w:rPr>
                <w:rFonts w:hint="eastAsia" w:ascii="仿宋" w:hAnsi="仿宋" w:eastAsia="仿宋" w:cs="仿宋"/>
                <w:color w:val="000000" w:themeColor="text1"/>
                <w:kern w:val="0"/>
                <w:szCs w:val="21"/>
                <w:highlight w:val="none"/>
                <w:lang w:val="en-US" w:eastAsia="zh-CN"/>
                <w14:textFill>
                  <w14:solidFill>
                    <w14:schemeClr w14:val="tx1"/>
                  </w14:solidFill>
                </w14:textFill>
              </w:rPr>
              <w:t>类似</w:t>
            </w:r>
            <w:r>
              <w:rPr>
                <w:rFonts w:hint="eastAsia" w:ascii="仿宋" w:hAnsi="仿宋" w:eastAsia="仿宋" w:cs="仿宋"/>
                <w:color w:val="000000" w:themeColor="text1"/>
                <w:kern w:val="0"/>
                <w:szCs w:val="21"/>
                <w:highlight w:val="none"/>
                <w14:textFill>
                  <w14:solidFill>
                    <w14:schemeClr w14:val="tx1"/>
                  </w14:solidFill>
                </w14:textFill>
              </w:rPr>
              <w:t>业绩, 每提供一项</w:t>
            </w:r>
            <w:r>
              <w:rPr>
                <w:rFonts w:hint="eastAsia" w:ascii="仿宋" w:hAnsi="仿宋" w:eastAsia="仿宋" w:cs="仿宋"/>
                <w:color w:val="000000" w:themeColor="text1"/>
                <w:kern w:val="0"/>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Cs w:val="21"/>
                <w:highlight w:val="none"/>
                <w14:textFill>
                  <w14:solidFill>
                    <w14:schemeClr w14:val="tx1"/>
                  </w14:solidFill>
                </w14:textFill>
              </w:rPr>
              <w:t>分，最多计</w:t>
            </w:r>
            <w:r>
              <w:rPr>
                <w:rFonts w:hint="eastAsia" w:ascii="仿宋" w:hAnsi="仿宋" w:eastAsia="仿宋" w:cs="仿宋"/>
                <w:color w:val="000000" w:themeColor="text1"/>
                <w:kern w:val="0"/>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Cs w:val="21"/>
                <w:highlight w:val="none"/>
                <w14:textFill>
                  <w14:solidFill>
                    <w14:schemeClr w14:val="tx1"/>
                  </w14:solidFill>
                </w14:textFill>
              </w:rPr>
              <w:t>项</w:t>
            </w:r>
            <w:r>
              <w:rPr>
                <w:rFonts w:hint="eastAsia" w:ascii="仿宋" w:hAnsi="仿宋" w:eastAsia="仿宋" w:cs="仿宋"/>
                <w:color w:val="000000" w:themeColor="text1"/>
                <w:kern w:val="0"/>
                <w:szCs w:val="21"/>
                <w:highlight w:val="none"/>
                <w:lang w:eastAsia="zh-CN"/>
                <w14:textFill>
                  <w14:solidFill>
                    <w14:schemeClr w14:val="tx1"/>
                  </w14:solidFill>
                </w14:textFill>
              </w:rPr>
              <w:t>；</w:t>
            </w:r>
            <w:r>
              <w:rPr>
                <w:rFonts w:hint="eastAsia" w:ascii="仿宋" w:hAnsi="仿宋" w:eastAsia="仿宋" w:cs="仿宋"/>
                <w:color w:val="000000" w:themeColor="text1"/>
                <w:kern w:val="0"/>
                <w:szCs w:val="21"/>
                <w:highlight w:val="none"/>
                <w14:textFill>
                  <w14:solidFill>
                    <w14:schemeClr w14:val="tx1"/>
                  </w14:solidFill>
                </w14:textFill>
              </w:rPr>
              <w:t>须提供合同</w:t>
            </w:r>
            <w:r>
              <w:rPr>
                <w:rFonts w:hint="eastAsia" w:ascii="仿宋" w:hAnsi="仿宋" w:eastAsia="仿宋" w:cs="仿宋"/>
                <w:color w:val="000000" w:themeColor="text1"/>
                <w:kern w:val="0"/>
                <w:szCs w:val="21"/>
                <w:highlight w:val="none"/>
                <w:lang w:eastAsia="zh-CN"/>
                <w14:textFill>
                  <w14:solidFill>
                    <w14:schemeClr w14:val="tx1"/>
                  </w14:solidFill>
                </w14:textFill>
              </w:rPr>
              <w:t>。</w:t>
            </w:r>
          </w:p>
        </w:tc>
      </w:tr>
      <w:tr w14:paraId="5E9C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noWrap w:val="0"/>
            <w:vAlign w:val="center"/>
          </w:tcPr>
          <w:p w14:paraId="7F3587E0">
            <w:pPr>
              <w:keepLines w:val="0"/>
              <w:pageBreakBefore w:val="0"/>
              <w:wordWrap/>
              <w:overflowPunct/>
              <w:topLinePunct w:val="0"/>
              <w:bidi w:val="0"/>
              <w:spacing w:line="360" w:lineRule="auto"/>
              <w:jc w:val="center"/>
              <w:outlineLvl w:val="9"/>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w:t>
            </w:r>
          </w:p>
        </w:tc>
        <w:tc>
          <w:tcPr>
            <w:tcW w:w="1200" w:type="dxa"/>
            <w:noWrap w:val="0"/>
            <w:vAlign w:val="center"/>
          </w:tcPr>
          <w:p w14:paraId="7914AF15">
            <w:pPr>
              <w:spacing w:line="360" w:lineRule="auto"/>
              <w:jc w:val="cente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拟派人员</w:t>
            </w:r>
          </w:p>
        </w:tc>
        <w:tc>
          <w:tcPr>
            <w:tcW w:w="819" w:type="dxa"/>
            <w:noWrap w:val="0"/>
            <w:vAlign w:val="center"/>
          </w:tcPr>
          <w:p w14:paraId="5AD17C40">
            <w:pPr>
              <w:spacing w:line="360" w:lineRule="auto"/>
              <w:jc w:val="cente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10</w:t>
            </w:r>
          </w:p>
        </w:tc>
        <w:tc>
          <w:tcPr>
            <w:tcW w:w="7244" w:type="dxa"/>
            <w:noWrap w:val="0"/>
            <w:vAlign w:val="center"/>
          </w:tcPr>
          <w:p w14:paraId="1DFAE2D3">
            <w:pPr>
              <w:keepLines w:val="0"/>
              <w:pageBreakBefore w:val="0"/>
              <w:kinsoku/>
              <w:overflowPunct/>
              <w:topLinePunct w:val="0"/>
              <w:bidi w:val="0"/>
              <w:spacing w:beforeAutospacing="0" w:afterAutospacing="0" w:line="360" w:lineRule="auto"/>
              <w:ind w:firstLine="420" w:firstLineChars="200"/>
              <w:jc w:val="left"/>
              <w:textAlignment w:val="auto"/>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①</w:t>
            </w:r>
            <w:r>
              <w:rPr>
                <w:rFonts w:hint="eastAsia" w:ascii="仿宋" w:hAnsi="仿宋" w:eastAsia="仿宋" w:cs="仿宋"/>
                <w:color w:val="000000" w:themeColor="text1"/>
                <w:kern w:val="0"/>
                <w:szCs w:val="21"/>
                <w:highlight w:val="none"/>
                <w:lang w:val="en-US" w:eastAsia="zh-CN"/>
                <w14:textFill>
                  <w14:solidFill>
                    <w14:schemeClr w14:val="tx1"/>
                  </w14:solidFill>
                </w14:textFill>
              </w:rPr>
              <w:t>拟派后厨管理人员具有食品相关专/行业的证书得2分，最多计2人；</w:t>
            </w:r>
          </w:p>
          <w:p w14:paraId="787E6647">
            <w:pPr>
              <w:keepLines w:val="0"/>
              <w:pageBreakBefore w:val="0"/>
              <w:kinsoku/>
              <w:overflowPunct/>
              <w:topLinePunct w:val="0"/>
              <w:bidi w:val="0"/>
              <w:spacing w:beforeAutospacing="0" w:afterAutospacing="0" w:line="360" w:lineRule="auto"/>
              <w:ind w:firstLine="420" w:firstLineChars="200"/>
              <w:jc w:val="left"/>
              <w:textAlignment w:val="auto"/>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②</w:t>
            </w:r>
            <w:r>
              <w:rPr>
                <w:rFonts w:hint="eastAsia" w:ascii="仿宋" w:hAnsi="仿宋" w:eastAsia="仿宋" w:cs="仿宋"/>
                <w:color w:val="000000" w:themeColor="text1"/>
                <w:kern w:val="0"/>
                <w:szCs w:val="21"/>
                <w:highlight w:val="none"/>
                <w:lang w:val="en-US" w:eastAsia="zh-CN"/>
                <w14:textFill>
                  <w14:solidFill>
                    <w14:schemeClr w14:val="tx1"/>
                  </w14:solidFill>
                </w14:textFill>
              </w:rPr>
              <w:t>拟派炒菜师傅具有厨师证书得1分，最多计4人；</w:t>
            </w:r>
          </w:p>
          <w:p w14:paraId="6E35565B">
            <w:pPr>
              <w:keepLines w:val="0"/>
              <w:pageBreakBefore w:val="0"/>
              <w:kinsoku/>
              <w:overflowPunct/>
              <w:topLinePunct w:val="0"/>
              <w:bidi w:val="0"/>
              <w:spacing w:beforeAutospacing="0" w:afterAutospacing="0" w:line="360" w:lineRule="auto"/>
              <w:ind w:firstLine="420" w:firstLineChars="200"/>
              <w:jc w:val="left"/>
              <w:textAlignment w:val="auto"/>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③</w:t>
            </w:r>
            <w:r>
              <w:rPr>
                <w:rFonts w:hint="eastAsia" w:ascii="仿宋" w:hAnsi="仿宋" w:eastAsia="仿宋" w:cs="仿宋"/>
                <w:color w:val="000000" w:themeColor="text1"/>
                <w:kern w:val="0"/>
                <w:szCs w:val="21"/>
                <w:highlight w:val="none"/>
                <w:lang w:val="en-US" w:eastAsia="zh-CN"/>
                <w14:textFill>
                  <w14:solidFill>
                    <w14:schemeClr w14:val="tx1"/>
                  </w14:solidFill>
                </w14:textFill>
              </w:rPr>
              <w:t>拟派面点师傅具有面点师证书得1分，最多计2人。</w:t>
            </w:r>
          </w:p>
          <w:p w14:paraId="7B32ECD5">
            <w:pPr>
              <w:spacing w:line="240" w:lineRule="auto"/>
              <w:ind w:firstLine="420" w:firstLineChars="200"/>
              <w:jc w:val="left"/>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注：上述人员须提供相应证书。</w:t>
            </w:r>
          </w:p>
        </w:tc>
      </w:tr>
      <w:tr w14:paraId="0E1A4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3" w:type="dxa"/>
            <w:noWrap w:val="0"/>
            <w:vAlign w:val="center"/>
          </w:tcPr>
          <w:p w14:paraId="780B9E53">
            <w:pPr>
              <w:keepLines w:val="0"/>
              <w:pageBreakBefore w:val="0"/>
              <w:wordWrap/>
              <w:overflowPunct/>
              <w:topLinePunct w:val="0"/>
              <w:bidi w:val="0"/>
              <w:spacing w:line="360" w:lineRule="auto"/>
              <w:jc w:val="center"/>
              <w:outlineLvl w:val="9"/>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4</w:t>
            </w:r>
          </w:p>
        </w:tc>
        <w:tc>
          <w:tcPr>
            <w:tcW w:w="1200" w:type="dxa"/>
            <w:noWrap w:val="0"/>
            <w:vAlign w:val="center"/>
          </w:tcPr>
          <w:p w14:paraId="38E953D1">
            <w:pPr>
              <w:spacing w:line="360" w:lineRule="auto"/>
              <w:jc w:val="cente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服务方案</w:t>
            </w:r>
          </w:p>
        </w:tc>
        <w:tc>
          <w:tcPr>
            <w:tcW w:w="819" w:type="dxa"/>
            <w:noWrap w:val="0"/>
            <w:vAlign w:val="center"/>
          </w:tcPr>
          <w:p w14:paraId="7CFFDD7A">
            <w:pPr>
              <w:spacing w:line="360" w:lineRule="auto"/>
              <w:jc w:val="cente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40</w:t>
            </w:r>
          </w:p>
        </w:tc>
        <w:tc>
          <w:tcPr>
            <w:tcW w:w="7244" w:type="dxa"/>
            <w:noWrap w:val="0"/>
            <w:vAlign w:val="center"/>
          </w:tcPr>
          <w:p w14:paraId="6D645804">
            <w:pPr>
              <w:keepLines w:val="0"/>
              <w:pageBreakBefore w:val="0"/>
              <w:kinsoku/>
              <w:overflowPunct/>
              <w:topLinePunct w:val="0"/>
              <w:bidi w:val="0"/>
              <w:spacing w:beforeAutospacing="0" w:afterAutospacing="0" w:line="360" w:lineRule="auto"/>
              <w:ind w:firstLine="420" w:firstLineChars="200"/>
              <w:jc w:val="left"/>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服务方案包括但不限于：</w:t>
            </w:r>
            <w:r>
              <w:rPr>
                <w:rFonts w:hint="eastAsia" w:ascii="仿宋" w:hAnsi="仿宋" w:eastAsia="仿宋" w:cs="仿宋"/>
                <w:color w:val="000000" w:themeColor="text1"/>
                <w:kern w:val="0"/>
                <w:szCs w:val="21"/>
                <w:highlight w:val="none"/>
                <w:lang w:val="en-US" w:eastAsia="zh-CN"/>
                <w14:textFill>
                  <w14:solidFill>
                    <w14:schemeClr w14:val="tx1"/>
                  </w14:solidFill>
                </w14:textFill>
              </w:rPr>
              <w:t>①人员管理及培训制度、</w:t>
            </w:r>
            <w:r>
              <w:rPr>
                <w:rFonts w:hint="eastAsia" w:ascii="仿宋" w:hAnsi="仿宋" w:eastAsia="仿宋" w:cs="仿宋"/>
                <w:color w:val="000000" w:themeColor="text1"/>
                <w:kern w:val="0"/>
                <w:szCs w:val="21"/>
                <w:highlight w:val="none"/>
                <w14:textFill>
                  <w14:solidFill>
                    <w14:schemeClr w14:val="tx1"/>
                  </w14:solidFill>
                </w14:textFill>
              </w:rPr>
              <w:t>②日常饮食搭配、③菜品质量保障措施、④原料管理制度</w:t>
            </w:r>
            <w:r>
              <w:rPr>
                <w:rFonts w:hint="eastAsia" w:ascii="仿宋" w:hAnsi="仿宋" w:eastAsia="仿宋" w:cs="仿宋"/>
                <w:color w:val="000000" w:themeColor="text1"/>
                <w:kern w:val="0"/>
                <w:szCs w:val="21"/>
                <w:highlight w:val="none"/>
                <w:lang w:eastAsia="zh-CN"/>
                <w14:textFill>
                  <w14:solidFill>
                    <w14:schemeClr w14:val="tx1"/>
                  </w14:solidFill>
                </w14:textFill>
              </w:rPr>
              <w:t>、</w:t>
            </w:r>
            <w:r>
              <w:rPr>
                <w:rFonts w:hint="eastAsia" w:ascii="仿宋" w:hAnsi="仿宋" w:eastAsia="仿宋" w:cs="仿宋"/>
                <w:color w:val="000000" w:themeColor="text1"/>
                <w:kern w:val="0"/>
                <w:szCs w:val="21"/>
                <w:highlight w:val="none"/>
                <w14:textFill>
                  <w14:solidFill>
                    <w14:schemeClr w14:val="tx1"/>
                  </w14:solidFill>
                </w14:textFill>
              </w:rPr>
              <w:t>⑤反食品浪费管理方案、⑥</w:t>
            </w:r>
            <w:r>
              <w:rPr>
                <w:rFonts w:hint="eastAsia" w:ascii="仿宋" w:hAnsi="仿宋" w:eastAsia="仿宋" w:cs="仿宋"/>
                <w:color w:val="000000" w:themeColor="text1"/>
                <w:kern w:val="0"/>
                <w:szCs w:val="21"/>
                <w:highlight w:val="none"/>
                <w:lang w:val="en-US" w:eastAsia="zh-CN"/>
                <w14:textFill>
                  <w14:solidFill>
                    <w14:schemeClr w14:val="tx1"/>
                  </w14:solidFill>
                </w14:textFill>
              </w:rPr>
              <w:t>设备运行维护制度、⑦</w:t>
            </w:r>
            <w:r>
              <w:rPr>
                <w:rFonts w:hint="eastAsia" w:ascii="仿宋" w:hAnsi="仿宋" w:eastAsia="仿宋" w:cs="仿宋"/>
                <w:color w:val="000000" w:themeColor="text1"/>
                <w:kern w:val="0"/>
                <w:szCs w:val="21"/>
                <w:highlight w:val="none"/>
                <w14:textFill>
                  <w14:solidFill>
                    <w14:schemeClr w14:val="tx1"/>
                  </w14:solidFill>
                </w14:textFill>
              </w:rPr>
              <w:t>投诉处理方案</w:t>
            </w:r>
            <w:r>
              <w:rPr>
                <w:rFonts w:hint="eastAsia" w:ascii="仿宋" w:hAnsi="仿宋" w:eastAsia="仿宋" w:cs="仿宋"/>
                <w:color w:val="000000" w:themeColor="text1"/>
                <w:kern w:val="0"/>
                <w:szCs w:val="21"/>
                <w:highlight w:val="none"/>
                <w:lang w:eastAsia="zh-CN"/>
                <w14:textFill>
                  <w14:solidFill>
                    <w14:schemeClr w14:val="tx1"/>
                  </w14:solidFill>
                </w14:textFill>
              </w:rPr>
              <w:t>、</w:t>
            </w:r>
            <w:r>
              <w:rPr>
                <w:rFonts w:hint="eastAsia" w:ascii="仿宋" w:hAnsi="仿宋" w:eastAsia="仿宋" w:cs="仿宋"/>
                <w:color w:val="000000" w:themeColor="text1"/>
                <w:kern w:val="0"/>
                <w:szCs w:val="21"/>
                <w:highlight w:val="none"/>
                <w:lang w:val="en-US" w:eastAsia="zh-CN"/>
                <w14:textFill>
                  <w14:solidFill>
                    <w14:schemeClr w14:val="tx1"/>
                  </w14:solidFill>
                </w14:textFill>
              </w:rPr>
              <w:t>⑧重要用餐接待任务专项服务方案</w:t>
            </w:r>
            <w: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t>；8</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部分要素。</w:t>
            </w:r>
          </w:p>
          <w:p w14:paraId="3FAD8918">
            <w:pPr>
              <w:spacing w:line="360" w:lineRule="auto"/>
              <w:ind w:firstLine="420" w:firstLineChars="200"/>
              <w:jc w:val="left"/>
              <w:rPr>
                <w:rFonts w:hint="eastAsia" w:ascii="仿宋" w:hAnsi="仿宋" w:eastAsia="仿宋" w:cs="仿宋"/>
                <w:color w:val="000000" w:themeColor="text1"/>
                <w:kern w:val="2"/>
                <w:sz w:val="21"/>
                <w:szCs w:val="22"/>
                <w:highlight w:val="none"/>
                <w:lang w:val="en-US" w:eastAsia="zh-CN" w:bidi="ar-SA"/>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所有要素齐全且完全满足项目要求得</w:t>
            </w:r>
            <w: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t>40</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分，每缺一个要素扣</w:t>
            </w:r>
            <w: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t>5</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分，每个要素里每有一处内容缺陷扣</w:t>
            </w:r>
            <w: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t>2</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分（扣完为止）。</w:t>
            </w:r>
          </w:p>
        </w:tc>
      </w:tr>
      <w:tr w14:paraId="736B4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noWrap w:val="0"/>
            <w:vAlign w:val="center"/>
          </w:tcPr>
          <w:p w14:paraId="59661E46">
            <w:pPr>
              <w:keepLines w:val="0"/>
              <w:pageBreakBefore w:val="0"/>
              <w:wordWrap/>
              <w:overflowPunct/>
              <w:topLinePunct w:val="0"/>
              <w:bidi w:val="0"/>
              <w:spacing w:line="360" w:lineRule="auto"/>
              <w:jc w:val="center"/>
              <w:outlineLvl w:val="9"/>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5</w:t>
            </w:r>
          </w:p>
        </w:tc>
        <w:tc>
          <w:tcPr>
            <w:tcW w:w="1200" w:type="dxa"/>
            <w:noWrap w:val="0"/>
            <w:vAlign w:val="center"/>
          </w:tcPr>
          <w:p w14:paraId="25AA1315">
            <w:pPr>
              <w:spacing w:line="360" w:lineRule="auto"/>
              <w:jc w:val="cente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食品安全方案</w:t>
            </w:r>
          </w:p>
        </w:tc>
        <w:tc>
          <w:tcPr>
            <w:tcW w:w="819" w:type="dxa"/>
            <w:noWrap w:val="0"/>
            <w:vAlign w:val="center"/>
          </w:tcPr>
          <w:p w14:paraId="689B719E">
            <w:pPr>
              <w:spacing w:line="360" w:lineRule="auto"/>
              <w:jc w:val="cente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16</w:t>
            </w:r>
          </w:p>
        </w:tc>
        <w:tc>
          <w:tcPr>
            <w:tcW w:w="7244" w:type="dxa"/>
            <w:noWrap w:val="0"/>
            <w:vAlign w:val="center"/>
          </w:tcPr>
          <w:p w14:paraId="103B57F0">
            <w:pPr>
              <w:keepLines w:val="0"/>
              <w:pageBreakBefore w:val="0"/>
              <w:kinsoku/>
              <w:overflowPunct/>
              <w:topLinePunct w:val="0"/>
              <w:bidi w:val="0"/>
              <w:spacing w:beforeAutospacing="0" w:afterAutospacing="0" w:line="360" w:lineRule="auto"/>
              <w:ind w:firstLine="420" w:firstLineChars="200"/>
              <w:jc w:val="left"/>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食品安全方案包括但不限于：</w:t>
            </w:r>
            <w:r>
              <w:rPr>
                <w:rFonts w:hint="eastAsia" w:ascii="仿宋" w:hAnsi="仿宋" w:eastAsia="仿宋" w:cs="仿宋"/>
                <w:color w:val="000000" w:themeColor="text1"/>
                <w:kern w:val="0"/>
                <w:szCs w:val="21"/>
                <w:highlight w:val="none"/>
                <w:lang w:val="en-US" w:eastAsia="zh-CN"/>
                <w14:textFill>
                  <w14:solidFill>
                    <w14:schemeClr w14:val="tx1"/>
                  </w14:solidFill>
                </w14:textFill>
              </w:rPr>
              <w:t>①</w:t>
            </w:r>
            <w:r>
              <w:rPr>
                <w:rFonts w:hint="eastAsia" w:ascii="仿宋" w:hAnsi="仿宋" w:eastAsia="仿宋" w:cs="仿宋"/>
                <w:color w:val="000000" w:themeColor="text1"/>
                <w:kern w:val="0"/>
                <w:szCs w:val="21"/>
                <w:highlight w:val="none"/>
                <w14:textFill>
                  <w14:solidFill>
                    <w14:schemeClr w14:val="tx1"/>
                  </w14:solidFill>
                </w14:textFill>
              </w:rPr>
              <w:t>食品卫生保障措施</w:t>
            </w:r>
            <w:r>
              <w:rPr>
                <w:rFonts w:hint="eastAsia" w:ascii="仿宋" w:hAnsi="仿宋" w:eastAsia="仿宋" w:cs="仿宋"/>
                <w:color w:val="000000" w:themeColor="text1"/>
                <w:kern w:val="0"/>
                <w:szCs w:val="21"/>
                <w:highlight w:val="none"/>
                <w:lang w:eastAsia="zh-CN"/>
                <w14:textFill>
                  <w14:solidFill>
                    <w14:schemeClr w14:val="tx1"/>
                  </w14:solidFill>
                </w14:textFill>
              </w:rPr>
              <w:t>、</w:t>
            </w:r>
            <w:r>
              <w:rPr>
                <w:rFonts w:hint="eastAsia" w:ascii="仿宋" w:hAnsi="仿宋" w:eastAsia="仿宋" w:cs="仿宋"/>
                <w:color w:val="000000" w:themeColor="text1"/>
                <w:kern w:val="0"/>
                <w:szCs w:val="21"/>
                <w:highlight w:val="none"/>
                <w14:textFill>
                  <w14:solidFill>
                    <w14:schemeClr w14:val="tx1"/>
                  </w14:solidFill>
                </w14:textFill>
              </w:rPr>
              <w:t>②人员卫生保障措施</w:t>
            </w:r>
            <w:r>
              <w:rPr>
                <w:rFonts w:hint="eastAsia" w:ascii="仿宋" w:hAnsi="仿宋" w:eastAsia="仿宋" w:cs="仿宋"/>
                <w:color w:val="000000" w:themeColor="text1"/>
                <w:kern w:val="0"/>
                <w:szCs w:val="21"/>
                <w:highlight w:val="none"/>
                <w:lang w:eastAsia="zh-CN"/>
                <w14:textFill>
                  <w14:solidFill>
                    <w14:schemeClr w14:val="tx1"/>
                  </w14:solidFill>
                </w14:textFill>
              </w:rPr>
              <w:t>、</w:t>
            </w:r>
            <w:r>
              <w:rPr>
                <w:rFonts w:hint="eastAsia" w:ascii="仿宋" w:hAnsi="仿宋" w:eastAsia="仿宋" w:cs="仿宋"/>
                <w:color w:val="000000" w:themeColor="text1"/>
                <w:kern w:val="0"/>
                <w:szCs w:val="21"/>
                <w:highlight w:val="none"/>
                <w14:textFill>
                  <w14:solidFill>
                    <w14:schemeClr w14:val="tx1"/>
                  </w14:solidFill>
                </w14:textFill>
              </w:rPr>
              <w:t>③环境卫生保障措施</w:t>
            </w:r>
            <w:r>
              <w:rPr>
                <w:rFonts w:hint="eastAsia" w:ascii="仿宋" w:hAnsi="仿宋" w:eastAsia="仿宋" w:cs="仿宋"/>
                <w:color w:val="000000" w:themeColor="text1"/>
                <w:kern w:val="0"/>
                <w:szCs w:val="21"/>
                <w:highlight w:val="none"/>
                <w:lang w:eastAsia="zh-CN"/>
                <w14:textFill>
                  <w14:solidFill>
                    <w14:schemeClr w14:val="tx1"/>
                  </w14:solidFill>
                </w14:textFill>
              </w:rPr>
              <w:t>、</w:t>
            </w:r>
            <w:r>
              <w:rPr>
                <w:rFonts w:hint="eastAsia" w:ascii="仿宋" w:hAnsi="仿宋" w:eastAsia="仿宋" w:cs="仿宋"/>
                <w:color w:val="000000" w:themeColor="text1"/>
                <w:kern w:val="0"/>
                <w:szCs w:val="21"/>
                <w:highlight w:val="none"/>
                <w14:textFill>
                  <w14:solidFill>
                    <w14:schemeClr w14:val="tx1"/>
                  </w14:solidFill>
                </w14:textFill>
              </w:rPr>
              <w:t>④垃圾处理方案</w:t>
            </w:r>
            <w: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t>；4</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部分要素。</w:t>
            </w:r>
          </w:p>
          <w:p w14:paraId="4BE32ABE">
            <w:pPr>
              <w:spacing w:line="360" w:lineRule="auto"/>
              <w:ind w:firstLine="420" w:firstLineChars="200"/>
              <w:jc w:val="left"/>
              <w:rPr>
                <w:rFonts w:hint="eastAsia" w:ascii="仿宋" w:hAnsi="仿宋" w:eastAsia="仿宋" w:cs="仿宋"/>
                <w:color w:val="000000" w:themeColor="text1"/>
                <w:kern w:val="2"/>
                <w:sz w:val="21"/>
                <w:szCs w:val="22"/>
                <w:highlight w:val="none"/>
                <w:lang w:val="en-US" w:eastAsia="zh-CN" w:bidi="ar-SA"/>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所有要素齐全且完全满足项目要求得</w:t>
            </w:r>
            <w: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t>16</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分，每缺一个要素扣</w:t>
            </w:r>
            <w: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t>4</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分，每个要素里每有一处内容缺陷扣</w:t>
            </w:r>
            <w: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t>2</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分（扣完为止）。</w:t>
            </w:r>
          </w:p>
        </w:tc>
      </w:tr>
      <w:tr w14:paraId="6DA4D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noWrap w:val="0"/>
            <w:vAlign w:val="center"/>
          </w:tcPr>
          <w:p w14:paraId="445A1993">
            <w:pPr>
              <w:keepLines w:val="0"/>
              <w:pageBreakBefore w:val="0"/>
              <w:wordWrap/>
              <w:overflowPunct/>
              <w:topLinePunct w:val="0"/>
              <w:bidi w:val="0"/>
              <w:spacing w:line="360" w:lineRule="auto"/>
              <w:jc w:val="center"/>
              <w:outlineLvl w:val="9"/>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w:t>
            </w:r>
          </w:p>
        </w:tc>
        <w:tc>
          <w:tcPr>
            <w:tcW w:w="1200" w:type="dxa"/>
            <w:noWrap w:val="0"/>
            <w:vAlign w:val="center"/>
          </w:tcPr>
          <w:p w14:paraId="41459A55">
            <w:pPr>
              <w:spacing w:line="360" w:lineRule="auto"/>
              <w:jc w:val="cente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应急预案</w:t>
            </w:r>
          </w:p>
        </w:tc>
        <w:tc>
          <w:tcPr>
            <w:tcW w:w="819" w:type="dxa"/>
            <w:noWrap w:val="0"/>
            <w:vAlign w:val="center"/>
          </w:tcPr>
          <w:p w14:paraId="375DA979">
            <w:pPr>
              <w:spacing w:line="360" w:lineRule="auto"/>
              <w:jc w:val="cente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20</w:t>
            </w:r>
          </w:p>
        </w:tc>
        <w:tc>
          <w:tcPr>
            <w:tcW w:w="7244" w:type="dxa"/>
            <w:noWrap w:val="0"/>
            <w:vAlign w:val="center"/>
          </w:tcPr>
          <w:p w14:paraId="22102246">
            <w:pPr>
              <w:keepLines w:val="0"/>
              <w:pageBreakBefore w:val="0"/>
              <w:kinsoku/>
              <w:overflowPunct/>
              <w:topLinePunct w:val="0"/>
              <w:bidi w:val="0"/>
              <w:spacing w:beforeAutospacing="0" w:afterAutospacing="0" w:line="360" w:lineRule="auto"/>
              <w:ind w:firstLine="420" w:firstLineChars="200"/>
              <w:jc w:val="left"/>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应急预案包括但不限于：①突发断水、断电、停气的应急措施、②消防（火情、水情、漏气、漏电等）的应急措施、③食品安全事件、④流行病、传染病等</w:t>
            </w:r>
            <w: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t>；4</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部分要素。</w:t>
            </w:r>
          </w:p>
          <w:p w14:paraId="6519CFF8">
            <w:pPr>
              <w:spacing w:line="360" w:lineRule="auto"/>
              <w:ind w:firstLine="420" w:firstLineChars="200"/>
              <w:jc w:val="left"/>
              <w:rPr>
                <w:rFonts w:hint="eastAsia" w:ascii="仿宋" w:hAnsi="仿宋" w:eastAsia="仿宋" w:cs="仿宋"/>
                <w:color w:val="000000" w:themeColor="text1"/>
                <w:kern w:val="2"/>
                <w:sz w:val="21"/>
                <w:szCs w:val="22"/>
                <w:highlight w:val="none"/>
                <w:lang w:val="en-US" w:eastAsia="zh-CN" w:bidi="ar-SA"/>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所有要素齐全且完全满足项目要求得</w:t>
            </w:r>
            <w: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t>20</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分，每缺一个要素扣</w:t>
            </w:r>
            <w: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t>5</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分，每个要素里每有一处内容缺陷扣</w:t>
            </w:r>
            <w: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t>2</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分（扣完为止）。</w:t>
            </w:r>
          </w:p>
        </w:tc>
      </w:tr>
      <w:tr w14:paraId="13996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3" w:type="dxa"/>
            <w:gridSpan w:val="2"/>
            <w:noWrap w:val="0"/>
            <w:vAlign w:val="center"/>
          </w:tcPr>
          <w:p w14:paraId="34926C66">
            <w:pPr>
              <w:keepLines w:val="0"/>
              <w:pageBreakBefore w:val="0"/>
              <w:wordWrap/>
              <w:overflowPunct/>
              <w:topLinePunct w:val="0"/>
              <w:bidi w:val="0"/>
              <w:spacing w:line="360" w:lineRule="auto"/>
              <w:jc w:val="center"/>
              <w:outlineLvl w:val="9"/>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合计</w:t>
            </w:r>
          </w:p>
        </w:tc>
        <w:tc>
          <w:tcPr>
            <w:tcW w:w="819" w:type="dxa"/>
            <w:noWrap w:val="0"/>
            <w:vAlign w:val="center"/>
          </w:tcPr>
          <w:p w14:paraId="5B652B87">
            <w:pPr>
              <w:keepLines w:val="0"/>
              <w:pageBreakBefore w:val="0"/>
              <w:wordWrap/>
              <w:overflowPunct/>
              <w:topLinePunct w:val="0"/>
              <w:bidi w:val="0"/>
              <w:spacing w:line="360" w:lineRule="auto"/>
              <w:jc w:val="center"/>
              <w:outlineLvl w:val="9"/>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100</w:t>
            </w:r>
          </w:p>
        </w:tc>
        <w:tc>
          <w:tcPr>
            <w:tcW w:w="7244" w:type="dxa"/>
            <w:noWrap w:val="0"/>
            <w:vAlign w:val="center"/>
          </w:tcPr>
          <w:p w14:paraId="37CA3940">
            <w:pPr>
              <w:keepLines w:val="0"/>
              <w:pageBreakBefore w:val="0"/>
              <w:wordWrap/>
              <w:overflowPunct/>
              <w:topLinePunct w:val="0"/>
              <w:bidi w:val="0"/>
              <w:spacing w:line="360" w:lineRule="auto"/>
              <w:jc w:val="left"/>
              <w:outlineLvl w:val="9"/>
              <w:rPr>
                <w:rFonts w:hint="eastAsia" w:ascii="仿宋" w:hAnsi="仿宋" w:eastAsia="仿宋" w:cs="仿宋"/>
                <w:color w:val="000000" w:themeColor="text1"/>
                <w:kern w:val="0"/>
                <w:sz w:val="21"/>
                <w:szCs w:val="21"/>
                <w:highlight w:val="none"/>
                <w14:textFill>
                  <w14:solidFill>
                    <w14:schemeClr w14:val="tx1"/>
                  </w14:solidFill>
                </w14:textFill>
              </w:rPr>
            </w:pPr>
          </w:p>
        </w:tc>
      </w:tr>
      <w:tr w14:paraId="143F6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6" w:type="dxa"/>
            <w:gridSpan w:val="4"/>
            <w:noWrap w:val="0"/>
            <w:vAlign w:val="center"/>
          </w:tcPr>
          <w:p w14:paraId="5C5D04B8">
            <w:pPr>
              <w:keepLines w:val="0"/>
              <w:pageBreakBefore w:val="0"/>
              <w:wordWrap/>
              <w:overflowPunct/>
              <w:topLinePunct w:val="0"/>
              <w:bidi w:val="0"/>
              <w:spacing w:line="360" w:lineRule="auto"/>
              <w:jc w:val="left"/>
              <w:outlineLvl w:val="9"/>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说明：</w:t>
            </w:r>
            <w:bookmarkStart w:id="283" w:name="_GoBack"/>
            <w:bookmarkEnd w:id="283"/>
            <w:r>
              <w:rPr>
                <w:rFonts w:hint="eastAsia" w:ascii="仿宋" w:hAnsi="仿宋" w:eastAsia="仿宋" w:cs="仿宋"/>
                <w:color w:val="000000" w:themeColor="text1"/>
                <w:kern w:val="0"/>
                <w:szCs w:val="21"/>
                <w:highlight w:val="none"/>
                <w14:textFill>
                  <w14:solidFill>
                    <w14:schemeClr w14:val="tx1"/>
                  </w14:solidFill>
                </w14:textFill>
              </w:rPr>
              <w:t>本评审内容中“内容缺陷”是指：①内容与实际情况不匹配、②不符合项目特点、③内容不完整或缺少关键节点、④未按采购需求针对描述、⑤存在描述内容过于简略、⑥缺失不全、⑦前后矛盾、⑧表述不清晰、⑨凭空编造、⑩逻辑混淆错误、⑪涉及的规范及标准错误不可能实现的情形等任意一种情形。</w:t>
            </w:r>
          </w:p>
        </w:tc>
      </w:tr>
    </w:tbl>
    <w:p w14:paraId="487A8C9B">
      <w:pPr>
        <w:widowControl/>
        <w:jc w:val="left"/>
        <w:rPr>
          <w:rFonts w:hint="eastAsia" w:ascii="仿宋" w:hAnsi="仿宋" w:eastAsia="仿宋" w:cs="仿宋"/>
          <w:color w:val="000000" w:themeColor="text1"/>
          <w:highlight w:val="none"/>
          <w14:textFill>
            <w14:solidFill>
              <w14:schemeClr w14:val="tx1"/>
            </w14:solidFill>
          </w14:textFill>
        </w:rPr>
      </w:pPr>
    </w:p>
    <w:p w14:paraId="43D4F208">
      <w:pPr>
        <w:tabs>
          <w:tab w:val="center" w:pos="4832"/>
          <w:tab w:val="left" w:pos="7140"/>
        </w:tabs>
        <w:spacing w:line="360" w:lineRule="auto"/>
        <w:ind w:firstLine="472" w:firstLineChars="196"/>
        <w:jc w:val="left"/>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41" w:name="_Toc115977387"/>
      <w:bookmarkStart w:id="42" w:name="_Toc25559"/>
      <w:bookmarkStart w:id="43" w:name="_Toc12409"/>
      <w:bookmarkStart w:id="44" w:name="_Toc485312286"/>
      <w:r>
        <w:rPr>
          <w:rFonts w:hint="eastAsia" w:ascii="仿宋" w:hAnsi="仿宋" w:eastAsia="仿宋" w:cs="仿宋"/>
          <w:b/>
          <w:color w:val="000000" w:themeColor="text1"/>
          <w:sz w:val="24"/>
          <w:szCs w:val="24"/>
          <w:highlight w:val="none"/>
          <w:lang w:val="en-US" w:eastAsia="zh-CN"/>
          <w14:textFill>
            <w14:solidFill>
              <w14:schemeClr w14:val="tx1"/>
            </w14:solidFill>
          </w14:textFill>
        </w:rPr>
        <w:t>一、</w:t>
      </w:r>
      <w:r>
        <w:rPr>
          <w:rFonts w:hint="eastAsia" w:ascii="仿宋" w:hAnsi="仿宋" w:eastAsia="仿宋" w:cs="仿宋"/>
          <w:b/>
          <w:color w:val="000000" w:themeColor="text1"/>
          <w:sz w:val="24"/>
          <w:szCs w:val="24"/>
          <w:highlight w:val="none"/>
          <w14:textFill>
            <w14:solidFill>
              <w14:schemeClr w14:val="tx1"/>
            </w14:solidFill>
          </w14:textFill>
        </w:rPr>
        <w:t>评标方法</w:t>
      </w:r>
      <w:bookmarkEnd w:id="41"/>
      <w:bookmarkEnd w:id="42"/>
      <w:bookmarkEnd w:id="43"/>
    </w:p>
    <w:p w14:paraId="13F9552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本次评标采用综合评分法。评标委员会对满足招标文件实质性要求的投标文件，按照本节规定的评审标准进行评审。评标中各评委若发生意见分歧，以少数服从多数原则确定。</w:t>
      </w:r>
    </w:p>
    <w:p w14:paraId="46145B22">
      <w:pPr>
        <w:tabs>
          <w:tab w:val="center" w:pos="4832"/>
          <w:tab w:val="left" w:pos="7140"/>
        </w:tabs>
        <w:spacing w:line="360" w:lineRule="auto"/>
        <w:ind w:firstLine="472" w:firstLineChars="196"/>
        <w:jc w:val="left"/>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45" w:name="_Toc25346"/>
      <w:bookmarkStart w:id="46" w:name="_Toc115977388"/>
      <w:bookmarkStart w:id="47" w:name="_Toc8393"/>
      <w:r>
        <w:rPr>
          <w:rFonts w:hint="eastAsia" w:ascii="仿宋" w:hAnsi="仿宋" w:eastAsia="仿宋" w:cs="仿宋"/>
          <w:b/>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b/>
          <w:color w:val="000000" w:themeColor="text1"/>
          <w:sz w:val="24"/>
          <w:szCs w:val="24"/>
          <w:highlight w:val="none"/>
          <w14:textFill>
            <w14:solidFill>
              <w14:schemeClr w14:val="tx1"/>
            </w14:solidFill>
          </w14:textFill>
        </w:rPr>
        <w:t>评审标准</w:t>
      </w:r>
      <w:bookmarkEnd w:id="45"/>
      <w:bookmarkEnd w:id="46"/>
      <w:bookmarkEnd w:id="47"/>
    </w:p>
    <w:p w14:paraId="4CCA9011">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2.1资格审查：评审因素和评审标准见《资格审查标准》。</w:t>
      </w:r>
    </w:p>
    <w:p w14:paraId="5CA04A4C">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2.2完备性及符合性审查：评审因素和评审标准见《</w:t>
      </w:r>
      <w:r>
        <w:rPr>
          <w:rFonts w:hint="eastAsia" w:ascii="仿宋" w:hAnsi="仿宋" w:eastAsia="仿宋" w:cs="仿宋"/>
          <w:color w:val="000000" w:themeColor="text1"/>
          <w:kern w:val="0"/>
          <w:sz w:val="24"/>
          <w:szCs w:val="24"/>
          <w:highlight w:val="none"/>
          <w:lang w:eastAsia="zh-CN"/>
          <w14:textFill>
            <w14:solidFill>
              <w14:schemeClr w14:val="tx1"/>
            </w14:solidFill>
          </w14:textFill>
        </w:rPr>
        <w:t>符合性审查标准</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30AA604C">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14:textFill>
            <w14:solidFill>
              <w14:schemeClr w14:val="tx1"/>
            </w14:solidFill>
          </w14:textFill>
        </w:rPr>
        <w:t>详细评审：</w:t>
      </w:r>
    </w:p>
    <w:p w14:paraId="386D4434">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14:textFill>
            <w14:solidFill>
              <w14:schemeClr w14:val="tx1"/>
            </w14:solidFill>
          </w14:textFill>
        </w:rPr>
        <w:t>.1详细评审：评审因素和评审标准见《详细评审标准》及本节第3.</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14:textFill>
            <w14:solidFill>
              <w14:schemeClr w14:val="tx1"/>
            </w14:solidFill>
          </w14:textFill>
        </w:rPr>
        <w:t>款。</w:t>
      </w:r>
    </w:p>
    <w:p w14:paraId="6E11F5B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14:textFill>
            <w14:solidFill>
              <w14:schemeClr w14:val="tx1"/>
            </w14:solidFill>
          </w14:textFill>
        </w:rPr>
        <w:t>.2 投标报价评分标准：</w:t>
      </w:r>
    </w:p>
    <w:p w14:paraId="6F290547">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（1）分值构成：见评标办法前附表。</w:t>
      </w:r>
    </w:p>
    <w:p w14:paraId="16D086A4">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（2）评标基准价的确定：见评标办法前附表。</w:t>
      </w:r>
    </w:p>
    <w:p w14:paraId="0B3F32B7">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（3）投标报价得分的计算：见评标办法前附表。</w:t>
      </w:r>
    </w:p>
    <w:p w14:paraId="7573A703">
      <w:pPr>
        <w:tabs>
          <w:tab w:val="center" w:pos="4832"/>
          <w:tab w:val="left" w:pos="7140"/>
        </w:tabs>
        <w:spacing w:line="360" w:lineRule="auto"/>
        <w:ind w:firstLine="472" w:firstLineChars="196"/>
        <w:jc w:val="left"/>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48" w:name="_Toc115977389"/>
      <w:bookmarkStart w:id="49" w:name="_Toc24086"/>
      <w:bookmarkStart w:id="50" w:name="_Toc26473"/>
      <w:r>
        <w:rPr>
          <w:rFonts w:hint="eastAsia" w:ascii="仿宋" w:hAnsi="仿宋" w:eastAsia="仿宋" w:cs="仿宋"/>
          <w:b/>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b/>
          <w:color w:val="000000" w:themeColor="text1"/>
          <w:sz w:val="24"/>
          <w:szCs w:val="24"/>
          <w:highlight w:val="none"/>
          <w14:textFill>
            <w14:solidFill>
              <w14:schemeClr w14:val="tx1"/>
            </w14:solidFill>
          </w14:textFill>
        </w:rPr>
        <w:t>评标程序</w:t>
      </w:r>
      <w:bookmarkEnd w:id="48"/>
      <w:bookmarkEnd w:id="49"/>
      <w:bookmarkEnd w:id="50"/>
    </w:p>
    <w:p w14:paraId="23B1BE88">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3.1 基本程序</w:t>
      </w:r>
    </w:p>
    <w:p w14:paraId="4C700848">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评标活动将按以下步骤进行：</w:t>
      </w:r>
    </w:p>
    <w:p w14:paraId="37E3644E">
      <w:pPr>
        <w:pStyle w:val="201"/>
        <w:widowControl/>
        <w:numPr>
          <w:ilvl w:val="0"/>
          <w:numId w:val="2"/>
        </w:numPr>
        <w:shd w:val="clear" w:color="auto" w:fill="FFFFFF"/>
        <w:snapToGrid w:val="0"/>
        <w:spacing w:line="360" w:lineRule="auto"/>
        <w:ind w:firstLineChars="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评标准备</w:t>
      </w:r>
    </w:p>
    <w:p w14:paraId="345949DA">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 资格审查</w:t>
      </w:r>
    </w:p>
    <w:p w14:paraId="463E830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 完备性及符合性审查</w:t>
      </w:r>
    </w:p>
    <w:p w14:paraId="2CE4F510">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4"/>
          <w:szCs w:val="24"/>
          <w:highlight w:val="none"/>
          <w14:textFill>
            <w14:solidFill>
              <w14:schemeClr w14:val="tx1"/>
            </w14:solidFill>
          </w14:textFill>
        </w:rPr>
        <w:t>） 详细评审</w:t>
      </w:r>
    </w:p>
    <w:p w14:paraId="1303D42C">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14:textFill>
            <w14:solidFill>
              <w14:schemeClr w14:val="tx1"/>
            </w14:solidFill>
          </w14:textFill>
        </w:rPr>
        <w:t>） 澄清、说明或补正</w:t>
      </w:r>
    </w:p>
    <w:p w14:paraId="1DE93524">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6</w:t>
      </w:r>
      <w:r>
        <w:rPr>
          <w:rFonts w:hint="eastAsia" w:ascii="仿宋" w:hAnsi="仿宋" w:eastAsia="仿宋" w:cs="仿宋"/>
          <w:color w:val="000000" w:themeColor="text1"/>
          <w:kern w:val="0"/>
          <w:sz w:val="24"/>
          <w:szCs w:val="24"/>
          <w:highlight w:val="none"/>
          <w14:textFill>
            <w14:solidFill>
              <w14:schemeClr w14:val="tx1"/>
            </w14:solidFill>
          </w14:textFill>
        </w:rPr>
        <w:t>） 推荐中标候选人及提交评标报告</w:t>
      </w:r>
    </w:p>
    <w:p w14:paraId="605A5232">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3.2 评标准备</w:t>
      </w:r>
    </w:p>
    <w:p w14:paraId="24907C7C">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3.2.1评标委员会成员签到</w:t>
      </w:r>
    </w:p>
    <w:p w14:paraId="47E99D54">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评标委员会成员到达评标现场时应当在签到表上签到以证明其出席。</w:t>
      </w:r>
    </w:p>
    <w:p w14:paraId="622A39B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3.2.2 评标委员会的分工</w:t>
      </w:r>
    </w:p>
    <w:p w14:paraId="1C57A93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3.2.2.1评标委员会首先推选一名评标委员会主任。评标委员会主任负责评标活动的组织领导工作。评标委员会主任与评标委员会其它成员具有同等的评标权力。</w:t>
      </w:r>
    </w:p>
    <w:p w14:paraId="638B1D46">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3.2.2.2 评标委员会主任除履行自己作为评标委员会成员独立评标的职责外，主要负责以下工作：</w:t>
      </w:r>
    </w:p>
    <w:p w14:paraId="3271F018">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（1）组织评标委员会成员学习招标文件；</w:t>
      </w:r>
    </w:p>
    <w:p w14:paraId="255ED360">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（2）汇总各评标委员会成员认为需要投标人澄清、说明或者补正的问题；</w:t>
      </w:r>
    </w:p>
    <w:p w14:paraId="306129A7">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（3）组织评标委员会对投标人质询并对投标人的答复进行评审；</w:t>
      </w:r>
    </w:p>
    <w:p w14:paraId="1C2DEF8A">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（4）对出现较大争议的事项进行书面记录；</w:t>
      </w:r>
    </w:p>
    <w:p w14:paraId="1B5033ED">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（5）组织收回评标过程中使用的文件、表格和评标记录以及其它资料，并查验评标记录的完整性及有效性；</w:t>
      </w:r>
    </w:p>
    <w:p w14:paraId="7D02A09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（6）组织对评标结论进行复核确认；</w:t>
      </w:r>
    </w:p>
    <w:p w14:paraId="78DE7742">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（7）组织编写评标报告。</w:t>
      </w:r>
    </w:p>
    <w:p w14:paraId="2C262F6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3.2.3 熟悉文件资料</w:t>
      </w:r>
    </w:p>
    <w:p w14:paraId="4F5C876C">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3.2.3.1 评标委员会主任应当组织评标委员会成员认真研究招标文件，了解和熟悉招标目的、招标范围、</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服务标准和要求</w:t>
      </w:r>
      <w:r>
        <w:rPr>
          <w:rFonts w:hint="eastAsia" w:ascii="仿宋" w:hAnsi="仿宋" w:eastAsia="仿宋" w:cs="仿宋"/>
          <w:color w:val="000000" w:themeColor="text1"/>
          <w:kern w:val="0"/>
          <w:sz w:val="24"/>
          <w:szCs w:val="24"/>
          <w:highlight w:val="none"/>
          <w14:textFill>
            <w14:solidFill>
              <w14:schemeClr w14:val="tx1"/>
            </w14:solidFill>
          </w14:textFill>
        </w:rPr>
        <w:t>，掌握评标标准和方法。</w:t>
      </w:r>
    </w:p>
    <w:p w14:paraId="4D9CE5AA">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3.2.3.2 采购人或采购代理机构应当向评标委员会提供评标所需的信息和数据，包括：</w:t>
      </w:r>
    </w:p>
    <w:p w14:paraId="0E5E4C6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（1）招标文件及其澄清修改等招标文件补充；</w:t>
      </w:r>
    </w:p>
    <w:p w14:paraId="6C06DE7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（2）未在开标会上当场拒绝的各投标文件；</w:t>
      </w:r>
    </w:p>
    <w:p w14:paraId="3FF9612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（3）开标会记录；</w:t>
      </w:r>
    </w:p>
    <w:p w14:paraId="4604CFF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（4）评标表格；</w:t>
      </w:r>
    </w:p>
    <w:p w14:paraId="56F98DCC">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（5）其它信息和数据。</w:t>
      </w:r>
    </w:p>
    <w:p w14:paraId="27AD196E">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3.3资格审查</w:t>
      </w:r>
    </w:p>
    <w:p w14:paraId="1061179C">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采购人依据本章规定的评审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70FC6D5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3.4完备性及符合性审查</w:t>
      </w:r>
    </w:p>
    <w:p w14:paraId="6939733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3.4.1 评标委员依据本章规定的评审因素和评审标准，对投标人的投标文件进行完备性及符合性审查。完备性及符合性审查有一项未通过评审标准，评标委员会将认定整个投标文件不响应招标文件而否决其投标，并且不允许投标人通过修改或撤销其不符合要求的差异或保留，使之成为具有响应性的投标。</w:t>
      </w:r>
    </w:p>
    <w:p w14:paraId="794876E4">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3.4.2 完备性及符合性审查条款是指对本招标项目产生了重大影响的重大偏差，而且纠正此类偏差将会对响应本次招标的其它投标人的竞争地位产生不公正的影响。</w:t>
      </w:r>
    </w:p>
    <w:p w14:paraId="0B72E050">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3.4.3细微偏差是指投标文件在实质上响应招标文件要求，但在个别地方存在疏漏或者提供了不完整的技术信息和数据等情况，并且补正这些遗漏和不完整不会对其它投标人造成不公平的结果。细微偏差不影响投标文件的有效性，评标委员会可要求存在细微偏差的投标人予以补正。</w:t>
      </w:r>
    </w:p>
    <w:p w14:paraId="736DB394">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BC551D">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14:textFill>
            <w14:solidFill>
              <w14:schemeClr w14:val="tx1"/>
            </w14:solidFill>
          </w14:textFill>
        </w:rPr>
        <w:t>详细评审</w:t>
      </w:r>
    </w:p>
    <w:p w14:paraId="57C0475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14:textFill>
            <w14:solidFill>
              <w14:schemeClr w14:val="tx1"/>
            </w14:solidFill>
          </w14:textFill>
        </w:rPr>
        <w:t>.1.只有通过了资格审查、完备性及符合性审查</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的投标人</w:t>
      </w:r>
      <w:r>
        <w:rPr>
          <w:rFonts w:hint="eastAsia" w:ascii="仿宋" w:hAnsi="仿宋" w:eastAsia="仿宋" w:cs="仿宋"/>
          <w:color w:val="000000" w:themeColor="text1"/>
          <w:kern w:val="0"/>
          <w:sz w:val="24"/>
          <w:szCs w:val="24"/>
          <w:highlight w:val="none"/>
          <w14:textFill>
            <w14:solidFill>
              <w14:schemeClr w14:val="tx1"/>
            </w14:solidFill>
          </w14:textFill>
        </w:rPr>
        <w:t>不少于3个方可进入详细评审。</w:t>
      </w:r>
    </w:p>
    <w:p w14:paraId="1AF93E6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3.5</w:t>
      </w:r>
      <w:r>
        <w:rPr>
          <w:rFonts w:hint="eastAsia" w:ascii="仿宋" w:hAnsi="仿宋" w:eastAsia="仿宋" w:cs="仿宋"/>
          <w:color w:val="000000" w:themeColor="text1"/>
          <w:kern w:val="0"/>
          <w:sz w:val="24"/>
          <w:szCs w:val="24"/>
          <w:highlight w:val="none"/>
          <w14:textFill>
            <w14:solidFill>
              <w14:schemeClr w14:val="tx1"/>
            </w14:solidFill>
          </w14:textFill>
        </w:rPr>
        <w:t>.2 澄清、说明和补正</w:t>
      </w:r>
    </w:p>
    <w:p w14:paraId="7E8094F0">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3.5</w:t>
      </w:r>
      <w:r>
        <w:rPr>
          <w:rFonts w:hint="eastAsia" w:ascii="仿宋" w:hAnsi="仿宋" w:eastAsia="仿宋" w:cs="仿宋"/>
          <w:color w:val="000000" w:themeColor="text1"/>
          <w:kern w:val="0"/>
          <w:sz w:val="24"/>
          <w:szCs w:val="24"/>
          <w:highlight w:val="none"/>
          <w14:textFill>
            <w14:solidFill>
              <w14:schemeClr w14:val="tx1"/>
            </w14:solidFill>
          </w14:textFill>
        </w:rPr>
        <w:t>.2.1在不改变投标人投标文件实质性内容的前提下，评标委员会应当对投标文件进行基础性数据分析和整理，从而发现并提取其中可能存在的对招标范围理解的偏差、技术响应偏离、投标价格的算术性错误、错漏项、投标价格构成不合理、不平衡报价等存在明显异常的问题。</w:t>
      </w:r>
    </w:p>
    <w:p w14:paraId="7E00B13B">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3.5</w:t>
      </w:r>
      <w:r>
        <w:rPr>
          <w:rFonts w:hint="eastAsia" w:ascii="仿宋" w:hAnsi="仿宋" w:eastAsia="仿宋" w:cs="仿宋"/>
          <w:color w:val="000000" w:themeColor="text1"/>
          <w:kern w:val="0"/>
          <w:sz w:val="24"/>
          <w:szCs w:val="24"/>
          <w:highlight w:val="none"/>
          <w14:textFill>
            <w14:solidFill>
              <w14:schemeClr w14:val="tx1"/>
            </w14:solidFill>
          </w14:textFill>
        </w:rPr>
        <w:t>.2.2澄清、说明和补正内容不得改变投标文件的实质性内容（算术性错误修正的除外）。投标人的书面澄清、说明和补正属于投标文件的组成部分。</w:t>
      </w:r>
    </w:p>
    <w:p w14:paraId="292310AD">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3.5</w:t>
      </w:r>
      <w:r>
        <w:rPr>
          <w:rFonts w:hint="eastAsia" w:ascii="仿宋" w:hAnsi="仿宋" w:eastAsia="仿宋" w:cs="仿宋"/>
          <w:color w:val="000000" w:themeColor="text1"/>
          <w:kern w:val="0"/>
          <w:sz w:val="24"/>
          <w:szCs w:val="24"/>
          <w:highlight w:val="none"/>
          <w14:textFill>
            <w14:solidFill>
              <w14:schemeClr w14:val="tx1"/>
            </w14:solidFill>
          </w14:textFill>
        </w:rPr>
        <w:t>.2.3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提供书面澄清资料，并在规定的时间递交到指定地点。评标委员会不接受投标人主动提出的澄清、说明或补正。</w:t>
      </w:r>
    </w:p>
    <w:p w14:paraId="7E873731">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3.5</w:t>
      </w:r>
      <w:r>
        <w:rPr>
          <w:rFonts w:hint="eastAsia" w:ascii="仿宋" w:hAnsi="仿宋" w:eastAsia="仿宋" w:cs="仿宋"/>
          <w:color w:val="000000" w:themeColor="text1"/>
          <w:kern w:val="0"/>
          <w:sz w:val="24"/>
          <w:szCs w:val="24"/>
          <w:highlight w:val="none"/>
          <w14:textFill>
            <w14:solidFill>
              <w14:schemeClr w14:val="tx1"/>
            </w14:solidFill>
          </w14:textFill>
        </w:rPr>
        <w:t>.2.4评标委员会对投标人提交的澄清、说明或补正有疑问的，可以要求投标人进一步澄清、说明或补正，直至满足评标委员会的要求。</w:t>
      </w:r>
    </w:p>
    <w:p w14:paraId="3492EEDA">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3.5</w:t>
      </w:r>
      <w:r>
        <w:rPr>
          <w:rFonts w:hint="eastAsia" w:ascii="仿宋" w:hAnsi="仿宋" w:eastAsia="仿宋" w:cs="仿宋"/>
          <w:color w:val="000000" w:themeColor="text1"/>
          <w:kern w:val="0"/>
          <w:sz w:val="24"/>
          <w:szCs w:val="24"/>
          <w:highlight w:val="none"/>
          <w14:textFill>
            <w14:solidFill>
              <w14:schemeClr w14:val="tx1"/>
            </w14:solidFill>
          </w14:textFill>
        </w:rPr>
        <w:t>.3评委评分：评委按照《详细评审标准》评分，投标人详细评审得分等于全部评委评分的算术平均值。</w:t>
      </w:r>
    </w:p>
    <w:p w14:paraId="4B282E76">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3.5</w:t>
      </w:r>
      <w:r>
        <w:rPr>
          <w:rFonts w:hint="eastAsia" w:ascii="仿宋" w:hAnsi="仿宋" w:eastAsia="仿宋" w:cs="仿宋"/>
          <w:color w:val="000000" w:themeColor="text1"/>
          <w:kern w:val="0"/>
          <w:sz w:val="24"/>
          <w:szCs w:val="24"/>
          <w:highlight w:val="none"/>
          <w14:textFill>
            <w14:solidFill>
              <w14:schemeClr w14:val="tx1"/>
            </w14:solidFill>
          </w14:textFill>
        </w:rPr>
        <w:t>.4 算术错误修正：投标价格有算术错误或前后不一致的，评标委员会按以下原则对投标价格进行修正：</w:t>
      </w:r>
    </w:p>
    <w:p w14:paraId="3E4ABC60">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电子交易平台中报价与</w:t>
      </w:r>
      <w:r>
        <w:rPr>
          <w:rFonts w:hint="eastAsia" w:ascii="仿宋" w:hAnsi="仿宋" w:eastAsia="仿宋" w:cs="仿宋"/>
          <w:color w:val="000000" w:themeColor="text1"/>
          <w:kern w:val="0"/>
          <w:sz w:val="24"/>
          <w:szCs w:val="24"/>
          <w:highlight w:val="none"/>
          <w14:textFill>
            <w14:solidFill>
              <w14:schemeClr w14:val="tx1"/>
            </w14:solidFill>
          </w14:textFill>
        </w:rPr>
        <w:t>投标文件相应内容不一致的，以投标文件为准；</w:t>
      </w:r>
    </w:p>
    <w:p w14:paraId="0E654EC2">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w:t>
      </w:r>
      <w:r>
        <w:rPr>
          <w:rFonts w:hint="eastAsia" w:ascii="仿宋" w:hAnsi="仿宋" w:eastAsia="仿宋" w:cs="仿宋"/>
          <w:color w:val="000000" w:themeColor="text1"/>
          <w:kern w:val="0"/>
          <w:sz w:val="24"/>
          <w:szCs w:val="24"/>
          <w:highlight w:val="none"/>
          <w:lang w:eastAsia="zh-CN"/>
          <w14:textFill>
            <w14:solidFill>
              <w14:schemeClr w14:val="tx1"/>
            </w14:solidFill>
          </w14:textFill>
        </w:rPr>
        <w:t>开标一览表</w:t>
      </w:r>
      <w:r>
        <w:rPr>
          <w:rFonts w:hint="eastAsia" w:ascii="仿宋" w:hAnsi="仿宋" w:eastAsia="仿宋" w:cs="仿宋"/>
          <w:color w:val="000000" w:themeColor="text1"/>
          <w:kern w:val="0"/>
          <w:sz w:val="24"/>
          <w:szCs w:val="24"/>
          <w:highlight w:val="none"/>
          <w14:textFill>
            <w14:solidFill>
              <w14:schemeClr w14:val="tx1"/>
            </w14:solidFill>
          </w14:textFill>
        </w:rPr>
        <w:t>与投标文件中相应内容不一致的，以</w:t>
      </w:r>
      <w:r>
        <w:rPr>
          <w:rFonts w:hint="eastAsia" w:ascii="仿宋" w:hAnsi="仿宋" w:eastAsia="仿宋" w:cs="仿宋"/>
          <w:color w:val="000000" w:themeColor="text1"/>
          <w:kern w:val="0"/>
          <w:sz w:val="24"/>
          <w:szCs w:val="24"/>
          <w:highlight w:val="none"/>
          <w:lang w:eastAsia="zh-CN"/>
          <w14:textFill>
            <w14:solidFill>
              <w14:schemeClr w14:val="tx1"/>
            </w14:solidFill>
          </w14:textFill>
        </w:rPr>
        <w:t>开标一览表</w:t>
      </w:r>
      <w:r>
        <w:rPr>
          <w:rFonts w:hint="eastAsia" w:ascii="仿宋" w:hAnsi="仿宋" w:eastAsia="仿宋" w:cs="仿宋"/>
          <w:color w:val="000000" w:themeColor="text1"/>
          <w:kern w:val="0"/>
          <w:sz w:val="24"/>
          <w:szCs w:val="24"/>
          <w:highlight w:val="none"/>
          <w14:textFill>
            <w14:solidFill>
              <w14:schemeClr w14:val="tx1"/>
            </w14:solidFill>
          </w14:textFill>
        </w:rPr>
        <w:t>为准；</w:t>
      </w:r>
    </w:p>
    <w:p w14:paraId="3C78C8E1">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（3）大写金额和小写金额不一致的，以大写金额为准；</w:t>
      </w:r>
    </w:p>
    <w:p w14:paraId="400E89B8">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4"/>
          <w:szCs w:val="24"/>
          <w:highlight w:val="none"/>
          <w14:textFill>
            <w14:solidFill>
              <w14:schemeClr w14:val="tx1"/>
            </w14:solidFill>
          </w14:textFill>
        </w:rPr>
        <w:t>）单价金额小数点或者百分比有明显错位的，以</w:t>
      </w:r>
      <w:r>
        <w:rPr>
          <w:rFonts w:hint="eastAsia" w:ascii="仿宋" w:hAnsi="仿宋" w:eastAsia="仿宋" w:cs="仿宋"/>
          <w:color w:val="000000" w:themeColor="text1"/>
          <w:kern w:val="0"/>
          <w:sz w:val="24"/>
          <w:szCs w:val="24"/>
          <w:highlight w:val="none"/>
          <w:lang w:eastAsia="zh-CN"/>
          <w14:textFill>
            <w14:solidFill>
              <w14:schemeClr w14:val="tx1"/>
            </w14:solidFill>
          </w14:textFill>
        </w:rPr>
        <w:t>开标一览表</w:t>
      </w:r>
      <w:r>
        <w:rPr>
          <w:rFonts w:hint="eastAsia" w:ascii="仿宋" w:hAnsi="仿宋" w:eastAsia="仿宋" w:cs="仿宋"/>
          <w:color w:val="000000" w:themeColor="text1"/>
          <w:kern w:val="0"/>
          <w:sz w:val="24"/>
          <w:szCs w:val="24"/>
          <w:highlight w:val="none"/>
          <w14:textFill>
            <w14:solidFill>
              <w14:schemeClr w14:val="tx1"/>
            </w14:solidFill>
          </w14:textFill>
        </w:rPr>
        <w:t>的总价为准，并修改单价；</w:t>
      </w:r>
    </w:p>
    <w:p w14:paraId="497639E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14:textFill>
            <w14:solidFill>
              <w14:schemeClr w14:val="tx1"/>
            </w14:solidFill>
          </w14:textFill>
        </w:rPr>
        <w:t>）总价金额与按单价汇总金额不一致的，以单价金额计算结果为准。</w:t>
      </w:r>
    </w:p>
    <w:p w14:paraId="74F7A577">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修正后的报价经投标人确认后产生约束力，投标人不确认或不接受的，其投标无效。</w:t>
      </w:r>
    </w:p>
    <w:p w14:paraId="07A7769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3.5</w:t>
      </w:r>
      <w:r>
        <w:rPr>
          <w:rFonts w:hint="eastAsia" w:ascii="仿宋" w:hAnsi="仿宋" w:eastAsia="仿宋" w:cs="仿宋"/>
          <w:color w:val="000000" w:themeColor="text1"/>
          <w:kern w:val="0"/>
          <w:sz w:val="24"/>
          <w:szCs w:val="24"/>
          <w:highlight w:val="none"/>
          <w14:textFill>
            <w14:solidFill>
              <w14:schemeClr w14:val="tx1"/>
            </w14:solidFill>
          </w14:textFill>
        </w:rPr>
        <w:t>.5投标报价评分：对投标报价进行投标报价得分计算，计算方法详见评标办法前附表。</w:t>
      </w:r>
    </w:p>
    <w:p w14:paraId="33A7832B">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3.5</w:t>
      </w:r>
      <w:r>
        <w:rPr>
          <w:rFonts w:hint="eastAsia" w:ascii="仿宋" w:hAnsi="仿宋" w:eastAsia="仿宋" w:cs="仿宋"/>
          <w:color w:val="000000" w:themeColor="text1"/>
          <w:kern w:val="0"/>
          <w:sz w:val="24"/>
          <w:szCs w:val="24"/>
          <w:highlight w:val="none"/>
          <w14:textFill>
            <w14:solidFill>
              <w14:schemeClr w14:val="tx1"/>
            </w14:solidFill>
          </w14:textFill>
        </w:rPr>
        <w:t>.6汇总评分结果，评分分值计算保留小数点后两位，小数点后第三位“四舍五入”。</w:t>
      </w:r>
    </w:p>
    <w:p w14:paraId="343BF632">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3.5</w:t>
      </w:r>
      <w:r>
        <w:rPr>
          <w:rFonts w:hint="eastAsia" w:ascii="仿宋" w:hAnsi="仿宋" w:eastAsia="仿宋" w:cs="仿宋"/>
          <w:color w:val="000000" w:themeColor="text1"/>
          <w:kern w:val="0"/>
          <w:sz w:val="24"/>
          <w:szCs w:val="24"/>
          <w:highlight w:val="none"/>
          <w14:textFill>
            <w14:solidFill>
              <w14:schemeClr w14:val="tx1"/>
            </w14:solidFill>
          </w14:textFill>
        </w:rPr>
        <w:t>.7详细评审工作全部结束后，投标人总得分排序按照以下原则进行。</w:t>
      </w:r>
    </w:p>
    <w:p w14:paraId="07A0C08D">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14:textFill>
            <w14:solidFill>
              <w14:schemeClr w14:val="tx1"/>
            </w14:solidFill>
          </w14:textFill>
        </w:rPr>
        <w:t>.7.1按照总得分由高到低顺序对投标人进行排序；</w:t>
      </w:r>
    </w:p>
    <w:p w14:paraId="2D2D573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14:textFill>
            <w14:solidFill>
              <w14:schemeClr w14:val="tx1"/>
            </w14:solidFill>
          </w14:textFill>
        </w:rPr>
        <w:t>.7.2总得分相同时报价低的投标人排序靠前；</w:t>
      </w:r>
    </w:p>
    <w:p w14:paraId="4460728C">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14:textFill>
            <w14:solidFill>
              <w14:schemeClr w14:val="tx1"/>
            </w14:solidFill>
          </w14:textFill>
        </w:rPr>
        <w:t>.7.3总得分相同且报价相同的投标人，由采购人确定排序顺序；</w:t>
      </w:r>
    </w:p>
    <w:p w14:paraId="3EF93681">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6</w:t>
      </w:r>
      <w:r>
        <w:rPr>
          <w:rFonts w:hint="eastAsia" w:ascii="仿宋" w:hAnsi="仿宋" w:eastAsia="仿宋" w:cs="仿宋"/>
          <w:color w:val="000000" w:themeColor="text1"/>
          <w:kern w:val="0"/>
          <w:sz w:val="24"/>
          <w:szCs w:val="24"/>
          <w:highlight w:val="none"/>
          <w14:textFill>
            <w14:solidFill>
              <w14:schemeClr w14:val="tx1"/>
            </w14:solidFill>
          </w14:textFill>
        </w:rPr>
        <w:t>推荐中标候选人及提交评标报告</w:t>
      </w:r>
    </w:p>
    <w:p w14:paraId="7FE2BC1C">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6</w:t>
      </w:r>
      <w:r>
        <w:rPr>
          <w:rFonts w:hint="eastAsia" w:ascii="仿宋" w:hAnsi="仿宋" w:eastAsia="仿宋" w:cs="仿宋"/>
          <w:color w:val="000000" w:themeColor="text1"/>
          <w:kern w:val="0"/>
          <w:sz w:val="24"/>
          <w:szCs w:val="24"/>
          <w:highlight w:val="none"/>
          <w14:textFill>
            <w14:solidFill>
              <w14:schemeClr w14:val="tx1"/>
            </w14:solidFill>
          </w14:textFill>
        </w:rPr>
        <w:t>.1评标委员会推荐中标候选人，总得分排序第一的投标人将被确定为第一中标候选人，以此类推确定出规定数量的的中标候选人。</w:t>
      </w:r>
    </w:p>
    <w:p w14:paraId="43B32744">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6</w:t>
      </w:r>
      <w:r>
        <w:rPr>
          <w:rFonts w:hint="eastAsia" w:ascii="仿宋" w:hAnsi="仿宋" w:eastAsia="仿宋" w:cs="仿宋"/>
          <w:color w:val="000000" w:themeColor="text1"/>
          <w:kern w:val="0"/>
          <w:sz w:val="24"/>
          <w:szCs w:val="24"/>
          <w:highlight w:val="none"/>
          <w14:textFill>
            <w14:solidFill>
              <w14:schemeClr w14:val="tx1"/>
            </w14:solidFill>
          </w14:textFill>
        </w:rPr>
        <w:t>.2当通过了资格审查、完备性及符合性审查后，投标</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人</w:t>
      </w:r>
      <w:r>
        <w:rPr>
          <w:rFonts w:hint="eastAsia" w:ascii="仿宋" w:hAnsi="仿宋" w:eastAsia="仿宋" w:cs="仿宋"/>
          <w:color w:val="000000" w:themeColor="text1"/>
          <w:kern w:val="0"/>
          <w:sz w:val="24"/>
          <w:szCs w:val="24"/>
          <w:highlight w:val="none"/>
          <w14:textFill>
            <w14:solidFill>
              <w14:schemeClr w14:val="tx1"/>
            </w14:solidFill>
          </w14:textFill>
        </w:rPr>
        <w:t>少于3个时，采购人应当依法重新招标。</w:t>
      </w:r>
    </w:p>
    <w:p w14:paraId="7E5BDD0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6</w:t>
      </w:r>
      <w:r>
        <w:rPr>
          <w:rFonts w:hint="eastAsia" w:ascii="仿宋" w:hAnsi="仿宋" w:eastAsia="仿宋" w:cs="仿宋"/>
          <w:color w:val="000000" w:themeColor="text1"/>
          <w:kern w:val="0"/>
          <w:sz w:val="24"/>
          <w:szCs w:val="24"/>
          <w:highlight w:val="none"/>
          <w14:textFill>
            <w14:solidFill>
              <w14:schemeClr w14:val="tx1"/>
            </w14:solidFill>
          </w14:textFill>
        </w:rPr>
        <w:t>.3 评标委员会完成评标后，应当向采购人提交书面评标报告。</w:t>
      </w:r>
    </w:p>
    <w:p w14:paraId="18F9347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7</w:t>
      </w:r>
      <w:r>
        <w:rPr>
          <w:rFonts w:hint="eastAsia" w:ascii="仿宋" w:hAnsi="仿宋" w:eastAsia="仿宋" w:cs="仿宋"/>
          <w:color w:val="000000" w:themeColor="text1"/>
          <w:kern w:val="0"/>
          <w:sz w:val="24"/>
          <w:szCs w:val="24"/>
          <w:highlight w:val="none"/>
          <w14:textFill>
            <w14:solidFill>
              <w14:schemeClr w14:val="tx1"/>
            </w14:solidFill>
          </w14:textFill>
        </w:rPr>
        <w:t>特殊情况的处置程序</w:t>
      </w:r>
    </w:p>
    <w:p w14:paraId="3EE5587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7</w:t>
      </w:r>
      <w:r>
        <w:rPr>
          <w:rFonts w:hint="eastAsia" w:ascii="仿宋" w:hAnsi="仿宋" w:eastAsia="仿宋" w:cs="仿宋"/>
          <w:color w:val="000000" w:themeColor="text1"/>
          <w:kern w:val="0"/>
          <w:sz w:val="24"/>
          <w:szCs w:val="24"/>
          <w:highlight w:val="none"/>
          <w14:textFill>
            <w14:solidFill>
              <w14:schemeClr w14:val="tx1"/>
            </w14:solidFill>
          </w14:textFill>
        </w:rPr>
        <w:t>.1 关于评标活动暂停</w:t>
      </w:r>
    </w:p>
    <w:p w14:paraId="4D6C8FB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14:paraId="74508CF8">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7</w:t>
      </w:r>
      <w:r>
        <w:rPr>
          <w:rFonts w:hint="eastAsia" w:ascii="仿宋" w:hAnsi="仿宋" w:eastAsia="仿宋" w:cs="仿宋"/>
          <w:color w:val="000000" w:themeColor="text1"/>
          <w:kern w:val="0"/>
          <w:sz w:val="24"/>
          <w:szCs w:val="24"/>
          <w:highlight w:val="none"/>
          <w14:textFill>
            <w14:solidFill>
              <w14:schemeClr w14:val="tx1"/>
            </w14:solidFill>
          </w14:textFill>
        </w:rPr>
        <w:t>.2关于评标中途更换评委</w:t>
      </w:r>
    </w:p>
    <w:p w14:paraId="6AE2263E">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7</w:t>
      </w:r>
      <w:r>
        <w:rPr>
          <w:rFonts w:hint="eastAsia" w:ascii="仿宋" w:hAnsi="仿宋" w:eastAsia="仿宋" w:cs="仿宋"/>
          <w:color w:val="000000" w:themeColor="text1"/>
          <w:kern w:val="0"/>
          <w:sz w:val="24"/>
          <w:szCs w:val="24"/>
          <w:highlight w:val="none"/>
          <w14:textFill>
            <w14:solidFill>
              <w14:schemeClr w14:val="tx1"/>
            </w14:solidFill>
          </w14:textFill>
        </w:rPr>
        <w:t>.2.1 除非发生下列情况之一，评标委员会成员不得在评标中途更换：</w:t>
      </w:r>
    </w:p>
    <w:p w14:paraId="2A18A0E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（1）因不可抗拒的客观原因，不能到场或需在评标中途退出评标活动。</w:t>
      </w:r>
    </w:p>
    <w:p w14:paraId="55D8EF2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（2）根据法律法规规定，某个或某几个评标委员会成员需要回避。</w:t>
      </w:r>
    </w:p>
    <w:p w14:paraId="67A64FE4">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7</w:t>
      </w:r>
      <w:r>
        <w:rPr>
          <w:rFonts w:hint="eastAsia" w:ascii="仿宋" w:hAnsi="仿宋" w:eastAsia="仿宋" w:cs="仿宋"/>
          <w:color w:val="000000" w:themeColor="text1"/>
          <w:kern w:val="0"/>
          <w:sz w:val="24"/>
          <w:szCs w:val="24"/>
          <w:highlight w:val="none"/>
          <w14:textFill>
            <w14:solidFill>
              <w14:schemeClr w14:val="tx1"/>
            </w14:solidFill>
          </w14:textFill>
        </w:rPr>
        <w:t>.2.2 退出评标的评标委员会成员，其已完成的评标行为无效，由更换的评委进行评标。</w:t>
      </w:r>
    </w:p>
    <w:p w14:paraId="285A0F0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7</w:t>
      </w:r>
      <w:r>
        <w:rPr>
          <w:rFonts w:hint="eastAsia" w:ascii="仿宋" w:hAnsi="仿宋" w:eastAsia="仿宋" w:cs="仿宋"/>
          <w:color w:val="000000" w:themeColor="text1"/>
          <w:kern w:val="0"/>
          <w:sz w:val="24"/>
          <w:szCs w:val="24"/>
          <w:highlight w:val="none"/>
          <w14:textFill>
            <w14:solidFill>
              <w14:schemeClr w14:val="tx1"/>
            </w14:solidFill>
          </w14:textFill>
        </w:rPr>
        <w:t>.3 在评标环节中，需评标委员会就某项定性的评审结论做出表决的，由评标委员会全体成员按照少数服从多数的原则确定。</w:t>
      </w:r>
    </w:p>
    <w:bookmarkEnd w:id="44"/>
    <w:p w14:paraId="4109DD7D">
      <w:pP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br w:type="page"/>
      </w:r>
    </w:p>
    <w:p w14:paraId="1902AA74">
      <w:pPr>
        <w:spacing w:line="440" w:lineRule="exact"/>
        <w:jc w:val="center"/>
        <w:outlineLvl w:val="0"/>
        <w:rPr>
          <w:rFonts w:hint="eastAsia" w:ascii="仿宋" w:hAnsi="仿宋" w:eastAsia="仿宋" w:cs="仿宋"/>
          <w:b/>
          <w:color w:val="000000" w:themeColor="text1"/>
          <w:sz w:val="24"/>
          <w:szCs w:val="24"/>
          <w:highlight w:val="none"/>
          <w:lang w:val="en-US" w:eastAsia="zh-CN"/>
          <w14:textFill>
            <w14:solidFill>
              <w14:schemeClr w14:val="tx1"/>
            </w14:solidFill>
          </w14:textFill>
        </w:rPr>
      </w:pPr>
      <w:bookmarkStart w:id="51" w:name="_Toc19116"/>
      <w:r>
        <w:rPr>
          <w:rFonts w:hint="eastAsia" w:ascii="仿宋" w:hAnsi="仿宋" w:eastAsia="仿宋" w:cs="仿宋"/>
          <w:b/>
          <w:color w:val="000000" w:themeColor="text1"/>
          <w:sz w:val="24"/>
          <w:szCs w:val="24"/>
          <w:highlight w:val="none"/>
          <w14:textFill>
            <w14:solidFill>
              <w14:schemeClr w14:val="tx1"/>
            </w14:solidFill>
          </w14:textFill>
        </w:rPr>
        <w:t>第三章 合同</w:t>
      </w:r>
      <w:r>
        <w:rPr>
          <w:rFonts w:hint="eastAsia" w:ascii="仿宋" w:hAnsi="仿宋" w:eastAsia="仿宋" w:cs="仿宋"/>
          <w:b/>
          <w:color w:val="000000" w:themeColor="text1"/>
          <w:sz w:val="24"/>
          <w:szCs w:val="24"/>
          <w:highlight w:val="none"/>
          <w:lang w:val="en-US" w:eastAsia="zh-CN"/>
          <w14:textFill>
            <w14:solidFill>
              <w14:schemeClr w14:val="tx1"/>
            </w14:solidFill>
          </w14:textFill>
        </w:rPr>
        <w:t>文本</w:t>
      </w:r>
      <w:bookmarkEnd w:id="51"/>
    </w:p>
    <w:p w14:paraId="67F0628B">
      <w:pPr>
        <w:rPr>
          <w:rFonts w:hint="eastAsia" w:ascii="仿宋" w:hAnsi="仿宋" w:eastAsia="仿宋" w:cs="仿宋"/>
          <w:color w:val="000000" w:themeColor="text1"/>
          <w:highlight w:val="none"/>
          <w14:textFill>
            <w14:solidFill>
              <w14:schemeClr w14:val="tx1"/>
            </w14:solidFill>
          </w14:textFill>
        </w:rPr>
      </w:pPr>
    </w:p>
    <w:p w14:paraId="7079FBE6">
      <w:pPr>
        <w:pStyle w:val="18"/>
        <w:keepLines w:val="0"/>
        <w:pageBreakBefore w:val="0"/>
        <w:widowControl w:val="0"/>
        <w:numPr>
          <w:ilvl w:val="0"/>
          <w:numId w:val="0"/>
        </w:numPr>
        <w:wordWrap/>
        <w:overflowPunct/>
        <w:topLinePunct w:val="0"/>
        <w:bidi w:val="0"/>
        <w:spacing w:line="360" w:lineRule="auto"/>
        <w:jc w:val="center"/>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注：本合同文本供参考，具体内容以实际签订为准。</w:t>
      </w:r>
    </w:p>
    <w:p w14:paraId="7E8AB23C">
      <w:pPr>
        <w:outlineLvl w:val="9"/>
        <w:rPr>
          <w:rFonts w:hint="eastAsia" w:ascii="仿宋" w:hAnsi="仿宋" w:eastAsia="仿宋" w:cs="仿宋"/>
          <w:color w:val="000000" w:themeColor="text1"/>
          <w:highlight w:val="none"/>
          <w14:textFill>
            <w14:solidFill>
              <w14:schemeClr w14:val="tx1"/>
            </w14:solidFill>
          </w14:textFill>
        </w:rPr>
      </w:pPr>
    </w:p>
    <w:p w14:paraId="28093574">
      <w:pPr>
        <w:pStyle w:val="215"/>
        <w:keepLines w:val="0"/>
        <w:pageBreakBefore w:val="0"/>
        <w:kinsoku/>
        <w:wordWrap/>
        <w:overflowPunct/>
        <w:topLinePunct w:val="0"/>
        <w:autoSpaceDE/>
        <w:autoSpaceDN/>
        <w:bidi w:val="0"/>
        <w:snapToGrid/>
        <w:spacing w:line="360" w:lineRule="auto"/>
        <w:ind w:firstLine="0" w:firstLineChars="0"/>
        <w:jc w:val="center"/>
        <w:textAlignment w:val="auto"/>
        <w:outlineLvl w:val="9"/>
        <w:rPr>
          <w:rFonts w:hint="eastAsia" w:ascii="仿宋" w:hAnsi="仿宋" w:eastAsia="仿宋" w:cs="仿宋"/>
          <w:b w:val="0"/>
          <w:bCs w:val="0"/>
          <w:color w:val="000000" w:themeColor="text1"/>
          <w:sz w:val="52"/>
          <w:szCs w:val="52"/>
          <w:highlight w:val="none"/>
          <w:lang w:eastAsia="zh-CN"/>
          <w14:textFill>
            <w14:solidFill>
              <w14:schemeClr w14:val="tx1"/>
            </w14:solidFill>
          </w14:textFill>
        </w:rPr>
      </w:pPr>
    </w:p>
    <w:p w14:paraId="2552EE67">
      <w:pPr>
        <w:pStyle w:val="215"/>
        <w:keepLines w:val="0"/>
        <w:pageBreakBefore w:val="0"/>
        <w:kinsoku/>
        <w:wordWrap/>
        <w:overflowPunct/>
        <w:topLinePunct w:val="0"/>
        <w:autoSpaceDE/>
        <w:autoSpaceDN/>
        <w:bidi w:val="0"/>
        <w:snapToGrid/>
        <w:spacing w:line="360" w:lineRule="auto"/>
        <w:ind w:firstLine="0" w:firstLineChars="0"/>
        <w:jc w:val="center"/>
        <w:textAlignment w:val="auto"/>
        <w:outlineLvl w:val="9"/>
        <w:rPr>
          <w:rFonts w:hint="eastAsia" w:ascii="仿宋" w:hAnsi="仿宋" w:eastAsia="仿宋" w:cs="仿宋"/>
          <w:b w:val="0"/>
          <w:bCs w:val="0"/>
          <w:color w:val="000000" w:themeColor="text1"/>
          <w:sz w:val="52"/>
          <w:szCs w:val="52"/>
          <w:highlight w:val="none"/>
          <w:lang w:eastAsia="zh-CN"/>
          <w14:textFill>
            <w14:solidFill>
              <w14:schemeClr w14:val="tx1"/>
            </w14:solidFill>
          </w14:textFill>
        </w:rPr>
      </w:pPr>
    </w:p>
    <w:p w14:paraId="2C6D5AD1">
      <w:pPr>
        <w:pStyle w:val="215"/>
        <w:keepLines w:val="0"/>
        <w:pageBreakBefore w:val="0"/>
        <w:kinsoku/>
        <w:wordWrap/>
        <w:overflowPunct/>
        <w:topLinePunct w:val="0"/>
        <w:autoSpaceDE/>
        <w:autoSpaceDN/>
        <w:bidi w:val="0"/>
        <w:snapToGrid/>
        <w:spacing w:line="360" w:lineRule="auto"/>
        <w:ind w:firstLine="0" w:firstLineChars="0"/>
        <w:jc w:val="center"/>
        <w:textAlignment w:val="auto"/>
        <w:outlineLvl w:val="9"/>
        <w:rPr>
          <w:rFonts w:hint="eastAsia" w:ascii="仿宋" w:hAnsi="仿宋" w:eastAsia="仿宋" w:cs="仿宋"/>
          <w:b w:val="0"/>
          <w:bCs w:val="0"/>
          <w:color w:val="000000" w:themeColor="text1"/>
          <w:sz w:val="52"/>
          <w:szCs w:val="52"/>
          <w:highlight w:val="none"/>
          <w:lang w:eastAsia="zh-CN"/>
          <w14:textFill>
            <w14:solidFill>
              <w14:schemeClr w14:val="tx1"/>
            </w14:solidFill>
          </w14:textFill>
        </w:rPr>
      </w:pPr>
    </w:p>
    <w:p w14:paraId="6D8096D4">
      <w:pPr>
        <w:pStyle w:val="215"/>
        <w:keepLines w:val="0"/>
        <w:pageBreakBefore w:val="0"/>
        <w:kinsoku/>
        <w:wordWrap/>
        <w:overflowPunct/>
        <w:topLinePunct w:val="0"/>
        <w:autoSpaceDE/>
        <w:autoSpaceDN/>
        <w:bidi w:val="0"/>
        <w:snapToGrid/>
        <w:spacing w:line="360" w:lineRule="auto"/>
        <w:ind w:firstLine="0" w:firstLineChars="0"/>
        <w:jc w:val="center"/>
        <w:textAlignment w:val="auto"/>
        <w:outlineLvl w:val="9"/>
        <w:rPr>
          <w:rFonts w:hint="eastAsia" w:ascii="仿宋" w:hAnsi="仿宋" w:eastAsia="仿宋" w:cs="仿宋"/>
          <w:b w:val="0"/>
          <w:bCs w:val="0"/>
          <w:color w:val="000000" w:themeColor="text1"/>
          <w:sz w:val="52"/>
          <w:szCs w:val="52"/>
          <w:highlight w:val="none"/>
          <w:lang w:eastAsia="zh-CN"/>
          <w14:textFill>
            <w14:solidFill>
              <w14:schemeClr w14:val="tx1"/>
            </w14:solidFill>
          </w14:textFill>
        </w:rPr>
      </w:pPr>
    </w:p>
    <w:p w14:paraId="45C4E72A">
      <w:pPr>
        <w:pStyle w:val="215"/>
        <w:keepLines w:val="0"/>
        <w:pageBreakBefore w:val="0"/>
        <w:kinsoku/>
        <w:wordWrap/>
        <w:overflowPunct/>
        <w:topLinePunct w:val="0"/>
        <w:autoSpaceDE/>
        <w:autoSpaceDN/>
        <w:bidi w:val="0"/>
        <w:snapToGrid/>
        <w:spacing w:line="360" w:lineRule="auto"/>
        <w:ind w:firstLine="0" w:firstLineChars="0"/>
        <w:jc w:val="center"/>
        <w:textAlignment w:val="auto"/>
        <w:outlineLvl w:val="9"/>
        <w:rPr>
          <w:rFonts w:hint="eastAsia" w:ascii="仿宋" w:hAnsi="仿宋" w:eastAsia="仿宋" w:cs="仿宋"/>
          <w:b w:val="0"/>
          <w:bCs w:val="0"/>
          <w:color w:val="000000" w:themeColor="text1"/>
          <w:sz w:val="52"/>
          <w:szCs w:val="52"/>
          <w:highlight w:val="none"/>
          <w14:textFill>
            <w14:solidFill>
              <w14:schemeClr w14:val="tx1"/>
            </w14:solidFill>
          </w14:textFill>
        </w:rPr>
      </w:pPr>
      <w:r>
        <w:rPr>
          <w:rFonts w:hint="eastAsia" w:ascii="仿宋" w:hAnsi="仿宋" w:eastAsia="仿宋" w:cs="仿宋"/>
          <w:b w:val="0"/>
          <w:bCs w:val="0"/>
          <w:color w:val="000000" w:themeColor="text1"/>
          <w:sz w:val="52"/>
          <w:szCs w:val="52"/>
          <w:highlight w:val="none"/>
          <w:lang w:eastAsia="zh-CN"/>
          <w14:textFill>
            <w14:solidFill>
              <w14:schemeClr w14:val="tx1"/>
            </w14:solidFill>
          </w14:textFill>
        </w:rPr>
        <w:t>食堂餐饮服务</w:t>
      </w:r>
      <w:r>
        <w:rPr>
          <w:rFonts w:hint="eastAsia" w:ascii="仿宋" w:hAnsi="仿宋" w:eastAsia="仿宋" w:cs="仿宋"/>
          <w:b w:val="0"/>
          <w:bCs w:val="0"/>
          <w:color w:val="000000" w:themeColor="text1"/>
          <w:sz w:val="52"/>
          <w:szCs w:val="52"/>
          <w:highlight w:val="none"/>
          <w14:textFill>
            <w14:solidFill>
              <w14:schemeClr w14:val="tx1"/>
            </w14:solidFill>
          </w14:textFill>
        </w:rPr>
        <w:t>合同</w:t>
      </w:r>
    </w:p>
    <w:p w14:paraId="2A75E22A">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color w:val="000000" w:themeColor="text1"/>
          <w:sz w:val="32"/>
          <w:szCs w:val="32"/>
          <w:highlight w:val="none"/>
          <w14:textFill>
            <w14:solidFill>
              <w14:schemeClr w14:val="tx1"/>
            </w14:solidFill>
          </w14:textFill>
        </w:rPr>
      </w:pPr>
    </w:p>
    <w:p w14:paraId="2B581050">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color w:val="000000" w:themeColor="text1"/>
          <w:sz w:val="32"/>
          <w:szCs w:val="32"/>
          <w:highlight w:val="none"/>
          <w14:textFill>
            <w14:solidFill>
              <w14:schemeClr w14:val="tx1"/>
            </w14:solidFill>
          </w14:textFill>
        </w:rPr>
      </w:pPr>
    </w:p>
    <w:p w14:paraId="28261E1A">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color w:val="000000" w:themeColor="text1"/>
          <w:sz w:val="32"/>
          <w:szCs w:val="32"/>
          <w:highlight w:val="none"/>
          <w14:textFill>
            <w14:solidFill>
              <w14:schemeClr w14:val="tx1"/>
            </w14:solidFill>
          </w14:textFill>
        </w:rPr>
      </w:pPr>
    </w:p>
    <w:p w14:paraId="4ABB5EED">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color w:val="000000" w:themeColor="text1"/>
          <w:sz w:val="32"/>
          <w:szCs w:val="32"/>
          <w:highlight w:val="none"/>
          <w14:textFill>
            <w14:solidFill>
              <w14:schemeClr w14:val="tx1"/>
            </w14:solidFill>
          </w14:textFill>
        </w:rPr>
      </w:pPr>
    </w:p>
    <w:p w14:paraId="45979B73">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color w:val="000000" w:themeColor="text1"/>
          <w:sz w:val="32"/>
          <w:szCs w:val="32"/>
          <w:highlight w:val="none"/>
          <w14:textFill>
            <w14:solidFill>
              <w14:schemeClr w14:val="tx1"/>
            </w14:solidFill>
          </w14:textFill>
        </w:rPr>
      </w:pPr>
    </w:p>
    <w:p w14:paraId="2971DC06">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color w:val="000000" w:themeColor="text1"/>
          <w:sz w:val="32"/>
          <w:szCs w:val="32"/>
          <w:highlight w:val="none"/>
          <w14:textFill>
            <w14:solidFill>
              <w14:schemeClr w14:val="tx1"/>
            </w14:solidFill>
          </w14:textFill>
        </w:rPr>
      </w:pPr>
    </w:p>
    <w:p w14:paraId="30EBD871">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color w:val="000000" w:themeColor="text1"/>
          <w:sz w:val="32"/>
          <w:szCs w:val="32"/>
          <w:highlight w:val="none"/>
          <w14:textFill>
            <w14:solidFill>
              <w14:schemeClr w14:val="tx1"/>
            </w14:solidFill>
          </w14:textFill>
        </w:rPr>
      </w:pPr>
    </w:p>
    <w:p w14:paraId="4EC2AC88">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color w:val="000000" w:themeColor="text1"/>
          <w:sz w:val="32"/>
          <w:szCs w:val="32"/>
          <w:highlight w:val="none"/>
          <w14:textFill>
            <w14:solidFill>
              <w14:schemeClr w14:val="tx1"/>
            </w14:solidFill>
          </w14:textFill>
        </w:rPr>
      </w:pPr>
    </w:p>
    <w:p w14:paraId="16B61B62">
      <w:pPr>
        <w:pStyle w:val="215"/>
        <w:keepLines w:val="0"/>
        <w:pageBreakBefore w:val="0"/>
        <w:kinsoku/>
        <w:wordWrap/>
        <w:overflowPunct/>
        <w:topLinePunct w:val="0"/>
        <w:autoSpaceDE/>
        <w:autoSpaceDN/>
        <w:bidi w:val="0"/>
        <w:snapToGrid/>
        <w:spacing w:line="360" w:lineRule="auto"/>
        <w:textAlignment w:val="auto"/>
        <w:outlineLvl w:val="9"/>
        <w:rPr>
          <w:rFonts w:hint="eastAsia" w:ascii="仿宋" w:hAnsi="仿宋" w:eastAsia="仿宋" w:cs="仿宋"/>
          <w:b w:val="0"/>
          <w:bCs w:val="0"/>
          <w:color w:val="000000" w:themeColor="text1"/>
          <w:sz w:val="32"/>
          <w:szCs w:val="32"/>
          <w:highlight w:val="none"/>
          <w14:textFill>
            <w14:solidFill>
              <w14:schemeClr w14:val="tx1"/>
            </w14:solidFill>
          </w14:textFill>
        </w:rPr>
      </w:pPr>
    </w:p>
    <w:p w14:paraId="3F0C3C2D">
      <w:pPr>
        <w:pStyle w:val="215"/>
        <w:keepLines w:val="0"/>
        <w:pageBreakBefore w:val="0"/>
        <w:kinsoku/>
        <w:wordWrap/>
        <w:overflowPunct/>
        <w:topLinePunct w:val="0"/>
        <w:autoSpaceDE/>
        <w:autoSpaceDN/>
        <w:bidi w:val="0"/>
        <w:snapToGrid/>
        <w:spacing w:line="360" w:lineRule="auto"/>
        <w:ind w:left="0" w:leftChars="0" w:firstLine="0" w:firstLineChars="0"/>
        <w:textAlignment w:val="auto"/>
        <w:outlineLvl w:val="9"/>
        <w:rPr>
          <w:rFonts w:hint="eastAsia" w:ascii="仿宋" w:hAnsi="仿宋" w:eastAsia="仿宋" w:cs="仿宋"/>
          <w:b w:val="0"/>
          <w:bCs w:val="0"/>
          <w:color w:val="000000" w:themeColor="text1"/>
          <w:sz w:val="32"/>
          <w:szCs w:val="32"/>
          <w:highlight w:val="none"/>
          <w14:textFill>
            <w14:solidFill>
              <w14:schemeClr w14:val="tx1"/>
            </w14:solidFill>
          </w14:textFill>
        </w:rPr>
      </w:pPr>
      <w:r>
        <w:rPr>
          <w:rFonts w:hint="eastAsia" w:ascii="仿宋" w:hAnsi="仿宋" w:eastAsia="仿宋" w:cs="仿宋"/>
          <w:b w:val="0"/>
          <w:bCs w:val="0"/>
          <w:color w:val="000000" w:themeColor="text1"/>
          <w:sz w:val="32"/>
          <w:szCs w:val="32"/>
          <w:highlight w:val="none"/>
          <w14:textFill>
            <w14:solidFill>
              <w14:schemeClr w14:val="tx1"/>
            </w14:solidFill>
          </w14:textFill>
        </w:rPr>
        <w:t>委托人（甲方）：</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highlight w:val="none"/>
          <w14:textFill>
            <w14:solidFill>
              <w14:schemeClr w14:val="tx1"/>
            </w14:solidFill>
          </w14:textFill>
        </w:rPr>
        <w:t xml:space="preserve">                                                                                                                                                                                                                 </w:t>
      </w:r>
    </w:p>
    <w:p w14:paraId="0DFBF8FB">
      <w:pPr>
        <w:pStyle w:val="215"/>
        <w:keepLines w:val="0"/>
        <w:pageBreakBefore w:val="0"/>
        <w:kinsoku/>
        <w:wordWrap/>
        <w:overflowPunct/>
        <w:topLinePunct w:val="0"/>
        <w:autoSpaceDE/>
        <w:autoSpaceDN/>
        <w:bidi w:val="0"/>
        <w:snapToGrid/>
        <w:spacing w:line="360" w:lineRule="auto"/>
        <w:ind w:left="0" w:leftChars="0" w:firstLine="0" w:firstLineChars="0"/>
        <w:textAlignment w:val="auto"/>
        <w:outlineLvl w:val="9"/>
        <w:rPr>
          <w:rFonts w:hint="eastAsia" w:ascii="仿宋" w:hAnsi="仿宋" w:eastAsia="仿宋" w:cs="仿宋"/>
          <w:b w:val="0"/>
          <w:bCs w:val="0"/>
          <w:color w:val="000000" w:themeColor="text1"/>
          <w:sz w:val="32"/>
          <w:szCs w:val="32"/>
          <w:highlight w:val="none"/>
          <w14:textFill>
            <w14:solidFill>
              <w14:schemeClr w14:val="tx1"/>
            </w14:solidFill>
          </w14:textFill>
        </w:rPr>
      </w:pPr>
      <w:r>
        <w:rPr>
          <w:rFonts w:hint="eastAsia" w:ascii="仿宋" w:hAnsi="仿宋" w:eastAsia="仿宋" w:cs="仿宋"/>
          <w:b w:val="0"/>
          <w:bCs w:val="0"/>
          <w:color w:val="000000" w:themeColor="text1"/>
          <w:sz w:val="32"/>
          <w:szCs w:val="32"/>
          <w:highlight w:val="none"/>
          <w14:textFill>
            <w14:solidFill>
              <w14:schemeClr w14:val="tx1"/>
            </w14:solidFill>
          </w14:textFill>
        </w:rPr>
        <w:t>受托人（乙方）：</w:t>
      </w:r>
    </w:p>
    <w:p w14:paraId="45E0BB32">
      <w:pPr>
        <w:pStyle w:val="215"/>
        <w:keepLines w:val="0"/>
        <w:pageBreakBefore w:val="0"/>
        <w:kinsoku/>
        <w:wordWrap/>
        <w:overflowPunct/>
        <w:topLinePunct w:val="0"/>
        <w:autoSpaceDE/>
        <w:autoSpaceDN/>
        <w:bidi w:val="0"/>
        <w:snapToGrid/>
        <w:spacing w:line="360" w:lineRule="auto"/>
        <w:ind w:left="0" w:leftChars="0" w:firstLine="0" w:firstLineChars="0"/>
        <w:textAlignment w:val="auto"/>
        <w:outlineLvl w:val="9"/>
        <w:rPr>
          <w:rFonts w:hint="eastAsia" w:ascii="仿宋" w:hAnsi="仿宋" w:eastAsia="仿宋" w:cs="仿宋"/>
          <w:b w:val="0"/>
          <w:bCs w:val="0"/>
          <w:color w:val="000000" w:themeColor="text1"/>
          <w:sz w:val="32"/>
          <w:szCs w:val="32"/>
          <w:highlight w:val="none"/>
          <w:lang w:val="en-US"/>
          <w14:textFill>
            <w14:solidFill>
              <w14:schemeClr w14:val="tx1"/>
            </w14:solidFill>
          </w14:textFill>
        </w:rPr>
      </w:pPr>
      <w:r>
        <w:rPr>
          <w:rFonts w:hint="eastAsia" w:ascii="仿宋" w:hAnsi="仿宋" w:eastAsia="仿宋" w:cs="仿宋"/>
          <w:b w:val="0"/>
          <w:bCs w:val="0"/>
          <w:color w:val="000000" w:themeColor="text1"/>
          <w:sz w:val="32"/>
          <w:szCs w:val="32"/>
          <w:highlight w:val="none"/>
          <w14:textFill>
            <w14:solidFill>
              <w14:schemeClr w14:val="tx1"/>
            </w14:solidFill>
          </w14:textFill>
        </w:rPr>
        <w:t>签订地点：</w:t>
      </w:r>
    </w:p>
    <w:p w14:paraId="30342D28">
      <w:pPr>
        <w:pStyle w:val="215"/>
        <w:keepLines w:val="0"/>
        <w:pageBreakBefore w:val="0"/>
        <w:kinsoku/>
        <w:wordWrap/>
        <w:overflowPunct/>
        <w:topLinePunct w:val="0"/>
        <w:autoSpaceDE/>
        <w:autoSpaceDN/>
        <w:bidi w:val="0"/>
        <w:snapToGrid/>
        <w:spacing w:line="360" w:lineRule="auto"/>
        <w:ind w:left="0" w:leftChars="0" w:firstLine="0" w:firstLineChars="0"/>
        <w:textAlignment w:val="auto"/>
        <w:outlineLvl w:val="9"/>
        <w:rPr>
          <w:rFonts w:hint="eastAsia" w:ascii="仿宋" w:hAnsi="仿宋" w:eastAsia="仿宋" w:cs="仿宋"/>
          <w:b w:val="0"/>
          <w:bCs w:val="0"/>
          <w:color w:val="000000" w:themeColor="text1"/>
          <w:sz w:val="32"/>
          <w:szCs w:val="32"/>
          <w:highlight w:val="none"/>
          <w14:textFill>
            <w14:solidFill>
              <w14:schemeClr w14:val="tx1"/>
            </w14:solidFill>
          </w14:textFill>
        </w:rPr>
      </w:pPr>
      <w:r>
        <w:rPr>
          <w:rFonts w:hint="eastAsia" w:ascii="仿宋" w:hAnsi="仿宋" w:eastAsia="仿宋" w:cs="仿宋"/>
          <w:b w:val="0"/>
          <w:bCs w:val="0"/>
          <w:color w:val="000000" w:themeColor="text1"/>
          <w:sz w:val="32"/>
          <w:szCs w:val="32"/>
          <w:highlight w:val="none"/>
          <w14:textFill>
            <w14:solidFill>
              <w14:schemeClr w14:val="tx1"/>
            </w14:solidFill>
          </w14:textFill>
        </w:rPr>
        <w:t>签订时间：     年    月     日</w:t>
      </w:r>
    </w:p>
    <w:p w14:paraId="799E06FE">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pPr>
    </w:p>
    <w:p w14:paraId="7EA00DB9">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依据</w:t>
      </w:r>
      <w:r>
        <w:rPr>
          <w:rFonts w:hint="eastAsia" w:ascii="仿宋" w:hAnsi="仿宋" w:eastAsia="仿宋" w:cs="仿宋"/>
          <w:b w:val="0"/>
          <w:bCs w:val="0"/>
          <w:snapToGrid/>
          <w:color w:val="000000" w:themeColor="text1"/>
          <w:sz w:val="24"/>
          <w:szCs w:val="24"/>
          <w:highlight w:val="none"/>
          <w:u w:val="single"/>
          <w:shd w:val="clear" w:color="auto" w:fill="FFFFFF"/>
          <w:lang w:val="en-US" w:eastAsia="zh-CN"/>
          <w14:textFill>
            <w14:solidFill>
              <w14:schemeClr w14:val="tx1"/>
            </w14:solidFill>
          </w14:textFill>
        </w:rPr>
        <w:t xml:space="preserve">         </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项目采购结果，就乙方为甲方提供餐饮服务事宜，</w:t>
      </w:r>
      <w:bookmarkStart w:id="52" w:name="OLE_LINK16"/>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双方根据《中华人民共和国民法典》及有关法律法规，本着平等互利原则，甲、乙双方经过共同协商，特订立本合同(以下简称“本合同”)</w:t>
      </w:r>
      <w:bookmarkEnd w:id="52"/>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 xml:space="preserve">。 </w:t>
      </w:r>
    </w:p>
    <w:p w14:paraId="7EF6E043">
      <w:pPr>
        <w:keepLines w:val="0"/>
        <w:pageBreakBefore w:val="0"/>
        <w:kinsoku/>
        <w:wordWrap/>
        <w:overflowPunct/>
        <w:topLinePunct w:val="0"/>
        <w:autoSpaceDE/>
        <w:autoSpaceDN/>
        <w:bidi w:val="0"/>
        <w:snapToGrid/>
        <w:spacing w:line="360" w:lineRule="auto"/>
        <w:jc w:val="left"/>
        <w:textAlignment w:val="auto"/>
        <w:outlineLvl w:val="9"/>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第一条  服务场所</w:t>
      </w:r>
    </w:p>
    <w:p w14:paraId="6EA262C2">
      <w:pPr>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highlight w:val="none"/>
          <w:u w:val="single"/>
          <w:shd w:val="clear" w:color="auto" w:fill="FFFFFF"/>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项目厨房位于新疆乌鲁木齐市</w:t>
      </w:r>
      <w:r>
        <w:rPr>
          <w:rFonts w:hint="eastAsia" w:ascii="仿宋" w:hAnsi="仿宋" w:eastAsia="仿宋" w:cs="仿宋"/>
          <w:b w:val="0"/>
          <w:bCs w:val="0"/>
          <w:color w:val="000000" w:themeColor="text1"/>
          <w:sz w:val="24"/>
          <w:szCs w:val="24"/>
          <w:highlight w:val="none"/>
          <w:u w:val="single"/>
          <w:shd w:val="clear" w:color="auto" w:fill="FFFFFF"/>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；厨具设备、厨杂用品以及餐厅家具等配备齐全；就餐区采取</w:t>
      </w:r>
      <w:r>
        <w:rPr>
          <w:rFonts w:hint="eastAsia" w:ascii="仿宋" w:hAnsi="仿宋" w:eastAsia="仿宋" w:cs="仿宋"/>
          <w:b w:val="0"/>
          <w:bCs w:val="0"/>
          <w:color w:val="000000" w:themeColor="text1"/>
          <w:sz w:val="24"/>
          <w:szCs w:val="24"/>
          <w:highlight w:val="none"/>
          <w:shd w:val="clear" w:color="auto" w:fill="FFFFFF"/>
          <w:lang w:eastAsia="zh-CN"/>
          <w14:textFill>
            <w14:solidFill>
              <w14:schemeClr w14:val="tx1"/>
            </w14:solidFill>
          </w14:textFill>
        </w:rPr>
        <w:t>职工</w:t>
      </w: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自助的服务模式，不限量供应膳食。</w:t>
      </w:r>
    </w:p>
    <w:p w14:paraId="2F49D8FB">
      <w:pPr>
        <w:keepLines w:val="0"/>
        <w:pageBreakBefore w:val="0"/>
        <w:kinsoku/>
        <w:wordWrap/>
        <w:overflowPunct/>
        <w:topLinePunct w:val="0"/>
        <w:autoSpaceDE/>
        <w:autoSpaceDN/>
        <w:bidi w:val="0"/>
        <w:snapToGrid/>
        <w:spacing w:line="360" w:lineRule="auto"/>
        <w:jc w:val="left"/>
        <w:textAlignment w:val="auto"/>
        <w:outlineLvl w:val="9"/>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第二条  服务期限</w:t>
      </w:r>
    </w:p>
    <w:p w14:paraId="04401360">
      <w:pPr>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本项目服务期限为一年</w:t>
      </w:r>
      <w:r>
        <w:rPr>
          <w:rFonts w:hint="eastAsia" w:ascii="仿宋" w:hAnsi="仿宋" w:eastAsia="仿宋" w:cs="仿宋"/>
          <w:b w:val="0"/>
          <w:bCs w:val="0"/>
          <w:color w:val="000000" w:themeColor="text1"/>
          <w:sz w:val="24"/>
          <w:szCs w:val="24"/>
          <w:highlight w:val="none"/>
          <w:shd w:val="clear" w:color="auto" w:fill="FFFFFF"/>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u w:val="single"/>
          <w:shd w:val="clear" w:color="auto" w:fill="FFFFFF"/>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u w:val="single"/>
          <w:shd w:val="clear" w:color="auto" w:fill="FFFFFF"/>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u w:val="single"/>
          <w:shd w:val="clear" w:color="auto" w:fill="FFFFFF"/>
          <w14:textFill>
            <w14:solidFill>
              <w14:schemeClr w14:val="tx1"/>
            </w14:solidFill>
          </w14:textFill>
        </w:rPr>
        <w:t>年</w:t>
      </w:r>
      <w:r>
        <w:rPr>
          <w:rFonts w:hint="eastAsia" w:ascii="仿宋" w:hAnsi="仿宋" w:eastAsia="仿宋" w:cs="仿宋"/>
          <w:b w:val="0"/>
          <w:bCs w:val="0"/>
          <w:color w:val="000000" w:themeColor="text1"/>
          <w:sz w:val="24"/>
          <w:szCs w:val="24"/>
          <w:highlight w:val="none"/>
          <w:u w:val="single"/>
          <w:shd w:val="clear" w:color="auto" w:fill="FFFFFF"/>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u w:val="single"/>
          <w:shd w:val="clear" w:color="auto" w:fill="FFFFFF"/>
          <w14:textFill>
            <w14:solidFill>
              <w14:schemeClr w14:val="tx1"/>
            </w14:solidFill>
          </w14:textFill>
        </w:rPr>
        <w:t>月</w:t>
      </w:r>
      <w:r>
        <w:rPr>
          <w:rFonts w:hint="eastAsia" w:ascii="仿宋" w:hAnsi="仿宋" w:eastAsia="仿宋" w:cs="仿宋"/>
          <w:b w:val="0"/>
          <w:bCs w:val="0"/>
          <w:color w:val="000000" w:themeColor="text1"/>
          <w:sz w:val="24"/>
          <w:szCs w:val="24"/>
          <w:highlight w:val="none"/>
          <w:u w:val="single"/>
          <w:shd w:val="clear" w:color="auto" w:fill="FFFFFF"/>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u w:val="single"/>
          <w:shd w:val="clear" w:color="auto" w:fill="FFFFFF"/>
          <w14:textFill>
            <w14:solidFill>
              <w14:schemeClr w14:val="tx1"/>
            </w14:solidFill>
          </w14:textFill>
        </w:rPr>
        <w:t xml:space="preserve">日至 </w:t>
      </w:r>
      <w:r>
        <w:rPr>
          <w:rFonts w:hint="eastAsia" w:ascii="仿宋" w:hAnsi="仿宋" w:eastAsia="仿宋" w:cs="仿宋"/>
          <w:b w:val="0"/>
          <w:bCs w:val="0"/>
          <w:color w:val="000000" w:themeColor="text1"/>
          <w:sz w:val="24"/>
          <w:szCs w:val="24"/>
          <w:highlight w:val="none"/>
          <w:u w:val="single"/>
          <w:shd w:val="clear" w:color="auto" w:fill="FFFFFF"/>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u w:val="single"/>
          <w:shd w:val="clear" w:color="auto" w:fill="FFFFFF"/>
          <w14:textFill>
            <w14:solidFill>
              <w14:schemeClr w14:val="tx1"/>
            </w14:solidFill>
          </w14:textFill>
        </w:rPr>
        <w:t xml:space="preserve"> 年</w:t>
      </w:r>
      <w:r>
        <w:rPr>
          <w:rFonts w:hint="eastAsia" w:ascii="仿宋" w:hAnsi="仿宋" w:eastAsia="仿宋" w:cs="仿宋"/>
          <w:b w:val="0"/>
          <w:bCs w:val="0"/>
          <w:color w:val="000000" w:themeColor="text1"/>
          <w:sz w:val="24"/>
          <w:szCs w:val="24"/>
          <w:highlight w:val="none"/>
          <w:u w:val="single"/>
          <w:shd w:val="clear" w:color="auto" w:fill="FFFFFF"/>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u w:val="single"/>
          <w:shd w:val="clear" w:color="auto" w:fill="FFFFFF"/>
          <w14:textFill>
            <w14:solidFill>
              <w14:schemeClr w14:val="tx1"/>
            </w14:solidFill>
          </w14:textFill>
        </w:rPr>
        <w:t>月</w:t>
      </w:r>
      <w:r>
        <w:rPr>
          <w:rFonts w:hint="eastAsia" w:ascii="仿宋" w:hAnsi="仿宋" w:eastAsia="仿宋" w:cs="仿宋"/>
          <w:b w:val="0"/>
          <w:bCs w:val="0"/>
          <w:color w:val="000000" w:themeColor="text1"/>
          <w:sz w:val="24"/>
          <w:szCs w:val="24"/>
          <w:highlight w:val="none"/>
          <w:u w:val="single"/>
          <w:shd w:val="clear" w:color="auto" w:fill="FFFFFF"/>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u w:val="single"/>
          <w:shd w:val="clear" w:color="auto" w:fill="FFFFFF"/>
          <w14:textFill>
            <w14:solidFill>
              <w14:schemeClr w14:val="tx1"/>
            </w14:solidFill>
          </w14:textFill>
        </w:rPr>
        <w:t>日</w:t>
      </w: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w:t>
      </w:r>
    </w:p>
    <w:p w14:paraId="3FBBD1F2">
      <w:pPr>
        <w:keepLines w:val="0"/>
        <w:pageBreakBefore w:val="0"/>
        <w:kinsoku/>
        <w:wordWrap/>
        <w:overflowPunct/>
        <w:topLinePunct w:val="0"/>
        <w:autoSpaceDE/>
        <w:autoSpaceDN/>
        <w:bidi w:val="0"/>
        <w:snapToGrid/>
        <w:spacing w:line="360" w:lineRule="auto"/>
        <w:jc w:val="left"/>
        <w:textAlignment w:val="auto"/>
        <w:outlineLvl w:val="9"/>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第三条  服务内容</w:t>
      </w:r>
    </w:p>
    <w:p w14:paraId="6801C2F0">
      <w:pPr>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1、乙方负责甲方食堂的基础服务工作，包括但不限于厨房</w:t>
      </w:r>
      <w:r>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t>及</w:t>
      </w: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餐厅服务、工作日膳食供应及甲方要求的其他供餐服务、食堂卫生保洁与管理、食品安全保障、食堂设备日常维护等工作，乙方需按照甲方要求，对提供的基础服务各个环节进行精细化管理，全力配合甲方按时提供优质的工作餐及接待客餐。</w:t>
      </w:r>
    </w:p>
    <w:p w14:paraId="642B5063">
      <w:pPr>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2、乙方必须按照甲方要求，需提供多样化的菜品、主食、点心、水果饮品等，</w:t>
      </w:r>
      <w:r>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t>对</w:t>
      </w: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甲方或者就餐人员提出的建议和意见应及时整改和优化。服务人员不得在服务期内随意取消餐饮服务。</w:t>
      </w:r>
    </w:p>
    <w:p w14:paraId="5B904512">
      <w:pPr>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3、乙方按甲方就餐要求的时间提供餐饮服务，甲方有权根据需要调整就餐时间。</w:t>
      </w:r>
    </w:p>
    <w:p w14:paraId="5B2A9C04">
      <w:pPr>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4、在遇到停电、停水等紧急情况时，乙方应提供有限的餐饮服务。如必须停止服务时，应得到甲方的认可方可停止。</w:t>
      </w:r>
    </w:p>
    <w:p w14:paraId="4ADAE41E">
      <w:pPr>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5、合同期内，如甲方在非工作日内加班或临时性接待，乙方必须无条件配合。</w:t>
      </w:r>
    </w:p>
    <w:p w14:paraId="37E0C0E6">
      <w:pPr>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6、乙方应对甲方提供的食材进行质量验收，验收合格后的食材移交至乙方保管，乙方应对食品安全提供保障管理。</w:t>
      </w:r>
    </w:p>
    <w:p w14:paraId="5B48C6A9">
      <w:pPr>
        <w:keepLines w:val="0"/>
        <w:pageBreakBefore w:val="0"/>
        <w:kinsoku/>
        <w:wordWrap/>
        <w:overflowPunct/>
        <w:topLinePunct w:val="0"/>
        <w:autoSpaceDE/>
        <w:autoSpaceDN/>
        <w:bidi w:val="0"/>
        <w:snapToGrid/>
        <w:spacing w:line="360" w:lineRule="auto"/>
        <w:jc w:val="left"/>
        <w:textAlignment w:val="auto"/>
        <w:outlineLvl w:val="9"/>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第四条  费用及结算方式</w:t>
      </w:r>
    </w:p>
    <w:p w14:paraId="728CB144">
      <w:pPr>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1、合同总价暂定为¥：</w:t>
      </w:r>
      <w:r>
        <w:rPr>
          <w:rFonts w:hint="eastAsia" w:ascii="仿宋" w:hAnsi="仿宋" w:eastAsia="仿宋" w:cs="仿宋"/>
          <w:b w:val="0"/>
          <w:bCs w:val="0"/>
          <w:color w:val="000000" w:themeColor="text1"/>
          <w:sz w:val="24"/>
          <w:szCs w:val="24"/>
          <w:highlight w:val="none"/>
          <w:u w:val="single"/>
          <w:shd w:val="clear" w:color="auto" w:fill="FFFFFF"/>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（大写：</w:t>
      </w:r>
      <w:r>
        <w:rPr>
          <w:rFonts w:hint="eastAsia" w:ascii="仿宋" w:hAnsi="仿宋" w:eastAsia="仿宋" w:cs="仿宋"/>
          <w:b w:val="0"/>
          <w:bCs w:val="0"/>
          <w:color w:val="000000" w:themeColor="text1"/>
          <w:sz w:val="24"/>
          <w:szCs w:val="24"/>
          <w:highlight w:val="none"/>
          <w:u w:val="single"/>
          <w:shd w:val="clear" w:color="auto" w:fill="FFFFFF"/>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w:t>
      </w:r>
    </w:p>
    <w:p w14:paraId="638BEE1E">
      <w:pPr>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t>2</w:t>
      </w: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、支付方式：</w:t>
      </w:r>
    </w:p>
    <w:p w14:paraId="5F45C1A8">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000000" w:themeColor="text1"/>
          <w:sz w:val="24"/>
          <w:szCs w:val="24"/>
          <w:highlight w:val="none"/>
          <w:shd w:val="clear" w:color="auto" w:fill="FFFFFF"/>
          <w:lang w:eastAsia="zh-CN"/>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lang w:val="en-US" w:eastAsia="zh-CN"/>
          <w14:textFill>
            <w14:solidFill>
              <w14:schemeClr w14:val="tx1"/>
            </w14:solidFill>
          </w14:textFill>
        </w:rPr>
        <w:t>2</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.1服务费用按月进行支付，每月以本项目实际派驻的服务人员数量、各岗位人员服务单价等情况据实结算</w:t>
      </w:r>
      <w:r>
        <w:rPr>
          <w:rFonts w:hint="eastAsia" w:ascii="仿宋" w:hAnsi="仿宋" w:eastAsia="仿宋" w:cs="仿宋"/>
          <w:b w:val="0"/>
          <w:bCs w:val="0"/>
          <w:snapToGrid/>
          <w:color w:val="000000" w:themeColor="text1"/>
          <w:sz w:val="24"/>
          <w:szCs w:val="24"/>
          <w:highlight w:val="none"/>
          <w:shd w:val="clear" w:color="auto" w:fill="FFFFFF"/>
          <w:lang w:eastAsia="zh-CN"/>
          <w14:textFill>
            <w14:solidFill>
              <w14:schemeClr w14:val="tx1"/>
            </w14:solidFill>
          </w14:textFill>
        </w:rPr>
        <w:t>（</w:t>
      </w:r>
      <w:r>
        <w:rPr>
          <w:rFonts w:hint="eastAsia" w:ascii="仿宋" w:hAnsi="仿宋" w:eastAsia="仿宋" w:cs="仿宋"/>
          <w:b w:val="0"/>
          <w:bCs w:val="0"/>
          <w:snapToGrid/>
          <w:color w:val="000000" w:themeColor="text1"/>
          <w:sz w:val="24"/>
          <w:szCs w:val="24"/>
          <w:highlight w:val="none"/>
          <w:shd w:val="clear" w:color="auto" w:fill="FFFFFF"/>
          <w:lang w:val="en-US" w:eastAsia="zh-CN"/>
          <w14:textFill>
            <w14:solidFill>
              <w14:schemeClr w14:val="tx1"/>
            </w14:solidFill>
          </w14:textFill>
        </w:rPr>
        <w:t>实际情况以资金拨付进度为准</w:t>
      </w:r>
      <w:r>
        <w:rPr>
          <w:rFonts w:hint="eastAsia" w:ascii="仿宋" w:hAnsi="仿宋" w:eastAsia="仿宋" w:cs="仿宋"/>
          <w:b w:val="0"/>
          <w:bCs w:val="0"/>
          <w:snapToGrid/>
          <w:color w:val="000000" w:themeColor="text1"/>
          <w:sz w:val="24"/>
          <w:szCs w:val="24"/>
          <w:highlight w:val="none"/>
          <w:shd w:val="clear" w:color="auto" w:fill="FFFFFF"/>
          <w:lang w:eastAsia="zh-CN"/>
          <w14:textFill>
            <w14:solidFill>
              <w14:schemeClr w14:val="tx1"/>
            </w14:solidFill>
          </w14:textFill>
        </w:rPr>
        <w:t>）。</w:t>
      </w:r>
    </w:p>
    <w:p w14:paraId="19ED4DEC">
      <w:pPr>
        <w:pStyle w:val="215"/>
        <w:keepLines w:val="0"/>
        <w:pageBreakBefore w:val="0"/>
        <w:kinsoku/>
        <w:wordWrap/>
        <w:overflowPunct/>
        <w:topLinePunct w:val="0"/>
        <w:autoSpaceDE/>
        <w:autoSpaceDN/>
        <w:bidi w:val="0"/>
        <w:snapToGrid/>
        <w:spacing w:line="360" w:lineRule="auto"/>
        <w:ind w:firstLine="560"/>
        <w:jc w:val="left"/>
        <w:textAlignment w:val="auto"/>
        <w:outlineLvl w:val="9"/>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lang w:val="en-US" w:eastAsia="zh-CN"/>
          <w14:textFill>
            <w14:solidFill>
              <w14:schemeClr w14:val="tx1"/>
            </w14:solidFill>
          </w14:textFill>
        </w:rPr>
        <w:t>2.2</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甲乙双方于次月5日起10个工作日内对上月所产生的费用对账并签字确认，乙方开具全额有效的增值税</w:t>
      </w:r>
      <w:r>
        <w:rPr>
          <w:rFonts w:hint="eastAsia" w:ascii="仿宋" w:hAnsi="仿宋" w:eastAsia="仿宋" w:cs="仿宋"/>
          <w:b w:val="0"/>
          <w:bCs w:val="0"/>
          <w:snapToGrid/>
          <w:color w:val="000000" w:themeColor="text1"/>
          <w:sz w:val="24"/>
          <w:szCs w:val="24"/>
          <w:highlight w:val="none"/>
          <w:shd w:val="clear" w:color="auto" w:fill="FFFFFF"/>
          <w:lang w:val="en-US"/>
          <w14:textFill>
            <w14:solidFill>
              <w14:schemeClr w14:val="tx1"/>
            </w14:solidFill>
          </w14:textFill>
        </w:rPr>
        <w:t>普通</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发票交至甲方，甲方于收到发票的1</w:t>
      </w:r>
      <w:r>
        <w:rPr>
          <w:rFonts w:hint="eastAsia" w:ascii="仿宋" w:hAnsi="仿宋" w:eastAsia="仿宋" w:cs="仿宋"/>
          <w:b w:val="0"/>
          <w:bCs w:val="0"/>
          <w:snapToGrid/>
          <w:color w:val="000000" w:themeColor="text1"/>
          <w:sz w:val="24"/>
          <w:szCs w:val="24"/>
          <w:highlight w:val="none"/>
          <w:shd w:val="clear" w:color="auto" w:fill="FFFFFF"/>
          <w:lang w:val="en-US"/>
          <w14:textFill>
            <w14:solidFill>
              <w14:schemeClr w14:val="tx1"/>
            </w14:solidFill>
          </w14:textFill>
        </w:rPr>
        <w:t>5</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个工作日内向乙方结清上月所产生的所有费用。如遇节假日顺延。</w:t>
      </w:r>
    </w:p>
    <w:p w14:paraId="348F9AA1">
      <w:pPr>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t>2.3</w:t>
      </w:r>
      <w:r>
        <w:rPr>
          <w:rFonts w:hint="eastAsia" w:ascii="仿宋" w:hAnsi="仿宋" w:eastAsia="仿宋" w:cs="仿宋"/>
          <w:b w:val="0"/>
          <w:bCs w:val="0"/>
          <w:color w:val="000000" w:themeColor="text1"/>
          <w:sz w:val="24"/>
          <w:szCs w:val="24"/>
          <w:highlight w:val="none"/>
          <w:shd w:val="clear" w:color="auto" w:fill="FFFFFF"/>
          <w:lang w:eastAsia="zh-CN"/>
          <w14:textFill>
            <w14:solidFill>
              <w14:schemeClr w14:val="tx1"/>
            </w14:solidFill>
          </w14:textFill>
        </w:rPr>
        <w:t>甲</w:t>
      </w: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乙</w:t>
      </w:r>
      <w:r>
        <w:rPr>
          <w:rFonts w:hint="eastAsia" w:ascii="仿宋" w:hAnsi="仿宋" w:eastAsia="仿宋" w:cs="仿宋"/>
          <w:b w:val="0"/>
          <w:bCs w:val="0"/>
          <w:color w:val="000000" w:themeColor="text1"/>
          <w:sz w:val="24"/>
          <w:szCs w:val="24"/>
          <w:highlight w:val="none"/>
          <w:shd w:val="clear" w:color="auto" w:fill="FFFFFF"/>
          <w:lang w:eastAsia="zh-CN"/>
          <w14:textFill>
            <w14:solidFill>
              <w14:schemeClr w14:val="tx1"/>
            </w14:solidFill>
          </w14:textFill>
        </w:rPr>
        <w:t>双</w:t>
      </w: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方账户信息</w:t>
      </w:r>
    </w:p>
    <w:p w14:paraId="4B992F3A">
      <w:pPr>
        <w:pStyle w:val="215"/>
        <w:keepLines w:val="0"/>
        <w:pageBreakBefore w:val="0"/>
        <w:kinsoku/>
        <w:wordWrap/>
        <w:overflowPunct/>
        <w:topLinePunct w:val="0"/>
        <w:autoSpaceDE/>
        <w:autoSpaceDN/>
        <w:bidi w:val="0"/>
        <w:snapToGrid/>
        <w:spacing w:line="360" w:lineRule="auto"/>
        <w:ind w:firstLine="560"/>
        <w:jc w:val="left"/>
        <w:textAlignment w:val="auto"/>
        <w:outlineLvl w:val="9"/>
        <w:rPr>
          <w:rFonts w:hint="eastAsia" w:ascii="仿宋" w:hAnsi="仿宋" w:eastAsia="仿宋" w:cs="仿宋"/>
          <w:b w:val="0"/>
          <w:bCs w:val="0"/>
          <w:snapToGrid/>
          <w:color w:val="000000" w:themeColor="text1"/>
          <w:sz w:val="24"/>
          <w:szCs w:val="24"/>
          <w:highlight w:val="none"/>
          <w:u w:val="single"/>
          <w:shd w:val="clear" w:color="auto" w:fill="FFFFFF"/>
          <w:lang w:val="en-US" w:eastAsia="zh-CN"/>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lang w:val="en-US" w:eastAsia="zh-CN"/>
          <w14:textFill>
            <w14:solidFill>
              <w14:schemeClr w14:val="tx1"/>
            </w14:solidFill>
          </w14:textFill>
        </w:rPr>
        <w:t>2.3.1甲方收款账户信息：</w:t>
      </w:r>
      <w:r>
        <w:rPr>
          <w:rFonts w:hint="eastAsia" w:ascii="仿宋" w:hAnsi="仿宋" w:eastAsia="仿宋" w:cs="仿宋"/>
          <w:b w:val="0"/>
          <w:bCs w:val="0"/>
          <w:snapToGrid/>
          <w:color w:val="000000" w:themeColor="text1"/>
          <w:sz w:val="24"/>
          <w:szCs w:val="24"/>
          <w:highlight w:val="none"/>
          <w:u w:val="single"/>
          <w:shd w:val="clear" w:color="auto" w:fill="FFFFFF"/>
          <w:lang w:val="en-US" w:eastAsia="zh-CN"/>
          <w14:textFill>
            <w14:solidFill>
              <w14:schemeClr w14:val="tx1"/>
            </w14:solidFill>
          </w14:textFill>
        </w:rPr>
        <w:t xml:space="preserve">          </w:t>
      </w:r>
    </w:p>
    <w:p w14:paraId="60DA69F0">
      <w:pPr>
        <w:pStyle w:val="215"/>
        <w:keepLines w:val="0"/>
        <w:pageBreakBefore w:val="0"/>
        <w:kinsoku/>
        <w:wordWrap/>
        <w:overflowPunct/>
        <w:topLinePunct w:val="0"/>
        <w:autoSpaceDE/>
        <w:autoSpaceDN/>
        <w:bidi w:val="0"/>
        <w:snapToGrid/>
        <w:spacing w:line="360" w:lineRule="auto"/>
        <w:ind w:firstLine="560"/>
        <w:jc w:val="left"/>
        <w:textAlignment w:val="auto"/>
        <w:outlineLvl w:val="9"/>
        <w:rPr>
          <w:rFonts w:hint="eastAsia" w:ascii="仿宋" w:hAnsi="仿宋" w:eastAsia="仿宋" w:cs="仿宋"/>
          <w:b w:val="0"/>
          <w:bCs w:val="0"/>
          <w:snapToGrid/>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lang w:val="en-US" w:eastAsia="zh-CN"/>
          <w14:textFill>
            <w14:solidFill>
              <w14:schemeClr w14:val="tx1"/>
            </w14:solidFill>
          </w14:textFill>
        </w:rPr>
        <w:t>2.3.2乙方收款账户信息：</w:t>
      </w:r>
      <w:r>
        <w:rPr>
          <w:rFonts w:hint="eastAsia" w:ascii="仿宋" w:hAnsi="仿宋" w:eastAsia="仿宋" w:cs="仿宋"/>
          <w:b w:val="0"/>
          <w:bCs w:val="0"/>
          <w:snapToGrid/>
          <w:color w:val="000000" w:themeColor="text1"/>
          <w:sz w:val="24"/>
          <w:szCs w:val="24"/>
          <w:highlight w:val="none"/>
          <w:u w:val="single"/>
          <w:shd w:val="clear" w:color="auto" w:fill="FFFFFF"/>
          <w:lang w:val="en-US" w:eastAsia="zh-CN"/>
          <w14:textFill>
            <w14:solidFill>
              <w14:schemeClr w14:val="tx1"/>
            </w14:solidFill>
          </w14:textFill>
        </w:rPr>
        <w:t xml:space="preserve">          </w:t>
      </w:r>
    </w:p>
    <w:p w14:paraId="0F85CA67">
      <w:pPr>
        <w:keepLines w:val="0"/>
        <w:pageBreakBefore w:val="0"/>
        <w:kinsoku/>
        <w:wordWrap/>
        <w:overflowPunct/>
        <w:topLinePunct w:val="0"/>
        <w:autoSpaceDE/>
        <w:autoSpaceDN/>
        <w:bidi w:val="0"/>
        <w:snapToGrid/>
        <w:spacing w:line="360" w:lineRule="auto"/>
        <w:jc w:val="left"/>
        <w:textAlignment w:val="auto"/>
        <w:outlineLvl w:val="9"/>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第五条  服务标准及要求</w:t>
      </w:r>
    </w:p>
    <w:p w14:paraId="0D9D8E3D">
      <w:pPr>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1、乙方必须严格执行国家食品卫生标准，制定完整的规章制度，杜绝火灾、食物中毒等安全事故的发生；</w:t>
      </w:r>
    </w:p>
    <w:p w14:paraId="0E0C9311">
      <w:pPr>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2、食堂管理服务满意度调查每季度进行一次，满意率需达到85%以上；投诉处理率达到100%；对有效投诉的处理满意率达到95%以上；</w:t>
      </w:r>
    </w:p>
    <w:p w14:paraId="73374533">
      <w:pPr>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3、</w:t>
      </w:r>
      <w:r>
        <w:rPr>
          <w:rFonts w:hint="eastAsia" w:ascii="仿宋" w:hAnsi="仿宋" w:eastAsia="仿宋" w:cs="仿宋"/>
          <w:b w:val="0"/>
          <w:bCs w:val="0"/>
          <w:color w:val="000000" w:themeColor="text1"/>
          <w:sz w:val="24"/>
          <w:szCs w:val="24"/>
          <w:highlight w:val="none"/>
          <w:shd w:val="clear" w:color="auto" w:fill="FFFFFF"/>
          <w:lang w:eastAsia="zh-CN"/>
          <w14:textFill>
            <w14:solidFill>
              <w14:schemeClr w14:val="tx1"/>
            </w14:solidFill>
          </w14:textFill>
        </w:rPr>
        <w:t>职工</w:t>
      </w: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上岗培训率达到100%；</w:t>
      </w:r>
      <w:r>
        <w:rPr>
          <w:rFonts w:hint="eastAsia" w:ascii="仿宋" w:hAnsi="仿宋" w:eastAsia="仿宋" w:cs="仿宋"/>
          <w:b w:val="0"/>
          <w:bCs w:val="0"/>
          <w:color w:val="000000" w:themeColor="text1"/>
          <w:sz w:val="24"/>
          <w:szCs w:val="24"/>
          <w:highlight w:val="none"/>
          <w:shd w:val="clear" w:color="auto" w:fill="FFFFFF"/>
          <w:lang w:eastAsia="zh-CN"/>
          <w14:textFill>
            <w14:solidFill>
              <w14:schemeClr w14:val="tx1"/>
            </w14:solidFill>
          </w14:textFill>
        </w:rPr>
        <w:t>职工</w:t>
      </w: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持证（健康证）上岗率达100%；乙方拟安排岗位人员应符合甲方的本项目工作要求，并将配备人员名单、人员证书、健康证明及其他证明材料提交甲方存档备案。经甲方确定后乙方不得随意变动工作人员，若要变更，需征得甲方书面同意；</w:t>
      </w:r>
    </w:p>
    <w:p w14:paraId="2E95FBE2">
      <w:pPr>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4、乙方应指定专人负责食堂管理并与甲方进行日常工作对接及工作确认，指派人员为：</w:t>
      </w:r>
      <w:r>
        <w:rPr>
          <w:rFonts w:hint="eastAsia" w:ascii="仿宋" w:hAnsi="仿宋" w:eastAsia="仿宋" w:cs="仿宋"/>
          <w:b w:val="0"/>
          <w:bCs w:val="0"/>
          <w:color w:val="000000" w:themeColor="text1"/>
          <w:sz w:val="24"/>
          <w:szCs w:val="24"/>
          <w:highlight w:val="none"/>
          <w:u w:val="single"/>
          <w:shd w:val="clear" w:color="auto" w:fill="FFFFFF"/>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u w:val="single"/>
          <w:shd w:val="clear" w:color="auto" w:fill="FFFFFF"/>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u w:val="single"/>
          <w:shd w:val="clear" w:color="auto" w:fill="FFFFFF"/>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（姓名），若履约期间，乙方指派对接人员发生变更，需征得甲方书面同意。</w:t>
      </w:r>
    </w:p>
    <w:p w14:paraId="45EB0E9E">
      <w:pPr>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pPr>
      <w:bookmarkStart w:id="53" w:name="OLE_LINK10"/>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5、</w:t>
      </w:r>
      <w:bookmarkEnd w:id="53"/>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乙方需满足甲方</w:t>
      </w:r>
      <w:r>
        <w:rPr>
          <w:rFonts w:hint="eastAsia" w:ascii="仿宋" w:hAnsi="仿宋" w:eastAsia="仿宋" w:cs="仿宋"/>
          <w:b w:val="0"/>
          <w:bCs w:val="0"/>
          <w:color w:val="000000" w:themeColor="text1"/>
          <w:sz w:val="24"/>
          <w:szCs w:val="24"/>
          <w:highlight w:val="none"/>
          <w:shd w:val="clear" w:color="auto" w:fill="FFFFFF"/>
          <w:lang w:eastAsia="zh-CN"/>
          <w14:textFill>
            <w14:solidFill>
              <w14:schemeClr w14:val="tx1"/>
            </w14:solidFill>
          </w14:textFill>
        </w:rPr>
        <w:t>职工</w:t>
      </w: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餐及接待用餐需求。</w:t>
      </w:r>
    </w:p>
    <w:p w14:paraId="06F15F58">
      <w:pPr>
        <w:keepLines w:val="0"/>
        <w:pageBreakBefore w:val="0"/>
        <w:kinsoku/>
        <w:wordWrap/>
        <w:overflowPunct/>
        <w:topLinePunct w:val="0"/>
        <w:autoSpaceDE/>
        <w:autoSpaceDN/>
        <w:bidi w:val="0"/>
        <w:snapToGrid/>
        <w:spacing w:line="360" w:lineRule="auto"/>
        <w:jc w:val="left"/>
        <w:textAlignment w:val="auto"/>
        <w:outlineLvl w:val="9"/>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第六条  甲方权利和义务</w:t>
      </w:r>
    </w:p>
    <w:p w14:paraId="13A868A0">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1、甲方有权对食堂提出管理建议，包括服务方式、服务标准等；</w:t>
      </w:r>
    </w:p>
    <w:p w14:paraId="710CA4B1">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2、甲方有权监督、检查食堂工作秩序、食品卫生质量及规定范围的环境卫生；</w:t>
      </w:r>
    </w:p>
    <w:p w14:paraId="6F7E989A">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3、甲方有权对乙方配置的岗位人员进行审查，乙方对</w:t>
      </w:r>
      <w:r>
        <w:rPr>
          <w:rFonts w:hint="eastAsia" w:ascii="仿宋" w:hAnsi="仿宋" w:eastAsia="仿宋" w:cs="仿宋"/>
          <w:b w:val="0"/>
          <w:bCs w:val="0"/>
          <w:snapToGrid/>
          <w:color w:val="000000" w:themeColor="text1"/>
          <w:sz w:val="24"/>
          <w:szCs w:val="24"/>
          <w:highlight w:val="none"/>
          <w:shd w:val="clear" w:color="auto" w:fill="FFFFFF"/>
          <w:lang w:eastAsia="zh-CN"/>
          <w14:textFill>
            <w14:solidFill>
              <w14:schemeClr w14:val="tx1"/>
            </w14:solidFill>
          </w14:textFill>
        </w:rPr>
        <w:t>职工</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调整和处置应报请甲方审核同意；</w:t>
      </w:r>
    </w:p>
    <w:p w14:paraId="62CB926B">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4、为杜绝浪费，甲方有权对乙方使用的水、电、气进行管控，发现乙方有明显的浪费，甲方有权进行处罚，具体处罚标准按考评细则执行；</w:t>
      </w:r>
    </w:p>
    <w:p w14:paraId="09AC90AB">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5、甲方对乙方提供的每周菜谱有审核和更改的权利；</w:t>
      </w:r>
    </w:p>
    <w:p w14:paraId="5708E0A4">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6、在合同执行期间有以下情形之一的，甲方有权单方终止合同，且不退还履约保证金：</w:t>
      </w:r>
    </w:p>
    <w:p w14:paraId="5DFA44F1">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6.1乙方履约评价表分数连续有三个月不足70分的；</w:t>
      </w:r>
    </w:p>
    <w:p w14:paraId="1635F0BE">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6.2乙方在食品安全、服务质量方面出现重大问题的；</w:t>
      </w:r>
    </w:p>
    <w:p w14:paraId="0F175750">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6.3违反投标文书、合同及附件相关条款的；</w:t>
      </w:r>
    </w:p>
    <w:p w14:paraId="3A37A6EB">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6.4违反与甲方签订安全责任保证书条款的。</w:t>
      </w:r>
    </w:p>
    <w:p w14:paraId="7CB27751">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7、甲方作为资产的所有者，有权要求乙方保证资产、经营和用工的安全。乙方承诺自愿接受甲方的监督，保证资产、经营和用工的安全；</w:t>
      </w:r>
    </w:p>
    <w:p w14:paraId="185E9F99">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8、</w:t>
      </w:r>
      <w:bookmarkStart w:id="54" w:name="OLE_LINK11"/>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甲方免费</w:t>
      </w:r>
      <w:bookmarkEnd w:id="54"/>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提供食堂工作人员正常工作用餐（标准不得超出工作餐标准）及满足乙方正常服务的所有场地、厨房设备、用具及餐桌椅、消毒设备设施、消防器材等。保证餐厅内的水、电、气的正常供应；</w:t>
      </w:r>
    </w:p>
    <w:p w14:paraId="3D4C66E9">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lang w:val="en-US" w:eastAsia="zh-CN"/>
          <w14:textFill>
            <w14:solidFill>
              <w14:schemeClr w14:val="tx1"/>
            </w14:solidFill>
          </w14:textFill>
        </w:rPr>
        <w:t>9</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、甲方负责对乙方进行管理规章制度的培训（指甲方的各项规章制度）。负责食堂所有设备的维修及添置；</w:t>
      </w:r>
    </w:p>
    <w:p w14:paraId="1E25FBCC">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1</w:t>
      </w:r>
      <w:r>
        <w:rPr>
          <w:rFonts w:hint="eastAsia" w:ascii="仿宋" w:hAnsi="仿宋" w:eastAsia="仿宋" w:cs="仿宋"/>
          <w:b w:val="0"/>
          <w:bCs w:val="0"/>
          <w:snapToGrid/>
          <w:color w:val="000000" w:themeColor="text1"/>
          <w:sz w:val="24"/>
          <w:szCs w:val="24"/>
          <w:highlight w:val="none"/>
          <w:shd w:val="clear" w:color="auto" w:fill="FFFFFF"/>
          <w:lang w:val="en-US" w:eastAsia="zh-CN"/>
          <w14:textFill>
            <w14:solidFill>
              <w14:schemeClr w14:val="tx1"/>
            </w14:solidFill>
          </w14:textFill>
        </w:rPr>
        <w:t>0</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、甲方负责卡机、厨房设备、厨杂、物耗及办公用品添置和购买以及食堂内外维修；</w:t>
      </w:r>
    </w:p>
    <w:p w14:paraId="77789E11">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1</w:t>
      </w:r>
      <w:r>
        <w:rPr>
          <w:rFonts w:hint="eastAsia" w:ascii="仿宋" w:hAnsi="仿宋" w:eastAsia="仿宋" w:cs="仿宋"/>
          <w:b w:val="0"/>
          <w:bCs w:val="0"/>
          <w:snapToGrid/>
          <w:color w:val="000000" w:themeColor="text1"/>
          <w:sz w:val="24"/>
          <w:szCs w:val="24"/>
          <w:highlight w:val="none"/>
          <w:shd w:val="clear" w:color="auto" w:fill="FFFFFF"/>
          <w:lang w:val="en-US" w:eastAsia="zh-CN"/>
          <w14:textFill>
            <w14:solidFill>
              <w14:schemeClr w14:val="tx1"/>
            </w14:solidFill>
          </w14:textFill>
        </w:rPr>
        <w:t>1</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w:t>
      </w: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甲方负责食堂</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物料</w:t>
      </w: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消耗垃圾清运费、排污费；</w:t>
      </w:r>
    </w:p>
    <w:p w14:paraId="5C375FED">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1</w:t>
      </w:r>
      <w:r>
        <w:rPr>
          <w:rFonts w:hint="eastAsia" w:ascii="仿宋" w:hAnsi="仿宋" w:eastAsia="仿宋" w:cs="仿宋"/>
          <w:b w:val="0"/>
          <w:bCs w:val="0"/>
          <w:snapToGrid/>
          <w:color w:val="000000" w:themeColor="text1"/>
          <w:sz w:val="24"/>
          <w:szCs w:val="24"/>
          <w:highlight w:val="none"/>
          <w:shd w:val="clear" w:color="auto" w:fill="FFFFFF"/>
          <w:lang w:val="en-US" w:eastAsia="zh-CN"/>
          <w14:textFill>
            <w14:solidFill>
              <w14:schemeClr w14:val="tx1"/>
            </w14:solidFill>
          </w14:textFill>
        </w:rPr>
        <w:t>2</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、甲方负责所有的原材料采购及配送，保证品质、数量及时间，确保正常供餐。菜品未经乙方验收前质量由甲方负责；</w:t>
      </w:r>
    </w:p>
    <w:p w14:paraId="72CEF959">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1</w:t>
      </w:r>
      <w:r>
        <w:rPr>
          <w:rFonts w:hint="eastAsia" w:ascii="仿宋" w:hAnsi="仿宋" w:eastAsia="仿宋" w:cs="仿宋"/>
          <w:b w:val="0"/>
          <w:bCs w:val="0"/>
          <w:snapToGrid/>
          <w:color w:val="000000" w:themeColor="text1"/>
          <w:sz w:val="24"/>
          <w:szCs w:val="24"/>
          <w:highlight w:val="none"/>
          <w:shd w:val="clear" w:color="auto" w:fill="FFFFFF"/>
          <w:lang w:val="en-US" w:eastAsia="zh-CN"/>
          <w14:textFill>
            <w14:solidFill>
              <w14:schemeClr w14:val="tx1"/>
            </w14:solidFill>
          </w14:textFill>
        </w:rPr>
        <w:t>3</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、乙方从业人员不服从甲方管理，甲方有建议处置的权利。</w:t>
      </w:r>
    </w:p>
    <w:p w14:paraId="0D303AC3">
      <w:pPr>
        <w:keepLines w:val="0"/>
        <w:pageBreakBefore w:val="0"/>
        <w:kinsoku/>
        <w:wordWrap/>
        <w:overflowPunct/>
        <w:topLinePunct w:val="0"/>
        <w:autoSpaceDE/>
        <w:autoSpaceDN/>
        <w:bidi w:val="0"/>
        <w:snapToGrid/>
        <w:spacing w:line="360" w:lineRule="auto"/>
        <w:jc w:val="left"/>
        <w:textAlignment w:val="auto"/>
        <w:outlineLvl w:val="9"/>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 xml:space="preserve">第七条 </w:t>
      </w:r>
      <w:r>
        <w:rPr>
          <w:rFonts w:hint="eastAsia" w:ascii="仿宋" w:hAnsi="仿宋" w:eastAsia="仿宋" w:cs="仿宋"/>
          <w:b w:val="0"/>
          <w:bCs w:val="0"/>
          <w:color w:val="000000" w:themeColor="text1"/>
          <w:sz w:val="24"/>
          <w:szCs w:val="24"/>
          <w:highlight w:val="none"/>
          <w:shd w:val="clear" w:color="auto" w:fill="FFFFFF"/>
          <w:lang w:val="en-US"/>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乙方权利和义务</w:t>
      </w:r>
    </w:p>
    <w:p w14:paraId="01E71C37">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lang w:val="en-US" w:eastAsia="zh-CN"/>
          <w14:textFill>
            <w14:solidFill>
              <w14:schemeClr w14:val="tx1"/>
            </w14:solidFill>
          </w14:textFill>
        </w:rPr>
        <w:t>1</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、乙方从业人员由乙方聘用并负责，按甲方要求加强对从业人员每周进行培训和管理。所招聘的从业人员必须经过健康体检，持健康证且无不良记录方可上岗，按国家相关规定不得使用童工和高龄</w:t>
      </w:r>
      <w:r>
        <w:rPr>
          <w:rFonts w:hint="eastAsia" w:ascii="仿宋" w:hAnsi="仿宋" w:eastAsia="仿宋" w:cs="仿宋"/>
          <w:b w:val="0"/>
          <w:bCs w:val="0"/>
          <w:snapToGrid/>
          <w:color w:val="000000" w:themeColor="text1"/>
          <w:sz w:val="24"/>
          <w:szCs w:val="24"/>
          <w:highlight w:val="none"/>
          <w:shd w:val="clear" w:color="auto" w:fill="FFFFFF"/>
          <w:lang w:eastAsia="zh-CN"/>
          <w14:textFill>
            <w14:solidFill>
              <w14:schemeClr w14:val="tx1"/>
            </w14:solidFill>
          </w14:textFill>
        </w:rPr>
        <w:t>职工</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w:t>
      </w:r>
    </w:p>
    <w:p w14:paraId="2B9586B5">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lang w:val="en-US" w:eastAsia="zh-CN"/>
          <w14:textFill>
            <w14:solidFill>
              <w14:schemeClr w14:val="tx1"/>
            </w14:solidFill>
          </w14:textFill>
        </w:rPr>
        <w:t>2</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、乙方应按</w:t>
      </w:r>
      <w:r>
        <w:rPr>
          <w:rFonts w:hint="eastAsia" w:ascii="仿宋" w:hAnsi="仿宋" w:eastAsia="仿宋" w:cs="仿宋"/>
          <w:b w:val="0"/>
          <w:bCs w:val="0"/>
          <w:snapToGrid/>
          <w:color w:val="000000" w:themeColor="text1"/>
          <w:sz w:val="24"/>
          <w:szCs w:val="24"/>
          <w:highlight w:val="none"/>
          <w:shd w:val="clear" w:color="auto" w:fill="FFFFFF"/>
          <w:lang w:val="en-US" w:eastAsia="zh-CN"/>
          <w14:textFill>
            <w14:solidFill>
              <w14:schemeClr w14:val="tx1"/>
            </w14:solidFill>
          </w14:textFill>
        </w:rPr>
        <w:t>投标</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文件和甲方</w:t>
      </w:r>
      <w:r>
        <w:rPr>
          <w:rFonts w:hint="eastAsia" w:ascii="仿宋" w:hAnsi="仿宋" w:eastAsia="仿宋" w:cs="仿宋"/>
          <w:b w:val="0"/>
          <w:bCs w:val="0"/>
          <w:snapToGrid/>
          <w:color w:val="000000" w:themeColor="text1"/>
          <w:sz w:val="24"/>
          <w:szCs w:val="24"/>
          <w:highlight w:val="none"/>
          <w:shd w:val="clear" w:color="auto" w:fill="FFFFFF"/>
          <w:lang w:val="en-US" w:eastAsia="zh-CN"/>
          <w14:textFill>
            <w14:solidFill>
              <w14:schemeClr w14:val="tx1"/>
            </w14:solidFill>
          </w14:textFill>
        </w:rPr>
        <w:t>招标</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文件的规定支付给</w:t>
      </w:r>
      <w:r>
        <w:rPr>
          <w:rFonts w:hint="eastAsia" w:ascii="仿宋" w:hAnsi="仿宋" w:eastAsia="仿宋" w:cs="仿宋"/>
          <w:b w:val="0"/>
          <w:bCs w:val="0"/>
          <w:snapToGrid/>
          <w:color w:val="000000" w:themeColor="text1"/>
          <w:sz w:val="24"/>
          <w:szCs w:val="24"/>
          <w:highlight w:val="none"/>
          <w:shd w:val="clear" w:color="auto" w:fill="FFFFFF"/>
          <w:lang w:eastAsia="zh-CN"/>
          <w14:textFill>
            <w14:solidFill>
              <w14:schemeClr w14:val="tx1"/>
            </w14:solidFill>
          </w14:textFill>
        </w:rPr>
        <w:t>职工</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工资、各项福利待遇，并按照国家有关规定为职工办理入职和社保等有关手续；</w:t>
      </w:r>
    </w:p>
    <w:p w14:paraId="4C7757B5">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lang w:val="en-US" w:eastAsia="zh-CN"/>
          <w14:textFill>
            <w14:solidFill>
              <w14:schemeClr w14:val="tx1"/>
            </w14:solidFill>
          </w14:textFill>
        </w:rPr>
        <w:t>3</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、乙方聘用或解聘</w:t>
      </w:r>
      <w:r>
        <w:rPr>
          <w:rFonts w:hint="eastAsia" w:ascii="仿宋" w:hAnsi="仿宋" w:eastAsia="仿宋" w:cs="仿宋"/>
          <w:b w:val="0"/>
          <w:bCs w:val="0"/>
          <w:snapToGrid/>
          <w:color w:val="000000" w:themeColor="text1"/>
          <w:sz w:val="24"/>
          <w:szCs w:val="24"/>
          <w:highlight w:val="none"/>
          <w:shd w:val="clear" w:color="auto" w:fill="FFFFFF"/>
          <w:lang w:eastAsia="zh-CN"/>
          <w14:textFill>
            <w14:solidFill>
              <w14:schemeClr w14:val="tx1"/>
            </w14:solidFill>
          </w14:textFill>
        </w:rPr>
        <w:t>职工</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发生的各种劳动争议纠纷，由乙方自行承担全部责任（含经济和法律责任）；</w:t>
      </w:r>
    </w:p>
    <w:p w14:paraId="0931425B">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lang w:val="en-US" w:eastAsia="zh-CN"/>
          <w14:textFill>
            <w14:solidFill>
              <w14:schemeClr w14:val="tx1"/>
            </w14:solidFill>
          </w14:textFill>
        </w:rPr>
        <w:t>4</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、乙方应当妥善解决与</w:t>
      </w:r>
      <w:r>
        <w:rPr>
          <w:rFonts w:hint="eastAsia" w:ascii="仿宋" w:hAnsi="仿宋" w:eastAsia="仿宋" w:cs="仿宋"/>
          <w:b w:val="0"/>
          <w:bCs w:val="0"/>
          <w:snapToGrid/>
          <w:color w:val="000000" w:themeColor="text1"/>
          <w:sz w:val="24"/>
          <w:szCs w:val="24"/>
          <w:highlight w:val="none"/>
          <w:shd w:val="clear" w:color="auto" w:fill="FFFFFF"/>
          <w:lang w:eastAsia="zh-CN"/>
          <w14:textFill>
            <w14:solidFill>
              <w14:schemeClr w14:val="tx1"/>
            </w14:solidFill>
          </w14:textFill>
        </w:rPr>
        <w:t>职工</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的各种争议纠纷，绝对禁止发生打架斗殴、寻衅滋事、聚众闹事等妨碍甲方正常工作秩序的行为，否则，乙方应赔偿由此给甲方造成的一切损失，且甲方有权解除本合同；</w:t>
      </w:r>
    </w:p>
    <w:p w14:paraId="46DCDC17">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lang w:val="en-US" w:eastAsia="zh-CN"/>
          <w14:textFill>
            <w14:solidFill>
              <w14:schemeClr w14:val="tx1"/>
            </w14:solidFill>
          </w14:textFill>
        </w:rPr>
        <w:t>5</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、做好餐厅及周边的所属区域清洁卫生；</w:t>
      </w:r>
    </w:p>
    <w:p w14:paraId="25CDB046">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lang w:val="en-US" w:eastAsia="zh-CN"/>
          <w14:textFill>
            <w14:solidFill>
              <w14:schemeClr w14:val="tx1"/>
            </w14:solidFill>
          </w14:textFill>
        </w:rPr>
        <w:t>6</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、乙方不得提供、使用、出售任何变质或受污染的食物；</w:t>
      </w:r>
    </w:p>
    <w:p w14:paraId="3799A1C2">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lang w:val="en-US" w:eastAsia="zh-CN"/>
          <w14:textFill>
            <w14:solidFill>
              <w14:schemeClr w14:val="tx1"/>
            </w14:solidFill>
          </w14:textFill>
        </w:rPr>
        <w:t>7</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、乙方在合同期内不得私自抵押、转租、转包；</w:t>
      </w:r>
    </w:p>
    <w:p w14:paraId="2F2E6200">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lang w:val="en-US" w:eastAsia="zh-CN"/>
          <w14:textFill>
            <w14:solidFill>
              <w14:schemeClr w14:val="tx1"/>
            </w14:solidFill>
          </w14:textFill>
        </w:rPr>
        <w:t>8</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、乙方不得在场地内从事未经甲方批准的经营活动；</w:t>
      </w:r>
    </w:p>
    <w:p w14:paraId="49E4CA29">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lang w:val="en-US" w:eastAsia="zh-CN"/>
          <w14:textFill>
            <w14:solidFill>
              <w14:schemeClr w14:val="tx1"/>
            </w14:solidFill>
          </w14:textFill>
        </w:rPr>
        <w:t>9</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、乙方负责保障法定工作日甲方</w:t>
      </w:r>
      <w:r>
        <w:rPr>
          <w:rFonts w:hint="eastAsia" w:ascii="仿宋" w:hAnsi="仿宋" w:eastAsia="仿宋" w:cs="仿宋"/>
          <w:b w:val="0"/>
          <w:bCs w:val="0"/>
          <w:snapToGrid/>
          <w:color w:val="000000" w:themeColor="text1"/>
          <w:sz w:val="24"/>
          <w:szCs w:val="24"/>
          <w:highlight w:val="none"/>
          <w:shd w:val="clear" w:color="auto" w:fill="FFFFFF"/>
          <w:lang w:eastAsia="zh-CN"/>
          <w14:textFill>
            <w14:solidFill>
              <w14:schemeClr w14:val="tx1"/>
            </w14:solidFill>
          </w14:textFill>
        </w:rPr>
        <w:t>职工</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（早、午、晚）餐和公务接待用餐，其时间按甲方要求执行，须准时开餐，做到色香味美；</w:t>
      </w:r>
    </w:p>
    <w:p w14:paraId="69A83D35">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1</w:t>
      </w:r>
      <w:r>
        <w:rPr>
          <w:rFonts w:hint="eastAsia" w:ascii="仿宋" w:hAnsi="仿宋" w:eastAsia="仿宋" w:cs="仿宋"/>
          <w:b w:val="0"/>
          <w:bCs w:val="0"/>
          <w:snapToGrid/>
          <w:color w:val="000000" w:themeColor="text1"/>
          <w:sz w:val="24"/>
          <w:szCs w:val="24"/>
          <w:highlight w:val="none"/>
          <w:shd w:val="clear" w:color="auto" w:fill="FFFFFF"/>
          <w:lang w:val="en-US" w:eastAsia="zh-CN"/>
          <w14:textFill>
            <w14:solidFill>
              <w14:schemeClr w14:val="tx1"/>
            </w14:solidFill>
          </w14:textFill>
        </w:rPr>
        <w:t>0</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 xml:space="preserve">、甲方采购的原材料经乙方检测验收后，菜品的质量安全由乙方负责。乙方应对原材料进行质量监督检验（特别是原材料的农药残留、腐烂变质等检验），确保原材料质量、安全； </w:t>
      </w:r>
    </w:p>
    <w:p w14:paraId="41BF38E7">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1</w:t>
      </w:r>
      <w:r>
        <w:rPr>
          <w:rFonts w:hint="eastAsia" w:ascii="仿宋" w:hAnsi="仿宋" w:eastAsia="仿宋" w:cs="仿宋"/>
          <w:b w:val="0"/>
          <w:bCs w:val="0"/>
          <w:snapToGrid/>
          <w:color w:val="000000" w:themeColor="text1"/>
          <w:sz w:val="24"/>
          <w:szCs w:val="24"/>
          <w:highlight w:val="none"/>
          <w:shd w:val="clear" w:color="auto" w:fill="FFFFFF"/>
          <w:lang w:val="en-US" w:eastAsia="zh-CN"/>
          <w14:textFill>
            <w14:solidFill>
              <w14:schemeClr w14:val="tx1"/>
            </w14:solidFill>
          </w14:textFill>
        </w:rPr>
        <w:t>1</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w:t>
      </w: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若发生因食品加工等问题出现食物中毒事故，乙方应配合甲方处理一切责任事故，若因乙方</w:t>
      </w:r>
      <w:r>
        <w:rPr>
          <w:rFonts w:hint="eastAsia" w:ascii="仿宋" w:hAnsi="仿宋" w:eastAsia="仿宋" w:cs="仿宋"/>
          <w:b w:val="0"/>
          <w:bCs w:val="0"/>
          <w:color w:val="000000" w:themeColor="text1"/>
          <w:sz w:val="24"/>
          <w:szCs w:val="24"/>
          <w:highlight w:val="none"/>
          <w:shd w:val="clear" w:color="auto" w:fill="FFFFFF"/>
          <w:lang w:eastAsia="zh-CN"/>
          <w14:textFill>
            <w14:solidFill>
              <w14:schemeClr w14:val="tx1"/>
            </w14:solidFill>
          </w14:textFill>
        </w:rPr>
        <w:t>职工</w:t>
      </w: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疏忽导致，则由乙方进行处理并承担相应的赔偿责任如因食品质量问题引起就餐</w:t>
      </w:r>
      <w:r>
        <w:rPr>
          <w:rFonts w:hint="eastAsia" w:ascii="仿宋" w:hAnsi="仿宋" w:eastAsia="仿宋" w:cs="仿宋"/>
          <w:b w:val="0"/>
          <w:bCs w:val="0"/>
          <w:color w:val="000000" w:themeColor="text1"/>
          <w:sz w:val="24"/>
          <w:szCs w:val="24"/>
          <w:highlight w:val="none"/>
          <w:shd w:val="clear" w:color="auto" w:fill="FFFFFF"/>
          <w:lang w:eastAsia="zh-CN"/>
          <w14:textFill>
            <w14:solidFill>
              <w14:schemeClr w14:val="tx1"/>
            </w14:solidFill>
          </w14:textFill>
        </w:rPr>
        <w:t>职工</w:t>
      </w: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恶心、呕吐、中毒等事件，一经证实，乙方除赔偿甲方损失之外，还要承担因质量问题而产生的全部责任，包括但不限于甲方</w:t>
      </w:r>
      <w:r>
        <w:rPr>
          <w:rFonts w:hint="eastAsia" w:ascii="仿宋" w:hAnsi="仿宋" w:eastAsia="仿宋" w:cs="仿宋"/>
          <w:b w:val="0"/>
          <w:bCs w:val="0"/>
          <w:color w:val="000000" w:themeColor="text1"/>
          <w:sz w:val="24"/>
          <w:szCs w:val="24"/>
          <w:highlight w:val="none"/>
          <w:shd w:val="clear" w:color="auto" w:fill="FFFFFF"/>
          <w:lang w:eastAsia="zh-CN"/>
          <w14:textFill>
            <w14:solidFill>
              <w14:schemeClr w14:val="tx1"/>
            </w14:solidFill>
          </w14:textFill>
        </w:rPr>
        <w:t>职工</w:t>
      </w: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的医疗费、误工费、住院伙食补助费、护理费等费用，以及甲方或甲方</w:t>
      </w:r>
      <w:r>
        <w:rPr>
          <w:rFonts w:hint="eastAsia" w:ascii="仿宋" w:hAnsi="仿宋" w:eastAsia="仿宋" w:cs="仿宋"/>
          <w:b w:val="0"/>
          <w:bCs w:val="0"/>
          <w:color w:val="000000" w:themeColor="text1"/>
          <w:sz w:val="24"/>
          <w:szCs w:val="24"/>
          <w:highlight w:val="none"/>
          <w:shd w:val="clear" w:color="auto" w:fill="FFFFFF"/>
          <w:lang w:eastAsia="zh-CN"/>
          <w14:textFill>
            <w14:solidFill>
              <w14:schemeClr w14:val="tx1"/>
            </w14:solidFill>
          </w14:textFill>
        </w:rPr>
        <w:t>职工</w:t>
      </w: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起诉所聘请的律师诉讼代理费、差旅费、交通费、诉讼费和鉴定费等费用；</w:t>
      </w:r>
    </w:p>
    <w:p w14:paraId="4C966479">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1</w:t>
      </w:r>
      <w:r>
        <w:rPr>
          <w:rFonts w:hint="eastAsia" w:ascii="仿宋" w:hAnsi="仿宋" w:eastAsia="仿宋" w:cs="仿宋"/>
          <w:b w:val="0"/>
          <w:bCs w:val="0"/>
          <w:snapToGrid/>
          <w:color w:val="000000" w:themeColor="text1"/>
          <w:sz w:val="24"/>
          <w:szCs w:val="24"/>
          <w:highlight w:val="none"/>
          <w:shd w:val="clear" w:color="auto" w:fill="FFFFFF"/>
          <w:lang w:val="en-US" w:eastAsia="zh-CN"/>
          <w14:textFill>
            <w14:solidFill>
              <w14:schemeClr w14:val="tx1"/>
            </w14:solidFill>
          </w14:textFill>
        </w:rPr>
        <w:t>2</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、乙方需将每餐制作好的菜品保留小样，用作甲方及卫生管理部门抽查，出现食品卫生安全责任事故由乙方承担所有责任（含法律责任）及经济赔偿；</w:t>
      </w:r>
    </w:p>
    <w:p w14:paraId="79F975A8">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1</w:t>
      </w:r>
      <w:r>
        <w:rPr>
          <w:rFonts w:hint="eastAsia" w:ascii="仿宋" w:hAnsi="仿宋" w:eastAsia="仿宋" w:cs="仿宋"/>
          <w:b w:val="0"/>
          <w:bCs w:val="0"/>
          <w:snapToGrid/>
          <w:color w:val="000000" w:themeColor="text1"/>
          <w:sz w:val="24"/>
          <w:szCs w:val="24"/>
          <w:highlight w:val="none"/>
          <w:shd w:val="clear" w:color="auto" w:fill="FFFFFF"/>
          <w:lang w:val="en-US" w:eastAsia="zh-CN"/>
          <w14:textFill>
            <w14:solidFill>
              <w14:schemeClr w14:val="tx1"/>
            </w14:solidFill>
          </w14:textFill>
        </w:rPr>
        <w:t>3</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、乙方应根据甲方</w:t>
      </w:r>
      <w:r>
        <w:rPr>
          <w:rFonts w:hint="eastAsia" w:ascii="仿宋" w:hAnsi="仿宋" w:eastAsia="仿宋" w:cs="仿宋"/>
          <w:b w:val="0"/>
          <w:bCs w:val="0"/>
          <w:snapToGrid/>
          <w:color w:val="000000" w:themeColor="text1"/>
          <w:sz w:val="24"/>
          <w:szCs w:val="24"/>
          <w:highlight w:val="none"/>
          <w:shd w:val="clear" w:color="auto" w:fill="FFFFFF"/>
          <w:lang w:eastAsia="zh-CN"/>
          <w14:textFill>
            <w14:solidFill>
              <w14:schemeClr w14:val="tx1"/>
            </w14:solidFill>
          </w14:textFill>
        </w:rPr>
        <w:t>职工</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口味及季节变化制作每周菜谱，不断提高饭菜质量，努力实现花色品种多样化，营养搭配科学化；</w:t>
      </w:r>
    </w:p>
    <w:p w14:paraId="3DD2C83E">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1</w:t>
      </w:r>
      <w:r>
        <w:rPr>
          <w:rFonts w:hint="eastAsia" w:ascii="仿宋" w:hAnsi="仿宋" w:eastAsia="仿宋" w:cs="仿宋"/>
          <w:b w:val="0"/>
          <w:bCs w:val="0"/>
          <w:snapToGrid/>
          <w:color w:val="000000" w:themeColor="text1"/>
          <w:sz w:val="24"/>
          <w:szCs w:val="24"/>
          <w:highlight w:val="none"/>
          <w:shd w:val="clear" w:color="auto" w:fill="FFFFFF"/>
          <w:lang w:val="en-US" w:eastAsia="zh-CN"/>
          <w14:textFill>
            <w14:solidFill>
              <w14:schemeClr w14:val="tx1"/>
            </w14:solidFill>
          </w14:textFill>
        </w:rPr>
        <w:t>4</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、乙方应在每周四前向甲方提交下一周的食谱，待甲方确认后遵照执行；</w:t>
      </w:r>
    </w:p>
    <w:p w14:paraId="1BB0D0A1">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1</w:t>
      </w:r>
      <w:r>
        <w:rPr>
          <w:rFonts w:hint="eastAsia" w:ascii="仿宋" w:hAnsi="仿宋" w:eastAsia="仿宋" w:cs="仿宋"/>
          <w:b w:val="0"/>
          <w:bCs w:val="0"/>
          <w:snapToGrid/>
          <w:color w:val="000000" w:themeColor="text1"/>
          <w:sz w:val="24"/>
          <w:szCs w:val="24"/>
          <w:highlight w:val="none"/>
          <w:shd w:val="clear" w:color="auto" w:fill="FFFFFF"/>
          <w:lang w:val="en-US" w:eastAsia="zh-CN"/>
          <w14:textFill>
            <w14:solidFill>
              <w14:schemeClr w14:val="tx1"/>
            </w14:solidFill>
          </w14:textFill>
        </w:rPr>
        <w:t>5</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、保管和使用好甲方提供的工作场地、设备设施、炊事工具等，合同结束时须按交接清单如数交回；</w:t>
      </w:r>
    </w:p>
    <w:p w14:paraId="0FA2B0F0">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1</w:t>
      </w:r>
      <w:r>
        <w:rPr>
          <w:rFonts w:hint="eastAsia" w:ascii="仿宋" w:hAnsi="仿宋" w:eastAsia="仿宋" w:cs="仿宋"/>
          <w:b w:val="0"/>
          <w:bCs w:val="0"/>
          <w:snapToGrid/>
          <w:color w:val="000000" w:themeColor="text1"/>
          <w:sz w:val="24"/>
          <w:szCs w:val="24"/>
          <w:highlight w:val="none"/>
          <w:shd w:val="clear" w:color="auto" w:fill="FFFFFF"/>
          <w:lang w:val="en-US" w:eastAsia="zh-CN"/>
          <w14:textFill>
            <w14:solidFill>
              <w14:schemeClr w14:val="tx1"/>
            </w14:solidFill>
          </w14:textFill>
        </w:rPr>
        <w:t>6</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、乙方</w:t>
      </w:r>
      <w:r>
        <w:rPr>
          <w:rFonts w:hint="eastAsia" w:ascii="仿宋" w:hAnsi="仿宋" w:eastAsia="仿宋" w:cs="仿宋"/>
          <w:b w:val="0"/>
          <w:bCs w:val="0"/>
          <w:snapToGrid/>
          <w:color w:val="000000" w:themeColor="text1"/>
          <w:sz w:val="24"/>
          <w:szCs w:val="24"/>
          <w:highlight w:val="none"/>
          <w:shd w:val="clear" w:color="auto" w:fill="FFFFFF"/>
          <w:lang w:eastAsia="zh-CN"/>
          <w14:textFill>
            <w14:solidFill>
              <w14:schemeClr w14:val="tx1"/>
            </w14:solidFill>
          </w14:textFill>
        </w:rPr>
        <w:t>职工</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住宿问题由乙方自行解决；</w:t>
      </w:r>
    </w:p>
    <w:p w14:paraId="49029BDA">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1</w:t>
      </w:r>
      <w:r>
        <w:rPr>
          <w:rFonts w:hint="eastAsia" w:ascii="仿宋" w:hAnsi="仿宋" w:eastAsia="仿宋" w:cs="仿宋"/>
          <w:b w:val="0"/>
          <w:bCs w:val="0"/>
          <w:snapToGrid/>
          <w:color w:val="000000" w:themeColor="text1"/>
          <w:sz w:val="24"/>
          <w:szCs w:val="24"/>
          <w:highlight w:val="none"/>
          <w:shd w:val="clear" w:color="auto" w:fill="FFFFFF"/>
          <w:lang w:val="en-US" w:eastAsia="zh-CN"/>
          <w14:textFill>
            <w14:solidFill>
              <w14:schemeClr w14:val="tx1"/>
            </w14:solidFill>
          </w14:textFill>
        </w:rPr>
        <w:t>7</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、为保证能源使用节约，乙方必须制定能源节约使用管理规定；</w:t>
      </w:r>
    </w:p>
    <w:p w14:paraId="27249331">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1</w:t>
      </w:r>
      <w:r>
        <w:rPr>
          <w:rFonts w:hint="eastAsia" w:ascii="仿宋" w:hAnsi="仿宋" w:eastAsia="仿宋" w:cs="仿宋"/>
          <w:b w:val="0"/>
          <w:bCs w:val="0"/>
          <w:snapToGrid/>
          <w:color w:val="000000" w:themeColor="text1"/>
          <w:sz w:val="24"/>
          <w:szCs w:val="24"/>
          <w:highlight w:val="none"/>
          <w:shd w:val="clear" w:color="auto" w:fill="FFFFFF"/>
          <w:lang w:val="en-US" w:eastAsia="zh-CN"/>
          <w14:textFill>
            <w14:solidFill>
              <w14:schemeClr w14:val="tx1"/>
            </w14:solidFill>
          </w14:textFill>
        </w:rPr>
        <w:t>8</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乙方应对所属食堂工作人员进行安全教育、安全培训、安全检查，确保工作安全。特别要做好食品卫生安全、压力容器安全、水电安全、消防安全、生产安全等各项安全卫生工作，乙方要承担整个经营过程中出现的安全事故责任；</w:t>
      </w:r>
    </w:p>
    <w:p w14:paraId="45768717">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lang w:val="en-US" w:eastAsia="zh-CN"/>
          <w14:textFill>
            <w14:solidFill>
              <w14:schemeClr w14:val="tx1"/>
            </w14:solidFill>
          </w14:textFill>
        </w:rPr>
        <w:t>19</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乙方依据《劳动合同法》与食堂工作人员签订劳动合同。负责提供统一制式服装（一年四套，夏、冬装各2套）、工作帽，必须着装上岗，自觉遵守本行业的操作规程，严格遵守甲方的各项规章制度及保密制度。乙方应将所有在甲方的服务及管理人员基本情况交由甲方备案；</w:t>
      </w:r>
    </w:p>
    <w:p w14:paraId="6D7DA983">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2</w:t>
      </w:r>
      <w:r>
        <w:rPr>
          <w:rFonts w:hint="eastAsia" w:ascii="仿宋" w:hAnsi="仿宋" w:eastAsia="仿宋" w:cs="仿宋"/>
          <w:b w:val="0"/>
          <w:bCs w:val="0"/>
          <w:snapToGrid/>
          <w:color w:val="000000" w:themeColor="text1"/>
          <w:sz w:val="24"/>
          <w:szCs w:val="24"/>
          <w:highlight w:val="none"/>
          <w:shd w:val="clear" w:color="auto" w:fill="FFFFFF"/>
          <w:lang w:val="en-US" w:eastAsia="zh-CN"/>
          <w14:textFill>
            <w14:solidFill>
              <w14:schemeClr w14:val="tx1"/>
            </w14:solidFill>
          </w14:textFill>
        </w:rPr>
        <w:t>0</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、乙方应当保证甲方设施的安全性和完整性，不得随意改变设施的结构和使用功能；</w:t>
      </w:r>
    </w:p>
    <w:p w14:paraId="27ED9F50">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2</w:t>
      </w:r>
      <w:r>
        <w:rPr>
          <w:rFonts w:hint="eastAsia" w:ascii="仿宋" w:hAnsi="仿宋" w:eastAsia="仿宋" w:cs="仿宋"/>
          <w:b w:val="0"/>
          <w:bCs w:val="0"/>
          <w:snapToGrid/>
          <w:color w:val="000000" w:themeColor="text1"/>
          <w:sz w:val="24"/>
          <w:szCs w:val="24"/>
          <w:highlight w:val="none"/>
          <w:shd w:val="clear" w:color="auto" w:fill="FFFFFF"/>
          <w:lang w:val="en-US" w:eastAsia="zh-CN"/>
          <w14:textFill>
            <w14:solidFill>
              <w14:schemeClr w14:val="tx1"/>
            </w14:solidFill>
          </w14:textFill>
        </w:rPr>
        <w:t>1</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、乙方须加强</w:t>
      </w:r>
      <w:r>
        <w:rPr>
          <w:rFonts w:hint="eastAsia" w:ascii="仿宋" w:hAnsi="仿宋" w:eastAsia="仿宋" w:cs="仿宋"/>
          <w:b w:val="0"/>
          <w:bCs w:val="0"/>
          <w:snapToGrid/>
          <w:color w:val="000000" w:themeColor="text1"/>
          <w:sz w:val="24"/>
          <w:szCs w:val="24"/>
          <w:highlight w:val="none"/>
          <w:shd w:val="clear" w:color="auto" w:fill="FFFFFF"/>
          <w:lang w:eastAsia="zh-CN"/>
          <w14:textFill>
            <w14:solidFill>
              <w14:schemeClr w14:val="tx1"/>
            </w14:solidFill>
          </w14:textFill>
        </w:rPr>
        <w:t>职工</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管理，不得损坏厨房设施设备，或故意浪费餐厅原材料，如发现此类行为，对乙方处以相应费用2倍的罚款，甲方并保留追诉的权力；</w:t>
      </w:r>
    </w:p>
    <w:p w14:paraId="4181EA9A">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2</w:t>
      </w:r>
      <w:r>
        <w:rPr>
          <w:rFonts w:hint="eastAsia" w:ascii="仿宋" w:hAnsi="仿宋" w:eastAsia="仿宋" w:cs="仿宋"/>
          <w:b w:val="0"/>
          <w:bCs w:val="0"/>
          <w:snapToGrid/>
          <w:color w:val="000000" w:themeColor="text1"/>
          <w:sz w:val="24"/>
          <w:szCs w:val="24"/>
          <w:highlight w:val="none"/>
          <w:shd w:val="clear" w:color="auto" w:fill="FFFFFF"/>
          <w:lang w:val="en-US" w:eastAsia="zh-CN"/>
          <w14:textFill>
            <w14:solidFill>
              <w14:schemeClr w14:val="tx1"/>
            </w14:solidFill>
          </w14:textFill>
        </w:rPr>
        <w:t>2</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、乙方工作人员在工作期间（包括上下班途中）因疾病、工伤、意外伤害、疾病传染、劳动保护、职业病等大小安全事故由乙方承担全部责任（含法律责任及经济赔偿等）；</w:t>
      </w:r>
    </w:p>
    <w:p w14:paraId="61CA97C7">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2</w:t>
      </w:r>
      <w:r>
        <w:rPr>
          <w:rFonts w:hint="eastAsia" w:ascii="仿宋" w:hAnsi="仿宋" w:eastAsia="仿宋" w:cs="仿宋"/>
          <w:b w:val="0"/>
          <w:bCs w:val="0"/>
          <w:snapToGrid/>
          <w:color w:val="000000" w:themeColor="text1"/>
          <w:sz w:val="24"/>
          <w:szCs w:val="24"/>
          <w:highlight w:val="none"/>
          <w:shd w:val="clear" w:color="auto" w:fill="FFFFFF"/>
          <w:lang w:val="en-US" w:eastAsia="zh-CN"/>
          <w14:textFill>
            <w14:solidFill>
              <w14:schemeClr w14:val="tx1"/>
            </w14:solidFill>
          </w14:textFill>
        </w:rPr>
        <w:t>3</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、基建、电源、设备设施等相关的安全隐患，乙方应及时以书面汇报给甲方，期间乙方应做好相应的应急措施，如乙方未按规定操作而导致的安全事故由乙方负责；</w:t>
      </w:r>
    </w:p>
    <w:p w14:paraId="77BB1A0C">
      <w:pPr>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2</w:t>
      </w:r>
      <w:r>
        <w:rPr>
          <w:rFonts w:hint="eastAsia" w:ascii="仿宋" w:hAnsi="仿宋" w:eastAsia="仿宋" w:cs="仿宋"/>
          <w:b w:val="0"/>
          <w:bCs w:val="0"/>
          <w:color w:val="000000" w:themeColor="text1"/>
          <w:sz w:val="24"/>
          <w:szCs w:val="24"/>
          <w:highlight w:val="none"/>
          <w:shd w:val="clear" w:color="auto" w:fill="FFFFFF"/>
          <w:lang w:val="en-US" w:eastAsia="zh-CN"/>
          <w14:textFill>
            <w14:solidFill>
              <w14:schemeClr w14:val="tx1"/>
            </w14:solidFill>
          </w14:textFill>
        </w:rPr>
        <w:t>4</w:t>
      </w: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、除甲方提供的设施、设备、用具、易耗品以外，乙方须自行承担食堂服务人员的薪酬、福利、保险等一切因服务产生的人工成本费用，按甲方要求定期更换工作服等其他必须更换或提升的项目；</w:t>
      </w:r>
    </w:p>
    <w:p w14:paraId="03271883">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2</w:t>
      </w:r>
      <w:r>
        <w:rPr>
          <w:rFonts w:hint="eastAsia" w:ascii="仿宋" w:hAnsi="仿宋" w:eastAsia="仿宋" w:cs="仿宋"/>
          <w:b w:val="0"/>
          <w:bCs w:val="0"/>
          <w:snapToGrid/>
          <w:color w:val="000000" w:themeColor="text1"/>
          <w:sz w:val="24"/>
          <w:szCs w:val="24"/>
          <w:highlight w:val="none"/>
          <w:shd w:val="clear" w:color="auto" w:fill="FFFFFF"/>
          <w:lang w:val="en-US" w:eastAsia="zh-CN"/>
          <w14:textFill>
            <w14:solidFill>
              <w14:schemeClr w14:val="tx1"/>
            </w14:solidFill>
          </w14:textFill>
        </w:rPr>
        <w:t>5</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、乙方应至少提前7个工作日提交应由甲方购买的各类低值损耗物品采购计划，以便及时采购；</w:t>
      </w:r>
    </w:p>
    <w:p w14:paraId="5EB91271">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2</w:t>
      </w:r>
      <w:r>
        <w:rPr>
          <w:rFonts w:hint="eastAsia" w:ascii="仿宋" w:hAnsi="仿宋" w:eastAsia="仿宋" w:cs="仿宋"/>
          <w:b w:val="0"/>
          <w:bCs w:val="0"/>
          <w:snapToGrid/>
          <w:color w:val="000000" w:themeColor="text1"/>
          <w:sz w:val="24"/>
          <w:szCs w:val="24"/>
          <w:highlight w:val="none"/>
          <w:shd w:val="clear" w:color="auto" w:fill="FFFFFF"/>
          <w:lang w:val="en-US" w:eastAsia="zh-CN"/>
          <w14:textFill>
            <w14:solidFill>
              <w14:schemeClr w14:val="tx1"/>
            </w14:solidFill>
          </w14:textFill>
        </w:rPr>
        <w:t>6</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、乙方须和甲方签订《食堂安全责任书》。</w:t>
      </w:r>
    </w:p>
    <w:p w14:paraId="6203E603">
      <w:pPr>
        <w:keepLines w:val="0"/>
        <w:pageBreakBefore w:val="0"/>
        <w:kinsoku/>
        <w:wordWrap/>
        <w:overflowPunct/>
        <w:topLinePunct w:val="0"/>
        <w:autoSpaceDE/>
        <w:autoSpaceDN/>
        <w:bidi w:val="0"/>
        <w:snapToGrid/>
        <w:spacing w:line="360" w:lineRule="auto"/>
        <w:jc w:val="left"/>
        <w:textAlignment w:val="auto"/>
        <w:outlineLvl w:val="9"/>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 xml:space="preserve">第八条 </w:t>
      </w:r>
      <w:r>
        <w:rPr>
          <w:rFonts w:hint="eastAsia" w:ascii="仿宋" w:hAnsi="仿宋" w:eastAsia="仿宋" w:cs="仿宋"/>
          <w:b w:val="0"/>
          <w:bCs w:val="0"/>
          <w:color w:val="000000" w:themeColor="text1"/>
          <w:sz w:val="24"/>
          <w:szCs w:val="24"/>
          <w:highlight w:val="none"/>
          <w:shd w:val="clear" w:color="auto" w:fill="FFFFFF"/>
          <w:lang w:val="en-US"/>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违约责任</w:t>
      </w:r>
    </w:p>
    <w:p w14:paraId="30398207">
      <w:pPr>
        <w:pStyle w:val="215"/>
        <w:keepLines w:val="0"/>
        <w:pageBreakBefore w:val="0"/>
        <w:kinsoku/>
        <w:wordWrap/>
        <w:overflowPunct/>
        <w:topLinePunct w:val="0"/>
        <w:autoSpaceDE/>
        <w:autoSpaceDN/>
        <w:bidi w:val="0"/>
        <w:snapToGrid/>
        <w:spacing w:line="360" w:lineRule="auto"/>
        <w:ind w:firstLine="560"/>
        <w:jc w:val="left"/>
        <w:textAlignment w:val="auto"/>
        <w:outlineLvl w:val="9"/>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1、合同期间，因乙方责任给甲方造成严重损失或不良影响，甲方有权</w:t>
      </w:r>
      <w:r>
        <w:rPr>
          <w:rFonts w:hint="eastAsia" w:ascii="仿宋" w:hAnsi="仿宋" w:eastAsia="仿宋" w:cs="仿宋"/>
          <w:b w:val="0"/>
          <w:bCs w:val="0"/>
          <w:snapToGrid/>
          <w:color w:val="000000" w:themeColor="text1"/>
          <w:sz w:val="24"/>
          <w:szCs w:val="24"/>
          <w:highlight w:val="none"/>
          <w:shd w:val="clear" w:color="auto" w:fill="FFFFFF"/>
          <w:lang w:val="en-US" w:eastAsia="zh-CN"/>
          <w14:textFill>
            <w14:solidFill>
              <w14:schemeClr w14:val="tx1"/>
            </w14:solidFill>
          </w14:textFill>
        </w:rPr>
        <w:t>立即</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单方解除服务合同</w:t>
      </w:r>
      <w:r>
        <w:rPr>
          <w:rFonts w:hint="eastAsia" w:ascii="仿宋" w:hAnsi="仿宋" w:eastAsia="仿宋" w:cs="仿宋"/>
          <w:b w:val="0"/>
          <w:bCs w:val="0"/>
          <w:snapToGrid/>
          <w:color w:val="000000" w:themeColor="text1"/>
          <w:sz w:val="24"/>
          <w:szCs w:val="24"/>
          <w:highlight w:val="none"/>
          <w:shd w:val="clear" w:color="auto" w:fill="FFFFFF"/>
          <w:lang w:val="en-US" w:eastAsia="zh-CN"/>
          <w14:textFill>
            <w14:solidFill>
              <w14:schemeClr w14:val="tx1"/>
            </w14:solidFill>
          </w14:textFill>
        </w:rPr>
        <w:t>并生效</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w:t>
      </w:r>
    </w:p>
    <w:p w14:paraId="1BB31DDE">
      <w:pPr>
        <w:pStyle w:val="215"/>
        <w:keepLines w:val="0"/>
        <w:pageBreakBefore w:val="0"/>
        <w:kinsoku/>
        <w:wordWrap/>
        <w:overflowPunct/>
        <w:topLinePunct w:val="0"/>
        <w:autoSpaceDE/>
        <w:autoSpaceDN/>
        <w:bidi w:val="0"/>
        <w:snapToGrid/>
        <w:spacing w:line="360" w:lineRule="auto"/>
        <w:ind w:firstLine="560"/>
        <w:jc w:val="left"/>
        <w:textAlignment w:val="auto"/>
        <w:outlineLvl w:val="9"/>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2、合同期间，甲方无特殊情况不能及时支付服务费用超过30个工作日，甲方向乙方按每</w:t>
      </w:r>
      <w:r>
        <w:rPr>
          <w:rFonts w:hint="eastAsia" w:ascii="仿宋" w:hAnsi="仿宋" w:eastAsia="仿宋" w:cs="仿宋"/>
          <w:b w:val="0"/>
          <w:bCs w:val="0"/>
          <w:snapToGrid/>
          <w:color w:val="000000" w:themeColor="text1"/>
          <w:sz w:val="24"/>
          <w:szCs w:val="24"/>
          <w:highlight w:val="none"/>
          <w:shd w:val="clear" w:color="auto" w:fill="FFFFFF"/>
          <w:lang w:val="en-US" w:eastAsia="zh-CN"/>
          <w14:textFill>
            <w14:solidFill>
              <w14:schemeClr w14:val="tx1"/>
            </w14:solidFill>
          </w14:textFill>
        </w:rPr>
        <w:t>月</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0.1%支付违约金，且乙方有权单方解除合同；</w:t>
      </w:r>
    </w:p>
    <w:p w14:paraId="23621B3E">
      <w:pPr>
        <w:pStyle w:val="215"/>
        <w:keepLines w:val="0"/>
        <w:pageBreakBefore w:val="0"/>
        <w:kinsoku/>
        <w:wordWrap/>
        <w:overflowPunct/>
        <w:topLinePunct w:val="0"/>
        <w:autoSpaceDE/>
        <w:autoSpaceDN/>
        <w:bidi w:val="0"/>
        <w:snapToGrid/>
        <w:spacing w:line="360" w:lineRule="auto"/>
        <w:ind w:firstLine="560"/>
        <w:jc w:val="left"/>
        <w:textAlignment w:val="auto"/>
        <w:outlineLvl w:val="9"/>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3、甲、乙双方不得无故终止或解除合同，</w:t>
      </w:r>
      <w:r>
        <w:rPr>
          <w:rFonts w:hint="eastAsia" w:ascii="仿宋" w:hAnsi="仿宋" w:eastAsia="仿宋" w:cs="仿宋"/>
          <w:b w:val="0"/>
          <w:bCs w:val="0"/>
          <w:snapToGrid/>
          <w:color w:val="000000" w:themeColor="text1"/>
          <w:sz w:val="24"/>
          <w:szCs w:val="24"/>
          <w:highlight w:val="none"/>
          <w:shd w:val="clear" w:color="auto" w:fill="FFFFFF"/>
          <w:lang w:val="en-US" w:eastAsia="zh-CN"/>
          <w14:textFill>
            <w14:solidFill>
              <w14:schemeClr w14:val="tx1"/>
            </w14:solidFill>
          </w14:textFill>
        </w:rPr>
        <w:t>协商</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解除合同的，必须提前两个月提出申请；</w:t>
      </w:r>
    </w:p>
    <w:p w14:paraId="31DBB264">
      <w:pPr>
        <w:pStyle w:val="215"/>
        <w:keepLines w:val="0"/>
        <w:pageBreakBefore w:val="0"/>
        <w:kinsoku/>
        <w:wordWrap/>
        <w:overflowPunct/>
        <w:topLinePunct w:val="0"/>
        <w:autoSpaceDE/>
        <w:autoSpaceDN/>
        <w:bidi w:val="0"/>
        <w:snapToGrid/>
        <w:spacing w:line="360" w:lineRule="auto"/>
        <w:ind w:firstLine="560"/>
        <w:jc w:val="left"/>
        <w:textAlignment w:val="auto"/>
        <w:outlineLvl w:val="9"/>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4、如因乙方原因，造成不能完成管理目标或直接造成甲方经济损失的，乙方应承担由此造成的经济损失并给予甲方相应的补偿。因乙方管理不善或操作不当造成严重事故的，甲方有权单方面解除合同，并由乙方承担全部责任和善后处理。</w:t>
      </w:r>
    </w:p>
    <w:p w14:paraId="145A8196">
      <w:pPr>
        <w:keepLines w:val="0"/>
        <w:pageBreakBefore w:val="0"/>
        <w:kinsoku/>
        <w:wordWrap/>
        <w:overflowPunct/>
        <w:topLinePunct w:val="0"/>
        <w:autoSpaceDE/>
        <w:autoSpaceDN/>
        <w:bidi w:val="0"/>
        <w:snapToGrid/>
        <w:spacing w:line="360" w:lineRule="auto"/>
        <w:jc w:val="left"/>
        <w:textAlignment w:val="auto"/>
        <w:outlineLvl w:val="9"/>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第九条</w:t>
      </w:r>
      <w:r>
        <w:rPr>
          <w:rFonts w:hint="eastAsia" w:ascii="仿宋" w:hAnsi="仿宋" w:eastAsia="仿宋" w:cs="仿宋"/>
          <w:b w:val="0"/>
          <w:bCs w:val="0"/>
          <w:color w:val="000000" w:themeColor="text1"/>
          <w:sz w:val="24"/>
          <w:szCs w:val="24"/>
          <w:highlight w:val="none"/>
          <w:shd w:val="clear" w:color="auto" w:fill="FFFFFF"/>
          <w:lang w:val="en-US"/>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 xml:space="preserve"> 争议的解决</w:t>
      </w:r>
    </w:p>
    <w:p w14:paraId="30B70E6F">
      <w:pPr>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仿宋" w:hAnsi="仿宋" w:eastAsia="仿宋" w:cs="仿宋"/>
          <w:b w:val="0"/>
          <w:bCs w:val="0"/>
          <w:color w:val="000000" w:themeColor="text1"/>
          <w:sz w:val="24"/>
          <w:szCs w:val="24"/>
          <w:highlight w:val="none"/>
          <w:shd w:val="clear" w:color="auto" w:fill="FFFFFF"/>
          <w:lang w:val="en-US"/>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本合同各方当事人对本合同有关条款的解释或履行发生争议时，应通过友好协商的方式予以解决。如双方通过友好协商不</w:t>
      </w:r>
      <w:r>
        <w:rPr>
          <w:rFonts w:hint="eastAsia" w:ascii="仿宋" w:hAnsi="仿宋" w:eastAsia="仿宋" w:cs="仿宋"/>
          <w:b w:val="0"/>
          <w:bCs w:val="0"/>
          <w:color w:val="000000" w:themeColor="text1"/>
          <w:sz w:val="24"/>
          <w:szCs w:val="24"/>
          <w:highlight w:val="none"/>
          <w:shd w:val="clear" w:color="auto" w:fill="FFFFFF"/>
          <w:lang w:val="en-US"/>
          <w14:textFill>
            <w14:solidFill>
              <w14:schemeClr w14:val="tx1"/>
            </w14:solidFill>
          </w14:textFill>
        </w:rPr>
        <w:t>能解决争议，双方均有权向被告住所地人民法院起诉。</w:t>
      </w:r>
    </w:p>
    <w:p w14:paraId="44A788CA">
      <w:pPr>
        <w:keepLines w:val="0"/>
        <w:pageBreakBefore w:val="0"/>
        <w:kinsoku/>
        <w:wordWrap/>
        <w:overflowPunct/>
        <w:topLinePunct w:val="0"/>
        <w:autoSpaceDE/>
        <w:autoSpaceDN/>
        <w:bidi w:val="0"/>
        <w:snapToGrid/>
        <w:spacing w:line="360" w:lineRule="auto"/>
        <w:jc w:val="left"/>
        <w:textAlignment w:val="auto"/>
        <w:outlineLvl w:val="9"/>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 xml:space="preserve">第十条 </w:t>
      </w:r>
      <w:r>
        <w:rPr>
          <w:rFonts w:hint="eastAsia" w:ascii="仿宋" w:hAnsi="仿宋" w:eastAsia="仿宋" w:cs="仿宋"/>
          <w:b w:val="0"/>
          <w:bCs w:val="0"/>
          <w:color w:val="000000" w:themeColor="text1"/>
          <w:sz w:val="24"/>
          <w:szCs w:val="24"/>
          <w:highlight w:val="none"/>
          <w:shd w:val="clear" w:color="auto" w:fill="FFFFFF"/>
          <w:lang w:val="en-US"/>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其他</w:t>
      </w:r>
    </w:p>
    <w:p w14:paraId="1D6ED065">
      <w:pPr>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FFFFFF"/>
          <w14:textFill>
            <w14:solidFill>
              <w14:schemeClr w14:val="tx1"/>
            </w14:solidFill>
          </w14:textFill>
        </w:rPr>
        <w:t>1、甲乙双方确认在合同中所载明的地址为双方因履行合同而进行的任何书面资料往来以及司法程序通知送达的地址，是双方往来函件及仲裁文书、诉讼文书等司法文书的唯一送达地址，向该地址以快递方式邮寄出前述文书即视为有效送达，邮件签收日期或者邮件退回日期为送达日期。任何一方在本合同履行期间变更送达地址或联系方式，需提前7日以书面通知对方。书面通知变更送达地址到达对方后，送达地址以变更后新送达地址为准；</w:t>
      </w:r>
    </w:p>
    <w:p w14:paraId="2EF103FE">
      <w:pPr>
        <w:pStyle w:val="215"/>
        <w:keepLines w:val="0"/>
        <w:pageBreakBefore w:val="0"/>
        <w:kinsoku/>
        <w:wordWrap/>
        <w:overflowPunct/>
        <w:topLinePunct w:val="0"/>
        <w:autoSpaceDE/>
        <w:autoSpaceDN/>
        <w:bidi w:val="0"/>
        <w:snapToGrid/>
        <w:spacing w:line="360" w:lineRule="auto"/>
        <w:ind w:firstLine="560"/>
        <w:jc w:val="left"/>
        <w:textAlignment w:val="auto"/>
        <w:outlineLvl w:val="9"/>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2、合同执行期间，如遇不可抗拒的因素致使合同无法履行时，双方应按有关法律规定及时协商处理；</w:t>
      </w:r>
    </w:p>
    <w:p w14:paraId="43637272">
      <w:pPr>
        <w:pStyle w:val="215"/>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3、本合同一式四份，甲、乙双方各执两份，具有同等法律效力，经双方签字盖章后生效。双方可对合同的条款进行补充，以书面形式签订补充协议，补充协议、</w:t>
      </w:r>
      <w:r>
        <w:rPr>
          <w:rFonts w:hint="eastAsia" w:ascii="仿宋" w:hAnsi="仿宋" w:eastAsia="仿宋" w:cs="仿宋"/>
          <w:b w:val="0"/>
          <w:bCs w:val="0"/>
          <w:snapToGrid/>
          <w:color w:val="000000" w:themeColor="text1"/>
          <w:sz w:val="24"/>
          <w:szCs w:val="24"/>
          <w:highlight w:val="none"/>
          <w:shd w:val="clear" w:color="auto" w:fill="FFFFFF"/>
          <w:lang w:val="en-US" w:eastAsia="zh-CN"/>
          <w14:textFill>
            <w14:solidFill>
              <w14:schemeClr w14:val="tx1"/>
            </w14:solidFill>
          </w14:textFill>
        </w:rPr>
        <w:t>招标</w:t>
      </w:r>
      <w:r>
        <w:rPr>
          <w:rFonts w:hint="eastAsia" w:ascii="仿宋" w:hAnsi="仿宋" w:eastAsia="仿宋" w:cs="仿宋"/>
          <w:b w:val="0"/>
          <w:bCs w:val="0"/>
          <w:snapToGrid/>
          <w:color w:val="000000" w:themeColor="text1"/>
          <w:sz w:val="24"/>
          <w:szCs w:val="24"/>
          <w:highlight w:val="none"/>
          <w:shd w:val="clear" w:color="auto" w:fill="FFFFFF"/>
          <w14:textFill>
            <w14:solidFill>
              <w14:schemeClr w14:val="tx1"/>
            </w14:solidFill>
          </w14:textFill>
        </w:rPr>
        <w:t>文件与合同及附件具有同等效力。</w:t>
      </w:r>
    </w:p>
    <w:p w14:paraId="1D478B79">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350D8528">
      <w:pPr>
        <w:adjustRightInd w:val="0"/>
        <w:spacing w:line="360" w:lineRule="auto"/>
        <w:ind w:firstLine="480" w:firstLineChars="200"/>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甲方：</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 xml:space="preserve">乙方： </w:t>
      </w:r>
    </w:p>
    <w:p w14:paraId="121CE1D9">
      <w:pPr>
        <w:adjustRightInd w:val="0"/>
        <w:spacing w:line="360" w:lineRule="auto"/>
        <w:ind w:firstLine="480" w:firstLineChars="200"/>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地址：</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地址：</w:t>
      </w:r>
    </w:p>
    <w:p w14:paraId="18865E9E">
      <w:pPr>
        <w:adjustRightInd w:val="0"/>
        <w:spacing w:line="360" w:lineRule="auto"/>
        <w:ind w:firstLine="480" w:firstLineChars="200"/>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法定代表人：</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 xml:space="preserve">法定代表人：  </w:t>
      </w:r>
    </w:p>
    <w:p w14:paraId="72FFE19A">
      <w:pPr>
        <w:adjustRightInd w:val="0"/>
        <w:spacing w:line="360" w:lineRule="auto"/>
        <w:ind w:firstLine="480" w:firstLineChars="200"/>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日期：   年   月   日</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日期：   年   月   日</w:t>
      </w:r>
    </w:p>
    <w:p w14:paraId="4F644A12">
      <w:pPr>
        <w:pStyle w:val="215"/>
        <w:spacing w:line="360" w:lineRule="auto"/>
        <w:ind w:left="0" w:leftChars="0" w:firstLine="0" w:firstLineChars="0"/>
        <w:jc w:val="left"/>
        <w:rPr>
          <w:rFonts w:hint="eastAsia" w:ascii="仿宋" w:hAnsi="仿宋" w:eastAsia="仿宋" w:cs="仿宋"/>
          <w:snapToGrid/>
          <w:color w:val="000000" w:themeColor="text1"/>
          <w:sz w:val="24"/>
          <w:szCs w:val="24"/>
          <w:highlight w:val="none"/>
          <w:shd w:val="clear" w:color="auto" w:fill="FFFFFF"/>
          <w14:textFill>
            <w14:solidFill>
              <w14:schemeClr w14:val="tx1"/>
            </w14:solidFill>
          </w14:textFill>
        </w:rPr>
      </w:pPr>
    </w:p>
    <w:p w14:paraId="2045388A">
      <w:pPr>
        <w:rPr>
          <w:rFonts w:hint="eastAsia" w:ascii="仿宋" w:hAnsi="仿宋" w:eastAsia="仿宋" w:cs="仿宋"/>
          <w:color w:val="000000" w:themeColor="text1"/>
          <w:sz w:val="24"/>
          <w:szCs w:val="24"/>
          <w:highlight w:val="none"/>
          <w14:textFill>
            <w14:solidFill>
              <w14:schemeClr w14:val="tx1"/>
            </w14:solidFill>
          </w14:textFill>
        </w:rPr>
      </w:pPr>
    </w:p>
    <w:p w14:paraId="2A482563">
      <w:pPr>
        <w:rPr>
          <w:rFonts w:hint="eastAsia" w:ascii="仿宋" w:hAnsi="仿宋" w:eastAsia="仿宋" w:cs="仿宋"/>
          <w:color w:val="000000" w:themeColor="text1"/>
          <w:kern w:val="0"/>
          <w:sz w:val="24"/>
          <w:szCs w:val="24"/>
          <w:highlight w:val="none"/>
          <w14:textFill>
            <w14:solidFill>
              <w14:schemeClr w14:val="tx1"/>
            </w14:solidFill>
          </w14:textFill>
        </w:rPr>
      </w:pPr>
    </w:p>
    <w:p w14:paraId="25BBB642">
      <w:pPr>
        <w:pStyle w:val="14"/>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1978D6B6">
      <w:pPr>
        <w:spacing w:line="440" w:lineRule="exact"/>
        <w:jc w:val="center"/>
        <w:outlineLvl w:val="0"/>
        <w:rPr>
          <w:rFonts w:hint="eastAsia" w:ascii="仿宋" w:hAnsi="仿宋" w:eastAsia="仿宋" w:cs="仿宋"/>
          <w:bCs/>
          <w:color w:val="000000" w:themeColor="text1"/>
          <w:sz w:val="24"/>
          <w:szCs w:val="24"/>
          <w:highlight w:val="none"/>
          <w:lang w:eastAsia="zh-CN"/>
          <w14:textFill>
            <w14:solidFill>
              <w14:schemeClr w14:val="tx1"/>
            </w14:solidFill>
          </w14:textFill>
        </w:rPr>
      </w:pPr>
      <w:bookmarkStart w:id="55" w:name="_Toc11497"/>
      <w:r>
        <w:rPr>
          <w:rFonts w:hint="eastAsia" w:ascii="仿宋" w:hAnsi="仿宋" w:eastAsia="仿宋" w:cs="仿宋"/>
          <w:b/>
          <w:color w:val="000000" w:themeColor="text1"/>
          <w:sz w:val="24"/>
          <w:szCs w:val="24"/>
          <w:highlight w:val="none"/>
          <w14:textFill>
            <w14:solidFill>
              <w14:schemeClr w14:val="tx1"/>
            </w14:solidFill>
          </w14:textFill>
        </w:rPr>
        <w:t xml:space="preserve">第四章 </w:t>
      </w:r>
      <w:bookmarkStart w:id="56" w:name="_Toc138638907"/>
      <w:bookmarkEnd w:id="56"/>
      <w:bookmarkStart w:id="57" w:name="_Toc138638884"/>
      <w:bookmarkEnd w:id="57"/>
      <w:bookmarkStart w:id="58" w:name="_Toc138639090"/>
      <w:bookmarkEnd w:id="58"/>
      <w:bookmarkStart w:id="59" w:name="_合同文件的组成及解释顺序"/>
      <w:bookmarkEnd w:id="59"/>
      <w:bookmarkStart w:id="60" w:name="_Toc138638534"/>
      <w:bookmarkEnd w:id="60"/>
      <w:bookmarkStart w:id="61" w:name="_Toc138638702"/>
      <w:bookmarkEnd w:id="61"/>
      <w:bookmarkStart w:id="62" w:name="_Toc138638910"/>
      <w:bookmarkEnd w:id="62"/>
      <w:bookmarkStart w:id="63" w:name="_Toc138638718"/>
      <w:bookmarkEnd w:id="63"/>
      <w:bookmarkStart w:id="64" w:name="_Toc138639074"/>
      <w:bookmarkEnd w:id="64"/>
      <w:bookmarkStart w:id="65" w:name="_Toc138639091"/>
      <w:bookmarkEnd w:id="65"/>
      <w:bookmarkStart w:id="66" w:name="_Toc138638535"/>
      <w:bookmarkEnd w:id="66"/>
      <w:bookmarkStart w:id="67" w:name="_Toc138638509"/>
      <w:bookmarkEnd w:id="67"/>
      <w:bookmarkStart w:id="68" w:name="_Toc138638510"/>
      <w:bookmarkEnd w:id="68"/>
      <w:bookmarkStart w:id="69" w:name="_Toc138638883"/>
      <w:bookmarkEnd w:id="69"/>
      <w:bookmarkStart w:id="70" w:name="_Toc138638773"/>
      <w:bookmarkEnd w:id="70"/>
      <w:bookmarkStart w:id="71" w:name="_Toc138638906"/>
      <w:bookmarkEnd w:id="71"/>
      <w:bookmarkStart w:id="72" w:name="_Toc138638538"/>
      <w:bookmarkEnd w:id="72"/>
      <w:bookmarkStart w:id="73" w:name="_Toc138638719"/>
      <w:bookmarkEnd w:id="73"/>
      <w:bookmarkStart w:id="74" w:name="_Toc138639145"/>
      <w:bookmarkEnd w:id="74"/>
      <w:bookmarkStart w:id="75" w:name="_Toc531016893"/>
      <w:r>
        <w:rPr>
          <w:rFonts w:hint="eastAsia" w:ascii="仿宋" w:hAnsi="仿宋" w:eastAsia="仿宋" w:cs="仿宋"/>
          <w:b/>
          <w:color w:val="000000" w:themeColor="text1"/>
          <w:sz w:val="24"/>
          <w:szCs w:val="24"/>
          <w:highlight w:val="none"/>
          <w:lang w:eastAsia="zh-CN"/>
          <w14:textFill>
            <w14:solidFill>
              <w14:schemeClr w14:val="tx1"/>
            </w14:solidFill>
          </w14:textFill>
        </w:rPr>
        <w:t>服务标准和要求</w:t>
      </w:r>
      <w:bookmarkEnd w:id="55"/>
    </w:p>
    <w:p w14:paraId="33953B9D">
      <w:pPr>
        <w:keepNext w:val="0"/>
        <w:keepLines w:val="0"/>
        <w:pageBreakBefore w:val="0"/>
        <w:widowControl/>
        <w:kinsoku w:val="0"/>
        <w:wordWrap/>
        <w:overflowPunct/>
        <w:topLinePunct w:val="0"/>
        <w:autoSpaceDE w:val="0"/>
        <w:autoSpaceDN w:val="0"/>
        <w:bidi w:val="0"/>
        <w:adjustRightInd w:val="0"/>
        <w:snapToGrid w:val="0"/>
        <w:spacing w:line="360" w:lineRule="auto"/>
        <w:ind w:left="22" w:firstLine="480" w:firstLineChars="200"/>
        <w:jc w:val="left"/>
        <w:textAlignment w:val="baseline"/>
        <w:rPr>
          <w:rFonts w:hint="eastAsia" w:ascii="仿宋" w:hAnsi="仿宋" w:eastAsia="仿宋" w:cs="仿宋"/>
          <w:color w:val="000000" w:themeColor="text1"/>
          <w:sz w:val="24"/>
          <w:szCs w:val="24"/>
          <w:highlight w:val="none"/>
          <w:lang w:eastAsia="zh-CN"/>
          <w14:textFill>
            <w14:solidFill>
              <w14:schemeClr w14:val="tx1"/>
            </w14:solidFill>
          </w14:textFill>
        </w:rPr>
      </w:pPr>
    </w:p>
    <w:p w14:paraId="5E5AE897">
      <w:pPr>
        <w:keepNext w:val="0"/>
        <w:keepLines w:val="0"/>
        <w:pageBreakBefore w:val="0"/>
        <w:widowControl/>
        <w:kinsoku w:val="0"/>
        <w:wordWrap/>
        <w:overflowPunct/>
        <w:topLinePunct w:val="0"/>
        <w:autoSpaceDE w:val="0"/>
        <w:autoSpaceDN w:val="0"/>
        <w:bidi w:val="0"/>
        <w:adjustRightInd w:val="0"/>
        <w:snapToGrid w:val="0"/>
        <w:spacing w:line="360" w:lineRule="auto"/>
        <w:ind w:left="22" w:firstLine="480" w:firstLineChars="200"/>
        <w:jc w:val="left"/>
        <w:textAlignment w:val="baseline"/>
        <w:rPr>
          <w:rFonts w:hint="eastAsia" w:ascii="仿宋" w:hAnsi="仿宋" w:eastAsia="仿宋" w:cs="仿宋"/>
          <w:color w:val="000000" w:themeColor="text1"/>
          <w:spacing w:val="-2"/>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乌鲁木齐市公安局沙依巴克区分局食堂餐饮服务</w:t>
      </w:r>
      <w:r>
        <w:rPr>
          <w:rFonts w:hint="eastAsia" w:ascii="仿宋" w:hAnsi="仿宋" w:eastAsia="仿宋" w:cs="仿宋"/>
          <w:color w:val="000000" w:themeColor="text1"/>
          <w:spacing w:val="-1"/>
          <w:sz w:val="24"/>
          <w:szCs w:val="24"/>
          <w:highlight w:val="none"/>
          <w14:textFill>
            <w14:solidFill>
              <w14:schemeClr w14:val="tx1"/>
            </w14:solidFill>
          </w14:textFill>
        </w:rPr>
        <w:t>采取委托管理方式。</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采购人</w:t>
      </w:r>
      <w:r>
        <w:rPr>
          <w:rFonts w:hint="eastAsia" w:ascii="仿宋" w:hAnsi="仿宋" w:eastAsia="仿宋" w:cs="仿宋"/>
          <w:color w:val="000000" w:themeColor="text1"/>
          <w:spacing w:val="-1"/>
          <w:sz w:val="24"/>
          <w:szCs w:val="24"/>
          <w:highlight w:val="none"/>
          <w14:textFill>
            <w14:solidFill>
              <w14:schemeClr w14:val="tx1"/>
            </w14:solidFill>
          </w14:textFill>
        </w:rPr>
        <w:t>负责提供相关设施设备，</w:t>
      </w:r>
      <w:r>
        <w:rPr>
          <w:rFonts w:hint="eastAsia" w:ascii="仿宋" w:hAnsi="仿宋" w:eastAsia="仿宋" w:cs="仿宋"/>
          <w:color w:val="000000" w:themeColor="text1"/>
          <w:spacing w:val="-3"/>
          <w:sz w:val="24"/>
          <w:szCs w:val="24"/>
          <w:highlight w:val="none"/>
          <w14:textFill>
            <w14:solidFill>
              <w14:schemeClr w14:val="tx1"/>
            </w14:solidFill>
          </w14:textFill>
        </w:rPr>
        <w:t>中标人负责提供食堂管理、厨师团队和服务人员，负责</w:t>
      </w:r>
      <w:r>
        <w:rPr>
          <w:rFonts w:hint="eastAsia" w:ascii="仿宋" w:hAnsi="仿宋" w:eastAsia="仿宋" w:cs="仿宋"/>
          <w:color w:val="000000" w:themeColor="text1"/>
          <w:spacing w:val="-4"/>
          <w:sz w:val="24"/>
          <w:szCs w:val="24"/>
          <w:highlight w:val="none"/>
          <w14:textFill>
            <w14:solidFill>
              <w14:schemeClr w14:val="tx1"/>
            </w14:solidFill>
          </w14:textFill>
        </w:rPr>
        <w:t>食堂设施设备及餐具的维修保养和清洁维护，</w:t>
      </w:r>
      <w:r>
        <w:rPr>
          <w:rFonts w:hint="eastAsia" w:ascii="仿宋" w:hAnsi="仿宋" w:eastAsia="仿宋" w:cs="仿宋"/>
          <w:color w:val="000000" w:themeColor="text1"/>
          <w:spacing w:val="-54"/>
          <w:sz w:val="24"/>
          <w:szCs w:val="24"/>
          <w:highlight w:val="none"/>
          <w14:textFill>
            <w14:solidFill>
              <w14:schemeClr w14:val="tx1"/>
            </w14:solidFill>
          </w14:textFill>
        </w:rPr>
        <w:t xml:space="preserve"> </w:t>
      </w:r>
      <w:r>
        <w:rPr>
          <w:rFonts w:hint="eastAsia" w:ascii="仿宋" w:hAnsi="仿宋" w:eastAsia="仿宋" w:cs="仿宋"/>
          <w:color w:val="000000" w:themeColor="text1"/>
          <w:spacing w:val="-4"/>
          <w:sz w:val="24"/>
          <w:szCs w:val="24"/>
          <w:highlight w:val="none"/>
          <w14:textFill>
            <w14:solidFill>
              <w14:schemeClr w14:val="tx1"/>
            </w14:solidFill>
          </w14:textFill>
        </w:rPr>
        <w:t>负责原材料使用管理、食品加工制作和用餐服</w:t>
      </w:r>
      <w:r>
        <w:rPr>
          <w:rFonts w:hint="eastAsia" w:ascii="仿宋" w:hAnsi="仿宋" w:eastAsia="仿宋" w:cs="仿宋"/>
          <w:color w:val="000000" w:themeColor="text1"/>
          <w:spacing w:val="-3"/>
          <w:sz w:val="24"/>
          <w:szCs w:val="24"/>
          <w:highlight w:val="none"/>
          <w14:textFill>
            <w14:solidFill>
              <w14:schemeClr w14:val="tx1"/>
            </w14:solidFill>
          </w14:textFill>
        </w:rPr>
        <w:t>务及就餐用具洗涤消毒，保证</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采购人</w:t>
      </w:r>
      <w:r>
        <w:rPr>
          <w:rFonts w:hint="eastAsia" w:ascii="仿宋" w:hAnsi="仿宋" w:eastAsia="仿宋" w:cs="仿宋"/>
          <w:color w:val="000000" w:themeColor="text1"/>
          <w:spacing w:val="-3"/>
          <w:sz w:val="24"/>
          <w:szCs w:val="24"/>
          <w:highlight w:val="none"/>
          <w14:textFill>
            <w14:solidFill>
              <w14:schemeClr w14:val="tx1"/>
            </w14:solidFill>
          </w14:textFill>
        </w:rPr>
        <w:t>人员按时就餐，做到及时、卫生、安全、营养、节约、</w:t>
      </w:r>
      <w:r>
        <w:rPr>
          <w:rFonts w:hint="eastAsia" w:ascii="仿宋" w:hAnsi="仿宋" w:eastAsia="仿宋" w:cs="仿宋"/>
          <w:color w:val="000000" w:themeColor="text1"/>
          <w:spacing w:val="-2"/>
          <w:sz w:val="24"/>
          <w:szCs w:val="24"/>
          <w:highlight w:val="none"/>
          <w14:textFill>
            <w14:solidFill>
              <w14:schemeClr w14:val="tx1"/>
            </w14:solidFill>
          </w14:textFill>
        </w:rPr>
        <w:t>热情、周到。</w:t>
      </w:r>
    </w:p>
    <w:p w14:paraId="14F25F2A">
      <w:pPr>
        <w:keepNext w:val="0"/>
        <w:keepLines w:val="0"/>
        <w:pageBreakBefore w:val="0"/>
        <w:widowControl/>
        <w:kinsoku w:val="0"/>
        <w:wordWrap/>
        <w:overflowPunct/>
        <w:topLinePunct w:val="0"/>
        <w:autoSpaceDE w:val="0"/>
        <w:autoSpaceDN w:val="0"/>
        <w:bidi w:val="0"/>
        <w:adjustRightInd w:val="0"/>
        <w:snapToGrid w:val="0"/>
        <w:spacing w:line="360" w:lineRule="auto"/>
        <w:ind w:left="22"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（一）场地情况</w:t>
      </w:r>
    </w:p>
    <w:p w14:paraId="5661E83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left"/>
        <w:textAlignment w:val="baseline"/>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中标人</w:t>
      </w:r>
      <w:r>
        <w:rPr>
          <w:rFonts w:hint="eastAsia" w:ascii="仿宋" w:hAnsi="仿宋" w:eastAsia="仿宋" w:cs="仿宋"/>
          <w:color w:val="000000" w:themeColor="text1"/>
          <w:sz w:val="24"/>
          <w:szCs w:val="24"/>
          <w:highlight w:val="none"/>
          <w:lang w:eastAsia="zh-CN"/>
          <w14:textFill>
            <w14:solidFill>
              <w14:schemeClr w14:val="tx1"/>
            </w14:solidFill>
          </w14:textFill>
        </w:rPr>
        <w:t>负责</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lang w:eastAsia="zh-CN"/>
          <w14:textFill>
            <w14:solidFill>
              <w14:schemeClr w14:val="tx1"/>
            </w14:solidFill>
          </w14:textFill>
        </w:rPr>
        <w:t>个区域（地点）餐厅的人员管理，餐饮保障，食谱制定，菜品创新，人员培训，设施保养维护等工作。餐厅</w:t>
      </w:r>
      <w:r>
        <w:rPr>
          <w:rFonts w:hint="eastAsia" w:ascii="仿宋" w:hAnsi="仿宋" w:eastAsia="仿宋" w:cs="仿宋"/>
          <w:color w:val="000000" w:themeColor="text1"/>
          <w:spacing w:val="-1"/>
          <w:sz w:val="24"/>
          <w:szCs w:val="24"/>
          <w:highlight w:val="none"/>
          <w14:textFill>
            <w14:solidFill>
              <w14:schemeClr w14:val="tx1"/>
            </w14:solidFill>
          </w14:textFill>
        </w:rPr>
        <w:t>配有基本满足正常用餐制作及服务需求的厨具、餐桌、餐椅、餐具等设备</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w:t>
      </w:r>
    </w:p>
    <w:p w14:paraId="682CB7F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jc w:val="left"/>
        <w:textAlignment w:val="baseline"/>
        <w:rPr>
          <w:rFonts w:hint="eastAsia" w:ascii="仿宋" w:hAnsi="仿宋" w:eastAsia="仿宋" w:cs="仿宋"/>
          <w:color w:val="000000" w:themeColor="text1"/>
          <w:spacing w:val="-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（二） 服务需求</w:t>
      </w:r>
    </w:p>
    <w:p w14:paraId="6ADAFAD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1、服务内容</w:t>
      </w:r>
    </w:p>
    <w:p w14:paraId="2E353D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（1）餐饮服务工作</w:t>
      </w:r>
    </w:p>
    <w:p w14:paraId="7D6A4D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服务热情周到，食品健康营养，饭菜卫生可口，色香味形兼具。岗位、人数合理，工作高效，服务优秀，就餐者满意度高，打造名副其实的健康食堂。</w:t>
      </w:r>
    </w:p>
    <w:p w14:paraId="4FE22471">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（2）</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安全保卫工作</w:t>
      </w:r>
    </w:p>
    <w:p w14:paraId="7EE5ADCA">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包括食堂财产物资、设施设备、食品安全、就餐秩序，对重点部位的安保巡视，突发紧急事件处置，消防安全等。</w:t>
      </w:r>
    </w:p>
    <w:p w14:paraId="2F456091">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（3）反食品浪费工作</w:t>
      </w:r>
    </w:p>
    <w:p w14:paraId="5406052B">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为深入贯彻习近平总书记关于制止餐饮浪费行为的重要指示批示精神，全面落实反食品浪费法有关规定，进一步规范和加强机关食堂反食品浪费工作，按照《机关食堂反食品浪费工作成效评估规范（征求意见稿）》文件精神做好食堂反食品浪费相关工作。</w:t>
      </w:r>
    </w:p>
    <w:p w14:paraId="4A854829">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（3）食堂卫生保洁工作</w:t>
      </w:r>
    </w:p>
    <w:p w14:paraId="4DC46005">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食堂的前厅及后厨的日常保洁，前厅每天至少打扫三次（每餐餐后），后厨每天至少一次（晚餐后）；不定期进行食堂卫生大扫除。</w:t>
      </w:r>
    </w:p>
    <w:p w14:paraId="5487DC7C">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2、服务类别</w:t>
      </w:r>
    </w:p>
    <w:p w14:paraId="0CC985E2">
      <w:pPr>
        <w:keepNext w:val="0"/>
        <w:keepLines w:val="0"/>
        <w:pageBreakBefore w:val="0"/>
        <w:widowControl/>
        <w:kinsoku w:val="0"/>
        <w:wordWrap/>
        <w:overflowPunct/>
        <w:topLinePunct w:val="0"/>
        <w:autoSpaceDE w:val="0"/>
        <w:autoSpaceDN w:val="0"/>
        <w:bidi w:val="0"/>
        <w:adjustRightInd w:val="0"/>
        <w:snapToGrid w:val="0"/>
        <w:spacing w:line="360" w:lineRule="auto"/>
        <w:ind w:left="638" w:leftChars="304" w:firstLine="0" w:firstLineChars="0"/>
        <w:jc w:val="left"/>
        <w:textAlignment w:val="baseline"/>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（1）日常就餐服务：工作日须提供职工餐厅早餐、午餐</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晚餐。</w:t>
      </w:r>
    </w:p>
    <w:p w14:paraId="3EAD1DC0">
      <w:pPr>
        <w:keepNext w:val="0"/>
        <w:keepLines w:val="0"/>
        <w:pageBreakBefore w:val="0"/>
        <w:widowControl/>
        <w:kinsoku w:val="0"/>
        <w:wordWrap/>
        <w:overflowPunct/>
        <w:topLinePunct w:val="0"/>
        <w:autoSpaceDE w:val="0"/>
        <w:autoSpaceDN w:val="0"/>
        <w:bidi w:val="0"/>
        <w:adjustRightInd w:val="0"/>
        <w:snapToGrid w:val="0"/>
        <w:spacing w:line="360" w:lineRule="auto"/>
        <w:ind w:left="638" w:leftChars="304" w:firstLine="0" w:firstLineChars="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（2）临时就餐服务：根据</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采购人</w:t>
      </w:r>
      <w:r>
        <w:rPr>
          <w:rFonts w:hint="eastAsia" w:ascii="仿宋" w:hAnsi="仿宋" w:eastAsia="仿宋" w:cs="仿宋"/>
          <w:color w:val="000000" w:themeColor="text1"/>
          <w:spacing w:val="-1"/>
          <w:sz w:val="24"/>
          <w:szCs w:val="24"/>
          <w:highlight w:val="none"/>
          <w14:textFill>
            <w14:solidFill>
              <w14:schemeClr w14:val="tx1"/>
            </w14:solidFill>
          </w14:textFill>
        </w:rPr>
        <w:t>需求，临时增加的会议、应急保障、接待等不限时段的就餐服务。</w:t>
      </w:r>
    </w:p>
    <w:p w14:paraId="30C56F01">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（4） 日常供餐时间</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以实际发生为准</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w:t>
      </w:r>
    </w:p>
    <w:p w14:paraId="2380D0B0">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早餐： 0</w:t>
      </w: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9:00</w:t>
      </w:r>
      <w:r>
        <w:rPr>
          <w:rFonts w:hint="eastAsia" w:ascii="仿宋" w:hAnsi="仿宋" w:eastAsia="仿宋" w:cs="仿宋"/>
          <w:color w:val="000000" w:themeColor="text1"/>
          <w:spacing w:val="-1"/>
          <w:sz w:val="24"/>
          <w:szCs w:val="24"/>
          <w:highlight w:val="none"/>
          <w14:textFill>
            <w14:solidFill>
              <w14:schemeClr w14:val="tx1"/>
            </w14:solidFill>
          </w14:textFill>
        </w:rPr>
        <w:t>-10</w:t>
      </w: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pacing w:val="-1"/>
          <w:sz w:val="24"/>
          <w:szCs w:val="24"/>
          <w:highlight w:val="none"/>
          <w14:textFill>
            <w14:solidFill>
              <w14:schemeClr w14:val="tx1"/>
            </w14:solidFill>
          </w14:textFill>
        </w:rPr>
        <w:t>0</w:t>
      </w:r>
    </w:p>
    <w:p w14:paraId="149FB283">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午餐： 13</w:t>
      </w: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pacing w:val="-1"/>
          <w:sz w:val="24"/>
          <w:szCs w:val="24"/>
          <w:highlight w:val="none"/>
          <w14:textFill>
            <w14:solidFill>
              <w14:schemeClr w14:val="tx1"/>
            </w14:solidFill>
          </w14:textFill>
        </w:rPr>
        <w:t>00-14</w:t>
      </w: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pacing w:val="-1"/>
          <w:sz w:val="24"/>
          <w:szCs w:val="24"/>
          <w:highlight w:val="none"/>
          <w14:textFill>
            <w14:solidFill>
              <w14:schemeClr w14:val="tx1"/>
            </w14:solidFill>
          </w14:textFill>
        </w:rPr>
        <w:t>30</w:t>
      </w:r>
    </w:p>
    <w:p w14:paraId="07979411">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晚餐： 19:00-20:00</w:t>
      </w:r>
    </w:p>
    <w:p w14:paraId="22B1283C">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（5）菜品制作要求</w:t>
      </w:r>
    </w:p>
    <w:p w14:paraId="706B0E02">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 xml:space="preserve">早餐：汤羹类 </w:t>
      </w: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pacing w:val="-1"/>
          <w:sz w:val="24"/>
          <w:szCs w:val="24"/>
          <w:highlight w:val="none"/>
          <w14:textFill>
            <w14:solidFill>
              <w14:schemeClr w14:val="tx1"/>
            </w14:solidFill>
          </w14:textFill>
        </w:rPr>
        <w:t>2 种（牛奶、豆浆、豆腐脑、粥类等）、主食类</w:t>
      </w: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pacing w:val="-1"/>
          <w:sz w:val="24"/>
          <w:szCs w:val="24"/>
          <w:highlight w:val="none"/>
          <w14:textFill>
            <w14:solidFill>
              <w14:schemeClr w14:val="tx1"/>
            </w14:solidFill>
          </w14:textFill>
        </w:rPr>
        <w:t xml:space="preserve"> 3 种（馒头、包子、馅饼、蛋糕等）、凉菜类 </w:t>
      </w: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pacing w:val="-1"/>
          <w:sz w:val="24"/>
          <w:szCs w:val="24"/>
          <w:highlight w:val="none"/>
          <w14:textFill>
            <w14:solidFill>
              <w14:schemeClr w14:val="tx1"/>
            </w14:solidFill>
          </w14:textFill>
        </w:rPr>
        <w:t xml:space="preserve">2 种（素菜）、热菜类 </w:t>
      </w: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pacing w:val="-1"/>
          <w:sz w:val="24"/>
          <w:szCs w:val="24"/>
          <w:highlight w:val="none"/>
          <w14:textFill>
            <w14:solidFill>
              <w14:schemeClr w14:val="tx1"/>
            </w14:solidFill>
          </w14:textFill>
        </w:rPr>
        <w:t>2 种（素菜）、小吃类</w:t>
      </w: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pacing w:val="-1"/>
          <w:sz w:val="24"/>
          <w:szCs w:val="24"/>
          <w:highlight w:val="none"/>
          <w14:textFill>
            <w14:solidFill>
              <w14:schemeClr w14:val="tx1"/>
            </w14:solidFill>
          </w14:textFill>
        </w:rPr>
        <w:t xml:space="preserve"> 3 种（鸡蛋、红豆腐等）。</w:t>
      </w:r>
    </w:p>
    <w:p w14:paraId="668F244D">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午餐：汤羹类</w:t>
      </w: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pacing w:val="-1"/>
          <w:sz w:val="24"/>
          <w:szCs w:val="24"/>
          <w:highlight w:val="none"/>
          <w14:textFill>
            <w14:solidFill>
              <w14:schemeClr w14:val="tx1"/>
            </w14:solidFill>
          </w14:textFill>
        </w:rPr>
        <w:t>2 种（菜汤、肉汤、菌汤、豆汤等）、主食类</w:t>
      </w: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pacing w:val="-1"/>
          <w:sz w:val="24"/>
          <w:szCs w:val="24"/>
          <w:highlight w:val="none"/>
          <w14:textFill>
            <w14:solidFill>
              <w14:schemeClr w14:val="tx1"/>
            </w14:solidFill>
          </w14:textFill>
        </w:rPr>
        <w:t xml:space="preserve">3种（米饭、炒饭、炒面、抓饭等）、杂粮类 </w:t>
      </w: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pacing w:val="-1"/>
          <w:sz w:val="24"/>
          <w:szCs w:val="24"/>
          <w:highlight w:val="none"/>
          <w14:textFill>
            <w14:solidFill>
              <w14:schemeClr w14:val="tx1"/>
            </w14:solidFill>
          </w14:textFill>
        </w:rPr>
        <w:t>2 种（玉米、红薯、南瓜等）、热菜类</w:t>
      </w: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pacing w:val="-1"/>
          <w:sz w:val="24"/>
          <w:szCs w:val="24"/>
          <w:highlight w:val="none"/>
          <w14:textFill>
            <w14:solidFill>
              <w14:schemeClr w14:val="tx1"/>
            </w14:solidFill>
          </w14:textFill>
        </w:rPr>
        <w:t>6种（</w:t>
      </w: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pacing w:val="-1"/>
          <w:sz w:val="24"/>
          <w:szCs w:val="24"/>
          <w:highlight w:val="none"/>
          <w14:textFill>
            <w14:solidFill>
              <w14:schemeClr w14:val="tx1"/>
            </w14:solidFill>
          </w14:textFill>
        </w:rPr>
        <w:t>大荤</w:t>
      </w: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pacing w:val="-1"/>
          <w:sz w:val="24"/>
          <w:szCs w:val="24"/>
          <w:highlight w:val="none"/>
          <w14:textFill>
            <w14:solidFill>
              <w14:schemeClr w14:val="tx1"/>
            </w14:solidFill>
          </w14:textFill>
        </w:rPr>
        <w:t>小荤</w:t>
      </w: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pacing w:val="-1"/>
          <w:sz w:val="24"/>
          <w:szCs w:val="24"/>
          <w:highlight w:val="none"/>
          <w14:textFill>
            <w14:solidFill>
              <w14:schemeClr w14:val="tx1"/>
            </w14:solidFill>
          </w14:textFill>
        </w:rPr>
        <w:t>素菜）、水果</w:t>
      </w: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pacing w:val="-1"/>
          <w:sz w:val="24"/>
          <w:szCs w:val="24"/>
          <w:highlight w:val="none"/>
          <w14:textFill>
            <w14:solidFill>
              <w14:schemeClr w14:val="tx1"/>
            </w14:solidFill>
          </w14:textFill>
        </w:rPr>
        <w:t>种、酸奶。</w:t>
      </w:r>
    </w:p>
    <w:p w14:paraId="19399F82">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晚餐：</w:t>
      </w:r>
      <w:r>
        <w:rPr>
          <w:rFonts w:hint="eastAsia" w:ascii="仿宋" w:hAnsi="仿宋" w:eastAsia="仿宋" w:cs="仿宋"/>
          <w:color w:val="000000" w:themeColor="text1"/>
          <w:spacing w:val="-1"/>
          <w:sz w:val="24"/>
          <w:szCs w:val="24"/>
          <w:highlight w:val="none"/>
          <w14:textFill>
            <w14:solidFill>
              <w14:schemeClr w14:val="tx1"/>
            </w14:solidFill>
          </w14:textFill>
        </w:rPr>
        <w:t>汤羹类</w:t>
      </w: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pacing w:val="-1"/>
          <w:sz w:val="24"/>
          <w:szCs w:val="24"/>
          <w:highlight w:val="none"/>
          <w14:textFill>
            <w14:solidFill>
              <w14:schemeClr w14:val="tx1"/>
            </w14:solidFill>
          </w14:textFill>
        </w:rPr>
        <w:t>2 种（菜汤、肉汤、菌汤、豆汤等）、主食类</w:t>
      </w: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pacing w:val="-1"/>
          <w:sz w:val="24"/>
          <w:szCs w:val="24"/>
          <w:highlight w:val="none"/>
          <w14:textFill>
            <w14:solidFill>
              <w14:schemeClr w14:val="tx1"/>
            </w14:solidFill>
          </w14:textFill>
        </w:rPr>
        <w:t xml:space="preserve">种（米饭、炒饭、炒面、抓饭等）、杂粮类 </w:t>
      </w: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pacing w:val="-1"/>
          <w:sz w:val="24"/>
          <w:szCs w:val="24"/>
          <w:highlight w:val="none"/>
          <w14:textFill>
            <w14:solidFill>
              <w14:schemeClr w14:val="tx1"/>
            </w14:solidFill>
          </w14:textFill>
        </w:rPr>
        <w:t>种（玉米、红薯、南瓜等）、热菜类</w:t>
      </w: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pacing w:val="-1"/>
          <w:sz w:val="24"/>
          <w:szCs w:val="24"/>
          <w:highlight w:val="none"/>
          <w14:textFill>
            <w14:solidFill>
              <w14:schemeClr w14:val="tx1"/>
            </w14:solidFill>
          </w14:textFill>
        </w:rPr>
        <w:t>种（</w:t>
      </w: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pacing w:val="-1"/>
          <w:sz w:val="24"/>
          <w:szCs w:val="24"/>
          <w:highlight w:val="none"/>
          <w14:textFill>
            <w14:solidFill>
              <w14:schemeClr w14:val="tx1"/>
            </w14:solidFill>
          </w14:textFill>
        </w:rPr>
        <w:t>大荤</w:t>
      </w: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pacing w:val="-1"/>
          <w:sz w:val="24"/>
          <w:szCs w:val="24"/>
          <w:highlight w:val="none"/>
          <w14:textFill>
            <w14:solidFill>
              <w14:schemeClr w14:val="tx1"/>
            </w14:solidFill>
          </w14:textFill>
        </w:rPr>
        <w:t>小荤</w:t>
      </w: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pacing w:val="-1"/>
          <w:sz w:val="24"/>
          <w:szCs w:val="24"/>
          <w:highlight w:val="none"/>
          <w14:textFill>
            <w14:solidFill>
              <w14:schemeClr w14:val="tx1"/>
            </w14:solidFill>
          </w14:textFill>
        </w:rPr>
        <w:t>素菜）、水果</w:t>
      </w: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pacing w:val="-1"/>
          <w:sz w:val="24"/>
          <w:szCs w:val="24"/>
          <w:highlight w:val="none"/>
          <w14:textFill>
            <w14:solidFill>
              <w14:schemeClr w14:val="tx1"/>
            </w14:solidFill>
          </w14:textFill>
        </w:rPr>
        <w:t>种。</w:t>
      </w:r>
    </w:p>
    <w:p w14:paraId="3C0728D3">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3、服务要求</w:t>
      </w:r>
    </w:p>
    <w:p w14:paraId="1E585326">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（1）职工</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餐厅</w:t>
      </w:r>
      <w:r>
        <w:rPr>
          <w:rFonts w:hint="eastAsia" w:ascii="仿宋" w:hAnsi="仿宋" w:eastAsia="仿宋" w:cs="仿宋"/>
          <w:color w:val="000000" w:themeColor="text1"/>
          <w:spacing w:val="-1"/>
          <w:sz w:val="24"/>
          <w:szCs w:val="24"/>
          <w:highlight w:val="none"/>
          <w14:textFill>
            <w14:solidFill>
              <w14:schemeClr w14:val="tx1"/>
            </w14:solidFill>
          </w14:textFill>
        </w:rPr>
        <w:t>菜品根据</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采购人</w:t>
      </w:r>
      <w:r>
        <w:rPr>
          <w:rFonts w:hint="eastAsia" w:ascii="仿宋" w:hAnsi="仿宋" w:eastAsia="仿宋" w:cs="仿宋"/>
          <w:color w:val="000000" w:themeColor="text1"/>
          <w:spacing w:val="-1"/>
          <w:sz w:val="24"/>
          <w:szCs w:val="24"/>
          <w:highlight w:val="none"/>
          <w14:textFill>
            <w14:solidFill>
              <w14:schemeClr w14:val="tx1"/>
            </w14:solidFill>
          </w14:textFill>
        </w:rPr>
        <w:t>要求执行。</w:t>
      </w:r>
    </w:p>
    <w:p w14:paraId="598263F8">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（2）</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中标人须提供全年不间断的</w:t>
      </w:r>
      <w:r>
        <w:rPr>
          <w:rFonts w:hint="eastAsia" w:ascii="仿宋" w:hAnsi="仿宋" w:eastAsia="仿宋" w:cs="仿宋"/>
          <w:color w:val="000000" w:themeColor="text1"/>
          <w:sz w:val="24"/>
          <w:szCs w:val="24"/>
          <w:highlight w:val="none"/>
          <w:lang w:eastAsia="zh-CN"/>
          <w14:textFill>
            <w14:solidFill>
              <w14:schemeClr w14:val="tx1"/>
            </w14:solidFill>
          </w14:textFill>
        </w:rPr>
        <w:t>餐饮服务，工作日就餐人数约：区域一（分局食堂）约</w:t>
      </w:r>
      <w:r>
        <w:rPr>
          <w:rFonts w:hint="eastAsia" w:ascii="仿宋" w:hAnsi="仿宋" w:eastAsia="仿宋" w:cs="仿宋"/>
          <w:color w:val="000000" w:themeColor="text1"/>
          <w:sz w:val="24"/>
          <w:szCs w:val="24"/>
          <w:highlight w:val="none"/>
          <w:lang w:val="en-US" w:eastAsia="zh-CN"/>
          <w14:textFill>
            <w14:solidFill>
              <w14:schemeClr w14:val="tx1"/>
            </w14:solidFill>
          </w14:textFill>
        </w:rPr>
        <w:t>400人、</w:t>
      </w:r>
      <w:r>
        <w:rPr>
          <w:rFonts w:hint="eastAsia" w:ascii="仿宋" w:hAnsi="仿宋" w:eastAsia="仿宋" w:cs="仿宋"/>
          <w:color w:val="000000" w:themeColor="text1"/>
          <w:sz w:val="24"/>
          <w:szCs w:val="24"/>
          <w:highlight w:val="none"/>
          <w:lang w:eastAsia="zh-CN"/>
          <w14:textFill>
            <w14:solidFill>
              <w14:schemeClr w14:val="tx1"/>
            </w14:solidFill>
          </w14:textFill>
        </w:rPr>
        <w:t>区域二（仓房沟驻地食堂）约</w:t>
      </w:r>
      <w:r>
        <w:rPr>
          <w:rFonts w:hint="eastAsia" w:ascii="仿宋" w:hAnsi="仿宋" w:eastAsia="仿宋" w:cs="仿宋"/>
          <w:color w:val="000000" w:themeColor="text1"/>
          <w:sz w:val="24"/>
          <w:szCs w:val="24"/>
          <w:highlight w:val="none"/>
          <w:lang w:val="en-US" w:eastAsia="zh-CN"/>
          <w14:textFill>
            <w14:solidFill>
              <w14:schemeClr w14:val="tx1"/>
            </w14:solidFill>
          </w14:textFill>
        </w:rPr>
        <w:t>285人、</w:t>
      </w:r>
      <w:r>
        <w:rPr>
          <w:rFonts w:hint="eastAsia" w:ascii="仿宋" w:hAnsi="仿宋" w:eastAsia="仿宋" w:cs="仿宋"/>
          <w:color w:val="000000" w:themeColor="text1"/>
          <w:sz w:val="24"/>
          <w:szCs w:val="24"/>
          <w:highlight w:val="none"/>
          <w:lang w:eastAsia="zh-CN"/>
          <w14:textFill>
            <w14:solidFill>
              <w14:schemeClr w14:val="tx1"/>
            </w14:solidFill>
          </w14:textFill>
        </w:rPr>
        <w:t>区域三（产业园食堂）约</w:t>
      </w:r>
      <w:r>
        <w:rPr>
          <w:rFonts w:hint="eastAsia" w:ascii="仿宋" w:hAnsi="仿宋" w:eastAsia="仿宋" w:cs="仿宋"/>
          <w:color w:val="000000" w:themeColor="text1"/>
          <w:sz w:val="24"/>
          <w:szCs w:val="24"/>
          <w:highlight w:val="none"/>
          <w:lang w:val="en-US" w:eastAsia="zh-CN"/>
          <w14:textFill>
            <w14:solidFill>
              <w14:schemeClr w14:val="tx1"/>
            </w14:solidFill>
          </w14:textFill>
        </w:rPr>
        <w:t>270人、</w:t>
      </w:r>
      <w:r>
        <w:rPr>
          <w:rFonts w:hint="eastAsia" w:ascii="仿宋" w:hAnsi="仿宋" w:eastAsia="仿宋" w:cs="仿宋"/>
          <w:color w:val="000000" w:themeColor="text1"/>
          <w:sz w:val="24"/>
          <w:szCs w:val="24"/>
          <w:highlight w:val="none"/>
          <w:lang w:eastAsia="zh-CN"/>
          <w14:textFill>
            <w14:solidFill>
              <w14:schemeClr w14:val="tx1"/>
            </w14:solidFill>
          </w14:textFill>
        </w:rPr>
        <w:t>区域四（刑侦大队食堂）约</w:t>
      </w:r>
      <w:r>
        <w:rPr>
          <w:rFonts w:hint="eastAsia" w:ascii="仿宋" w:hAnsi="仿宋" w:eastAsia="仿宋" w:cs="仿宋"/>
          <w:color w:val="000000" w:themeColor="text1"/>
          <w:sz w:val="24"/>
          <w:szCs w:val="24"/>
          <w:highlight w:val="none"/>
          <w:lang w:val="en-US" w:eastAsia="zh-CN"/>
          <w14:textFill>
            <w14:solidFill>
              <w14:schemeClr w14:val="tx1"/>
            </w14:solidFill>
          </w14:textFill>
        </w:rPr>
        <w:t>72人、</w:t>
      </w:r>
      <w:r>
        <w:rPr>
          <w:rFonts w:hint="eastAsia" w:ascii="仿宋" w:hAnsi="仿宋" w:eastAsia="仿宋" w:cs="仿宋"/>
          <w:color w:val="000000" w:themeColor="text1"/>
          <w:sz w:val="24"/>
          <w:szCs w:val="24"/>
          <w:highlight w:val="none"/>
          <w:lang w:eastAsia="zh-CN"/>
          <w14:textFill>
            <w14:solidFill>
              <w14:schemeClr w14:val="tx1"/>
            </w14:solidFill>
          </w14:textFill>
        </w:rPr>
        <w:t>区域</w:t>
      </w:r>
      <w:r>
        <w:rPr>
          <w:rFonts w:hint="eastAsia" w:ascii="仿宋" w:hAnsi="仿宋" w:eastAsia="仿宋" w:cs="仿宋"/>
          <w:color w:val="000000" w:themeColor="text1"/>
          <w:sz w:val="24"/>
          <w:szCs w:val="24"/>
          <w:highlight w:val="none"/>
          <w:lang w:val="en-US" w:eastAsia="zh-CN"/>
          <w14:textFill>
            <w14:solidFill>
              <w14:schemeClr w14:val="tx1"/>
            </w14:solidFill>
          </w14:textFill>
        </w:rPr>
        <w:t>五（雅山派出所）</w:t>
      </w:r>
      <w:r>
        <w:rPr>
          <w:rFonts w:hint="eastAsia" w:ascii="仿宋" w:hAnsi="仿宋" w:eastAsia="仿宋" w:cs="仿宋"/>
          <w:color w:val="000000" w:themeColor="text1"/>
          <w:sz w:val="24"/>
          <w:szCs w:val="24"/>
          <w:highlight w:val="none"/>
          <w:lang w:eastAsia="zh-CN"/>
          <w14:textFill>
            <w14:solidFill>
              <w14:schemeClr w14:val="tx1"/>
            </w14:solidFill>
          </w14:textFill>
        </w:rPr>
        <w:t>约</w:t>
      </w:r>
      <w:r>
        <w:rPr>
          <w:rFonts w:hint="eastAsia" w:ascii="仿宋" w:hAnsi="仿宋" w:eastAsia="仿宋" w:cs="仿宋"/>
          <w:color w:val="000000" w:themeColor="text1"/>
          <w:sz w:val="24"/>
          <w:szCs w:val="24"/>
          <w:highlight w:val="none"/>
          <w:lang w:val="en-US" w:eastAsia="zh-CN"/>
          <w14:textFill>
            <w14:solidFill>
              <w14:schemeClr w14:val="tx1"/>
            </w14:solidFill>
          </w14:textFill>
        </w:rPr>
        <w:t>150人。休息日(节假日）以满足在岗/值班人员餐饮需求为准。</w:t>
      </w:r>
    </w:p>
    <w:p w14:paraId="02217D6D">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（3）临时就餐服务内容</w:t>
      </w:r>
    </w:p>
    <w:p w14:paraId="138A1130">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临时增加的会议、应急保障、接待</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、备勤</w:t>
      </w:r>
      <w:r>
        <w:rPr>
          <w:rFonts w:hint="eastAsia" w:ascii="仿宋" w:hAnsi="仿宋" w:eastAsia="仿宋" w:cs="仿宋"/>
          <w:color w:val="000000" w:themeColor="text1"/>
          <w:spacing w:val="-1"/>
          <w:sz w:val="24"/>
          <w:szCs w:val="24"/>
          <w:highlight w:val="none"/>
          <w14:textFill>
            <w14:solidFill>
              <w14:schemeClr w14:val="tx1"/>
            </w14:solidFill>
          </w14:textFill>
        </w:rPr>
        <w:t>等不限时段的就餐服务，根据</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采购人</w:t>
      </w:r>
      <w:r>
        <w:rPr>
          <w:rFonts w:hint="eastAsia" w:ascii="仿宋" w:hAnsi="仿宋" w:eastAsia="仿宋" w:cs="仿宋"/>
          <w:color w:val="000000" w:themeColor="text1"/>
          <w:spacing w:val="-1"/>
          <w:sz w:val="24"/>
          <w:szCs w:val="24"/>
          <w:highlight w:val="none"/>
          <w14:textFill>
            <w14:solidFill>
              <w14:schemeClr w14:val="tx1"/>
            </w14:solidFill>
          </w14:textFill>
        </w:rPr>
        <w:t>需求制作。</w:t>
      </w:r>
    </w:p>
    <w:p w14:paraId="0ADA60DB">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w:t>
      </w: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pacing w:val="-1"/>
          <w:sz w:val="24"/>
          <w:szCs w:val="24"/>
          <w:highlight w:val="none"/>
          <w14:textFill>
            <w14:solidFill>
              <w14:schemeClr w14:val="tx1"/>
            </w14:solidFill>
          </w14:textFill>
        </w:rPr>
        <w:t>）合作期间，设专人对接工作，并保证周末及其他任何节假日 24 小时可联络到对接人并按</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采购人</w:t>
      </w:r>
      <w:r>
        <w:rPr>
          <w:rFonts w:hint="eastAsia" w:ascii="仿宋" w:hAnsi="仿宋" w:eastAsia="仿宋" w:cs="仿宋"/>
          <w:color w:val="000000" w:themeColor="text1"/>
          <w:spacing w:val="-1"/>
          <w:sz w:val="24"/>
          <w:szCs w:val="24"/>
          <w:highlight w:val="none"/>
          <w14:textFill>
            <w14:solidFill>
              <w14:schemeClr w14:val="tx1"/>
            </w14:solidFill>
          </w14:textFill>
        </w:rPr>
        <w:t>要求及时赶到现场。</w:t>
      </w:r>
    </w:p>
    <w:p w14:paraId="5653C9F8">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4、食品加工与供餐服务保障</w:t>
      </w:r>
    </w:p>
    <w:p w14:paraId="58FE03E0">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具有可操作的食品加工与服务保障措施，成本控制及反食品浪费办法，确保就餐者满意。</w:t>
      </w:r>
    </w:p>
    <w:p w14:paraId="66D2077F">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（1）食品验收入库</w:t>
      </w:r>
    </w:p>
    <w:p w14:paraId="29F3E9D8">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（2）食品储存</w:t>
      </w:r>
    </w:p>
    <w:p w14:paraId="6B1EB911">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（3）食品粗加工</w:t>
      </w:r>
    </w:p>
    <w:p w14:paraId="7466D7AB">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（4）食品切配</w:t>
      </w:r>
    </w:p>
    <w:p w14:paraId="67F77B9E">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（5）食品烹饪加工</w:t>
      </w:r>
    </w:p>
    <w:p w14:paraId="5327123A">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5、食品安全</w:t>
      </w:r>
    </w:p>
    <w:p w14:paraId="5D9124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 xml:space="preserve"> （1）</w:t>
      </w:r>
      <w:r>
        <w:rPr>
          <w:rFonts w:hint="eastAsia" w:ascii="仿宋" w:hAnsi="仿宋" w:eastAsia="仿宋" w:cs="仿宋"/>
          <w:color w:val="000000" w:themeColor="text1"/>
          <w:spacing w:val="-1"/>
          <w:sz w:val="24"/>
          <w:szCs w:val="24"/>
          <w:highlight w:val="none"/>
          <w14:textFill>
            <w14:solidFill>
              <w14:schemeClr w14:val="tx1"/>
            </w14:solidFill>
          </w14:textFill>
        </w:rPr>
        <w:t>按照国家《食品卫生法》、《食品安全法》、《产品质量法》、《餐饮业食品卫生管理办法》、《餐饮业食品卫生管理办法》执行管理。</w:t>
      </w:r>
    </w:p>
    <w:p w14:paraId="08A0CD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pacing w:val="-1"/>
          <w:sz w:val="24"/>
          <w:szCs w:val="24"/>
          <w:highlight w:val="none"/>
          <w14:textFill>
            <w14:solidFill>
              <w14:schemeClr w14:val="tx1"/>
            </w14:solidFill>
          </w14:textFill>
        </w:rPr>
        <w:t>建立餐饮服务食品安全工作管理机构，制定餐饮服务食品安全实施方案和食品安全事故应急处置方案，并将方案及时报送餐饮服务食品安全监管部门和主管单位。</w:t>
      </w:r>
    </w:p>
    <w:p w14:paraId="6B9A659C">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pacing w:val="-1"/>
          <w:sz w:val="24"/>
          <w:szCs w:val="24"/>
          <w:highlight w:val="none"/>
          <w14:textFill>
            <w14:solidFill>
              <w14:schemeClr w14:val="tx1"/>
            </w14:solidFill>
          </w14:textFill>
        </w:rPr>
        <w:t>积极配合餐饮服务食品安全监管部门及其派驻工作人员的监督管理，对监管部门及其工作人员所提出的意见认真整改。</w:t>
      </w:r>
    </w:p>
    <w:p w14:paraId="04CA2C8A">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pacing w:val="-1"/>
          <w:sz w:val="24"/>
          <w:szCs w:val="24"/>
          <w:highlight w:val="none"/>
          <w14:textFill>
            <w14:solidFill>
              <w14:schemeClr w14:val="tx1"/>
            </w14:solidFill>
          </w14:textFill>
        </w:rPr>
        <w:t>制定食谱，实施原料采购控制要求，加强采购检验，落实索证索票、进货查验和台账登记制度，确保所购食品、食品添加剂和食品相关产品符合食品安全标准。</w:t>
      </w:r>
    </w:p>
    <w:p w14:paraId="35D029B9">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pacing w:val="-1"/>
          <w:sz w:val="24"/>
          <w:szCs w:val="24"/>
          <w:highlight w:val="none"/>
          <w14:textFill>
            <w14:solidFill>
              <w14:schemeClr w14:val="tx1"/>
            </w14:solidFill>
          </w14:textFill>
        </w:rPr>
        <w:t>加强对食品加工、贮存、陈列等设施设备的定期维护，加强对保温设施及冷藏、冷冻设施的定期清洗、校验，加强对餐具、饮具的清洗、消毒。</w:t>
      </w:r>
    </w:p>
    <w:p w14:paraId="187B467F">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pacing w:val="-1"/>
          <w:sz w:val="24"/>
          <w:szCs w:val="24"/>
          <w:highlight w:val="none"/>
          <w14:textFill>
            <w14:solidFill>
              <w14:schemeClr w14:val="tx1"/>
            </w14:solidFill>
          </w14:textFill>
        </w:rPr>
        <w:t>加强从业人员的健康管理，确保从业人员的健康状况符合相关要求。做好餐饮服务从业人员的培训，满足平日供餐及重大活动的需求。</w:t>
      </w:r>
    </w:p>
    <w:p w14:paraId="28BFDE84">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pacing w:val="-1"/>
          <w:sz w:val="24"/>
          <w:szCs w:val="24"/>
          <w:highlight w:val="none"/>
          <w14:textFill>
            <w14:solidFill>
              <w14:schemeClr w14:val="tx1"/>
            </w14:solidFill>
          </w14:textFill>
        </w:rPr>
        <w:t>留样食品按品种分别存放于清洗消毒后的密闭专用容器内，在冷藏条件下存放48小时以上，每个品种留样量满足检验需要，并做好记录。食品留样存放的冰箱应专用，并专人负责，上锁保管。</w:t>
      </w:r>
    </w:p>
    <w:p w14:paraId="48A7469B">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pacing w:val="-1"/>
          <w:sz w:val="24"/>
          <w:szCs w:val="24"/>
          <w:highlight w:val="none"/>
          <w14:textFill>
            <w14:solidFill>
              <w14:schemeClr w14:val="tx1"/>
            </w14:solidFill>
          </w14:textFill>
        </w:rPr>
        <w:t>不使用下列食品、食品添加剂和食品相关产品：</w:t>
      </w:r>
    </w:p>
    <w:p w14:paraId="15B58EAB">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a.</w:t>
      </w:r>
      <w:r>
        <w:rPr>
          <w:rFonts w:hint="eastAsia" w:ascii="仿宋" w:hAnsi="仿宋" w:eastAsia="仿宋" w:cs="仿宋"/>
          <w:color w:val="000000" w:themeColor="text1"/>
          <w:spacing w:val="-1"/>
          <w:sz w:val="24"/>
          <w:szCs w:val="24"/>
          <w:highlight w:val="none"/>
          <w14:textFill>
            <w14:solidFill>
              <w14:schemeClr w14:val="tx1"/>
            </w14:solidFill>
          </w14:textFill>
        </w:rPr>
        <w:t>法律法规禁止生产经营的食品、食品添加剂和食品相关产品;</w:t>
      </w:r>
    </w:p>
    <w:p w14:paraId="0486D936">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b.</w:t>
      </w:r>
      <w:r>
        <w:rPr>
          <w:rFonts w:hint="eastAsia" w:ascii="仿宋" w:hAnsi="仿宋" w:eastAsia="仿宋" w:cs="仿宋"/>
          <w:color w:val="000000" w:themeColor="text1"/>
          <w:spacing w:val="-1"/>
          <w:sz w:val="24"/>
          <w:szCs w:val="24"/>
          <w:highlight w:val="none"/>
          <w14:textFill>
            <w14:solidFill>
              <w14:schemeClr w14:val="tx1"/>
            </w14:solidFill>
          </w14:textFill>
        </w:rPr>
        <w:t>检验检测不合格的生活饮用水和食品;</w:t>
      </w:r>
    </w:p>
    <w:p w14:paraId="253B11ED">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c.</w:t>
      </w:r>
      <w:r>
        <w:rPr>
          <w:rFonts w:hint="eastAsia" w:ascii="仿宋" w:hAnsi="仿宋" w:eastAsia="仿宋" w:cs="仿宋"/>
          <w:color w:val="000000" w:themeColor="text1"/>
          <w:spacing w:val="-1"/>
          <w:sz w:val="24"/>
          <w:szCs w:val="24"/>
          <w:highlight w:val="none"/>
          <w14:textFill>
            <w14:solidFill>
              <w14:schemeClr w14:val="tx1"/>
            </w14:solidFill>
          </w14:textFill>
        </w:rPr>
        <w:t>超过保质期的食品、食品添加剂;</w:t>
      </w:r>
    </w:p>
    <w:p w14:paraId="600C1434">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d.</w:t>
      </w:r>
      <w:r>
        <w:rPr>
          <w:rFonts w:hint="eastAsia" w:ascii="仿宋" w:hAnsi="仿宋" w:eastAsia="仿宋" w:cs="仿宋"/>
          <w:color w:val="000000" w:themeColor="text1"/>
          <w:spacing w:val="-1"/>
          <w:sz w:val="24"/>
          <w:szCs w:val="24"/>
          <w:highlight w:val="none"/>
          <w14:textFill>
            <w14:solidFill>
              <w14:schemeClr w14:val="tx1"/>
            </w14:solidFill>
          </w14:textFill>
        </w:rPr>
        <w:t>外购的散装直接入口熟食制品;</w:t>
      </w:r>
    </w:p>
    <w:p w14:paraId="50008200">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e.</w:t>
      </w:r>
      <w:r>
        <w:rPr>
          <w:rFonts w:hint="eastAsia" w:ascii="仿宋" w:hAnsi="仿宋" w:eastAsia="仿宋" w:cs="仿宋"/>
          <w:color w:val="000000" w:themeColor="text1"/>
          <w:spacing w:val="-1"/>
          <w:sz w:val="24"/>
          <w:szCs w:val="24"/>
          <w:highlight w:val="none"/>
          <w14:textFill>
            <w14:solidFill>
              <w14:schemeClr w14:val="tx1"/>
            </w14:solidFill>
          </w14:textFill>
        </w:rPr>
        <w:t>监管部门在食谱审查时认定不适宜提供的食品。</w:t>
      </w:r>
    </w:p>
    <w:p w14:paraId="48F001EB">
      <w:pPr>
        <w:keepNext w:val="0"/>
        <w:keepLines w:val="0"/>
        <w:pageBreakBefore w:val="0"/>
        <w:widowControl/>
        <w:kinsoku w:val="0"/>
        <w:wordWrap/>
        <w:overflowPunct/>
        <w:topLinePunct w:val="0"/>
        <w:autoSpaceDE w:val="0"/>
        <w:autoSpaceDN w:val="0"/>
        <w:bidi w:val="0"/>
        <w:adjustRightInd w:val="0"/>
        <w:snapToGrid w:val="0"/>
        <w:spacing w:line="360" w:lineRule="auto"/>
        <w:ind w:firstLine="238" w:firstLineChars="100"/>
        <w:jc w:val="left"/>
        <w:textAlignment w:val="baseline"/>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（9）</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依法承担餐饮服务食品安全责任，保证食品安全。</w:t>
      </w:r>
    </w:p>
    <w:p w14:paraId="14AB26D8">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6、人员配置要求</w:t>
      </w:r>
    </w:p>
    <w:p w14:paraId="11F4C7B2">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default" w:ascii="仿宋" w:hAnsi="仿宋" w:eastAsia="仿宋" w:cs="仿宋"/>
          <w:color w:val="000000" w:themeColor="text1"/>
          <w:spacing w:val="-1"/>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1）投标人员配备根据实际就餐人数安排；为保障服务质量，其中拟派人员要求如下：①区域一（分局食堂）大厨≥3人，面点≥1人，杂工≥5人；②区域二（仓房沟驻地食堂）大厨≥2人，面点≥1人，杂工≥2人；③区域三（产业园食堂）大厨≥2人，面点≥1人，杂工≥7人；④区域四（刑侦大队食堂）大厨≥2人，面点≥1人；⑤区域五（雅山派出所）大厨≥2人，面点≥1人，杂工≥1人。</w:t>
      </w:r>
    </w:p>
    <w:p w14:paraId="1B48E0EF">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（2）所有人员要求身体健康，必须持健康证上岗，并报</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采购人</w:t>
      </w:r>
      <w:r>
        <w:rPr>
          <w:rFonts w:hint="eastAsia" w:ascii="仿宋" w:hAnsi="仿宋" w:eastAsia="仿宋" w:cs="仿宋"/>
          <w:color w:val="000000" w:themeColor="text1"/>
          <w:spacing w:val="-1"/>
          <w:sz w:val="24"/>
          <w:szCs w:val="24"/>
          <w:highlight w:val="none"/>
          <w14:textFill>
            <w14:solidFill>
              <w14:schemeClr w14:val="tx1"/>
            </w14:solidFill>
          </w14:textFill>
        </w:rPr>
        <w:t>备案。如发现员工患有传染病，有违法行为应及时调离岗位。</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采购人</w:t>
      </w:r>
      <w:r>
        <w:rPr>
          <w:rFonts w:hint="eastAsia" w:ascii="仿宋" w:hAnsi="仿宋" w:eastAsia="仿宋" w:cs="仿宋"/>
          <w:color w:val="000000" w:themeColor="text1"/>
          <w:spacing w:val="-1"/>
          <w:sz w:val="24"/>
          <w:szCs w:val="24"/>
          <w:highlight w:val="none"/>
          <w14:textFill>
            <w14:solidFill>
              <w14:schemeClr w14:val="tx1"/>
            </w14:solidFill>
          </w14:textFill>
        </w:rPr>
        <w:t>有权对中标人员工进行不定期抽查体检。</w:t>
      </w:r>
    </w:p>
    <w:p w14:paraId="5C3A1EA3">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7、管理及考评要求</w:t>
      </w:r>
    </w:p>
    <w:p w14:paraId="78A056D2">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（1）中标人负责办理食品卫生管理部门要求的相关证件。</w:t>
      </w:r>
    </w:p>
    <w:p w14:paraId="6A1AE549">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（2）中标人负责食堂员工的招聘、使用、工资福利及待遇、各类法定社会保险（五险）、意外伤害险、税务交纳等全部事务。因工作需要</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1"/>
          <w:sz w:val="24"/>
          <w:szCs w:val="24"/>
          <w:highlight w:val="none"/>
          <w14:textFill>
            <w14:solidFill>
              <w14:schemeClr w14:val="tx1"/>
            </w14:solidFill>
          </w14:textFill>
        </w:rPr>
        <w:t>不同岗位员工可调配综合使用。</w:t>
      </w:r>
    </w:p>
    <w:p w14:paraId="0949C213">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（3）中标人</w:t>
      </w: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须负责提前一周</w:t>
      </w:r>
      <w:r>
        <w:rPr>
          <w:rFonts w:hint="eastAsia" w:ascii="仿宋" w:hAnsi="仿宋" w:eastAsia="仿宋" w:cs="仿宋"/>
          <w:color w:val="000000" w:themeColor="text1"/>
          <w:spacing w:val="-1"/>
          <w:sz w:val="24"/>
          <w:szCs w:val="24"/>
          <w:highlight w:val="none"/>
          <w14:textFill>
            <w14:solidFill>
              <w14:schemeClr w14:val="tx1"/>
            </w14:solidFill>
          </w14:textFill>
        </w:rPr>
        <w:t>制定并报送每周食谱</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经采购人确认后执行。</w:t>
      </w:r>
    </w:p>
    <w:p w14:paraId="1B39B662">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（4）中标人负责员工的安全教育和日常工作安排。</w:t>
      </w:r>
    </w:p>
    <w:p w14:paraId="5CAEB585">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（5）中标人负责食堂设施设备用品的安全，具有科学合理的设施设备管理制度和有效执行机制，就餐完毕应及时对餐具清洗消毒后再存放，节假日后餐具应重洗，确保卫生安全。</w:t>
      </w:r>
    </w:p>
    <w:p w14:paraId="6A8940F3">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（6）中标人负责食品卫生安全，生熟食品应分开加工，严格执行有关食品卫生安全的法规及规章制度。</w:t>
      </w:r>
    </w:p>
    <w:p w14:paraId="05E9E795">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（7）因中标人管理和人员自身的责任被有关机构处罚，由中标人负全责。</w:t>
      </w:r>
    </w:p>
    <w:p w14:paraId="7A8F898A">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（8）库房管理严格按照库房管理制度实施。</w:t>
      </w:r>
    </w:p>
    <w:p w14:paraId="7C3FF0AA">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（9）中标人负责制定和实施餐饮服务、安全管理、卫生防疫、反食品浪费、节约能源等实施方案和管理措施，做好食堂区域内的卫生保洁，餐厨垃圾每天定时清运到指定垃圾站， 保持排水、排污管沟通畅清洁。</w:t>
      </w:r>
    </w:p>
    <w:p w14:paraId="137A139C">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（10）在</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采购人</w:t>
      </w:r>
      <w:r>
        <w:rPr>
          <w:rFonts w:hint="eastAsia" w:ascii="仿宋" w:hAnsi="仿宋" w:eastAsia="仿宋" w:cs="仿宋"/>
          <w:color w:val="000000" w:themeColor="text1"/>
          <w:spacing w:val="-1"/>
          <w:sz w:val="24"/>
          <w:szCs w:val="24"/>
          <w:highlight w:val="none"/>
          <w14:textFill>
            <w14:solidFill>
              <w14:schemeClr w14:val="tx1"/>
            </w14:solidFill>
          </w14:textFill>
        </w:rPr>
        <w:t>管理要求下做好食堂管理、服务工作。</w:t>
      </w:r>
    </w:p>
    <w:p w14:paraId="6D8D4210">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（11）中标人应建立健全各项规章制度及相关岗位责任制和操作规程，并严格按制度和操作规程工作，以就餐者满意为服务宗旨。</w:t>
      </w:r>
    </w:p>
    <w:p w14:paraId="2E6245DB">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（12）严格执行</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采购人</w:t>
      </w:r>
      <w:r>
        <w:rPr>
          <w:rFonts w:hint="eastAsia" w:ascii="仿宋" w:hAnsi="仿宋" w:eastAsia="仿宋" w:cs="仿宋"/>
          <w:color w:val="000000" w:themeColor="text1"/>
          <w:spacing w:val="-1"/>
          <w:sz w:val="24"/>
          <w:szCs w:val="24"/>
          <w:highlight w:val="none"/>
          <w14:textFill>
            <w14:solidFill>
              <w14:schemeClr w14:val="tx1"/>
            </w14:solidFill>
          </w14:textFill>
        </w:rPr>
        <w:t>的相关管理制度，服从</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采购人</w:t>
      </w:r>
      <w:r>
        <w:rPr>
          <w:rFonts w:hint="eastAsia" w:ascii="仿宋" w:hAnsi="仿宋" w:eastAsia="仿宋" w:cs="仿宋"/>
          <w:color w:val="000000" w:themeColor="text1"/>
          <w:spacing w:val="-1"/>
          <w:sz w:val="24"/>
          <w:szCs w:val="24"/>
          <w:highlight w:val="none"/>
          <w14:textFill>
            <w14:solidFill>
              <w14:schemeClr w14:val="tx1"/>
            </w14:solidFill>
          </w14:textFill>
        </w:rPr>
        <w:t>的统一管理。主动接受</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采购人</w:t>
      </w:r>
      <w:r>
        <w:rPr>
          <w:rFonts w:hint="eastAsia" w:ascii="仿宋" w:hAnsi="仿宋" w:eastAsia="仿宋" w:cs="仿宋"/>
          <w:color w:val="000000" w:themeColor="text1"/>
          <w:spacing w:val="-1"/>
          <w:sz w:val="24"/>
          <w:szCs w:val="24"/>
          <w:highlight w:val="none"/>
          <w14:textFill>
            <w14:solidFill>
              <w14:schemeClr w14:val="tx1"/>
            </w14:solidFill>
          </w14:textFill>
        </w:rPr>
        <w:t>的管理、检查、监督和处罚，一旦发现中标人有违反规章制度等行为，</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采购人</w:t>
      </w:r>
      <w:r>
        <w:rPr>
          <w:rFonts w:hint="eastAsia" w:ascii="仿宋" w:hAnsi="仿宋" w:eastAsia="仿宋" w:cs="仿宋"/>
          <w:color w:val="000000" w:themeColor="text1"/>
          <w:spacing w:val="-1"/>
          <w:sz w:val="24"/>
          <w:szCs w:val="24"/>
          <w:highlight w:val="none"/>
          <w14:textFill>
            <w14:solidFill>
              <w14:schemeClr w14:val="tx1"/>
            </w14:solidFill>
          </w14:textFill>
        </w:rPr>
        <w:t>有权要求中标人改正并赔偿由此造成的损失。</w:t>
      </w:r>
    </w:p>
    <w:p w14:paraId="28D1A33F">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（13）未经</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采购人</w:t>
      </w:r>
      <w:r>
        <w:rPr>
          <w:rFonts w:hint="eastAsia" w:ascii="仿宋" w:hAnsi="仿宋" w:eastAsia="仿宋" w:cs="仿宋"/>
          <w:color w:val="000000" w:themeColor="text1"/>
          <w:spacing w:val="-1"/>
          <w:sz w:val="24"/>
          <w:szCs w:val="24"/>
          <w:highlight w:val="none"/>
          <w14:textFill>
            <w14:solidFill>
              <w14:schemeClr w14:val="tx1"/>
            </w14:solidFill>
          </w14:textFill>
        </w:rPr>
        <w:t>同意，中标人不得擅自对房屋、设备设施做任何改动。</w:t>
      </w:r>
    </w:p>
    <w:p w14:paraId="1A750280">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（14）中标人负责食堂设施设备的日常维护保养工作，如非人为使用原因造成的设施设备损坏且不能维修确需更换，或因就餐服务需要须增添必备设备设施及餐具，中标人必须先提出建议，由</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采购人</w:t>
      </w:r>
      <w:r>
        <w:rPr>
          <w:rFonts w:hint="eastAsia" w:ascii="仿宋" w:hAnsi="仿宋" w:eastAsia="仿宋" w:cs="仿宋"/>
          <w:color w:val="000000" w:themeColor="text1"/>
          <w:spacing w:val="-1"/>
          <w:sz w:val="24"/>
          <w:szCs w:val="24"/>
          <w:highlight w:val="none"/>
          <w14:textFill>
            <w14:solidFill>
              <w14:schemeClr w14:val="tx1"/>
            </w14:solidFill>
          </w14:textFill>
        </w:rPr>
        <w:t>购买。但其中设施设备是中标人人为使用原因造成的损坏，由中标人自费维修或更换。</w:t>
      </w:r>
    </w:p>
    <w:p w14:paraId="3976BA31">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（15）在</w:t>
      </w: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服务</w:t>
      </w:r>
      <w:r>
        <w:rPr>
          <w:rFonts w:hint="eastAsia" w:ascii="仿宋" w:hAnsi="仿宋" w:eastAsia="仿宋" w:cs="仿宋"/>
          <w:color w:val="000000" w:themeColor="text1"/>
          <w:spacing w:val="-1"/>
          <w:sz w:val="24"/>
          <w:szCs w:val="24"/>
          <w:highlight w:val="none"/>
          <w14:textFill>
            <w14:solidFill>
              <w14:schemeClr w14:val="tx1"/>
            </w14:solidFill>
          </w14:textFill>
        </w:rPr>
        <w:t>期间，中标人应合理妥善保管、维护</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采购人</w:t>
      </w:r>
      <w:r>
        <w:rPr>
          <w:rFonts w:hint="eastAsia" w:ascii="仿宋" w:hAnsi="仿宋" w:eastAsia="仿宋" w:cs="仿宋"/>
          <w:color w:val="000000" w:themeColor="text1"/>
          <w:spacing w:val="-1"/>
          <w:sz w:val="24"/>
          <w:szCs w:val="24"/>
          <w:highlight w:val="none"/>
          <w14:textFill>
            <w14:solidFill>
              <w14:schemeClr w14:val="tx1"/>
            </w14:solidFill>
          </w14:textFill>
        </w:rPr>
        <w:t>提供的设施、设备，合同生效期间，食堂发生一切卫生责任事故、</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食品安全事故、</w:t>
      </w:r>
      <w:r>
        <w:rPr>
          <w:rFonts w:hint="eastAsia" w:ascii="仿宋" w:hAnsi="仿宋" w:eastAsia="仿宋" w:cs="仿宋"/>
          <w:color w:val="000000" w:themeColor="text1"/>
          <w:spacing w:val="-1"/>
          <w:sz w:val="24"/>
          <w:szCs w:val="24"/>
          <w:highlight w:val="none"/>
          <w14:textFill>
            <w14:solidFill>
              <w14:schemeClr w14:val="tx1"/>
            </w14:solidFill>
          </w14:textFill>
        </w:rPr>
        <w:t>安全事故、工伤事故等，由中标人全权承担法律责任和经济赔偿损失。</w:t>
      </w:r>
    </w:p>
    <w:p w14:paraId="72D58921">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（16）</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采购人</w:t>
      </w:r>
      <w:r>
        <w:rPr>
          <w:rFonts w:hint="eastAsia" w:ascii="仿宋" w:hAnsi="仿宋" w:eastAsia="仿宋" w:cs="仿宋"/>
          <w:color w:val="000000" w:themeColor="text1"/>
          <w:spacing w:val="-1"/>
          <w:sz w:val="24"/>
          <w:szCs w:val="24"/>
          <w:highlight w:val="none"/>
          <w14:textFill>
            <w14:solidFill>
              <w14:schemeClr w14:val="tx1"/>
            </w14:solidFill>
          </w14:textFill>
        </w:rPr>
        <w:t>餐厅就餐人员仅限于</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采购人</w:t>
      </w:r>
      <w:r>
        <w:rPr>
          <w:rFonts w:hint="eastAsia" w:ascii="仿宋" w:hAnsi="仿宋" w:eastAsia="仿宋" w:cs="仿宋"/>
          <w:color w:val="000000" w:themeColor="text1"/>
          <w:spacing w:val="-1"/>
          <w:sz w:val="24"/>
          <w:szCs w:val="24"/>
          <w:highlight w:val="none"/>
          <w14:textFill>
            <w14:solidFill>
              <w14:schemeClr w14:val="tx1"/>
            </w14:solidFill>
          </w14:textFill>
        </w:rPr>
        <w:t>指定的就餐对象，供餐范围为</w:t>
      </w: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采购人</w:t>
      </w:r>
      <w:r>
        <w:rPr>
          <w:rFonts w:hint="eastAsia" w:ascii="仿宋" w:hAnsi="仿宋" w:eastAsia="仿宋" w:cs="仿宋"/>
          <w:color w:val="000000" w:themeColor="text1"/>
          <w:spacing w:val="-1"/>
          <w:sz w:val="24"/>
          <w:szCs w:val="24"/>
          <w:highlight w:val="none"/>
          <w14:textFill>
            <w14:solidFill>
              <w14:schemeClr w14:val="tx1"/>
            </w14:solidFill>
          </w14:textFill>
        </w:rPr>
        <w:t>本单位因工作需要用餐，不对外以营业性质承担餐饮业务。若</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采购人</w:t>
      </w:r>
      <w:r>
        <w:rPr>
          <w:rFonts w:hint="eastAsia" w:ascii="仿宋" w:hAnsi="仿宋" w:eastAsia="仿宋" w:cs="仿宋"/>
          <w:color w:val="000000" w:themeColor="text1"/>
          <w:spacing w:val="-1"/>
          <w:sz w:val="24"/>
          <w:szCs w:val="24"/>
          <w:highlight w:val="none"/>
          <w14:textFill>
            <w14:solidFill>
              <w14:schemeClr w14:val="tx1"/>
            </w14:solidFill>
          </w14:textFill>
        </w:rPr>
        <w:t>因工作需要临时或固定增加就餐人数将提前通知中标人。</w:t>
      </w:r>
    </w:p>
    <w:p w14:paraId="2BC6B1B2">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w:t>
      </w: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17</w:t>
      </w:r>
      <w:r>
        <w:rPr>
          <w:rFonts w:hint="eastAsia" w:ascii="仿宋" w:hAnsi="仿宋" w:eastAsia="仿宋" w:cs="仿宋"/>
          <w:color w:val="000000" w:themeColor="text1"/>
          <w:spacing w:val="-1"/>
          <w:sz w:val="24"/>
          <w:szCs w:val="24"/>
          <w:highlight w:val="none"/>
          <w14:textFill>
            <w14:solidFill>
              <w14:schemeClr w14:val="tx1"/>
            </w14:solidFill>
          </w14:textFill>
        </w:rPr>
        <w:t>）根据职工食堂工作情况及就餐人员意见，</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采购人</w:t>
      </w:r>
      <w:r>
        <w:rPr>
          <w:rFonts w:hint="eastAsia" w:ascii="仿宋" w:hAnsi="仿宋" w:eastAsia="仿宋" w:cs="仿宋"/>
          <w:color w:val="000000" w:themeColor="text1"/>
          <w:spacing w:val="-1"/>
          <w:sz w:val="24"/>
          <w:szCs w:val="24"/>
          <w:highlight w:val="none"/>
          <w14:textFill>
            <w14:solidFill>
              <w14:schemeClr w14:val="tx1"/>
            </w14:solidFill>
          </w14:textFill>
        </w:rPr>
        <w:t>有权采用其它方式进行食堂管理及考核。</w:t>
      </w:r>
    </w:p>
    <w:p w14:paraId="04982C5D">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w:t>
      </w: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18</w:t>
      </w:r>
      <w:r>
        <w:rPr>
          <w:rFonts w:hint="eastAsia" w:ascii="仿宋" w:hAnsi="仿宋" w:eastAsia="仿宋" w:cs="仿宋"/>
          <w:color w:val="000000" w:themeColor="text1"/>
          <w:spacing w:val="-1"/>
          <w:sz w:val="24"/>
          <w:szCs w:val="24"/>
          <w:highlight w:val="none"/>
          <w14:textFill>
            <w14:solidFill>
              <w14:schemeClr w14:val="tx1"/>
            </w14:solidFill>
          </w14:textFill>
        </w:rPr>
        <w:t>）中标人应加强管理，食堂工作人员不满足</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采购人</w:t>
      </w:r>
      <w:r>
        <w:rPr>
          <w:rFonts w:hint="eastAsia" w:ascii="仿宋" w:hAnsi="仿宋" w:eastAsia="仿宋" w:cs="仿宋"/>
          <w:color w:val="000000" w:themeColor="text1"/>
          <w:spacing w:val="-1"/>
          <w:sz w:val="24"/>
          <w:szCs w:val="24"/>
          <w:highlight w:val="none"/>
          <w14:textFill>
            <w14:solidFill>
              <w14:schemeClr w14:val="tx1"/>
            </w14:solidFill>
          </w14:textFill>
        </w:rPr>
        <w:t>需求、违反相关规定或者出现服务态度恶劣情况，</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采购人</w:t>
      </w:r>
      <w:r>
        <w:rPr>
          <w:rFonts w:hint="eastAsia" w:ascii="仿宋" w:hAnsi="仿宋" w:eastAsia="仿宋" w:cs="仿宋"/>
          <w:color w:val="000000" w:themeColor="text1"/>
          <w:spacing w:val="-1"/>
          <w:sz w:val="24"/>
          <w:szCs w:val="24"/>
          <w:highlight w:val="none"/>
          <w14:textFill>
            <w14:solidFill>
              <w14:schemeClr w14:val="tx1"/>
            </w14:solidFill>
          </w14:textFill>
        </w:rPr>
        <w:t>有权要求中标人整改、更换工作人员并进行适当的经济处罚。</w:t>
      </w:r>
    </w:p>
    <w:p w14:paraId="08FA6339">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w:t>
      </w: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19</w:t>
      </w:r>
      <w:r>
        <w:rPr>
          <w:rFonts w:hint="eastAsia" w:ascii="仿宋" w:hAnsi="仿宋" w:eastAsia="仿宋" w:cs="仿宋"/>
          <w:color w:val="000000" w:themeColor="text1"/>
          <w:spacing w:val="-1"/>
          <w:sz w:val="24"/>
          <w:szCs w:val="24"/>
          <w:highlight w:val="none"/>
          <w14:textFill>
            <w14:solidFill>
              <w14:schemeClr w14:val="tx1"/>
            </w14:solidFill>
          </w14:textFill>
        </w:rPr>
        <w:t>）中标人若管理及考评不合格，</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采购人</w:t>
      </w:r>
      <w:r>
        <w:rPr>
          <w:rFonts w:hint="eastAsia" w:ascii="仿宋" w:hAnsi="仿宋" w:eastAsia="仿宋" w:cs="仿宋"/>
          <w:color w:val="000000" w:themeColor="text1"/>
          <w:spacing w:val="-1"/>
          <w:sz w:val="24"/>
          <w:szCs w:val="24"/>
          <w:highlight w:val="none"/>
          <w14:textFill>
            <w14:solidFill>
              <w14:schemeClr w14:val="tx1"/>
            </w14:solidFill>
          </w14:textFill>
        </w:rPr>
        <w:t>有权终止合同并对其进行罚款。</w:t>
      </w:r>
    </w:p>
    <w:p w14:paraId="2BD9E1A6">
      <w:pPr>
        <w:pStyle w:val="2"/>
        <w:numPr>
          <w:ilvl w:val="0"/>
          <w:numId w:val="0"/>
        </w:numPr>
        <w:rPr>
          <w:rFonts w:hint="eastAsia" w:ascii="仿宋" w:hAnsi="仿宋" w:eastAsia="仿宋" w:cs="仿宋"/>
          <w:color w:val="000000" w:themeColor="text1"/>
          <w:highlight w:val="none"/>
          <w14:textFill>
            <w14:solidFill>
              <w14:schemeClr w14:val="tx1"/>
            </w14:solidFill>
          </w14:textFill>
        </w:rPr>
      </w:pPr>
    </w:p>
    <w:p w14:paraId="5AA2A9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42C7EF2B">
      <w:pP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br w:type="page"/>
      </w:r>
    </w:p>
    <w:p w14:paraId="17BEA65D">
      <w:pPr>
        <w:spacing w:line="440" w:lineRule="exact"/>
        <w:jc w:val="center"/>
        <w:outlineLvl w:val="0"/>
        <w:rPr>
          <w:rFonts w:hint="eastAsia" w:ascii="仿宋" w:hAnsi="仿宋" w:eastAsia="仿宋" w:cs="仿宋"/>
          <w:b/>
          <w:color w:val="000000" w:themeColor="text1"/>
          <w:sz w:val="24"/>
          <w:szCs w:val="24"/>
          <w:highlight w:val="none"/>
          <w14:textFill>
            <w14:solidFill>
              <w14:schemeClr w14:val="tx1"/>
            </w14:solidFill>
          </w14:textFill>
        </w:rPr>
      </w:pPr>
      <w:bookmarkStart w:id="76" w:name="_Toc2512"/>
      <w:r>
        <w:rPr>
          <w:rFonts w:hint="eastAsia" w:ascii="仿宋" w:hAnsi="仿宋" w:eastAsia="仿宋" w:cs="仿宋"/>
          <w:b/>
          <w:color w:val="000000" w:themeColor="text1"/>
          <w:sz w:val="24"/>
          <w:szCs w:val="24"/>
          <w:highlight w:val="none"/>
          <w14:textFill>
            <w14:solidFill>
              <w14:schemeClr w14:val="tx1"/>
            </w14:solidFill>
          </w14:textFill>
        </w:rPr>
        <w:t>第五章 投标文件格式</w:t>
      </w:r>
      <w:bookmarkEnd w:id="75"/>
      <w:bookmarkEnd w:id="76"/>
    </w:p>
    <w:p w14:paraId="1B4D7084">
      <w:pPr>
        <w:rPr>
          <w:rFonts w:hint="eastAsia" w:ascii="仿宋" w:hAnsi="仿宋" w:eastAsia="仿宋" w:cs="仿宋"/>
          <w:b/>
          <w:color w:val="000000" w:themeColor="text1"/>
          <w:sz w:val="24"/>
          <w:szCs w:val="24"/>
          <w:highlight w:val="none"/>
          <w14:textFill>
            <w14:solidFill>
              <w14:schemeClr w14:val="tx1"/>
            </w14:solidFill>
          </w14:textFill>
        </w:rPr>
      </w:pPr>
    </w:p>
    <w:p w14:paraId="144F3838">
      <w:pPr>
        <w:rPr>
          <w:rFonts w:hint="eastAsia" w:ascii="仿宋" w:hAnsi="仿宋" w:eastAsia="仿宋" w:cs="仿宋"/>
          <w:color w:val="000000" w:themeColor="text1"/>
          <w:sz w:val="24"/>
          <w:szCs w:val="24"/>
          <w:highlight w:val="none"/>
          <w:u w:val="single"/>
          <w14:textFill>
            <w14:solidFill>
              <w14:schemeClr w14:val="tx1"/>
            </w14:solidFill>
          </w14:textFill>
        </w:rPr>
      </w:pPr>
    </w:p>
    <w:p w14:paraId="500D2BE6">
      <w:pPr>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投标文件封面示例</w:t>
      </w:r>
    </w:p>
    <w:p w14:paraId="747AF557">
      <w:pPr>
        <w:spacing w:line="480" w:lineRule="auto"/>
        <w:jc w:val="center"/>
        <w:rPr>
          <w:rFonts w:hint="eastAsia" w:ascii="仿宋" w:hAnsi="仿宋" w:eastAsia="仿宋" w:cs="仿宋"/>
          <w:b/>
          <w:bCs/>
          <w:color w:val="000000" w:themeColor="text1"/>
          <w:sz w:val="24"/>
          <w:szCs w:val="24"/>
          <w:highlight w:val="none"/>
          <w:u w:val="single"/>
          <w14:textFill>
            <w14:solidFill>
              <w14:schemeClr w14:val="tx1"/>
            </w14:solidFill>
          </w14:textFill>
        </w:rPr>
      </w:pPr>
    </w:p>
    <w:p w14:paraId="2D34C3A6">
      <w:pPr>
        <w:pStyle w:val="38"/>
        <w:rPr>
          <w:rFonts w:hint="eastAsia" w:ascii="仿宋" w:hAnsi="仿宋" w:eastAsia="仿宋" w:cs="仿宋"/>
          <w:color w:val="000000" w:themeColor="text1"/>
          <w:highlight w:val="none"/>
          <w14:textFill>
            <w14:solidFill>
              <w14:schemeClr w14:val="tx1"/>
            </w14:solidFill>
          </w14:textFill>
        </w:rPr>
      </w:pPr>
    </w:p>
    <w:p w14:paraId="2AA3AC4C">
      <w:pPr>
        <w:spacing w:line="480" w:lineRule="auto"/>
        <w:jc w:val="center"/>
        <w:rPr>
          <w:rFonts w:hint="eastAsia" w:ascii="仿宋" w:hAnsi="仿宋" w:eastAsia="仿宋" w:cs="仿宋"/>
          <w:b/>
          <w:bCs/>
          <w:color w:val="000000" w:themeColor="text1"/>
          <w:sz w:val="24"/>
          <w:szCs w:val="24"/>
          <w:highlight w:val="none"/>
          <w:u w:val="single"/>
          <w14:textFill>
            <w14:solidFill>
              <w14:schemeClr w14:val="tx1"/>
            </w14:solidFill>
          </w14:textFill>
        </w:rPr>
      </w:pPr>
      <w:r>
        <w:rPr>
          <w:rFonts w:hint="eastAsia" w:ascii="仿宋" w:hAnsi="仿宋" w:eastAsia="仿宋" w:cs="仿宋"/>
          <w:b/>
          <w:bCs/>
          <w:color w:val="000000" w:themeColor="text1"/>
          <w:sz w:val="24"/>
          <w:szCs w:val="24"/>
          <w:highlight w:val="none"/>
          <w:u w:val="single"/>
          <w14:textFill>
            <w14:solidFill>
              <w14:schemeClr w14:val="tx1"/>
            </w14:solidFill>
          </w14:textFill>
        </w:rPr>
        <w:t>（</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项目名称</w:t>
      </w:r>
      <w:r>
        <w:rPr>
          <w:rFonts w:hint="eastAsia" w:ascii="仿宋" w:hAnsi="仿宋" w:eastAsia="仿宋" w:cs="仿宋"/>
          <w:b/>
          <w:bCs/>
          <w:color w:val="000000" w:themeColor="text1"/>
          <w:sz w:val="24"/>
          <w:szCs w:val="24"/>
          <w:highlight w:val="none"/>
          <w:u w:val="single"/>
          <w14:textFill>
            <w14:solidFill>
              <w14:schemeClr w14:val="tx1"/>
            </w14:solidFill>
          </w14:textFill>
        </w:rPr>
        <w:t>）</w:t>
      </w:r>
    </w:p>
    <w:p w14:paraId="4040B6DE">
      <w:pPr>
        <w:spacing w:line="480" w:lineRule="auto"/>
        <w:jc w:val="center"/>
        <w:rPr>
          <w:rFonts w:hint="eastAsia" w:ascii="仿宋" w:hAnsi="仿宋" w:eastAsia="仿宋" w:cs="仿宋"/>
          <w:b/>
          <w:bCs/>
          <w:color w:val="000000" w:themeColor="text1"/>
          <w:sz w:val="24"/>
          <w:szCs w:val="24"/>
          <w:highlight w:val="none"/>
          <w:u w:val="single"/>
          <w14:textFill>
            <w14:solidFill>
              <w14:schemeClr w14:val="tx1"/>
            </w14:solidFill>
          </w14:textFill>
        </w:rPr>
      </w:pPr>
      <w:r>
        <w:rPr>
          <w:rFonts w:hint="eastAsia" w:ascii="仿宋" w:hAnsi="仿宋" w:eastAsia="仿宋" w:cs="仿宋"/>
          <w:b/>
          <w:bCs/>
          <w:color w:val="000000" w:themeColor="text1"/>
          <w:sz w:val="24"/>
          <w:szCs w:val="24"/>
          <w:highlight w:val="none"/>
          <w:u w:val="single"/>
          <w14:textFill>
            <w14:solidFill>
              <w14:schemeClr w14:val="tx1"/>
            </w14:solidFill>
          </w14:textFill>
        </w:rPr>
        <w:t>（</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项目编号</w:t>
      </w:r>
      <w:r>
        <w:rPr>
          <w:rFonts w:hint="eastAsia" w:ascii="仿宋" w:hAnsi="仿宋" w:eastAsia="仿宋" w:cs="仿宋"/>
          <w:b/>
          <w:bCs/>
          <w:color w:val="000000" w:themeColor="text1"/>
          <w:sz w:val="24"/>
          <w:szCs w:val="24"/>
          <w:highlight w:val="none"/>
          <w:u w:val="single"/>
          <w14:textFill>
            <w14:solidFill>
              <w14:schemeClr w14:val="tx1"/>
            </w14:solidFill>
          </w14:textFill>
        </w:rPr>
        <w:t>）</w:t>
      </w:r>
    </w:p>
    <w:p w14:paraId="2621574E">
      <w:pPr>
        <w:spacing w:line="300" w:lineRule="exact"/>
        <w:jc w:val="center"/>
        <w:rPr>
          <w:rFonts w:hint="eastAsia" w:ascii="仿宋" w:hAnsi="仿宋" w:eastAsia="仿宋" w:cs="仿宋"/>
          <w:b/>
          <w:bCs/>
          <w:color w:val="000000" w:themeColor="text1"/>
          <w:sz w:val="24"/>
          <w:szCs w:val="24"/>
          <w:highlight w:val="none"/>
          <w14:textFill>
            <w14:solidFill>
              <w14:schemeClr w14:val="tx1"/>
            </w14:solidFill>
          </w14:textFill>
        </w:rPr>
      </w:pPr>
    </w:p>
    <w:p w14:paraId="40134540">
      <w:pPr>
        <w:spacing w:line="300" w:lineRule="exact"/>
        <w:jc w:val="center"/>
        <w:rPr>
          <w:rFonts w:hint="eastAsia" w:ascii="仿宋" w:hAnsi="仿宋" w:eastAsia="仿宋" w:cs="仿宋"/>
          <w:b/>
          <w:bCs/>
          <w:color w:val="000000" w:themeColor="text1"/>
          <w:sz w:val="24"/>
          <w:szCs w:val="24"/>
          <w:highlight w:val="none"/>
          <w14:textFill>
            <w14:solidFill>
              <w14:schemeClr w14:val="tx1"/>
            </w14:solidFill>
          </w14:textFill>
        </w:rPr>
      </w:pPr>
    </w:p>
    <w:p w14:paraId="55F4CE60">
      <w:pPr>
        <w:spacing w:line="300" w:lineRule="exact"/>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投标文件</w:t>
      </w:r>
    </w:p>
    <w:p w14:paraId="34B2E024">
      <w:pPr>
        <w:spacing w:line="720" w:lineRule="auto"/>
        <w:rPr>
          <w:rFonts w:hint="eastAsia" w:ascii="仿宋" w:hAnsi="仿宋" w:eastAsia="仿宋" w:cs="仿宋"/>
          <w:color w:val="000000" w:themeColor="text1"/>
          <w:sz w:val="24"/>
          <w:szCs w:val="24"/>
          <w:highlight w:val="none"/>
          <w14:textFill>
            <w14:solidFill>
              <w14:schemeClr w14:val="tx1"/>
            </w14:solidFill>
          </w14:textFill>
        </w:rPr>
      </w:pPr>
    </w:p>
    <w:p w14:paraId="232F27D1">
      <w:pPr>
        <w:spacing w:line="72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投标人：（盖章）</w:t>
      </w:r>
    </w:p>
    <w:p w14:paraId="5FC3D3B0">
      <w:pPr>
        <w:spacing w:line="72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法定代表人：（盖章）</w:t>
      </w:r>
    </w:p>
    <w:p w14:paraId="3634274F">
      <w:pPr>
        <w:spacing w:line="72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单位地址：</w:t>
      </w:r>
    </w:p>
    <w:p w14:paraId="662CC0C0">
      <w:pPr>
        <w:spacing w:line="72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邮政编码：</w:t>
      </w:r>
    </w:p>
    <w:p w14:paraId="1B8F0C48">
      <w:pPr>
        <w:spacing w:line="72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联系人：</w:t>
      </w:r>
    </w:p>
    <w:p w14:paraId="773060A4">
      <w:pPr>
        <w:spacing w:line="72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联系电话：</w:t>
      </w:r>
    </w:p>
    <w:p w14:paraId="22C68F7B">
      <w:pPr>
        <w:spacing w:line="720" w:lineRule="auto"/>
        <w:rPr>
          <w:rFonts w:hint="eastAsia" w:ascii="仿宋" w:hAnsi="仿宋" w:eastAsia="仿宋" w:cs="仿宋"/>
          <w:color w:val="000000" w:themeColor="text1"/>
          <w:sz w:val="24"/>
          <w:szCs w:val="24"/>
          <w:highlight w:val="none"/>
          <w14:textFill>
            <w14:solidFill>
              <w14:schemeClr w14:val="tx1"/>
            </w14:solidFill>
          </w14:textFill>
        </w:rPr>
      </w:pPr>
    </w:p>
    <w:p w14:paraId="22BB99A0">
      <w:pPr>
        <w:spacing w:line="720" w:lineRule="auto"/>
        <w:ind w:firstLine="2" w:firstLineChars="1"/>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年  月  日</w:t>
      </w:r>
    </w:p>
    <w:p w14:paraId="30607A51">
      <w:pPr>
        <w:tabs>
          <w:tab w:val="center" w:pos="4832"/>
          <w:tab w:val="left" w:pos="7140"/>
        </w:tabs>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br w:type="page"/>
      </w:r>
      <w:bookmarkStart w:id="77" w:name="_Toc130252613"/>
      <w:r>
        <w:rPr>
          <w:rFonts w:hint="eastAsia" w:ascii="仿宋" w:hAnsi="仿宋" w:eastAsia="仿宋" w:cs="仿宋"/>
          <w:b/>
          <w:color w:val="000000" w:themeColor="text1"/>
          <w:sz w:val="24"/>
          <w:szCs w:val="24"/>
          <w:highlight w:val="none"/>
          <w14:textFill>
            <w14:solidFill>
              <w14:schemeClr w14:val="tx1"/>
            </w14:solidFill>
          </w14:textFill>
        </w:rPr>
        <w:t>目 录</w:t>
      </w:r>
      <w:bookmarkEnd w:id="77"/>
    </w:p>
    <w:p w14:paraId="49B4458A">
      <w:pPr>
        <w:spacing w:line="280" w:lineRule="exact"/>
        <w:ind w:firstLine="240" w:firstLineChars="100"/>
        <w:rPr>
          <w:rFonts w:hint="eastAsia" w:ascii="仿宋" w:hAnsi="仿宋" w:eastAsia="仿宋" w:cs="仿宋"/>
          <w:bCs/>
          <w:color w:val="000000" w:themeColor="text1"/>
          <w:sz w:val="24"/>
          <w:szCs w:val="24"/>
          <w:highlight w:val="none"/>
          <w14:textFill>
            <w14:solidFill>
              <w14:schemeClr w14:val="tx1"/>
            </w14:solidFill>
          </w14:textFill>
        </w:rPr>
      </w:pPr>
    </w:p>
    <w:p w14:paraId="1076F07A">
      <w:pPr>
        <w:spacing w:line="360" w:lineRule="auto"/>
        <w:ind w:firstLine="240" w:firstLineChars="1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一、开标一览表</w:t>
      </w:r>
    </w:p>
    <w:p w14:paraId="6BF7CA79">
      <w:pPr>
        <w:spacing w:line="360" w:lineRule="auto"/>
        <w:ind w:firstLine="240" w:firstLineChars="1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二、投标函</w:t>
      </w:r>
    </w:p>
    <w:p w14:paraId="306E97CD">
      <w:pPr>
        <w:spacing w:line="360" w:lineRule="auto"/>
        <w:ind w:firstLine="240" w:firstLineChars="1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三、投标价格明细表</w:t>
      </w:r>
    </w:p>
    <w:p w14:paraId="336DC9EA">
      <w:pPr>
        <w:spacing w:line="360" w:lineRule="auto"/>
        <w:ind w:firstLine="240" w:firstLineChars="1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四、商务条款偏离表</w:t>
      </w:r>
    </w:p>
    <w:p w14:paraId="4A06B4BD">
      <w:pPr>
        <w:spacing w:line="360" w:lineRule="auto"/>
        <w:ind w:firstLine="240" w:firstLineChars="1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五、技术条款偏离表</w:t>
      </w:r>
    </w:p>
    <w:p w14:paraId="0829B2D0">
      <w:pPr>
        <w:spacing w:line="360" w:lineRule="auto"/>
        <w:ind w:firstLine="240" w:firstLineChars="1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六、法定代表人身份证明书</w:t>
      </w:r>
    </w:p>
    <w:p w14:paraId="6F375270">
      <w:pPr>
        <w:spacing w:line="360" w:lineRule="auto"/>
        <w:ind w:firstLine="240" w:firstLineChars="1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七、法定代表人授权委托书</w:t>
      </w:r>
    </w:p>
    <w:p w14:paraId="66BEA769">
      <w:pPr>
        <w:spacing w:line="360" w:lineRule="auto"/>
        <w:ind w:firstLine="240" w:firstLineChars="1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八、投标人资格条件证明材料</w:t>
      </w:r>
    </w:p>
    <w:p w14:paraId="1DBBB66B">
      <w:pPr>
        <w:spacing w:line="360" w:lineRule="auto"/>
        <w:ind w:firstLine="240" w:firstLineChars="1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九、投标人近年类似项目情况表</w:t>
      </w:r>
    </w:p>
    <w:p w14:paraId="266195C6">
      <w:pPr>
        <w:spacing w:line="360" w:lineRule="auto"/>
        <w:ind w:firstLine="240" w:firstLineChars="1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十、项目负责人简历表</w:t>
      </w:r>
    </w:p>
    <w:p w14:paraId="0A8775A7">
      <w:pPr>
        <w:spacing w:line="360" w:lineRule="auto"/>
        <w:ind w:firstLine="240" w:firstLineChars="1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十一、拟派主要服务人员情况表</w:t>
      </w:r>
    </w:p>
    <w:p w14:paraId="7769A88D">
      <w:pPr>
        <w:spacing w:line="360" w:lineRule="auto"/>
        <w:ind w:firstLine="240" w:firstLineChars="1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十二、服务方案</w:t>
      </w:r>
    </w:p>
    <w:p w14:paraId="345D7C08">
      <w:pPr>
        <w:spacing w:line="360" w:lineRule="auto"/>
        <w:ind w:firstLine="240" w:firstLineChars="1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十三、保证金缴纳证明材料</w:t>
      </w:r>
    </w:p>
    <w:p w14:paraId="1CA196E5">
      <w:pPr>
        <w:spacing w:line="360" w:lineRule="auto"/>
        <w:ind w:firstLine="240" w:firstLineChars="1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十四、</w:t>
      </w:r>
      <w:r>
        <w:rPr>
          <w:rFonts w:hint="eastAsia" w:ascii="仿宋" w:hAnsi="仿宋" w:eastAsia="仿宋" w:cs="仿宋"/>
          <w:color w:val="000000" w:themeColor="text1"/>
          <w:kern w:val="0"/>
          <w:sz w:val="24"/>
          <w:szCs w:val="24"/>
          <w:highlight w:val="none"/>
          <w14:textFill>
            <w14:solidFill>
              <w14:schemeClr w14:val="tx1"/>
            </w14:solidFill>
          </w14:textFill>
        </w:rPr>
        <w:t>其它需要提交的资料</w:t>
      </w:r>
    </w:p>
    <w:p w14:paraId="2535345B">
      <w:pPr>
        <w:spacing w:line="360" w:lineRule="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注：为了便于查找，请按上述顺序编制投标文件内容，并在目录中标明每项内容的起始页码。</w:t>
      </w:r>
    </w:p>
    <w:p w14:paraId="55C1F794">
      <w:pPr>
        <w:numPr>
          <w:ilvl w:val="0"/>
          <w:numId w:val="0"/>
        </w:numPr>
        <w:tabs>
          <w:tab w:val="center" w:pos="4832"/>
          <w:tab w:val="left" w:pos="7140"/>
        </w:tabs>
        <w:jc w:val="center"/>
        <w:outlineLvl w:val="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br w:type="page"/>
      </w:r>
      <w:bookmarkStart w:id="78" w:name="_Toc12596"/>
      <w:bookmarkStart w:id="79" w:name="_Toc6644"/>
      <w:r>
        <w:rPr>
          <w:rFonts w:hint="eastAsia" w:ascii="仿宋" w:hAnsi="仿宋" w:eastAsia="仿宋" w:cs="仿宋"/>
          <w:b/>
          <w:color w:val="000000" w:themeColor="text1"/>
          <w:sz w:val="24"/>
          <w:szCs w:val="24"/>
          <w:highlight w:val="none"/>
          <w:lang w:val="en-US" w:eastAsia="zh-CN"/>
          <w14:textFill>
            <w14:solidFill>
              <w14:schemeClr w14:val="tx1"/>
            </w14:solidFill>
          </w14:textFill>
        </w:rPr>
        <w:t>一、</w:t>
      </w:r>
      <w:r>
        <w:rPr>
          <w:rFonts w:hint="eastAsia" w:ascii="仿宋" w:hAnsi="仿宋" w:eastAsia="仿宋" w:cs="仿宋"/>
          <w:b/>
          <w:color w:val="000000" w:themeColor="text1"/>
          <w:sz w:val="24"/>
          <w:szCs w:val="24"/>
          <w:highlight w:val="none"/>
          <w14:textFill>
            <w14:solidFill>
              <w14:schemeClr w14:val="tx1"/>
            </w14:solidFill>
          </w14:textFill>
        </w:rPr>
        <w:t>开标一览表</w:t>
      </w:r>
      <w:bookmarkEnd w:id="78"/>
      <w:bookmarkEnd w:id="79"/>
    </w:p>
    <w:p w14:paraId="3AEE6744">
      <w:pPr>
        <w:rPr>
          <w:rFonts w:hint="eastAsia" w:ascii="仿宋" w:hAnsi="仿宋" w:eastAsia="仿宋" w:cs="仿宋"/>
          <w:color w:val="000000" w:themeColor="text1"/>
          <w:highlight w:val="none"/>
          <w14:textFill>
            <w14:solidFill>
              <w14:schemeClr w14:val="tx1"/>
            </w14:solidFill>
          </w14:textFill>
        </w:rPr>
      </w:pPr>
    </w:p>
    <w:p w14:paraId="3772166F">
      <w:pPr>
        <w:rPr>
          <w:rFonts w:hint="eastAsia" w:ascii="仿宋" w:hAnsi="仿宋" w:eastAsia="仿宋" w:cs="仿宋"/>
          <w:color w:val="000000" w:themeColor="text1"/>
          <w:highlight w:val="none"/>
          <w14:textFill>
            <w14:solidFill>
              <w14:schemeClr w14:val="tx1"/>
            </w14:solidFill>
          </w14:textFill>
        </w:rPr>
      </w:pPr>
    </w:p>
    <w:tbl>
      <w:tblPr>
        <w:tblStyle w:val="39"/>
        <w:tblpPr w:leftFromText="180" w:rightFromText="180" w:vertAnchor="text" w:horzAnchor="page" w:tblpX="1590" w:tblpY="473"/>
        <w:tblOverlap w:val="never"/>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9"/>
        <w:gridCol w:w="6249"/>
      </w:tblGrid>
      <w:tr w14:paraId="4A83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62E9D982">
            <w:pPr>
              <w:jc w:val="cente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项目名称</w:t>
            </w:r>
          </w:p>
        </w:tc>
        <w:tc>
          <w:tcPr>
            <w:tcW w:w="3499" w:type="pct"/>
            <w:tcBorders>
              <w:left w:val="single" w:color="auto" w:sz="4" w:space="0"/>
            </w:tcBorders>
            <w:shd w:val="clear" w:color="auto" w:fill="auto"/>
            <w:vAlign w:val="center"/>
          </w:tcPr>
          <w:p w14:paraId="51F124AB">
            <w:pPr>
              <w:spacing w:line="360" w:lineRule="auto"/>
              <w:ind w:right="-670" w:rightChars="0"/>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p>
        </w:tc>
      </w:tr>
      <w:tr w14:paraId="7E45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2C72A370">
            <w:pPr>
              <w:jc w:val="cente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项目编号</w:t>
            </w:r>
          </w:p>
        </w:tc>
        <w:tc>
          <w:tcPr>
            <w:tcW w:w="3499" w:type="pct"/>
            <w:tcBorders>
              <w:left w:val="single" w:color="auto" w:sz="4" w:space="0"/>
            </w:tcBorders>
            <w:shd w:val="clear" w:color="auto" w:fill="auto"/>
            <w:vAlign w:val="center"/>
          </w:tcPr>
          <w:p w14:paraId="445E1563">
            <w:pPr>
              <w:spacing w:line="360" w:lineRule="auto"/>
              <w:ind w:right="-670" w:rightChars="0"/>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p>
        </w:tc>
      </w:tr>
      <w:tr w14:paraId="0114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221E9B8B">
            <w:pPr>
              <w:jc w:val="cente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投标价格</w:t>
            </w:r>
          </w:p>
        </w:tc>
        <w:tc>
          <w:tcPr>
            <w:tcW w:w="3499" w:type="pct"/>
            <w:tcBorders>
              <w:left w:val="single" w:color="auto" w:sz="4" w:space="0"/>
            </w:tcBorders>
            <w:shd w:val="clear" w:color="auto" w:fill="auto"/>
            <w:vAlign w:val="center"/>
          </w:tcPr>
          <w:p w14:paraId="6C9BC66A">
            <w:pPr>
              <w:pStyle w:val="2"/>
              <w:ind w:left="0" w:leftChars="0" w:firstLine="0" w:firstLineChars="0"/>
              <w:rPr>
                <w:rFonts w:hint="eastAsia" w:ascii="仿宋" w:hAnsi="仿宋" w:eastAsia="仿宋" w:cs="仿宋"/>
                <w:bCs/>
                <w:color w:val="000000" w:themeColor="text1"/>
                <w:kern w:val="2"/>
                <w:sz w:val="24"/>
                <w:szCs w:val="24"/>
                <w:highlight w:val="none"/>
                <w:u w:val="singl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小写：</w:t>
            </w:r>
            <w:r>
              <w:rPr>
                <w:rFonts w:hint="eastAsia" w:ascii="仿宋" w:hAnsi="仿宋" w:eastAsia="仿宋" w:cs="仿宋"/>
                <w:bCs/>
                <w:color w:val="000000" w:themeColor="text1"/>
                <w:kern w:val="2"/>
                <w:sz w:val="24"/>
                <w:szCs w:val="24"/>
                <w:highlight w:val="none"/>
                <w:u w:val="single"/>
                <w:lang w:val="en-US" w:eastAsia="zh-CN" w:bidi="ar-SA"/>
                <w14:textFill>
                  <w14:solidFill>
                    <w14:schemeClr w14:val="tx1"/>
                  </w14:solidFill>
                </w14:textFill>
              </w:rPr>
              <w:t xml:space="preserve">             </w:t>
            </w:r>
          </w:p>
          <w:p w14:paraId="04AED564">
            <w:pP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大写：</w:t>
            </w:r>
            <w:r>
              <w:rPr>
                <w:rFonts w:hint="eastAsia" w:ascii="仿宋" w:hAnsi="仿宋" w:eastAsia="仿宋" w:cs="仿宋"/>
                <w:bCs/>
                <w:color w:val="000000" w:themeColor="text1"/>
                <w:kern w:val="2"/>
                <w:sz w:val="24"/>
                <w:szCs w:val="24"/>
                <w:highlight w:val="none"/>
                <w:u w:val="single"/>
                <w:lang w:val="en-US" w:eastAsia="zh-CN" w:bidi="ar-SA"/>
                <w14:textFill>
                  <w14:solidFill>
                    <w14:schemeClr w14:val="tx1"/>
                  </w14:solidFill>
                </w14:textFill>
              </w:rPr>
              <w:t xml:space="preserve">             </w:t>
            </w:r>
          </w:p>
        </w:tc>
      </w:tr>
      <w:tr w14:paraId="67827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63E4F25D">
            <w:pPr>
              <w:snapToGrid w:val="0"/>
              <w:jc w:val="cente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合同履约期限</w:t>
            </w:r>
          </w:p>
        </w:tc>
        <w:tc>
          <w:tcPr>
            <w:tcW w:w="3499" w:type="pct"/>
            <w:tcBorders>
              <w:left w:val="single" w:color="auto" w:sz="4" w:space="0"/>
            </w:tcBorders>
            <w:shd w:val="clear" w:color="auto" w:fill="auto"/>
            <w:vAlign w:val="center"/>
          </w:tcPr>
          <w:p w14:paraId="01C6B984">
            <w:pPr>
              <w:snapToGrid w:val="0"/>
              <w:spacing w:line="360" w:lineRule="auto"/>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自合同签订之日起1年</w:t>
            </w:r>
          </w:p>
        </w:tc>
      </w:tr>
      <w:tr w14:paraId="217D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1677E23F">
            <w:pPr>
              <w:snapToGrid w:val="0"/>
              <w:jc w:val="cente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投标有效期</w:t>
            </w:r>
          </w:p>
        </w:tc>
        <w:tc>
          <w:tcPr>
            <w:tcW w:w="3499" w:type="pct"/>
            <w:tcBorders>
              <w:left w:val="single" w:color="auto" w:sz="4" w:space="0"/>
            </w:tcBorders>
            <w:shd w:val="clear" w:color="auto" w:fill="auto"/>
            <w:vAlign w:val="center"/>
          </w:tcPr>
          <w:p w14:paraId="0E7870B2">
            <w:pPr>
              <w:snapToGrid w:val="0"/>
              <w:spacing w:line="360" w:lineRule="auto"/>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自投标截止之日90日历日</w:t>
            </w:r>
          </w:p>
        </w:tc>
      </w:tr>
      <w:tr w14:paraId="0909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1FE8837E">
            <w:pPr>
              <w:jc w:val="cente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备注</w:t>
            </w:r>
          </w:p>
        </w:tc>
        <w:tc>
          <w:tcPr>
            <w:tcW w:w="3499" w:type="pct"/>
            <w:tcBorders>
              <w:left w:val="single" w:color="auto" w:sz="4" w:space="0"/>
            </w:tcBorders>
            <w:shd w:val="clear" w:color="auto" w:fill="auto"/>
            <w:vAlign w:val="center"/>
          </w:tcPr>
          <w:p w14:paraId="056CF9DE">
            <w:pP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p>
        </w:tc>
      </w:tr>
    </w:tbl>
    <w:p w14:paraId="0AAECBC2">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42A7DDE8">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04841C89">
      <w:pPr>
        <w:pStyle w:val="2"/>
        <w:rPr>
          <w:rFonts w:hint="eastAsia" w:ascii="仿宋" w:hAnsi="仿宋" w:eastAsia="仿宋" w:cs="仿宋"/>
          <w:color w:val="000000" w:themeColor="text1"/>
          <w:highlight w:val="none"/>
          <w14:textFill>
            <w14:solidFill>
              <w14:schemeClr w14:val="tx1"/>
            </w14:solidFill>
          </w14:textFill>
        </w:rPr>
      </w:pPr>
    </w:p>
    <w:p w14:paraId="45235ABC">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投标人：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（盖章）</w:t>
      </w:r>
    </w:p>
    <w:p w14:paraId="71C7700D">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4AFA75F6">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法定代表人：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（盖章）</w:t>
      </w:r>
    </w:p>
    <w:p w14:paraId="0433F31C">
      <w:pPr>
        <w:widowControl/>
        <w:shd w:val="clear" w:color="auto" w:fill="FFFFFF"/>
        <w:wordWrap w:val="0"/>
        <w:snapToGrid w:val="0"/>
        <w:spacing w:line="384" w:lineRule="auto"/>
        <w:ind w:firstLine="420"/>
        <w:jc w:val="righ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日期：     年   月   日</w:t>
      </w:r>
    </w:p>
    <w:p w14:paraId="66E9A015">
      <w:pP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br w:type="page"/>
      </w:r>
    </w:p>
    <w:p w14:paraId="65E372EB">
      <w:pPr>
        <w:tabs>
          <w:tab w:val="center" w:pos="4832"/>
          <w:tab w:val="left" w:pos="7140"/>
        </w:tabs>
        <w:jc w:val="center"/>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80" w:name="_Toc26098"/>
      <w:bookmarkStart w:id="81" w:name="_Toc13707"/>
      <w:r>
        <w:rPr>
          <w:rFonts w:hint="eastAsia" w:ascii="仿宋" w:hAnsi="仿宋" w:eastAsia="仿宋" w:cs="仿宋"/>
          <w:b/>
          <w:color w:val="000000" w:themeColor="text1"/>
          <w:sz w:val="24"/>
          <w:szCs w:val="24"/>
          <w:highlight w:val="none"/>
          <w14:textFill>
            <w14:solidFill>
              <w14:schemeClr w14:val="tx1"/>
            </w14:solidFill>
          </w14:textFill>
        </w:rPr>
        <w:t>二、投标函</w:t>
      </w:r>
      <w:bookmarkEnd w:id="80"/>
      <w:bookmarkEnd w:id="81"/>
    </w:p>
    <w:p w14:paraId="7416A3BD">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4180F53C">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致：</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（采购人名称）</w:t>
      </w:r>
    </w:p>
    <w:p w14:paraId="231F7924">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47474B18">
      <w:pPr>
        <w:widowControl/>
        <w:shd w:val="clear" w:color="auto" w:fill="FFFFFF"/>
        <w:snapToGrid w:val="0"/>
        <w:spacing w:line="384" w:lineRule="auto"/>
        <w:ind w:firstLine="42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根据已收到的</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eastAsia="zh-CN"/>
          <w14:textFill>
            <w14:solidFill>
              <w14:schemeClr w14:val="tx1"/>
            </w14:solidFill>
          </w14:textFill>
        </w:rPr>
        <w:t>项目名称</w:t>
      </w:r>
      <w:r>
        <w:rPr>
          <w:rFonts w:hint="eastAsia" w:ascii="仿宋" w:hAnsi="仿宋" w:eastAsia="仿宋" w:cs="仿宋"/>
          <w:color w:val="000000" w:themeColor="text1"/>
          <w:kern w:val="0"/>
          <w:sz w:val="24"/>
          <w:szCs w:val="24"/>
          <w:highlight w:val="none"/>
          <w14:textFill>
            <w14:solidFill>
              <w14:schemeClr w14:val="tx1"/>
            </w14:solidFill>
          </w14:textFill>
        </w:rPr>
        <w:t>）的招标文件，遵照《中华人民共和国政府采购法》等有关法律法规的规定，经考察现场和充分研究贵方的招标文件的全部内容后，我方郑重承诺如下：</w:t>
      </w:r>
    </w:p>
    <w:p w14:paraId="57E30557">
      <w:pPr>
        <w:widowControl/>
        <w:shd w:val="clear" w:color="auto" w:fill="FFFFFF"/>
        <w:snapToGrid w:val="0"/>
        <w:spacing w:line="360" w:lineRule="auto"/>
        <w:ind w:firstLine="420"/>
        <w:jc w:val="left"/>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lang w:val="zh-CN"/>
          <w14:textFill>
            <w14:solidFill>
              <w14:schemeClr w14:val="tx1"/>
            </w14:solidFill>
          </w14:textFill>
        </w:rPr>
        <w:t xml:space="preserve">、不向项目有关人员及部门赠送礼金礼物、有价证券、回扣以及中介费、介绍费、咨询费等好处费；不为项目有关人员及部门报销应由你方单位或个人支付的费用。 </w:t>
      </w:r>
    </w:p>
    <w:p w14:paraId="00CEADBE">
      <w:pPr>
        <w:widowControl/>
        <w:shd w:val="clear" w:color="auto" w:fill="FFFFFF"/>
        <w:snapToGrid w:val="0"/>
        <w:spacing w:line="360" w:lineRule="auto"/>
        <w:ind w:firstLine="420"/>
        <w:jc w:val="left"/>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w:t>
      </w:r>
      <w:r>
        <w:rPr>
          <w:rFonts w:hint="eastAsia" w:ascii="仿宋" w:hAnsi="仿宋" w:eastAsia="仿宋" w:cs="仿宋"/>
          <w:color w:val="000000" w:themeColor="text1"/>
          <w:kern w:val="0"/>
          <w:sz w:val="24"/>
          <w:szCs w:val="24"/>
          <w:highlight w:val="none"/>
          <w:lang w:val="zh-CN"/>
          <w14:textFill>
            <w14:solidFill>
              <w14:schemeClr w14:val="tx1"/>
            </w14:solidFill>
          </w14:textFill>
        </w:rPr>
        <w:t>、不向项目有关人员及部门提供有可能影响公正的宴请和健身娱乐等活动；不为项目有关人员及部门出国（境）、旅游等提供方便；不为项目有关人员个人装修住房、婚丧嫁娶、配偶子女工作安排等提供好处。</w:t>
      </w:r>
    </w:p>
    <w:p w14:paraId="74B9B536">
      <w:pPr>
        <w:widowControl/>
        <w:shd w:val="clear" w:color="auto" w:fill="FFFFFF"/>
        <w:snapToGrid w:val="0"/>
        <w:spacing w:line="360" w:lineRule="auto"/>
        <w:ind w:firstLine="42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w:t>
      </w:r>
      <w:r>
        <w:rPr>
          <w:rFonts w:hint="eastAsia" w:ascii="仿宋" w:hAnsi="仿宋" w:eastAsia="仿宋" w:cs="仿宋"/>
          <w:color w:val="000000" w:themeColor="text1"/>
          <w:kern w:val="0"/>
          <w:sz w:val="24"/>
          <w:szCs w:val="24"/>
          <w:highlight w:val="none"/>
          <w:lang w:val="zh-CN"/>
          <w14:textFill>
            <w14:solidFill>
              <w14:schemeClr w14:val="tx1"/>
            </w14:solidFill>
          </w14:textFill>
        </w:rPr>
        <w:t xml:space="preserve">、严格遵守《中华人民共和国政府采购法》、《中华人民共和国民法典》等法律法规，诚实守信，合法经营，坚决抵制各种违法违纪行为。 </w:t>
      </w:r>
    </w:p>
    <w:p w14:paraId="1DB9613F">
      <w:pPr>
        <w:widowControl/>
        <w:shd w:val="clear" w:color="auto" w:fill="FFFFFF"/>
        <w:snapToGrid w:val="0"/>
        <w:spacing w:line="360" w:lineRule="auto"/>
        <w:ind w:firstLine="420"/>
        <w:jc w:val="left"/>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4、我方所递交的投标文件及有关资料内容完整、真实和准确，且不存在投标人须知前附表规定的投标人不得存在的任何一种情形。</w:t>
      </w:r>
    </w:p>
    <w:p w14:paraId="4A34307B">
      <w:pPr>
        <w:widowControl/>
        <w:shd w:val="clear" w:color="auto" w:fill="FFFFFF"/>
        <w:snapToGrid w:val="0"/>
        <w:spacing w:line="360" w:lineRule="auto"/>
        <w:ind w:firstLine="420"/>
        <w:jc w:val="left"/>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5、本</w:t>
      </w: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投标文件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在</w:t>
      </w: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招标文件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规定的投标有效期内对我方具有约束力，如果我方在投标有效期内撤销投标，其投标保证金将被贵方没收。</w:t>
      </w:r>
    </w:p>
    <w:p w14:paraId="766BEBCD">
      <w:pPr>
        <w:widowControl/>
        <w:shd w:val="clear" w:color="auto" w:fill="FFFFFF"/>
        <w:snapToGrid w:val="0"/>
        <w:spacing w:line="360" w:lineRule="auto"/>
        <w:ind w:firstLine="42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6、</w:t>
      </w:r>
      <w:r>
        <w:rPr>
          <w:rFonts w:hint="eastAsia" w:ascii="仿宋" w:hAnsi="仿宋" w:eastAsia="仿宋" w:cs="仿宋"/>
          <w:color w:val="000000" w:themeColor="text1"/>
          <w:kern w:val="0"/>
          <w:sz w:val="24"/>
          <w:szCs w:val="24"/>
          <w:highlight w:val="none"/>
          <w14:textFill>
            <w14:solidFill>
              <w14:schemeClr w14:val="tx1"/>
            </w14:solidFill>
          </w14:textFill>
        </w:rPr>
        <w:t>我方已完全理解招标文件的全部内容，并无异议。</w:t>
      </w:r>
    </w:p>
    <w:p w14:paraId="41493F6B">
      <w:pPr>
        <w:widowControl/>
        <w:shd w:val="clear" w:color="auto" w:fill="FFFFFF"/>
        <w:snapToGrid w:val="0"/>
        <w:spacing w:line="360" w:lineRule="auto"/>
        <w:ind w:firstLine="420"/>
        <w:jc w:val="left"/>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7、如我方中标，我方自愿向代理机构支付咨询费，并在合同签订后</w:t>
      </w:r>
      <w:r>
        <w:rPr>
          <w:rFonts w:hint="eastAsia" w:ascii="仿宋" w:hAnsi="仿宋" w:eastAsia="仿宋" w:cs="仿宋"/>
          <w:color w:val="000000" w:themeColor="text1"/>
          <w:kern w:val="0"/>
          <w:sz w:val="24"/>
          <w:szCs w:val="24"/>
          <w:highlight w:val="none"/>
          <w:shd w:val="clear" w:color="auto" w:fill="FFFFFF" w:themeFill="background1"/>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个工作日内向采购代理机构提供采购合同原件一份用于采购资料备案工作。</w:t>
      </w:r>
    </w:p>
    <w:p w14:paraId="053776F3">
      <w:pPr>
        <w:widowControl/>
        <w:shd w:val="clear" w:color="auto" w:fill="FFFFFF"/>
        <w:snapToGrid w:val="0"/>
        <w:spacing w:line="360" w:lineRule="auto"/>
        <w:ind w:firstLine="420"/>
        <w:jc w:val="left"/>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8、我方愿意提供贵方可能要求的与采购有关的一切数据或资料，完全理解贵方不一定接受最低投标报价的投标或收到的任何投标。</w:t>
      </w:r>
    </w:p>
    <w:p w14:paraId="09C9651E">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70E2C199">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投标人：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（盖章）</w:t>
      </w:r>
    </w:p>
    <w:p w14:paraId="5D61FB9F">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19C41D9B">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法定代表人：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（盖章）</w:t>
      </w:r>
    </w:p>
    <w:p w14:paraId="798DAE3C">
      <w:pPr>
        <w:widowControl/>
        <w:shd w:val="clear" w:color="auto" w:fill="FFFFFF"/>
        <w:wordWrap w:val="0"/>
        <w:snapToGrid w:val="0"/>
        <w:spacing w:line="384" w:lineRule="auto"/>
        <w:ind w:firstLine="420"/>
        <w:jc w:val="righ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日期：     年   月   日</w:t>
      </w:r>
    </w:p>
    <w:p w14:paraId="6E92BEB1">
      <w:pP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br w:type="page"/>
      </w:r>
    </w:p>
    <w:p w14:paraId="0386B0EF">
      <w:pPr>
        <w:tabs>
          <w:tab w:val="center" w:pos="4832"/>
          <w:tab w:val="left" w:pos="7140"/>
        </w:tabs>
        <w:jc w:val="center"/>
        <w:outlineLvl w:val="1"/>
        <w:rPr>
          <w:rFonts w:hint="eastAsia" w:ascii="仿宋" w:hAnsi="仿宋" w:eastAsia="仿宋" w:cs="仿宋"/>
          <w:color w:val="000000" w:themeColor="text1"/>
          <w:sz w:val="24"/>
          <w:szCs w:val="24"/>
          <w:highlight w:val="none"/>
          <w:lang w:eastAsia="zh-CN"/>
          <w14:textFill>
            <w14:solidFill>
              <w14:schemeClr w14:val="tx1"/>
            </w14:solidFill>
          </w14:textFill>
        </w:rPr>
      </w:pPr>
      <w:bookmarkStart w:id="82" w:name="_Toc110707965"/>
      <w:bookmarkStart w:id="83" w:name="_Toc109921158"/>
      <w:bookmarkStart w:id="84" w:name="_Toc109941765"/>
      <w:bookmarkStart w:id="85" w:name="_Toc130252615"/>
      <w:bookmarkStart w:id="86" w:name="_Toc22378"/>
      <w:r>
        <w:rPr>
          <w:rFonts w:hint="eastAsia" w:ascii="仿宋" w:hAnsi="仿宋" w:eastAsia="仿宋" w:cs="仿宋"/>
          <w:b/>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b/>
          <w:color w:val="000000" w:themeColor="text1"/>
          <w:sz w:val="24"/>
          <w:szCs w:val="24"/>
          <w:highlight w:val="none"/>
          <w14:textFill>
            <w14:solidFill>
              <w14:schemeClr w14:val="tx1"/>
            </w14:solidFill>
          </w14:textFill>
        </w:rPr>
        <w:t>、投标价格明细表</w:t>
      </w:r>
      <w:bookmarkEnd w:id="82"/>
      <w:bookmarkEnd w:id="83"/>
      <w:bookmarkEnd w:id="84"/>
      <w:bookmarkEnd w:id="85"/>
      <w:bookmarkEnd w:id="86"/>
    </w:p>
    <w:p w14:paraId="2EAD86DF">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p>
    <w:tbl>
      <w:tblPr>
        <w:tblStyle w:val="39"/>
        <w:tblW w:w="82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3"/>
        <w:gridCol w:w="3282"/>
        <w:gridCol w:w="2194"/>
        <w:gridCol w:w="1560"/>
      </w:tblGrid>
      <w:tr w14:paraId="50C75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4432AF00">
            <w:pPr>
              <w:spacing w:line="360" w:lineRule="auto"/>
              <w:jc w:val="cente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序号</w:t>
            </w:r>
          </w:p>
        </w:tc>
        <w:tc>
          <w:tcPr>
            <w:tcW w:w="3282" w:type="dxa"/>
            <w:vAlign w:val="center"/>
          </w:tcPr>
          <w:p w14:paraId="6069050F">
            <w:pPr>
              <w:spacing w:line="360" w:lineRule="auto"/>
              <w:jc w:val="cente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名称</w:t>
            </w:r>
          </w:p>
        </w:tc>
        <w:tc>
          <w:tcPr>
            <w:tcW w:w="2194" w:type="dxa"/>
            <w:vAlign w:val="center"/>
          </w:tcPr>
          <w:p w14:paraId="0E4E437C">
            <w:pPr>
              <w:spacing w:line="360" w:lineRule="auto"/>
              <w:jc w:val="cente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小计（元）</w:t>
            </w:r>
          </w:p>
        </w:tc>
        <w:tc>
          <w:tcPr>
            <w:tcW w:w="1560" w:type="dxa"/>
            <w:vAlign w:val="center"/>
          </w:tcPr>
          <w:p w14:paraId="3766A677">
            <w:pPr>
              <w:spacing w:line="360" w:lineRule="auto"/>
              <w:jc w:val="cente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备注</w:t>
            </w:r>
          </w:p>
        </w:tc>
      </w:tr>
      <w:tr w14:paraId="78DFC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47389DBE">
            <w:pPr>
              <w:spacing w:line="360" w:lineRule="auto"/>
              <w:jc w:val="cente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1</w:t>
            </w:r>
          </w:p>
        </w:tc>
        <w:tc>
          <w:tcPr>
            <w:tcW w:w="3282" w:type="dxa"/>
            <w:vAlign w:val="center"/>
          </w:tcPr>
          <w:p w14:paraId="1AFF38EB">
            <w:pPr>
              <w:spacing w:line="360" w:lineRule="auto"/>
              <w:jc w:val="center"/>
              <w:rPr>
                <w:rFonts w:hint="eastAsia"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194" w:type="dxa"/>
            <w:vAlign w:val="center"/>
          </w:tcPr>
          <w:p w14:paraId="4B8EB488">
            <w:pPr>
              <w:spacing w:line="360" w:lineRule="auto"/>
              <w:jc w:val="center"/>
              <w:rPr>
                <w:rFonts w:hint="eastAsia"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560" w:type="dxa"/>
            <w:vAlign w:val="center"/>
          </w:tcPr>
          <w:p w14:paraId="67AADE18">
            <w:pPr>
              <w:spacing w:line="360" w:lineRule="auto"/>
              <w:jc w:val="center"/>
              <w:rPr>
                <w:rFonts w:hint="eastAsia"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r>
      <w:tr w14:paraId="49938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263" w:type="dxa"/>
            <w:vAlign w:val="center"/>
          </w:tcPr>
          <w:p w14:paraId="75D6D12E">
            <w:pPr>
              <w:spacing w:line="360" w:lineRule="auto"/>
              <w:jc w:val="cente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2</w:t>
            </w:r>
          </w:p>
        </w:tc>
        <w:tc>
          <w:tcPr>
            <w:tcW w:w="3282" w:type="dxa"/>
            <w:vAlign w:val="center"/>
          </w:tcPr>
          <w:p w14:paraId="6E0ABCE8">
            <w:pPr>
              <w:spacing w:line="360" w:lineRule="auto"/>
              <w:jc w:val="center"/>
              <w:rPr>
                <w:rFonts w:hint="eastAsia"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194" w:type="dxa"/>
            <w:vAlign w:val="center"/>
          </w:tcPr>
          <w:p w14:paraId="589E74C6">
            <w:pPr>
              <w:spacing w:line="360" w:lineRule="auto"/>
              <w:jc w:val="center"/>
              <w:rPr>
                <w:rFonts w:hint="eastAsia"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560" w:type="dxa"/>
            <w:vAlign w:val="center"/>
          </w:tcPr>
          <w:p w14:paraId="7300FEDE">
            <w:pPr>
              <w:spacing w:line="360" w:lineRule="auto"/>
              <w:jc w:val="center"/>
              <w:rPr>
                <w:rFonts w:hint="eastAsia"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r>
      <w:tr w14:paraId="73E89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7D552506">
            <w:pPr>
              <w:spacing w:line="360" w:lineRule="auto"/>
              <w:jc w:val="cente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3</w:t>
            </w:r>
          </w:p>
        </w:tc>
        <w:tc>
          <w:tcPr>
            <w:tcW w:w="3282" w:type="dxa"/>
            <w:vAlign w:val="center"/>
          </w:tcPr>
          <w:p w14:paraId="2151F302">
            <w:pPr>
              <w:spacing w:line="360" w:lineRule="auto"/>
              <w:jc w:val="center"/>
              <w:rPr>
                <w:rFonts w:hint="eastAsia"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194" w:type="dxa"/>
            <w:vAlign w:val="center"/>
          </w:tcPr>
          <w:p w14:paraId="5F74597C">
            <w:pPr>
              <w:spacing w:line="360" w:lineRule="auto"/>
              <w:jc w:val="center"/>
              <w:rPr>
                <w:rFonts w:hint="eastAsia"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560" w:type="dxa"/>
            <w:vAlign w:val="center"/>
          </w:tcPr>
          <w:p w14:paraId="15B0B61C">
            <w:pPr>
              <w:spacing w:line="360" w:lineRule="auto"/>
              <w:jc w:val="center"/>
              <w:rPr>
                <w:rFonts w:hint="eastAsia"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r>
      <w:tr w14:paraId="0B98E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263" w:type="dxa"/>
            <w:vAlign w:val="center"/>
          </w:tcPr>
          <w:p w14:paraId="7360CBE9">
            <w:pPr>
              <w:spacing w:line="360" w:lineRule="auto"/>
              <w:jc w:val="cente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4</w:t>
            </w:r>
          </w:p>
        </w:tc>
        <w:tc>
          <w:tcPr>
            <w:tcW w:w="3282" w:type="dxa"/>
            <w:vAlign w:val="center"/>
          </w:tcPr>
          <w:p w14:paraId="289D4062">
            <w:pPr>
              <w:spacing w:line="360" w:lineRule="auto"/>
              <w:jc w:val="center"/>
              <w:rPr>
                <w:rFonts w:hint="eastAsia"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194" w:type="dxa"/>
            <w:vAlign w:val="center"/>
          </w:tcPr>
          <w:p w14:paraId="291C2DFB">
            <w:pPr>
              <w:spacing w:line="360" w:lineRule="auto"/>
              <w:jc w:val="center"/>
              <w:rPr>
                <w:rFonts w:hint="eastAsia"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560" w:type="dxa"/>
            <w:vAlign w:val="center"/>
          </w:tcPr>
          <w:p w14:paraId="3536073C">
            <w:pPr>
              <w:spacing w:line="360" w:lineRule="auto"/>
              <w:jc w:val="center"/>
              <w:rPr>
                <w:rFonts w:hint="eastAsia"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r>
      <w:tr w14:paraId="30EF5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1DCA4C4D">
            <w:pPr>
              <w:spacing w:line="360" w:lineRule="auto"/>
              <w:jc w:val="cente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w:t>
            </w:r>
          </w:p>
        </w:tc>
        <w:tc>
          <w:tcPr>
            <w:tcW w:w="3282" w:type="dxa"/>
            <w:vAlign w:val="center"/>
          </w:tcPr>
          <w:p w14:paraId="2189EAFF">
            <w:pPr>
              <w:spacing w:line="360" w:lineRule="auto"/>
              <w:jc w:val="center"/>
              <w:rPr>
                <w:rFonts w:hint="eastAsia"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194" w:type="dxa"/>
            <w:vAlign w:val="center"/>
          </w:tcPr>
          <w:p w14:paraId="0A0F0BDA">
            <w:pPr>
              <w:spacing w:line="360" w:lineRule="auto"/>
              <w:jc w:val="center"/>
              <w:rPr>
                <w:rFonts w:hint="eastAsia"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560" w:type="dxa"/>
            <w:vAlign w:val="center"/>
          </w:tcPr>
          <w:p w14:paraId="27A0724A">
            <w:pPr>
              <w:spacing w:line="360" w:lineRule="auto"/>
              <w:jc w:val="center"/>
              <w:rPr>
                <w:rFonts w:hint="eastAsia"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r>
      <w:tr w14:paraId="121F8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5" w:type="dxa"/>
            <w:gridSpan w:val="2"/>
            <w:vAlign w:val="center"/>
          </w:tcPr>
          <w:p w14:paraId="74993CA3">
            <w:pPr>
              <w:spacing w:line="360" w:lineRule="auto"/>
              <w:jc w:val="cente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合计</w:t>
            </w:r>
          </w:p>
        </w:tc>
        <w:tc>
          <w:tcPr>
            <w:tcW w:w="2194" w:type="dxa"/>
            <w:vAlign w:val="center"/>
          </w:tcPr>
          <w:p w14:paraId="63B428C0">
            <w:pPr>
              <w:spacing w:line="360" w:lineRule="auto"/>
              <w:jc w:val="center"/>
              <w:rPr>
                <w:rFonts w:hint="eastAsia"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560" w:type="dxa"/>
            <w:vAlign w:val="center"/>
          </w:tcPr>
          <w:p w14:paraId="4194A073">
            <w:pPr>
              <w:spacing w:line="360" w:lineRule="auto"/>
              <w:jc w:val="center"/>
              <w:rPr>
                <w:rFonts w:hint="eastAsia"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r>
    </w:tbl>
    <w:p w14:paraId="0B652290">
      <w:pPr>
        <w:pStyle w:val="2"/>
        <w:rPr>
          <w:rFonts w:hint="eastAsia" w:ascii="仿宋" w:hAnsi="仿宋" w:eastAsia="仿宋" w:cs="仿宋"/>
          <w:color w:val="000000" w:themeColor="text1"/>
          <w:highlight w:val="none"/>
          <w14:textFill>
            <w14:solidFill>
              <w14:schemeClr w14:val="tx1"/>
            </w14:solidFill>
          </w14:textFill>
        </w:rPr>
      </w:pPr>
    </w:p>
    <w:p w14:paraId="7C930C91">
      <w:pPr>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注：</w:t>
      </w:r>
      <w:r>
        <w:rPr>
          <w:rFonts w:hint="eastAsia" w:ascii="仿宋" w:hAnsi="仿宋" w:eastAsia="仿宋" w:cs="仿宋"/>
          <w:color w:val="000000" w:themeColor="text1"/>
          <w:kern w:val="0"/>
          <w:sz w:val="24"/>
          <w:szCs w:val="24"/>
          <w:highlight w:val="none"/>
          <w14:textFill>
            <w14:solidFill>
              <w14:schemeClr w14:val="tx1"/>
            </w14:solidFill>
          </w14:textFill>
        </w:rPr>
        <w:t>投标价格应包括投标人履行本项目合同（如果中标）所必须的所有成本费用和中标人应承担的一切税费；未列和没有填写的项目费用，采购人将视为已包括在投标价格中。</w:t>
      </w:r>
    </w:p>
    <w:p w14:paraId="599E42C2">
      <w:pPr>
        <w:pStyle w:val="2"/>
        <w:rPr>
          <w:rFonts w:hint="eastAsia" w:ascii="仿宋" w:hAnsi="仿宋" w:eastAsia="仿宋" w:cs="仿宋"/>
          <w:color w:val="000000" w:themeColor="text1"/>
          <w:kern w:val="0"/>
          <w:sz w:val="24"/>
          <w:szCs w:val="24"/>
          <w:highlight w:val="none"/>
          <w14:textFill>
            <w14:solidFill>
              <w14:schemeClr w14:val="tx1"/>
            </w14:solidFill>
          </w14:textFill>
        </w:rPr>
      </w:pPr>
    </w:p>
    <w:p w14:paraId="09A16B7C">
      <w:pPr>
        <w:rPr>
          <w:rFonts w:hint="eastAsia" w:ascii="仿宋" w:hAnsi="仿宋" w:eastAsia="仿宋" w:cs="仿宋"/>
          <w:color w:val="000000" w:themeColor="text1"/>
          <w:highlight w:val="none"/>
          <w14:textFill>
            <w14:solidFill>
              <w14:schemeClr w14:val="tx1"/>
            </w14:solidFill>
          </w14:textFill>
        </w:rPr>
      </w:pPr>
    </w:p>
    <w:p w14:paraId="35B48729">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投标人：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（盖章）</w:t>
      </w:r>
    </w:p>
    <w:p w14:paraId="6D94A8E0">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法定代表人：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（盖章）</w:t>
      </w:r>
    </w:p>
    <w:p w14:paraId="5521A263">
      <w:pPr>
        <w:widowControl/>
        <w:shd w:val="clear" w:color="auto" w:fill="FFFFFF"/>
        <w:wordWrap w:val="0"/>
        <w:snapToGrid w:val="0"/>
        <w:spacing w:line="384" w:lineRule="auto"/>
        <w:ind w:firstLine="420"/>
        <w:jc w:val="righ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日期：     年   月   日</w:t>
      </w:r>
    </w:p>
    <w:p w14:paraId="54AAE0E4">
      <w:pPr>
        <w:pStyle w:val="2"/>
        <w:rPr>
          <w:rFonts w:hint="eastAsia" w:ascii="仿宋" w:hAnsi="仿宋" w:eastAsia="仿宋" w:cs="仿宋"/>
          <w:color w:val="000000" w:themeColor="text1"/>
          <w:highlight w:val="none"/>
          <w14:textFill>
            <w14:solidFill>
              <w14:schemeClr w14:val="tx1"/>
            </w14:solidFill>
          </w14:textFill>
        </w:rPr>
      </w:pPr>
    </w:p>
    <w:p w14:paraId="78427B30">
      <w:pPr>
        <w:tabs>
          <w:tab w:val="center" w:pos="4832"/>
          <w:tab w:val="left" w:pos="7140"/>
        </w:tabs>
        <w:jc w:val="center"/>
        <w:outlineLvl w:val="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br w:type="page"/>
      </w:r>
      <w:bookmarkStart w:id="87" w:name="_Toc109921161"/>
      <w:bookmarkStart w:id="88" w:name="_Toc25238"/>
      <w:bookmarkStart w:id="89" w:name="_Toc110707968"/>
      <w:bookmarkStart w:id="90" w:name="_Toc30686"/>
      <w:bookmarkStart w:id="91" w:name="_Toc130252618"/>
      <w:bookmarkStart w:id="92" w:name="_Toc109941768"/>
      <w:bookmarkStart w:id="93" w:name="_Toc17089"/>
      <w:r>
        <w:rPr>
          <w:rFonts w:hint="eastAsia" w:ascii="仿宋" w:hAnsi="仿宋" w:eastAsia="仿宋" w:cs="仿宋"/>
          <w:b/>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b/>
          <w:color w:val="000000" w:themeColor="text1"/>
          <w:sz w:val="24"/>
          <w:szCs w:val="24"/>
          <w:highlight w:val="none"/>
          <w14:textFill>
            <w14:solidFill>
              <w14:schemeClr w14:val="tx1"/>
            </w14:solidFill>
          </w14:textFill>
        </w:rPr>
        <w:t>、商务条款偏离表</w:t>
      </w:r>
      <w:bookmarkEnd w:id="87"/>
      <w:bookmarkEnd w:id="88"/>
      <w:bookmarkEnd w:id="89"/>
      <w:bookmarkEnd w:id="90"/>
      <w:bookmarkEnd w:id="91"/>
      <w:bookmarkEnd w:id="92"/>
      <w:bookmarkEnd w:id="93"/>
    </w:p>
    <w:p w14:paraId="0162C82C">
      <w:pPr>
        <w:rPr>
          <w:rFonts w:hint="eastAsia" w:ascii="仿宋" w:hAnsi="仿宋" w:eastAsia="仿宋" w:cs="仿宋"/>
          <w:color w:val="000000" w:themeColor="text1"/>
          <w:highlight w:val="none"/>
          <w14:textFill>
            <w14:solidFill>
              <w14:schemeClr w14:val="tx1"/>
            </w14:solidFill>
          </w14:textFill>
        </w:rPr>
      </w:pPr>
    </w:p>
    <w:tbl>
      <w:tblPr>
        <w:tblStyle w:val="39"/>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0E905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349C7B33">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序号</w:t>
            </w:r>
          </w:p>
        </w:tc>
        <w:tc>
          <w:tcPr>
            <w:tcW w:w="2070" w:type="dxa"/>
            <w:vAlign w:val="center"/>
          </w:tcPr>
          <w:p w14:paraId="0F1E5F1F">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招标文件条目号</w:t>
            </w:r>
          </w:p>
        </w:tc>
        <w:tc>
          <w:tcPr>
            <w:tcW w:w="2052" w:type="dxa"/>
            <w:vAlign w:val="center"/>
          </w:tcPr>
          <w:p w14:paraId="67FDA229">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招标文件的商务条款</w:t>
            </w:r>
          </w:p>
        </w:tc>
        <w:tc>
          <w:tcPr>
            <w:tcW w:w="2126" w:type="dxa"/>
            <w:vAlign w:val="center"/>
          </w:tcPr>
          <w:p w14:paraId="699A4DED">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投标文件的商务条款</w:t>
            </w:r>
          </w:p>
        </w:tc>
        <w:tc>
          <w:tcPr>
            <w:tcW w:w="1985" w:type="dxa"/>
            <w:vAlign w:val="center"/>
          </w:tcPr>
          <w:p w14:paraId="66C62B63">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说明</w:t>
            </w:r>
          </w:p>
        </w:tc>
      </w:tr>
      <w:tr w14:paraId="2BA8B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50775C28">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70" w:type="dxa"/>
          </w:tcPr>
          <w:p w14:paraId="4F035DCD">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52" w:type="dxa"/>
          </w:tcPr>
          <w:p w14:paraId="3E127D70">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126" w:type="dxa"/>
          </w:tcPr>
          <w:p w14:paraId="3370CB8C">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1985" w:type="dxa"/>
          </w:tcPr>
          <w:p w14:paraId="6D1F016C">
            <w:pPr>
              <w:jc w:val="center"/>
              <w:rPr>
                <w:rFonts w:hint="eastAsia" w:ascii="仿宋" w:hAnsi="仿宋" w:eastAsia="仿宋" w:cs="仿宋"/>
                <w:b/>
                <w:bCs/>
                <w:color w:val="000000" w:themeColor="text1"/>
                <w:sz w:val="24"/>
                <w:szCs w:val="24"/>
                <w:highlight w:val="none"/>
                <w14:textFill>
                  <w14:solidFill>
                    <w14:schemeClr w14:val="tx1"/>
                  </w14:solidFill>
                </w14:textFill>
              </w:rPr>
            </w:pPr>
          </w:p>
        </w:tc>
      </w:tr>
      <w:tr w14:paraId="3F839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FBDB120">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70" w:type="dxa"/>
          </w:tcPr>
          <w:p w14:paraId="04F79203">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52" w:type="dxa"/>
          </w:tcPr>
          <w:p w14:paraId="6CCFBB30">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126" w:type="dxa"/>
          </w:tcPr>
          <w:p w14:paraId="1E4FDFEB">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1985" w:type="dxa"/>
          </w:tcPr>
          <w:p w14:paraId="202FD2B3">
            <w:pPr>
              <w:jc w:val="center"/>
              <w:rPr>
                <w:rFonts w:hint="eastAsia" w:ascii="仿宋" w:hAnsi="仿宋" w:eastAsia="仿宋" w:cs="仿宋"/>
                <w:b/>
                <w:bCs/>
                <w:color w:val="000000" w:themeColor="text1"/>
                <w:sz w:val="24"/>
                <w:szCs w:val="24"/>
                <w:highlight w:val="none"/>
                <w14:textFill>
                  <w14:solidFill>
                    <w14:schemeClr w14:val="tx1"/>
                  </w14:solidFill>
                </w14:textFill>
              </w:rPr>
            </w:pPr>
          </w:p>
        </w:tc>
      </w:tr>
      <w:tr w14:paraId="4992E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9343520">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70" w:type="dxa"/>
          </w:tcPr>
          <w:p w14:paraId="44B384CD">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52" w:type="dxa"/>
          </w:tcPr>
          <w:p w14:paraId="49690099">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126" w:type="dxa"/>
          </w:tcPr>
          <w:p w14:paraId="6BD872CB">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1985" w:type="dxa"/>
          </w:tcPr>
          <w:p w14:paraId="3206220B">
            <w:pPr>
              <w:jc w:val="center"/>
              <w:rPr>
                <w:rFonts w:hint="eastAsia" w:ascii="仿宋" w:hAnsi="仿宋" w:eastAsia="仿宋" w:cs="仿宋"/>
                <w:b/>
                <w:bCs/>
                <w:color w:val="000000" w:themeColor="text1"/>
                <w:sz w:val="24"/>
                <w:szCs w:val="24"/>
                <w:highlight w:val="none"/>
                <w14:textFill>
                  <w14:solidFill>
                    <w14:schemeClr w14:val="tx1"/>
                  </w14:solidFill>
                </w14:textFill>
              </w:rPr>
            </w:pPr>
          </w:p>
        </w:tc>
      </w:tr>
      <w:tr w14:paraId="3EC4D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50C956B">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70" w:type="dxa"/>
          </w:tcPr>
          <w:p w14:paraId="029E056F">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52" w:type="dxa"/>
          </w:tcPr>
          <w:p w14:paraId="7FDA3284">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126" w:type="dxa"/>
          </w:tcPr>
          <w:p w14:paraId="31E53C58">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1985" w:type="dxa"/>
          </w:tcPr>
          <w:p w14:paraId="1B966EF7">
            <w:pPr>
              <w:jc w:val="center"/>
              <w:rPr>
                <w:rFonts w:hint="eastAsia" w:ascii="仿宋" w:hAnsi="仿宋" w:eastAsia="仿宋" w:cs="仿宋"/>
                <w:b/>
                <w:bCs/>
                <w:color w:val="000000" w:themeColor="text1"/>
                <w:sz w:val="24"/>
                <w:szCs w:val="24"/>
                <w:highlight w:val="none"/>
                <w14:textFill>
                  <w14:solidFill>
                    <w14:schemeClr w14:val="tx1"/>
                  </w14:solidFill>
                </w14:textFill>
              </w:rPr>
            </w:pPr>
          </w:p>
        </w:tc>
      </w:tr>
      <w:tr w14:paraId="71586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051945C">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70" w:type="dxa"/>
          </w:tcPr>
          <w:p w14:paraId="374C833B">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52" w:type="dxa"/>
          </w:tcPr>
          <w:p w14:paraId="1DF8036B">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126" w:type="dxa"/>
          </w:tcPr>
          <w:p w14:paraId="1B447AA1">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1985" w:type="dxa"/>
          </w:tcPr>
          <w:p w14:paraId="2DC73C01">
            <w:pPr>
              <w:jc w:val="center"/>
              <w:rPr>
                <w:rFonts w:hint="eastAsia" w:ascii="仿宋" w:hAnsi="仿宋" w:eastAsia="仿宋" w:cs="仿宋"/>
                <w:b/>
                <w:bCs/>
                <w:color w:val="000000" w:themeColor="text1"/>
                <w:sz w:val="24"/>
                <w:szCs w:val="24"/>
                <w:highlight w:val="none"/>
                <w14:textFill>
                  <w14:solidFill>
                    <w14:schemeClr w14:val="tx1"/>
                  </w14:solidFill>
                </w14:textFill>
              </w:rPr>
            </w:pPr>
          </w:p>
        </w:tc>
      </w:tr>
    </w:tbl>
    <w:p w14:paraId="49012061">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注：投标人商务条款有差异的，则在此表中列明实际响应的内容提要并加以说明，以便查对。无差异说明表示完全响应。</w:t>
      </w:r>
    </w:p>
    <w:p w14:paraId="3003BD03">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p>
    <w:p w14:paraId="5EF2B85F">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p>
    <w:p w14:paraId="18D89416">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投标人：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（盖章）</w:t>
      </w:r>
    </w:p>
    <w:p w14:paraId="77066243">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175E88AC">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法定代表人：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（盖章）</w:t>
      </w:r>
    </w:p>
    <w:p w14:paraId="54FA24E3">
      <w:pPr>
        <w:widowControl/>
        <w:shd w:val="clear" w:color="auto" w:fill="FFFFFF"/>
        <w:wordWrap w:val="0"/>
        <w:snapToGrid w:val="0"/>
        <w:spacing w:line="384" w:lineRule="auto"/>
        <w:ind w:firstLine="420"/>
        <w:jc w:val="righ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日期：     年   月   日</w:t>
      </w:r>
    </w:p>
    <w:p w14:paraId="300F4448">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36"/>
          <w:sz w:val="24"/>
          <w:szCs w:val="24"/>
          <w:highlight w:val="none"/>
          <w14:textFill>
            <w14:solidFill>
              <w14:schemeClr w14:val="tx1"/>
            </w14:solidFill>
          </w14:textFill>
        </w:rPr>
        <w:br w:type="page"/>
      </w:r>
    </w:p>
    <w:p w14:paraId="5700CD52">
      <w:pPr>
        <w:widowControl/>
        <w:jc w:val="left"/>
        <w:rPr>
          <w:rFonts w:hint="eastAsia" w:ascii="仿宋" w:hAnsi="仿宋" w:eastAsia="仿宋" w:cs="仿宋"/>
          <w:color w:val="000000" w:themeColor="text1"/>
          <w:sz w:val="24"/>
          <w:szCs w:val="24"/>
          <w:highlight w:val="none"/>
          <w14:textFill>
            <w14:solidFill>
              <w14:schemeClr w14:val="tx1"/>
            </w14:solidFill>
          </w14:textFill>
        </w:rPr>
      </w:pPr>
    </w:p>
    <w:p w14:paraId="171E0C6B">
      <w:pPr>
        <w:tabs>
          <w:tab w:val="center" w:pos="4832"/>
          <w:tab w:val="left" w:pos="7140"/>
        </w:tabs>
        <w:jc w:val="center"/>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94" w:name="_Toc6958"/>
      <w:bookmarkStart w:id="95" w:name="_Toc27420"/>
      <w:bookmarkStart w:id="96" w:name="_Toc130252617"/>
      <w:bookmarkStart w:id="97" w:name="_Toc109921160"/>
      <w:bookmarkStart w:id="98" w:name="_Toc109941767"/>
      <w:bookmarkStart w:id="99" w:name="_Toc110707967"/>
      <w:bookmarkStart w:id="100" w:name="_Toc13893"/>
      <w:r>
        <w:rPr>
          <w:rFonts w:hint="eastAsia" w:ascii="仿宋" w:hAnsi="仿宋" w:eastAsia="仿宋" w:cs="仿宋"/>
          <w:b/>
          <w:color w:val="000000" w:themeColor="text1"/>
          <w:sz w:val="24"/>
          <w:szCs w:val="24"/>
          <w:highlight w:val="none"/>
          <w:lang w:val="en-US" w:eastAsia="zh-CN"/>
          <w14:textFill>
            <w14:solidFill>
              <w14:schemeClr w14:val="tx1"/>
            </w14:solidFill>
          </w14:textFill>
        </w:rPr>
        <w:t>五</w:t>
      </w:r>
      <w:r>
        <w:rPr>
          <w:rFonts w:hint="eastAsia" w:ascii="仿宋" w:hAnsi="仿宋" w:eastAsia="仿宋" w:cs="仿宋"/>
          <w:b/>
          <w:color w:val="000000" w:themeColor="text1"/>
          <w:sz w:val="24"/>
          <w:szCs w:val="24"/>
          <w:highlight w:val="none"/>
          <w14:textFill>
            <w14:solidFill>
              <w14:schemeClr w14:val="tx1"/>
            </w14:solidFill>
          </w14:textFill>
        </w:rPr>
        <w:t>、技术条款偏离表</w:t>
      </w:r>
      <w:bookmarkEnd w:id="94"/>
      <w:bookmarkEnd w:id="95"/>
      <w:bookmarkEnd w:id="96"/>
      <w:bookmarkEnd w:id="97"/>
      <w:bookmarkEnd w:id="98"/>
      <w:bookmarkEnd w:id="99"/>
      <w:bookmarkEnd w:id="100"/>
    </w:p>
    <w:tbl>
      <w:tblPr>
        <w:tblStyle w:val="39"/>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732E8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3640345F">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序号</w:t>
            </w:r>
          </w:p>
        </w:tc>
        <w:tc>
          <w:tcPr>
            <w:tcW w:w="2070" w:type="dxa"/>
            <w:vAlign w:val="center"/>
          </w:tcPr>
          <w:p w14:paraId="6838F4AE">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招标文件条目号</w:t>
            </w:r>
          </w:p>
        </w:tc>
        <w:tc>
          <w:tcPr>
            <w:tcW w:w="2052" w:type="dxa"/>
            <w:vAlign w:val="center"/>
          </w:tcPr>
          <w:p w14:paraId="520E867D">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招标文件的技术条款</w:t>
            </w:r>
          </w:p>
        </w:tc>
        <w:tc>
          <w:tcPr>
            <w:tcW w:w="2126" w:type="dxa"/>
            <w:vAlign w:val="center"/>
          </w:tcPr>
          <w:p w14:paraId="3F0CCEE5">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投标文件的技术条款</w:t>
            </w:r>
          </w:p>
        </w:tc>
        <w:tc>
          <w:tcPr>
            <w:tcW w:w="1985" w:type="dxa"/>
            <w:vAlign w:val="center"/>
          </w:tcPr>
          <w:p w14:paraId="5A5D33F0">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说明</w:t>
            </w:r>
          </w:p>
        </w:tc>
      </w:tr>
      <w:tr w14:paraId="661DC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D432912">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70" w:type="dxa"/>
          </w:tcPr>
          <w:p w14:paraId="097A5DB8">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52" w:type="dxa"/>
          </w:tcPr>
          <w:p w14:paraId="4CF621FE">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126" w:type="dxa"/>
          </w:tcPr>
          <w:p w14:paraId="6FC4A5FF">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1985" w:type="dxa"/>
          </w:tcPr>
          <w:p w14:paraId="6B88D602">
            <w:pPr>
              <w:jc w:val="center"/>
              <w:rPr>
                <w:rFonts w:hint="eastAsia" w:ascii="仿宋" w:hAnsi="仿宋" w:eastAsia="仿宋" w:cs="仿宋"/>
                <w:b/>
                <w:bCs/>
                <w:color w:val="000000" w:themeColor="text1"/>
                <w:sz w:val="24"/>
                <w:szCs w:val="24"/>
                <w:highlight w:val="none"/>
                <w14:textFill>
                  <w14:solidFill>
                    <w14:schemeClr w14:val="tx1"/>
                  </w14:solidFill>
                </w14:textFill>
              </w:rPr>
            </w:pPr>
          </w:p>
        </w:tc>
      </w:tr>
      <w:tr w14:paraId="45BF6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4EE941D8">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70" w:type="dxa"/>
          </w:tcPr>
          <w:p w14:paraId="2BAD935D">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52" w:type="dxa"/>
          </w:tcPr>
          <w:p w14:paraId="1DD567B7">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126" w:type="dxa"/>
          </w:tcPr>
          <w:p w14:paraId="54BBBB46">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1985" w:type="dxa"/>
          </w:tcPr>
          <w:p w14:paraId="35FC40E3">
            <w:pPr>
              <w:jc w:val="center"/>
              <w:rPr>
                <w:rFonts w:hint="eastAsia" w:ascii="仿宋" w:hAnsi="仿宋" w:eastAsia="仿宋" w:cs="仿宋"/>
                <w:b/>
                <w:bCs/>
                <w:color w:val="000000" w:themeColor="text1"/>
                <w:sz w:val="24"/>
                <w:szCs w:val="24"/>
                <w:highlight w:val="none"/>
                <w14:textFill>
                  <w14:solidFill>
                    <w14:schemeClr w14:val="tx1"/>
                  </w14:solidFill>
                </w14:textFill>
              </w:rPr>
            </w:pPr>
          </w:p>
        </w:tc>
      </w:tr>
      <w:tr w14:paraId="03679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4563316">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70" w:type="dxa"/>
          </w:tcPr>
          <w:p w14:paraId="764B1A3B">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52" w:type="dxa"/>
          </w:tcPr>
          <w:p w14:paraId="5CC0AA24">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126" w:type="dxa"/>
          </w:tcPr>
          <w:p w14:paraId="4A5FD38B">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1985" w:type="dxa"/>
          </w:tcPr>
          <w:p w14:paraId="4EACF583">
            <w:pPr>
              <w:jc w:val="center"/>
              <w:rPr>
                <w:rFonts w:hint="eastAsia" w:ascii="仿宋" w:hAnsi="仿宋" w:eastAsia="仿宋" w:cs="仿宋"/>
                <w:b/>
                <w:bCs/>
                <w:color w:val="000000" w:themeColor="text1"/>
                <w:sz w:val="24"/>
                <w:szCs w:val="24"/>
                <w:highlight w:val="none"/>
                <w14:textFill>
                  <w14:solidFill>
                    <w14:schemeClr w14:val="tx1"/>
                  </w14:solidFill>
                </w14:textFill>
              </w:rPr>
            </w:pPr>
          </w:p>
        </w:tc>
      </w:tr>
      <w:tr w14:paraId="630AE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B0C7DA4">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70" w:type="dxa"/>
          </w:tcPr>
          <w:p w14:paraId="0DA7AD72">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52" w:type="dxa"/>
          </w:tcPr>
          <w:p w14:paraId="54E4C0B9">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126" w:type="dxa"/>
          </w:tcPr>
          <w:p w14:paraId="2E4D53FA">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1985" w:type="dxa"/>
          </w:tcPr>
          <w:p w14:paraId="1DBC592F">
            <w:pPr>
              <w:jc w:val="center"/>
              <w:rPr>
                <w:rFonts w:hint="eastAsia" w:ascii="仿宋" w:hAnsi="仿宋" w:eastAsia="仿宋" w:cs="仿宋"/>
                <w:b/>
                <w:bCs/>
                <w:color w:val="000000" w:themeColor="text1"/>
                <w:sz w:val="24"/>
                <w:szCs w:val="24"/>
                <w:highlight w:val="none"/>
                <w14:textFill>
                  <w14:solidFill>
                    <w14:schemeClr w14:val="tx1"/>
                  </w14:solidFill>
                </w14:textFill>
              </w:rPr>
            </w:pPr>
          </w:p>
        </w:tc>
      </w:tr>
      <w:tr w14:paraId="2B5BA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5A2584E5">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70" w:type="dxa"/>
          </w:tcPr>
          <w:p w14:paraId="34366E97">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52" w:type="dxa"/>
          </w:tcPr>
          <w:p w14:paraId="4A996F5B">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126" w:type="dxa"/>
          </w:tcPr>
          <w:p w14:paraId="7F17B445">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1985" w:type="dxa"/>
          </w:tcPr>
          <w:p w14:paraId="3D5DEF29">
            <w:pPr>
              <w:jc w:val="center"/>
              <w:rPr>
                <w:rFonts w:hint="eastAsia" w:ascii="仿宋" w:hAnsi="仿宋" w:eastAsia="仿宋" w:cs="仿宋"/>
                <w:b/>
                <w:bCs/>
                <w:color w:val="000000" w:themeColor="text1"/>
                <w:sz w:val="24"/>
                <w:szCs w:val="24"/>
                <w:highlight w:val="none"/>
                <w14:textFill>
                  <w14:solidFill>
                    <w14:schemeClr w14:val="tx1"/>
                  </w14:solidFill>
                </w14:textFill>
              </w:rPr>
            </w:pPr>
          </w:p>
        </w:tc>
      </w:tr>
    </w:tbl>
    <w:p w14:paraId="300AB9CE">
      <w:pPr>
        <w:rPr>
          <w:rFonts w:hint="eastAsia" w:ascii="仿宋" w:hAnsi="仿宋" w:eastAsia="仿宋" w:cs="仿宋"/>
          <w:color w:val="000000" w:themeColor="text1"/>
          <w:highlight w:val="none"/>
          <w14:textFill>
            <w14:solidFill>
              <w14:schemeClr w14:val="tx1"/>
            </w14:solidFill>
          </w14:textFill>
        </w:rPr>
      </w:pPr>
    </w:p>
    <w:p w14:paraId="487C44D8">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注：投标人技术条款有差异的，则在此表中列明实际响应的内容提要并加以说明，以便查对。无差异说明表示完全响应。</w:t>
      </w:r>
    </w:p>
    <w:p w14:paraId="23E59122">
      <w:pPr>
        <w:spacing w:line="360" w:lineRule="auto"/>
        <w:ind w:firstLine="475" w:firstLineChars="198"/>
        <w:jc w:val="left"/>
        <w:rPr>
          <w:rFonts w:hint="eastAsia" w:ascii="仿宋" w:hAnsi="仿宋" w:eastAsia="仿宋" w:cs="仿宋"/>
          <w:color w:val="000000" w:themeColor="text1"/>
          <w:sz w:val="24"/>
          <w:szCs w:val="24"/>
          <w:highlight w:val="none"/>
          <w14:textFill>
            <w14:solidFill>
              <w14:schemeClr w14:val="tx1"/>
            </w14:solidFill>
          </w14:textFill>
        </w:rPr>
      </w:pPr>
    </w:p>
    <w:p w14:paraId="2024D39E">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1B4CEB14">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5BA73140">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投标人：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（盖章）</w:t>
      </w:r>
    </w:p>
    <w:p w14:paraId="41FBD574">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1C9F366E">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法定代表人：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（盖章）</w:t>
      </w:r>
    </w:p>
    <w:p w14:paraId="5B22A247">
      <w:pPr>
        <w:widowControl/>
        <w:shd w:val="clear" w:color="auto" w:fill="FFFFFF"/>
        <w:wordWrap w:val="0"/>
        <w:snapToGrid w:val="0"/>
        <w:spacing w:line="384" w:lineRule="auto"/>
        <w:ind w:firstLine="420"/>
        <w:jc w:val="righ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日期：     年   月   日</w:t>
      </w:r>
    </w:p>
    <w:p w14:paraId="00EA6B4A">
      <w:pPr>
        <w:tabs>
          <w:tab w:val="center" w:pos="4832"/>
          <w:tab w:val="left" w:pos="7140"/>
        </w:tabs>
        <w:jc w:val="center"/>
        <w:outlineLvl w:val="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36"/>
          <w:sz w:val="24"/>
          <w:szCs w:val="24"/>
          <w:highlight w:val="none"/>
          <w14:textFill>
            <w14:solidFill>
              <w14:schemeClr w14:val="tx1"/>
            </w14:solidFill>
          </w14:textFill>
        </w:rPr>
        <w:br w:type="page"/>
      </w:r>
      <w:bookmarkStart w:id="101" w:name="_Toc109921162"/>
      <w:bookmarkStart w:id="102" w:name="_Toc5075"/>
      <w:bookmarkStart w:id="103" w:name="_Toc24527"/>
      <w:bookmarkStart w:id="104" w:name="_Toc29249"/>
      <w:bookmarkStart w:id="105" w:name="_Toc130252619"/>
      <w:bookmarkStart w:id="106" w:name="_Toc110707969"/>
      <w:bookmarkStart w:id="107" w:name="_Toc109941769"/>
      <w:r>
        <w:rPr>
          <w:rFonts w:hint="eastAsia" w:ascii="仿宋" w:hAnsi="仿宋" w:eastAsia="仿宋" w:cs="仿宋"/>
          <w:b/>
          <w:color w:val="000000" w:themeColor="text1"/>
          <w:sz w:val="24"/>
          <w:szCs w:val="24"/>
          <w:highlight w:val="none"/>
          <w:lang w:val="en-US" w:eastAsia="zh-CN"/>
          <w14:textFill>
            <w14:solidFill>
              <w14:schemeClr w14:val="tx1"/>
            </w14:solidFill>
          </w14:textFill>
        </w:rPr>
        <w:t>六</w:t>
      </w:r>
      <w:r>
        <w:rPr>
          <w:rFonts w:hint="eastAsia" w:ascii="仿宋" w:hAnsi="仿宋" w:eastAsia="仿宋" w:cs="仿宋"/>
          <w:b/>
          <w:color w:val="000000" w:themeColor="text1"/>
          <w:sz w:val="24"/>
          <w:szCs w:val="24"/>
          <w:highlight w:val="none"/>
          <w14:textFill>
            <w14:solidFill>
              <w14:schemeClr w14:val="tx1"/>
            </w14:solidFill>
          </w14:textFill>
        </w:rPr>
        <w:t>、法定代表人身份证明书</w:t>
      </w:r>
      <w:bookmarkEnd w:id="101"/>
      <w:bookmarkEnd w:id="102"/>
      <w:bookmarkEnd w:id="103"/>
      <w:bookmarkEnd w:id="104"/>
      <w:bookmarkEnd w:id="105"/>
      <w:bookmarkEnd w:id="106"/>
      <w:bookmarkEnd w:id="107"/>
    </w:p>
    <w:p w14:paraId="0B1BF9B9">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1A8092C8">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投 标 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p>
    <w:p w14:paraId="48BBD02C">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单位性质：</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p>
    <w:p w14:paraId="277ABE67">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地    址：</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p>
    <w:p w14:paraId="085AE850">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成立时间：</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年</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月</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日</w:t>
      </w:r>
    </w:p>
    <w:p w14:paraId="45100C64">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经营期限：</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p>
    <w:p w14:paraId="1B3AEE89">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12ECDAE6">
      <w:pPr>
        <w:widowControl/>
        <w:shd w:val="clear" w:color="auto" w:fill="FFFFFF"/>
        <w:snapToGrid w:val="0"/>
        <w:spacing w:line="384"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姓名：</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性别：</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年龄：</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职务：</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系</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（投标人名称）的法定代表人。</w:t>
      </w:r>
    </w:p>
    <w:p w14:paraId="0B420275">
      <w:pPr>
        <w:widowControl/>
        <w:shd w:val="clear" w:color="auto" w:fill="FFFFFF"/>
        <w:snapToGrid w:val="0"/>
        <w:spacing w:line="384"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特此证明。</w:t>
      </w:r>
    </w:p>
    <w:p w14:paraId="433D4DB5">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5BD8C5CA">
      <w:pPr>
        <w:widowControl/>
        <w:shd w:val="clear" w:color="auto" w:fill="FFFFFF"/>
        <w:snapToGrid w:val="0"/>
        <w:spacing w:line="384"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附：法定代表人身份证明</w:t>
      </w:r>
    </w:p>
    <w:p w14:paraId="705BC3DC">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tbl>
      <w:tblPr>
        <w:tblStyle w:val="39"/>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0E89B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51EEA739">
            <w:pPr>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法定代表人身份证复印件（正面）</w:t>
            </w:r>
          </w:p>
        </w:tc>
      </w:tr>
    </w:tbl>
    <w:p w14:paraId="63E2D4A0">
      <w:pPr>
        <w:rPr>
          <w:rFonts w:hint="eastAsia" w:ascii="仿宋" w:hAnsi="仿宋" w:eastAsia="仿宋" w:cs="仿宋"/>
          <w:vanish/>
          <w:color w:val="000000" w:themeColor="text1"/>
          <w:highlight w:val="none"/>
          <w14:textFill>
            <w14:solidFill>
              <w14:schemeClr w14:val="tx1"/>
            </w14:solidFill>
          </w14:textFill>
        </w:rPr>
      </w:pPr>
    </w:p>
    <w:tbl>
      <w:tblPr>
        <w:tblStyle w:val="39"/>
        <w:tblpPr w:leftFromText="180" w:rightFromText="180" w:vertAnchor="text" w:horzAnchor="page" w:tblpX="571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25118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8" w:hRule="exact"/>
        </w:trPr>
        <w:tc>
          <w:tcPr>
            <w:tcW w:w="3969" w:type="dxa"/>
            <w:vAlign w:val="center"/>
          </w:tcPr>
          <w:p w14:paraId="78F25EAA">
            <w:pPr>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法定代表人身份证复印件（反面）</w:t>
            </w:r>
          </w:p>
        </w:tc>
      </w:tr>
    </w:tbl>
    <w:p w14:paraId="1D20603A">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13B64D99">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021070C8">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17F582F7">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投标人：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（盖章）</w:t>
      </w:r>
    </w:p>
    <w:p w14:paraId="082923E0">
      <w:pPr>
        <w:widowControl/>
        <w:shd w:val="clear" w:color="auto" w:fill="FFFFFF"/>
        <w:wordWrap w:val="0"/>
        <w:snapToGrid w:val="0"/>
        <w:jc w:val="righ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日期：</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年</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月</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 xml:space="preserve">日 </w:t>
      </w:r>
    </w:p>
    <w:p w14:paraId="6808F52F">
      <w:pP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br w:type="page"/>
      </w:r>
    </w:p>
    <w:p w14:paraId="11ABF2D5">
      <w:pPr>
        <w:tabs>
          <w:tab w:val="center" w:pos="4832"/>
          <w:tab w:val="left" w:pos="7140"/>
        </w:tabs>
        <w:jc w:val="center"/>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108" w:name="_Toc29077"/>
      <w:bookmarkStart w:id="109" w:name="_Toc109941770"/>
      <w:bookmarkStart w:id="110" w:name="_Toc110707970"/>
      <w:bookmarkStart w:id="111" w:name="_Toc109921163"/>
      <w:bookmarkStart w:id="112" w:name="_Toc19364"/>
      <w:bookmarkStart w:id="113" w:name="_Toc10462"/>
      <w:bookmarkStart w:id="114" w:name="_Toc130252620"/>
      <w:r>
        <w:rPr>
          <w:rFonts w:hint="eastAsia" w:ascii="仿宋" w:hAnsi="仿宋" w:eastAsia="仿宋" w:cs="仿宋"/>
          <w:b/>
          <w:color w:val="000000" w:themeColor="text1"/>
          <w:sz w:val="24"/>
          <w:szCs w:val="24"/>
          <w:highlight w:val="none"/>
          <w:lang w:val="en-US" w:eastAsia="zh-CN"/>
          <w14:textFill>
            <w14:solidFill>
              <w14:schemeClr w14:val="tx1"/>
            </w14:solidFill>
          </w14:textFill>
        </w:rPr>
        <w:t>七</w:t>
      </w:r>
      <w:r>
        <w:rPr>
          <w:rFonts w:hint="eastAsia" w:ascii="仿宋" w:hAnsi="仿宋" w:eastAsia="仿宋" w:cs="仿宋"/>
          <w:b/>
          <w:color w:val="000000" w:themeColor="text1"/>
          <w:sz w:val="24"/>
          <w:szCs w:val="24"/>
          <w:highlight w:val="none"/>
          <w14:textFill>
            <w14:solidFill>
              <w14:schemeClr w14:val="tx1"/>
            </w14:solidFill>
          </w14:textFill>
        </w:rPr>
        <w:t>、法定代表人授权委托书</w:t>
      </w:r>
      <w:bookmarkEnd w:id="108"/>
      <w:bookmarkEnd w:id="109"/>
      <w:bookmarkEnd w:id="110"/>
      <w:bookmarkEnd w:id="111"/>
      <w:bookmarkEnd w:id="112"/>
      <w:bookmarkEnd w:id="113"/>
      <w:bookmarkEnd w:id="114"/>
    </w:p>
    <w:p w14:paraId="5AA250C7">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04BEAF2C">
      <w:pPr>
        <w:widowControl/>
        <w:shd w:val="clear" w:color="auto" w:fill="FFFFFF"/>
        <w:snapToGrid w:val="0"/>
        <w:spacing w:line="384"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本人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（姓名）系</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 xml:space="preserve"> （投标人名称）的法定代表人，现拟派我单位</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（姓名）为我方委托代理人。委托代理人根据授权，就</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（项目名称）的投标，以本公司名义处理一切与之有关的事务，其法律后果由我方承担。</w:t>
      </w:r>
    </w:p>
    <w:p w14:paraId="5043522E">
      <w:pPr>
        <w:widowControl/>
        <w:shd w:val="clear" w:color="auto" w:fill="FFFFFF"/>
        <w:snapToGrid w:val="0"/>
        <w:spacing w:line="384" w:lineRule="auto"/>
        <w:ind w:firstLine="480" w:firstLineChars="200"/>
        <w:jc w:val="left"/>
        <w:rPr>
          <w:rFonts w:hint="eastAsia" w:ascii="仿宋" w:hAnsi="仿宋" w:eastAsia="仿宋" w:cs="仿宋"/>
          <w:color w:val="000000" w:themeColor="text1"/>
          <w:kern w:val="0"/>
          <w:sz w:val="24"/>
          <w:szCs w:val="24"/>
          <w:highlight w:val="none"/>
          <w:u w:val="singl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代理人：</w:t>
      </w:r>
      <w:r>
        <w:rPr>
          <w:rFonts w:hint="eastAsia" w:ascii="仿宋" w:hAnsi="仿宋" w:eastAsia="仿宋" w:cs="仿宋"/>
          <w:i/>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性别：</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 xml:space="preserve"> 年龄：</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p>
    <w:p w14:paraId="4E1FBED6">
      <w:pPr>
        <w:widowControl/>
        <w:shd w:val="clear" w:color="auto" w:fill="FFFFFF"/>
        <w:snapToGrid w:val="0"/>
        <w:spacing w:line="384"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单  位：</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部门：</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 xml:space="preserve"> 职务：</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p>
    <w:p w14:paraId="61DBD91B">
      <w:pPr>
        <w:widowControl/>
        <w:shd w:val="clear" w:color="auto" w:fill="FFFFFF"/>
        <w:snapToGrid w:val="0"/>
        <w:spacing w:line="384"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代理人无转委权，特此申明。</w:t>
      </w:r>
    </w:p>
    <w:p w14:paraId="16DCAAB5">
      <w:pPr>
        <w:widowControl/>
        <w:shd w:val="clear" w:color="auto" w:fill="FFFFFF"/>
        <w:snapToGrid w:val="0"/>
        <w:spacing w:line="384"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374D81AA">
      <w:pPr>
        <w:widowControl/>
        <w:shd w:val="clear" w:color="auto" w:fill="FFFFFF"/>
        <w:snapToGrid w:val="0"/>
        <w:spacing w:line="384"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附：委托代理人身份证明。</w:t>
      </w:r>
    </w:p>
    <w:tbl>
      <w:tblPr>
        <w:tblStyle w:val="39"/>
        <w:tblW w:w="3969" w:type="dxa"/>
        <w:tblInd w:w="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tblGrid>
      <w:tr w14:paraId="45C4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exact"/>
        </w:trPr>
        <w:tc>
          <w:tcPr>
            <w:tcW w:w="3969" w:type="dxa"/>
            <w:vAlign w:val="center"/>
          </w:tcPr>
          <w:p w14:paraId="4B9C522D">
            <w:pPr>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委托代理人身份证复印件（正面）</w:t>
            </w:r>
          </w:p>
        </w:tc>
      </w:tr>
    </w:tbl>
    <w:p w14:paraId="6174F02A">
      <w:pPr>
        <w:rPr>
          <w:rFonts w:hint="eastAsia" w:ascii="仿宋" w:hAnsi="仿宋" w:eastAsia="仿宋" w:cs="仿宋"/>
          <w:vanish/>
          <w:color w:val="000000" w:themeColor="text1"/>
          <w:highlight w:val="none"/>
          <w14:textFill>
            <w14:solidFill>
              <w14:schemeClr w14:val="tx1"/>
            </w14:solidFill>
          </w14:textFill>
        </w:rPr>
      </w:pPr>
    </w:p>
    <w:tbl>
      <w:tblPr>
        <w:tblStyle w:val="39"/>
        <w:tblpPr w:leftFromText="180" w:rightFromText="180" w:vertAnchor="text" w:horzAnchor="margin" w:tblpXSpec="right" w:tblpY="-2446"/>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5B376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23C0C667">
            <w:pPr>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委托代理人身份证复印件（反面）</w:t>
            </w:r>
          </w:p>
        </w:tc>
      </w:tr>
    </w:tbl>
    <w:p w14:paraId="61126C27">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56252EBC">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5160C15E">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58C68E1D">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投标人：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（盖章）</w:t>
      </w:r>
    </w:p>
    <w:p w14:paraId="686D9212">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12121308">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法定代表人：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（盖章）</w:t>
      </w:r>
    </w:p>
    <w:p w14:paraId="0E3F6C39">
      <w:pPr>
        <w:widowControl/>
        <w:shd w:val="clear" w:color="auto" w:fill="FFFFFF"/>
        <w:wordWrap w:val="0"/>
        <w:snapToGrid w:val="0"/>
        <w:spacing w:line="384" w:lineRule="auto"/>
        <w:ind w:firstLine="420"/>
        <w:jc w:val="righ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日期：     年   月   日</w:t>
      </w:r>
    </w:p>
    <w:p w14:paraId="5F70394F">
      <w:pPr>
        <w:rPr>
          <w:rFonts w:hint="eastAsia" w:ascii="仿宋" w:hAnsi="仿宋" w:eastAsia="仿宋" w:cs="仿宋"/>
          <w:b/>
          <w:color w:val="000000" w:themeColor="text1"/>
          <w:sz w:val="24"/>
          <w:szCs w:val="24"/>
          <w:highlight w:val="none"/>
          <w14:textFill>
            <w14:solidFill>
              <w14:schemeClr w14:val="tx1"/>
            </w14:solidFill>
          </w14:textFill>
        </w:rPr>
      </w:pPr>
      <w:bookmarkStart w:id="115" w:name="_Toc110707971"/>
      <w:bookmarkStart w:id="116" w:name="_Toc109921164"/>
      <w:bookmarkStart w:id="117" w:name="_Toc109941771"/>
      <w:bookmarkStart w:id="118" w:name="_Toc130252621"/>
      <w:bookmarkStart w:id="119" w:name="_Toc25783"/>
      <w:bookmarkStart w:id="120" w:name="_Toc29422"/>
      <w:bookmarkStart w:id="121" w:name="_Toc358451723"/>
      <w:r>
        <w:rPr>
          <w:rFonts w:hint="eastAsia" w:ascii="仿宋" w:hAnsi="仿宋" w:eastAsia="仿宋" w:cs="仿宋"/>
          <w:b/>
          <w:color w:val="000000" w:themeColor="text1"/>
          <w:sz w:val="24"/>
          <w:szCs w:val="24"/>
          <w:highlight w:val="none"/>
          <w14:textFill>
            <w14:solidFill>
              <w14:schemeClr w14:val="tx1"/>
            </w14:solidFill>
          </w14:textFill>
        </w:rPr>
        <w:br w:type="page"/>
      </w:r>
    </w:p>
    <w:p w14:paraId="0F2AB068">
      <w:pPr>
        <w:tabs>
          <w:tab w:val="center" w:pos="4832"/>
          <w:tab w:val="left" w:pos="7140"/>
        </w:tabs>
        <w:jc w:val="center"/>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122" w:name="_Toc8793"/>
      <w:r>
        <w:rPr>
          <w:rFonts w:hint="eastAsia" w:ascii="仿宋" w:hAnsi="仿宋" w:eastAsia="仿宋" w:cs="仿宋"/>
          <w:b/>
          <w:color w:val="000000" w:themeColor="text1"/>
          <w:sz w:val="24"/>
          <w:szCs w:val="24"/>
          <w:highlight w:val="none"/>
          <w:lang w:val="en-US" w:eastAsia="zh-CN"/>
          <w14:textFill>
            <w14:solidFill>
              <w14:schemeClr w14:val="tx1"/>
            </w14:solidFill>
          </w14:textFill>
        </w:rPr>
        <w:t>八</w:t>
      </w:r>
      <w:r>
        <w:rPr>
          <w:rFonts w:hint="eastAsia" w:ascii="仿宋" w:hAnsi="仿宋" w:eastAsia="仿宋" w:cs="仿宋"/>
          <w:b/>
          <w:color w:val="000000" w:themeColor="text1"/>
          <w:sz w:val="24"/>
          <w:szCs w:val="24"/>
          <w:highlight w:val="none"/>
          <w14:textFill>
            <w14:solidFill>
              <w14:schemeClr w14:val="tx1"/>
            </w14:solidFill>
          </w14:textFill>
        </w:rPr>
        <w:t>、</w:t>
      </w:r>
      <w:bookmarkEnd w:id="115"/>
      <w:bookmarkEnd w:id="116"/>
      <w:bookmarkEnd w:id="117"/>
      <w:r>
        <w:rPr>
          <w:rFonts w:hint="eastAsia" w:ascii="仿宋" w:hAnsi="仿宋" w:eastAsia="仿宋" w:cs="仿宋"/>
          <w:b/>
          <w:bCs/>
          <w:color w:val="000000" w:themeColor="text1"/>
          <w:sz w:val="24"/>
          <w:szCs w:val="24"/>
          <w:highlight w:val="none"/>
          <w14:textFill>
            <w14:solidFill>
              <w14:schemeClr w14:val="tx1"/>
            </w14:solidFill>
          </w14:textFill>
        </w:rPr>
        <w:t>投标人资格条件证明材料</w:t>
      </w:r>
      <w:bookmarkEnd w:id="118"/>
      <w:bookmarkEnd w:id="119"/>
      <w:bookmarkEnd w:id="120"/>
      <w:bookmarkEnd w:id="122"/>
    </w:p>
    <w:p w14:paraId="733115E0">
      <w:pPr>
        <w:rPr>
          <w:rFonts w:hint="eastAsia" w:ascii="仿宋" w:hAnsi="仿宋" w:eastAsia="仿宋" w:cs="仿宋"/>
          <w:color w:val="000000" w:themeColor="text1"/>
          <w:highlight w:val="none"/>
          <w14:textFill>
            <w14:solidFill>
              <w14:schemeClr w14:val="tx1"/>
            </w14:solidFill>
          </w14:textFill>
        </w:rPr>
      </w:pPr>
    </w:p>
    <w:tbl>
      <w:tblPr>
        <w:tblStyle w:val="39"/>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75C3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56DC354">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投标人名称</w:t>
            </w:r>
          </w:p>
        </w:tc>
        <w:tc>
          <w:tcPr>
            <w:tcW w:w="7300" w:type="dxa"/>
            <w:gridSpan w:val="3"/>
            <w:vAlign w:val="center"/>
          </w:tcPr>
          <w:p w14:paraId="09B435E9">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r>
      <w:tr w14:paraId="4293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EAE3840">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注册地址</w:t>
            </w:r>
          </w:p>
        </w:tc>
        <w:tc>
          <w:tcPr>
            <w:tcW w:w="3165" w:type="dxa"/>
            <w:vAlign w:val="center"/>
          </w:tcPr>
          <w:p w14:paraId="178D7B0A">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995" w:type="dxa"/>
            <w:vAlign w:val="center"/>
          </w:tcPr>
          <w:p w14:paraId="6552EF25">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邮政编码</w:t>
            </w:r>
          </w:p>
        </w:tc>
        <w:tc>
          <w:tcPr>
            <w:tcW w:w="2140" w:type="dxa"/>
            <w:vAlign w:val="center"/>
          </w:tcPr>
          <w:p w14:paraId="3A56D532">
            <w:pPr>
              <w:autoSpaceDE w:val="0"/>
              <w:autoSpaceDN w:val="0"/>
              <w:adjustRightInd w:val="0"/>
              <w:snapToGrid w:val="0"/>
              <w:spacing w:line="360" w:lineRule="auto"/>
              <w:jc w:val="cente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5AA1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EF54940">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成立时间</w:t>
            </w:r>
          </w:p>
        </w:tc>
        <w:tc>
          <w:tcPr>
            <w:tcW w:w="3165" w:type="dxa"/>
            <w:vAlign w:val="center"/>
          </w:tcPr>
          <w:p w14:paraId="7310E2F9">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995" w:type="dxa"/>
            <w:vAlign w:val="center"/>
          </w:tcPr>
          <w:p w14:paraId="07717CF3">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企业性质</w:t>
            </w:r>
          </w:p>
        </w:tc>
        <w:tc>
          <w:tcPr>
            <w:tcW w:w="2140" w:type="dxa"/>
            <w:vAlign w:val="center"/>
          </w:tcPr>
          <w:p w14:paraId="7D8E7343">
            <w:pPr>
              <w:autoSpaceDE w:val="0"/>
              <w:autoSpaceDN w:val="0"/>
              <w:adjustRightInd w:val="0"/>
              <w:snapToGrid w:val="0"/>
              <w:spacing w:line="360" w:lineRule="auto"/>
              <w:jc w:val="cente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1380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ADF4A40">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营业执照号</w:t>
            </w:r>
          </w:p>
        </w:tc>
        <w:tc>
          <w:tcPr>
            <w:tcW w:w="3165" w:type="dxa"/>
            <w:vAlign w:val="center"/>
          </w:tcPr>
          <w:p w14:paraId="0BBB4D3E">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995" w:type="dxa"/>
            <w:vAlign w:val="center"/>
          </w:tcPr>
          <w:p w14:paraId="6B191D54">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注册资金</w:t>
            </w:r>
          </w:p>
        </w:tc>
        <w:tc>
          <w:tcPr>
            <w:tcW w:w="2140" w:type="dxa"/>
            <w:vAlign w:val="center"/>
          </w:tcPr>
          <w:p w14:paraId="1B3B191F">
            <w:pPr>
              <w:autoSpaceDE w:val="0"/>
              <w:autoSpaceDN w:val="0"/>
              <w:adjustRightInd w:val="0"/>
              <w:snapToGrid w:val="0"/>
              <w:spacing w:line="360" w:lineRule="auto"/>
              <w:jc w:val="cente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3055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B866626">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法定代表人</w:t>
            </w:r>
          </w:p>
        </w:tc>
        <w:tc>
          <w:tcPr>
            <w:tcW w:w="3165" w:type="dxa"/>
            <w:vAlign w:val="center"/>
          </w:tcPr>
          <w:p w14:paraId="547E960D">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995" w:type="dxa"/>
            <w:vAlign w:val="center"/>
          </w:tcPr>
          <w:p w14:paraId="211389F4">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电话</w:t>
            </w:r>
          </w:p>
        </w:tc>
        <w:tc>
          <w:tcPr>
            <w:tcW w:w="2140" w:type="dxa"/>
            <w:vAlign w:val="center"/>
          </w:tcPr>
          <w:p w14:paraId="6E013371">
            <w:pPr>
              <w:autoSpaceDE w:val="0"/>
              <w:autoSpaceDN w:val="0"/>
              <w:adjustRightInd w:val="0"/>
              <w:snapToGrid w:val="0"/>
              <w:spacing w:line="360" w:lineRule="auto"/>
              <w:jc w:val="cente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6550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674E5BA">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联系人</w:t>
            </w:r>
          </w:p>
        </w:tc>
        <w:tc>
          <w:tcPr>
            <w:tcW w:w="3165" w:type="dxa"/>
            <w:vAlign w:val="center"/>
          </w:tcPr>
          <w:p w14:paraId="2BE3327C">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995" w:type="dxa"/>
            <w:vAlign w:val="center"/>
          </w:tcPr>
          <w:p w14:paraId="57C1A1EC">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电话</w:t>
            </w:r>
          </w:p>
        </w:tc>
        <w:tc>
          <w:tcPr>
            <w:tcW w:w="2140" w:type="dxa"/>
            <w:vAlign w:val="center"/>
          </w:tcPr>
          <w:p w14:paraId="59422F3F">
            <w:pPr>
              <w:autoSpaceDE w:val="0"/>
              <w:autoSpaceDN w:val="0"/>
              <w:adjustRightInd w:val="0"/>
              <w:snapToGrid w:val="0"/>
              <w:spacing w:line="360" w:lineRule="auto"/>
              <w:jc w:val="cente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7027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70B76EF">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传真</w:t>
            </w:r>
          </w:p>
        </w:tc>
        <w:tc>
          <w:tcPr>
            <w:tcW w:w="3165" w:type="dxa"/>
            <w:vAlign w:val="center"/>
          </w:tcPr>
          <w:p w14:paraId="5D63EE7F">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995" w:type="dxa"/>
            <w:vAlign w:val="center"/>
          </w:tcPr>
          <w:p w14:paraId="15B899AD">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网址</w:t>
            </w:r>
          </w:p>
        </w:tc>
        <w:tc>
          <w:tcPr>
            <w:tcW w:w="2140" w:type="dxa"/>
            <w:vAlign w:val="center"/>
          </w:tcPr>
          <w:p w14:paraId="055FBBBE">
            <w:pPr>
              <w:autoSpaceDE w:val="0"/>
              <w:autoSpaceDN w:val="0"/>
              <w:adjustRightInd w:val="0"/>
              <w:snapToGrid w:val="0"/>
              <w:spacing w:line="360" w:lineRule="auto"/>
              <w:jc w:val="cente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5658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986197E">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开户银行</w:t>
            </w:r>
          </w:p>
        </w:tc>
        <w:tc>
          <w:tcPr>
            <w:tcW w:w="3165" w:type="dxa"/>
            <w:vAlign w:val="center"/>
          </w:tcPr>
          <w:p w14:paraId="0ABF32B3">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995" w:type="dxa"/>
            <w:vAlign w:val="center"/>
          </w:tcPr>
          <w:p w14:paraId="3238DDA3">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银行帐号</w:t>
            </w:r>
          </w:p>
        </w:tc>
        <w:tc>
          <w:tcPr>
            <w:tcW w:w="2140" w:type="dxa"/>
            <w:vAlign w:val="center"/>
          </w:tcPr>
          <w:p w14:paraId="06F6CDDE">
            <w:pPr>
              <w:autoSpaceDE w:val="0"/>
              <w:autoSpaceDN w:val="0"/>
              <w:adjustRightInd w:val="0"/>
              <w:snapToGrid w:val="0"/>
              <w:spacing w:line="360" w:lineRule="auto"/>
              <w:jc w:val="cente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240D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77B15644">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职工概况</w:t>
            </w:r>
          </w:p>
        </w:tc>
        <w:tc>
          <w:tcPr>
            <w:tcW w:w="7300" w:type="dxa"/>
            <w:gridSpan w:val="3"/>
            <w:vAlign w:val="center"/>
          </w:tcPr>
          <w:p w14:paraId="31B547CE">
            <w:pPr>
              <w:autoSpaceDE w:val="0"/>
              <w:autoSpaceDN w:val="0"/>
              <w:adjustRightInd w:val="0"/>
              <w:snapToGrid w:val="0"/>
              <w:spacing w:line="360" w:lineRule="auto"/>
              <w:jc w:val="cente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5888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79E32990">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经营范围</w:t>
            </w:r>
          </w:p>
        </w:tc>
        <w:tc>
          <w:tcPr>
            <w:tcW w:w="7300" w:type="dxa"/>
            <w:gridSpan w:val="3"/>
            <w:vAlign w:val="center"/>
          </w:tcPr>
          <w:p w14:paraId="290FF28D">
            <w:pPr>
              <w:autoSpaceDE w:val="0"/>
              <w:autoSpaceDN w:val="0"/>
              <w:adjustRightInd w:val="0"/>
              <w:snapToGrid w:val="0"/>
              <w:spacing w:line="360" w:lineRule="auto"/>
              <w:jc w:val="cente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1013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44DFCE20">
            <w:pPr>
              <w:autoSpaceDE w:val="0"/>
              <w:autoSpaceDN w:val="0"/>
              <w:adjustRightInd w:val="0"/>
              <w:snapToGrid w:val="0"/>
              <w:spacing w:line="52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关联单位</w:t>
            </w:r>
          </w:p>
          <w:p w14:paraId="71D1E523">
            <w:pPr>
              <w:autoSpaceDE w:val="0"/>
              <w:autoSpaceDN w:val="0"/>
              <w:adjustRightInd w:val="0"/>
              <w:snapToGrid w:val="0"/>
              <w:spacing w:line="520" w:lineRule="exact"/>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（如有）</w:t>
            </w:r>
          </w:p>
        </w:tc>
        <w:tc>
          <w:tcPr>
            <w:tcW w:w="7300" w:type="dxa"/>
            <w:gridSpan w:val="3"/>
            <w:vAlign w:val="center"/>
          </w:tcPr>
          <w:p w14:paraId="059EB111">
            <w:pPr>
              <w:autoSpaceDE w:val="0"/>
              <w:autoSpaceDN w:val="0"/>
              <w:adjustRightInd w:val="0"/>
              <w:snapToGrid w:val="0"/>
              <w:spacing w:line="520" w:lineRule="exact"/>
              <w:rPr>
                <w:rFonts w:hint="eastAsia" w:ascii="仿宋" w:hAnsi="仿宋" w:eastAsia="仿宋" w:cs="仿宋"/>
                <w:color w:val="000000" w:themeColor="text1"/>
                <w:kern w:val="0"/>
                <w:sz w:val="24"/>
                <w:szCs w:val="24"/>
                <w:highlight w:val="none"/>
                <w14:textFill>
                  <w14:solidFill>
                    <w14:schemeClr w14:val="tx1"/>
                  </w14:solidFill>
                </w14:textFill>
              </w:rPr>
            </w:pPr>
          </w:p>
          <w:p w14:paraId="5A92BFFF">
            <w:pPr>
              <w:autoSpaceDE w:val="0"/>
              <w:autoSpaceDN w:val="0"/>
              <w:adjustRightInd w:val="0"/>
              <w:snapToGrid w:val="0"/>
              <w:spacing w:line="520" w:lineRule="exact"/>
              <w:jc w:val="left"/>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注：此处关联单位指单位负责人为同一人或者存在直接控股、管理关系的不同单位。</w:t>
            </w:r>
          </w:p>
        </w:tc>
      </w:tr>
    </w:tbl>
    <w:p w14:paraId="3144D186">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p>
    <w:p w14:paraId="423ECF08">
      <w:pPr>
        <w:spacing w:line="360" w:lineRule="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123" w:name="_Toc5144"/>
      <w:bookmarkStart w:id="124" w:name="_Toc19961"/>
      <w:bookmarkStart w:id="125" w:name="_Toc4679"/>
      <w:bookmarkStart w:id="126" w:name="_Toc24317"/>
      <w:bookmarkStart w:id="127" w:name="_Toc13140"/>
      <w:bookmarkStart w:id="128" w:name="_Toc29380"/>
      <w:bookmarkStart w:id="129" w:name="_Toc23897"/>
      <w:bookmarkStart w:id="130" w:name="_Toc18158"/>
      <w:bookmarkStart w:id="131" w:name="_Toc130252623"/>
      <w:bookmarkStart w:id="132" w:name="_Toc141050516"/>
      <w:bookmarkStart w:id="133" w:name="_Toc13628"/>
      <w:bookmarkStart w:id="134" w:name="_Toc28034"/>
      <w:bookmarkStart w:id="135" w:name="_Toc128476879"/>
      <w:bookmarkStart w:id="136" w:name="_Toc31943"/>
      <w:bookmarkStart w:id="137" w:name="_Toc113901850"/>
      <w:bookmarkStart w:id="138" w:name="_Toc14695"/>
      <w:bookmarkStart w:id="139" w:name="_Toc30664"/>
      <w:bookmarkStart w:id="140" w:name="_Toc643"/>
      <w:bookmarkStart w:id="141" w:name="_Toc11980"/>
      <w:bookmarkStart w:id="142" w:name="_Toc7702"/>
      <w:r>
        <w:rPr>
          <w:rFonts w:hint="eastAsia" w:ascii="仿宋" w:hAnsi="仿宋" w:eastAsia="仿宋" w:cs="仿宋"/>
          <w:color w:val="000000" w:themeColor="text1"/>
          <w:sz w:val="24"/>
          <w:szCs w:val="24"/>
          <w:highlight w:val="none"/>
          <w14:textFill>
            <w14:solidFill>
              <w14:schemeClr w14:val="tx1"/>
            </w14:solidFill>
          </w14:textFill>
        </w:rPr>
        <w:br w:type="page"/>
      </w:r>
      <w:bookmarkStart w:id="143" w:name="_Toc2553"/>
      <w:bookmarkStart w:id="144" w:name="_Toc27784"/>
      <w:bookmarkStart w:id="145" w:name="_Toc130252622"/>
      <w:bookmarkStart w:id="146" w:name="_Toc14445"/>
      <w:bookmarkStart w:id="147" w:name="_Toc29597"/>
      <w:bookmarkStart w:id="148" w:name="_Toc7329"/>
      <w:bookmarkStart w:id="149" w:name="_Toc5059"/>
      <w:bookmarkStart w:id="150" w:name="_Toc56"/>
      <w:bookmarkStart w:id="151" w:name="_Toc5906"/>
      <w:bookmarkStart w:id="152" w:name="_Toc29449"/>
      <w:bookmarkStart w:id="153" w:name="_Toc31890"/>
      <w:bookmarkStart w:id="154" w:name="_Toc141050515"/>
      <w:bookmarkStart w:id="155" w:name="_Toc128476878"/>
      <w:bookmarkStart w:id="156" w:name="_Toc8286"/>
      <w:bookmarkStart w:id="157" w:name="_Toc7909"/>
      <w:bookmarkStart w:id="158" w:name="_Toc5497"/>
      <w:bookmarkStart w:id="159" w:name="_Toc1763"/>
      <w:bookmarkStart w:id="160" w:name="_Toc113901849"/>
      <w:bookmarkStart w:id="161" w:name="_Toc22107"/>
      <w:bookmarkStart w:id="162" w:name="_Toc29907"/>
      <w:bookmarkStart w:id="163" w:name="_Toc5302"/>
      <w:bookmarkStart w:id="164" w:name="_Toc26222"/>
      <w:bookmarkStart w:id="165" w:name="_Toc12625"/>
      <w:r>
        <w:rPr>
          <w:rFonts w:hint="eastAsia" w:ascii="仿宋" w:hAnsi="仿宋" w:eastAsia="仿宋" w:cs="仿宋"/>
          <w:b/>
          <w:color w:val="000000" w:themeColor="text1"/>
          <w:sz w:val="24"/>
          <w:szCs w:val="24"/>
          <w:highlight w:val="none"/>
          <w:lang w:val="en-US" w:eastAsia="zh-CN"/>
          <w14:textFill>
            <w14:solidFill>
              <w14:schemeClr w14:val="tx1"/>
            </w14:solidFill>
          </w14:textFill>
        </w:rPr>
        <w:t>8</w:t>
      </w:r>
      <w:r>
        <w:rPr>
          <w:rFonts w:hint="eastAsia" w:ascii="仿宋" w:hAnsi="仿宋" w:eastAsia="仿宋" w:cs="仿宋"/>
          <w:b/>
          <w:color w:val="000000" w:themeColor="text1"/>
          <w:sz w:val="24"/>
          <w:szCs w:val="24"/>
          <w:highlight w:val="none"/>
          <w14:textFill>
            <w14:solidFill>
              <w14:schemeClr w14:val="tx1"/>
            </w14:solidFill>
          </w14:textFill>
        </w:rPr>
        <w:t>.1 法人或者其他组织的营业执照等证明文件，自然人的身份证明</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061F1144">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51AEDEFE">
      <w:pPr>
        <w:spacing w:line="360" w:lineRule="auto"/>
        <w:ind w:firstLine="480" w:firstLineChars="200"/>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一、如</w:t>
      </w:r>
      <w:r>
        <w:rPr>
          <w:rFonts w:hint="eastAsia" w:ascii="仿宋" w:hAnsi="仿宋" w:eastAsia="仿宋" w:cs="仿宋"/>
          <w:color w:val="000000" w:themeColor="text1"/>
          <w:sz w:val="24"/>
          <w:szCs w:val="24"/>
          <w:highlight w:val="none"/>
          <w:shd w:val="clear" w:color="auto" w:fill="FFFFFF" w:themeFill="background1"/>
          <w:lang w:eastAsia="zh-CN"/>
          <w14:textFill>
            <w14:solidFill>
              <w14:schemeClr w14:val="tx1"/>
            </w14:solidFill>
          </w14:textFill>
        </w:rPr>
        <w:t>投标人</w:t>
      </w: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是企业（包括合伙企业)，应提供在工商部门注册的有效“企业法人营业执照”或“营业执照”;</w:t>
      </w:r>
    </w:p>
    <w:p w14:paraId="5055241D">
      <w:pPr>
        <w:spacing w:line="360" w:lineRule="auto"/>
        <w:ind w:firstLine="480" w:firstLineChars="200"/>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二、如</w:t>
      </w:r>
      <w:r>
        <w:rPr>
          <w:rFonts w:hint="eastAsia" w:ascii="仿宋" w:hAnsi="仿宋" w:eastAsia="仿宋" w:cs="仿宋"/>
          <w:color w:val="000000" w:themeColor="text1"/>
          <w:sz w:val="24"/>
          <w:szCs w:val="24"/>
          <w:highlight w:val="none"/>
          <w:shd w:val="clear" w:color="auto" w:fill="FFFFFF" w:themeFill="background1"/>
          <w:lang w:eastAsia="zh-CN"/>
          <w14:textFill>
            <w14:solidFill>
              <w14:schemeClr w14:val="tx1"/>
            </w14:solidFill>
          </w14:textFill>
        </w:rPr>
        <w:t>投标人</w:t>
      </w: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是事业单位，应提供有效的“事业单位法人证书”;</w:t>
      </w:r>
    </w:p>
    <w:p w14:paraId="3FB59AB7">
      <w:pPr>
        <w:spacing w:line="360" w:lineRule="auto"/>
        <w:ind w:firstLine="480" w:firstLineChars="200"/>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三、如</w:t>
      </w:r>
      <w:r>
        <w:rPr>
          <w:rFonts w:hint="eastAsia" w:ascii="仿宋" w:hAnsi="仿宋" w:eastAsia="仿宋" w:cs="仿宋"/>
          <w:color w:val="000000" w:themeColor="text1"/>
          <w:sz w:val="24"/>
          <w:szCs w:val="24"/>
          <w:highlight w:val="none"/>
          <w:shd w:val="clear" w:color="auto" w:fill="FFFFFF" w:themeFill="background1"/>
          <w:lang w:eastAsia="zh-CN"/>
          <w14:textFill>
            <w14:solidFill>
              <w14:schemeClr w14:val="tx1"/>
            </w14:solidFill>
          </w14:textFill>
        </w:rPr>
        <w:t>投标人</w:t>
      </w: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是非企业专业服务机构的，应提供执业许可证等证明文件;</w:t>
      </w:r>
    </w:p>
    <w:p w14:paraId="12BA2A78">
      <w:pPr>
        <w:spacing w:line="360" w:lineRule="auto"/>
        <w:ind w:firstLine="480" w:firstLineChars="200"/>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四、如</w:t>
      </w:r>
      <w:r>
        <w:rPr>
          <w:rFonts w:hint="eastAsia" w:ascii="仿宋" w:hAnsi="仿宋" w:eastAsia="仿宋" w:cs="仿宋"/>
          <w:color w:val="000000" w:themeColor="text1"/>
          <w:sz w:val="24"/>
          <w:szCs w:val="24"/>
          <w:highlight w:val="none"/>
          <w:shd w:val="clear" w:color="auto" w:fill="FFFFFF" w:themeFill="background1"/>
          <w:lang w:eastAsia="zh-CN"/>
          <w14:textFill>
            <w14:solidFill>
              <w14:schemeClr w14:val="tx1"/>
            </w14:solidFill>
          </w14:textFill>
        </w:rPr>
        <w:t>投标人</w:t>
      </w: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是个体工商户，应提供有效的“个体工商户营业执照”;</w:t>
      </w:r>
    </w:p>
    <w:p w14:paraId="640720C1">
      <w:pPr>
        <w:spacing w:line="360" w:lineRule="auto"/>
        <w:ind w:firstLine="480" w:firstLineChars="200"/>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五、如</w:t>
      </w:r>
      <w:r>
        <w:rPr>
          <w:rFonts w:hint="eastAsia" w:ascii="仿宋" w:hAnsi="仿宋" w:eastAsia="仿宋" w:cs="仿宋"/>
          <w:color w:val="000000" w:themeColor="text1"/>
          <w:sz w:val="24"/>
          <w:szCs w:val="24"/>
          <w:highlight w:val="none"/>
          <w:shd w:val="clear" w:color="auto" w:fill="FFFFFF" w:themeFill="background1"/>
          <w:lang w:eastAsia="zh-CN"/>
          <w14:textFill>
            <w14:solidFill>
              <w14:schemeClr w14:val="tx1"/>
            </w14:solidFill>
          </w14:textFill>
        </w:rPr>
        <w:t>投标人</w:t>
      </w: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是自然人，应提供有效的自然人身份证明。</w:t>
      </w:r>
    </w:p>
    <w:p w14:paraId="03178122">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0D4DAC6E">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25235B88">
      <w:pPr>
        <w:widowControl/>
        <w:spacing w:line="360" w:lineRule="auto"/>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br w:type="page"/>
      </w:r>
    </w:p>
    <w:p w14:paraId="13288870">
      <w:pPr>
        <w:spacing w:line="360" w:lineRule="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166" w:name="_Toc6735"/>
      <w:bookmarkStart w:id="167" w:name="_Toc21575"/>
      <w:bookmarkStart w:id="168" w:name="_Toc14724"/>
      <w:r>
        <w:rPr>
          <w:rFonts w:hint="eastAsia" w:ascii="仿宋" w:hAnsi="仿宋" w:eastAsia="仿宋" w:cs="仿宋"/>
          <w:b/>
          <w:color w:val="000000" w:themeColor="text1"/>
          <w:sz w:val="24"/>
          <w:szCs w:val="24"/>
          <w:highlight w:val="none"/>
          <w:lang w:val="en-US" w:eastAsia="zh-CN"/>
          <w14:textFill>
            <w14:solidFill>
              <w14:schemeClr w14:val="tx1"/>
            </w14:solidFill>
          </w14:textFill>
        </w:rPr>
        <w:t>8</w:t>
      </w:r>
      <w:r>
        <w:rPr>
          <w:rFonts w:hint="eastAsia" w:ascii="仿宋" w:hAnsi="仿宋" w:eastAsia="仿宋" w:cs="仿宋"/>
          <w:b/>
          <w:color w:val="000000" w:themeColor="text1"/>
          <w:sz w:val="24"/>
          <w:szCs w:val="24"/>
          <w:highlight w:val="none"/>
          <w14:textFill>
            <w14:solidFill>
              <w14:schemeClr w14:val="tx1"/>
            </w14:solidFill>
          </w14:textFill>
        </w:rPr>
        <w:t>.2 财务状况报告，依法缴纳税收和社会保障资金的相关材料</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66"/>
      <w:bookmarkEnd w:id="167"/>
      <w:bookmarkEnd w:id="168"/>
    </w:p>
    <w:p w14:paraId="69944477">
      <w:pPr>
        <w:spacing w:after="120" w:line="360" w:lineRule="auto"/>
        <w:rPr>
          <w:rFonts w:hint="eastAsia" w:ascii="仿宋" w:hAnsi="仿宋" w:eastAsia="仿宋" w:cs="仿宋"/>
          <w:color w:val="000000" w:themeColor="text1"/>
          <w:spacing w:val="10"/>
          <w:kern w:val="0"/>
          <w:sz w:val="24"/>
          <w:szCs w:val="24"/>
          <w:highlight w:val="none"/>
          <w14:textFill>
            <w14:solidFill>
              <w14:schemeClr w14:val="tx1"/>
            </w14:solidFill>
          </w14:textFill>
        </w:rPr>
      </w:pPr>
    </w:p>
    <w:p w14:paraId="774EDF59">
      <w:pPr>
        <w:pStyle w:val="14"/>
        <w:spacing w:line="360" w:lineRule="auto"/>
        <w:ind w:right="516" w:firstLine="520" w:firstLineChars="200"/>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一、财务状况报告（满足下述一条要求即可）：</w:t>
      </w:r>
    </w:p>
    <w:p w14:paraId="3199CC39">
      <w:pPr>
        <w:pStyle w:val="14"/>
        <w:spacing w:line="360" w:lineRule="auto"/>
        <w:ind w:right="516" w:firstLine="520" w:firstLineChars="200"/>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要求1、经审计的财务报告（2023年度或2024年度，包括“四表-注”，即资产负债表、利润表、现金流量表、所有者权益变动表及其附注）或银行出具的资信证明（投标文件递交截止之日前六个月内任意一个月）。</w:t>
      </w:r>
    </w:p>
    <w:p w14:paraId="3FBBF22A">
      <w:pPr>
        <w:pStyle w:val="14"/>
        <w:spacing w:line="360" w:lineRule="auto"/>
        <w:ind w:right="516" w:firstLine="520" w:firstLineChars="200"/>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要求2、成立不足</w:t>
      </w:r>
      <w:r>
        <w:rPr>
          <w:rFonts w:hint="eastAsia" w:ascii="仿宋" w:hAnsi="仿宋" w:eastAsia="仿宋" w:cs="仿宋"/>
          <w:color w:val="000000" w:themeColor="text1"/>
          <w:spacing w:val="10"/>
          <w:szCs w:val="24"/>
          <w:highlight w:val="none"/>
          <w:shd w:val="clear" w:color="auto" w:fill="FFFFFF" w:themeFill="background1"/>
          <w:lang w:val="en-US" w:eastAsia="zh-CN"/>
          <w14:textFill>
            <w14:solidFill>
              <w14:schemeClr w14:val="tx1"/>
            </w14:solidFill>
          </w14:textFill>
        </w:rPr>
        <w:t>六</w:t>
      </w: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个月（以投标文件递交截止之日为期限）的投标人无需提供。</w:t>
      </w:r>
    </w:p>
    <w:p w14:paraId="56B762E2">
      <w:pPr>
        <w:pStyle w:val="14"/>
        <w:spacing w:line="360" w:lineRule="auto"/>
        <w:ind w:right="516" w:firstLine="520" w:firstLineChars="200"/>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p>
    <w:p w14:paraId="0A8A2DD0">
      <w:pPr>
        <w:pStyle w:val="14"/>
        <w:spacing w:line="360" w:lineRule="auto"/>
        <w:ind w:right="516" w:firstLine="520" w:firstLineChars="200"/>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二、依法缴纳税收和社会保障资金的相关材料</w:t>
      </w:r>
    </w:p>
    <w:p w14:paraId="12713D2B">
      <w:pPr>
        <w:pStyle w:val="14"/>
        <w:spacing w:line="360" w:lineRule="auto"/>
        <w:ind w:right="516" w:firstLine="520" w:firstLineChars="200"/>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2.1、依法缴纳税收的证明材料：</w:t>
      </w:r>
    </w:p>
    <w:p w14:paraId="7E273A14">
      <w:pPr>
        <w:pStyle w:val="14"/>
        <w:spacing w:line="360" w:lineRule="auto"/>
        <w:ind w:right="516" w:firstLine="520" w:firstLineChars="200"/>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投标人参加政府采购活动前一段时间（投标文件递交截止之日前六个月内任一个月）内缴纳税收的完税凭证（指各种完税证、缴款书、印花税票、扣（收）税凭证以及其他完税证明）。</w:t>
      </w:r>
    </w:p>
    <w:p w14:paraId="2B747483">
      <w:pPr>
        <w:pStyle w:val="14"/>
        <w:spacing w:line="360" w:lineRule="auto"/>
        <w:ind w:right="516" w:firstLine="520" w:firstLineChars="200"/>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2.2、依法缴纳社会保障资金的证明材料：</w:t>
      </w:r>
    </w:p>
    <w:p w14:paraId="718B56A6">
      <w:pPr>
        <w:pStyle w:val="14"/>
        <w:spacing w:line="360" w:lineRule="auto"/>
        <w:ind w:right="516" w:firstLine="520" w:firstLineChars="200"/>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投标人参加政府采购活动前一段时间（投标文件递交截止之日前六个月内任一个月）内缴纳社会保险的凭据，其他组织和自然人也需要提供缴纳税收的凭据和缴纳社会保险的凭据。</w:t>
      </w:r>
    </w:p>
    <w:p w14:paraId="74EA5075">
      <w:pPr>
        <w:pStyle w:val="14"/>
        <w:spacing w:line="360" w:lineRule="auto"/>
        <w:ind w:right="516" w:firstLine="520" w:firstLineChars="200"/>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2.3、依法免税或不需要缴纳社会保障资金的</w:t>
      </w:r>
      <w:r>
        <w:rPr>
          <w:rFonts w:hint="eastAsia" w:ascii="仿宋" w:hAnsi="仿宋" w:eastAsia="仿宋" w:cs="仿宋"/>
          <w:color w:val="000000" w:themeColor="text1"/>
          <w:spacing w:val="10"/>
          <w:szCs w:val="24"/>
          <w:highlight w:val="none"/>
          <w:shd w:val="clear" w:color="auto" w:fill="FFFFFF" w:themeFill="background1"/>
          <w:lang w:eastAsia="zh-CN"/>
          <w14:textFill>
            <w14:solidFill>
              <w14:schemeClr w14:val="tx1"/>
            </w14:solidFill>
          </w14:textFill>
        </w:rPr>
        <w:t>投标人</w:t>
      </w: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，应提供相应文件证明其依法免税或不需要缴纳社会保障资金。</w:t>
      </w:r>
    </w:p>
    <w:p w14:paraId="3E1834A2">
      <w:pPr>
        <w:pStyle w:val="14"/>
        <w:spacing w:line="360" w:lineRule="auto"/>
        <w:ind w:right="516" w:firstLine="520" w:firstLineChars="200"/>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p>
    <w:p w14:paraId="10FAFF0E">
      <w:pPr>
        <w:pStyle w:val="14"/>
        <w:spacing w:line="360" w:lineRule="auto"/>
        <w:ind w:right="516" w:firstLine="520" w:firstLineChars="200"/>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三、注：</w:t>
      </w:r>
    </w:p>
    <w:p w14:paraId="745ABE33">
      <w:pPr>
        <w:pStyle w:val="14"/>
        <w:spacing w:line="360" w:lineRule="auto"/>
        <w:ind w:right="516" w:firstLine="520" w:firstLineChars="200"/>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3.1、如因有关主管部门政策调整，部分证明材料有所增减，以最新政策要求为准；</w:t>
      </w:r>
    </w:p>
    <w:p w14:paraId="3B292C2A">
      <w:pPr>
        <w:pStyle w:val="14"/>
        <w:spacing w:line="360" w:lineRule="auto"/>
        <w:ind w:right="516" w:firstLine="520" w:firstLineChars="200"/>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3.2、如</w:t>
      </w:r>
      <w:r>
        <w:rPr>
          <w:rFonts w:hint="eastAsia" w:ascii="仿宋" w:hAnsi="仿宋" w:eastAsia="仿宋" w:cs="仿宋"/>
          <w:color w:val="000000" w:themeColor="text1"/>
          <w:spacing w:val="10"/>
          <w:szCs w:val="24"/>
          <w:highlight w:val="none"/>
          <w:shd w:val="clear" w:color="auto" w:fill="FFFFFF" w:themeFill="background1"/>
          <w:lang w:eastAsia="zh-CN"/>
          <w14:textFill>
            <w14:solidFill>
              <w14:schemeClr w14:val="tx1"/>
            </w14:solidFill>
          </w14:textFill>
        </w:rPr>
        <w:t>投标人</w:t>
      </w: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所在地有关主管部门反馈的证明材料与本文中要求不一致时，以当地要求为准，但须</w:t>
      </w:r>
      <w:r>
        <w:rPr>
          <w:rFonts w:hint="eastAsia" w:ascii="仿宋" w:hAnsi="仿宋" w:eastAsia="仿宋" w:cs="仿宋"/>
          <w:color w:val="000000" w:themeColor="text1"/>
          <w:spacing w:val="10"/>
          <w:szCs w:val="24"/>
          <w:highlight w:val="none"/>
          <w:shd w:val="clear" w:color="auto" w:fill="FFFFFF" w:themeFill="background1"/>
          <w:lang w:eastAsia="zh-CN"/>
          <w14:textFill>
            <w14:solidFill>
              <w14:schemeClr w14:val="tx1"/>
            </w14:solidFill>
          </w14:textFill>
        </w:rPr>
        <w:t>投标人</w:t>
      </w: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提供文字说明。</w:t>
      </w:r>
    </w:p>
    <w:p w14:paraId="2791E326">
      <w:pPr>
        <w:spacing w:after="120" w:line="360" w:lineRule="auto"/>
        <w:ind w:firstLine="460" w:firstLineChars="200"/>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p>
    <w:p w14:paraId="181784BD">
      <w:pPr>
        <w:rPr>
          <w:rFonts w:hint="eastAsia" w:ascii="仿宋" w:hAnsi="仿宋" w:eastAsia="仿宋" w:cs="仿宋"/>
          <w:b/>
          <w:color w:val="000000" w:themeColor="text1"/>
          <w:sz w:val="24"/>
          <w:szCs w:val="24"/>
          <w:highlight w:val="none"/>
          <w14:textFill>
            <w14:solidFill>
              <w14:schemeClr w14:val="tx1"/>
            </w14:solidFill>
          </w14:textFill>
        </w:rPr>
      </w:pPr>
      <w:bookmarkStart w:id="169" w:name="_Toc3038"/>
      <w:bookmarkStart w:id="170" w:name="_Toc6490"/>
      <w:bookmarkStart w:id="171" w:name="_Toc28756"/>
      <w:bookmarkStart w:id="172" w:name="_Toc128476880"/>
      <w:bookmarkStart w:id="173" w:name="_Toc113901851"/>
      <w:bookmarkStart w:id="174" w:name="_Toc141050517"/>
      <w:bookmarkStart w:id="175" w:name="_Toc28397"/>
      <w:bookmarkStart w:id="176" w:name="_Toc24943"/>
      <w:bookmarkStart w:id="177" w:name="_Toc6527"/>
      <w:bookmarkStart w:id="178" w:name="_Toc130252624"/>
      <w:bookmarkStart w:id="179" w:name="_Toc28937"/>
      <w:bookmarkStart w:id="180" w:name="_Toc20521"/>
      <w:bookmarkStart w:id="181" w:name="_Toc29582"/>
      <w:bookmarkStart w:id="182" w:name="_Toc24817"/>
      <w:bookmarkStart w:id="183" w:name="_Toc22195"/>
      <w:bookmarkStart w:id="184" w:name="_Toc15267"/>
      <w:bookmarkStart w:id="185" w:name="_Toc8262"/>
      <w:bookmarkStart w:id="186" w:name="_Toc111556488"/>
      <w:r>
        <w:rPr>
          <w:rFonts w:hint="eastAsia" w:ascii="仿宋" w:hAnsi="仿宋" w:eastAsia="仿宋" w:cs="仿宋"/>
          <w:b/>
          <w:color w:val="000000" w:themeColor="text1"/>
          <w:sz w:val="24"/>
          <w:szCs w:val="24"/>
          <w:highlight w:val="none"/>
          <w14:textFill>
            <w14:solidFill>
              <w14:schemeClr w14:val="tx1"/>
            </w14:solidFill>
          </w14:textFill>
        </w:rPr>
        <w:br w:type="page"/>
      </w:r>
    </w:p>
    <w:p w14:paraId="663F6F92">
      <w:pPr>
        <w:tabs>
          <w:tab w:val="center" w:pos="4832"/>
          <w:tab w:val="left" w:pos="7140"/>
        </w:tabs>
        <w:spacing w:line="360" w:lineRule="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187" w:name="_Toc13146"/>
      <w:bookmarkStart w:id="188" w:name="_Toc22128"/>
      <w:bookmarkStart w:id="189" w:name="_Toc31926"/>
      <w:bookmarkStart w:id="190" w:name="_Toc18260"/>
      <w:bookmarkStart w:id="191" w:name="_Toc6917"/>
      <w:bookmarkStart w:id="192" w:name="_Toc30845"/>
      <w:r>
        <w:rPr>
          <w:rFonts w:hint="eastAsia" w:ascii="仿宋" w:hAnsi="仿宋" w:eastAsia="仿宋" w:cs="仿宋"/>
          <w:b/>
          <w:color w:val="000000" w:themeColor="text1"/>
          <w:sz w:val="24"/>
          <w:szCs w:val="24"/>
          <w:highlight w:val="none"/>
          <w:lang w:val="en-US" w:eastAsia="zh-CN"/>
          <w14:textFill>
            <w14:solidFill>
              <w14:schemeClr w14:val="tx1"/>
            </w14:solidFill>
          </w14:textFill>
        </w:rPr>
        <w:t>8</w:t>
      </w:r>
      <w:r>
        <w:rPr>
          <w:rFonts w:hint="eastAsia" w:ascii="仿宋" w:hAnsi="仿宋" w:eastAsia="仿宋" w:cs="仿宋"/>
          <w:b/>
          <w:color w:val="000000" w:themeColor="text1"/>
          <w:sz w:val="24"/>
          <w:szCs w:val="24"/>
          <w:highlight w:val="none"/>
          <w14:textFill>
            <w14:solidFill>
              <w14:schemeClr w14:val="tx1"/>
            </w14:solidFill>
          </w14:textFill>
        </w:rPr>
        <w:t>.3 具备履行合同所必需的设备和专业技术能力的证明材料</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7"/>
      <w:bookmarkEnd w:id="188"/>
      <w:bookmarkEnd w:id="189"/>
      <w:bookmarkEnd w:id="190"/>
      <w:bookmarkEnd w:id="191"/>
      <w:bookmarkEnd w:id="192"/>
    </w:p>
    <w:p w14:paraId="3688A8C7">
      <w:pPr>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p>
    <w:p w14:paraId="5430C06A">
      <w:pPr>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p>
    <w:p w14:paraId="2483ADC4">
      <w:pPr>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p>
    <w:p w14:paraId="3412A026">
      <w:pPr>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具有履行合同所必需的设备和专业技术能力的承诺</w:t>
      </w:r>
      <w:bookmarkEnd w:id="186"/>
      <w:r>
        <w:rPr>
          <w:rFonts w:hint="eastAsia" w:ascii="仿宋" w:hAnsi="仿宋" w:eastAsia="仿宋" w:cs="仿宋"/>
          <w:b/>
          <w:color w:val="000000" w:themeColor="text1"/>
          <w:sz w:val="24"/>
          <w:szCs w:val="24"/>
          <w:highlight w:val="none"/>
          <w14:textFill>
            <w14:solidFill>
              <w14:schemeClr w14:val="tx1"/>
            </w14:solidFill>
          </w14:textFill>
        </w:rPr>
        <w:t>函</w:t>
      </w:r>
    </w:p>
    <w:p w14:paraId="76003852">
      <w:pPr>
        <w:adjustRightInd w:val="0"/>
        <w:snapToGrid w:val="0"/>
        <w:spacing w:line="360" w:lineRule="auto"/>
        <w:ind w:firstLine="480" w:firstLineChars="200"/>
        <w:jc w:val="center"/>
        <w:rPr>
          <w:rFonts w:hint="eastAsia" w:ascii="仿宋" w:hAnsi="仿宋" w:eastAsia="仿宋" w:cs="仿宋"/>
          <w:color w:val="000000" w:themeColor="text1"/>
          <w:sz w:val="24"/>
          <w:szCs w:val="24"/>
          <w:highlight w:val="none"/>
          <w14:textFill>
            <w14:solidFill>
              <w14:schemeClr w14:val="tx1"/>
            </w14:solidFill>
          </w14:textFill>
        </w:rPr>
      </w:pPr>
    </w:p>
    <w:p w14:paraId="4C7DB7CB">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致：</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（采购人名称）</w:t>
      </w:r>
    </w:p>
    <w:p w14:paraId="2C96C201">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2F9B8A6A">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我单位郑重承诺： </w:t>
      </w:r>
    </w:p>
    <w:p w14:paraId="620BB08E">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我单位具备履行</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eastAsia="zh-CN"/>
          <w14:textFill>
            <w14:solidFill>
              <w14:schemeClr w14:val="tx1"/>
            </w14:solidFill>
          </w14:textFill>
        </w:rPr>
        <w:t>项目名称</w:t>
      </w:r>
      <w:r>
        <w:rPr>
          <w:rFonts w:hint="eastAsia" w:ascii="仿宋" w:hAnsi="仿宋" w:eastAsia="仿宋" w:cs="仿宋"/>
          <w:color w:val="000000" w:themeColor="text1"/>
          <w:kern w:val="0"/>
          <w:sz w:val="24"/>
          <w:szCs w:val="24"/>
          <w:highlight w:val="none"/>
          <w14:textFill>
            <w14:solidFill>
              <w14:schemeClr w14:val="tx1"/>
            </w14:solidFill>
          </w14:textFill>
        </w:rPr>
        <w:t>）合同所必需的设备和专业技术能力；</w:t>
      </w:r>
    </w:p>
    <w:p w14:paraId="2A052C77">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特此承诺。 </w:t>
      </w:r>
    </w:p>
    <w:p w14:paraId="7D356CBC">
      <w:pPr>
        <w:autoSpaceDE w:val="0"/>
        <w:autoSpaceDN w:val="0"/>
        <w:adjustRightInd w:val="0"/>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319D32D8">
      <w:pPr>
        <w:autoSpaceDE w:val="0"/>
        <w:autoSpaceDN w:val="0"/>
        <w:adjustRightInd w:val="0"/>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69F005D5">
      <w:pPr>
        <w:autoSpaceDE w:val="0"/>
        <w:autoSpaceDN w:val="0"/>
        <w:adjustRightInd w:val="0"/>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2AAA97E9">
      <w:pPr>
        <w:autoSpaceDE w:val="0"/>
        <w:autoSpaceDN w:val="0"/>
        <w:adjustRightInd w:val="0"/>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4D4393B5">
      <w:pPr>
        <w:widowControl/>
        <w:shd w:val="clear" w:color="auto" w:fill="FFFFFF"/>
        <w:snapToGrid w:val="0"/>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投标人：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（盖章）</w:t>
      </w:r>
    </w:p>
    <w:p w14:paraId="58752A08">
      <w:pPr>
        <w:widowControl/>
        <w:shd w:val="clear" w:color="auto" w:fill="FFFFFF"/>
        <w:snapToGrid w:val="0"/>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1B99BB5A">
      <w:pPr>
        <w:widowControl/>
        <w:shd w:val="clear" w:color="auto" w:fill="FFFFFF"/>
        <w:snapToGrid w:val="0"/>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2C85C112">
      <w:pPr>
        <w:widowControl/>
        <w:shd w:val="clear" w:color="auto" w:fill="FFFFFF"/>
        <w:snapToGrid w:val="0"/>
        <w:spacing w:line="360" w:lineRule="auto"/>
        <w:ind w:firstLine="420"/>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日期： 年  月  日</w:t>
      </w:r>
    </w:p>
    <w:p w14:paraId="71480109">
      <w:pPr>
        <w:adjustRightInd w:val="0"/>
        <w:snapToGrid w:val="0"/>
        <w:spacing w:line="360" w:lineRule="auto"/>
        <w:rPr>
          <w:rFonts w:hint="eastAsia" w:ascii="仿宋" w:hAnsi="仿宋" w:eastAsia="仿宋" w:cs="仿宋"/>
          <w:bCs/>
          <w:color w:val="000000" w:themeColor="text1"/>
          <w:sz w:val="24"/>
          <w:szCs w:val="24"/>
          <w:highlight w:val="none"/>
          <w14:textFill>
            <w14:solidFill>
              <w14:schemeClr w14:val="tx1"/>
            </w14:solidFill>
          </w14:textFill>
        </w:rPr>
      </w:pPr>
    </w:p>
    <w:p w14:paraId="19A47431">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0C21FAEE">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77D244A1">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7895F352">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2D2A2DA2">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656756FF">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724127BD">
      <w:pPr>
        <w:tabs>
          <w:tab w:val="center" w:pos="4832"/>
          <w:tab w:val="left" w:pos="7140"/>
        </w:tabs>
        <w:spacing w:line="360" w:lineRule="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bookmarkStart w:id="193" w:name="_Toc9960"/>
      <w:bookmarkStart w:id="194" w:name="_Toc5472"/>
      <w:bookmarkStart w:id="195" w:name="_Toc9901"/>
      <w:bookmarkStart w:id="196" w:name="_Toc14597"/>
      <w:bookmarkStart w:id="197" w:name="_Toc29127"/>
      <w:bookmarkStart w:id="198" w:name="_Toc1561"/>
      <w:bookmarkStart w:id="199" w:name="_Toc154"/>
      <w:bookmarkStart w:id="200" w:name="_Toc113901852"/>
      <w:bookmarkStart w:id="201" w:name="_Toc1350"/>
      <w:bookmarkStart w:id="202" w:name="_Toc12742"/>
      <w:bookmarkStart w:id="203" w:name="_Toc12060"/>
      <w:bookmarkStart w:id="204" w:name="_Toc31613"/>
      <w:bookmarkStart w:id="205" w:name="_Toc128476881"/>
      <w:bookmarkStart w:id="206" w:name="_Toc27933"/>
      <w:bookmarkStart w:id="207" w:name="_Toc6522"/>
      <w:bookmarkStart w:id="208" w:name="_Toc130252625"/>
      <w:bookmarkStart w:id="209" w:name="_Toc12824"/>
      <w:bookmarkStart w:id="210" w:name="_Toc18553"/>
      <w:bookmarkStart w:id="211" w:name="_Toc16035"/>
      <w:bookmarkStart w:id="212" w:name="_Toc141050518"/>
      <w:bookmarkStart w:id="213" w:name="_Toc24529"/>
      <w:bookmarkStart w:id="214" w:name="_Toc19260"/>
      <w:bookmarkStart w:id="215" w:name="_Toc17656"/>
      <w:bookmarkStart w:id="216" w:name="_Toc111556490"/>
      <w:r>
        <w:rPr>
          <w:rFonts w:hint="eastAsia" w:ascii="仿宋" w:hAnsi="仿宋" w:eastAsia="仿宋" w:cs="仿宋"/>
          <w:b/>
          <w:color w:val="000000" w:themeColor="text1"/>
          <w:sz w:val="24"/>
          <w:szCs w:val="24"/>
          <w:highlight w:val="none"/>
          <w:lang w:val="en-US" w:eastAsia="zh-CN"/>
          <w14:textFill>
            <w14:solidFill>
              <w14:schemeClr w14:val="tx1"/>
            </w14:solidFill>
          </w14:textFill>
        </w:rPr>
        <w:t>8</w:t>
      </w:r>
      <w:r>
        <w:rPr>
          <w:rFonts w:hint="eastAsia" w:ascii="仿宋" w:hAnsi="仿宋" w:eastAsia="仿宋" w:cs="仿宋"/>
          <w:b/>
          <w:color w:val="000000" w:themeColor="text1"/>
          <w:sz w:val="24"/>
          <w:szCs w:val="24"/>
          <w:highlight w:val="none"/>
          <w14:textFill>
            <w14:solidFill>
              <w14:schemeClr w14:val="tx1"/>
            </w14:solidFill>
          </w14:textFill>
        </w:rPr>
        <w:t>.4 参加政府采购活动前3年内在经营活动中没有重大违法记录的书面声明</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bookmarkEnd w:id="216"/>
    <w:p w14:paraId="719484F3">
      <w:pPr>
        <w:widowControl/>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4837C3D4">
      <w:pPr>
        <w:widowControl/>
        <w:adjustRightInd w:val="0"/>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参加政府采购活动前3年内在经营活动中没有重大违法记录的书面声明</w:t>
      </w:r>
    </w:p>
    <w:p w14:paraId="6CEAAE77">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0EF8C3F4">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致：</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（采购人名称）</w:t>
      </w:r>
    </w:p>
    <w:p w14:paraId="3AF9068B">
      <w:pPr>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596FAF35">
      <w:pPr>
        <w:adjustRightInd w:val="0"/>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我单位在参与</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eastAsia="zh-CN"/>
          <w14:textFill>
            <w14:solidFill>
              <w14:schemeClr w14:val="tx1"/>
            </w14:solidFill>
          </w14:textFill>
        </w:rPr>
        <w:t>项目名称</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前三年内（以</w:t>
      </w:r>
      <w:r>
        <w:rPr>
          <w:rFonts w:hint="eastAsia" w:ascii="仿宋" w:hAnsi="仿宋" w:eastAsia="仿宋" w:cs="仿宋"/>
          <w:color w:val="000000" w:themeColor="text1"/>
          <w:sz w:val="24"/>
          <w:szCs w:val="24"/>
          <w:highlight w:val="none"/>
          <w14:textFill>
            <w14:solidFill>
              <w14:schemeClr w14:val="tx1"/>
            </w14:solidFill>
          </w14:textFill>
        </w:rPr>
        <w:t>投标文件递交截止之日为期限</w:t>
      </w:r>
      <w:r>
        <w:rPr>
          <w:rFonts w:hint="eastAsia" w:ascii="仿宋" w:hAnsi="仿宋" w:eastAsia="仿宋" w:cs="仿宋"/>
          <w:color w:val="000000" w:themeColor="text1"/>
          <w:kern w:val="0"/>
          <w:sz w:val="24"/>
          <w:szCs w:val="24"/>
          <w:highlight w:val="none"/>
          <w14:textFill>
            <w14:solidFill>
              <w14:schemeClr w14:val="tx1"/>
            </w14:solidFill>
          </w14:textFill>
        </w:rPr>
        <w:t>）在经营活动中没有重大违法记录。</w:t>
      </w:r>
    </w:p>
    <w:p w14:paraId="0EE873A4">
      <w:pPr>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若贵方在本项目采购过程中发现我方参加政府采购活动前三年内有重大违法记录；</w:t>
      </w:r>
      <w:r>
        <w:rPr>
          <w:rFonts w:hint="eastAsia" w:ascii="仿宋" w:hAnsi="仿宋" w:eastAsia="仿宋" w:cs="仿宋"/>
          <w:color w:val="000000" w:themeColor="text1"/>
          <w:kern w:val="0"/>
          <w:sz w:val="24"/>
          <w:szCs w:val="24"/>
          <w:highlight w:val="none"/>
          <w14:textFill>
            <w14:solidFill>
              <w14:schemeClr w14:val="tx1"/>
            </w14:solidFill>
          </w14:textFill>
        </w:rPr>
        <w:t>我单位</w:t>
      </w:r>
      <w:r>
        <w:rPr>
          <w:rFonts w:hint="eastAsia" w:ascii="仿宋" w:hAnsi="仿宋" w:eastAsia="仿宋" w:cs="仿宋"/>
          <w:color w:val="000000" w:themeColor="text1"/>
          <w:sz w:val="24"/>
          <w:szCs w:val="24"/>
          <w:highlight w:val="none"/>
          <w14:textFill>
            <w14:solidFill>
              <w14:schemeClr w14:val="tx1"/>
            </w14:solidFill>
          </w14:textFill>
        </w:rPr>
        <w:t>将无条件退出本项目的投标，并承担因此引起的一切后果。我方对此声明负全部法律责任。</w:t>
      </w:r>
    </w:p>
    <w:p w14:paraId="4917EC70">
      <w:pPr>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特此声明！</w:t>
      </w:r>
    </w:p>
    <w:p w14:paraId="19A9702F">
      <w:pPr>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2A687399">
      <w:pPr>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3DA7A54A">
      <w:pPr>
        <w:adjustRightInd w:val="0"/>
        <w:snapToGrid w:val="0"/>
        <w:spacing w:line="360" w:lineRule="auto"/>
        <w:ind w:firstLine="420" w:firstLineChars="20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备注：</w:t>
      </w:r>
    </w:p>
    <w:p w14:paraId="57D22957">
      <w:pPr>
        <w:adjustRightInd w:val="0"/>
        <w:snapToGrid w:val="0"/>
        <w:spacing w:line="360" w:lineRule="auto"/>
        <w:ind w:firstLine="42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若投标人在投标文件递交截止之日成立时间不足三年，以自成立以来的时间计取。</w:t>
      </w:r>
    </w:p>
    <w:p w14:paraId="4E421D78">
      <w:pPr>
        <w:adjustRightInd w:val="0"/>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p>
    <w:p w14:paraId="4AEF244D">
      <w:pPr>
        <w:adjustRightInd w:val="0"/>
        <w:snapToGrid w:val="0"/>
        <w:spacing w:line="360" w:lineRule="auto"/>
        <w:ind w:firstLine="3112" w:firstLineChars="1297"/>
        <w:rPr>
          <w:rFonts w:hint="eastAsia" w:ascii="仿宋" w:hAnsi="仿宋" w:eastAsia="仿宋" w:cs="仿宋"/>
          <w:color w:val="000000" w:themeColor="text1"/>
          <w:sz w:val="24"/>
          <w:szCs w:val="24"/>
          <w:highlight w:val="none"/>
          <w14:textFill>
            <w14:solidFill>
              <w14:schemeClr w14:val="tx1"/>
            </w14:solidFill>
          </w14:textFill>
        </w:rPr>
      </w:pPr>
    </w:p>
    <w:p w14:paraId="3A02E3BE">
      <w:pPr>
        <w:widowControl/>
        <w:shd w:val="clear" w:color="auto" w:fill="FFFFFF"/>
        <w:snapToGrid w:val="0"/>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投标人：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（盖章）</w:t>
      </w:r>
    </w:p>
    <w:p w14:paraId="288F7DC3">
      <w:pPr>
        <w:widowControl/>
        <w:shd w:val="clear" w:color="auto" w:fill="FFFFFF"/>
        <w:snapToGrid w:val="0"/>
        <w:spacing w:line="360" w:lineRule="auto"/>
        <w:ind w:firstLine="420"/>
        <w:jc w:val="center"/>
        <w:rPr>
          <w:rFonts w:hint="eastAsia" w:ascii="仿宋" w:hAnsi="仿宋" w:eastAsia="仿宋" w:cs="仿宋"/>
          <w:color w:val="000000" w:themeColor="text1"/>
          <w:kern w:val="0"/>
          <w:sz w:val="24"/>
          <w:szCs w:val="24"/>
          <w:highlight w:val="none"/>
          <w14:textFill>
            <w14:solidFill>
              <w14:schemeClr w14:val="tx1"/>
            </w14:solidFill>
          </w14:textFill>
        </w:rPr>
      </w:pPr>
    </w:p>
    <w:p w14:paraId="62E7B7EC">
      <w:pPr>
        <w:widowControl/>
        <w:shd w:val="clear" w:color="auto" w:fill="FFFFFF"/>
        <w:snapToGrid w:val="0"/>
        <w:spacing w:line="360" w:lineRule="auto"/>
        <w:ind w:firstLine="420"/>
        <w:jc w:val="center"/>
        <w:rPr>
          <w:rFonts w:hint="eastAsia" w:ascii="仿宋" w:hAnsi="仿宋" w:eastAsia="仿宋" w:cs="仿宋"/>
          <w:color w:val="000000" w:themeColor="text1"/>
          <w:kern w:val="0"/>
          <w:sz w:val="24"/>
          <w:szCs w:val="24"/>
          <w:highlight w:val="none"/>
          <w14:textFill>
            <w14:solidFill>
              <w14:schemeClr w14:val="tx1"/>
            </w14:solidFill>
          </w14:textFill>
        </w:rPr>
      </w:pPr>
    </w:p>
    <w:p w14:paraId="10F5AA32">
      <w:pPr>
        <w:widowControl/>
        <w:shd w:val="clear" w:color="auto" w:fill="FFFFFF"/>
        <w:snapToGrid w:val="0"/>
        <w:spacing w:line="360" w:lineRule="auto"/>
        <w:ind w:firstLine="420"/>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日期： 年  月  日</w:t>
      </w:r>
    </w:p>
    <w:p w14:paraId="05D71FE8">
      <w:pPr>
        <w:widowControl/>
        <w:shd w:val="clear" w:color="auto" w:fill="FFFFFF"/>
        <w:snapToGrid w:val="0"/>
        <w:spacing w:line="360" w:lineRule="auto"/>
        <w:ind w:firstLine="420"/>
        <w:rPr>
          <w:rFonts w:hint="eastAsia" w:ascii="仿宋" w:hAnsi="仿宋" w:eastAsia="仿宋" w:cs="仿宋"/>
          <w:color w:val="000000" w:themeColor="text1"/>
          <w:kern w:val="0"/>
          <w:sz w:val="24"/>
          <w:szCs w:val="24"/>
          <w:highlight w:val="none"/>
          <w14:textFill>
            <w14:solidFill>
              <w14:schemeClr w14:val="tx1"/>
            </w14:solidFill>
          </w14:textFill>
        </w:rPr>
      </w:pPr>
    </w:p>
    <w:p w14:paraId="1AF206A8">
      <w:pPr>
        <w:tabs>
          <w:tab w:val="center" w:pos="4832"/>
          <w:tab w:val="left" w:pos="7140"/>
        </w:tabs>
        <w:spacing w:line="360" w:lineRule="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br w:type="page"/>
      </w:r>
      <w:bookmarkStart w:id="217" w:name="_Toc6424"/>
      <w:bookmarkStart w:id="218" w:name="_Toc30930"/>
      <w:bookmarkStart w:id="219" w:name="_Toc30447"/>
      <w:bookmarkStart w:id="220" w:name="_Toc26082"/>
      <w:bookmarkStart w:id="221" w:name="_Toc17488"/>
      <w:bookmarkStart w:id="222" w:name="_Toc141050519"/>
      <w:bookmarkStart w:id="223" w:name="_Toc313"/>
      <w:bookmarkStart w:id="224" w:name="_Toc25108"/>
      <w:bookmarkStart w:id="225" w:name="_Toc4675"/>
      <w:bookmarkStart w:id="226" w:name="_Toc8192"/>
      <w:bookmarkStart w:id="227" w:name="_Toc128476882"/>
      <w:bookmarkStart w:id="228" w:name="_Toc10808"/>
      <w:bookmarkStart w:id="229" w:name="_Toc130252626"/>
      <w:bookmarkStart w:id="230" w:name="_Toc13030"/>
      <w:bookmarkStart w:id="231" w:name="_Toc14380"/>
      <w:bookmarkStart w:id="232" w:name="_Toc11552"/>
      <w:bookmarkStart w:id="233" w:name="_Toc31144"/>
      <w:bookmarkStart w:id="234" w:name="_Toc24660"/>
      <w:bookmarkStart w:id="235" w:name="_Toc113901853"/>
      <w:bookmarkStart w:id="236" w:name="_Toc13701"/>
      <w:bookmarkStart w:id="237" w:name="_Toc9134"/>
      <w:bookmarkStart w:id="238" w:name="_Toc3183"/>
      <w:bookmarkStart w:id="239" w:name="_Toc9385"/>
      <w:r>
        <w:rPr>
          <w:rFonts w:hint="eastAsia" w:ascii="仿宋" w:hAnsi="仿宋" w:eastAsia="仿宋" w:cs="仿宋"/>
          <w:b/>
          <w:color w:val="000000" w:themeColor="text1"/>
          <w:sz w:val="24"/>
          <w:szCs w:val="24"/>
          <w:highlight w:val="none"/>
          <w:lang w:val="en-US" w:eastAsia="zh-CN"/>
          <w14:textFill>
            <w14:solidFill>
              <w14:schemeClr w14:val="tx1"/>
            </w14:solidFill>
          </w14:textFill>
        </w:rPr>
        <w:t>8</w:t>
      </w:r>
      <w:r>
        <w:rPr>
          <w:rFonts w:hint="eastAsia" w:ascii="仿宋" w:hAnsi="仿宋" w:eastAsia="仿宋" w:cs="仿宋"/>
          <w:b/>
          <w:color w:val="000000" w:themeColor="text1"/>
          <w:sz w:val="24"/>
          <w:szCs w:val="24"/>
          <w:highlight w:val="none"/>
          <w14:textFill>
            <w14:solidFill>
              <w14:schemeClr w14:val="tx1"/>
            </w14:solidFill>
          </w14:textFill>
        </w:rPr>
        <w:t>.5 具备法律、行政法规规定的其他条件的证明材料</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5F13A202">
      <w:pPr>
        <w:widowControl/>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3145C26E">
      <w:pPr>
        <w:widowControl/>
        <w:adjustRightInd w:val="0"/>
        <w:snapToGrid w:val="0"/>
        <w:spacing w:line="360" w:lineRule="auto"/>
        <w:ind w:firstLine="480" w:firstLineChars="200"/>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一、国家有关主管部门的行政许可（如有时）。</w:t>
      </w:r>
    </w:p>
    <w:p w14:paraId="064238CA">
      <w:pPr>
        <w:widowControl/>
        <w:adjustRightInd w:val="0"/>
        <w:snapToGrid w:val="0"/>
        <w:spacing w:line="360" w:lineRule="auto"/>
        <w:ind w:firstLine="480" w:firstLineChars="200"/>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二、中小企业声明函/残疾人福利性单位声明函/监狱企业证明文件（如有时）。</w:t>
      </w:r>
    </w:p>
    <w:p w14:paraId="6EEAD0D9">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p>
    <w:p w14:paraId="29914C0B">
      <w:pPr>
        <w:widowControl/>
        <w:spacing w:line="360" w:lineRule="auto"/>
        <w:jc w:val="left"/>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 xml:space="preserve">附件一、                  </w:t>
      </w:r>
    </w:p>
    <w:p w14:paraId="3656A858">
      <w:pPr>
        <w:spacing w:line="588" w:lineRule="exact"/>
        <w:jc w:val="center"/>
        <w:rPr>
          <w:rFonts w:hint="eastAsia" w:ascii="仿宋" w:hAnsi="仿宋" w:eastAsia="仿宋" w:cs="仿宋"/>
          <w:b/>
          <w:color w:val="000000" w:themeColor="text1"/>
          <w:spacing w:val="6"/>
          <w:sz w:val="24"/>
          <w:szCs w:val="24"/>
          <w:highlight w:val="none"/>
          <w14:textFill>
            <w14:solidFill>
              <w14:schemeClr w14:val="tx1"/>
            </w14:solidFill>
          </w14:textFill>
        </w:rPr>
      </w:pPr>
    </w:p>
    <w:p w14:paraId="51D6BFC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color w:val="000000" w:themeColor="text1"/>
          <w:spacing w:val="6"/>
          <w:sz w:val="24"/>
          <w:szCs w:val="24"/>
          <w:highlight w:val="none"/>
          <w:shd w:val="clear" w:color="auto" w:fill="FFFFFF" w:themeFill="background1"/>
          <w14:textFill>
            <w14:solidFill>
              <w14:schemeClr w14:val="tx1"/>
            </w14:solidFill>
          </w14:textFill>
        </w:rPr>
      </w:pPr>
    </w:p>
    <w:p w14:paraId="13F7D05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color w:val="000000" w:themeColor="text1"/>
          <w:spacing w:val="6"/>
          <w:sz w:val="24"/>
          <w:szCs w:val="24"/>
          <w:highlight w:val="none"/>
          <w:shd w:val="clear" w:color="auto" w:fill="FFFFFF" w:themeFill="background1"/>
          <w14:textFill>
            <w14:solidFill>
              <w14:schemeClr w14:val="tx1"/>
            </w14:solidFill>
          </w14:textFill>
        </w:rPr>
      </w:pPr>
      <w:r>
        <w:rPr>
          <w:rFonts w:hint="eastAsia" w:ascii="仿宋" w:hAnsi="仿宋" w:eastAsia="仿宋" w:cs="仿宋"/>
          <w:b/>
          <w:color w:val="000000" w:themeColor="text1"/>
          <w:spacing w:val="6"/>
          <w:sz w:val="24"/>
          <w:szCs w:val="24"/>
          <w:highlight w:val="none"/>
          <w:shd w:val="clear" w:color="auto" w:fill="FFFFFF" w:themeFill="background1"/>
          <w14:textFill>
            <w14:solidFill>
              <w14:schemeClr w14:val="tx1"/>
            </w14:solidFill>
          </w14:textFill>
        </w:rPr>
        <w:t>中小企业声明函（工程、服务）</w:t>
      </w:r>
    </w:p>
    <w:p w14:paraId="1B257CA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color w:val="000000" w:themeColor="text1"/>
          <w:spacing w:val="6"/>
          <w:sz w:val="24"/>
          <w:szCs w:val="24"/>
          <w:highlight w:val="none"/>
          <w:shd w:val="clear" w:color="auto" w:fill="FFFFFF" w:themeFill="background1"/>
          <w14:textFill>
            <w14:solidFill>
              <w14:schemeClr w14:val="tx1"/>
            </w14:solidFill>
          </w14:textFill>
        </w:rPr>
      </w:pPr>
    </w:p>
    <w:p w14:paraId="7ACF3A0E">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本公司（联合体）郑重声明，根据《政府采购促进中小企业发展管理办法》（财库﹝2020﹞46 号）的规定，本公司</w:t>
      </w:r>
      <w:r>
        <w:rPr>
          <w:rFonts w:hint="eastAsia" w:ascii="仿宋" w:hAnsi="仿宋" w:eastAsia="仿宋" w:cs="仿宋"/>
          <w:color w:val="000000" w:themeColor="text1"/>
          <w:kern w:val="0"/>
          <w:sz w:val="24"/>
          <w:szCs w:val="24"/>
          <w:highlight w:val="none"/>
          <w:u w:val="single"/>
          <w:shd w:val="clear" w:color="auto" w:fill="FFFFFF" w:themeFill="background1"/>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（联合体）</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参加</w:t>
      </w:r>
      <w:r>
        <w:rPr>
          <w:rFonts w:hint="eastAsia" w:ascii="仿宋" w:hAnsi="仿宋" w:eastAsia="仿宋" w:cs="仿宋"/>
          <w:color w:val="000000" w:themeColor="text1"/>
          <w:kern w:val="0"/>
          <w:sz w:val="24"/>
          <w:szCs w:val="24"/>
          <w:highlight w:val="none"/>
          <w:u w:val="single"/>
          <w:shd w:val="clear" w:color="auto" w:fill="FFFFFF" w:themeFill="background1"/>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（单位名称）</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的</w:t>
      </w:r>
      <w:r>
        <w:rPr>
          <w:rFonts w:hint="eastAsia" w:ascii="仿宋" w:hAnsi="仿宋" w:eastAsia="仿宋" w:cs="仿宋"/>
          <w:color w:val="000000" w:themeColor="text1"/>
          <w:kern w:val="0"/>
          <w:sz w:val="24"/>
          <w:szCs w:val="24"/>
          <w:highlight w:val="none"/>
          <w:u w:val="single"/>
          <w:shd w:val="clear" w:color="auto" w:fill="FFFFFF" w:themeFill="background1"/>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（项目名称）</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5B825FEF">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 xml:space="preserve">1. </w:t>
      </w:r>
      <w:r>
        <w:rPr>
          <w:rFonts w:hint="eastAsia" w:ascii="仿宋" w:hAnsi="仿宋" w:eastAsia="仿宋" w:cs="仿宋"/>
          <w:color w:val="000000" w:themeColor="text1"/>
          <w:kern w:val="0"/>
          <w:sz w:val="24"/>
          <w:szCs w:val="24"/>
          <w:highlight w:val="none"/>
          <w:u w:val="single"/>
          <w:shd w:val="clear" w:color="auto" w:fill="FFFFFF" w:themeFill="background1"/>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（标的名称）</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 xml:space="preserve"> ，属于</w:t>
      </w:r>
      <w:r>
        <w:rPr>
          <w:rFonts w:hint="eastAsia" w:ascii="仿宋" w:hAnsi="仿宋" w:eastAsia="仿宋" w:cs="仿宋"/>
          <w:color w:val="000000" w:themeColor="text1"/>
          <w:kern w:val="0"/>
          <w:sz w:val="24"/>
          <w:szCs w:val="24"/>
          <w:highlight w:val="none"/>
          <w:u w:val="single"/>
          <w:shd w:val="clear" w:color="auto" w:fill="FFFFFF" w:themeFill="background1"/>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（采购文件中明确的所属行业）</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；承建（承接）企业为</w:t>
      </w:r>
      <w:r>
        <w:rPr>
          <w:rFonts w:hint="eastAsia" w:ascii="仿宋" w:hAnsi="仿宋" w:eastAsia="仿宋" w:cs="仿宋"/>
          <w:color w:val="000000" w:themeColor="text1"/>
          <w:kern w:val="0"/>
          <w:sz w:val="24"/>
          <w:szCs w:val="24"/>
          <w:highlight w:val="none"/>
          <w:u w:val="single"/>
          <w:shd w:val="clear" w:color="auto" w:fill="FFFFFF" w:themeFill="background1"/>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（企业名称）</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，从业人员</w:t>
      </w:r>
      <w:r>
        <w:rPr>
          <w:rFonts w:hint="eastAsia" w:ascii="仿宋" w:hAnsi="仿宋" w:eastAsia="仿宋" w:cs="仿宋"/>
          <w:color w:val="000000" w:themeColor="text1"/>
          <w:kern w:val="0"/>
          <w:sz w:val="24"/>
          <w:szCs w:val="24"/>
          <w:highlight w:val="none"/>
          <w:u w:val="single"/>
          <w:shd w:val="clear" w:color="auto" w:fill="FFFFFF" w:themeFill="background1"/>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人，营业收入为</w:t>
      </w:r>
      <w:r>
        <w:rPr>
          <w:rFonts w:hint="eastAsia" w:ascii="仿宋" w:hAnsi="仿宋" w:eastAsia="仿宋" w:cs="仿宋"/>
          <w:color w:val="000000" w:themeColor="text1"/>
          <w:kern w:val="0"/>
          <w:sz w:val="24"/>
          <w:szCs w:val="24"/>
          <w:highlight w:val="none"/>
          <w:u w:val="single"/>
          <w:shd w:val="clear" w:color="auto" w:fill="FFFFFF" w:themeFill="background1"/>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万元，资产总额为</w:t>
      </w:r>
      <w:r>
        <w:rPr>
          <w:rFonts w:hint="eastAsia" w:ascii="仿宋" w:hAnsi="仿宋" w:eastAsia="仿宋" w:cs="仿宋"/>
          <w:color w:val="000000" w:themeColor="text1"/>
          <w:kern w:val="0"/>
          <w:sz w:val="24"/>
          <w:szCs w:val="24"/>
          <w:highlight w:val="none"/>
          <w:u w:val="single"/>
          <w:shd w:val="clear" w:color="auto" w:fill="FFFFFF" w:themeFill="background1"/>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万元，属于</w:t>
      </w:r>
      <w:r>
        <w:rPr>
          <w:rFonts w:hint="eastAsia" w:ascii="仿宋" w:hAnsi="仿宋" w:eastAsia="仿宋" w:cs="仿宋"/>
          <w:color w:val="000000" w:themeColor="text1"/>
          <w:kern w:val="0"/>
          <w:sz w:val="24"/>
          <w:szCs w:val="24"/>
          <w:highlight w:val="none"/>
          <w:u w:val="single"/>
          <w:shd w:val="clear" w:color="auto" w:fill="FFFFFF" w:themeFill="background1"/>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（中型企业、小型企业、微型企业</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w:t>
      </w:r>
    </w:p>
    <w:p w14:paraId="6586F52B">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 xml:space="preserve">2.  </w:t>
      </w:r>
      <w:r>
        <w:rPr>
          <w:rFonts w:hint="eastAsia" w:ascii="仿宋" w:hAnsi="仿宋" w:eastAsia="仿宋" w:cs="仿宋"/>
          <w:color w:val="000000" w:themeColor="text1"/>
          <w:kern w:val="0"/>
          <w:sz w:val="24"/>
          <w:szCs w:val="24"/>
          <w:highlight w:val="none"/>
          <w:u w:val="single"/>
          <w:shd w:val="clear" w:color="auto" w:fill="FFFFFF" w:themeFill="background1"/>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（标的名称）</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 xml:space="preserve"> ，属于</w:t>
      </w:r>
      <w:r>
        <w:rPr>
          <w:rFonts w:hint="eastAsia" w:ascii="仿宋" w:hAnsi="仿宋" w:eastAsia="仿宋" w:cs="仿宋"/>
          <w:color w:val="000000" w:themeColor="text1"/>
          <w:kern w:val="0"/>
          <w:sz w:val="24"/>
          <w:szCs w:val="24"/>
          <w:highlight w:val="none"/>
          <w:u w:val="single"/>
          <w:shd w:val="clear" w:color="auto" w:fill="FFFFFF" w:themeFill="background1"/>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（采购文件中明确的所属行业）</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；承建（承接）企业为</w:t>
      </w:r>
      <w:r>
        <w:rPr>
          <w:rFonts w:hint="eastAsia" w:ascii="仿宋" w:hAnsi="仿宋" w:eastAsia="仿宋" w:cs="仿宋"/>
          <w:color w:val="000000" w:themeColor="text1"/>
          <w:kern w:val="0"/>
          <w:sz w:val="24"/>
          <w:szCs w:val="24"/>
          <w:highlight w:val="none"/>
          <w:u w:val="single"/>
          <w:shd w:val="clear" w:color="auto" w:fill="FFFFFF" w:themeFill="background1"/>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（企业名称）</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，从业人员</w:t>
      </w:r>
      <w:r>
        <w:rPr>
          <w:rFonts w:hint="eastAsia" w:ascii="仿宋" w:hAnsi="仿宋" w:eastAsia="仿宋" w:cs="仿宋"/>
          <w:color w:val="000000" w:themeColor="text1"/>
          <w:kern w:val="0"/>
          <w:sz w:val="24"/>
          <w:szCs w:val="24"/>
          <w:highlight w:val="none"/>
          <w:u w:val="single"/>
          <w:shd w:val="clear" w:color="auto" w:fill="FFFFFF" w:themeFill="background1"/>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人，营业收入为</w:t>
      </w:r>
      <w:r>
        <w:rPr>
          <w:rFonts w:hint="eastAsia" w:ascii="仿宋" w:hAnsi="仿宋" w:eastAsia="仿宋" w:cs="仿宋"/>
          <w:color w:val="000000" w:themeColor="text1"/>
          <w:kern w:val="0"/>
          <w:sz w:val="24"/>
          <w:szCs w:val="24"/>
          <w:highlight w:val="none"/>
          <w:u w:val="single"/>
          <w:shd w:val="clear" w:color="auto" w:fill="FFFFFF" w:themeFill="background1"/>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万元，资产总额为</w:t>
      </w:r>
      <w:r>
        <w:rPr>
          <w:rFonts w:hint="eastAsia" w:ascii="仿宋" w:hAnsi="仿宋" w:eastAsia="仿宋" w:cs="仿宋"/>
          <w:color w:val="000000" w:themeColor="text1"/>
          <w:kern w:val="0"/>
          <w:sz w:val="24"/>
          <w:szCs w:val="24"/>
          <w:highlight w:val="none"/>
          <w:u w:val="single"/>
          <w:shd w:val="clear" w:color="auto" w:fill="FFFFFF" w:themeFill="background1"/>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万元，属于</w:t>
      </w:r>
      <w:r>
        <w:rPr>
          <w:rFonts w:hint="eastAsia" w:ascii="仿宋" w:hAnsi="仿宋" w:eastAsia="仿宋" w:cs="仿宋"/>
          <w:color w:val="000000" w:themeColor="text1"/>
          <w:kern w:val="0"/>
          <w:sz w:val="24"/>
          <w:szCs w:val="24"/>
          <w:highlight w:val="none"/>
          <w:u w:val="single"/>
          <w:shd w:val="clear" w:color="auto" w:fill="FFFFFF" w:themeFill="background1"/>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（中型企业、小型企业、微型企业</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w:t>
      </w:r>
    </w:p>
    <w:p w14:paraId="3A7827E6">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w:t>
      </w:r>
    </w:p>
    <w:p w14:paraId="3264DE75">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以上企业，不属于大企业的分支机构，不存在控股股东为大企业的情形，也不存在与大企业的负责人为同一人的情形。</w:t>
      </w:r>
    </w:p>
    <w:p w14:paraId="1B32338E">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本企业对上述声明内容的真实性负责。如有虚假，将依法承担相应责任。</w:t>
      </w:r>
    </w:p>
    <w:p w14:paraId="3245C2F6">
      <w:pPr>
        <w:keepLines w:val="0"/>
        <w:pageBreakBefore w:val="0"/>
        <w:kinsoku/>
        <w:overflowPunct/>
        <w:topLinePunct w:val="0"/>
        <w:bidi w:val="0"/>
        <w:spacing w:beforeAutospacing="0" w:afterAutospacing="0" w:line="360" w:lineRule="auto"/>
        <w:ind w:firstLine="480" w:firstLineChars="200"/>
        <w:jc w:val="right"/>
        <w:textAlignment w:val="auto"/>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02086800">
      <w:pPr>
        <w:keepLines w:val="0"/>
        <w:pageBreakBefore w:val="0"/>
        <w:kinsoku/>
        <w:overflowPunct/>
        <w:topLinePunct w:val="0"/>
        <w:bidi w:val="0"/>
        <w:spacing w:beforeAutospacing="0" w:afterAutospacing="0" w:line="360" w:lineRule="auto"/>
        <w:ind w:firstLine="480" w:firstLineChars="200"/>
        <w:jc w:val="center"/>
        <w:textAlignment w:val="auto"/>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企业名称（盖章）：</w:t>
      </w:r>
    </w:p>
    <w:p w14:paraId="75F0EF3A">
      <w:pPr>
        <w:keepLines w:val="0"/>
        <w:pageBreakBefore w:val="0"/>
        <w:kinsoku/>
        <w:overflowPunct/>
        <w:topLinePunct w:val="0"/>
        <w:bidi w:val="0"/>
        <w:spacing w:beforeAutospacing="0" w:afterAutospacing="0" w:line="360" w:lineRule="auto"/>
        <w:ind w:right="480" w:firstLine="480" w:firstLineChars="200"/>
        <w:jc w:val="center"/>
        <w:textAlignment w:val="auto"/>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日期：</w:t>
      </w:r>
    </w:p>
    <w:p w14:paraId="23C0B963">
      <w:pPr>
        <w:keepLines w:val="0"/>
        <w:pageBreakBefore w:val="0"/>
        <w:kinsoku/>
        <w:overflowPunct/>
        <w:topLinePunct w:val="0"/>
        <w:bidi w:val="0"/>
        <w:spacing w:beforeAutospacing="0" w:afterAutospacing="0" w:line="360" w:lineRule="auto"/>
        <w:textAlignment w:val="auto"/>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063B1FD5">
      <w:pPr>
        <w:keepLines w:val="0"/>
        <w:pageBreakBefore w:val="0"/>
        <w:kinsoku/>
        <w:overflowPunct/>
        <w:topLinePunct w:val="0"/>
        <w:bidi w:val="0"/>
        <w:spacing w:beforeAutospacing="0" w:afterAutospacing="0" w:line="360"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注：人员、营业收入、资产总额填报上一年度数据，无上一年度数据的新成立企业可不填报。</w:t>
      </w:r>
      <w:r>
        <w:rPr>
          <w:rFonts w:hint="eastAsia" w:ascii="仿宋" w:hAnsi="仿宋" w:eastAsia="仿宋" w:cs="仿宋"/>
          <w:color w:val="000000" w:themeColor="text1"/>
          <w:highlight w:val="none"/>
          <w14:textFill>
            <w14:solidFill>
              <w14:schemeClr w14:val="tx1"/>
            </w14:solidFill>
          </w14:textFill>
        </w:rPr>
        <w:br w:type="page"/>
      </w:r>
    </w:p>
    <w:p w14:paraId="60225F58">
      <w:pPr>
        <w:spacing w:line="588" w:lineRule="exact"/>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b/>
          <w:color w:val="000000" w:themeColor="text1"/>
          <w:kern w:val="0"/>
          <w:sz w:val="24"/>
          <w:szCs w:val="24"/>
          <w:highlight w:val="none"/>
          <w14:textFill>
            <w14:solidFill>
              <w14:schemeClr w14:val="tx1"/>
            </w14:solidFill>
          </w14:textFill>
        </w:rPr>
        <w:t>附件二、</w:t>
      </w:r>
    </w:p>
    <w:p w14:paraId="3105DF8B">
      <w:pPr>
        <w:spacing w:line="360" w:lineRule="auto"/>
        <w:jc w:val="center"/>
        <w:rPr>
          <w:rFonts w:hint="eastAsia" w:ascii="仿宋" w:hAnsi="仿宋" w:eastAsia="仿宋" w:cs="仿宋"/>
          <w:b/>
          <w:color w:val="000000" w:themeColor="text1"/>
          <w:spacing w:val="6"/>
          <w:sz w:val="24"/>
          <w:szCs w:val="24"/>
          <w:highlight w:val="none"/>
          <w14:textFill>
            <w14:solidFill>
              <w14:schemeClr w14:val="tx1"/>
            </w14:solidFill>
          </w14:textFill>
        </w:rPr>
      </w:pPr>
      <w:r>
        <w:rPr>
          <w:rFonts w:hint="eastAsia" w:ascii="仿宋" w:hAnsi="仿宋" w:eastAsia="仿宋" w:cs="仿宋"/>
          <w:b/>
          <w:color w:val="000000" w:themeColor="text1"/>
          <w:spacing w:val="6"/>
          <w:sz w:val="24"/>
          <w:szCs w:val="24"/>
          <w:highlight w:val="none"/>
          <w14:textFill>
            <w14:solidFill>
              <w14:schemeClr w14:val="tx1"/>
            </w14:solidFill>
          </w14:textFill>
        </w:rPr>
        <w:t>残疾人福利性单位声明函</w:t>
      </w:r>
    </w:p>
    <w:p w14:paraId="00939A98">
      <w:pPr>
        <w:spacing w:line="360" w:lineRule="auto"/>
        <w:rPr>
          <w:rFonts w:hint="eastAsia" w:ascii="仿宋" w:hAnsi="仿宋" w:eastAsia="仿宋" w:cs="仿宋"/>
          <w:b/>
          <w:color w:val="000000" w:themeColor="text1"/>
          <w:spacing w:val="6"/>
          <w:sz w:val="24"/>
          <w:szCs w:val="24"/>
          <w:highlight w:val="none"/>
          <w14:textFill>
            <w14:solidFill>
              <w14:schemeClr w14:val="tx1"/>
            </w14:solidFill>
          </w14:textFill>
        </w:rPr>
      </w:pPr>
    </w:p>
    <w:p w14:paraId="0B3F501C">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仿宋" w:hAnsi="仿宋" w:eastAsia="仿宋" w:cs="仿宋"/>
          <w:color w:val="000000" w:themeColor="text1"/>
          <w:sz w:val="24"/>
          <w:szCs w:val="24"/>
          <w:highlight w:val="none"/>
          <w14:textFill>
            <w14:solidFill>
              <w14:schemeClr w14:val="tx1"/>
            </w14:solidFill>
          </w14:textFill>
        </w:rPr>
        <w:t>〔2017〕 141</w:t>
      </w:r>
      <w:r>
        <w:rPr>
          <w:rFonts w:hint="eastAsia" w:ascii="仿宋" w:hAnsi="仿宋" w:eastAsia="仿宋" w:cs="仿宋"/>
          <w:color w:val="000000" w:themeColor="text1"/>
          <w:spacing w:val="6"/>
          <w:sz w:val="24"/>
          <w:szCs w:val="24"/>
          <w:highlight w:val="none"/>
          <w14:textFill>
            <w14:solidFill>
              <w14:schemeClr w14:val="tx1"/>
            </w14:solidFill>
          </w14:textFill>
        </w:rPr>
        <w:t>号）的规定，本单位为符合条件的残疾人福利性单位，且本单位参加</w:t>
      </w:r>
      <w:r>
        <w:rPr>
          <w:rFonts w:hint="eastAsia" w:ascii="仿宋" w:hAnsi="仿宋" w:eastAsia="仿宋" w:cs="仿宋"/>
          <w:color w:val="000000" w:themeColor="text1"/>
          <w:spacing w:val="6"/>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14:textFill>
            <w14:solidFill>
              <w14:schemeClr w14:val="tx1"/>
            </w14:solidFill>
          </w14:textFill>
        </w:rPr>
        <w:t>单位的</w:t>
      </w:r>
      <w:r>
        <w:rPr>
          <w:rFonts w:hint="eastAsia" w:ascii="仿宋" w:hAnsi="仿宋" w:eastAsia="仿宋" w:cs="仿宋"/>
          <w:color w:val="000000" w:themeColor="text1"/>
          <w:spacing w:val="6"/>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5EF33CF1">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本单位对上述声明的真实性负责。如有虚假，将依法承担相应责任。</w:t>
      </w:r>
    </w:p>
    <w:p w14:paraId="36AA35DB">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p>
    <w:p w14:paraId="6296D94C">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p>
    <w:p w14:paraId="358728ED">
      <w:pPr>
        <w:tabs>
          <w:tab w:val="left" w:pos="4860"/>
        </w:tabs>
        <w:spacing w:line="360" w:lineRule="auto"/>
        <w:ind w:right="1560"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单位名称（盖章）：</w:t>
      </w:r>
    </w:p>
    <w:p w14:paraId="3AEFDDAD">
      <w:pPr>
        <w:tabs>
          <w:tab w:val="left" w:pos="4860"/>
        </w:tabs>
        <w:spacing w:line="360" w:lineRule="auto"/>
        <w:ind w:right="1560" w:firstLine="504" w:firstLineChars="200"/>
        <w:jc w:val="center"/>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 xml:space="preserve">                                           日  期：</w:t>
      </w:r>
    </w:p>
    <w:p w14:paraId="6313BF33">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12F4C7C6">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2487C2BE">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4DE282FE">
      <w:pPr>
        <w:widowControl/>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b/>
          <w:color w:val="000000" w:themeColor="text1"/>
          <w:kern w:val="0"/>
          <w:sz w:val="24"/>
          <w:szCs w:val="24"/>
          <w:highlight w:val="none"/>
          <w14:textFill>
            <w14:solidFill>
              <w14:schemeClr w14:val="tx1"/>
            </w14:solidFill>
          </w14:textFill>
        </w:rPr>
        <w:t>附件三、</w:t>
      </w:r>
    </w:p>
    <w:p w14:paraId="5B6D9060">
      <w:pPr>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监狱企业证明文件</w:t>
      </w:r>
    </w:p>
    <w:p w14:paraId="742289F1">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监狱企业参加政府采购活动时，应当提供由省级以上监狱管理局、戒毒管理局（含新疆生产建设兵团）出具的属于监狱企业的证明文件。</w:t>
      </w:r>
    </w:p>
    <w:p w14:paraId="0C916325">
      <w:pPr>
        <w:widowControl/>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34FD001E">
      <w:pPr>
        <w:tabs>
          <w:tab w:val="center" w:pos="4832"/>
          <w:tab w:val="left" w:pos="7140"/>
        </w:tabs>
        <w:jc w:val="center"/>
        <w:outlineLvl w:val="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br w:type="page"/>
      </w:r>
      <w:bookmarkStart w:id="240" w:name="_Toc13473"/>
      <w:bookmarkStart w:id="241" w:name="_Toc109921165"/>
      <w:bookmarkStart w:id="242" w:name="_Toc18236"/>
      <w:bookmarkStart w:id="243" w:name="_Toc109941772"/>
      <w:bookmarkStart w:id="244" w:name="_Toc130252627"/>
      <w:bookmarkStart w:id="245" w:name="_Toc27167"/>
      <w:bookmarkStart w:id="246" w:name="_Toc20402"/>
      <w:bookmarkStart w:id="247" w:name="_Toc110707972"/>
      <w:r>
        <w:rPr>
          <w:rFonts w:hint="eastAsia" w:ascii="仿宋" w:hAnsi="仿宋" w:eastAsia="仿宋" w:cs="仿宋"/>
          <w:b/>
          <w:color w:val="000000" w:themeColor="text1"/>
          <w:sz w:val="24"/>
          <w:szCs w:val="24"/>
          <w:highlight w:val="none"/>
          <w:lang w:val="en-US" w:eastAsia="zh-CN"/>
          <w14:textFill>
            <w14:solidFill>
              <w14:schemeClr w14:val="tx1"/>
            </w14:solidFill>
          </w14:textFill>
        </w:rPr>
        <w:t>九</w:t>
      </w:r>
      <w:r>
        <w:rPr>
          <w:rFonts w:hint="eastAsia" w:ascii="仿宋" w:hAnsi="仿宋" w:eastAsia="仿宋" w:cs="仿宋"/>
          <w:b/>
          <w:color w:val="000000" w:themeColor="text1"/>
          <w:sz w:val="24"/>
          <w:szCs w:val="24"/>
          <w:highlight w:val="none"/>
          <w14:textFill>
            <w14:solidFill>
              <w14:schemeClr w14:val="tx1"/>
            </w14:solidFill>
          </w14:textFill>
        </w:rPr>
        <w:t>、投标人近年类似项目情况表</w:t>
      </w:r>
      <w:bookmarkEnd w:id="240"/>
      <w:bookmarkEnd w:id="241"/>
      <w:bookmarkEnd w:id="242"/>
      <w:bookmarkEnd w:id="243"/>
      <w:bookmarkEnd w:id="244"/>
      <w:bookmarkEnd w:id="245"/>
      <w:bookmarkEnd w:id="246"/>
      <w:bookmarkEnd w:id="247"/>
    </w:p>
    <w:p w14:paraId="2434995A">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p>
    <w:tbl>
      <w:tblPr>
        <w:tblStyle w:val="39"/>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7"/>
        <w:gridCol w:w="1233"/>
        <w:gridCol w:w="963"/>
        <w:gridCol w:w="1922"/>
        <w:gridCol w:w="1212"/>
        <w:gridCol w:w="1232"/>
        <w:gridCol w:w="1232"/>
        <w:gridCol w:w="795"/>
      </w:tblGrid>
      <w:tr w14:paraId="53DDC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015A38BA">
            <w:pP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序号</w:t>
            </w:r>
          </w:p>
        </w:tc>
        <w:tc>
          <w:tcPr>
            <w:tcW w:w="1233" w:type="dxa"/>
            <w:shd w:val="clear" w:color="auto" w:fill="auto"/>
          </w:tcPr>
          <w:p w14:paraId="21753EC2">
            <w:pP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项目名称</w:t>
            </w:r>
          </w:p>
        </w:tc>
        <w:tc>
          <w:tcPr>
            <w:tcW w:w="963" w:type="dxa"/>
            <w:shd w:val="clear" w:color="auto" w:fill="auto"/>
          </w:tcPr>
          <w:p w14:paraId="128BBB8A">
            <w:pP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采购人</w:t>
            </w:r>
          </w:p>
        </w:tc>
        <w:tc>
          <w:tcPr>
            <w:tcW w:w="1922" w:type="dxa"/>
            <w:shd w:val="clear" w:color="auto" w:fill="auto"/>
          </w:tcPr>
          <w:p w14:paraId="0F9D09DB">
            <w:pP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采购人联系方式</w:t>
            </w:r>
          </w:p>
        </w:tc>
        <w:tc>
          <w:tcPr>
            <w:tcW w:w="1212" w:type="dxa"/>
            <w:shd w:val="clear" w:color="auto" w:fill="auto"/>
          </w:tcPr>
          <w:p w14:paraId="7A3797FB">
            <w:pP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合同内容</w:t>
            </w:r>
          </w:p>
        </w:tc>
        <w:tc>
          <w:tcPr>
            <w:tcW w:w="1232" w:type="dxa"/>
            <w:shd w:val="clear" w:color="auto" w:fill="auto"/>
          </w:tcPr>
          <w:p w14:paraId="0F7D9294">
            <w:pP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合同价格</w:t>
            </w:r>
          </w:p>
        </w:tc>
        <w:tc>
          <w:tcPr>
            <w:tcW w:w="1232" w:type="dxa"/>
            <w:shd w:val="clear" w:color="auto" w:fill="auto"/>
          </w:tcPr>
          <w:p w14:paraId="3B61179B">
            <w:pP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签约日期</w:t>
            </w:r>
          </w:p>
        </w:tc>
        <w:tc>
          <w:tcPr>
            <w:tcW w:w="795" w:type="dxa"/>
            <w:shd w:val="clear" w:color="auto" w:fill="auto"/>
          </w:tcPr>
          <w:p w14:paraId="015CCB85">
            <w:pP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备注</w:t>
            </w:r>
          </w:p>
        </w:tc>
      </w:tr>
      <w:tr w14:paraId="615A3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30328BBE">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33" w:type="dxa"/>
            <w:shd w:val="clear" w:color="auto" w:fill="auto"/>
          </w:tcPr>
          <w:p w14:paraId="4B5D9A30">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963" w:type="dxa"/>
            <w:shd w:val="clear" w:color="auto" w:fill="auto"/>
          </w:tcPr>
          <w:p w14:paraId="6A24E65F">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922" w:type="dxa"/>
            <w:shd w:val="clear" w:color="auto" w:fill="auto"/>
          </w:tcPr>
          <w:p w14:paraId="76900A40">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12" w:type="dxa"/>
            <w:shd w:val="clear" w:color="auto" w:fill="auto"/>
          </w:tcPr>
          <w:p w14:paraId="4BB21EF8">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32" w:type="dxa"/>
            <w:shd w:val="clear" w:color="auto" w:fill="auto"/>
          </w:tcPr>
          <w:p w14:paraId="1C06F1D2">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32" w:type="dxa"/>
            <w:shd w:val="clear" w:color="auto" w:fill="auto"/>
          </w:tcPr>
          <w:p w14:paraId="182A4455">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795" w:type="dxa"/>
            <w:shd w:val="clear" w:color="auto" w:fill="auto"/>
          </w:tcPr>
          <w:p w14:paraId="432C2434">
            <w:pPr>
              <w:rPr>
                <w:rFonts w:hint="eastAsia" w:ascii="仿宋" w:hAnsi="仿宋" w:eastAsia="仿宋" w:cs="仿宋"/>
                <w:color w:val="000000" w:themeColor="text1"/>
                <w:kern w:val="0"/>
                <w:sz w:val="24"/>
                <w:szCs w:val="24"/>
                <w:highlight w:val="none"/>
                <w14:textFill>
                  <w14:solidFill>
                    <w14:schemeClr w14:val="tx1"/>
                  </w14:solidFill>
                </w14:textFill>
              </w:rPr>
            </w:pPr>
          </w:p>
        </w:tc>
      </w:tr>
      <w:tr w14:paraId="64F7E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622D50D3">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33" w:type="dxa"/>
            <w:shd w:val="clear" w:color="auto" w:fill="auto"/>
          </w:tcPr>
          <w:p w14:paraId="0F21C7B5">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963" w:type="dxa"/>
            <w:shd w:val="clear" w:color="auto" w:fill="auto"/>
          </w:tcPr>
          <w:p w14:paraId="62D2FF2A">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922" w:type="dxa"/>
            <w:shd w:val="clear" w:color="auto" w:fill="auto"/>
          </w:tcPr>
          <w:p w14:paraId="6812D62B">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12" w:type="dxa"/>
            <w:shd w:val="clear" w:color="auto" w:fill="auto"/>
          </w:tcPr>
          <w:p w14:paraId="6390B1F3">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32" w:type="dxa"/>
            <w:shd w:val="clear" w:color="auto" w:fill="auto"/>
          </w:tcPr>
          <w:p w14:paraId="3A0A9FF4">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32" w:type="dxa"/>
            <w:shd w:val="clear" w:color="auto" w:fill="auto"/>
          </w:tcPr>
          <w:p w14:paraId="39B959D2">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795" w:type="dxa"/>
            <w:shd w:val="clear" w:color="auto" w:fill="auto"/>
          </w:tcPr>
          <w:p w14:paraId="7821AC2C">
            <w:pPr>
              <w:rPr>
                <w:rFonts w:hint="eastAsia" w:ascii="仿宋" w:hAnsi="仿宋" w:eastAsia="仿宋" w:cs="仿宋"/>
                <w:color w:val="000000" w:themeColor="text1"/>
                <w:kern w:val="0"/>
                <w:sz w:val="24"/>
                <w:szCs w:val="24"/>
                <w:highlight w:val="none"/>
                <w14:textFill>
                  <w14:solidFill>
                    <w14:schemeClr w14:val="tx1"/>
                  </w14:solidFill>
                </w14:textFill>
              </w:rPr>
            </w:pPr>
          </w:p>
        </w:tc>
      </w:tr>
      <w:tr w14:paraId="6EC9F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1CBFEE7">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33" w:type="dxa"/>
            <w:shd w:val="clear" w:color="auto" w:fill="auto"/>
          </w:tcPr>
          <w:p w14:paraId="12547F1B">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963" w:type="dxa"/>
            <w:shd w:val="clear" w:color="auto" w:fill="auto"/>
          </w:tcPr>
          <w:p w14:paraId="4249A0ED">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922" w:type="dxa"/>
            <w:shd w:val="clear" w:color="auto" w:fill="auto"/>
          </w:tcPr>
          <w:p w14:paraId="3D1CF853">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12" w:type="dxa"/>
            <w:shd w:val="clear" w:color="auto" w:fill="auto"/>
          </w:tcPr>
          <w:p w14:paraId="12EB9617">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32" w:type="dxa"/>
            <w:shd w:val="clear" w:color="auto" w:fill="auto"/>
          </w:tcPr>
          <w:p w14:paraId="56B4AB62">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32" w:type="dxa"/>
            <w:shd w:val="clear" w:color="auto" w:fill="auto"/>
          </w:tcPr>
          <w:p w14:paraId="69746B5E">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795" w:type="dxa"/>
            <w:shd w:val="clear" w:color="auto" w:fill="auto"/>
          </w:tcPr>
          <w:p w14:paraId="0E670088">
            <w:pPr>
              <w:rPr>
                <w:rFonts w:hint="eastAsia" w:ascii="仿宋" w:hAnsi="仿宋" w:eastAsia="仿宋" w:cs="仿宋"/>
                <w:color w:val="000000" w:themeColor="text1"/>
                <w:kern w:val="0"/>
                <w:sz w:val="24"/>
                <w:szCs w:val="24"/>
                <w:highlight w:val="none"/>
                <w14:textFill>
                  <w14:solidFill>
                    <w14:schemeClr w14:val="tx1"/>
                  </w14:solidFill>
                </w14:textFill>
              </w:rPr>
            </w:pPr>
          </w:p>
        </w:tc>
      </w:tr>
      <w:tr w14:paraId="2FCA0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0CF3AF54">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33" w:type="dxa"/>
            <w:shd w:val="clear" w:color="auto" w:fill="auto"/>
          </w:tcPr>
          <w:p w14:paraId="3C6263C5">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963" w:type="dxa"/>
            <w:shd w:val="clear" w:color="auto" w:fill="auto"/>
          </w:tcPr>
          <w:p w14:paraId="074900BF">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922" w:type="dxa"/>
            <w:shd w:val="clear" w:color="auto" w:fill="auto"/>
          </w:tcPr>
          <w:p w14:paraId="09FA70E0">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12" w:type="dxa"/>
            <w:shd w:val="clear" w:color="auto" w:fill="auto"/>
          </w:tcPr>
          <w:p w14:paraId="63EE8EA9">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32" w:type="dxa"/>
            <w:shd w:val="clear" w:color="auto" w:fill="auto"/>
          </w:tcPr>
          <w:p w14:paraId="141CF655">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32" w:type="dxa"/>
            <w:shd w:val="clear" w:color="auto" w:fill="auto"/>
          </w:tcPr>
          <w:p w14:paraId="2D07A812">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795" w:type="dxa"/>
            <w:shd w:val="clear" w:color="auto" w:fill="auto"/>
          </w:tcPr>
          <w:p w14:paraId="641868E1">
            <w:pPr>
              <w:rPr>
                <w:rFonts w:hint="eastAsia" w:ascii="仿宋" w:hAnsi="仿宋" w:eastAsia="仿宋" w:cs="仿宋"/>
                <w:color w:val="000000" w:themeColor="text1"/>
                <w:kern w:val="0"/>
                <w:sz w:val="24"/>
                <w:szCs w:val="24"/>
                <w:highlight w:val="none"/>
                <w14:textFill>
                  <w14:solidFill>
                    <w14:schemeClr w14:val="tx1"/>
                  </w14:solidFill>
                </w14:textFill>
              </w:rPr>
            </w:pPr>
          </w:p>
        </w:tc>
      </w:tr>
      <w:tr w14:paraId="6B3AD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A0727B8">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33" w:type="dxa"/>
            <w:shd w:val="clear" w:color="auto" w:fill="auto"/>
          </w:tcPr>
          <w:p w14:paraId="1AF3F5A5">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963" w:type="dxa"/>
            <w:shd w:val="clear" w:color="auto" w:fill="auto"/>
          </w:tcPr>
          <w:p w14:paraId="796BD49B">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922" w:type="dxa"/>
            <w:shd w:val="clear" w:color="auto" w:fill="auto"/>
          </w:tcPr>
          <w:p w14:paraId="5093E1C8">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12" w:type="dxa"/>
            <w:shd w:val="clear" w:color="auto" w:fill="auto"/>
          </w:tcPr>
          <w:p w14:paraId="4AF6184B">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32" w:type="dxa"/>
            <w:shd w:val="clear" w:color="auto" w:fill="auto"/>
          </w:tcPr>
          <w:p w14:paraId="768F65B7">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32" w:type="dxa"/>
            <w:shd w:val="clear" w:color="auto" w:fill="auto"/>
          </w:tcPr>
          <w:p w14:paraId="5AB9D7AE">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795" w:type="dxa"/>
            <w:shd w:val="clear" w:color="auto" w:fill="auto"/>
          </w:tcPr>
          <w:p w14:paraId="7C1716AB">
            <w:pPr>
              <w:rPr>
                <w:rFonts w:hint="eastAsia" w:ascii="仿宋" w:hAnsi="仿宋" w:eastAsia="仿宋" w:cs="仿宋"/>
                <w:color w:val="000000" w:themeColor="text1"/>
                <w:kern w:val="0"/>
                <w:sz w:val="24"/>
                <w:szCs w:val="24"/>
                <w:highlight w:val="none"/>
                <w14:textFill>
                  <w14:solidFill>
                    <w14:schemeClr w14:val="tx1"/>
                  </w14:solidFill>
                </w14:textFill>
              </w:rPr>
            </w:pPr>
          </w:p>
        </w:tc>
      </w:tr>
    </w:tbl>
    <w:p w14:paraId="17CBF279">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p>
    <w:bookmarkEnd w:id="121"/>
    <w:p w14:paraId="0061609B">
      <w:pPr>
        <w:keepLines w:val="0"/>
        <w:pageBreakBefore w:val="0"/>
        <w:tabs>
          <w:tab w:val="center" w:pos="4832"/>
          <w:tab w:val="left" w:pos="7140"/>
        </w:tabs>
        <w:kinsoku/>
        <w:overflowPunct/>
        <w:topLinePunct w:val="0"/>
        <w:bidi w:val="0"/>
        <w:spacing w:beforeAutospacing="0" w:afterAutospacing="0" w:line="360" w:lineRule="auto"/>
        <w:jc w:val="center"/>
        <w:textAlignment w:val="auto"/>
        <w:outlineLvl w:val="1"/>
        <w:rPr>
          <w:rFonts w:hint="eastAsia" w:ascii="仿宋" w:hAnsi="仿宋" w:eastAsia="仿宋" w:cs="仿宋"/>
          <w:b/>
          <w:bCs/>
          <w:color w:val="000000" w:themeColor="text1"/>
          <w:sz w:val="24"/>
          <w:szCs w:val="24"/>
          <w:highlight w:val="none"/>
          <w:shd w:val="clear" w:color="auto" w:fill="FFFFFF" w:themeFill="background1"/>
          <w14:textFill>
            <w14:solidFill>
              <w14:schemeClr w14:val="tx1"/>
            </w14:solidFill>
          </w14:textFill>
        </w:rPr>
      </w:pPr>
      <w:bookmarkStart w:id="248" w:name="_Toc533503191"/>
      <w:bookmarkStart w:id="249" w:name="_Toc10475"/>
      <w:bookmarkStart w:id="250" w:name="_Toc507586175"/>
      <w:bookmarkStart w:id="251" w:name="_Toc27045"/>
      <w:bookmarkStart w:id="252" w:name="_Toc18139"/>
      <w:bookmarkStart w:id="253" w:name="_Toc38446480"/>
      <w:bookmarkStart w:id="254" w:name="_Toc17068"/>
      <w:bookmarkStart w:id="255" w:name="_Toc22688"/>
      <w:bookmarkStart w:id="256" w:name="_Toc30206"/>
      <w:bookmarkStart w:id="257" w:name="_Toc60925660"/>
      <w:bookmarkStart w:id="258" w:name="_Toc130252631"/>
      <w:r>
        <w:rPr>
          <w:rFonts w:hint="eastAsia" w:ascii="仿宋" w:hAnsi="仿宋" w:eastAsia="仿宋" w:cs="仿宋"/>
          <w:b/>
          <w:color w:val="000000" w:themeColor="text1"/>
          <w:sz w:val="24"/>
          <w:szCs w:val="24"/>
          <w:highlight w:val="none"/>
          <w:shd w:val="clear" w:color="auto" w:fill="FFFFFF" w:themeFill="background1"/>
          <w:lang w:val="en-US" w:eastAsia="zh-CN"/>
          <w14:textFill>
            <w14:solidFill>
              <w14:schemeClr w14:val="tx1"/>
            </w14:solidFill>
          </w14:textFill>
        </w:rPr>
        <w:t>十、</w:t>
      </w:r>
      <w:r>
        <w:rPr>
          <w:rFonts w:hint="eastAsia" w:ascii="仿宋" w:hAnsi="仿宋" w:eastAsia="仿宋" w:cs="仿宋"/>
          <w:b/>
          <w:bCs/>
          <w:color w:val="000000" w:themeColor="text1"/>
          <w:sz w:val="24"/>
          <w:szCs w:val="24"/>
          <w:highlight w:val="none"/>
          <w:shd w:val="clear" w:color="auto" w:fill="FFFFFF" w:themeFill="background1"/>
          <w14:textFill>
            <w14:solidFill>
              <w14:schemeClr w14:val="tx1"/>
            </w14:solidFill>
          </w14:textFill>
        </w:rPr>
        <w:t>项目负责人简历表</w:t>
      </w:r>
      <w:bookmarkEnd w:id="248"/>
      <w:bookmarkEnd w:id="249"/>
      <w:bookmarkEnd w:id="250"/>
      <w:bookmarkEnd w:id="251"/>
      <w:bookmarkEnd w:id="252"/>
      <w:bookmarkEnd w:id="253"/>
      <w:bookmarkEnd w:id="254"/>
    </w:p>
    <w:p w14:paraId="4A3488E4">
      <w:pPr>
        <w:keepLines w:val="0"/>
        <w:pageBreakBefore w:val="0"/>
        <w:kinsoku/>
        <w:overflowPunct/>
        <w:topLinePunct w:val="0"/>
        <w:bidi w:val="0"/>
        <w:spacing w:beforeAutospacing="0" w:afterAutospacing="0" w:line="360" w:lineRule="auto"/>
        <w:jc w:val="left"/>
        <w:textAlignment w:val="auto"/>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pPr>
    </w:p>
    <w:tbl>
      <w:tblPr>
        <w:tblStyle w:val="39"/>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372"/>
        <w:gridCol w:w="1230"/>
        <w:gridCol w:w="233"/>
        <w:gridCol w:w="1702"/>
        <w:gridCol w:w="1275"/>
        <w:gridCol w:w="1364"/>
      </w:tblGrid>
      <w:tr w14:paraId="0E67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41A0819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姓名</w:t>
            </w:r>
          </w:p>
        </w:tc>
        <w:tc>
          <w:tcPr>
            <w:tcW w:w="2602" w:type="dxa"/>
            <w:gridSpan w:val="2"/>
            <w:vAlign w:val="center"/>
          </w:tcPr>
          <w:p w14:paraId="7BCC869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935" w:type="dxa"/>
            <w:gridSpan w:val="2"/>
            <w:vAlign w:val="center"/>
          </w:tcPr>
          <w:p w14:paraId="7AA24089">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性别</w:t>
            </w:r>
          </w:p>
        </w:tc>
        <w:tc>
          <w:tcPr>
            <w:tcW w:w="2639" w:type="dxa"/>
            <w:gridSpan w:val="2"/>
            <w:vAlign w:val="center"/>
          </w:tcPr>
          <w:p w14:paraId="6C1846D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p>
        </w:tc>
      </w:tr>
      <w:tr w14:paraId="4D39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14E48F8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身份证号码</w:t>
            </w:r>
          </w:p>
        </w:tc>
        <w:tc>
          <w:tcPr>
            <w:tcW w:w="2602" w:type="dxa"/>
            <w:gridSpan w:val="2"/>
            <w:vAlign w:val="center"/>
          </w:tcPr>
          <w:p w14:paraId="5A33FCF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935" w:type="dxa"/>
            <w:gridSpan w:val="2"/>
            <w:vAlign w:val="center"/>
          </w:tcPr>
          <w:p w14:paraId="79996DD5">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学历</w:t>
            </w:r>
          </w:p>
        </w:tc>
        <w:tc>
          <w:tcPr>
            <w:tcW w:w="2639" w:type="dxa"/>
            <w:gridSpan w:val="2"/>
            <w:vAlign w:val="center"/>
          </w:tcPr>
          <w:p w14:paraId="6CB65F9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p>
        </w:tc>
      </w:tr>
      <w:tr w14:paraId="46925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5C49E389">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毕业学校</w:t>
            </w:r>
          </w:p>
        </w:tc>
        <w:tc>
          <w:tcPr>
            <w:tcW w:w="2602" w:type="dxa"/>
            <w:gridSpan w:val="2"/>
            <w:vAlign w:val="center"/>
          </w:tcPr>
          <w:p w14:paraId="347FBF72">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935" w:type="dxa"/>
            <w:gridSpan w:val="2"/>
            <w:vAlign w:val="center"/>
          </w:tcPr>
          <w:p w14:paraId="6F02948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专业</w:t>
            </w:r>
          </w:p>
        </w:tc>
        <w:tc>
          <w:tcPr>
            <w:tcW w:w="2639" w:type="dxa"/>
            <w:gridSpan w:val="2"/>
            <w:vAlign w:val="center"/>
          </w:tcPr>
          <w:p w14:paraId="01FE2670">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p>
        </w:tc>
      </w:tr>
      <w:tr w14:paraId="49AC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02A7027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参加工作时间</w:t>
            </w:r>
          </w:p>
        </w:tc>
        <w:tc>
          <w:tcPr>
            <w:tcW w:w="2602" w:type="dxa"/>
            <w:gridSpan w:val="2"/>
            <w:vAlign w:val="center"/>
          </w:tcPr>
          <w:p w14:paraId="0393D0A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935" w:type="dxa"/>
            <w:gridSpan w:val="2"/>
            <w:vAlign w:val="center"/>
          </w:tcPr>
          <w:p w14:paraId="27042E8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从事</w:t>
            </w:r>
            <w: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t>相关</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职业年限</w:t>
            </w:r>
          </w:p>
        </w:tc>
        <w:tc>
          <w:tcPr>
            <w:tcW w:w="2639" w:type="dxa"/>
            <w:gridSpan w:val="2"/>
            <w:vAlign w:val="center"/>
          </w:tcPr>
          <w:p w14:paraId="1B4EB0B0">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p>
        </w:tc>
      </w:tr>
      <w:tr w14:paraId="3DDF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048EC7A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在公司担任职务</w:t>
            </w:r>
          </w:p>
        </w:tc>
        <w:tc>
          <w:tcPr>
            <w:tcW w:w="2602" w:type="dxa"/>
            <w:gridSpan w:val="2"/>
            <w:vAlign w:val="center"/>
          </w:tcPr>
          <w:p w14:paraId="2A67B623">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935" w:type="dxa"/>
            <w:gridSpan w:val="2"/>
            <w:vAlign w:val="center"/>
          </w:tcPr>
          <w:p w14:paraId="3F57F78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联系方式</w:t>
            </w:r>
          </w:p>
        </w:tc>
        <w:tc>
          <w:tcPr>
            <w:tcW w:w="2639" w:type="dxa"/>
            <w:gridSpan w:val="2"/>
            <w:vAlign w:val="center"/>
          </w:tcPr>
          <w:p w14:paraId="128037F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p>
        </w:tc>
      </w:tr>
      <w:tr w14:paraId="7950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restart"/>
            <w:vAlign w:val="center"/>
          </w:tcPr>
          <w:p w14:paraId="7A439BA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近三年类似业绩</w:t>
            </w:r>
          </w:p>
        </w:tc>
        <w:tc>
          <w:tcPr>
            <w:tcW w:w="1372" w:type="dxa"/>
            <w:vAlign w:val="center"/>
          </w:tcPr>
          <w:p w14:paraId="4836DFC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项目名称</w:t>
            </w:r>
          </w:p>
        </w:tc>
        <w:tc>
          <w:tcPr>
            <w:tcW w:w="1463" w:type="dxa"/>
            <w:gridSpan w:val="2"/>
            <w:vAlign w:val="center"/>
          </w:tcPr>
          <w:p w14:paraId="7D802A40">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采购人</w:t>
            </w:r>
          </w:p>
        </w:tc>
        <w:tc>
          <w:tcPr>
            <w:tcW w:w="1702" w:type="dxa"/>
            <w:vAlign w:val="center"/>
          </w:tcPr>
          <w:p w14:paraId="0CD8B6D2">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合同内容</w:t>
            </w:r>
          </w:p>
        </w:tc>
        <w:tc>
          <w:tcPr>
            <w:tcW w:w="1275" w:type="dxa"/>
            <w:vAlign w:val="center"/>
          </w:tcPr>
          <w:p w14:paraId="1023E16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合同价格</w:t>
            </w:r>
          </w:p>
        </w:tc>
        <w:tc>
          <w:tcPr>
            <w:tcW w:w="1364" w:type="dxa"/>
            <w:vAlign w:val="center"/>
          </w:tcPr>
          <w:p w14:paraId="633B825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签约日期</w:t>
            </w:r>
          </w:p>
        </w:tc>
      </w:tr>
      <w:tr w14:paraId="1601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4132A9C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372" w:type="dxa"/>
            <w:vAlign w:val="center"/>
          </w:tcPr>
          <w:p w14:paraId="1DA4061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463" w:type="dxa"/>
            <w:gridSpan w:val="2"/>
            <w:vAlign w:val="center"/>
          </w:tcPr>
          <w:p w14:paraId="24F68841">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702" w:type="dxa"/>
            <w:vAlign w:val="center"/>
          </w:tcPr>
          <w:p w14:paraId="3133A97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275" w:type="dxa"/>
            <w:vAlign w:val="center"/>
          </w:tcPr>
          <w:p w14:paraId="081F6EE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364" w:type="dxa"/>
            <w:vAlign w:val="center"/>
          </w:tcPr>
          <w:p w14:paraId="12E3FE4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p>
        </w:tc>
      </w:tr>
      <w:tr w14:paraId="6C13A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1D30324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372" w:type="dxa"/>
            <w:vAlign w:val="center"/>
          </w:tcPr>
          <w:p w14:paraId="505B0303">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463" w:type="dxa"/>
            <w:gridSpan w:val="2"/>
            <w:vAlign w:val="center"/>
          </w:tcPr>
          <w:p w14:paraId="0669C40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702" w:type="dxa"/>
            <w:vAlign w:val="center"/>
          </w:tcPr>
          <w:p w14:paraId="66A58A2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275" w:type="dxa"/>
            <w:vAlign w:val="center"/>
          </w:tcPr>
          <w:p w14:paraId="36A345F2">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364" w:type="dxa"/>
            <w:vAlign w:val="center"/>
          </w:tcPr>
          <w:p w14:paraId="30894035">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p>
        </w:tc>
      </w:tr>
      <w:tr w14:paraId="2DAD5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4922F55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372" w:type="dxa"/>
            <w:vAlign w:val="center"/>
          </w:tcPr>
          <w:p w14:paraId="452BC03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463" w:type="dxa"/>
            <w:gridSpan w:val="2"/>
            <w:vAlign w:val="center"/>
          </w:tcPr>
          <w:p w14:paraId="297FF9D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702" w:type="dxa"/>
            <w:vAlign w:val="center"/>
          </w:tcPr>
          <w:p w14:paraId="4EC11B1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275" w:type="dxa"/>
            <w:vAlign w:val="center"/>
          </w:tcPr>
          <w:p w14:paraId="5CFBA99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364" w:type="dxa"/>
            <w:vAlign w:val="center"/>
          </w:tcPr>
          <w:p w14:paraId="020EBA30">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p>
        </w:tc>
      </w:tr>
      <w:tr w14:paraId="5C9C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058C9C2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372" w:type="dxa"/>
            <w:vAlign w:val="center"/>
          </w:tcPr>
          <w:p w14:paraId="6C1B5A1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463" w:type="dxa"/>
            <w:gridSpan w:val="2"/>
            <w:vAlign w:val="center"/>
          </w:tcPr>
          <w:p w14:paraId="107DDE9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702" w:type="dxa"/>
            <w:vAlign w:val="center"/>
          </w:tcPr>
          <w:p w14:paraId="74BF5CF1">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275" w:type="dxa"/>
            <w:vAlign w:val="center"/>
          </w:tcPr>
          <w:p w14:paraId="3037B9A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364" w:type="dxa"/>
            <w:vAlign w:val="center"/>
          </w:tcPr>
          <w:p w14:paraId="649ADFF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p>
        </w:tc>
      </w:tr>
      <w:tr w14:paraId="6B965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0F962ED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372" w:type="dxa"/>
            <w:vAlign w:val="center"/>
          </w:tcPr>
          <w:p w14:paraId="1472645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463" w:type="dxa"/>
            <w:gridSpan w:val="2"/>
            <w:vAlign w:val="center"/>
          </w:tcPr>
          <w:p w14:paraId="549A78F5">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702" w:type="dxa"/>
            <w:vAlign w:val="center"/>
          </w:tcPr>
          <w:p w14:paraId="1A4EA28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275" w:type="dxa"/>
            <w:vAlign w:val="center"/>
          </w:tcPr>
          <w:p w14:paraId="2E6EB0D3">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364" w:type="dxa"/>
            <w:vAlign w:val="center"/>
          </w:tcPr>
          <w:p w14:paraId="27C5087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p>
        </w:tc>
      </w:tr>
    </w:tbl>
    <w:p w14:paraId="23A3C819">
      <w:pPr>
        <w:keepLines w:val="0"/>
        <w:pageBreakBefore w:val="0"/>
        <w:kinsoku/>
        <w:overflowPunct/>
        <w:topLinePunct w:val="0"/>
        <w:bidi w:val="0"/>
        <w:spacing w:beforeAutospacing="0" w:afterAutospacing="0" w:line="360" w:lineRule="auto"/>
        <w:ind w:firstLine="420" w:firstLineChars="200"/>
        <w:textAlignment w:val="auto"/>
        <w:rPr>
          <w:rFonts w:hint="eastAsia" w:ascii="仿宋" w:hAnsi="仿宋" w:eastAsia="仿宋" w:cs="仿宋"/>
          <w:color w:val="000000" w:themeColor="text1"/>
          <w:sz w:val="22"/>
          <w:szCs w:val="22"/>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1"/>
          <w:szCs w:val="21"/>
          <w:highlight w:val="none"/>
          <w:shd w:val="clear" w:color="auto" w:fill="FFFFFF" w:themeFill="background1"/>
          <w14:textFill>
            <w14:solidFill>
              <w14:schemeClr w14:val="tx1"/>
            </w14:solidFill>
          </w14:textFill>
        </w:rPr>
        <w:t>注：附身份证等其它相关材料</w:t>
      </w:r>
      <w:r>
        <w:rPr>
          <w:rFonts w:hint="eastAsia" w:ascii="仿宋" w:hAnsi="仿宋" w:eastAsia="仿宋" w:cs="仿宋"/>
          <w:color w:val="000000" w:themeColor="text1"/>
          <w:sz w:val="21"/>
          <w:szCs w:val="21"/>
          <w:highlight w:val="none"/>
          <w:shd w:val="clear" w:color="auto" w:fill="FFFFFF" w:themeFill="background1"/>
          <w:lang w:val="en-US" w:eastAsia="zh-CN"/>
          <w14:textFill>
            <w14:solidFill>
              <w14:schemeClr w14:val="tx1"/>
            </w14:solidFill>
          </w14:textFill>
        </w:rPr>
        <w:t>扫描件</w:t>
      </w:r>
      <w:r>
        <w:rPr>
          <w:rFonts w:hint="eastAsia" w:ascii="仿宋" w:hAnsi="仿宋" w:eastAsia="仿宋" w:cs="仿宋"/>
          <w:color w:val="000000" w:themeColor="text1"/>
          <w:sz w:val="22"/>
          <w:szCs w:val="22"/>
          <w:highlight w:val="none"/>
          <w:shd w:val="clear" w:color="auto" w:fill="FFFFFF" w:themeFill="background1"/>
          <w14:textFill>
            <w14:solidFill>
              <w14:schemeClr w14:val="tx1"/>
            </w14:solidFill>
          </w14:textFill>
        </w:rPr>
        <w:t>。</w:t>
      </w:r>
    </w:p>
    <w:p w14:paraId="7E2F7B0D">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p>
    <w:p w14:paraId="7CCD4395">
      <w:pPr>
        <w:keepLines w:val="0"/>
        <w:pageBreakBefore w:val="0"/>
        <w:tabs>
          <w:tab w:val="center" w:pos="4832"/>
          <w:tab w:val="left" w:pos="7140"/>
        </w:tabs>
        <w:kinsoku/>
        <w:overflowPunct/>
        <w:topLinePunct w:val="0"/>
        <w:bidi w:val="0"/>
        <w:spacing w:beforeAutospacing="0" w:afterAutospacing="0" w:line="360" w:lineRule="auto"/>
        <w:jc w:val="center"/>
        <w:textAlignment w:val="auto"/>
        <w:outlineLvl w:val="1"/>
        <w:rPr>
          <w:rFonts w:hint="eastAsia" w:ascii="仿宋" w:hAnsi="仿宋" w:eastAsia="仿宋" w:cs="仿宋"/>
          <w:b/>
          <w:bCs/>
          <w:color w:val="000000" w:themeColor="text1"/>
          <w:sz w:val="24"/>
          <w:szCs w:val="24"/>
          <w:highlight w:val="none"/>
          <w:shd w:val="clear" w:color="auto" w:fill="FFFFFF" w:themeFill="background1"/>
          <w14:textFill>
            <w14:solidFill>
              <w14:schemeClr w14:val="tx1"/>
            </w14:solidFill>
          </w14:textFill>
        </w:rPr>
      </w:pPr>
      <w:bookmarkStart w:id="259" w:name="_Toc3377"/>
      <w:bookmarkStart w:id="260" w:name="_Toc29996"/>
      <w:bookmarkStart w:id="261" w:name="_Toc22814"/>
      <w:r>
        <w:rPr>
          <w:rFonts w:hint="eastAsia" w:ascii="仿宋" w:hAnsi="仿宋" w:eastAsia="仿宋" w:cs="仿宋"/>
          <w:b/>
          <w:color w:val="000000" w:themeColor="text1"/>
          <w:sz w:val="24"/>
          <w:szCs w:val="24"/>
          <w:highlight w:val="none"/>
          <w:shd w:val="clear" w:color="auto" w:fill="FFFFFF" w:themeFill="background1"/>
          <w:lang w:val="en-US" w:eastAsia="zh-CN"/>
          <w14:textFill>
            <w14:solidFill>
              <w14:schemeClr w14:val="tx1"/>
            </w14:solidFill>
          </w14:textFill>
        </w:rPr>
        <w:t>十一</w:t>
      </w:r>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、拟派主要</w:t>
      </w:r>
      <w:r>
        <w:rPr>
          <w:rFonts w:hint="eastAsia" w:ascii="仿宋" w:hAnsi="仿宋" w:eastAsia="仿宋" w:cs="仿宋"/>
          <w:b/>
          <w:color w:val="000000" w:themeColor="text1"/>
          <w:sz w:val="24"/>
          <w:szCs w:val="24"/>
          <w:highlight w:val="none"/>
          <w:shd w:val="clear" w:color="auto" w:fill="FFFFFF" w:themeFill="background1"/>
          <w:lang w:val="en-US" w:eastAsia="zh-CN"/>
          <w14:textFill>
            <w14:solidFill>
              <w14:schemeClr w14:val="tx1"/>
            </w14:solidFill>
          </w14:textFill>
        </w:rPr>
        <w:t>服务</w:t>
      </w:r>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人员情况表</w:t>
      </w:r>
      <w:bookmarkEnd w:id="259"/>
      <w:bookmarkEnd w:id="260"/>
      <w:bookmarkEnd w:id="261"/>
    </w:p>
    <w:tbl>
      <w:tblPr>
        <w:tblStyle w:val="39"/>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167"/>
        <w:gridCol w:w="2283"/>
        <w:gridCol w:w="1388"/>
        <w:gridCol w:w="1012"/>
        <w:gridCol w:w="1141"/>
        <w:gridCol w:w="1406"/>
      </w:tblGrid>
      <w:tr w14:paraId="5EBE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69A1E5DE">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序号</w:t>
            </w:r>
          </w:p>
        </w:tc>
        <w:tc>
          <w:tcPr>
            <w:tcW w:w="1167" w:type="dxa"/>
            <w:vAlign w:val="center"/>
          </w:tcPr>
          <w:p w14:paraId="6CD1F124">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姓名</w:t>
            </w:r>
          </w:p>
        </w:tc>
        <w:tc>
          <w:tcPr>
            <w:tcW w:w="2283" w:type="dxa"/>
            <w:vAlign w:val="center"/>
          </w:tcPr>
          <w:p w14:paraId="7D2079C8">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身份证号码</w:t>
            </w:r>
          </w:p>
        </w:tc>
        <w:tc>
          <w:tcPr>
            <w:tcW w:w="1388" w:type="dxa"/>
            <w:vAlign w:val="center"/>
          </w:tcPr>
          <w:p w14:paraId="598B0833">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性别</w:t>
            </w:r>
          </w:p>
        </w:tc>
        <w:tc>
          <w:tcPr>
            <w:tcW w:w="1012" w:type="dxa"/>
            <w:vAlign w:val="center"/>
          </w:tcPr>
          <w:p w14:paraId="42B192F8">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拟担任</w:t>
            </w:r>
            <w:r>
              <w:rPr>
                <w:rFonts w:hint="eastAsia" w:ascii="仿宋" w:hAnsi="仿宋" w:eastAsia="仿宋" w:cs="仿宋"/>
                <w:color w:val="000000" w:themeColor="text1"/>
                <w:szCs w:val="21"/>
                <w:highlight w:val="none"/>
                <w14:textFill>
                  <w14:solidFill>
                    <w14:schemeClr w14:val="tx1"/>
                  </w14:solidFill>
                </w14:textFill>
              </w:rPr>
              <w:t>岗位</w:t>
            </w:r>
          </w:p>
        </w:tc>
        <w:tc>
          <w:tcPr>
            <w:tcW w:w="1141" w:type="dxa"/>
            <w:vAlign w:val="center"/>
          </w:tcPr>
          <w:p w14:paraId="0D82BE98">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从事</w:t>
            </w:r>
            <w:r>
              <w:rPr>
                <w:rFonts w:hint="eastAsia" w:ascii="仿宋" w:hAnsi="仿宋" w:eastAsia="仿宋" w:cs="仿宋"/>
                <w:color w:val="000000" w:themeColor="text1"/>
                <w:szCs w:val="21"/>
                <w:highlight w:val="none"/>
                <w:lang w:val="en-US" w:eastAsia="zh-CN"/>
                <w14:textFill>
                  <w14:solidFill>
                    <w14:schemeClr w14:val="tx1"/>
                  </w14:solidFill>
                </w14:textFill>
              </w:rPr>
              <w:t>相关</w:t>
            </w:r>
            <w:r>
              <w:rPr>
                <w:rFonts w:hint="eastAsia" w:ascii="仿宋" w:hAnsi="仿宋" w:eastAsia="仿宋" w:cs="仿宋"/>
                <w:color w:val="000000" w:themeColor="text1"/>
                <w:szCs w:val="21"/>
                <w:highlight w:val="none"/>
                <w14:textFill>
                  <w14:solidFill>
                    <w14:schemeClr w14:val="tx1"/>
                  </w14:solidFill>
                </w14:textFill>
              </w:rPr>
              <w:t>工作年限</w:t>
            </w:r>
          </w:p>
        </w:tc>
        <w:tc>
          <w:tcPr>
            <w:tcW w:w="1406" w:type="dxa"/>
            <w:vAlign w:val="center"/>
          </w:tcPr>
          <w:p w14:paraId="06310341">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备注</w:t>
            </w:r>
          </w:p>
        </w:tc>
      </w:tr>
      <w:tr w14:paraId="08A2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21FC47F3">
            <w:pPr>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1167" w:type="dxa"/>
            <w:vAlign w:val="center"/>
          </w:tcPr>
          <w:p w14:paraId="1A9363EE">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2283" w:type="dxa"/>
            <w:vAlign w:val="center"/>
          </w:tcPr>
          <w:p w14:paraId="2E0813FA">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388" w:type="dxa"/>
            <w:vAlign w:val="center"/>
          </w:tcPr>
          <w:p w14:paraId="717F08DC">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012" w:type="dxa"/>
            <w:vAlign w:val="center"/>
          </w:tcPr>
          <w:p w14:paraId="1586BB54">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141" w:type="dxa"/>
            <w:vAlign w:val="center"/>
          </w:tcPr>
          <w:p w14:paraId="6B8B0B19">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406" w:type="dxa"/>
            <w:vAlign w:val="center"/>
          </w:tcPr>
          <w:p w14:paraId="666A5151">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r w14:paraId="5666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434D3A61">
            <w:pPr>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1167" w:type="dxa"/>
            <w:vAlign w:val="center"/>
          </w:tcPr>
          <w:p w14:paraId="5CD14563">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2283" w:type="dxa"/>
            <w:vAlign w:val="center"/>
          </w:tcPr>
          <w:p w14:paraId="0DFC64AD">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388" w:type="dxa"/>
            <w:vAlign w:val="center"/>
          </w:tcPr>
          <w:p w14:paraId="5C303723">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012" w:type="dxa"/>
            <w:vAlign w:val="center"/>
          </w:tcPr>
          <w:p w14:paraId="302A2BDD">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141" w:type="dxa"/>
            <w:vAlign w:val="center"/>
          </w:tcPr>
          <w:p w14:paraId="5000F2CE">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406" w:type="dxa"/>
            <w:vAlign w:val="center"/>
          </w:tcPr>
          <w:p w14:paraId="5D7D86EE">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r w14:paraId="175AD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70618085">
            <w:pPr>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1167" w:type="dxa"/>
            <w:vAlign w:val="center"/>
          </w:tcPr>
          <w:p w14:paraId="647B4F9F">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2283" w:type="dxa"/>
            <w:vAlign w:val="center"/>
          </w:tcPr>
          <w:p w14:paraId="440B34AE">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388" w:type="dxa"/>
            <w:vAlign w:val="center"/>
          </w:tcPr>
          <w:p w14:paraId="138EF000">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012" w:type="dxa"/>
            <w:vAlign w:val="center"/>
          </w:tcPr>
          <w:p w14:paraId="033093CC">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141" w:type="dxa"/>
            <w:vAlign w:val="center"/>
          </w:tcPr>
          <w:p w14:paraId="22C3A31B">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406" w:type="dxa"/>
            <w:vAlign w:val="center"/>
          </w:tcPr>
          <w:p w14:paraId="5F2E25B9">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r w14:paraId="237AA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7DB9BC92">
            <w:pPr>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1167" w:type="dxa"/>
            <w:vAlign w:val="center"/>
          </w:tcPr>
          <w:p w14:paraId="4BE6280C">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2283" w:type="dxa"/>
            <w:vAlign w:val="center"/>
          </w:tcPr>
          <w:p w14:paraId="644E17FA">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388" w:type="dxa"/>
            <w:vAlign w:val="center"/>
          </w:tcPr>
          <w:p w14:paraId="401DA057">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012" w:type="dxa"/>
            <w:vAlign w:val="center"/>
          </w:tcPr>
          <w:p w14:paraId="303D6482">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141" w:type="dxa"/>
            <w:vAlign w:val="center"/>
          </w:tcPr>
          <w:p w14:paraId="1A0A110D">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406" w:type="dxa"/>
            <w:vAlign w:val="center"/>
          </w:tcPr>
          <w:p w14:paraId="73FD1C5C">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r w14:paraId="3BEB8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16005C39">
            <w:pPr>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1167" w:type="dxa"/>
            <w:vAlign w:val="center"/>
          </w:tcPr>
          <w:p w14:paraId="5818F110">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2283" w:type="dxa"/>
            <w:vAlign w:val="center"/>
          </w:tcPr>
          <w:p w14:paraId="790039D4">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388" w:type="dxa"/>
            <w:vAlign w:val="center"/>
          </w:tcPr>
          <w:p w14:paraId="37609B87">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012" w:type="dxa"/>
            <w:vAlign w:val="center"/>
          </w:tcPr>
          <w:p w14:paraId="380E5A1F">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141" w:type="dxa"/>
            <w:vAlign w:val="center"/>
          </w:tcPr>
          <w:p w14:paraId="6CF8F442">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406" w:type="dxa"/>
            <w:vAlign w:val="center"/>
          </w:tcPr>
          <w:p w14:paraId="490C03B6">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bl>
    <w:p w14:paraId="488D9AA8">
      <w:pPr>
        <w:keepNext w:val="0"/>
        <w:keepLines w:val="0"/>
        <w:widowControl/>
        <w:suppressLineNumbers w:val="0"/>
        <w:jc w:val="left"/>
        <w:rPr>
          <w:rFonts w:hint="eastAsia" w:ascii="仿宋" w:hAnsi="仿宋" w:eastAsia="仿宋" w:cs="仿宋"/>
          <w:color w:val="000000" w:themeColor="text1"/>
          <w:highlight w:val="none"/>
          <w14:textFill>
            <w14:solidFill>
              <w14:schemeClr w14:val="tx1"/>
            </w14:solidFill>
          </w14:textFill>
        </w:rPr>
      </w:pPr>
    </w:p>
    <w:p w14:paraId="7F40B7AA">
      <w:pPr>
        <w:keepLines w:val="0"/>
        <w:pageBreakBefore w:val="0"/>
        <w:kinsoku/>
        <w:overflowPunct/>
        <w:topLinePunct w:val="0"/>
        <w:bidi w:val="0"/>
        <w:spacing w:beforeAutospacing="0" w:afterAutospacing="0" w:line="360" w:lineRule="auto"/>
        <w:ind w:firstLine="420" w:firstLineChars="200"/>
        <w:textAlignment w:val="auto"/>
        <w:rPr>
          <w:rFonts w:hint="eastAsia" w:ascii="仿宋" w:hAnsi="仿宋" w:eastAsia="仿宋" w:cs="仿宋"/>
          <w:color w:val="000000" w:themeColor="text1"/>
          <w:sz w:val="21"/>
          <w:szCs w:val="21"/>
          <w:highlight w:val="none"/>
          <w:shd w:val="clear" w:color="auto" w:fill="FFFFFF" w:themeFill="background1"/>
          <w:lang w:eastAsia="zh-CN"/>
          <w14:textFill>
            <w14:solidFill>
              <w14:schemeClr w14:val="tx1"/>
            </w14:solidFill>
          </w14:textFill>
        </w:rPr>
      </w:pPr>
      <w:r>
        <w:rPr>
          <w:rFonts w:hint="eastAsia" w:ascii="仿宋" w:hAnsi="仿宋" w:eastAsia="仿宋" w:cs="仿宋"/>
          <w:color w:val="000000" w:themeColor="text1"/>
          <w:sz w:val="21"/>
          <w:szCs w:val="21"/>
          <w:highlight w:val="none"/>
          <w:shd w:val="clear" w:color="auto" w:fill="FFFFFF" w:themeFill="background1"/>
          <w14:textFill>
            <w14:solidFill>
              <w14:schemeClr w14:val="tx1"/>
            </w14:solidFill>
          </w14:textFill>
        </w:rPr>
        <w:t>注：拟派主要</w:t>
      </w:r>
      <w:r>
        <w:rPr>
          <w:rFonts w:hint="eastAsia" w:ascii="仿宋" w:hAnsi="仿宋" w:eastAsia="仿宋" w:cs="仿宋"/>
          <w:color w:val="000000" w:themeColor="text1"/>
          <w:sz w:val="21"/>
          <w:szCs w:val="21"/>
          <w:highlight w:val="none"/>
          <w:shd w:val="clear" w:color="auto" w:fill="FFFFFF" w:themeFill="background1"/>
          <w:lang w:val="en-US" w:eastAsia="zh-CN"/>
          <w14:textFill>
            <w14:solidFill>
              <w14:schemeClr w14:val="tx1"/>
            </w14:solidFill>
          </w14:textFill>
        </w:rPr>
        <w:t>服务</w:t>
      </w:r>
      <w:r>
        <w:rPr>
          <w:rFonts w:hint="eastAsia" w:ascii="仿宋" w:hAnsi="仿宋" w:eastAsia="仿宋" w:cs="仿宋"/>
          <w:color w:val="000000" w:themeColor="text1"/>
          <w:sz w:val="21"/>
          <w:szCs w:val="21"/>
          <w:highlight w:val="none"/>
          <w:shd w:val="clear" w:color="auto" w:fill="FFFFFF" w:themeFill="background1"/>
          <w14:textFill>
            <w14:solidFill>
              <w14:schemeClr w14:val="tx1"/>
            </w14:solidFill>
          </w14:textFill>
        </w:rPr>
        <w:t>人员由</w:t>
      </w:r>
      <w:r>
        <w:rPr>
          <w:rFonts w:hint="eastAsia" w:ascii="仿宋" w:hAnsi="仿宋" w:eastAsia="仿宋" w:cs="仿宋"/>
          <w:color w:val="000000" w:themeColor="text1"/>
          <w:sz w:val="21"/>
          <w:szCs w:val="21"/>
          <w:highlight w:val="none"/>
          <w:shd w:val="clear" w:color="auto" w:fill="FFFFFF" w:themeFill="background1"/>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shd w:val="clear" w:color="auto" w:fill="FFFFFF" w:themeFill="background1"/>
          <w14:textFill>
            <w14:solidFill>
              <w14:schemeClr w14:val="tx1"/>
            </w14:solidFill>
          </w14:textFill>
        </w:rPr>
        <w:t>自行确定，但应能够满足本项目的基本需求；</w:t>
      </w:r>
      <w:r>
        <w:rPr>
          <w:rFonts w:hint="eastAsia" w:ascii="仿宋" w:hAnsi="仿宋" w:eastAsia="仿宋" w:cs="仿宋"/>
          <w:color w:val="000000" w:themeColor="text1"/>
          <w:sz w:val="21"/>
          <w:szCs w:val="21"/>
          <w:highlight w:val="none"/>
          <w:shd w:val="clear" w:color="auto" w:fill="FFFFFF" w:themeFill="background1"/>
          <w:lang w:val="en-US" w:eastAsia="zh-CN"/>
          <w14:textFill>
            <w14:solidFill>
              <w14:schemeClr w14:val="tx1"/>
            </w14:solidFill>
          </w14:textFill>
        </w:rPr>
        <w:t>后</w:t>
      </w:r>
      <w:r>
        <w:rPr>
          <w:rFonts w:hint="eastAsia" w:ascii="仿宋" w:hAnsi="仿宋" w:eastAsia="仿宋" w:cs="仿宋"/>
          <w:color w:val="000000" w:themeColor="text1"/>
          <w:sz w:val="21"/>
          <w:szCs w:val="21"/>
          <w:highlight w:val="none"/>
          <w:shd w:val="clear" w:color="auto" w:fill="FFFFFF" w:themeFill="background1"/>
          <w14:textFill>
            <w14:solidFill>
              <w14:schemeClr w14:val="tx1"/>
            </w14:solidFill>
          </w14:textFill>
        </w:rPr>
        <w:t>附身份证等其他相关材料</w:t>
      </w:r>
      <w:r>
        <w:rPr>
          <w:rFonts w:hint="eastAsia" w:ascii="仿宋" w:hAnsi="仿宋" w:eastAsia="仿宋" w:cs="仿宋"/>
          <w:color w:val="000000" w:themeColor="text1"/>
          <w:sz w:val="21"/>
          <w:szCs w:val="21"/>
          <w:highlight w:val="none"/>
          <w:shd w:val="clear" w:color="auto" w:fill="FFFFFF" w:themeFill="background1"/>
          <w:lang w:eastAsia="zh-CN"/>
          <w14:textFill>
            <w14:solidFill>
              <w14:schemeClr w14:val="tx1"/>
            </w14:solidFill>
          </w14:textFill>
        </w:rPr>
        <w:t>。</w:t>
      </w:r>
    </w:p>
    <w:p w14:paraId="376C3CC7">
      <w:pPr>
        <w:bidi w:val="0"/>
        <w:jc w:val="center"/>
        <w:outlineLvl w:val="1"/>
        <w:rPr>
          <w:rFonts w:hint="eastAsia" w:ascii="仿宋" w:hAnsi="仿宋" w:eastAsia="仿宋" w:cs="仿宋"/>
          <w:b/>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bookmarkStart w:id="262" w:name="_Toc130252629"/>
      <w:bookmarkStart w:id="263" w:name="_Toc109921167"/>
      <w:bookmarkStart w:id="264" w:name="_Toc110707974"/>
      <w:bookmarkStart w:id="265" w:name="_Toc109941774"/>
      <w:bookmarkStart w:id="266" w:name="_Toc10744"/>
      <w:bookmarkStart w:id="267" w:name="_Toc18284"/>
      <w:bookmarkStart w:id="268" w:name="_Toc23008"/>
      <w:r>
        <w:rPr>
          <w:rFonts w:hint="eastAsia" w:ascii="仿宋" w:hAnsi="仿宋" w:eastAsia="仿宋" w:cs="仿宋"/>
          <w:b/>
          <w:color w:val="000000" w:themeColor="text1"/>
          <w:sz w:val="24"/>
          <w:szCs w:val="24"/>
          <w:highlight w:val="none"/>
          <w14:textFill>
            <w14:solidFill>
              <w14:schemeClr w14:val="tx1"/>
            </w14:solidFill>
          </w14:textFill>
        </w:rPr>
        <w:t>十</w:t>
      </w:r>
      <w:r>
        <w:rPr>
          <w:rFonts w:hint="eastAsia" w:ascii="仿宋" w:hAnsi="仿宋" w:eastAsia="仿宋" w:cs="仿宋"/>
          <w:b/>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b/>
          <w:color w:val="000000" w:themeColor="text1"/>
          <w:sz w:val="24"/>
          <w:szCs w:val="24"/>
          <w:highlight w:val="none"/>
          <w14:textFill>
            <w14:solidFill>
              <w14:schemeClr w14:val="tx1"/>
            </w14:solidFill>
          </w14:textFill>
        </w:rPr>
        <w:t>、</w:t>
      </w:r>
      <w:bookmarkEnd w:id="262"/>
      <w:bookmarkEnd w:id="263"/>
      <w:bookmarkEnd w:id="264"/>
      <w:bookmarkEnd w:id="265"/>
      <w:r>
        <w:rPr>
          <w:rFonts w:hint="eastAsia" w:ascii="仿宋" w:hAnsi="仿宋" w:eastAsia="仿宋" w:cs="仿宋"/>
          <w:b/>
          <w:color w:val="000000" w:themeColor="text1"/>
          <w:sz w:val="24"/>
          <w:szCs w:val="24"/>
          <w:highlight w:val="none"/>
          <w:lang w:eastAsia="zh-CN"/>
          <w14:textFill>
            <w14:solidFill>
              <w14:schemeClr w14:val="tx1"/>
            </w14:solidFill>
          </w14:textFill>
        </w:rPr>
        <w:t>服务方案</w:t>
      </w:r>
      <w:bookmarkEnd w:id="266"/>
      <w:bookmarkEnd w:id="267"/>
      <w:bookmarkEnd w:id="268"/>
    </w:p>
    <w:p w14:paraId="3B52B344">
      <w:pPr>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bookmarkStart w:id="269" w:name="_Toc375218897"/>
    </w:p>
    <w:p w14:paraId="4A7081C4">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格式和内容</w:t>
      </w:r>
      <w:r>
        <w:rPr>
          <w:rFonts w:hint="eastAsia" w:ascii="仿宋" w:hAnsi="仿宋" w:eastAsia="仿宋" w:cs="仿宋"/>
          <w:color w:val="000000" w:themeColor="text1"/>
          <w:sz w:val="24"/>
          <w:szCs w:val="24"/>
          <w:highlight w:val="none"/>
          <w14:textFill>
            <w14:solidFill>
              <w14:schemeClr w14:val="tx1"/>
            </w14:solidFill>
          </w14:textFill>
        </w:rPr>
        <w:t>自行拟定</w:t>
      </w:r>
      <w:bookmarkStart w:id="270" w:name="_Toc375218899"/>
    </w:p>
    <w:p w14:paraId="70FAFFF9">
      <w:pP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br w:type="page"/>
      </w:r>
    </w:p>
    <w:p w14:paraId="6E063EDE">
      <w:pPr>
        <w:tabs>
          <w:tab w:val="center" w:pos="4832"/>
          <w:tab w:val="left" w:pos="7140"/>
        </w:tabs>
        <w:jc w:val="center"/>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271" w:name="_Toc16410"/>
      <w:r>
        <w:rPr>
          <w:rFonts w:hint="eastAsia" w:ascii="仿宋" w:hAnsi="仿宋" w:eastAsia="仿宋" w:cs="仿宋"/>
          <w:b/>
          <w:color w:val="000000" w:themeColor="text1"/>
          <w:sz w:val="24"/>
          <w:szCs w:val="24"/>
          <w:highlight w:val="none"/>
          <w14:textFill>
            <w14:solidFill>
              <w14:schemeClr w14:val="tx1"/>
            </w14:solidFill>
          </w14:textFill>
        </w:rPr>
        <w:t>十</w:t>
      </w:r>
      <w:r>
        <w:rPr>
          <w:rFonts w:hint="eastAsia" w:ascii="仿宋" w:hAnsi="仿宋" w:eastAsia="仿宋" w:cs="仿宋"/>
          <w:b/>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b/>
          <w:color w:val="000000" w:themeColor="text1"/>
          <w:sz w:val="24"/>
          <w:szCs w:val="24"/>
          <w:highlight w:val="none"/>
          <w14:textFill>
            <w14:solidFill>
              <w14:schemeClr w14:val="tx1"/>
            </w14:solidFill>
          </w14:textFill>
        </w:rPr>
        <w:t>、保证金缴纳证明材料</w:t>
      </w:r>
      <w:bookmarkEnd w:id="271"/>
    </w:p>
    <w:p w14:paraId="7436713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0C9AF771">
      <w:pPr>
        <w:spacing w:line="360" w:lineRule="auto"/>
        <w:ind w:firstLine="480" w:firstLineChars="20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汇款凭证或支票或汇票或保函或保证金收据等的扫描件。</w:t>
      </w:r>
    </w:p>
    <w:p w14:paraId="34DD5FC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bookmarkEnd w:id="269"/>
    <w:bookmarkEnd w:id="270"/>
    <w:p w14:paraId="42D0484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510D297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387049A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4F5A64C4">
      <w:pPr>
        <w:rPr>
          <w:rFonts w:hint="eastAsia" w:ascii="仿宋" w:hAnsi="仿宋" w:eastAsia="仿宋" w:cs="仿宋"/>
          <w:b/>
          <w:color w:val="000000" w:themeColor="text1"/>
          <w:sz w:val="24"/>
          <w:szCs w:val="24"/>
          <w:highlight w:val="none"/>
          <w14:textFill>
            <w14:solidFill>
              <w14:schemeClr w14:val="tx1"/>
            </w14:solidFill>
          </w14:textFill>
        </w:rPr>
      </w:pPr>
      <w:bookmarkStart w:id="272" w:name="_Toc110707975"/>
      <w:bookmarkStart w:id="273" w:name="_Toc109941775"/>
      <w:bookmarkStart w:id="274" w:name="_Toc14156"/>
      <w:bookmarkStart w:id="275" w:name="_Toc24108"/>
      <w:bookmarkStart w:id="276" w:name="_Toc130252630"/>
      <w:bookmarkStart w:id="277" w:name="_Toc109921168"/>
      <w:r>
        <w:rPr>
          <w:rFonts w:hint="eastAsia" w:ascii="仿宋" w:hAnsi="仿宋" w:eastAsia="仿宋" w:cs="仿宋"/>
          <w:b/>
          <w:color w:val="000000" w:themeColor="text1"/>
          <w:sz w:val="24"/>
          <w:szCs w:val="24"/>
          <w:highlight w:val="none"/>
          <w14:textFill>
            <w14:solidFill>
              <w14:schemeClr w14:val="tx1"/>
            </w14:solidFill>
          </w14:textFill>
        </w:rPr>
        <w:br w:type="page"/>
      </w:r>
    </w:p>
    <w:p w14:paraId="62B4EBB1">
      <w:pPr>
        <w:tabs>
          <w:tab w:val="center" w:pos="4832"/>
          <w:tab w:val="left" w:pos="7140"/>
        </w:tabs>
        <w:jc w:val="center"/>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278" w:name="_Toc7317"/>
      <w:r>
        <w:rPr>
          <w:rFonts w:hint="eastAsia" w:ascii="仿宋" w:hAnsi="仿宋" w:eastAsia="仿宋" w:cs="仿宋"/>
          <w:b/>
          <w:color w:val="000000" w:themeColor="text1"/>
          <w:sz w:val="24"/>
          <w:szCs w:val="24"/>
          <w:highlight w:val="none"/>
          <w14:textFill>
            <w14:solidFill>
              <w14:schemeClr w14:val="tx1"/>
            </w14:solidFill>
          </w14:textFill>
        </w:rPr>
        <w:t>十</w:t>
      </w:r>
      <w:r>
        <w:rPr>
          <w:rFonts w:hint="eastAsia" w:ascii="仿宋" w:hAnsi="仿宋" w:eastAsia="仿宋" w:cs="仿宋"/>
          <w:b/>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b/>
          <w:color w:val="000000" w:themeColor="text1"/>
          <w:sz w:val="24"/>
          <w:szCs w:val="24"/>
          <w:highlight w:val="none"/>
          <w14:textFill>
            <w14:solidFill>
              <w14:schemeClr w14:val="tx1"/>
            </w14:solidFill>
          </w14:textFill>
        </w:rPr>
        <w:t>、其它需要提交的资料</w:t>
      </w:r>
      <w:bookmarkEnd w:id="272"/>
      <w:bookmarkEnd w:id="273"/>
      <w:bookmarkEnd w:id="274"/>
      <w:bookmarkEnd w:id="275"/>
      <w:bookmarkEnd w:id="276"/>
      <w:bookmarkEnd w:id="277"/>
      <w:bookmarkEnd w:id="278"/>
    </w:p>
    <w:p w14:paraId="1EFD0F9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419941D8">
      <w:pPr>
        <w:spacing w:line="360" w:lineRule="auto"/>
        <w:ind w:firstLine="480" w:firstLineChars="200"/>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根据招标文件的要求和投标人认为需要提供的资料。</w:t>
      </w:r>
    </w:p>
    <w:p w14:paraId="2A045D50">
      <w:pP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br w:type="page"/>
      </w:r>
    </w:p>
    <w:p w14:paraId="657CC727">
      <w:pPr>
        <w:spacing w:line="440" w:lineRule="exact"/>
        <w:jc w:val="center"/>
        <w:outlineLvl w:val="0"/>
        <w:rPr>
          <w:rFonts w:hint="eastAsia" w:ascii="仿宋" w:hAnsi="仿宋" w:eastAsia="仿宋" w:cs="仿宋"/>
          <w:b/>
          <w:color w:val="000000" w:themeColor="text1"/>
          <w:sz w:val="24"/>
          <w:szCs w:val="24"/>
          <w:highlight w:val="none"/>
          <w14:textFill>
            <w14:solidFill>
              <w14:schemeClr w14:val="tx1"/>
            </w14:solidFill>
          </w14:textFill>
        </w:rPr>
      </w:pPr>
      <w:bookmarkStart w:id="279" w:name="_Toc13611"/>
      <w:r>
        <w:rPr>
          <w:rFonts w:hint="eastAsia" w:ascii="仿宋" w:hAnsi="仿宋" w:eastAsia="仿宋" w:cs="仿宋"/>
          <w:b/>
          <w:color w:val="000000" w:themeColor="text1"/>
          <w:sz w:val="24"/>
          <w:szCs w:val="24"/>
          <w:highlight w:val="none"/>
          <w14:textFill>
            <w14:solidFill>
              <w14:schemeClr w14:val="tx1"/>
            </w14:solidFill>
          </w14:textFill>
        </w:rPr>
        <w:t>第六章 补充条款</w:t>
      </w:r>
      <w:bookmarkEnd w:id="255"/>
      <w:bookmarkEnd w:id="256"/>
      <w:bookmarkEnd w:id="257"/>
      <w:bookmarkEnd w:id="258"/>
      <w:bookmarkEnd w:id="279"/>
    </w:p>
    <w:p w14:paraId="04D94950">
      <w:pPr>
        <w:rPr>
          <w:rFonts w:hint="eastAsia" w:ascii="仿宋" w:hAnsi="仿宋" w:eastAsia="仿宋" w:cs="仿宋"/>
          <w:color w:val="000000" w:themeColor="text1"/>
          <w:highlight w:val="none"/>
          <w14:textFill>
            <w14:solidFill>
              <w14:schemeClr w14:val="tx1"/>
            </w14:solidFill>
          </w14:textFill>
        </w:rPr>
      </w:pPr>
    </w:p>
    <w:p w14:paraId="0A8387AB">
      <w:pPr>
        <w:rPr>
          <w:rFonts w:hint="eastAsia" w:ascii="仿宋" w:hAnsi="仿宋" w:eastAsia="仿宋" w:cs="仿宋"/>
          <w:color w:val="000000" w:themeColor="text1"/>
          <w:highlight w:val="none"/>
          <w14:textFill>
            <w14:solidFill>
              <w14:schemeClr w14:val="tx1"/>
            </w14:solidFill>
          </w14:textFill>
        </w:rPr>
      </w:pPr>
    </w:p>
    <w:p w14:paraId="54CBE0F5">
      <w:pPr>
        <w:spacing w:line="360" w:lineRule="auto"/>
        <w:outlineLvl w:val="1"/>
        <w:rPr>
          <w:rFonts w:hint="eastAsia" w:ascii="仿宋" w:hAnsi="仿宋" w:eastAsia="仿宋" w:cs="仿宋"/>
          <w:color w:val="000000" w:themeColor="text1"/>
          <w:spacing w:val="6"/>
          <w:sz w:val="24"/>
          <w:szCs w:val="24"/>
          <w:highlight w:val="none"/>
          <w14:textFill>
            <w14:solidFill>
              <w14:schemeClr w14:val="tx1"/>
            </w14:solidFill>
          </w14:textFill>
        </w:rPr>
      </w:pPr>
      <w:bookmarkStart w:id="280" w:name="_Toc323"/>
      <w:r>
        <w:rPr>
          <w:rFonts w:hint="eastAsia" w:ascii="仿宋" w:hAnsi="仿宋" w:eastAsia="仿宋" w:cs="仿宋"/>
          <w:color w:val="000000" w:themeColor="text1"/>
          <w:spacing w:val="6"/>
          <w:sz w:val="24"/>
          <w:szCs w:val="24"/>
          <w:highlight w:val="none"/>
          <w14:textFill>
            <w14:solidFill>
              <w14:schemeClr w14:val="tx1"/>
            </w14:solidFill>
          </w14:textFill>
        </w:rPr>
        <w:t>附件</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pacing w:val="6"/>
          <w:sz w:val="24"/>
          <w:szCs w:val="24"/>
          <w:highlight w:val="none"/>
          <w14:textFill>
            <w14:solidFill>
              <w14:schemeClr w14:val="tx1"/>
            </w14:solidFill>
          </w14:textFill>
        </w:rPr>
        <w:t>、</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中小企业扶持政策</w:t>
      </w:r>
      <w:bookmarkEnd w:id="280"/>
    </w:p>
    <w:p w14:paraId="66E3D5D5">
      <w:pPr>
        <w:spacing w:line="360" w:lineRule="auto"/>
        <w:jc w:val="center"/>
        <w:rPr>
          <w:rFonts w:hint="eastAsia" w:ascii="仿宋" w:hAnsi="仿宋" w:eastAsia="仿宋" w:cs="仿宋"/>
          <w:color w:val="000000" w:themeColor="text1"/>
          <w:spacing w:val="6"/>
          <w:sz w:val="24"/>
          <w:szCs w:val="24"/>
          <w:highlight w:val="none"/>
          <w14:textFill>
            <w14:solidFill>
              <w14:schemeClr w14:val="tx1"/>
            </w14:solidFill>
          </w14:textFill>
        </w:rPr>
      </w:pPr>
    </w:p>
    <w:p w14:paraId="148010D8">
      <w:pPr>
        <w:spacing w:line="360" w:lineRule="auto"/>
        <w:jc w:val="center"/>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关于印发中小企业划型标准规定的通知</w:t>
      </w:r>
    </w:p>
    <w:p w14:paraId="3C705406">
      <w:pPr>
        <w:spacing w:line="360" w:lineRule="auto"/>
        <w:jc w:val="center"/>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工信部联企业〔2011〕300号</w:t>
      </w:r>
    </w:p>
    <w:p w14:paraId="4276095D">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各省、自治区、直辖市人民政府，国务院各部委、各直属机构及有关单位：</w:t>
      </w:r>
    </w:p>
    <w:p w14:paraId="3FDDC890">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8BDD1DF">
      <w:pPr>
        <w:spacing w:line="360" w:lineRule="auto"/>
        <w:ind w:firstLine="504" w:firstLineChars="200"/>
        <w:jc w:val="right"/>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工业和信息化部</w:t>
      </w:r>
    </w:p>
    <w:p w14:paraId="06950004">
      <w:pPr>
        <w:spacing w:line="360" w:lineRule="auto"/>
        <w:ind w:firstLine="504" w:firstLineChars="200"/>
        <w:jc w:val="right"/>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国家统计局</w:t>
      </w:r>
    </w:p>
    <w:p w14:paraId="4455EC35">
      <w:pPr>
        <w:spacing w:line="360" w:lineRule="auto"/>
        <w:ind w:firstLine="504" w:firstLineChars="200"/>
        <w:jc w:val="right"/>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国家发展和改革委员会</w:t>
      </w:r>
    </w:p>
    <w:p w14:paraId="58521107">
      <w:pPr>
        <w:spacing w:line="360" w:lineRule="auto"/>
        <w:ind w:firstLine="504" w:firstLineChars="200"/>
        <w:jc w:val="right"/>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财政部</w:t>
      </w:r>
    </w:p>
    <w:p w14:paraId="179CA05F">
      <w:pPr>
        <w:spacing w:line="360" w:lineRule="auto"/>
        <w:ind w:firstLine="504" w:firstLineChars="200"/>
        <w:jc w:val="right"/>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二○一一年六月十八日</w:t>
      </w:r>
    </w:p>
    <w:p w14:paraId="1DDD656E">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p>
    <w:p w14:paraId="1EB147B8">
      <w:pPr>
        <w:spacing w:line="360" w:lineRule="auto"/>
        <w:jc w:val="center"/>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中小企业划型标准规定</w:t>
      </w:r>
    </w:p>
    <w:p w14:paraId="6C5BC20D">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一、根据《中华人民共和国中小企业促进法》和《国务院关于进一步促进中小企业发展的若干意见》(国发〔2009〕36号)，制定本规定。</w:t>
      </w:r>
    </w:p>
    <w:p w14:paraId="7BB75661">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二、中小企业划分为中型、小型、微型三种类型，具体标准根据企业从业人员、营业收入、资产总额等指标，结合行业特点制定。</w:t>
      </w:r>
    </w:p>
    <w:p w14:paraId="14E0EDC1">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4293C13">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四、各行业划型标准为：</w:t>
      </w:r>
    </w:p>
    <w:p w14:paraId="3906DA6E">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14:paraId="067E32B2">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1274D3A">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E013561">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5BCCF6B">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F18D977">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D4881E5">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A4D28D">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D37CA2D">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3270FC6">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A3AC335">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686EC00">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C0CB228">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707456D">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164B0F3">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A445B74">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14:paraId="03D57AC9">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五、企业类型的划分以统计部门的统计数据为依据。</w:t>
      </w:r>
    </w:p>
    <w:p w14:paraId="66307740">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六、本规定适用于在中华人民共和国境内依法设立的各类所有制和各种组织形式的企业。个体工商户和本规定以外的行业，参照本规定进行划型。</w:t>
      </w:r>
    </w:p>
    <w:p w14:paraId="208720CC">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14:paraId="4DE32343">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八、本规定由工业和信息化部、国家统计局会同有关部门根据《国民经济行业分类》修订情况和企业发展变化情况适时修订。</w:t>
      </w:r>
    </w:p>
    <w:p w14:paraId="35DAB4B7">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九、本规定由工业和信息化部、国家统计局会同有关部门负责解释。</w:t>
      </w:r>
    </w:p>
    <w:p w14:paraId="1604C057">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十、本规定自发布之日起执行，原国家经贸委、原国家计委、财政部和国家统计局2003年颁布的《中小企业标准暂行规定》同时废止。</w:t>
      </w:r>
    </w:p>
    <w:p w14:paraId="05F1EB11">
      <w:pPr>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br w:type="page"/>
      </w:r>
    </w:p>
    <w:p w14:paraId="1DAF3BFD">
      <w:pPr>
        <w:spacing w:line="360" w:lineRule="auto"/>
        <w:outlineLvl w:val="1"/>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pPr>
      <w:bookmarkStart w:id="281" w:name="_Toc15261"/>
      <w:r>
        <w:rPr>
          <w:rFonts w:hint="eastAsia" w:ascii="仿宋" w:hAnsi="仿宋" w:eastAsia="仿宋" w:cs="仿宋"/>
          <w:color w:val="000000" w:themeColor="text1"/>
          <w:spacing w:val="6"/>
          <w:sz w:val="24"/>
          <w:szCs w:val="24"/>
          <w:highlight w:val="none"/>
          <w14:textFill>
            <w14:solidFill>
              <w14:schemeClr w14:val="tx1"/>
            </w14:solidFill>
          </w14:textFill>
        </w:rPr>
        <w:t>附件</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pacing w:val="6"/>
          <w:sz w:val="24"/>
          <w:szCs w:val="24"/>
          <w:highlight w:val="none"/>
          <w14:textFill>
            <w14:solidFill>
              <w14:schemeClr w14:val="tx1"/>
            </w14:solidFill>
          </w14:textFill>
        </w:rPr>
        <w:t>、</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残疾人企业扶持政策</w:t>
      </w:r>
      <w:bookmarkEnd w:id="281"/>
    </w:p>
    <w:p w14:paraId="691F0BAB">
      <w:pPr>
        <w:spacing w:line="360" w:lineRule="auto"/>
        <w:jc w:val="center"/>
        <w:rPr>
          <w:rFonts w:hint="eastAsia" w:ascii="仿宋" w:hAnsi="仿宋" w:eastAsia="仿宋" w:cs="仿宋"/>
          <w:color w:val="000000" w:themeColor="text1"/>
          <w:spacing w:val="6"/>
          <w:sz w:val="24"/>
          <w:szCs w:val="24"/>
          <w:highlight w:val="none"/>
          <w14:textFill>
            <w14:solidFill>
              <w14:schemeClr w14:val="tx1"/>
            </w14:solidFill>
          </w14:textFill>
        </w:rPr>
      </w:pPr>
    </w:p>
    <w:p w14:paraId="462725D7">
      <w:pPr>
        <w:spacing w:line="360" w:lineRule="auto"/>
        <w:jc w:val="center"/>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关于促进残疾人就业政府采购政策的通知</w:t>
      </w:r>
      <w:r>
        <w:rPr>
          <w:rFonts w:hint="eastAsia" w:ascii="仿宋" w:hAnsi="仿宋" w:eastAsia="仿宋" w:cs="仿宋"/>
          <w:color w:val="000000" w:themeColor="text1"/>
          <w:spacing w:val="6"/>
          <w:sz w:val="24"/>
          <w:szCs w:val="24"/>
          <w:highlight w:val="none"/>
          <w14:textFill>
            <w14:solidFill>
              <w14:schemeClr w14:val="tx1"/>
            </w14:solidFill>
          </w14:textFill>
        </w:rPr>
        <w:br w:type="textWrapping"/>
      </w:r>
      <w:r>
        <w:rPr>
          <w:rFonts w:hint="eastAsia" w:ascii="仿宋" w:hAnsi="仿宋" w:eastAsia="仿宋" w:cs="仿宋"/>
          <w:color w:val="000000" w:themeColor="text1"/>
          <w:spacing w:val="6"/>
          <w:sz w:val="24"/>
          <w:szCs w:val="24"/>
          <w:highlight w:val="none"/>
          <w14:textFill>
            <w14:solidFill>
              <w14:schemeClr w14:val="tx1"/>
            </w14:solidFill>
          </w14:textFill>
        </w:rPr>
        <w:t>财库〔2017〕141号</w:t>
      </w:r>
    </w:p>
    <w:p w14:paraId="0ABF691B">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2AD0D7D">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为了发挥政府采购促进残疾人就业的作用，进一步保障残疾人权益，依照《政府采购法》、《残疾人保障法》等法律法规及相关规定，现就促进残疾人就业政府采购政策通知如下：</w:t>
      </w:r>
    </w:p>
    <w:p w14:paraId="6730DFA9">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一、享受政府采购支持政策的残疾人福利性单位应当同时满足以下条件：</w:t>
      </w:r>
    </w:p>
    <w:p w14:paraId="646BCB63">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（一）安置的残疾人占本单位在职职工人数的比例不低于25%（含25%），并且安置的残疾人人数不少于10人（含10人）；</w:t>
      </w:r>
    </w:p>
    <w:p w14:paraId="2CE4ADBC">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（二）依法与安置的每位残疾人签订了一年以上（含一年）的劳动合同或服务协议；</w:t>
      </w:r>
    </w:p>
    <w:p w14:paraId="54B58420">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（三）为安置的每位残疾人按月足额缴纳了基本养老保险、基本医疗保险、失业保险、工伤保险和生育保险等社会保险费；</w:t>
      </w:r>
    </w:p>
    <w:p w14:paraId="0956FB62">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（四）通过银行等金融机构向安置的每位残疾人，按月支付了不低于单位所在区县适用的经省级人民政府批准的月最低工资标准的工资；</w:t>
      </w:r>
    </w:p>
    <w:p w14:paraId="4F878A26">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14:paraId="2D96946F">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9E2E693">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0682F3D2">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中标、成交</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投标人</w:t>
      </w:r>
      <w:r>
        <w:rPr>
          <w:rFonts w:hint="eastAsia" w:ascii="仿宋" w:hAnsi="仿宋" w:eastAsia="仿宋" w:cs="仿宋"/>
          <w:color w:val="000000" w:themeColor="text1"/>
          <w:spacing w:val="6"/>
          <w:sz w:val="24"/>
          <w:szCs w:val="24"/>
          <w:highlight w:val="none"/>
          <w14:textFill>
            <w14:solidFill>
              <w14:schemeClr w14:val="tx1"/>
            </w14:solidFill>
          </w14:textFill>
        </w:rPr>
        <w:t>为残疾人福利性单位的，采购人或者其委托的采购代理机构应当随中标、成交结果同时公告其《残疾人福利性单位声明函》，接受社会监督。</w:t>
      </w:r>
    </w:p>
    <w:p w14:paraId="2F047415">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lang w:eastAsia="zh-CN"/>
          <w14:textFill>
            <w14:solidFill>
              <w14:schemeClr w14:val="tx1"/>
            </w14:solidFill>
          </w14:textFill>
        </w:rPr>
        <w:t>投标人</w:t>
      </w:r>
      <w:r>
        <w:rPr>
          <w:rFonts w:hint="eastAsia" w:ascii="仿宋" w:hAnsi="仿宋" w:eastAsia="仿宋" w:cs="仿宋"/>
          <w:color w:val="000000" w:themeColor="text1"/>
          <w:spacing w:val="6"/>
          <w:sz w:val="24"/>
          <w:szCs w:val="24"/>
          <w:highlight w:val="none"/>
          <w14:textFill>
            <w14:solidFill>
              <w14:schemeClr w14:val="tx1"/>
            </w14:solidFill>
          </w14:textFill>
        </w:rPr>
        <w:t>提供的《残疾人福利性单位声明函》与事实不符的，依照《政府采购法》第七十七条第一款的规定追究法律责任。</w:t>
      </w:r>
    </w:p>
    <w:p w14:paraId="65F96FD1">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528782C">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四、采购人采购公开招标数额标准以上的货物或者服务，因落实促进残疾人就业政策的需要，依法履行有关报批程序后，可采用公开招标以外的采购方式。</w:t>
      </w:r>
    </w:p>
    <w:p w14:paraId="716A064A">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3F11236">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C497C0B">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七、本通知自2017年10月1日起执行。</w:t>
      </w:r>
    </w:p>
    <w:p w14:paraId="34A2E7AB">
      <w:pPr>
        <w:pStyle w:val="10"/>
        <w:rPr>
          <w:rFonts w:hint="eastAsia" w:ascii="仿宋" w:hAnsi="仿宋" w:eastAsia="仿宋" w:cs="仿宋"/>
          <w:color w:val="000000" w:themeColor="text1"/>
          <w:highlight w:val="none"/>
          <w14:textFill>
            <w14:solidFill>
              <w14:schemeClr w14:val="tx1"/>
            </w14:solidFill>
          </w14:textFill>
        </w:rPr>
      </w:pPr>
    </w:p>
    <w:p w14:paraId="58C0FA81">
      <w:pPr>
        <w:spacing w:line="360" w:lineRule="auto"/>
        <w:jc w:val="right"/>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财政部</w:t>
      </w:r>
      <w:r>
        <w:rPr>
          <w:rFonts w:hint="eastAsia" w:ascii="仿宋" w:hAnsi="仿宋" w:eastAsia="仿宋" w:cs="仿宋"/>
          <w:color w:val="000000" w:themeColor="text1"/>
          <w:spacing w:val="6"/>
          <w:sz w:val="24"/>
          <w:szCs w:val="24"/>
          <w:highlight w:val="none"/>
          <w14:textFill>
            <w14:solidFill>
              <w14:schemeClr w14:val="tx1"/>
            </w14:solidFill>
          </w14:textFill>
        </w:rPr>
        <w:br w:type="textWrapping"/>
      </w:r>
      <w:r>
        <w:rPr>
          <w:rFonts w:hint="eastAsia" w:ascii="仿宋" w:hAnsi="仿宋" w:eastAsia="仿宋" w:cs="仿宋"/>
          <w:color w:val="000000" w:themeColor="text1"/>
          <w:spacing w:val="6"/>
          <w:sz w:val="24"/>
          <w:szCs w:val="24"/>
          <w:highlight w:val="none"/>
          <w14:textFill>
            <w14:solidFill>
              <w14:schemeClr w14:val="tx1"/>
            </w14:solidFill>
          </w14:textFill>
        </w:rPr>
        <w:t>民政部</w:t>
      </w:r>
      <w:r>
        <w:rPr>
          <w:rFonts w:hint="eastAsia" w:ascii="仿宋" w:hAnsi="仿宋" w:eastAsia="仿宋" w:cs="仿宋"/>
          <w:color w:val="000000" w:themeColor="text1"/>
          <w:spacing w:val="6"/>
          <w:sz w:val="24"/>
          <w:szCs w:val="24"/>
          <w:highlight w:val="none"/>
          <w14:textFill>
            <w14:solidFill>
              <w14:schemeClr w14:val="tx1"/>
            </w14:solidFill>
          </w14:textFill>
        </w:rPr>
        <w:br w:type="textWrapping"/>
      </w:r>
      <w:r>
        <w:rPr>
          <w:rFonts w:hint="eastAsia" w:ascii="仿宋" w:hAnsi="仿宋" w:eastAsia="仿宋" w:cs="仿宋"/>
          <w:color w:val="000000" w:themeColor="text1"/>
          <w:spacing w:val="6"/>
          <w:sz w:val="24"/>
          <w:szCs w:val="24"/>
          <w:highlight w:val="none"/>
          <w14:textFill>
            <w14:solidFill>
              <w14:schemeClr w14:val="tx1"/>
            </w14:solidFill>
          </w14:textFill>
        </w:rPr>
        <w:t>中国残疾人联合会</w:t>
      </w:r>
      <w:r>
        <w:rPr>
          <w:rFonts w:hint="eastAsia" w:ascii="仿宋" w:hAnsi="仿宋" w:eastAsia="仿宋" w:cs="仿宋"/>
          <w:color w:val="000000" w:themeColor="text1"/>
          <w:spacing w:val="6"/>
          <w:sz w:val="24"/>
          <w:szCs w:val="24"/>
          <w:highlight w:val="none"/>
          <w14:textFill>
            <w14:solidFill>
              <w14:schemeClr w14:val="tx1"/>
            </w14:solidFill>
          </w14:textFill>
        </w:rPr>
        <w:br w:type="textWrapping"/>
      </w:r>
      <w:r>
        <w:rPr>
          <w:rFonts w:hint="eastAsia" w:ascii="仿宋" w:hAnsi="仿宋" w:eastAsia="仿宋" w:cs="仿宋"/>
          <w:color w:val="000000" w:themeColor="text1"/>
          <w:spacing w:val="6"/>
          <w:sz w:val="24"/>
          <w:szCs w:val="24"/>
          <w:highlight w:val="none"/>
          <w14:textFill>
            <w14:solidFill>
              <w14:schemeClr w14:val="tx1"/>
            </w14:solidFill>
          </w14:textFill>
        </w:rPr>
        <w:t>2017年8月22日</w:t>
      </w:r>
    </w:p>
    <w:p w14:paraId="7275990B">
      <w:pPr>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br w:type="page"/>
      </w:r>
    </w:p>
    <w:p w14:paraId="04AC875F">
      <w:pPr>
        <w:spacing w:line="360" w:lineRule="auto"/>
        <w:outlineLvl w:val="1"/>
        <w:rPr>
          <w:rFonts w:hint="eastAsia" w:ascii="仿宋" w:hAnsi="仿宋" w:eastAsia="仿宋" w:cs="仿宋"/>
          <w:color w:val="000000" w:themeColor="text1"/>
          <w:spacing w:val="6"/>
          <w:sz w:val="24"/>
          <w:szCs w:val="24"/>
          <w:highlight w:val="none"/>
          <w14:textFill>
            <w14:solidFill>
              <w14:schemeClr w14:val="tx1"/>
            </w14:solidFill>
          </w14:textFill>
        </w:rPr>
      </w:pPr>
      <w:bookmarkStart w:id="282" w:name="_Toc20507"/>
      <w:r>
        <w:rPr>
          <w:rFonts w:hint="eastAsia" w:ascii="仿宋" w:hAnsi="仿宋" w:eastAsia="仿宋" w:cs="仿宋"/>
          <w:color w:val="000000" w:themeColor="text1"/>
          <w:spacing w:val="6"/>
          <w:sz w:val="24"/>
          <w:szCs w:val="24"/>
          <w:highlight w:val="none"/>
          <w14:textFill>
            <w14:solidFill>
              <w14:schemeClr w14:val="tx1"/>
            </w14:solidFill>
          </w14:textFill>
        </w:rPr>
        <w:t>附件</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pacing w:val="6"/>
          <w:sz w:val="24"/>
          <w:szCs w:val="24"/>
          <w:highlight w:val="none"/>
          <w14:textFill>
            <w14:solidFill>
              <w14:schemeClr w14:val="tx1"/>
            </w14:solidFill>
          </w14:textFill>
        </w:rPr>
        <w:t>、</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监狱扶持政策</w:t>
      </w:r>
      <w:bookmarkEnd w:id="282"/>
    </w:p>
    <w:p w14:paraId="57B5C2F9">
      <w:pPr>
        <w:spacing w:line="360" w:lineRule="auto"/>
        <w:jc w:val="cente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财政部 司法部关于政府采购支持</w:t>
      </w:r>
    </w:p>
    <w:p w14:paraId="16997E4C">
      <w:pPr>
        <w:spacing w:line="360" w:lineRule="auto"/>
        <w:jc w:val="center"/>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监狱企业发展有关问题的通知</w:t>
      </w:r>
    </w:p>
    <w:p w14:paraId="10CFA688">
      <w:pPr>
        <w:spacing w:line="360" w:lineRule="auto"/>
        <w:jc w:val="center"/>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财库〔2014〕68号</w:t>
      </w:r>
    </w:p>
    <w:p w14:paraId="3390E73A">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r>
        <w:rPr>
          <w:rFonts w:hint="eastAsia" w:ascii="仿宋" w:hAnsi="仿宋" w:eastAsia="仿宋" w:cs="仿宋"/>
          <w:color w:val="000000" w:themeColor="text1"/>
          <w:spacing w:val="6"/>
          <w:sz w:val="24"/>
          <w:szCs w:val="24"/>
          <w:highlight w:val="none"/>
          <w14:textFill>
            <w14:solidFill>
              <w14:schemeClr w14:val="tx1"/>
            </w14:solidFill>
          </w14:textFill>
        </w:rPr>
        <w:br w:type="textWrapping"/>
      </w:r>
      <w:r>
        <w:rPr>
          <w:rFonts w:hint="eastAsia" w:ascii="仿宋" w:hAnsi="仿宋" w:eastAsia="仿宋" w:cs="仿宋"/>
          <w:color w:val="000000" w:themeColor="text1"/>
          <w:spacing w:val="6"/>
          <w:sz w:val="24"/>
          <w:szCs w:val="24"/>
          <w:highlight w:val="none"/>
          <w14:textFill>
            <w14:solidFill>
              <w14:schemeClr w14:val="tx1"/>
            </w14:solidFill>
          </w14:textFill>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r>
        <w:rPr>
          <w:rFonts w:hint="eastAsia" w:ascii="仿宋" w:hAnsi="仿宋" w:eastAsia="仿宋" w:cs="仿宋"/>
          <w:color w:val="000000" w:themeColor="text1"/>
          <w:spacing w:val="6"/>
          <w:sz w:val="24"/>
          <w:szCs w:val="24"/>
          <w:highlight w:val="none"/>
          <w14:textFill>
            <w14:solidFill>
              <w14:schemeClr w14:val="tx1"/>
            </w14:solidFill>
          </w14:textFill>
        </w:rPr>
        <w:br w:type="textWrapping"/>
      </w:r>
      <w:r>
        <w:rPr>
          <w:rFonts w:hint="eastAsia" w:ascii="仿宋" w:hAnsi="仿宋" w:eastAsia="仿宋" w:cs="仿宋"/>
          <w:color w:val="000000" w:themeColor="text1"/>
          <w:spacing w:val="6"/>
          <w:sz w:val="24"/>
          <w:szCs w:val="24"/>
          <w:highlight w:val="none"/>
          <w14:textFill>
            <w14:solidFill>
              <w14:schemeClr w14:val="tx1"/>
            </w14:solidFill>
          </w14:textFill>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仿宋" w:hAnsi="仿宋" w:eastAsia="仿宋" w:cs="仿宋"/>
          <w:color w:val="000000" w:themeColor="text1"/>
          <w:spacing w:val="6"/>
          <w:sz w:val="24"/>
          <w:szCs w:val="24"/>
          <w:highlight w:val="none"/>
          <w14:textFill>
            <w14:solidFill>
              <w14:schemeClr w14:val="tx1"/>
            </w14:solidFill>
          </w14:textFill>
        </w:rPr>
        <w:br w:type="textWrapping"/>
      </w:r>
      <w:r>
        <w:rPr>
          <w:rFonts w:hint="eastAsia" w:ascii="仿宋" w:hAnsi="仿宋" w:eastAsia="仿宋" w:cs="仿宋"/>
          <w:color w:val="000000" w:themeColor="text1"/>
          <w:spacing w:val="6"/>
          <w:sz w:val="24"/>
          <w:szCs w:val="24"/>
          <w:highlight w:val="none"/>
          <w14:textFill>
            <w14:solidFill>
              <w14:schemeClr w14:val="tx1"/>
            </w14:solidFill>
          </w14:textFill>
        </w:rPr>
        <w:t>　　二、在政府采购活动中，监狱企业视同小型、微型企业，享受预留份额、评审中价格扣除等政府采购促进中小企业发展的政府采购政策。向监狱企业采购的金额，计入面向中小企业采购的统计数据。</w:t>
      </w:r>
      <w:r>
        <w:rPr>
          <w:rFonts w:hint="eastAsia" w:ascii="仿宋" w:hAnsi="仿宋" w:eastAsia="仿宋" w:cs="仿宋"/>
          <w:color w:val="000000" w:themeColor="text1"/>
          <w:spacing w:val="6"/>
          <w:sz w:val="24"/>
          <w:szCs w:val="24"/>
          <w:highlight w:val="none"/>
          <w14:textFill>
            <w14:solidFill>
              <w14:schemeClr w14:val="tx1"/>
            </w14:solidFill>
          </w14:textFill>
        </w:rPr>
        <w:br w:type="textWrapping"/>
      </w:r>
      <w:r>
        <w:rPr>
          <w:rFonts w:hint="eastAsia" w:ascii="仿宋" w:hAnsi="仿宋" w:eastAsia="仿宋" w:cs="仿宋"/>
          <w:color w:val="000000" w:themeColor="text1"/>
          <w:spacing w:val="6"/>
          <w:sz w:val="24"/>
          <w:szCs w:val="24"/>
          <w:highlight w:val="none"/>
          <w14:textFill>
            <w14:solidFill>
              <w14:schemeClr w14:val="tx1"/>
            </w14:solidFill>
          </w14:textFill>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r>
        <w:rPr>
          <w:rFonts w:hint="eastAsia" w:ascii="仿宋" w:hAnsi="仿宋" w:eastAsia="仿宋" w:cs="仿宋"/>
          <w:color w:val="000000" w:themeColor="text1"/>
          <w:spacing w:val="6"/>
          <w:sz w:val="24"/>
          <w:szCs w:val="24"/>
          <w:highlight w:val="none"/>
          <w14:textFill>
            <w14:solidFill>
              <w14:schemeClr w14:val="tx1"/>
            </w14:solidFill>
          </w14:textFill>
        </w:rPr>
        <w:br w:type="textWrapping"/>
      </w:r>
      <w:r>
        <w:rPr>
          <w:rFonts w:hint="eastAsia" w:ascii="仿宋" w:hAnsi="仿宋" w:eastAsia="仿宋" w:cs="仿宋"/>
          <w:color w:val="000000" w:themeColor="text1"/>
          <w:spacing w:val="6"/>
          <w:sz w:val="24"/>
          <w:szCs w:val="24"/>
          <w:highlight w:val="none"/>
          <w14:textFill>
            <w14:solidFill>
              <w14:schemeClr w14:val="tx1"/>
            </w14:solidFill>
          </w14:textFill>
        </w:rPr>
        <w:t>　　四、各地区可以结合本地区实际，对监狱企业生产的办公用品、家具用具、车辆维修和提供的保养服务、消防设备等，提出预留份额等政府采购支持措施，加大对监狱企业产品的采购力度。</w:t>
      </w:r>
      <w:r>
        <w:rPr>
          <w:rFonts w:hint="eastAsia" w:ascii="仿宋" w:hAnsi="仿宋" w:eastAsia="仿宋" w:cs="仿宋"/>
          <w:color w:val="000000" w:themeColor="text1"/>
          <w:spacing w:val="6"/>
          <w:sz w:val="24"/>
          <w:szCs w:val="24"/>
          <w:highlight w:val="none"/>
          <w14:textFill>
            <w14:solidFill>
              <w14:schemeClr w14:val="tx1"/>
            </w14:solidFill>
          </w14:textFill>
        </w:rPr>
        <w:br w:type="textWrapping"/>
      </w:r>
      <w:r>
        <w:rPr>
          <w:rFonts w:hint="eastAsia" w:ascii="仿宋" w:hAnsi="仿宋" w:eastAsia="仿宋" w:cs="仿宋"/>
          <w:color w:val="000000" w:themeColor="text1"/>
          <w:spacing w:val="6"/>
          <w:sz w:val="24"/>
          <w:szCs w:val="24"/>
          <w:highlight w:val="none"/>
          <w14:textFill>
            <w14:solidFill>
              <w14:schemeClr w14:val="tx1"/>
            </w14:solidFill>
          </w14:textFill>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D1DFF0F">
      <w:pPr>
        <w:pStyle w:val="10"/>
        <w:rPr>
          <w:rFonts w:hint="eastAsia" w:ascii="仿宋" w:hAnsi="仿宋" w:eastAsia="仿宋" w:cs="仿宋"/>
          <w:color w:val="000000" w:themeColor="text1"/>
          <w:highlight w:val="none"/>
          <w14:textFill>
            <w14:solidFill>
              <w14:schemeClr w14:val="tx1"/>
            </w14:solidFill>
          </w14:textFill>
        </w:rPr>
      </w:pPr>
    </w:p>
    <w:p w14:paraId="6E175885">
      <w:pPr>
        <w:spacing w:line="360" w:lineRule="auto"/>
        <w:jc w:val="right"/>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中华人民共和国财政部</w:t>
      </w:r>
      <w:r>
        <w:rPr>
          <w:rFonts w:hint="eastAsia" w:ascii="仿宋" w:hAnsi="仿宋" w:eastAsia="仿宋" w:cs="仿宋"/>
          <w:color w:val="000000" w:themeColor="text1"/>
          <w:spacing w:val="6"/>
          <w:sz w:val="24"/>
          <w:szCs w:val="24"/>
          <w:highlight w:val="none"/>
          <w14:textFill>
            <w14:solidFill>
              <w14:schemeClr w14:val="tx1"/>
            </w14:solidFill>
          </w14:textFill>
        </w:rPr>
        <w:br w:type="textWrapping"/>
      </w:r>
      <w:r>
        <w:rPr>
          <w:rFonts w:hint="eastAsia" w:ascii="仿宋" w:hAnsi="仿宋" w:eastAsia="仿宋" w:cs="仿宋"/>
          <w:color w:val="000000" w:themeColor="text1"/>
          <w:spacing w:val="6"/>
          <w:sz w:val="24"/>
          <w:szCs w:val="24"/>
          <w:highlight w:val="none"/>
          <w14:textFill>
            <w14:solidFill>
              <w14:schemeClr w14:val="tx1"/>
            </w14:solidFill>
          </w14:textFill>
        </w:rPr>
        <w:t>中华人民共和国司法部</w:t>
      </w:r>
      <w:r>
        <w:rPr>
          <w:rFonts w:hint="eastAsia" w:ascii="仿宋" w:hAnsi="仿宋" w:eastAsia="仿宋" w:cs="仿宋"/>
          <w:color w:val="000000" w:themeColor="text1"/>
          <w:spacing w:val="6"/>
          <w:sz w:val="24"/>
          <w:szCs w:val="24"/>
          <w:highlight w:val="none"/>
          <w14:textFill>
            <w14:solidFill>
              <w14:schemeClr w14:val="tx1"/>
            </w14:solidFill>
          </w14:textFill>
        </w:rPr>
        <w:br w:type="textWrapping"/>
      </w:r>
      <w:r>
        <w:rPr>
          <w:rFonts w:hint="eastAsia" w:ascii="仿宋" w:hAnsi="仿宋" w:eastAsia="仿宋" w:cs="仿宋"/>
          <w:color w:val="000000" w:themeColor="text1"/>
          <w:spacing w:val="6"/>
          <w:sz w:val="24"/>
          <w:szCs w:val="24"/>
          <w:highlight w:val="none"/>
          <w14:textFill>
            <w14:solidFill>
              <w14:schemeClr w14:val="tx1"/>
            </w14:solidFill>
          </w14:textFill>
        </w:rPr>
        <w:t>2014年6月10日</w:t>
      </w:r>
    </w:p>
    <w:p w14:paraId="0BFB6FD5">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p>
    <w:p w14:paraId="7381F5E2">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p>
    <w:p w14:paraId="5E90D6B9">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p>
    <w:p w14:paraId="49097FF2">
      <w:pPr>
        <w:widowControl/>
        <w:jc w:val="left"/>
        <w:rPr>
          <w:rFonts w:hint="eastAsia" w:ascii="仿宋" w:hAnsi="仿宋" w:eastAsia="仿宋" w:cs="仿宋"/>
          <w:color w:val="000000" w:themeColor="text1"/>
          <w:highlight w:val="none"/>
          <w14:textFill>
            <w14:solidFill>
              <w14:schemeClr w14:val="tx1"/>
            </w14:solidFill>
          </w14:textFill>
        </w:rPr>
      </w:pPr>
    </w:p>
    <w:p w14:paraId="13B9359E">
      <w:pPr>
        <w:rPr>
          <w:rFonts w:hint="eastAsia" w:ascii="仿宋" w:hAnsi="仿宋" w:eastAsia="仿宋" w:cs="仿宋"/>
          <w:b/>
          <w:color w:val="000000" w:themeColor="text1"/>
          <w:sz w:val="24"/>
          <w:szCs w:val="24"/>
          <w:highlight w:val="none"/>
          <w14:textFill>
            <w14:solidFill>
              <w14:schemeClr w14:val="tx1"/>
            </w14:solidFill>
          </w14:textFill>
        </w:rPr>
      </w:pPr>
    </w:p>
    <w:p w14:paraId="6B492BCF">
      <w:pPr>
        <w:spacing w:line="360" w:lineRule="auto"/>
        <w:ind w:firstLine="480" w:firstLineChars="200"/>
        <w:jc w:val="center"/>
        <w:rPr>
          <w:rFonts w:hint="eastAsia" w:ascii="仿宋" w:hAnsi="仿宋" w:eastAsia="仿宋" w:cs="仿宋"/>
          <w:color w:val="000000" w:themeColor="text1"/>
          <w:sz w:val="24"/>
          <w:szCs w:val="24"/>
          <w:highlight w:val="none"/>
          <w14:textFill>
            <w14:solidFill>
              <w14:schemeClr w14:val="tx1"/>
            </w14:solidFill>
          </w14:textFill>
        </w:rPr>
      </w:pPr>
    </w:p>
    <w:p w14:paraId="2FA9C0C7">
      <w:pPr>
        <w:spacing w:line="360" w:lineRule="auto"/>
        <w:ind w:firstLine="480" w:firstLineChars="200"/>
        <w:jc w:val="center"/>
        <w:rPr>
          <w:rFonts w:hint="eastAsia" w:ascii="仿宋" w:hAnsi="仿宋" w:eastAsia="仿宋" w:cs="仿宋"/>
          <w:color w:val="000000" w:themeColor="text1"/>
          <w:sz w:val="24"/>
          <w:szCs w:val="24"/>
          <w:highlight w:val="none"/>
          <w14:textFill>
            <w14:solidFill>
              <w14:schemeClr w14:val="tx1"/>
            </w14:solidFill>
          </w14:textFill>
        </w:rPr>
      </w:pPr>
    </w:p>
    <w:p w14:paraId="37ED3158">
      <w:pPr>
        <w:spacing w:line="360" w:lineRule="auto"/>
        <w:ind w:firstLine="480" w:firstLineChars="200"/>
        <w:jc w:val="center"/>
        <w:rPr>
          <w:rFonts w:hint="eastAsia" w:ascii="仿宋" w:hAnsi="仿宋" w:eastAsia="仿宋" w:cs="仿宋"/>
          <w:color w:val="000000" w:themeColor="text1"/>
          <w:sz w:val="24"/>
          <w:szCs w:val="24"/>
          <w:highlight w:val="none"/>
          <w14:textFill>
            <w14:solidFill>
              <w14:schemeClr w14:val="tx1"/>
            </w14:solidFill>
          </w14:textFill>
        </w:rPr>
      </w:pPr>
    </w:p>
    <w:p w14:paraId="269E050F">
      <w:pPr>
        <w:spacing w:line="360" w:lineRule="auto"/>
        <w:jc w:val="both"/>
        <w:rPr>
          <w:rFonts w:hint="eastAsia" w:ascii="仿宋" w:hAnsi="仿宋" w:eastAsia="仿宋" w:cs="仿宋"/>
          <w:color w:val="000000" w:themeColor="text1"/>
          <w:sz w:val="24"/>
          <w:szCs w:val="24"/>
          <w:highlight w:val="none"/>
          <w14:textFill>
            <w14:solidFill>
              <w14:schemeClr w14:val="tx1"/>
            </w14:solidFill>
          </w14:textFill>
        </w:rPr>
      </w:pPr>
    </w:p>
    <w:sectPr>
      <w:headerReference r:id="rId7" w:type="default"/>
      <w:footerReference r:id="rId8"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Trebuchet MS">
    <w:panose1 w:val="020B0603020202020204"/>
    <w:charset w:val="00"/>
    <w:family w:val="swiss"/>
    <w:pitch w:val="default"/>
    <w:sig w:usb0="00000687" w:usb1="00000000" w:usb2="00000000" w:usb3="00000000" w:csb0="2000009F" w:csb1="00000000"/>
  </w:font>
  <w:font w:name="方正仿宋简体">
    <w:altName w:val="宋体"/>
    <w:panose1 w:val="02010601030101010101"/>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76B49">
    <w:pPr>
      <w:pStyle w:val="23"/>
      <w:ind w:right="9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9F92E">
    <w:pPr>
      <w:pStyle w:val="23"/>
      <w:framePr w:wrap="around" w:vAnchor="text" w:hAnchor="margin" w:xAlign="center" w:y="1"/>
      <w:rPr>
        <w:rStyle w:val="43"/>
      </w:rPr>
    </w:pPr>
    <w:r>
      <w:rPr>
        <w:rStyle w:val="43"/>
      </w:rPr>
      <w:fldChar w:fldCharType="begin"/>
    </w:r>
    <w:r>
      <w:rPr>
        <w:rStyle w:val="43"/>
      </w:rPr>
      <w:instrText xml:space="preserve">PAGE  </w:instrText>
    </w:r>
    <w:r>
      <w:rPr>
        <w:rStyle w:val="43"/>
      </w:rPr>
      <w:fldChar w:fldCharType="separate"/>
    </w:r>
    <w:r>
      <w:rPr>
        <w:rStyle w:val="43"/>
      </w:rPr>
      <w:t>68</w:t>
    </w:r>
    <w:r>
      <w:rPr>
        <w:rStyle w:val="43"/>
      </w:rPr>
      <w:fldChar w:fldCharType="end"/>
    </w:r>
  </w:p>
  <w:p w14:paraId="52D5D66D">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A14BE">
    <w:pPr>
      <w:pStyle w:val="23"/>
      <w:ind w:right="9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2A1C41">
                          <w:pPr>
                            <w:pStyle w:val="23"/>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2</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42A1C41">
                    <w:pPr>
                      <w:pStyle w:val="23"/>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2</w:t>
                    </w:r>
                    <w:r>
                      <w:rPr>
                        <w:rFonts w:hint="eastAsia" w:ascii="仿宋" w:hAnsi="仿宋" w:eastAsia="仿宋" w:cs="仿宋"/>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43A82">
    <w:pPr>
      <w:pStyle w:val="23"/>
      <w:ind w:right="360"/>
      <w:jc w:val="center"/>
      <w:rPr>
        <w:rFonts w:asciiTheme="minorEastAsia" w:hAnsiTheme="minorEastAsia" w:eastAsiaTheme="minorEastAsia"/>
        <w:sz w:val="24"/>
        <w:szCs w:val="24"/>
      </w:rPr>
    </w:pPr>
    <w:r>
      <w:rPr>
        <w:sz w:val="24"/>
        <w:szCs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2B4C5EC3">
                              <w:pPr>
                                <w:pStyle w:val="23"/>
                                <w:ind w:right="360"/>
                                <w:jc w:val="center"/>
                                <w:rPr>
                                  <w:rFonts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26</w:t>
                              </w:r>
                              <w:r>
                                <w:rPr>
                                  <w:rFonts w:hint="eastAsia" w:ascii="仿宋" w:hAnsi="仿宋" w:eastAsia="仿宋" w:cs="仿宋"/>
                                  <w:sz w:val="24"/>
                                  <w:szCs w:val="24"/>
                                </w:rPr>
                                <w:fldChar w:fldCharType="end"/>
                              </w:r>
                            </w:p>
                          </w:sdtContent>
                        </w:sdt>
                        <w:p w14:paraId="02121EC1">
                          <w:pPr>
                            <w:rPr>
                              <w:rFonts w:asciiTheme="minorEastAsia" w:hAnsiTheme="minorEastAsia"/>
                              <w:sz w:val="30"/>
                              <w:szCs w:val="3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2B4C5EC3">
                        <w:pPr>
                          <w:pStyle w:val="23"/>
                          <w:ind w:right="360"/>
                          <w:jc w:val="center"/>
                          <w:rPr>
                            <w:rFonts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26</w:t>
                        </w:r>
                        <w:r>
                          <w:rPr>
                            <w:rFonts w:hint="eastAsia" w:ascii="仿宋" w:hAnsi="仿宋" w:eastAsia="仿宋" w:cs="仿宋"/>
                            <w:sz w:val="24"/>
                            <w:szCs w:val="24"/>
                          </w:rPr>
                          <w:fldChar w:fldCharType="end"/>
                        </w:r>
                      </w:p>
                    </w:sdtContent>
                  </w:sdt>
                  <w:p w14:paraId="02121EC1">
                    <w:pPr>
                      <w:rPr>
                        <w:rFonts w:asciiTheme="minorEastAsia" w:hAnsiTheme="minorEastAsia"/>
                        <w:sz w:val="30"/>
                        <w:szCs w:val="30"/>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B3B4F">
    <w:pPr>
      <w:pStyle w:val="2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FD766">
    <w:pPr>
      <w:pStyle w:val="2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837D13"/>
    <w:multiLevelType w:val="singleLevel"/>
    <w:tmpl w:val="DE837D13"/>
    <w:lvl w:ilvl="0" w:tentative="0">
      <w:start w:val="1"/>
      <w:numFmt w:val="decimal"/>
      <w:pStyle w:val="18"/>
      <w:lvlText w:val="%1."/>
      <w:lvlJc w:val="left"/>
      <w:pPr>
        <w:tabs>
          <w:tab w:val="left" w:pos="2040"/>
        </w:tabs>
        <w:ind w:left="2040" w:hanging="360"/>
      </w:pPr>
    </w:lvl>
  </w:abstractNum>
  <w:abstractNum w:abstractNumId="1">
    <w:nsid w:val="644E5166"/>
    <w:multiLevelType w:val="multilevel"/>
    <w:tmpl w:val="644E516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5YzQ0MWM2NDg3NzAxNTI3MDYxNmNiYmNjZWVhNTgifQ=="/>
    <w:docVar w:name="KSO_WPS_MARK_KEY" w:val="fdbdf24b-0dbf-482d-9e5c-40b2cee7c8c0"/>
  </w:docVars>
  <w:rsids>
    <w:rsidRoot w:val="00172A27"/>
    <w:rsid w:val="000002B4"/>
    <w:rsid w:val="00001340"/>
    <w:rsid w:val="00002143"/>
    <w:rsid w:val="00004DAA"/>
    <w:rsid w:val="00005C75"/>
    <w:rsid w:val="00006BD9"/>
    <w:rsid w:val="00007BA8"/>
    <w:rsid w:val="000104D6"/>
    <w:rsid w:val="00010CE2"/>
    <w:rsid w:val="00012108"/>
    <w:rsid w:val="00012E01"/>
    <w:rsid w:val="00014F7D"/>
    <w:rsid w:val="000162FE"/>
    <w:rsid w:val="00020411"/>
    <w:rsid w:val="0002386B"/>
    <w:rsid w:val="0002405E"/>
    <w:rsid w:val="000244CA"/>
    <w:rsid w:val="0002545E"/>
    <w:rsid w:val="00027B5D"/>
    <w:rsid w:val="00030171"/>
    <w:rsid w:val="00033566"/>
    <w:rsid w:val="00033852"/>
    <w:rsid w:val="000343A0"/>
    <w:rsid w:val="000347EB"/>
    <w:rsid w:val="00036B12"/>
    <w:rsid w:val="000400E8"/>
    <w:rsid w:val="00044B32"/>
    <w:rsid w:val="00046152"/>
    <w:rsid w:val="0005003E"/>
    <w:rsid w:val="00051397"/>
    <w:rsid w:val="00054F47"/>
    <w:rsid w:val="0005551C"/>
    <w:rsid w:val="000604DE"/>
    <w:rsid w:val="0006199F"/>
    <w:rsid w:val="000641A9"/>
    <w:rsid w:val="000653CD"/>
    <w:rsid w:val="000661C0"/>
    <w:rsid w:val="00070AF5"/>
    <w:rsid w:val="00070BFE"/>
    <w:rsid w:val="0007362D"/>
    <w:rsid w:val="00073846"/>
    <w:rsid w:val="00073D96"/>
    <w:rsid w:val="000762D4"/>
    <w:rsid w:val="00077DB3"/>
    <w:rsid w:val="0008025F"/>
    <w:rsid w:val="00080E16"/>
    <w:rsid w:val="000829F2"/>
    <w:rsid w:val="00082FC4"/>
    <w:rsid w:val="00085ED3"/>
    <w:rsid w:val="000904A3"/>
    <w:rsid w:val="00090F37"/>
    <w:rsid w:val="000916AB"/>
    <w:rsid w:val="000923E8"/>
    <w:rsid w:val="000946D4"/>
    <w:rsid w:val="00094989"/>
    <w:rsid w:val="000A0272"/>
    <w:rsid w:val="000A02F9"/>
    <w:rsid w:val="000A1ECD"/>
    <w:rsid w:val="000A32B9"/>
    <w:rsid w:val="000A3552"/>
    <w:rsid w:val="000A43C4"/>
    <w:rsid w:val="000A452A"/>
    <w:rsid w:val="000B210F"/>
    <w:rsid w:val="000B318F"/>
    <w:rsid w:val="000B331B"/>
    <w:rsid w:val="000B4C6A"/>
    <w:rsid w:val="000B7C76"/>
    <w:rsid w:val="000C364C"/>
    <w:rsid w:val="000C3FDE"/>
    <w:rsid w:val="000D171A"/>
    <w:rsid w:val="000D5DA0"/>
    <w:rsid w:val="000D7CE7"/>
    <w:rsid w:val="000E2D54"/>
    <w:rsid w:val="000E34FC"/>
    <w:rsid w:val="000E40A6"/>
    <w:rsid w:val="000E5B9C"/>
    <w:rsid w:val="000E674D"/>
    <w:rsid w:val="000E7461"/>
    <w:rsid w:val="000F186E"/>
    <w:rsid w:val="000F56EE"/>
    <w:rsid w:val="00100D44"/>
    <w:rsid w:val="00101AA4"/>
    <w:rsid w:val="00102AB6"/>
    <w:rsid w:val="00104F86"/>
    <w:rsid w:val="001063D0"/>
    <w:rsid w:val="0010650C"/>
    <w:rsid w:val="00106BA4"/>
    <w:rsid w:val="00111383"/>
    <w:rsid w:val="001145B2"/>
    <w:rsid w:val="00115901"/>
    <w:rsid w:val="00115A4B"/>
    <w:rsid w:val="0011725D"/>
    <w:rsid w:val="00121DF5"/>
    <w:rsid w:val="001248E7"/>
    <w:rsid w:val="00126044"/>
    <w:rsid w:val="00127B38"/>
    <w:rsid w:val="00127C9A"/>
    <w:rsid w:val="0013312B"/>
    <w:rsid w:val="00134210"/>
    <w:rsid w:val="00134F82"/>
    <w:rsid w:val="001357C8"/>
    <w:rsid w:val="00142BB8"/>
    <w:rsid w:val="00143169"/>
    <w:rsid w:val="0014554F"/>
    <w:rsid w:val="00146E26"/>
    <w:rsid w:val="001543A3"/>
    <w:rsid w:val="001575BE"/>
    <w:rsid w:val="00157673"/>
    <w:rsid w:val="0015794E"/>
    <w:rsid w:val="00160159"/>
    <w:rsid w:val="00160311"/>
    <w:rsid w:val="00161961"/>
    <w:rsid w:val="00162DD4"/>
    <w:rsid w:val="001652C6"/>
    <w:rsid w:val="0016644B"/>
    <w:rsid w:val="00170A17"/>
    <w:rsid w:val="00171110"/>
    <w:rsid w:val="00172AA0"/>
    <w:rsid w:val="001733AF"/>
    <w:rsid w:val="00176FAD"/>
    <w:rsid w:val="0017733A"/>
    <w:rsid w:val="00181200"/>
    <w:rsid w:val="001901CA"/>
    <w:rsid w:val="001930FC"/>
    <w:rsid w:val="00193402"/>
    <w:rsid w:val="00194DD8"/>
    <w:rsid w:val="00197628"/>
    <w:rsid w:val="001A1456"/>
    <w:rsid w:val="001A1D16"/>
    <w:rsid w:val="001A2117"/>
    <w:rsid w:val="001A45DD"/>
    <w:rsid w:val="001A4E5A"/>
    <w:rsid w:val="001A4E90"/>
    <w:rsid w:val="001A71AF"/>
    <w:rsid w:val="001B1372"/>
    <w:rsid w:val="001B1748"/>
    <w:rsid w:val="001B5A4C"/>
    <w:rsid w:val="001C15DD"/>
    <w:rsid w:val="001C4134"/>
    <w:rsid w:val="001D029C"/>
    <w:rsid w:val="001D4B73"/>
    <w:rsid w:val="001D50A5"/>
    <w:rsid w:val="001E288B"/>
    <w:rsid w:val="001E33A7"/>
    <w:rsid w:val="001E3D69"/>
    <w:rsid w:val="001E4755"/>
    <w:rsid w:val="001E6E8F"/>
    <w:rsid w:val="001E794E"/>
    <w:rsid w:val="001F292C"/>
    <w:rsid w:val="001F3A08"/>
    <w:rsid w:val="001F610A"/>
    <w:rsid w:val="001F79E8"/>
    <w:rsid w:val="00200BA8"/>
    <w:rsid w:val="0020240F"/>
    <w:rsid w:val="002055DD"/>
    <w:rsid w:val="00205968"/>
    <w:rsid w:val="00205DF6"/>
    <w:rsid w:val="00205F22"/>
    <w:rsid w:val="0021147C"/>
    <w:rsid w:val="00214257"/>
    <w:rsid w:val="00214392"/>
    <w:rsid w:val="00215BA5"/>
    <w:rsid w:val="00215F58"/>
    <w:rsid w:val="00217E00"/>
    <w:rsid w:val="0022016C"/>
    <w:rsid w:val="0022177D"/>
    <w:rsid w:val="002224AE"/>
    <w:rsid w:val="00223931"/>
    <w:rsid w:val="002246D6"/>
    <w:rsid w:val="00226DEC"/>
    <w:rsid w:val="0022747A"/>
    <w:rsid w:val="0023151C"/>
    <w:rsid w:val="0023323E"/>
    <w:rsid w:val="00236A48"/>
    <w:rsid w:val="00236D43"/>
    <w:rsid w:val="00240D63"/>
    <w:rsid w:val="00243861"/>
    <w:rsid w:val="002472C0"/>
    <w:rsid w:val="002508FA"/>
    <w:rsid w:val="00253DC3"/>
    <w:rsid w:val="002541CE"/>
    <w:rsid w:val="00255C6B"/>
    <w:rsid w:val="0025723D"/>
    <w:rsid w:val="00257F22"/>
    <w:rsid w:val="002604A7"/>
    <w:rsid w:val="00260910"/>
    <w:rsid w:val="00262A6E"/>
    <w:rsid w:val="00263141"/>
    <w:rsid w:val="00266F04"/>
    <w:rsid w:val="00280F38"/>
    <w:rsid w:val="00283C54"/>
    <w:rsid w:val="00285885"/>
    <w:rsid w:val="00285ABC"/>
    <w:rsid w:val="00292BAB"/>
    <w:rsid w:val="002967DA"/>
    <w:rsid w:val="002A6197"/>
    <w:rsid w:val="002A7CE2"/>
    <w:rsid w:val="002B0041"/>
    <w:rsid w:val="002B01D0"/>
    <w:rsid w:val="002B38BE"/>
    <w:rsid w:val="002B3DBF"/>
    <w:rsid w:val="002B77E1"/>
    <w:rsid w:val="002C02A1"/>
    <w:rsid w:val="002C2DD2"/>
    <w:rsid w:val="002C7FCF"/>
    <w:rsid w:val="002D280B"/>
    <w:rsid w:val="002D3439"/>
    <w:rsid w:val="002D635D"/>
    <w:rsid w:val="002D6CF2"/>
    <w:rsid w:val="002E1B79"/>
    <w:rsid w:val="002E25BC"/>
    <w:rsid w:val="002E29B4"/>
    <w:rsid w:val="002E5AAD"/>
    <w:rsid w:val="002F065A"/>
    <w:rsid w:val="002F10F5"/>
    <w:rsid w:val="002F2283"/>
    <w:rsid w:val="002F640F"/>
    <w:rsid w:val="002F7FD1"/>
    <w:rsid w:val="00300C92"/>
    <w:rsid w:val="003017E3"/>
    <w:rsid w:val="00301FBF"/>
    <w:rsid w:val="00304A1A"/>
    <w:rsid w:val="00304D2D"/>
    <w:rsid w:val="00305EE3"/>
    <w:rsid w:val="0030747A"/>
    <w:rsid w:val="003117CE"/>
    <w:rsid w:val="003121AD"/>
    <w:rsid w:val="00313F13"/>
    <w:rsid w:val="00315623"/>
    <w:rsid w:val="00315D4B"/>
    <w:rsid w:val="00315D59"/>
    <w:rsid w:val="003160D4"/>
    <w:rsid w:val="00316DBA"/>
    <w:rsid w:val="00317D34"/>
    <w:rsid w:val="00321036"/>
    <w:rsid w:val="00323AFC"/>
    <w:rsid w:val="0032592F"/>
    <w:rsid w:val="00326152"/>
    <w:rsid w:val="00331C14"/>
    <w:rsid w:val="0033231B"/>
    <w:rsid w:val="00332D2E"/>
    <w:rsid w:val="00333E01"/>
    <w:rsid w:val="00336EED"/>
    <w:rsid w:val="003414CA"/>
    <w:rsid w:val="00344BCD"/>
    <w:rsid w:val="00347E66"/>
    <w:rsid w:val="0035118C"/>
    <w:rsid w:val="003537E4"/>
    <w:rsid w:val="0035581F"/>
    <w:rsid w:val="00357E91"/>
    <w:rsid w:val="00360D30"/>
    <w:rsid w:val="00361C9D"/>
    <w:rsid w:val="00363991"/>
    <w:rsid w:val="00364473"/>
    <w:rsid w:val="003646E5"/>
    <w:rsid w:val="00366F29"/>
    <w:rsid w:val="00367BA8"/>
    <w:rsid w:val="00370F25"/>
    <w:rsid w:val="00373602"/>
    <w:rsid w:val="00373826"/>
    <w:rsid w:val="00373AD1"/>
    <w:rsid w:val="00376E83"/>
    <w:rsid w:val="00384E2D"/>
    <w:rsid w:val="00390A3C"/>
    <w:rsid w:val="00392652"/>
    <w:rsid w:val="003974F8"/>
    <w:rsid w:val="003A28C5"/>
    <w:rsid w:val="003A5B50"/>
    <w:rsid w:val="003A6107"/>
    <w:rsid w:val="003A7427"/>
    <w:rsid w:val="003B0D63"/>
    <w:rsid w:val="003B70AD"/>
    <w:rsid w:val="003B7226"/>
    <w:rsid w:val="003C0B9E"/>
    <w:rsid w:val="003C179F"/>
    <w:rsid w:val="003C21E8"/>
    <w:rsid w:val="003C558B"/>
    <w:rsid w:val="003D01BB"/>
    <w:rsid w:val="003D05EA"/>
    <w:rsid w:val="003D2C56"/>
    <w:rsid w:val="003D3CCB"/>
    <w:rsid w:val="003D4211"/>
    <w:rsid w:val="003E11F4"/>
    <w:rsid w:val="003E4A7A"/>
    <w:rsid w:val="003F08DC"/>
    <w:rsid w:val="003F3849"/>
    <w:rsid w:val="003F4611"/>
    <w:rsid w:val="003F59D7"/>
    <w:rsid w:val="0040310D"/>
    <w:rsid w:val="00404253"/>
    <w:rsid w:val="00407128"/>
    <w:rsid w:val="004079CE"/>
    <w:rsid w:val="004143A5"/>
    <w:rsid w:val="004220B6"/>
    <w:rsid w:val="004238E7"/>
    <w:rsid w:val="00423980"/>
    <w:rsid w:val="0042662D"/>
    <w:rsid w:val="004270EF"/>
    <w:rsid w:val="00427533"/>
    <w:rsid w:val="00432C0C"/>
    <w:rsid w:val="00433EED"/>
    <w:rsid w:val="0044198C"/>
    <w:rsid w:val="0044280B"/>
    <w:rsid w:val="00443888"/>
    <w:rsid w:val="004449F3"/>
    <w:rsid w:val="00444EE1"/>
    <w:rsid w:val="00445872"/>
    <w:rsid w:val="0044799D"/>
    <w:rsid w:val="0045091A"/>
    <w:rsid w:val="00451F71"/>
    <w:rsid w:val="00452BB8"/>
    <w:rsid w:val="00454FA1"/>
    <w:rsid w:val="00455196"/>
    <w:rsid w:val="0045602F"/>
    <w:rsid w:val="00457A37"/>
    <w:rsid w:val="004639BC"/>
    <w:rsid w:val="004640C1"/>
    <w:rsid w:val="00464725"/>
    <w:rsid w:val="00464BAE"/>
    <w:rsid w:val="004660B0"/>
    <w:rsid w:val="004704FB"/>
    <w:rsid w:val="004825A8"/>
    <w:rsid w:val="0048512D"/>
    <w:rsid w:val="004A010F"/>
    <w:rsid w:val="004A01F6"/>
    <w:rsid w:val="004A1F5D"/>
    <w:rsid w:val="004A3D6D"/>
    <w:rsid w:val="004A4981"/>
    <w:rsid w:val="004A5190"/>
    <w:rsid w:val="004A5376"/>
    <w:rsid w:val="004A6517"/>
    <w:rsid w:val="004A67FA"/>
    <w:rsid w:val="004A68AF"/>
    <w:rsid w:val="004A7173"/>
    <w:rsid w:val="004A7D7E"/>
    <w:rsid w:val="004B029E"/>
    <w:rsid w:val="004B0537"/>
    <w:rsid w:val="004B28CA"/>
    <w:rsid w:val="004B7DE5"/>
    <w:rsid w:val="004C1AE6"/>
    <w:rsid w:val="004C6BAD"/>
    <w:rsid w:val="004C7102"/>
    <w:rsid w:val="004C7FD7"/>
    <w:rsid w:val="004D0A4A"/>
    <w:rsid w:val="004D0E18"/>
    <w:rsid w:val="004D11B3"/>
    <w:rsid w:val="004D3C30"/>
    <w:rsid w:val="004D5AE9"/>
    <w:rsid w:val="004D5C23"/>
    <w:rsid w:val="004D5F63"/>
    <w:rsid w:val="004D75D5"/>
    <w:rsid w:val="004E0230"/>
    <w:rsid w:val="004E2088"/>
    <w:rsid w:val="004E419C"/>
    <w:rsid w:val="004E56D8"/>
    <w:rsid w:val="004E5B18"/>
    <w:rsid w:val="004E606C"/>
    <w:rsid w:val="004E6954"/>
    <w:rsid w:val="004E76F6"/>
    <w:rsid w:val="004E7786"/>
    <w:rsid w:val="004F0D23"/>
    <w:rsid w:val="00501303"/>
    <w:rsid w:val="0050507E"/>
    <w:rsid w:val="00507DCF"/>
    <w:rsid w:val="00511664"/>
    <w:rsid w:val="00516A4F"/>
    <w:rsid w:val="005170D9"/>
    <w:rsid w:val="00520FE8"/>
    <w:rsid w:val="0052394D"/>
    <w:rsid w:val="00524F86"/>
    <w:rsid w:val="00526F0E"/>
    <w:rsid w:val="005271EF"/>
    <w:rsid w:val="00527A46"/>
    <w:rsid w:val="005307A5"/>
    <w:rsid w:val="0053132A"/>
    <w:rsid w:val="00536952"/>
    <w:rsid w:val="005369FB"/>
    <w:rsid w:val="00537638"/>
    <w:rsid w:val="0054181E"/>
    <w:rsid w:val="00541AC4"/>
    <w:rsid w:val="00541FB5"/>
    <w:rsid w:val="0055435D"/>
    <w:rsid w:val="005574D7"/>
    <w:rsid w:val="00560740"/>
    <w:rsid w:val="005627EE"/>
    <w:rsid w:val="00562B2E"/>
    <w:rsid w:val="00566F28"/>
    <w:rsid w:val="00570015"/>
    <w:rsid w:val="00573EAA"/>
    <w:rsid w:val="00576ADE"/>
    <w:rsid w:val="00577ECB"/>
    <w:rsid w:val="00577FFA"/>
    <w:rsid w:val="0058012A"/>
    <w:rsid w:val="00582F95"/>
    <w:rsid w:val="00586658"/>
    <w:rsid w:val="00587816"/>
    <w:rsid w:val="005879D1"/>
    <w:rsid w:val="0059145C"/>
    <w:rsid w:val="00594BE3"/>
    <w:rsid w:val="00595F0C"/>
    <w:rsid w:val="00596BA7"/>
    <w:rsid w:val="005A215C"/>
    <w:rsid w:val="005A6326"/>
    <w:rsid w:val="005A69CA"/>
    <w:rsid w:val="005A770A"/>
    <w:rsid w:val="005C53A8"/>
    <w:rsid w:val="005D2A28"/>
    <w:rsid w:val="005D3846"/>
    <w:rsid w:val="005D5695"/>
    <w:rsid w:val="005D651D"/>
    <w:rsid w:val="005D6F56"/>
    <w:rsid w:val="005E22B8"/>
    <w:rsid w:val="005E28BD"/>
    <w:rsid w:val="005E3C18"/>
    <w:rsid w:val="005E617A"/>
    <w:rsid w:val="005F3159"/>
    <w:rsid w:val="005F3701"/>
    <w:rsid w:val="005F437E"/>
    <w:rsid w:val="005F4DCF"/>
    <w:rsid w:val="005F6E37"/>
    <w:rsid w:val="005F7CCF"/>
    <w:rsid w:val="0060072E"/>
    <w:rsid w:val="0060086F"/>
    <w:rsid w:val="00600C9C"/>
    <w:rsid w:val="00601507"/>
    <w:rsid w:val="006053D2"/>
    <w:rsid w:val="00606716"/>
    <w:rsid w:val="00607BD4"/>
    <w:rsid w:val="0061147C"/>
    <w:rsid w:val="00614490"/>
    <w:rsid w:val="0061632F"/>
    <w:rsid w:val="00616341"/>
    <w:rsid w:val="00617E79"/>
    <w:rsid w:val="00617EC4"/>
    <w:rsid w:val="00622699"/>
    <w:rsid w:val="00624E16"/>
    <w:rsid w:val="00630AAC"/>
    <w:rsid w:val="006314C2"/>
    <w:rsid w:val="00631C5A"/>
    <w:rsid w:val="0063569B"/>
    <w:rsid w:val="00635CE4"/>
    <w:rsid w:val="0063610A"/>
    <w:rsid w:val="006367D4"/>
    <w:rsid w:val="00644CAA"/>
    <w:rsid w:val="00646460"/>
    <w:rsid w:val="0064722F"/>
    <w:rsid w:val="00647D58"/>
    <w:rsid w:val="0065082F"/>
    <w:rsid w:val="00650F27"/>
    <w:rsid w:val="00651977"/>
    <w:rsid w:val="006523BD"/>
    <w:rsid w:val="00652A1B"/>
    <w:rsid w:val="00652A7E"/>
    <w:rsid w:val="00652A9D"/>
    <w:rsid w:val="00653B67"/>
    <w:rsid w:val="006546EA"/>
    <w:rsid w:val="00654D73"/>
    <w:rsid w:val="00655FCC"/>
    <w:rsid w:val="006568E0"/>
    <w:rsid w:val="00656C08"/>
    <w:rsid w:val="00657AD0"/>
    <w:rsid w:val="0066102E"/>
    <w:rsid w:val="00661E10"/>
    <w:rsid w:val="00664BD0"/>
    <w:rsid w:val="0066520F"/>
    <w:rsid w:val="006654E8"/>
    <w:rsid w:val="0066681E"/>
    <w:rsid w:val="00666A31"/>
    <w:rsid w:val="00670008"/>
    <w:rsid w:val="00670790"/>
    <w:rsid w:val="0067272A"/>
    <w:rsid w:val="006728AB"/>
    <w:rsid w:val="00672F73"/>
    <w:rsid w:val="00673798"/>
    <w:rsid w:val="00674559"/>
    <w:rsid w:val="00674A1B"/>
    <w:rsid w:val="00674AFD"/>
    <w:rsid w:val="006804BB"/>
    <w:rsid w:val="00691232"/>
    <w:rsid w:val="006932B7"/>
    <w:rsid w:val="00693DA7"/>
    <w:rsid w:val="00694538"/>
    <w:rsid w:val="006956A0"/>
    <w:rsid w:val="0069732C"/>
    <w:rsid w:val="0069791E"/>
    <w:rsid w:val="006A4AC4"/>
    <w:rsid w:val="006A72C3"/>
    <w:rsid w:val="006B014A"/>
    <w:rsid w:val="006B14EC"/>
    <w:rsid w:val="006B2DDD"/>
    <w:rsid w:val="006B6380"/>
    <w:rsid w:val="006B6739"/>
    <w:rsid w:val="006B72B0"/>
    <w:rsid w:val="006B72D9"/>
    <w:rsid w:val="006B7760"/>
    <w:rsid w:val="006C06C9"/>
    <w:rsid w:val="006C08F0"/>
    <w:rsid w:val="006C214D"/>
    <w:rsid w:val="006C2490"/>
    <w:rsid w:val="006C3250"/>
    <w:rsid w:val="006C551A"/>
    <w:rsid w:val="006C5A93"/>
    <w:rsid w:val="006D0395"/>
    <w:rsid w:val="006D21CC"/>
    <w:rsid w:val="006D3A4C"/>
    <w:rsid w:val="006D3A5D"/>
    <w:rsid w:val="006D5419"/>
    <w:rsid w:val="006D541A"/>
    <w:rsid w:val="006D54D4"/>
    <w:rsid w:val="006D72DF"/>
    <w:rsid w:val="006D747B"/>
    <w:rsid w:val="006E249F"/>
    <w:rsid w:val="006E344D"/>
    <w:rsid w:val="006E51CF"/>
    <w:rsid w:val="006F07AB"/>
    <w:rsid w:val="006F2A4E"/>
    <w:rsid w:val="006F3AF3"/>
    <w:rsid w:val="006F5509"/>
    <w:rsid w:val="006F6DB0"/>
    <w:rsid w:val="006F7BBE"/>
    <w:rsid w:val="00700939"/>
    <w:rsid w:val="00703743"/>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2037A"/>
    <w:rsid w:val="00731CAD"/>
    <w:rsid w:val="00737F44"/>
    <w:rsid w:val="00742828"/>
    <w:rsid w:val="00747623"/>
    <w:rsid w:val="007509C9"/>
    <w:rsid w:val="00750F56"/>
    <w:rsid w:val="0075151D"/>
    <w:rsid w:val="0075182A"/>
    <w:rsid w:val="00751E8B"/>
    <w:rsid w:val="00752280"/>
    <w:rsid w:val="00752409"/>
    <w:rsid w:val="007555F9"/>
    <w:rsid w:val="00756E59"/>
    <w:rsid w:val="0075781F"/>
    <w:rsid w:val="0076194F"/>
    <w:rsid w:val="00767044"/>
    <w:rsid w:val="00767A9C"/>
    <w:rsid w:val="007706A6"/>
    <w:rsid w:val="00775831"/>
    <w:rsid w:val="007758AC"/>
    <w:rsid w:val="00775DEA"/>
    <w:rsid w:val="00775E04"/>
    <w:rsid w:val="00777B6C"/>
    <w:rsid w:val="0078033B"/>
    <w:rsid w:val="00781F52"/>
    <w:rsid w:val="00782548"/>
    <w:rsid w:val="00782584"/>
    <w:rsid w:val="00784173"/>
    <w:rsid w:val="00786AAF"/>
    <w:rsid w:val="00787D19"/>
    <w:rsid w:val="007952C7"/>
    <w:rsid w:val="00796034"/>
    <w:rsid w:val="007A0C42"/>
    <w:rsid w:val="007A0E43"/>
    <w:rsid w:val="007A1947"/>
    <w:rsid w:val="007A237A"/>
    <w:rsid w:val="007A3B2A"/>
    <w:rsid w:val="007A5319"/>
    <w:rsid w:val="007A7C18"/>
    <w:rsid w:val="007A7EF1"/>
    <w:rsid w:val="007B2A84"/>
    <w:rsid w:val="007B32E9"/>
    <w:rsid w:val="007C4912"/>
    <w:rsid w:val="007C66D2"/>
    <w:rsid w:val="007C6BBF"/>
    <w:rsid w:val="007D1C55"/>
    <w:rsid w:val="007D3CF4"/>
    <w:rsid w:val="007D3DC6"/>
    <w:rsid w:val="007D4455"/>
    <w:rsid w:val="007D62D7"/>
    <w:rsid w:val="007D68A5"/>
    <w:rsid w:val="007E7421"/>
    <w:rsid w:val="007F314D"/>
    <w:rsid w:val="007F6C55"/>
    <w:rsid w:val="008012FC"/>
    <w:rsid w:val="00801FFA"/>
    <w:rsid w:val="008036B7"/>
    <w:rsid w:val="0080494D"/>
    <w:rsid w:val="00804D5D"/>
    <w:rsid w:val="0080672E"/>
    <w:rsid w:val="008067AA"/>
    <w:rsid w:val="008068DA"/>
    <w:rsid w:val="008068EC"/>
    <w:rsid w:val="00807795"/>
    <w:rsid w:val="00810459"/>
    <w:rsid w:val="00813D04"/>
    <w:rsid w:val="0081414C"/>
    <w:rsid w:val="00816A53"/>
    <w:rsid w:val="00820914"/>
    <w:rsid w:val="00822EBD"/>
    <w:rsid w:val="008247D9"/>
    <w:rsid w:val="00825A15"/>
    <w:rsid w:val="00825F46"/>
    <w:rsid w:val="00825FAA"/>
    <w:rsid w:val="00826C3A"/>
    <w:rsid w:val="00830296"/>
    <w:rsid w:val="0083223D"/>
    <w:rsid w:val="008330C9"/>
    <w:rsid w:val="00835F52"/>
    <w:rsid w:val="00840117"/>
    <w:rsid w:val="00843C8F"/>
    <w:rsid w:val="00844290"/>
    <w:rsid w:val="008443B1"/>
    <w:rsid w:val="00844507"/>
    <w:rsid w:val="0084490D"/>
    <w:rsid w:val="00844A00"/>
    <w:rsid w:val="00846F1B"/>
    <w:rsid w:val="008526D9"/>
    <w:rsid w:val="00854E30"/>
    <w:rsid w:val="00857654"/>
    <w:rsid w:val="00857B62"/>
    <w:rsid w:val="008618C1"/>
    <w:rsid w:val="00862EBB"/>
    <w:rsid w:val="008631DD"/>
    <w:rsid w:val="00864330"/>
    <w:rsid w:val="008703DB"/>
    <w:rsid w:val="00872CE4"/>
    <w:rsid w:val="0087459C"/>
    <w:rsid w:val="00877E4D"/>
    <w:rsid w:val="00880D74"/>
    <w:rsid w:val="00880ED3"/>
    <w:rsid w:val="00881BAB"/>
    <w:rsid w:val="00881D84"/>
    <w:rsid w:val="00883470"/>
    <w:rsid w:val="00884BA6"/>
    <w:rsid w:val="008858F6"/>
    <w:rsid w:val="00890712"/>
    <w:rsid w:val="00890B69"/>
    <w:rsid w:val="00892BDA"/>
    <w:rsid w:val="00892DE8"/>
    <w:rsid w:val="008A072E"/>
    <w:rsid w:val="008A2656"/>
    <w:rsid w:val="008A3A9E"/>
    <w:rsid w:val="008A4942"/>
    <w:rsid w:val="008A4B8E"/>
    <w:rsid w:val="008A53DE"/>
    <w:rsid w:val="008A561B"/>
    <w:rsid w:val="008A6628"/>
    <w:rsid w:val="008B01C2"/>
    <w:rsid w:val="008B029B"/>
    <w:rsid w:val="008B1D39"/>
    <w:rsid w:val="008B5573"/>
    <w:rsid w:val="008C24AF"/>
    <w:rsid w:val="008C5641"/>
    <w:rsid w:val="008C6135"/>
    <w:rsid w:val="008D0766"/>
    <w:rsid w:val="008D4229"/>
    <w:rsid w:val="008D4521"/>
    <w:rsid w:val="008D4BDD"/>
    <w:rsid w:val="008D5387"/>
    <w:rsid w:val="008D60F8"/>
    <w:rsid w:val="008D7591"/>
    <w:rsid w:val="008E1EA1"/>
    <w:rsid w:val="008E337E"/>
    <w:rsid w:val="008E47C0"/>
    <w:rsid w:val="008E6003"/>
    <w:rsid w:val="008E69FC"/>
    <w:rsid w:val="008E6AAE"/>
    <w:rsid w:val="008F1D6D"/>
    <w:rsid w:val="008F52D0"/>
    <w:rsid w:val="008F6AA2"/>
    <w:rsid w:val="00900116"/>
    <w:rsid w:val="009055EE"/>
    <w:rsid w:val="00905A28"/>
    <w:rsid w:val="00910B36"/>
    <w:rsid w:val="00910FF9"/>
    <w:rsid w:val="00913858"/>
    <w:rsid w:val="00914849"/>
    <w:rsid w:val="009166AD"/>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4041C"/>
    <w:rsid w:val="0094055B"/>
    <w:rsid w:val="00941545"/>
    <w:rsid w:val="009435A6"/>
    <w:rsid w:val="009437A7"/>
    <w:rsid w:val="00946789"/>
    <w:rsid w:val="00950163"/>
    <w:rsid w:val="0095139A"/>
    <w:rsid w:val="009546B7"/>
    <w:rsid w:val="00955047"/>
    <w:rsid w:val="00955238"/>
    <w:rsid w:val="009558DD"/>
    <w:rsid w:val="009613A3"/>
    <w:rsid w:val="0096147D"/>
    <w:rsid w:val="0096479F"/>
    <w:rsid w:val="00965552"/>
    <w:rsid w:val="0096574A"/>
    <w:rsid w:val="0096617A"/>
    <w:rsid w:val="00967429"/>
    <w:rsid w:val="009700E7"/>
    <w:rsid w:val="009701A2"/>
    <w:rsid w:val="00971FF1"/>
    <w:rsid w:val="00975775"/>
    <w:rsid w:val="00977D99"/>
    <w:rsid w:val="0098099B"/>
    <w:rsid w:val="00981749"/>
    <w:rsid w:val="00982857"/>
    <w:rsid w:val="00983E4E"/>
    <w:rsid w:val="009840B0"/>
    <w:rsid w:val="00984531"/>
    <w:rsid w:val="0098659E"/>
    <w:rsid w:val="009869E5"/>
    <w:rsid w:val="00991F92"/>
    <w:rsid w:val="0099239A"/>
    <w:rsid w:val="00992683"/>
    <w:rsid w:val="009930AE"/>
    <w:rsid w:val="00994368"/>
    <w:rsid w:val="009960AD"/>
    <w:rsid w:val="00997017"/>
    <w:rsid w:val="009A089A"/>
    <w:rsid w:val="009A1ABA"/>
    <w:rsid w:val="009A456E"/>
    <w:rsid w:val="009A6799"/>
    <w:rsid w:val="009A693B"/>
    <w:rsid w:val="009A7284"/>
    <w:rsid w:val="009A75CB"/>
    <w:rsid w:val="009B074B"/>
    <w:rsid w:val="009B0A3E"/>
    <w:rsid w:val="009B72EB"/>
    <w:rsid w:val="009B792F"/>
    <w:rsid w:val="009C07B4"/>
    <w:rsid w:val="009C4BB9"/>
    <w:rsid w:val="009C4C50"/>
    <w:rsid w:val="009C7D0A"/>
    <w:rsid w:val="009C7FD8"/>
    <w:rsid w:val="009D05BF"/>
    <w:rsid w:val="009D2432"/>
    <w:rsid w:val="009D245C"/>
    <w:rsid w:val="009D6AFE"/>
    <w:rsid w:val="009E0EA7"/>
    <w:rsid w:val="009E36F0"/>
    <w:rsid w:val="009F064F"/>
    <w:rsid w:val="009F11C8"/>
    <w:rsid w:val="009F15EF"/>
    <w:rsid w:val="009F24D1"/>
    <w:rsid w:val="009F3D47"/>
    <w:rsid w:val="009F4563"/>
    <w:rsid w:val="009F487E"/>
    <w:rsid w:val="009F6C40"/>
    <w:rsid w:val="00A01EFD"/>
    <w:rsid w:val="00A039D2"/>
    <w:rsid w:val="00A04B51"/>
    <w:rsid w:val="00A05781"/>
    <w:rsid w:val="00A068B7"/>
    <w:rsid w:val="00A069FC"/>
    <w:rsid w:val="00A0749F"/>
    <w:rsid w:val="00A12D09"/>
    <w:rsid w:val="00A17158"/>
    <w:rsid w:val="00A2031C"/>
    <w:rsid w:val="00A20856"/>
    <w:rsid w:val="00A2140F"/>
    <w:rsid w:val="00A24145"/>
    <w:rsid w:val="00A24411"/>
    <w:rsid w:val="00A252A2"/>
    <w:rsid w:val="00A25ADF"/>
    <w:rsid w:val="00A319A4"/>
    <w:rsid w:val="00A320D2"/>
    <w:rsid w:val="00A32455"/>
    <w:rsid w:val="00A32D75"/>
    <w:rsid w:val="00A33EC9"/>
    <w:rsid w:val="00A36113"/>
    <w:rsid w:val="00A377F1"/>
    <w:rsid w:val="00A40087"/>
    <w:rsid w:val="00A41CA5"/>
    <w:rsid w:val="00A426D2"/>
    <w:rsid w:val="00A46BC3"/>
    <w:rsid w:val="00A51A47"/>
    <w:rsid w:val="00A5296E"/>
    <w:rsid w:val="00A5323E"/>
    <w:rsid w:val="00A5538A"/>
    <w:rsid w:val="00A5692F"/>
    <w:rsid w:val="00A57C84"/>
    <w:rsid w:val="00A6358C"/>
    <w:rsid w:val="00A63DE3"/>
    <w:rsid w:val="00A648D2"/>
    <w:rsid w:val="00A648FB"/>
    <w:rsid w:val="00A665B8"/>
    <w:rsid w:val="00A67621"/>
    <w:rsid w:val="00A709D1"/>
    <w:rsid w:val="00A70DE0"/>
    <w:rsid w:val="00A81B56"/>
    <w:rsid w:val="00A82E49"/>
    <w:rsid w:val="00A83F70"/>
    <w:rsid w:val="00A841E3"/>
    <w:rsid w:val="00A86E53"/>
    <w:rsid w:val="00A920ED"/>
    <w:rsid w:val="00A92497"/>
    <w:rsid w:val="00A94B95"/>
    <w:rsid w:val="00A95164"/>
    <w:rsid w:val="00A96056"/>
    <w:rsid w:val="00A969C3"/>
    <w:rsid w:val="00A97447"/>
    <w:rsid w:val="00AA0C7F"/>
    <w:rsid w:val="00AA1E25"/>
    <w:rsid w:val="00AA65EF"/>
    <w:rsid w:val="00AA6837"/>
    <w:rsid w:val="00AB07FC"/>
    <w:rsid w:val="00AB0BCB"/>
    <w:rsid w:val="00AB1B7A"/>
    <w:rsid w:val="00AB234F"/>
    <w:rsid w:val="00AB490B"/>
    <w:rsid w:val="00AB50A1"/>
    <w:rsid w:val="00AB63EC"/>
    <w:rsid w:val="00AB706C"/>
    <w:rsid w:val="00AB7635"/>
    <w:rsid w:val="00AB7D40"/>
    <w:rsid w:val="00AC0195"/>
    <w:rsid w:val="00AC169A"/>
    <w:rsid w:val="00AC17BD"/>
    <w:rsid w:val="00AC627A"/>
    <w:rsid w:val="00AC7076"/>
    <w:rsid w:val="00AD0219"/>
    <w:rsid w:val="00AD0858"/>
    <w:rsid w:val="00AD159E"/>
    <w:rsid w:val="00AD25AF"/>
    <w:rsid w:val="00AD3FA3"/>
    <w:rsid w:val="00AD5B00"/>
    <w:rsid w:val="00AE0905"/>
    <w:rsid w:val="00AE2F7F"/>
    <w:rsid w:val="00AF35AE"/>
    <w:rsid w:val="00AF394B"/>
    <w:rsid w:val="00AF6C87"/>
    <w:rsid w:val="00AF7196"/>
    <w:rsid w:val="00B001EA"/>
    <w:rsid w:val="00B006E0"/>
    <w:rsid w:val="00B0365E"/>
    <w:rsid w:val="00B03D5C"/>
    <w:rsid w:val="00B11E1C"/>
    <w:rsid w:val="00B12CAE"/>
    <w:rsid w:val="00B12DA9"/>
    <w:rsid w:val="00B1771E"/>
    <w:rsid w:val="00B20979"/>
    <w:rsid w:val="00B20B9D"/>
    <w:rsid w:val="00B20CA6"/>
    <w:rsid w:val="00B2179E"/>
    <w:rsid w:val="00B21830"/>
    <w:rsid w:val="00B24130"/>
    <w:rsid w:val="00B24BED"/>
    <w:rsid w:val="00B259B3"/>
    <w:rsid w:val="00B3066F"/>
    <w:rsid w:val="00B31572"/>
    <w:rsid w:val="00B32FDE"/>
    <w:rsid w:val="00B3485C"/>
    <w:rsid w:val="00B3551C"/>
    <w:rsid w:val="00B41CC5"/>
    <w:rsid w:val="00B4456E"/>
    <w:rsid w:val="00B455A2"/>
    <w:rsid w:val="00B5121C"/>
    <w:rsid w:val="00B55DD4"/>
    <w:rsid w:val="00B562EE"/>
    <w:rsid w:val="00B601DE"/>
    <w:rsid w:val="00B60D21"/>
    <w:rsid w:val="00B61DB0"/>
    <w:rsid w:val="00B628A3"/>
    <w:rsid w:val="00B635C3"/>
    <w:rsid w:val="00B64059"/>
    <w:rsid w:val="00B64E0D"/>
    <w:rsid w:val="00B65DD7"/>
    <w:rsid w:val="00B66B82"/>
    <w:rsid w:val="00B67C8D"/>
    <w:rsid w:val="00B71A77"/>
    <w:rsid w:val="00B746DE"/>
    <w:rsid w:val="00B761D0"/>
    <w:rsid w:val="00B76B5B"/>
    <w:rsid w:val="00B76E0A"/>
    <w:rsid w:val="00B770A1"/>
    <w:rsid w:val="00B826E5"/>
    <w:rsid w:val="00B836E8"/>
    <w:rsid w:val="00B83FBC"/>
    <w:rsid w:val="00B841A4"/>
    <w:rsid w:val="00B871DD"/>
    <w:rsid w:val="00B87B57"/>
    <w:rsid w:val="00B93135"/>
    <w:rsid w:val="00B9774B"/>
    <w:rsid w:val="00BA1954"/>
    <w:rsid w:val="00BA376F"/>
    <w:rsid w:val="00BA5F64"/>
    <w:rsid w:val="00BA61A9"/>
    <w:rsid w:val="00BB0A71"/>
    <w:rsid w:val="00BB11E2"/>
    <w:rsid w:val="00BB33FD"/>
    <w:rsid w:val="00BB33FE"/>
    <w:rsid w:val="00BB5C5F"/>
    <w:rsid w:val="00BB612A"/>
    <w:rsid w:val="00BB627A"/>
    <w:rsid w:val="00BC193E"/>
    <w:rsid w:val="00BC4F1B"/>
    <w:rsid w:val="00BC6F1B"/>
    <w:rsid w:val="00BC753E"/>
    <w:rsid w:val="00BC7668"/>
    <w:rsid w:val="00BC7E29"/>
    <w:rsid w:val="00BD1D60"/>
    <w:rsid w:val="00BD1FA5"/>
    <w:rsid w:val="00BD2812"/>
    <w:rsid w:val="00BD3A3F"/>
    <w:rsid w:val="00BD6949"/>
    <w:rsid w:val="00BD7B88"/>
    <w:rsid w:val="00BE4B8D"/>
    <w:rsid w:val="00BE5EB9"/>
    <w:rsid w:val="00BE73E9"/>
    <w:rsid w:val="00BF0B2C"/>
    <w:rsid w:val="00BF0C97"/>
    <w:rsid w:val="00BF28EC"/>
    <w:rsid w:val="00BF51F6"/>
    <w:rsid w:val="00BF52C5"/>
    <w:rsid w:val="00BF682C"/>
    <w:rsid w:val="00BF7476"/>
    <w:rsid w:val="00C02D9A"/>
    <w:rsid w:val="00C06808"/>
    <w:rsid w:val="00C10DEC"/>
    <w:rsid w:val="00C10EEC"/>
    <w:rsid w:val="00C12240"/>
    <w:rsid w:val="00C138B2"/>
    <w:rsid w:val="00C13F57"/>
    <w:rsid w:val="00C17074"/>
    <w:rsid w:val="00C1758E"/>
    <w:rsid w:val="00C21672"/>
    <w:rsid w:val="00C21ACC"/>
    <w:rsid w:val="00C22755"/>
    <w:rsid w:val="00C31F14"/>
    <w:rsid w:val="00C34E9B"/>
    <w:rsid w:val="00C34FE2"/>
    <w:rsid w:val="00C36041"/>
    <w:rsid w:val="00C36B8D"/>
    <w:rsid w:val="00C402C9"/>
    <w:rsid w:val="00C406A0"/>
    <w:rsid w:val="00C41C1D"/>
    <w:rsid w:val="00C421A0"/>
    <w:rsid w:val="00C439B2"/>
    <w:rsid w:val="00C44001"/>
    <w:rsid w:val="00C4439D"/>
    <w:rsid w:val="00C45F5C"/>
    <w:rsid w:val="00C466A2"/>
    <w:rsid w:val="00C46AF0"/>
    <w:rsid w:val="00C479FE"/>
    <w:rsid w:val="00C47EB3"/>
    <w:rsid w:val="00C50B1D"/>
    <w:rsid w:val="00C53ADD"/>
    <w:rsid w:val="00C56178"/>
    <w:rsid w:val="00C562B0"/>
    <w:rsid w:val="00C56DD1"/>
    <w:rsid w:val="00C57D52"/>
    <w:rsid w:val="00C603C1"/>
    <w:rsid w:val="00C6061D"/>
    <w:rsid w:val="00C62E07"/>
    <w:rsid w:val="00C63C53"/>
    <w:rsid w:val="00C70B15"/>
    <w:rsid w:val="00C70F4F"/>
    <w:rsid w:val="00C7603F"/>
    <w:rsid w:val="00C80ECD"/>
    <w:rsid w:val="00C8206E"/>
    <w:rsid w:val="00C82962"/>
    <w:rsid w:val="00C83BA2"/>
    <w:rsid w:val="00C840F2"/>
    <w:rsid w:val="00C8538F"/>
    <w:rsid w:val="00C9122B"/>
    <w:rsid w:val="00C93D82"/>
    <w:rsid w:val="00C94904"/>
    <w:rsid w:val="00C9683B"/>
    <w:rsid w:val="00CA0EF6"/>
    <w:rsid w:val="00CA31DB"/>
    <w:rsid w:val="00CA4361"/>
    <w:rsid w:val="00CB21A0"/>
    <w:rsid w:val="00CB26B0"/>
    <w:rsid w:val="00CB2ACC"/>
    <w:rsid w:val="00CC0A81"/>
    <w:rsid w:val="00CC2EA3"/>
    <w:rsid w:val="00CC41D4"/>
    <w:rsid w:val="00CD2724"/>
    <w:rsid w:val="00CD33AB"/>
    <w:rsid w:val="00CD4A09"/>
    <w:rsid w:val="00CD5E71"/>
    <w:rsid w:val="00CD6B61"/>
    <w:rsid w:val="00CF08A4"/>
    <w:rsid w:val="00CF0C7B"/>
    <w:rsid w:val="00CF1C70"/>
    <w:rsid w:val="00CF291C"/>
    <w:rsid w:val="00CF4B54"/>
    <w:rsid w:val="00D02613"/>
    <w:rsid w:val="00D060F5"/>
    <w:rsid w:val="00D06613"/>
    <w:rsid w:val="00D114B4"/>
    <w:rsid w:val="00D119E0"/>
    <w:rsid w:val="00D1210A"/>
    <w:rsid w:val="00D12679"/>
    <w:rsid w:val="00D13574"/>
    <w:rsid w:val="00D13FCC"/>
    <w:rsid w:val="00D149B3"/>
    <w:rsid w:val="00D14E0D"/>
    <w:rsid w:val="00D15B9A"/>
    <w:rsid w:val="00D15D80"/>
    <w:rsid w:val="00D1666A"/>
    <w:rsid w:val="00D17D8C"/>
    <w:rsid w:val="00D21BE7"/>
    <w:rsid w:val="00D26793"/>
    <w:rsid w:val="00D27953"/>
    <w:rsid w:val="00D33441"/>
    <w:rsid w:val="00D334C0"/>
    <w:rsid w:val="00D36619"/>
    <w:rsid w:val="00D3707C"/>
    <w:rsid w:val="00D375DC"/>
    <w:rsid w:val="00D450F4"/>
    <w:rsid w:val="00D45431"/>
    <w:rsid w:val="00D505AC"/>
    <w:rsid w:val="00D50730"/>
    <w:rsid w:val="00D50E55"/>
    <w:rsid w:val="00D50E97"/>
    <w:rsid w:val="00D539DF"/>
    <w:rsid w:val="00D53B3B"/>
    <w:rsid w:val="00D542EE"/>
    <w:rsid w:val="00D545D3"/>
    <w:rsid w:val="00D54F3E"/>
    <w:rsid w:val="00D577AF"/>
    <w:rsid w:val="00D57932"/>
    <w:rsid w:val="00D65F39"/>
    <w:rsid w:val="00D664CF"/>
    <w:rsid w:val="00D67757"/>
    <w:rsid w:val="00D72D71"/>
    <w:rsid w:val="00D7654E"/>
    <w:rsid w:val="00D76D8D"/>
    <w:rsid w:val="00D83166"/>
    <w:rsid w:val="00D8329A"/>
    <w:rsid w:val="00D85475"/>
    <w:rsid w:val="00D86304"/>
    <w:rsid w:val="00D87DC8"/>
    <w:rsid w:val="00D9044D"/>
    <w:rsid w:val="00D90F3B"/>
    <w:rsid w:val="00D94EB2"/>
    <w:rsid w:val="00D96521"/>
    <w:rsid w:val="00DA2563"/>
    <w:rsid w:val="00DA318F"/>
    <w:rsid w:val="00DA380B"/>
    <w:rsid w:val="00DA5364"/>
    <w:rsid w:val="00DB160F"/>
    <w:rsid w:val="00DB2F65"/>
    <w:rsid w:val="00DB4270"/>
    <w:rsid w:val="00DB50E6"/>
    <w:rsid w:val="00DB5B28"/>
    <w:rsid w:val="00DB7459"/>
    <w:rsid w:val="00DC2111"/>
    <w:rsid w:val="00DC2BD1"/>
    <w:rsid w:val="00DC32BC"/>
    <w:rsid w:val="00DC3C54"/>
    <w:rsid w:val="00DC499D"/>
    <w:rsid w:val="00DC7034"/>
    <w:rsid w:val="00DC770C"/>
    <w:rsid w:val="00DD3685"/>
    <w:rsid w:val="00DD5A57"/>
    <w:rsid w:val="00DD5B1D"/>
    <w:rsid w:val="00DE664E"/>
    <w:rsid w:val="00DE6FEA"/>
    <w:rsid w:val="00DF29E0"/>
    <w:rsid w:val="00E002E1"/>
    <w:rsid w:val="00E00882"/>
    <w:rsid w:val="00E00DF4"/>
    <w:rsid w:val="00E0178C"/>
    <w:rsid w:val="00E0297A"/>
    <w:rsid w:val="00E0354C"/>
    <w:rsid w:val="00E05CD7"/>
    <w:rsid w:val="00E121FC"/>
    <w:rsid w:val="00E14149"/>
    <w:rsid w:val="00E155EB"/>
    <w:rsid w:val="00E17B8A"/>
    <w:rsid w:val="00E27F9E"/>
    <w:rsid w:val="00E311A1"/>
    <w:rsid w:val="00E34833"/>
    <w:rsid w:val="00E34FF9"/>
    <w:rsid w:val="00E3576F"/>
    <w:rsid w:val="00E36033"/>
    <w:rsid w:val="00E36E35"/>
    <w:rsid w:val="00E40272"/>
    <w:rsid w:val="00E413FB"/>
    <w:rsid w:val="00E41690"/>
    <w:rsid w:val="00E41A56"/>
    <w:rsid w:val="00E41F24"/>
    <w:rsid w:val="00E4229F"/>
    <w:rsid w:val="00E42A20"/>
    <w:rsid w:val="00E4570B"/>
    <w:rsid w:val="00E45AB6"/>
    <w:rsid w:val="00E50150"/>
    <w:rsid w:val="00E501D3"/>
    <w:rsid w:val="00E53766"/>
    <w:rsid w:val="00E53FDA"/>
    <w:rsid w:val="00E56EAE"/>
    <w:rsid w:val="00E62EE1"/>
    <w:rsid w:val="00E656AA"/>
    <w:rsid w:val="00E6785B"/>
    <w:rsid w:val="00E67BB4"/>
    <w:rsid w:val="00E702E4"/>
    <w:rsid w:val="00E705A5"/>
    <w:rsid w:val="00E71356"/>
    <w:rsid w:val="00E713BE"/>
    <w:rsid w:val="00E715AA"/>
    <w:rsid w:val="00E718FA"/>
    <w:rsid w:val="00E73C64"/>
    <w:rsid w:val="00E761CC"/>
    <w:rsid w:val="00E76A25"/>
    <w:rsid w:val="00E82AFE"/>
    <w:rsid w:val="00E8351B"/>
    <w:rsid w:val="00E8434D"/>
    <w:rsid w:val="00E847F7"/>
    <w:rsid w:val="00E84BDF"/>
    <w:rsid w:val="00E86E6A"/>
    <w:rsid w:val="00E87230"/>
    <w:rsid w:val="00E872AD"/>
    <w:rsid w:val="00E87666"/>
    <w:rsid w:val="00E9078D"/>
    <w:rsid w:val="00E90F88"/>
    <w:rsid w:val="00E912E2"/>
    <w:rsid w:val="00E92B97"/>
    <w:rsid w:val="00E92E6C"/>
    <w:rsid w:val="00E94407"/>
    <w:rsid w:val="00E964E5"/>
    <w:rsid w:val="00E96D5C"/>
    <w:rsid w:val="00EA076E"/>
    <w:rsid w:val="00EA75E3"/>
    <w:rsid w:val="00EB19B3"/>
    <w:rsid w:val="00EB312C"/>
    <w:rsid w:val="00EC012F"/>
    <w:rsid w:val="00EC22AB"/>
    <w:rsid w:val="00EC767D"/>
    <w:rsid w:val="00ED1CD5"/>
    <w:rsid w:val="00ED4D77"/>
    <w:rsid w:val="00ED7DB6"/>
    <w:rsid w:val="00EE1040"/>
    <w:rsid w:val="00EE2F7B"/>
    <w:rsid w:val="00EE35B9"/>
    <w:rsid w:val="00EE4888"/>
    <w:rsid w:val="00EE7991"/>
    <w:rsid w:val="00EF0DD2"/>
    <w:rsid w:val="00EF3196"/>
    <w:rsid w:val="00EF3352"/>
    <w:rsid w:val="00EF4BD4"/>
    <w:rsid w:val="00EF6989"/>
    <w:rsid w:val="00F00A1D"/>
    <w:rsid w:val="00F00D73"/>
    <w:rsid w:val="00F011EE"/>
    <w:rsid w:val="00F01EC3"/>
    <w:rsid w:val="00F029A4"/>
    <w:rsid w:val="00F0325A"/>
    <w:rsid w:val="00F04C40"/>
    <w:rsid w:val="00F077F5"/>
    <w:rsid w:val="00F078E8"/>
    <w:rsid w:val="00F101CF"/>
    <w:rsid w:val="00F10359"/>
    <w:rsid w:val="00F11AEB"/>
    <w:rsid w:val="00F141A0"/>
    <w:rsid w:val="00F1438C"/>
    <w:rsid w:val="00F21F0C"/>
    <w:rsid w:val="00F22CC8"/>
    <w:rsid w:val="00F2452B"/>
    <w:rsid w:val="00F26479"/>
    <w:rsid w:val="00F27F0C"/>
    <w:rsid w:val="00F31749"/>
    <w:rsid w:val="00F3403B"/>
    <w:rsid w:val="00F360D6"/>
    <w:rsid w:val="00F37DC2"/>
    <w:rsid w:val="00F41097"/>
    <w:rsid w:val="00F4197F"/>
    <w:rsid w:val="00F42929"/>
    <w:rsid w:val="00F42B8A"/>
    <w:rsid w:val="00F44D8C"/>
    <w:rsid w:val="00F45130"/>
    <w:rsid w:val="00F47920"/>
    <w:rsid w:val="00F518BA"/>
    <w:rsid w:val="00F52661"/>
    <w:rsid w:val="00F5283D"/>
    <w:rsid w:val="00F52D03"/>
    <w:rsid w:val="00F536DA"/>
    <w:rsid w:val="00F555A6"/>
    <w:rsid w:val="00F57796"/>
    <w:rsid w:val="00F61283"/>
    <w:rsid w:val="00F63A6B"/>
    <w:rsid w:val="00F65CFD"/>
    <w:rsid w:val="00F6738F"/>
    <w:rsid w:val="00F72E4D"/>
    <w:rsid w:val="00F73D80"/>
    <w:rsid w:val="00F7596E"/>
    <w:rsid w:val="00F81D99"/>
    <w:rsid w:val="00F83541"/>
    <w:rsid w:val="00F85A84"/>
    <w:rsid w:val="00F94DA0"/>
    <w:rsid w:val="00F95020"/>
    <w:rsid w:val="00F95580"/>
    <w:rsid w:val="00FA6BE0"/>
    <w:rsid w:val="00FA72A6"/>
    <w:rsid w:val="00FB1EB5"/>
    <w:rsid w:val="00FB2B09"/>
    <w:rsid w:val="00FB3DE9"/>
    <w:rsid w:val="00FB5939"/>
    <w:rsid w:val="00FB5C0D"/>
    <w:rsid w:val="00FB5EA4"/>
    <w:rsid w:val="00FC3E48"/>
    <w:rsid w:val="00FC44AA"/>
    <w:rsid w:val="00FC6F7D"/>
    <w:rsid w:val="00FD026D"/>
    <w:rsid w:val="00FD0E95"/>
    <w:rsid w:val="00FD28D5"/>
    <w:rsid w:val="00FD2BC5"/>
    <w:rsid w:val="00FD3D53"/>
    <w:rsid w:val="00FD722D"/>
    <w:rsid w:val="00FE0791"/>
    <w:rsid w:val="00FE2F34"/>
    <w:rsid w:val="00FE3038"/>
    <w:rsid w:val="00FE3D42"/>
    <w:rsid w:val="00FE5094"/>
    <w:rsid w:val="00FF2520"/>
    <w:rsid w:val="00FF2E08"/>
    <w:rsid w:val="00FF4215"/>
    <w:rsid w:val="00FF4B81"/>
    <w:rsid w:val="00FF4C85"/>
    <w:rsid w:val="00FF63F7"/>
    <w:rsid w:val="00FF7BA0"/>
    <w:rsid w:val="01190B56"/>
    <w:rsid w:val="014529B7"/>
    <w:rsid w:val="01582DED"/>
    <w:rsid w:val="016519C1"/>
    <w:rsid w:val="019239B4"/>
    <w:rsid w:val="0196601E"/>
    <w:rsid w:val="01BD7A4F"/>
    <w:rsid w:val="01C401C9"/>
    <w:rsid w:val="01DD30DE"/>
    <w:rsid w:val="02D23086"/>
    <w:rsid w:val="02DA63DE"/>
    <w:rsid w:val="02F94BC3"/>
    <w:rsid w:val="02FD6D4D"/>
    <w:rsid w:val="03EC32E0"/>
    <w:rsid w:val="04A3407A"/>
    <w:rsid w:val="04A8452D"/>
    <w:rsid w:val="05602A5A"/>
    <w:rsid w:val="056326BB"/>
    <w:rsid w:val="057C19CF"/>
    <w:rsid w:val="05A218FD"/>
    <w:rsid w:val="05BA5435"/>
    <w:rsid w:val="063F4718"/>
    <w:rsid w:val="06C00186"/>
    <w:rsid w:val="06CB3F2E"/>
    <w:rsid w:val="070B4DB8"/>
    <w:rsid w:val="071719AF"/>
    <w:rsid w:val="071A149F"/>
    <w:rsid w:val="07702E6D"/>
    <w:rsid w:val="07CA3595"/>
    <w:rsid w:val="07CC05D8"/>
    <w:rsid w:val="07D93108"/>
    <w:rsid w:val="080F6B2A"/>
    <w:rsid w:val="082D6FB0"/>
    <w:rsid w:val="083321D8"/>
    <w:rsid w:val="084D31AF"/>
    <w:rsid w:val="085B3B1D"/>
    <w:rsid w:val="086329D2"/>
    <w:rsid w:val="08A50077"/>
    <w:rsid w:val="09197B3E"/>
    <w:rsid w:val="0935436E"/>
    <w:rsid w:val="094B394B"/>
    <w:rsid w:val="09510A7C"/>
    <w:rsid w:val="09662A3F"/>
    <w:rsid w:val="09802D58"/>
    <w:rsid w:val="09870B6B"/>
    <w:rsid w:val="09A45050"/>
    <w:rsid w:val="09D771D4"/>
    <w:rsid w:val="0A454A85"/>
    <w:rsid w:val="0B326FF4"/>
    <w:rsid w:val="0B3A5CA3"/>
    <w:rsid w:val="0CAD06C0"/>
    <w:rsid w:val="0CB8153E"/>
    <w:rsid w:val="0CF3376D"/>
    <w:rsid w:val="0D2332ED"/>
    <w:rsid w:val="0D415C54"/>
    <w:rsid w:val="0D5C45C0"/>
    <w:rsid w:val="0DD028B8"/>
    <w:rsid w:val="0DDA3736"/>
    <w:rsid w:val="0DEA1BCB"/>
    <w:rsid w:val="0E347BBB"/>
    <w:rsid w:val="0E9272B5"/>
    <w:rsid w:val="0F4E7C06"/>
    <w:rsid w:val="0F5576A6"/>
    <w:rsid w:val="0F73174D"/>
    <w:rsid w:val="0F75161B"/>
    <w:rsid w:val="0FD348E1"/>
    <w:rsid w:val="0FE9445C"/>
    <w:rsid w:val="0FF7412C"/>
    <w:rsid w:val="103E5A93"/>
    <w:rsid w:val="10923E54"/>
    <w:rsid w:val="10E87F18"/>
    <w:rsid w:val="111927C8"/>
    <w:rsid w:val="11204879"/>
    <w:rsid w:val="11C023CD"/>
    <w:rsid w:val="11C8783A"/>
    <w:rsid w:val="11F70C71"/>
    <w:rsid w:val="1202500A"/>
    <w:rsid w:val="12086AC4"/>
    <w:rsid w:val="128F3808"/>
    <w:rsid w:val="1299596E"/>
    <w:rsid w:val="12BE5A78"/>
    <w:rsid w:val="12DA1AE3"/>
    <w:rsid w:val="131462C7"/>
    <w:rsid w:val="13955291"/>
    <w:rsid w:val="139B3968"/>
    <w:rsid w:val="13BD568C"/>
    <w:rsid w:val="13EF712B"/>
    <w:rsid w:val="13FB724D"/>
    <w:rsid w:val="1461239E"/>
    <w:rsid w:val="14642A47"/>
    <w:rsid w:val="14A423A8"/>
    <w:rsid w:val="14AB3CAB"/>
    <w:rsid w:val="14E47444"/>
    <w:rsid w:val="151948F4"/>
    <w:rsid w:val="158E37F0"/>
    <w:rsid w:val="15FD6214"/>
    <w:rsid w:val="1607785B"/>
    <w:rsid w:val="160A7825"/>
    <w:rsid w:val="16353154"/>
    <w:rsid w:val="16610551"/>
    <w:rsid w:val="168510F5"/>
    <w:rsid w:val="16D72F09"/>
    <w:rsid w:val="170B670F"/>
    <w:rsid w:val="178D2ADC"/>
    <w:rsid w:val="18047D2E"/>
    <w:rsid w:val="18510A99"/>
    <w:rsid w:val="185537EF"/>
    <w:rsid w:val="188E357D"/>
    <w:rsid w:val="18C372FC"/>
    <w:rsid w:val="18CB25F9"/>
    <w:rsid w:val="19043F59"/>
    <w:rsid w:val="19153875"/>
    <w:rsid w:val="19351120"/>
    <w:rsid w:val="19766A09"/>
    <w:rsid w:val="19A05834"/>
    <w:rsid w:val="1A891F2F"/>
    <w:rsid w:val="1A951111"/>
    <w:rsid w:val="1B140288"/>
    <w:rsid w:val="1B574618"/>
    <w:rsid w:val="1B8F0552"/>
    <w:rsid w:val="1B9A62B3"/>
    <w:rsid w:val="1BD10986"/>
    <w:rsid w:val="1BD664C1"/>
    <w:rsid w:val="1BF72D21"/>
    <w:rsid w:val="1C2D3D71"/>
    <w:rsid w:val="1C312E45"/>
    <w:rsid w:val="1C381D54"/>
    <w:rsid w:val="1CD47504"/>
    <w:rsid w:val="1D174F3D"/>
    <w:rsid w:val="1D2027D7"/>
    <w:rsid w:val="1D860599"/>
    <w:rsid w:val="1DAA1C58"/>
    <w:rsid w:val="1E2A7DC2"/>
    <w:rsid w:val="1E62130A"/>
    <w:rsid w:val="1E641526"/>
    <w:rsid w:val="1E9B2A6E"/>
    <w:rsid w:val="1EFF124F"/>
    <w:rsid w:val="1F0813F5"/>
    <w:rsid w:val="1F0C54A8"/>
    <w:rsid w:val="1F601FA9"/>
    <w:rsid w:val="1FC61D6D"/>
    <w:rsid w:val="1FE12702"/>
    <w:rsid w:val="200308CB"/>
    <w:rsid w:val="20646A1B"/>
    <w:rsid w:val="20DB35F6"/>
    <w:rsid w:val="21140BF4"/>
    <w:rsid w:val="211704C9"/>
    <w:rsid w:val="21690C01"/>
    <w:rsid w:val="21A36FDB"/>
    <w:rsid w:val="21E9221E"/>
    <w:rsid w:val="22993768"/>
    <w:rsid w:val="22C858FF"/>
    <w:rsid w:val="22DC7E78"/>
    <w:rsid w:val="238F6834"/>
    <w:rsid w:val="23FC43CB"/>
    <w:rsid w:val="23FF3832"/>
    <w:rsid w:val="24117358"/>
    <w:rsid w:val="245C67FB"/>
    <w:rsid w:val="24612064"/>
    <w:rsid w:val="24833D88"/>
    <w:rsid w:val="249C4E4A"/>
    <w:rsid w:val="252E6649"/>
    <w:rsid w:val="2573095D"/>
    <w:rsid w:val="25847A9B"/>
    <w:rsid w:val="25873D4C"/>
    <w:rsid w:val="2608575D"/>
    <w:rsid w:val="26323CB8"/>
    <w:rsid w:val="264D464E"/>
    <w:rsid w:val="268A58A2"/>
    <w:rsid w:val="26F7280B"/>
    <w:rsid w:val="271B474C"/>
    <w:rsid w:val="272B1672"/>
    <w:rsid w:val="27535154"/>
    <w:rsid w:val="27541D8F"/>
    <w:rsid w:val="275639D6"/>
    <w:rsid w:val="275D6B12"/>
    <w:rsid w:val="27C065A2"/>
    <w:rsid w:val="27C61867"/>
    <w:rsid w:val="28092E82"/>
    <w:rsid w:val="283C7070"/>
    <w:rsid w:val="284B1663"/>
    <w:rsid w:val="285831A2"/>
    <w:rsid w:val="287D5314"/>
    <w:rsid w:val="28AB0135"/>
    <w:rsid w:val="28C32245"/>
    <w:rsid w:val="28D771B3"/>
    <w:rsid w:val="28E15521"/>
    <w:rsid w:val="28F22610"/>
    <w:rsid w:val="294A6240"/>
    <w:rsid w:val="294D1B32"/>
    <w:rsid w:val="297B7831"/>
    <w:rsid w:val="29C15A7E"/>
    <w:rsid w:val="2A6B7798"/>
    <w:rsid w:val="2AD4533E"/>
    <w:rsid w:val="2ADF3CE2"/>
    <w:rsid w:val="2B006133"/>
    <w:rsid w:val="2B183E1B"/>
    <w:rsid w:val="2B19215E"/>
    <w:rsid w:val="2BCC11A7"/>
    <w:rsid w:val="2BDB76C2"/>
    <w:rsid w:val="2BE27F2E"/>
    <w:rsid w:val="2BE87AAD"/>
    <w:rsid w:val="2C37360C"/>
    <w:rsid w:val="2C424529"/>
    <w:rsid w:val="2C5A3DB0"/>
    <w:rsid w:val="2D5B1AF1"/>
    <w:rsid w:val="2D7121BC"/>
    <w:rsid w:val="2D8F7C42"/>
    <w:rsid w:val="2DB61DC2"/>
    <w:rsid w:val="2E61479F"/>
    <w:rsid w:val="2E935510"/>
    <w:rsid w:val="2EC21111"/>
    <w:rsid w:val="2ED964C1"/>
    <w:rsid w:val="2F0C2E65"/>
    <w:rsid w:val="2F113395"/>
    <w:rsid w:val="2F3F2FA2"/>
    <w:rsid w:val="2FBD207A"/>
    <w:rsid w:val="2FC46C7B"/>
    <w:rsid w:val="2FE8309F"/>
    <w:rsid w:val="2FF975F4"/>
    <w:rsid w:val="30226E93"/>
    <w:rsid w:val="302A1EA4"/>
    <w:rsid w:val="30847806"/>
    <w:rsid w:val="31181CFC"/>
    <w:rsid w:val="319770C5"/>
    <w:rsid w:val="325A31AA"/>
    <w:rsid w:val="32650FD7"/>
    <w:rsid w:val="32916000"/>
    <w:rsid w:val="33163A81"/>
    <w:rsid w:val="332561EC"/>
    <w:rsid w:val="33646336"/>
    <w:rsid w:val="339C09C3"/>
    <w:rsid w:val="33AB50A9"/>
    <w:rsid w:val="33DC5BDE"/>
    <w:rsid w:val="3446557F"/>
    <w:rsid w:val="34567FB6"/>
    <w:rsid w:val="34A30383"/>
    <w:rsid w:val="34C1517C"/>
    <w:rsid w:val="351E0F07"/>
    <w:rsid w:val="3589141A"/>
    <w:rsid w:val="3599165E"/>
    <w:rsid w:val="35D97CAC"/>
    <w:rsid w:val="35E46651"/>
    <w:rsid w:val="35FF348B"/>
    <w:rsid w:val="36063CE6"/>
    <w:rsid w:val="3647031A"/>
    <w:rsid w:val="368528CA"/>
    <w:rsid w:val="36D668E1"/>
    <w:rsid w:val="37984548"/>
    <w:rsid w:val="37E61FE4"/>
    <w:rsid w:val="380D6333"/>
    <w:rsid w:val="384004B6"/>
    <w:rsid w:val="38400B30"/>
    <w:rsid w:val="386901D1"/>
    <w:rsid w:val="38DB2C38"/>
    <w:rsid w:val="39206C68"/>
    <w:rsid w:val="394A04AD"/>
    <w:rsid w:val="394B3C70"/>
    <w:rsid w:val="395104A1"/>
    <w:rsid w:val="39E460AF"/>
    <w:rsid w:val="3A085004"/>
    <w:rsid w:val="3A4A585F"/>
    <w:rsid w:val="3A4D6F07"/>
    <w:rsid w:val="3A5A5133"/>
    <w:rsid w:val="3A685AA2"/>
    <w:rsid w:val="3A773948"/>
    <w:rsid w:val="3A7E0A06"/>
    <w:rsid w:val="3A942F44"/>
    <w:rsid w:val="3A972710"/>
    <w:rsid w:val="3B3E6803"/>
    <w:rsid w:val="3B806E1C"/>
    <w:rsid w:val="3B945A17"/>
    <w:rsid w:val="3BC95E9A"/>
    <w:rsid w:val="3C2515D5"/>
    <w:rsid w:val="3CDE6407"/>
    <w:rsid w:val="3CEA49A0"/>
    <w:rsid w:val="3CFB0E50"/>
    <w:rsid w:val="3D136199"/>
    <w:rsid w:val="3D2F6747"/>
    <w:rsid w:val="3D410A49"/>
    <w:rsid w:val="3DF82424"/>
    <w:rsid w:val="3E607FF6"/>
    <w:rsid w:val="3E864749"/>
    <w:rsid w:val="3E9064A4"/>
    <w:rsid w:val="3E9A01F4"/>
    <w:rsid w:val="3EA34825"/>
    <w:rsid w:val="3F0044FB"/>
    <w:rsid w:val="3F22673D"/>
    <w:rsid w:val="3F32042D"/>
    <w:rsid w:val="3F543E53"/>
    <w:rsid w:val="3F7200D4"/>
    <w:rsid w:val="3F984734"/>
    <w:rsid w:val="3FAE422A"/>
    <w:rsid w:val="3FDA7ED4"/>
    <w:rsid w:val="40224945"/>
    <w:rsid w:val="40742202"/>
    <w:rsid w:val="409C0254"/>
    <w:rsid w:val="40BE01CA"/>
    <w:rsid w:val="40D854C8"/>
    <w:rsid w:val="410B008F"/>
    <w:rsid w:val="416845DA"/>
    <w:rsid w:val="418331C2"/>
    <w:rsid w:val="42273EA0"/>
    <w:rsid w:val="423F17DF"/>
    <w:rsid w:val="42402E61"/>
    <w:rsid w:val="4276314B"/>
    <w:rsid w:val="42876CE2"/>
    <w:rsid w:val="42F70A75"/>
    <w:rsid w:val="432D5ADB"/>
    <w:rsid w:val="43BC79A0"/>
    <w:rsid w:val="44093E52"/>
    <w:rsid w:val="44123658"/>
    <w:rsid w:val="441B2477"/>
    <w:rsid w:val="44617F98"/>
    <w:rsid w:val="448E4357"/>
    <w:rsid w:val="44CC6850"/>
    <w:rsid w:val="44D90D2D"/>
    <w:rsid w:val="44EE4DF6"/>
    <w:rsid w:val="453A7E81"/>
    <w:rsid w:val="454A1600"/>
    <w:rsid w:val="45895E80"/>
    <w:rsid w:val="459F6E66"/>
    <w:rsid w:val="45EC1A9C"/>
    <w:rsid w:val="46152F37"/>
    <w:rsid w:val="465377FB"/>
    <w:rsid w:val="4656787E"/>
    <w:rsid w:val="46DF533E"/>
    <w:rsid w:val="4740699E"/>
    <w:rsid w:val="476538B5"/>
    <w:rsid w:val="480F1C53"/>
    <w:rsid w:val="480F46F9"/>
    <w:rsid w:val="489108BA"/>
    <w:rsid w:val="490364C8"/>
    <w:rsid w:val="490E3CB9"/>
    <w:rsid w:val="496747FE"/>
    <w:rsid w:val="4972249A"/>
    <w:rsid w:val="498F50D9"/>
    <w:rsid w:val="49D00F6E"/>
    <w:rsid w:val="49EA3D54"/>
    <w:rsid w:val="49EB7B56"/>
    <w:rsid w:val="49FF361D"/>
    <w:rsid w:val="4A3228A6"/>
    <w:rsid w:val="4A3B24EE"/>
    <w:rsid w:val="4A3B6699"/>
    <w:rsid w:val="4A7E7BF1"/>
    <w:rsid w:val="4A83508C"/>
    <w:rsid w:val="4A835FE1"/>
    <w:rsid w:val="4B1F3C01"/>
    <w:rsid w:val="4B553E21"/>
    <w:rsid w:val="4B5C6F5D"/>
    <w:rsid w:val="4B5F25AA"/>
    <w:rsid w:val="4BE84ADE"/>
    <w:rsid w:val="4BEA35E2"/>
    <w:rsid w:val="4C2D26A8"/>
    <w:rsid w:val="4C9B1D07"/>
    <w:rsid w:val="4C9E46AD"/>
    <w:rsid w:val="4CEC3221"/>
    <w:rsid w:val="4D245859"/>
    <w:rsid w:val="4D5221B8"/>
    <w:rsid w:val="4DE8774A"/>
    <w:rsid w:val="4DF354E4"/>
    <w:rsid w:val="4E121B55"/>
    <w:rsid w:val="4E6F2738"/>
    <w:rsid w:val="4E822DD2"/>
    <w:rsid w:val="4EEF633A"/>
    <w:rsid w:val="4EF574D2"/>
    <w:rsid w:val="4F02606E"/>
    <w:rsid w:val="4F22401A"/>
    <w:rsid w:val="4F3D0E54"/>
    <w:rsid w:val="4F561F16"/>
    <w:rsid w:val="4F806F93"/>
    <w:rsid w:val="4F9D7B44"/>
    <w:rsid w:val="4FA17635"/>
    <w:rsid w:val="4FC43323"/>
    <w:rsid w:val="4FD712A8"/>
    <w:rsid w:val="4FDE2637"/>
    <w:rsid w:val="50615016"/>
    <w:rsid w:val="50783615"/>
    <w:rsid w:val="50A22688"/>
    <w:rsid w:val="50C03AEB"/>
    <w:rsid w:val="510A745C"/>
    <w:rsid w:val="51431169"/>
    <w:rsid w:val="51482C7D"/>
    <w:rsid w:val="515B7031"/>
    <w:rsid w:val="515E78B9"/>
    <w:rsid w:val="51965D71"/>
    <w:rsid w:val="524A3FB4"/>
    <w:rsid w:val="52804A52"/>
    <w:rsid w:val="52B256B5"/>
    <w:rsid w:val="531E4716"/>
    <w:rsid w:val="532F4F57"/>
    <w:rsid w:val="53310342"/>
    <w:rsid w:val="53A72D40"/>
    <w:rsid w:val="53B34B12"/>
    <w:rsid w:val="53B355D7"/>
    <w:rsid w:val="53C806C1"/>
    <w:rsid w:val="53F33750"/>
    <w:rsid w:val="541E31C1"/>
    <w:rsid w:val="543C3DD0"/>
    <w:rsid w:val="546368B9"/>
    <w:rsid w:val="54BE5272"/>
    <w:rsid w:val="55E60D40"/>
    <w:rsid w:val="561C4D71"/>
    <w:rsid w:val="567B189B"/>
    <w:rsid w:val="57633CE5"/>
    <w:rsid w:val="577A4DC8"/>
    <w:rsid w:val="57960AF2"/>
    <w:rsid w:val="57C83332"/>
    <w:rsid w:val="58311772"/>
    <w:rsid w:val="589E0EC5"/>
    <w:rsid w:val="58C46142"/>
    <w:rsid w:val="58D26AB1"/>
    <w:rsid w:val="58E107A1"/>
    <w:rsid w:val="58E16CF4"/>
    <w:rsid w:val="59145045"/>
    <w:rsid w:val="591D7F46"/>
    <w:rsid w:val="5A364E1D"/>
    <w:rsid w:val="5A443ABB"/>
    <w:rsid w:val="5A957D96"/>
    <w:rsid w:val="5AA77AC9"/>
    <w:rsid w:val="5ABE498D"/>
    <w:rsid w:val="5AD76600"/>
    <w:rsid w:val="5B5A431C"/>
    <w:rsid w:val="5BA30291"/>
    <w:rsid w:val="5BCA7F13"/>
    <w:rsid w:val="5C001B87"/>
    <w:rsid w:val="5C1A4C32"/>
    <w:rsid w:val="5CAB7ACF"/>
    <w:rsid w:val="5CAC586B"/>
    <w:rsid w:val="5CB519F1"/>
    <w:rsid w:val="5CDD5E0B"/>
    <w:rsid w:val="5D2C38E4"/>
    <w:rsid w:val="5D2D2508"/>
    <w:rsid w:val="5D8B5B79"/>
    <w:rsid w:val="5DE30E18"/>
    <w:rsid w:val="5DF448C0"/>
    <w:rsid w:val="5DFB2D6D"/>
    <w:rsid w:val="5E4F72F6"/>
    <w:rsid w:val="5EEB4428"/>
    <w:rsid w:val="5F57386C"/>
    <w:rsid w:val="5F5B4A5D"/>
    <w:rsid w:val="5F9745B0"/>
    <w:rsid w:val="5FB355F1"/>
    <w:rsid w:val="5FD255E8"/>
    <w:rsid w:val="602D0A71"/>
    <w:rsid w:val="603277EB"/>
    <w:rsid w:val="60777D0A"/>
    <w:rsid w:val="6098238E"/>
    <w:rsid w:val="60D47DFC"/>
    <w:rsid w:val="60D659FD"/>
    <w:rsid w:val="61110E6E"/>
    <w:rsid w:val="61835CB6"/>
    <w:rsid w:val="61845D8D"/>
    <w:rsid w:val="61F611D0"/>
    <w:rsid w:val="61FE0917"/>
    <w:rsid w:val="62287777"/>
    <w:rsid w:val="628F56D7"/>
    <w:rsid w:val="62A53835"/>
    <w:rsid w:val="62E4606E"/>
    <w:rsid w:val="62EC4C13"/>
    <w:rsid w:val="63332842"/>
    <w:rsid w:val="633E116D"/>
    <w:rsid w:val="63586D06"/>
    <w:rsid w:val="63A97172"/>
    <w:rsid w:val="64383AD1"/>
    <w:rsid w:val="64502F80"/>
    <w:rsid w:val="64590086"/>
    <w:rsid w:val="65735178"/>
    <w:rsid w:val="6577044D"/>
    <w:rsid w:val="658C7FE7"/>
    <w:rsid w:val="659155FE"/>
    <w:rsid w:val="65CD26B4"/>
    <w:rsid w:val="65DC4ACB"/>
    <w:rsid w:val="660648E1"/>
    <w:rsid w:val="66154481"/>
    <w:rsid w:val="661A0A16"/>
    <w:rsid w:val="666F1DE3"/>
    <w:rsid w:val="66B9305E"/>
    <w:rsid w:val="66F83B86"/>
    <w:rsid w:val="66FD14C3"/>
    <w:rsid w:val="6700465F"/>
    <w:rsid w:val="67236BC5"/>
    <w:rsid w:val="676A6F7B"/>
    <w:rsid w:val="67753429"/>
    <w:rsid w:val="677D30E0"/>
    <w:rsid w:val="678609C8"/>
    <w:rsid w:val="68012F0F"/>
    <w:rsid w:val="68555008"/>
    <w:rsid w:val="686200DD"/>
    <w:rsid w:val="688D02FE"/>
    <w:rsid w:val="688F22C8"/>
    <w:rsid w:val="68EB20F0"/>
    <w:rsid w:val="68ED3493"/>
    <w:rsid w:val="68F95994"/>
    <w:rsid w:val="6917406C"/>
    <w:rsid w:val="694420CC"/>
    <w:rsid w:val="69601EB7"/>
    <w:rsid w:val="69661355"/>
    <w:rsid w:val="696E1C4C"/>
    <w:rsid w:val="698D1F4D"/>
    <w:rsid w:val="69D84255"/>
    <w:rsid w:val="6A0A597F"/>
    <w:rsid w:val="6A31115D"/>
    <w:rsid w:val="6A7F7B72"/>
    <w:rsid w:val="6A8E035E"/>
    <w:rsid w:val="6AC0668D"/>
    <w:rsid w:val="6ADF6E0B"/>
    <w:rsid w:val="6AFA27E1"/>
    <w:rsid w:val="6B067791"/>
    <w:rsid w:val="6B7B77ED"/>
    <w:rsid w:val="6B923E7E"/>
    <w:rsid w:val="6BAF4A30"/>
    <w:rsid w:val="6C16685D"/>
    <w:rsid w:val="6D714693"/>
    <w:rsid w:val="6D9034EF"/>
    <w:rsid w:val="6DD01ED5"/>
    <w:rsid w:val="6DD05733"/>
    <w:rsid w:val="6E1D776A"/>
    <w:rsid w:val="6E3336F6"/>
    <w:rsid w:val="6E3E23D3"/>
    <w:rsid w:val="6E58315D"/>
    <w:rsid w:val="6E9137E0"/>
    <w:rsid w:val="6E916298"/>
    <w:rsid w:val="6EA84809"/>
    <w:rsid w:val="6EF041DC"/>
    <w:rsid w:val="6F4831D1"/>
    <w:rsid w:val="6F66625A"/>
    <w:rsid w:val="6FAF3250"/>
    <w:rsid w:val="6FCE7B7A"/>
    <w:rsid w:val="6FD607DD"/>
    <w:rsid w:val="6FF75479"/>
    <w:rsid w:val="70613731"/>
    <w:rsid w:val="70812E3F"/>
    <w:rsid w:val="70981F36"/>
    <w:rsid w:val="70997AC2"/>
    <w:rsid w:val="713003C1"/>
    <w:rsid w:val="713A2FED"/>
    <w:rsid w:val="71706A0F"/>
    <w:rsid w:val="719178EE"/>
    <w:rsid w:val="71BC3A02"/>
    <w:rsid w:val="723839D1"/>
    <w:rsid w:val="72BA11D4"/>
    <w:rsid w:val="739F6935"/>
    <w:rsid w:val="745E5245"/>
    <w:rsid w:val="74DD43BC"/>
    <w:rsid w:val="74DE2D28"/>
    <w:rsid w:val="75317F36"/>
    <w:rsid w:val="753A7A60"/>
    <w:rsid w:val="759242AE"/>
    <w:rsid w:val="75FC4D15"/>
    <w:rsid w:val="761738FD"/>
    <w:rsid w:val="76431924"/>
    <w:rsid w:val="76447765"/>
    <w:rsid w:val="767E572A"/>
    <w:rsid w:val="771E7D75"/>
    <w:rsid w:val="776668EA"/>
    <w:rsid w:val="77BA09E4"/>
    <w:rsid w:val="77E12415"/>
    <w:rsid w:val="77FA5285"/>
    <w:rsid w:val="781E0F73"/>
    <w:rsid w:val="782725D3"/>
    <w:rsid w:val="78A376CA"/>
    <w:rsid w:val="78B638A1"/>
    <w:rsid w:val="791871BB"/>
    <w:rsid w:val="794A3E9B"/>
    <w:rsid w:val="798968C0"/>
    <w:rsid w:val="79D96301"/>
    <w:rsid w:val="79DC7338"/>
    <w:rsid w:val="7A1A0D3D"/>
    <w:rsid w:val="7A344A7E"/>
    <w:rsid w:val="7A8D32B9"/>
    <w:rsid w:val="7AA664FD"/>
    <w:rsid w:val="7AC51B7A"/>
    <w:rsid w:val="7B0A3A31"/>
    <w:rsid w:val="7B1524BC"/>
    <w:rsid w:val="7BD754B6"/>
    <w:rsid w:val="7BE36163"/>
    <w:rsid w:val="7BE60B10"/>
    <w:rsid w:val="7C00428B"/>
    <w:rsid w:val="7C501E80"/>
    <w:rsid w:val="7C69085F"/>
    <w:rsid w:val="7D5B1FAF"/>
    <w:rsid w:val="7DC4607A"/>
    <w:rsid w:val="7E4253D3"/>
    <w:rsid w:val="7E6E734E"/>
    <w:rsid w:val="7E985949"/>
    <w:rsid w:val="7EC30AC6"/>
    <w:rsid w:val="7EFB1398"/>
    <w:rsid w:val="7F4A4D43"/>
    <w:rsid w:val="7F995383"/>
  </w:rsids>
  <m:mathPr>
    <m:mathFont m:val="Cambria Math"/>
    <m:brkBin m:val="before"/>
    <m:brkBinSub m:val="--"/>
    <m:smallFrac m:val="1"/>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59"/>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5">
    <w:name w:val="heading 2"/>
    <w:basedOn w:val="1"/>
    <w:next w:val="1"/>
    <w:link w:val="61"/>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6">
    <w:name w:val="heading 3"/>
    <w:basedOn w:val="1"/>
    <w:next w:val="1"/>
    <w:link w:val="60"/>
    <w:qFormat/>
    <w:uiPriority w:val="99"/>
    <w:pPr>
      <w:keepNext/>
      <w:widowControl/>
      <w:spacing w:before="260" w:after="260" w:line="412" w:lineRule="auto"/>
      <w:outlineLvl w:val="2"/>
    </w:pPr>
    <w:rPr>
      <w:rFonts w:ascii="??" w:hAnsi="??" w:eastAsia="宋体" w:cs="Arial"/>
      <w:b/>
      <w:bCs/>
      <w:color w:val="000000"/>
      <w:kern w:val="0"/>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paragraph" w:styleId="3">
    <w:name w:val="Body Text Indent"/>
    <w:basedOn w:val="1"/>
    <w:link w:val="64"/>
    <w:qFormat/>
    <w:uiPriority w:val="0"/>
    <w:pPr>
      <w:widowControl/>
      <w:spacing w:after="120"/>
      <w:ind w:left="420"/>
    </w:pPr>
    <w:rPr>
      <w:rFonts w:ascii="??" w:hAnsi="??" w:eastAsia="宋体" w:cs="Arial"/>
      <w:kern w:val="0"/>
      <w:sz w:val="24"/>
      <w:szCs w:val="24"/>
    </w:rPr>
  </w:style>
  <w:style w:type="paragraph" w:styleId="8">
    <w:name w:val="toc 7"/>
    <w:basedOn w:val="1"/>
    <w:next w:val="1"/>
    <w:qFormat/>
    <w:uiPriority w:val="0"/>
    <w:pPr>
      <w:ind w:left="2520" w:leftChars="1200"/>
    </w:pPr>
    <w:rPr>
      <w:rFonts w:ascii="Times New Roman" w:hAnsi="Times New Roman" w:eastAsia="宋体" w:cs="Times New Roman"/>
      <w:szCs w:val="24"/>
    </w:rPr>
  </w:style>
  <w:style w:type="paragraph" w:styleId="9">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Normal Indent"/>
    <w:basedOn w:val="1"/>
    <w:link w:val="112"/>
    <w:qFormat/>
    <w:uiPriority w:val="99"/>
    <w:pPr>
      <w:ind w:firstLine="420" w:firstLineChars="200"/>
    </w:pPr>
    <w:rPr>
      <w:rFonts w:ascii="Times New Roman" w:hAnsi="Times New Roman" w:eastAsia="宋体" w:cs="Times New Roman"/>
      <w:kern w:val="0"/>
      <w:sz w:val="24"/>
      <w:szCs w:val="20"/>
    </w:rPr>
  </w:style>
  <w:style w:type="paragraph" w:styleId="11">
    <w:name w:val="Document Map"/>
    <w:basedOn w:val="1"/>
    <w:link w:val="130"/>
    <w:qFormat/>
    <w:uiPriority w:val="0"/>
    <w:rPr>
      <w:rFonts w:ascii="宋体" w:hAnsi="Calibri" w:eastAsia="宋体" w:cs="Times New Roman"/>
      <w:kern w:val="0"/>
      <w:sz w:val="18"/>
      <w:szCs w:val="20"/>
    </w:rPr>
  </w:style>
  <w:style w:type="paragraph" w:styleId="12">
    <w:name w:val="toa heading"/>
    <w:basedOn w:val="1"/>
    <w:next w:val="1"/>
    <w:qFormat/>
    <w:uiPriority w:val="0"/>
    <w:pPr>
      <w:spacing w:before="120"/>
    </w:pPr>
    <w:rPr>
      <w:rFonts w:ascii="Cambria" w:hAnsi="Cambria"/>
      <w:sz w:val="24"/>
      <w:szCs w:val="24"/>
    </w:rPr>
  </w:style>
  <w:style w:type="paragraph" w:styleId="13">
    <w:name w:val="annotation text"/>
    <w:basedOn w:val="1"/>
    <w:link w:val="158"/>
    <w:qFormat/>
    <w:uiPriority w:val="0"/>
    <w:pPr>
      <w:jc w:val="left"/>
    </w:pPr>
  </w:style>
  <w:style w:type="paragraph" w:styleId="14">
    <w:name w:val="Body Text"/>
    <w:basedOn w:val="1"/>
    <w:link w:val="133"/>
    <w:qFormat/>
    <w:uiPriority w:val="99"/>
    <w:pPr>
      <w:spacing w:after="120"/>
    </w:pPr>
    <w:rPr>
      <w:rFonts w:ascii="Calibri" w:hAnsi="Calibri" w:eastAsia="宋体" w:cs="Times New Roman"/>
      <w:kern w:val="0"/>
      <w:sz w:val="24"/>
      <w:szCs w:val="20"/>
    </w:rPr>
  </w:style>
  <w:style w:type="paragraph" w:styleId="15">
    <w:name w:val="toc 5"/>
    <w:basedOn w:val="1"/>
    <w:next w:val="1"/>
    <w:qFormat/>
    <w:uiPriority w:val="0"/>
    <w:pPr>
      <w:ind w:left="1680" w:leftChars="800"/>
    </w:pPr>
    <w:rPr>
      <w:rFonts w:ascii="Times New Roman" w:hAnsi="Times New Roman" w:eastAsia="宋体" w:cs="Times New Roman"/>
      <w:szCs w:val="24"/>
    </w:rPr>
  </w:style>
  <w:style w:type="paragraph" w:styleId="16">
    <w:name w:val="toc 3"/>
    <w:basedOn w:val="1"/>
    <w:next w:val="1"/>
    <w:qFormat/>
    <w:uiPriority w:val="39"/>
    <w:pPr>
      <w:ind w:left="840" w:leftChars="400"/>
    </w:pPr>
    <w:rPr>
      <w:rFonts w:ascii="Times New Roman" w:hAnsi="Times New Roman" w:eastAsia="宋体" w:cs="Times New Roman"/>
      <w:szCs w:val="24"/>
    </w:rPr>
  </w:style>
  <w:style w:type="paragraph" w:styleId="17">
    <w:name w:val="Plain Text"/>
    <w:basedOn w:val="1"/>
    <w:next w:val="18"/>
    <w:link w:val="193"/>
    <w:qFormat/>
    <w:uiPriority w:val="0"/>
    <w:rPr>
      <w:rFonts w:ascii="宋体" w:hAnsi="Courier New" w:eastAsia="宋体"/>
      <w:szCs w:val="21"/>
    </w:rPr>
  </w:style>
  <w:style w:type="paragraph" w:styleId="18">
    <w:name w:val="List Number 5"/>
    <w:basedOn w:val="1"/>
    <w:semiHidden/>
    <w:unhideWhenUsed/>
    <w:qFormat/>
    <w:uiPriority w:val="99"/>
    <w:pPr>
      <w:numPr>
        <w:ilvl w:val="0"/>
        <w:numId w:val="1"/>
      </w:numPr>
    </w:pPr>
  </w:style>
  <w:style w:type="paragraph" w:styleId="19">
    <w:name w:val="toc 8"/>
    <w:basedOn w:val="1"/>
    <w:next w:val="1"/>
    <w:qFormat/>
    <w:uiPriority w:val="0"/>
    <w:pPr>
      <w:ind w:left="2940" w:leftChars="1400"/>
    </w:pPr>
    <w:rPr>
      <w:rFonts w:ascii="Times New Roman" w:hAnsi="Times New Roman" w:eastAsia="宋体" w:cs="Times New Roman"/>
      <w:szCs w:val="24"/>
    </w:rPr>
  </w:style>
  <w:style w:type="paragraph" w:styleId="20">
    <w:name w:val="Date"/>
    <w:basedOn w:val="1"/>
    <w:next w:val="1"/>
    <w:link w:val="153"/>
    <w:qFormat/>
    <w:uiPriority w:val="0"/>
    <w:rPr>
      <w:szCs w:val="21"/>
    </w:rPr>
  </w:style>
  <w:style w:type="paragraph" w:styleId="21">
    <w:name w:val="Body Text Indent 2"/>
    <w:basedOn w:val="1"/>
    <w:link w:val="126"/>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2">
    <w:name w:val="Balloon Text"/>
    <w:basedOn w:val="1"/>
    <w:link w:val="76"/>
    <w:qFormat/>
    <w:uiPriority w:val="99"/>
    <w:rPr>
      <w:rFonts w:ascii="Calibri" w:hAnsi="Calibri" w:eastAsia="宋体" w:cs="Times New Roman"/>
      <w:sz w:val="18"/>
      <w:szCs w:val="18"/>
    </w:rPr>
  </w:style>
  <w:style w:type="paragraph" w:styleId="23">
    <w:name w:val="footer"/>
    <w:basedOn w:val="1"/>
    <w:next w:val="1"/>
    <w:link w:val="63"/>
    <w:qFormat/>
    <w:uiPriority w:val="99"/>
    <w:pPr>
      <w:tabs>
        <w:tab w:val="center" w:pos="4153"/>
        <w:tab w:val="right" w:pos="8306"/>
      </w:tabs>
      <w:snapToGrid w:val="0"/>
      <w:jc w:val="left"/>
    </w:pPr>
    <w:rPr>
      <w:rFonts w:ascii="Calibri" w:hAnsi="Calibri" w:eastAsia="宋体" w:cs="Times New Roman"/>
      <w:sz w:val="18"/>
      <w:szCs w:val="18"/>
    </w:rPr>
  </w:style>
  <w:style w:type="paragraph" w:styleId="24">
    <w:name w:val="header"/>
    <w:basedOn w:val="1"/>
    <w:link w:val="62"/>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5">
    <w:name w:val="toc 1"/>
    <w:basedOn w:val="1"/>
    <w:next w:val="1"/>
    <w:qFormat/>
    <w:uiPriority w:val="39"/>
    <w:rPr>
      <w:rFonts w:ascii="Times New Roman" w:hAnsi="Times New Roman" w:eastAsia="宋体" w:cs="Times New Roman"/>
      <w:szCs w:val="24"/>
    </w:rPr>
  </w:style>
  <w:style w:type="paragraph" w:styleId="26">
    <w:name w:val="toc 4"/>
    <w:basedOn w:val="1"/>
    <w:next w:val="1"/>
    <w:qFormat/>
    <w:uiPriority w:val="0"/>
    <w:pPr>
      <w:ind w:left="1260" w:leftChars="600"/>
    </w:pPr>
    <w:rPr>
      <w:rFonts w:ascii="Times New Roman" w:hAnsi="Times New Roman" w:eastAsia="宋体" w:cs="Times New Roman"/>
      <w:szCs w:val="24"/>
    </w:rPr>
  </w:style>
  <w:style w:type="paragraph" w:styleId="27">
    <w:name w:val="footnote text"/>
    <w:basedOn w:val="1"/>
    <w:link w:val="170"/>
    <w:semiHidden/>
    <w:qFormat/>
    <w:uiPriority w:val="0"/>
    <w:pPr>
      <w:snapToGrid w:val="0"/>
      <w:jc w:val="left"/>
    </w:pPr>
    <w:rPr>
      <w:rFonts w:ascii="Times New Roman" w:hAnsi="Times New Roman" w:eastAsia="宋体" w:cs="Times New Roman"/>
      <w:sz w:val="18"/>
      <w:szCs w:val="18"/>
    </w:rPr>
  </w:style>
  <w:style w:type="paragraph" w:styleId="28">
    <w:name w:val="toc 6"/>
    <w:basedOn w:val="1"/>
    <w:next w:val="1"/>
    <w:qFormat/>
    <w:uiPriority w:val="0"/>
    <w:pPr>
      <w:ind w:left="2100" w:leftChars="1000"/>
    </w:pPr>
    <w:rPr>
      <w:rFonts w:ascii="Times New Roman" w:hAnsi="Times New Roman" w:eastAsia="宋体" w:cs="Times New Roman"/>
      <w:szCs w:val="24"/>
    </w:rPr>
  </w:style>
  <w:style w:type="paragraph" w:styleId="29">
    <w:name w:val="Body Text Indent 3"/>
    <w:basedOn w:val="1"/>
    <w:link w:val="128"/>
    <w:qFormat/>
    <w:uiPriority w:val="99"/>
    <w:pPr>
      <w:spacing w:line="440" w:lineRule="exact"/>
      <w:ind w:firstLine="412" w:firstLineChars="200"/>
    </w:pPr>
    <w:rPr>
      <w:rFonts w:ascii="宋体" w:hAnsi="Calibri" w:eastAsia="宋体" w:cs="Times New Roman"/>
      <w:kern w:val="0"/>
      <w:sz w:val="20"/>
      <w:szCs w:val="20"/>
    </w:rPr>
  </w:style>
  <w:style w:type="paragraph" w:styleId="30">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31">
    <w:name w:val="toc 2"/>
    <w:basedOn w:val="1"/>
    <w:next w:val="1"/>
    <w:qFormat/>
    <w:uiPriority w:val="39"/>
    <w:pPr>
      <w:ind w:left="420" w:leftChars="200"/>
    </w:pPr>
    <w:rPr>
      <w:rFonts w:ascii="Times New Roman" w:hAnsi="Times New Roman" w:eastAsia="宋体" w:cs="Times New Roman"/>
      <w:szCs w:val="24"/>
    </w:rPr>
  </w:style>
  <w:style w:type="paragraph" w:styleId="32">
    <w:name w:val="toc 9"/>
    <w:basedOn w:val="1"/>
    <w:next w:val="1"/>
    <w:qFormat/>
    <w:uiPriority w:val="0"/>
    <w:pPr>
      <w:ind w:left="3360" w:leftChars="1600"/>
    </w:pPr>
    <w:rPr>
      <w:rFonts w:ascii="Times New Roman" w:hAnsi="Times New Roman" w:eastAsia="宋体" w:cs="Times New Roman"/>
      <w:szCs w:val="24"/>
    </w:rPr>
  </w:style>
  <w:style w:type="paragraph" w:styleId="33">
    <w:name w:val="List Continue 2"/>
    <w:basedOn w:val="1"/>
    <w:qFormat/>
    <w:uiPriority w:val="99"/>
    <w:pPr>
      <w:spacing w:after="120"/>
      <w:ind w:left="840" w:leftChars="400"/>
    </w:pPr>
    <w:rPr>
      <w:rFonts w:ascii="Times New Roman" w:hAnsi="Times New Roman" w:eastAsia="宋体" w:cs="Times New Roman"/>
      <w:szCs w:val="24"/>
    </w:rPr>
  </w:style>
  <w:style w:type="paragraph" w:styleId="34">
    <w:name w:val="Normal (Web)"/>
    <w:basedOn w:val="1"/>
    <w:next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5">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36">
    <w:name w:val="Title"/>
    <w:basedOn w:val="1"/>
    <w:link w:val="156"/>
    <w:qFormat/>
    <w:uiPriority w:val="0"/>
    <w:pPr>
      <w:spacing w:before="240" w:after="60"/>
      <w:jc w:val="center"/>
      <w:outlineLvl w:val="0"/>
    </w:pPr>
    <w:rPr>
      <w:rFonts w:ascii="Cambria" w:hAnsi="Cambria" w:cs="Times New Roman"/>
      <w:b/>
      <w:bCs/>
      <w:sz w:val="32"/>
      <w:szCs w:val="32"/>
    </w:rPr>
  </w:style>
  <w:style w:type="paragraph" w:styleId="37">
    <w:name w:val="annotation subject"/>
    <w:basedOn w:val="13"/>
    <w:next w:val="13"/>
    <w:link w:val="163"/>
    <w:qFormat/>
    <w:uiPriority w:val="0"/>
    <w:rPr>
      <w:b/>
      <w:bCs/>
    </w:rPr>
  </w:style>
  <w:style w:type="paragraph" w:styleId="38">
    <w:name w:val="Body Text First Indent"/>
    <w:basedOn w:val="14"/>
    <w:link w:val="203"/>
    <w:semiHidden/>
    <w:unhideWhenUsed/>
    <w:qFormat/>
    <w:uiPriority w:val="99"/>
    <w:pPr>
      <w:ind w:firstLine="420" w:firstLineChars="100"/>
    </w:pPr>
    <w:rPr>
      <w:rFonts w:asciiTheme="minorHAnsi" w:hAnsiTheme="minorHAnsi" w:eastAsiaTheme="minorEastAsia" w:cstheme="minorBidi"/>
      <w:kern w:val="2"/>
      <w:sz w:val="21"/>
      <w:szCs w:val="22"/>
    </w:rPr>
  </w:style>
  <w:style w:type="table" w:styleId="40">
    <w:name w:val="Table Grid"/>
    <w:basedOn w:val="3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2">
    <w:name w:val="Strong"/>
    <w:basedOn w:val="41"/>
    <w:qFormat/>
    <w:uiPriority w:val="22"/>
    <w:rPr>
      <w:rFonts w:cs="Times New Roman"/>
      <w:b/>
    </w:rPr>
  </w:style>
  <w:style w:type="character" w:styleId="43">
    <w:name w:val="page number"/>
    <w:basedOn w:val="41"/>
    <w:qFormat/>
    <w:uiPriority w:val="0"/>
    <w:rPr>
      <w:rFonts w:cs="Times New Roman"/>
    </w:rPr>
  </w:style>
  <w:style w:type="character" w:styleId="44">
    <w:name w:val="FollowedHyperlink"/>
    <w:basedOn w:val="41"/>
    <w:qFormat/>
    <w:uiPriority w:val="99"/>
    <w:rPr>
      <w:rFonts w:cs="Times New Roman"/>
      <w:color w:val="555555"/>
      <w:u w:val="none"/>
    </w:rPr>
  </w:style>
  <w:style w:type="character" w:styleId="45">
    <w:name w:val="Emphasis"/>
    <w:basedOn w:val="41"/>
    <w:qFormat/>
    <w:uiPriority w:val="0"/>
    <w:rPr>
      <w:rFonts w:cs="Times New Roman"/>
      <w:i/>
    </w:rPr>
  </w:style>
  <w:style w:type="character" w:styleId="46">
    <w:name w:val="HTML Definition"/>
    <w:basedOn w:val="41"/>
    <w:qFormat/>
    <w:uiPriority w:val="99"/>
    <w:rPr>
      <w:rFonts w:cs="Times New Roman"/>
    </w:rPr>
  </w:style>
  <w:style w:type="character" w:styleId="47">
    <w:name w:val="HTML Acronym"/>
    <w:basedOn w:val="41"/>
    <w:qFormat/>
    <w:uiPriority w:val="99"/>
    <w:rPr>
      <w:rFonts w:cs="Times New Roman"/>
    </w:rPr>
  </w:style>
  <w:style w:type="character" w:styleId="48">
    <w:name w:val="HTML Variable"/>
    <w:basedOn w:val="41"/>
    <w:qFormat/>
    <w:uiPriority w:val="99"/>
    <w:rPr>
      <w:rFonts w:cs="Times New Roman"/>
    </w:rPr>
  </w:style>
  <w:style w:type="character" w:styleId="49">
    <w:name w:val="Hyperlink"/>
    <w:basedOn w:val="41"/>
    <w:qFormat/>
    <w:uiPriority w:val="99"/>
    <w:rPr>
      <w:rFonts w:cs="Times New Roman"/>
      <w:color w:val="555555"/>
      <w:u w:val="none"/>
    </w:rPr>
  </w:style>
  <w:style w:type="character" w:styleId="50">
    <w:name w:val="HTML Code"/>
    <w:basedOn w:val="41"/>
    <w:qFormat/>
    <w:uiPriority w:val="99"/>
    <w:rPr>
      <w:rFonts w:ascii="monospace" w:hAnsi="monospace" w:cs="Times New Roman"/>
      <w:sz w:val="24"/>
    </w:rPr>
  </w:style>
  <w:style w:type="character" w:styleId="51">
    <w:name w:val="annotation reference"/>
    <w:qFormat/>
    <w:uiPriority w:val="0"/>
    <w:rPr>
      <w:sz w:val="21"/>
      <w:szCs w:val="21"/>
    </w:rPr>
  </w:style>
  <w:style w:type="character" w:styleId="52">
    <w:name w:val="HTML Cite"/>
    <w:basedOn w:val="41"/>
    <w:qFormat/>
    <w:uiPriority w:val="99"/>
    <w:rPr>
      <w:rFonts w:cs="Times New Roman"/>
    </w:rPr>
  </w:style>
  <w:style w:type="character" w:styleId="53">
    <w:name w:val="footnote reference"/>
    <w:semiHidden/>
    <w:qFormat/>
    <w:uiPriority w:val="0"/>
    <w:rPr>
      <w:vertAlign w:val="superscript"/>
    </w:rPr>
  </w:style>
  <w:style w:type="character" w:styleId="54">
    <w:name w:val="HTML Keyboard"/>
    <w:basedOn w:val="41"/>
    <w:qFormat/>
    <w:uiPriority w:val="99"/>
    <w:rPr>
      <w:rFonts w:ascii="monospace" w:hAnsi="monospace" w:cs="Times New Roman"/>
      <w:sz w:val="24"/>
    </w:rPr>
  </w:style>
  <w:style w:type="character" w:styleId="55">
    <w:name w:val="HTML Sample"/>
    <w:basedOn w:val="41"/>
    <w:qFormat/>
    <w:uiPriority w:val="99"/>
    <w:rPr>
      <w:rFonts w:ascii="monospace" w:hAnsi="monospace" w:cs="Times New Roman"/>
      <w:sz w:val="24"/>
    </w:rPr>
  </w:style>
  <w:style w:type="paragraph" w:customStyle="1" w:styleId="56">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customStyle="1" w:styleId="57">
    <w:name w:val="Normal Indent1"/>
    <w:next w:val="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58">
    <w:name w:val="方案正文"/>
    <w:basedOn w:val="14"/>
    <w:qFormat/>
    <w:uiPriority w:val="0"/>
    <w:pPr>
      <w:spacing w:after="0"/>
      <w:ind w:firstLine="560" w:firstLineChars="200"/>
      <w:jc w:val="left"/>
    </w:pPr>
    <w:rPr>
      <w:rFonts w:ascii="Arial" w:hAnsi="Arial" w:eastAsia="仿宋" w:cs="宋体"/>
      <w:sz w:val="28"/>
      <w:szCs w:val="21"/>
    </w:rPr>
  </w:style>
  <w:style w:type="character" w:customStyle="1" w:styleId="59">
    <w:name w:val="标题 1 字符"/>
    <w:basedOn w:val="41"/>
    <w:link w:val="4"/>
    <w:qFormat/>
    <w:uiPriority w:val="9"/>
    <w:rPr>
      <w:rFonts w:ascii="???" w:hAnsi="???" w:eastAsia="宋体" w:cs="Arial"/>
      <w:b/>
      <w:bCs/>
      <w:color w:val="020000"/>
      <w:kern w:val="36"/>
      <w:sz w:val="44"/>
      <w:szCs w:val="44"/>
    </w:rPr>
  </w:style>
  <w:style w:type="character" w:customStyle="1" w:styleId="60">
    <w:name w:val="标题 3 字符"/>
    <w:basedOn w:val="41"/>
    <w:link w:val="6"/>
    <w:qFormat/>
    <w:uiPriority w:val="0"/>
    <w:rPr>
      <w:rFonts w:ascii="??" w:hAnsi="??" w:eastAsia="宋体" w:cs="Arial"/>
      <w:b/>
      <w:bCs/>
      <w:color w:val="000000"/>
      <w:kern w:val="0"/>
      <w:sz w:val="32"/>
      <w:szCs w:val="32"/>
    </w:rPr>
  </w:style>
  <w:style w:type="character" w:customStyle="1" w:styleId="61">
    <w:name w:val="标题 2 字符"/>
    <w:basedOn w:val="41"/>
    <w:link w:val="5"/>
    <w:qFormat/>
    <w:uiPriority w:val="99"/>
    <w:rPr>
      <w:rFonts w:ascii="???" w:hAnsi="???" w:eastAsia="宋体" w:cs="Arial"/>
      <w:b/>
      <w:bCs/>
      <w:color w:val="020000"/>
      <w:kern w:val="0"/>
      <w:sz w:val="32"/>
      <w:szCs w:val="32"/>
    </w:rPr>
  </w:style>
  <w:style w:type="character" w:customStyle="1" w:styleId="62">
    <w:name w:val="页眉 字符"/>
    <w:basedOn w:val="41"/>
    <w:link w:val="24"/>
    <w:qFormat/>
    <w:uiPriority w:val="99"/>
    <w:rPr>
      <w:rFonts w:ascii="Calibri" w:hAnsi="Calibri" w:eastAsia="宋体" w:cs="Times New Roman"/>
      <w:sz w:val="18"/>
      <w:szCs w:val="18"/>
    </w:rPr>
  </w:style>
  <w:style w:type="character" w:customStyle="1" w:styleId="63">
    <w:name w:val="页脚 字符"/>
    <w:basedOn w:val="41"/>
    <w:link w:val="23"/>
    <w:qFormat/>
    <w:uiPriority w:val="99"/>
    <w:rPr>
      <w:rFonts w:ascii="Calibri" w:hAnsi="Calibri" w:eastAsia="宋体" w:cs="Times New Roman"/>
      <w:sz w:val="18"/>
      <w:szCs w:val="18"/>
    </w:rPr>
  </w:style>
  <w:style w:type="character" w:customStyle="1" w:styleId="64">
    <w:name w:val="正文文本缩进 字符"/>
    <w:basedOn w:val="41"/>
    <w:link w:val="3"/>
    <w:qFormat/>
    <w:uiPriority w:val="0"/>
    <w:rPr>
      <w:rFonts w:ascii="??" w:hAnsi="??" w:eastAsia="宋体" w:cs="Arial"/>
      <w:kern w:val="0"/>
      <w:sz w:val="24"/>
      <w:szCs w:val="24"/>
    </w:rPr>
  </w:style>
  <w:style w:type="paragraph" w:customStyle="1" w:styleId="65">
    <w:name w:val="列出段落1"/>
    <w:basedOn w:val="1"/>
    <w:qFormat/>
    <w:uiPriority w:val="34"/>
    <w:pPr>
      <w:ind w:firstLine="420" w:firstLineChars="200"/>
    </w:pPr>
    <w:rPr>
      <w:rFonts w:ascii="Calibri" w:hAnsi="Calibri" w:eastAsia="宋体" w:cs="Times New Roman"/>
    </w:rPr>
  </w:style>
  <w:style w:type="character" w:customStyle="1" w:styleId="66">
    <w:name w:val="标题 2 Char Char"/>
    <w:qFormat/>
    <w:uiPriority w:val="99"/>
    <w:rPr>
      <w:rFonts w:ascii="Arial" w:hAnsi="Arial" w:eastAsia="黑体"/>
      <w:b/>
      <w:kern w:val="2"/>
      <w:sz w:val="32"/>
      <w:lang w:val="en-US" w:eastAsia="zh-CN"/>
    </w:rPr>
  </w:style>
  <w:style w:type="character" w:customStyle="1" w:styleId="67">
    <w:name w:val="2charchar"/>
    <w:basedOn w:val="41"/>
    <w:qFormat/>
    <w:uiPriority w:val="99"/>
    <w:rPr>
      <w:rFonts w:cs="Times New Roman"/>
    </w:rPr>
  </w:style>
  <w:style w:type="paragraph" w:customStyle="1" w:styleId="68">
    <w:name w:val="表格文字"/>
    <w:basedOn w:val="1"/>
    <w:qFormat/>
    <w:uiPriority w:val="99"/>
    <w:pPr>
      <w:adjustRightInd w:val="0"/>
      <w:spacing w:line="420" w:lineRule="atLeast"/>
      <w:jc w:val="left"/>
    </w:pPr>
    <w:rPr>
      <w:rFonts w:ascii="Times New Roman" w:hAnsi="Times New Roman" w:eastAsia="宋体" w:cs="Times New Roman"/>
      <w:kern w:val="0"/>
      <w:szCs w:val="20"/>
    </w:rPr>
  </w:style>
  <w:style w:type="paragraph" w:customStyle="1" w:styleId="69">
    <w:name w:val="z-窗体顶端1"/>
    <w:basedOn w:val="1"/>
    <w:next w:val="1"/>
    <w:link w:val="70"/>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70">
    <w:name w:val="z-窗体顶端 Char"/>
    <w:basedOn w:val="41"/>
    <w:link w:val="69"/>
    <w:semiHidden/>
    <w:qFormat/>
    <w:uiPriority w:val="99"/>
    <w:rPr>
      <w:rFonts w:ascii="Arial" w:hAnsi="Arial" w:eastAsia="宋体" w:cs="Arial"/>
      <w:vanish/>
      <w:kern w:val="0"/>
      <w:sz w:val="16"/>
      <w:szCs w:val="16"/>
    </w:rPr>
  </w:style>
  <w:style w:type="paragraph" w:customStyle="1" w:styleId="71">
    <w:name w:val="z-窗体底端1"/>
    <w:basedOn w:val="1"/>
    <w:next w:val="1"/>
    <w:link w:val="72"/>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72">
    <w:name w:val="z-窗体底端 Char"/>
    <w:basedOn w:val="41"/>
    <w:link w:val="71"/>
    <w:semiHidden/>
    <w:qFormat/>
    <w:uiPriority w:val="99"/>
    <w:rPr>
      <w:rFonts w:ascii="Arial" w:hAnsi="Arial" w:eastAsia="宋体" w:cs="Arial"/>
      <w:vanish/>
      <w:kern w:val="0"/>
      <w:sz w:val="16"/>
      <w:szCs w:val="16"/>
    </w:rPr>
  </w:style>
  <w:style w:type="paragraph" w:customStyle="1" w:styleId="73">
    <w:name w:val="hu正文"/>
    <w:basedOn w:val="1"/>
    <w:link w:val="74"/>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4">
    <w:name w:val="hu正文 Char"/>
    <w:link w:val="73"/>
    <w:qFormat/>
    <w:locked/>
    <w:uiPriority w:val="99"/>
    <w:rPr>
      <w:rFonts w:ascii="Times New Roman" w:hAnsi="Times New Roman" w:eastAsia="宋体" w:cs="Times New Roman"/>
      <w:kern w:val="0"/>
      <w:sz w:val="24"/>
      <w:szCs w:val="20"/>
    </w:rPr>
  </w:style>
  <w:style w:type="paragraph" w:customStyle="1" w:styleId="75">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6">
    <w:name w:val="批注框文本 字符"/>
    <w:basedOn w:val="41"/>
    <w:link w:val="22"/>
    <w:qFormat/>
    <w:uiPriority w:val="99"/>
    <w:rPr>
      <w:rFonts w:ascii="Calibri" w:hAnsi="Calibri" w:eastAsia="宋体" w:cs="Times New Roman"/>
      <w:sz w:val="18"/>
      <w:szCs w:val="18"/>
    </w:rPr>
  </w:style>
  <w:style w:type="character" w:customStyle="1" w:styleId="77">
    <w:name w:val="ui-bz-bg-hover1"/>
    <w:basedOn w:val="41"/>
    <w:qFormat/>
    <w:uiPriority w:val="99"/>
    <w:rPr>
      <w:rFonts w:cs="Times New Roman"/>
    </w:rPr>
  </w:style>
  <w:style w:type="character" w:customStyle="1" w:styleId="78">
    <w:name w:val="批注框文本 Char1"/>
    <w:qFormat/>
    <w:uiPriority w:val="99"/>
    <w:rPr>
      <w:rFonts w:ascii="Times New Roman" w:hAnsi="Times New Roman" w:eastAsia="宋体"/>
      <w:sz w:val="18"/>
    </w:rPr>
  </w:style>
  <w:style w:type="character" w:customStyle="1" w:styleId="79">
    <w:name w:val="bds_nopic"/>
    <w:basedOn w:val="41"/>
    <w:qFormat/>
    <w:uiPriority w:val="99"/>
    <w:rPr>
      <w:rFonts w:cs="Times New Roman"/>
    </w:rPr>
  </w:style>
  <w:style w:type="character" w:customStyle="1" w:styleId="80">
    <w:name w:val="tip12"/>
    <w:qFormat/>
    <w:uiPriority w:val="99"/>
    <w:rPr>
      <w:vanish/>
      <w:color w:val="FF0000"/>
      <w:sz w:val="18"/>
    </w:rPr>
  </w:style>
  <w:style w:type="character" w:customStyle="1" w:styleId="81">
    <w:name w:val="Body Text Indent 3 Char"/>
    <w:qFormat/>
    <w:locked/>
    <w:uiPriority w:val="99"/>
    <w:rPr>
      <w:rFonts w:ascii="宋体" w:eastAsia="宋体"/>
    </w:rPr>
  </w:style>
  <w:style w:type="character" w:customStyle="1" w:styleId="82">
    <w:name w:val="HTML Markup"/>
    <w:qFormat/>
    <w:uiPriority w:val="99"/>
    <w:rPr>
      <w:vanish/>
      <w:color w:val="FF0000"/>
    </w:rPr>
  </w:style>
  <w:style w:type="character" w:customStyle="1" w:styleId="83">
    <w:name w:val="tip7"/>
    <w:qFormat/>
    <w:uiPriority w:val="99"/>
    <w:rPr>
      <w:vanish/>
      <w:color w:val="FF0000"/>
      <w:sz w:val="18"/>
    </w:rPr>
  </w:style>
  <w:style w:type="character" w:customStyle="1" w:styleId="84">
    <w:name w:val="f-star"/>
    <w:qFormat/>
    <w:uiPriority w:val="99"/>
    <w:rPr>
      <w:color w:val="999999"/>
      <w:sz w:val="21"/>
    </w:rPr>
  </w:style>
  <w:style w:type="character" w:customStyle="1" w:styleId="85">
    <w:name w:val="Document Map Char1"/>
    <w:qFormat/>
    <w:uiPriority w:val="99"/>
    <w:rPr>
      <w:rFonts w:ascii="Times New Roman" w:hAnsi="Times New Roman"/>
      <w:kern w:val="2"/>
      <w:sz w:val="2"/>
    </w:rPr>
  </w:style>
  <w:style w:type="character" w:customStyle="1" w:styleId="86">
    <w:name w:val="my-class2"/>
    <w:basedOn w:val="41"/>
    <w:qFormat/>
    <w:uiPriority w:val="99"/>
    <w:rPr>
      <w:rFonts w:cs="Times New Roman"/>
    </w:rPr>
  </w:style>
  <w:style w:type="character" w:customStyle="1" w:styleId="87">
    <w:name w:val="no52"/>
    <w:basedOn w:val="41"/>
    <w:qFormat/>
    <w:uiPriority w:val="99"/>
    <w:rPr>
      <w:rFonts w:cs="Times New Roman"/>
    </w:rPr>
  </w:style>
  <w:style w:type="character" w:customStyle="1" w:styleId="88">
    <w:name w:val="no4"/>
    <w:basedOn w:val="41"/>
    <w:qFormat/>
    <w:uiPriority w:val="99"/>
    <w:rPr>
      <w:rFonts w:cs="Times New Roman"/>
    </w:rPr>
  </w:style>
  <w:style w:type="character" w:customStyle="1" w:styleId="89">
    <w:name w:val="my-notice"/>
    <w:basedOn w:val="41"/>
    <w:qFormat/>
    <w:uiPriority w:val="99"/>
    <w:rPr>
      <w:rFonts w:cs="Times New Roman"/>
    </w:rPr>
  </w:style>
  <w:style w:type="character" w:customStyle="1" w:styleId="90">
    <w:name w:val="ico-jiang"/>
    <w:basedOn w:val="41"/>
    <w:qFormat/>
    <w:uiPriority w:val="99"/>
    <w:rPr>
      <w:rFonts w:cs="Times New Roman"/>
    </w:rPr>
  </w:style>
  <w:style w:type="character" w:customStyle="1" w:styleId="91">
    <w:name w:val="ico-jiang2"/>
    <w:basedOn w:val="41"/>
    <w:qFormat/>
    <w:uiPriority w:val="99"/>
    <w:rPr>
      <w:rFonts w:cs="Times New Roman"/>
    </w:rPr>
  </w:style>
  <w:style w:type="character" w:customStyle="1" w:styleId="92">
    <w:name w:val="bds_more1"/>
    <w:qFormat/>
    <w:uiPriority w:val="99"/>
    <w:rPr>
      <w:rFonts w:ascii="宋体" w:hAnsi="宋体" w:eastAsia="宋体"/>
    </w:rPr>
  </w:style>
  <w:style w:type="character" w:customStyle="1" w:styleId="93">
    <w:name w:val="Body Text Indent 2 Char"/>
    <w:qFormat/>
    <w:locked/>
    <w:uiPriority w:val="99"/>
    <w:rPr>
      <w:rFonts w:ascii="宋体" w:eastAsia="宋体"/>
      <w:sz w:val="24"/>
    </w:rPr>
  </w:style>
  <w:style w:type="character" w:customStyle="1" w:styleId="94">
    <w:name w:val="org_name"/>
    <w:basedOn w:val="41"/>
    <w:qFormat/>
    <w:uiPriority w:val="99"/>
    <w:rPr>
      <w:rFonts w:cs="Times New Roman"/>
    </w:rPr>
  </w:style>
  <w:style w:type="character" w:customStyle="1" w:styleId="95">
    <w:name w:val="org_name2"/>
    <w:basedOn w:val="41"/>
    <w:qFormat/>
    <w:uiPriority w:val="99"/>
    <w:rPr>
      <w:rFonts w:cs="Times New Roman"/>
    </w:rPr>
  </w:style>
  <w:style w:type="character" w:customStyle="1" w:styleId="96">
    <w:name w:val="tip10"/>
    <w:qFormat/>
    <w:uiPriority w:val="99"/>
    <w:rPr>
      <w:vanish/>
      <w:color w:val="FF0000"/>
      <w:sz w:val="18"/>
    </w:rPr>
  </w:style>
  <w:style w:type="character" w:customStyle="1" w:styleId="97">
    <w:name w:val="orange"/>
    <w:qFormat/>
    <w:uiPriority w:val="99"/>
    <w:rPr>
      <w:color w:val="3FB58F"/>
    </w:rPr>
  </w:style>
  <w:style w:type="character" w:customStyle="1" w:styleId="98">
    <w:name w:val="bds_more"/>
    <w:basedOn w:val="41"/>
    <w:qFormat/>
    <w:uiPriority w:val="99"/>
    <w:rPr>
      <w:rFonts w:cs="Times New Roman"/>
    </w:rPr>
  </w:style>
  <w:style w:type="character" w:customStyle="1" w:styleId="99">
    <w:name w:val="t-tag"/>
    <w:qFormat/>
    <w:uiPriority w:val="99"/>
    <w:rPr>
      <w:color w:val="FFFFFF"/>
      <w:sz w:val="18"/>
      <w:shd w:val="clear" w:color="auto" w:fill="FE8833"/>
    </w:rPr>
  </w:style>
  <w:style w:type="character" w:customStyle="1" w:styleId="100">
    <w:name w:val="top-icon"/>
    <w:basedOn w:val="41"/>
    <w:qFormat/>
    <w:uiPriority w:val="99"/>
    <w:rPr>
      <w:rFonts w:cs="Times New Roman"/>
    </w:rPr>
  </w:style>
  <w:style w:type="character" w:customStyle="1" w:styleId="101">
    <w:name w:val="Body Text Char"/>
    <w:qFormat/>
    <w:locked/>
    <w:uiPriority w:val="99"/>
    <w:rPr>
      <w:sz w:val="24"/>
    </w:rPr>
  </w:style>
  <w:style w:type="character" w:customStyle="1" w:styleId="102">
    <w:name w:val="no72"/>
    <w:basedOn w:val="41"/>
    <w:qFormat/>
    <w:uiPriority w:val="99"/>
    <w:rPr>
      <w:rFonts w:cs="Times New Roman"/>
    </w:rPr>
  </w:style>
  <w:style w:type="character" w:customStyle="1" w:styleId="103">
    <w:name w:val="bds_nopic2"/>
    <w:basedOn w:val="41"/>
    <w:qFormat/>
    <w:uiPriority w:val="99"/>
    <w:rPr>
      <w:rFonts w:cs="Times New Roman"/>
    </w:rPr>
  </w:style>
  <w:style w:type="character" w:customStyle="1" w:styleId="104">
    <w:name w:val="Document Map Char"/>
    <w:qFormat/>
    <w:uiPriority w:val="99"/>
    <w:rPr>
      <w:rFonts w:ascii="宋体"/>
      <w:sz w:val="18"/>
    </w:rPr>
  </w:style>
  <w:style w:type="character" w:customStyle="1" w:styleId="105">
    <w:name w:val="no6"/>
    <w:basedOn w:val="41"/>
    <w:qFormat/>
    <w:uiPriority w:val="99"/>
    <w:rPr>
      <w:rFonts w:cs="Times New Roman"/>
    </w:rPr>
  </w:style>
  <w:style w:type="character" w:customStyle="1" w:styleId="106">
    <w:name w:val="tip"/>
    <w:qFormat/>
    <w:uiPriority w:val="99"/>
    <w:rPr>
      <w:vanish/>
      <w:color w:val="FF0000"/>
      <w:sz w:val="18"/>
    </w:rPr>
  </w:style>
  <w:style w:type="character" w:customStyle="1" w:styleId="107">
    <w:name w:val="apple-converted-space"/>
    <w:basedOn w:val="41"/>
    <w:qFormat/>
    <w:uiPriority w:val="99"/>
    <w:rPr>
      <w:rFonts w:cs="Times New Roman"/>
    </w:rPr>
  </w:style>
  <w:style w:type="character" w:customStyle="1" w:styleId="108">
    <w:name w:val="bds_more2"/>
    <w:basedOn w:val="41"/>
    <w:qFormat/>
    <w:uiPriority w:val="99"/>
    <w:rPr>
      <w:rFonts w:cs="Times New Roman"/>
    </w:rPr>
  </w:style>
  <w:style w:type="character" w:customStyle="1" w:styleId="109">
    <w:name w:val="my-class"/>
    <w:basedOn w:val="41"/>
    <w:qFormat/>
    <w:uiPriority w:val="99"/>
    <w:rPr>
      <w:rFonts w:cs="Times New Roman"/>
    </w:rPr>
  </w:style>
  <w:style w:type="character" w:customStyle="1" w:styleId="110">
    <w:name w:val="ui-bz-bg-hover"/>
    <w:qFormat/>
    <w:uiPriority w:val="99"/>
    <w:rPr>
      <w:shd w:val="clear" w:color="auto" w:fill="000000"/>
    </w:rPr>
  </w:style>
  <w:style w:type="character" w:customStyle="1" w:styleId="111">
    <w:name w:val="no7"/>
    <w:basedOn w:val="41"/>
    <w:qFormat/>
    <w:uiPriority w:val="99"/>
    <w:rPr>
      <w:rFonts w:cs="Times New Roman"/>
    </w:rPr>
  </w:style>
  <w:style w:type="character" w:customStyle="1" w:styleId="112">
    <w:name w:val="正文缩进 字符"/>
    <w:link w:val="10"/>
    <w:qFormat/>
    <w:locked/>
    <w:uiPriority w:val="99"/>
    <w:rPr>
      <w:rFonts w:ascii="Times New Roman" w:hAnsi="Times New Roman" w:eastAsia="宋体" w:cs="Times New Roman"/>
      <w:kern w:val="0"/>
      <w:sz w:val="24"/>
      <w:szCs w:val="20"/>
    </w:rPr>
  </w:style>
  <w:style w:type="character" w:customStyle="1" w:styleId="113">
    <w:name w:val="ico-jiang1"/>
    <w:basedOn w:val="41"/>
    <w:qFormat/>
    <w:uiPriority w:val="99"/>
    <w:rPr>
      <w:rFonts w:cs="Times New Roman"/>
    </w:rPr>
  </w:style>
  <w:style w:type="character" w:customStyle="1" w:styleId="114">
    <w:name w:val="no62"/>
    <w:basedOn w:val="41"/>
    <w:qFormat/>
    <w:uiPriority w:val="99"/>
    <w:rPr>
      <w:rFonts w:cs="Times New Roman"/>
    </w:rPr>
  </w:style>
  <w:style w:type="character" w:customStyle="1" w:styleId="115">
    <w:name w:val="orange5"/>
    <w:qFormat/>
    <w:uiPriority w:val="99"/>
    <w:rPr>
      <w:color w:val="3FB58F"/>
    </w:rPr>
  </w:style>
  <w:style w:type="character" w:customStyle="1" w:styleId="116">
    <w:name w:val="bds_more4"/>
    <w:basedOn w:val="41"/>
    <w:qFormat/>
    <w:uiPriority w:val="99"/>
    <w:rPr>
      <w:rFonts w:cs="Times New Roman"/>
    </w:rPr>
  </w:style>
  <w:style w:type="character" w:customStyle="1" w:styleId="117">
    <w:name w:val="no5"/>
    <w:basedOn w:val="41"/>
    <w:qFormat/>
    <w:uiPriority w:val="99"/>
    <w:rPr>
      <w:rFonts w:cs="Times New Roman"/>
    </w:rPr>
  </w:style>
  <w:style w:type="character" w:customStyle="1" w:styleId="118">
    <w:name w:val="bds_more3"/>
    <w:basedOn w:val="41"/>
    <w:qFormat/>
    <w:uiPriority w:val="99"/>
    <w:rPr>
      <w:rFonts w:cs="Times New Roman"/>
    </w:rPr>
  </w:style>
  <w:style w:type="character" w:customStyle="1" w:styleId="119">
    <w:name w:val="no42"/>
    <w:basedOn w:val="41"/>
    <w:qFormat/>
    <w:uiPriority w:val="99"/>
    <w:rPr>
      <w:rFonts w:cs="Times New Roman"/>
    </w:rPr>
  </w:style>
  <w:style w:type="character" w:customStyle="1" w:styleId="120">
    <w:name w:val="bds_nopic1"/>
    <w:basedOn w:val="41"/>
    <w:qFormat/>
    <w:uiPriority w:val="99"/>
    <w:rPr>
      <w:rFonts w:cs="Times New Roman"/>
    </w:rPr>
  </w:style>
  <w:style w:type="character" w:customStyle="1" w:styleId="121">
    <w:name w:val="my-notice1"/>
    <w:basedOn w:val="41"/>
    <w:qFormat/>
    <w:uiPriority w:val="99"/>
    <w:rPr>
      <w:rFonts w:cs="Times New Roman"/>
    </w:rPr>
  </w:style>
  <w:style w:type="character" w:customStyle="1" w:styleId="122">
    <w:name w:val="orange6"/>
    <w:qFormat/>
    <w:uiPriority w:val="99"/>
    <w:rPr>
      <w:color w:val="3FB58F"/>
    </w:rPr>
  </w:style>
  <w:style w:type="character" w:customStyle="1" w:styleId="123">
    <w:name w:val="Document Map Char2"/>
    <w:qFormat/>
    <w:locked/>
    <w:uiPriority w:val="99"/>
    <w:rPr>
      <w:rFonts w:ascii="宋体"/>
      <w:sz w:val="18"/>
    </w:rPr>
  </w:style>
  <w:style w:type="character" w:customStyle="1" w:styleId="124">
    <w:name w:val="ico-jiang3"/>
    <w:basedOn w:val="41"/>
    <w:qFormat/>
    <w:uiPriority w:val="99"/>
    <w:rPr>
      <w:rFonts w:cs="Times New Roman"/>
    </w:rPr>
  </w:style>
  <w:style w:type="character" w:customStyle="1" w:styleId="125">
    <w:name w:val="tip13"/>
    <w:qFormat/>
    <w:uiPriority w:val="99"/>
    <w:rPr>
      <w:vanish/>
      <w:color w:val="FF0000"/>
      <w:sz w:val="18"/>
    </w:rPr>
  </w:style>
  <w:style w:type="character" w:customStyle="1" w:styleId="126">
    <w:name w:val="正文文本缩进 2 字符"/>
    <w:basedOn w:val="41"/>
    <w:link w:val="21"/>
    <w:qFormat/>
    <w:uiPriority w:val="99"/>
    <w:rPr>
      <w:rFonts w:ascii="宋体" w:hAnsi="Calibri" w:eastAsia="宋体" w:cs="Times New Roman"/>
      <w:kern w:val="0"/>
      <w:sz w:val="24"/>
      <w:szCs w:val="20"/>
    </w:rPr>
  </w:style>
  <w:style w:type="character" w:customStyle="1" w:styleId="127">
    <w:name w:val="Body Text Indent 2 Char1"/>
    <w:basedOn w:val="41"/>
    <w:semiHidden/>
    <w:qFormat/>
    <w:locked/>
    <w:uiPriority w:val="99"/>
    <w:rPr>
      <w:rFonts w:cs="Times New Roman"/>
    </w:rPr>
  </w:style>
  <w:style w:type="character" w:customStyle="1" w:styleId="128">
    <w:name w:val="正文文本缩进 3 字符"/>
    <w:basedOn w:val="41"/>
    <w:link w:val="29"/>
    <w:qFormat/>
    <w:uiPriority w:val="99"/>
    <w:rPr>
      <w:rFonts w:ascii="宋体" w:hAnsi="Calibri" w:eastAsia="宋体" w:cs="Times New Roman"/>
      <w:kern w:val="0"/>
      <w:sz w:val="20"/>
      <w:szCs w:val="20"/>
    </w:rPr>
  </w:style>
  <w:style w:type="character" w:customStyle="1" w:styleId="129">
    <w:name w:val="Body Text Indent 3 Char1"/>
    <w:basedOn w:val="41"/>
    <w:semiHidden/>
    <w:qFormat/>
    <w:locked/>
    <w:uiPriority w:val="99"/>
    <w:rPr>
      <w:rFonts w:cs="Times New Roman"/>
      <w:sz w:val="16"/>
      <w:szCs w:val="16"/>
    </w:rPr>
  </w:style>
  <w:style w:type="character" w:customStyle="1" w:styleId="130">
    <w:name w:val="文档结构图 字符"/>
    <w:basedOn w:val="41"/>
    <w:link w:val="11"/>
    <w:qFormat/>
    <w:uiPriority w:val="99"/>
    <w:rPr>
      <w:rFonts w:ascii="宋体" w:hAnsi="Calibri" w:eastAsia="宋体" w:cs="Times New Roman"/>
      <w:kern w:val="0"/>
      <w:sz w:val="18"/>
      <w:szCs w:val="20"/>
    </w:rPr>
  </w:style>
  <w:style w:type="character" w:customStyle="1" w:styleId="131">
    <w:name w:val="Document Map Char3"/>
    <w:basedOn w:val="41"/>
    <w:semiHidden/>
    <w:qFormat/>
    <w:locked/>
    <w:uiPriority w:val="99"/>
    <w:rPr>
      <w:rFonts w:ascii="Times New Roman" w:hAnsi="Times New Roman" w:cs="Times New Roman"/>
      <w:sz w:val="2"/>
    </w:rPr>
  </w:style>
  <w:style w:type="paragraph" w:customStyle="1" w:styleId="132">
    <w:name w:val="_Style 1"/>
    <w:basedOn w:val="1"/>
    <w:qFormat/>
    <w:uiPriority w:val="99"/>
    <w:pPr>
      <w:ind w:firstLine="420" w:firstLineChars="200"/>
    </w:pPr>
    <w:rPr>
      <w:rFonts w:ascii="Times New Roman" w:hAnsi="Times New Roman" w:eastAsia="宋体" w:cs="Times New Roman"/>
      <w:szCs w:val="24"/>
    </w:rPr>
  </w:style>
  <w:style w:type="character" w:customStyle="1" w:styleId="133">
    <w:name w:val="正文文本 字符"/>
    <w:basedOn w:val="41"/>
    <w:link w:val="14"/>
    <w:qFormat/>
    <w:uiPriority w:val="99"/>
    <w:rPr>
      <w:rFonts w:ascii="Calibri" w:hAnsi="Calibri" w:eastAsia="宋体" w:cs="Times New Roman"/>
      <w:kern w:val="0"/>
      <w:sz w:val="24"/>
      <w:szCs w:val="20"/>
    </w:rPr>
  </w:style>
  <w:style w:type="character" w:customStyle="1" w:styleId="134">
    <w:name w:val="Body Text Char1"/>
    <w:basedOn w:val="41"/>
    <w:semiHidden/>
    <w:qFormat/>
    <w:locked/>
    <w:uiPriority w:val="99"/>
    <w:rPr>
      <w:rFonts w:cs="Times New Roman"/>
    </w:rPr>
  </w:style>
  <w:style w:type="paragraph" w:customStyle="1" w:styleId="135">
    <w:name w:val="_Style 21"/>
    <w:basedOn w:val="1"/>
    <w:qFormat/>
    <w:uiPriority w:val="99"/>
    <w:rPr>
      <w:rFonts w:ascii="Times New Roman" w:hAnsi="Times New Roman" w:eastAsia="宋体" w:cs="Times New Roman"/>
      <w:szCs w:val="20"/>
    </w:rPr>
  </w:style>
  <w:style w:type="paragraph" w:customStyle="1" w:styleId="136">
    <w:name w:val="p0"/>
    <w:basedOn w:val="1"/>
    <w:qFormat/>
    <w:uiPriority w:val="99"/>
    <w:pPr>
      <w:widowControl/>
    </w:pPr>
    <w:rPr>
      <w:rFonts w:ascii="Times New Roman" w:hAnsi="Times New Roman" w:eastAsia="宋体" w:cs="Times New Roman"/>
      <w:kern w:val="0"/>
      <w:szCs w:val="21"/>
    </w:rPr>
  </w:style>
  <w:style w:type="paragraph" w:customStyle="1" w:styleId="137">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8">
    <w:name w:val="xl25"/>
    <w:basedOn w:val="1"/>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39">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40">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41">
    <w:name w:val="列出段落11"/>
    <w:basedOn w:val="1"/>
    <w:qFormat/>
    <w:uiPriority w:val="99"/>
    <w:pPr>
      <w:ind w:firstLine="420" w:firstLineChars="200"/>
    </w:pPr>
    <w:rPr>
      <w:rFonts w:ascii="Times New Roman" w:hAnsi="Times New Roman" w:eastAsia="宋体" w:cs="Times New Roman"/>
      <w:szCs w:val="24"/>
    </w:rPr>
  </w:style>
  <w:style w:type="paragraph" w:customStyle="1" w:styleId="142">
    <w:name w:val="_Style 2"/>
    <w:basedOn w:val="1"/>
    <w:qFormat/>
    <w:uiPriority w:val="99"/>
    <w:pPr>
      <w:ind w:firstLine="420" w:firstLineChars="200"/>
    </w:pPr>
    <w:rPr>
      <w:rFonts w:ascii="Calibri" w:hAnsi="Calibri" w:eastAsia="宋体" w:cs="Times New Roman"/>
    </w:rPr>
  </w:style>
  <w:style w:type="paragraph" w:customStyle="1" w:styleId="143">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4">
    <w:name w:val="_Style 11"/>
    <w:basedOn w:val="1"/>
    <w:qFormat/>
    <w:uiPriority w:val="99"/>
    <w:rPr>
      <w:rFonts w:ascii="Times New Roman" w:hAnsi="Times New Roman" w:eastAsia="宋体" w:cs="Times New Roman"/>
      <w:szCs w:val="24"/>
    </w:rPr>
  </w:style>
  <w:style w:type="paragraph" w:customStyle="1" w:styleId="145">
    <w:name w:val="Char"/>
    <w:basedOn w:val="1"/>
    <w:qFormat/>
    <w:uiPriority w:val="99"/>
    <w:rPr>
      <w:rFonts w:ascii="Times New Roman" w:hAnsi="Times New Roman" w:eastAsia="宋体" w:cs="Times New Roman"/>
      <w:szCs w:val="21"/>
    </w:rPr>
  </w:style>
  <w:style w:type="paragraph" w:customStyle="1" w:styleId="146">
    <w:name w:val="列出段落12"/>
    <w:basedOn w:val="1"/>
    <w:qFormat/>
    <w:uiPriority w:val="99"/>
    <w:pPr>
      <w:ind w:firstLine="420" w:firstLineChars="200"/>
    </w:pPr>
    <w:rPr>
      <w:rFonts w:ascii="Times New Roman" w:hAnsi="Times New Roman" w:eastAsia="宋体" w:cs="Times New Roman"/>
      <w:szCs w:val="24"/>
    </w:rPr>
  </w:style>
  <w:style w:type="paragraph" w:customStyle="1" w:styleId="147">
    <w:name w:val="列出段落2"/>
    <w:basedOn w:val="1"/>
    <w:qFormat/>
    <w:uiPriority w:val="99"/>
    <w:pPr>
      <w:ind w:firstLine="420" w:firstLineChars="200"/>
    </w:pPr>
    <w:rPr>
      <w:rFonts w:ascii="Times New Roman" w:hAnsi="Times New Roman" w:eastAsia="宋体" w:cs="Times New Roman"/>
      <w:szCs w:val="24"/>
    </w:rPr>
  </w:style>
  <w:style w:type="paragraph" w:customStyle="1" w:styleId="148">
    <w:name w:val="TOC 标题1"/>
    <w:basedOn w:val="4"/>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49">
    <w:name w:val="正文文本缩进 31"/>
    <w:basedOn w:val="1"/>
    <w:qFormat/>
    <w:uiPriority w:val="99"/>
    <w:pPr>
      <w:spacing w:line="440" w:lineRule="exact"/>
      <w:ind w:firstLine="412" w:firstLineChars="200"/>
    </w:pPr>
    <w:rPr>
      <w:rFonts w:ascii="宋体" w:hAnsi="宋体" w:eastAsia="宋体" w:cs="Times New Roman"/>
      <w:kern w:val="0"/>
      <w:sz w:val="20"/>
      <w:szCs w:val="20"/>
    </w:rPr>
  </w:style>
  <w:style w:type="character" w:customStyle="1" w:styleId="150">
    <w:name w:val="font41"/>
    <w:qFormat/>
    <w:uiPriority w:val="99"/>
    <w:rPr>
      <w:rFonts w:hint="eastAsia" w:ascii="宋体" w:hAnsi="宋体" w:eastAsia="宋体" w:cs="宋体"/>
      <w:b/>
      <w:color w:val="000000"/>
      <w:sz w:val="22"/>
      <w:szCs w:val="22"/>
      <w:u w:val="none"/>
    </w:rPr>
  </w:style>
  <w:style w:type="character" w:customStyle="1" w:styleId="151">
    <w:name w:val="font81"/>
    <w:qFormat/>
    <w:uiPriority w:val="99"/>
    <w:rPr>
      <w:rFonts w:hint="eastAsia" w:ascii="宋体" w:hAnsi="宋体" w:eastAsia="宋体" w:cs="宋体"/>
      <w:b/>
      <w:color w:val="000000"/>
      <w:sz w:val="22"/>
      <w:szCs w:val="22"/>
      <w:u w:val="none"/>
    </w:rPr>
  </w:style>
  <w:style w:type="character" w:customStyle="1" w:styleId="152">
    <w:name w:val="font21"/>
    <w:basedOn w:val="41"/>
    <w:qFormat/>
    <w:uiPriority w:val="0"/>
    <w:rPr>
      <w:rFonts w:hint="eastAsia" w:ascii="宋体" w:hAnsi="宋体" w:eastAsia="宋体" w:cs="宋体"/>
      <w:color w:val="000000"/>
      <w:sz w:val="18"/>
      <w:szCs w:val="18"/>
      <w:u w:val="none"/>
    </w:rPr>
  </w:style>
  <w:style w:type="character" w:customStyle="1" w:styleId="153">
    <w:name w:val="日期 字符"/>
    <w:link w:val="20"/>
    <w:qFormat/>
    <w:uiPriority w:val="0"/>
    <w:rPr>
      <w:szCs w:val="21"/>
    </w:rPr>
  </w:style>
  <w:style w:type="character" w:customStyle="1" w:styleId="154">
    <w:name w:val="font01"/>
    <w:qFormat/>
    <w:uiPriority w:val="99"/>
    <w:rPr>
      <w:rFonts w:hint="eastAsia" w:ascii="宋体" w:hAnsi="宋体" w:eastAsia="宋体" w:cs="宋体"/>
      <w:color w:val="000000"/>
      <w:sz w:val="22"/>
      <w:szCs w:val="22"/>
      <w:u w:val="none"/>
    </w:rPr>
  </w:style>
  <w:style w:type="character" w:customStyle="1" w:styleId="155">
    <w:name w:val="Char Char1"/>
    <w:qFormat/>
    <w:uiPriority w:val="0"/>
    <w:rPr>
      <w:rFonts w:eastAsia="宋体"/>
      <w:kern w:val="2"/>
      <w:sz w:val="18"/>
      <w:szCs w:val="18"/>
      <w:lang w:val="en-US" w:eastAsia="zh-CN" w:bidi="ar-SA"/>
    </w:rPr>
  </w:style>
  <w:style w:type="character" w:customStyle="1" w:styleId="156">
    <w:name w:val="标题 字符"/>
    <w:link w:val="36"/>
    <w:qFormat/>
    <w:uiPriority w:val="0"/>
    <w:rPr>
      <w:rFonts w:ascii="Cambria" w:hAnsi="Cambria" w:cs="Times New Roman"/>
      <w:b/>
      <w:bCs/>
      <w:sz w:val="32"/>
      <w:szCs w:val="32"/>
    </w:rPr>
  </w:style>
  <w:style w:type="character" w:customStyle="1" w:styleId="157">
    <w:name w:val="hei141"/>
    <w:qFormat/>
    <w:uiPriority w:val="0"/>
    <w:rPr>
      <w:rFonts w:hint="eastAsia" w:ascii="宋体" w:hAnsi="宋体" w:eastAsia="宋体"/>
      <w:color w:val="000000"/>
      <w:sz w:val="19"/>
      <w:szCs w:val="19"/>
      <w:u w:val="none"/>
    </w:rPr>
  </w:style>
  <w:style w:type="character" w:customStyle="1" w:styleId="158">
    <w:name w:val="批注文字 字符"/>
    <w:link w:val="13"/>
    <w:qFormat/>
    <w:uiPriority w:val="0"/>
  </w:style>
  <w:style w:type="character" w:customStyle="1" w:styleId="159">
    <w:name w:val="apple-style-span"/>
    <w:basedOn w:val="41"/>
    <w:qFormat/>
    <w:uiPriority w:val="0"/>
  </w:style>
  <w:style w:type="character" w:customStyle="1" w:styleId="160">
    <w:name w:val="param-value"/>
    <w:qFormat/>
    <w:uiPriority w:val="99"/>
    <w:rPr>
      <w:rFonts w:cs="Times New Roman"/>
    </w:rPr>
  </w:style>
  <w:style w:type="character" w:customStyle="1" w:styleId="161">
    <w:name w:val="font61"/>
    <w:qFormat/>
    <w:uiPriority w:val="0"/>
    <w:rPr>
      <w:rFonts w:hint="eastAsia" w:ascii="宋体" w:hAnsi="宋体" w:eastAsia="宋体" w:cs="宋体"/>
      <w:color w:val="000000"/>
      <w:sz w:val="22"/>
      <w:szCs w:val="22"/>
      <w:u w:val="none"/>
    </w:rPr>
  </w:style>
  <w:style w:type="character" w:customStyle="1" w:styleId="162">
    <w:name w:val="font11"/>
    <w:qFormat/>
    <w:uiPriority w:val="0"/>
    <w:rPr>
      <w:rFonts w:hint="eastAsia" w:ascii="宋体" w:hAnsi="宋体" w:eastAsia="宋体" w:cs="宋体"/>
      <w:color w:val="FF0000"/>
      <w:sz w:val="22"/>
      <w:szCs w:val="22"/>
      <w:u w:val="none"/>
    </w:rPr>
  </w:style>
  <w:style w:type="character" w:customStyle="1" w:styleId="163">
    <w:name w:val="批注主题 字符"/>
    <w:link w:val="37"/>
    <w:qFormat/>
    <w:uiPriority w:val="0"/>
    <w:rPr>
      <w:b/>
      <w:bCs/>
    </w:rPr>
  </w:style>
  <w:style w:type="character" w:customStyle="1" w:styleId="164">
    <w:name w:val="批注文字 Char1"/>
    <w:basedOn w:val="41"/>
    <w:semiHidden/>
    <w:qFormat/>
    <w:uiPriority w:val="99"/>
  </w:style>
  <w:style w:type="paragraph" w:customStyle="1" w:styleId="165">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6">
    <w:name w:val="批注主题 Char1"/>
    <w:basedOn w:val="164"/>
    <w:semiHidden/>
    <w:qFormat/>
    <w:uiPriority w:val="99"/>
    <w:rPr>
      <w:b/>
      <w:bCs/>
    </w:rPr>
  </w:style>
  <w:style w:type="paragraph" w:customStyle="1" w:styleId="167">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8">
    <w:name w:val="日期 Char1"/>
    <w:basedOn w:val="41"/>
    <w:semiHidden/>
    <w:qFormat/>
    <w:uiPriority w:val="99"/>
  </w:style>
  <w:style w:type="paragraph" w:customStyle="1" w:styleId="169">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0">
    <w:name w:val="脚注文本 字符"/>
    <w:basedOn w:val="41"/>
    <w:link w:val="27"/>
    <w:semiHidden/>
    <w:qFormat/>
    <w:uiPriority w:val="0"/>
    <w:rPr>
      <w:rFonts w:ascii="Times New Roman" w:hAnsi="Times New Roman" w:eastAsia="宋体" w:cs="Times New Roman"/>
      <w:sz w:val="18"/>
      <w:szCs w:val="18"/>
    </w:rPr>
  </w:style>
  <w:style w:type="paragraph" w:customStyle="1" w:styleId="171">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2">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3">
    <w:name w:val="标题 Char1"/>
    <w:basedOn w:val="41"/>
    <w:qFormat/>
    <w:uiPriority w:val="10"/>
    <w:rPr>
      <w:rFonts w:eastAsia="宋体" w:asciiTheme="majorHAnsi" w:hAnsiTheme="majorHAnsi" w:cstheme="majorBidi"/>
      <w:b/>
      <w:bCs/>
      <w:sz w:val="32"/>
      <w:szCs w:val="32"/>
    </w:rPr>
  </w:style>
  <w:style w:type="paragraph" w:customStyle="1" w:styleId="174">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5">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77">
    <w:name w:val="List Paragraph1"/>
    <w:basedOn w:val="1"/>
    <w:qFormat/>
    <w:uiPriority w:val="0"/>
    <w:pPr>
      <w:ind w:firstLine="420" w:firstLineChars="200"/>
    </w:pPr>
    <w:rPr>
      <w:rFonts w:ascii="Times New Roman" w:hAnsi="Times New Roman" w:eastAsia="宋体" w:cs="Times New Roman"/>
      <w:szCs w:val="24"/>
    </w:rPr>
  </w:style>
  <w:style w:type="paragraph" w:customStyle="1" w:styleId="178">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9">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0">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1">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2">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3">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4">
    <w:name w:val="列出段落3"/>
    <w:basedOn w:val="1"/>
    <w:qFormat/>
    <w:uiPriority w:val="0"/>
    <w:pPr>
      <w:ind w:firstLine="420" w:firstLineChars="200"/>
    </w:pPr>
    <w:rPr>
      <w:rFonts w:ascii="Times New Roman" w:hAnsi="Times New Roman" w:eastAsia="宋体" w:cs="Times New Roman"/>
      <w:szCs w:val="24"/>
    </w:rPr>
  </w:style>
  <w:style w:type="character" w:customStyle="1" w:styleId="185">
    <w:name w:val="Char Char12"/>
    <w:qFormat/>
    <w:uiPriority w:val="0"/>
    <w:rPr>
      <w:rFonts w:eastAsia="宋体"/>
      <w:kern w:val="2"/>
      <w:sz w:val="18"/>
      <w:szCs w:val="18"/>
      <w:lang w:val="en-US" w:eastAsia="zh-CN" w:bidi="ar-SA"/>
    </w:rPr>
  </w:style>
  <w:style w:type="paragraph" w:customStyle="1" w:styleId="186">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7">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列出段落4"/>
    <w:basedOn w:val="1"/>
    <w:qFormat/>
    <w:uiPriority w:val="0"/>
    <w:pPr>
      <w:ind w:firstLine="420" w:firstLineChars="200"/>
    </w:pPr>
    <w:rPr>
      <w:rFonts w:ascii="Times New Roman" w:hAnsi="Times New Roman" w:eastAsia="宋体" w:cs="Times New Roman"/>
      <w:szCs w:val="24"/>
    </w:rPr>
  </w:style>
  <w:style w:type="character" w:customStyle="1" w:styleId="189">
    <w:name w:val="Char Char11"/>
    <w:qFormat/>
    <w:uiPriority w:val="0"/>
    <w:rPr>
      <w:rFonts w:eastAsia="宋体"/>
      <w:kern w:val="2"/>
      <w:sz w:val="18"/>
      <w:szCs w:val="18"/>
      <w:lang w:val="en-US" w:eastAsia="zh-CN" w:bidi="ar-SA"/>
    </w:rPr>
  </w:style>
  <w:style w:type="paragraph" w:customStyle="1" w:styleId="190">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1">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2">
    <w:name w:val="列出段落5"/>
    <w:basedOn w:val="1"/>
    <w:qFormat/>
    <w:uiPriority w:val="0"/>
    <w:pPr>
      <w:ind w:firstLine="420" w:firstLineChars="200"/>
    </w:pPr>
    <w:rPr>
      <w:rFonts w:ascii="Times New Roman" w:hAnsi="Times New Roman" w:eastAsia="宋体" w:cs="Times New Roman"/>
      <w:szCs w:val="24"/>
    </w:rPr>
  </w:style>
  <w:style w:type="character" w:customStyle="1" w:styleId="193">
    <w:name w:val="纯文本 字符"/>
    <w:link w:val="17"/>
    <w:qFormat/>
    <w:uiPriority w:val="0"/>
    <w:rPr>
      <w:rFonts w:ascii="宋体" w:hAnsi="Courier New" w:eastAsia="宋体"/>
      <w:szCs w:val="21"/>
    </w:rPr>
  </w:style>
  <w:style w:type="character" w:customStyle="1" w:styleId="194">
    <w:name w:val="纯文本 Char1"/>
    <w:basedOn w:val="41"/>
    <w:semiHidden/>
    <w:qFormat/>
    <w:uiPriority w:val="99"/>
    <w:rPr>
      <w:rFonts w:ascii="宋体" w:hAnsi="Courier New" w:eastAsia="宋体" w:cs="Courier New"/>
      <w:szCs w:val="21"/>
    </w:rPr>
  </w:style>
  <w:style w:type="paragraph" w:customStyle="1" w:styleId="195">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6">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7">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paragraph" w:customStyle="1" w:styleId="198">
    <w:name w:val="正文缩进2格"/>
    <w:basedOn w:val="1"/>
    <w:link w:val="199"/>
    <w:qFormat/>
    <w:uiPriority w:val="0"/>
    <w:pPr>
      <w:spacing w:line="600" w:lineRule="exact"/>
      <w:ind w:firstLine="639" w:firstLineChars="206"/>
    </w:pPr>
    <w:rPr>
      <w:rFonts w:ascii="仿宋_GB2312" w:hAnsi="宋体" w:eastAsia="仿宋_GB2312" w:cs="Times New Roman"/>
      <w:sz w:val="31"/>
      <w:szCs w:val="28"/>
    </w:rPr>
  </w:style>
  <w:style w:type="character" w:customStyle="1" w:styleId="199">
    <w:name w:val="正文缩进2格 Char"/>
    <w:link w:val="198"/>
    <w:qFormat/>
    <w:uiPriority w:val="0"/>
    <w:rPr>
      <w:rFonts w:ascii="仿宋_GB2312" w:hAnsi="宋体" w:eastAsia="仿宋_GB2312" w:cs="Times New Roman"/>
      <w:sz w:val="31"/>
      <w:szCs w:val="28"/>
    </w:rPr>
  </w:style>
  <w:style w:type="paragraph" w:customStyle="1" w:styleId="200">
    <w:name w:val="文件抬头"/>
    <w:qFormat/>
    <w:uiPriority w:val="0"/>
    <w:pPr>
      <w:widowControl w:val="0"/>
      <w:jc w:val="both"/>
    </w:pPr>
    <w:rPr>
      <w:rFonts w:ascii="Calibri" w:hAnsi="Calibri" w:eastAsia="仿宋_GB2312" w:cs="Times New Roman"/>
      <w:kern w:val="2"/>
      <w:sz w:val="32"/>
      <w:szCs w:val="21"/>
      <w:lang w:val="en-US" w:eastAsia="zh-CN" w:bidi="ar-SA"/>
    </w:rPr>
  </w:style>
  <w:style w:type="paragraph" w:styleId="201">
    <w:name w:val="List Paragraph"/>
    <w:basedOn w:val="1"/>
    <w:qFormat/>
    <w:uiPriority w:val="34"/>
    <w:pPr>
      <w:ind w:firstLine="420" w:firstLineChars="200"/>
    </w:pPr>
  </w:style>
  <w:style w:type="paragraph" w:customStyle="1" w:styleId="202">
    <w:name w:val="普通正文"/>
    <w:basedOn w:val="1"/>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 w:type="character" w:customStyle="1" w:styleId="203">
    <w:name w:val="正文文本首行缩进 字符"/>
    <w:basedOn w:val="133"/>
    <w:link w:val="38"/>
    <w:semiHidden/>
    <w:qFormat/>
    <w:uiPriority w:val="99"/>
    <w:rPr>
      <w:rFonts w:asciiTheme="minorHAnsi" w:hAnsiTheme="minorHAnsi" w:eastAsiaTheme="minorEastAsia" w:cstheme="minorBidi"/>
      <w:kern w:val="2"/>
      <w:sz w:val="21"/>
      <w:szCs w:val="22"/>
    </w:rPr>
  </w:style>
  <w:style w:type="paragraph" w:customStyle="1" w:styleId="204">
    <w:name w:val="Table Paragraph"/>
    <w:basedOn w:val="1"/>
    <w:qFormat/>
    <w:uiPriority w:val="1"/>
    <w:pPr>
      <w:autoSpaceDE w:val="0"/>
      <w:autoSpaceDN w:val="0"/>
      <w:jc w:val="left"/>
    </w:pPr>
    <w:rPr>
      <w:rFonts w:ascii="宋体" w:hAnsi="宋体" w:eastAsia="宋体" w:cs="宋体"/>
      <w:kern w:val="0"/>
      <w:sz w:val="22"/>
    </w:rPr>
  </w:style>
  <w:style w:type="paragraph" w:customStyle="1" w:styleId="205">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6">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07">
    <w:name w:val="font31"/>
    <w:basedOn w:val="41"/>
    <w:qFormat/>
    <w:uiPriority w:val="0"/>
    <w:rPr>
      <w:rFonts w:ascii="Calibri" w:hAnsi="Calibri" w:cs="Calibri"/>
      <w:color w:val="000000"/>
      <w:sz w:val="18"/>
      <w:szCs w:val="18"/>
      <w:u w:val="none"/>
    </w:rPr>
  </w:style>
  <w:style w:type="paragraph" w:customStyle="1" w:styleId="20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table" w:customStyle="1" w:styleId="209">
    <w:name w:val="Table Normal"/>
    <w:unhideWhenUsed/>
    <w:qFormat/>
    <w:uiPriority w:val="0"/>
    <w:tblPr>
      <w:tblCellMar>
        <w:top w:w="0" w:type="dxa"/>
        <w:left w:w="0" w:type="dxa"/>
        <w:bottom w:w="0" w:type="dxa"/>
        <w:right w:w="0" w:type="dxa"/>
      </w:tblCellMar>
    </w:tblPr>
  </w:style>
  <w:style w:type="paragraph" w:customStyle="1" w:styleId="210">
    <w:name w:val="字母编号列项"/>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1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2">
    <w:name w:val="字元 字元"/>
    <w:basedOn w:val="1"/>
    <w:qFormat/>
    <w:uiPriority w:val="0"/>
    <w:rPr>
      <w:rFonts w:ascii="Tahoma" w:hAnsi="Tahoma"/>
      <w:sz w:val="24"/>
      <w:szCs w:val="20"/>
    </w:rPr>
  </w:style>
  <w:style w:type="character" w:customStyle="1" w:styleId="213">
    <w:name w:val="font101"/>
    <w:basedOn w:val="41"/>
    <w:qFormat/>
    <w:uiPriority w:val="0"/>
    <w:rPr>
      <w:rFonts w:hint="default" w:ascii="Times New Roman" w:hAnsi="Times New Roman" w:cs="Times New Roman"/>
      <w:color w:val="000000"/>
      <w:sz w:val="24"/>
      <w:szCs w:val="24"/>
      <w:u w:val="none"/>
    </w:rPr>
  </w:style>
  <w:style w:type="paragraph" w:customStyle="1" w:styleId="214">
    <w:name w:val="Table Text"/>
    <w:basedOn w:val="1"/>
    <w:semiHidden/>
    <w:qFormat/>
    <w:uiPriority w:val="0"/>
    <w:rPr>
      <w:rFonts w:ascii="Arial" w:hAnsi="Arial" w:eastAsia="Arial" w:cs="Arial"/>
      <w:sz w:val="21"/>
      <w:szCs w:val="21"/>
      <w:lang w:val="en-US" w:eastAsia="en-US" w:bidi="ar-SA"/>
    </w:rPr>
  </w:style>
  <w:style w:type="paragraph" w:customStyle="1" w:styleId="215">
    <w:name w:val="白鹤滩正文"/>
    <w:basedOn w:val="148"/>
    <w:qFormat/>
    <w:uiPriority w:val="0"/>
    <w:pPr>
      <w:keepNext w:val="0"/>
      <w:keepLines w:val="0"/>
      <w:suppressAutoHyphens/>
      <w:spacing w:before="0" w:line="360" w:lineRule="auto"/>
      <w:ind w:firstLine="480" w:firstLineChars="200"/>
      <w:jc w:val="both"/>
    </w:pPr>
    <w:rPr>
      <w:rFonts w:ascii="Times New Roman" w:hAnsi="Times New Roman" w:eastAsia="宋体"/>
      <w:snapToGrid w:val="0"/>
      <w:color w:val="auto"/>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0C109-E789-406A-BDBA-9506EB43D9C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67</Pages>
  <Words>20772</Words>
  <Characters>22124</Characters>
  <Lines>257</Lines>
  <Paragraphs>72</Paragraphs>
  <TotalTime>28</TotalTime>
  <ScaleCrop>false</ScaleCrop>
  <LinksUpToDate>false</LinksUpToDate>
  <CharactersWithSpaces>22695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2024-07-05T12:50:00Z</dcterms:created>
  <dc:creator>Administrator</dc:creator>
  <cp:lastModifiedBy>ASUS</cp:lastModifiedBy>
  <cp:lastPrinted>2025-05-06T17:51:00Z</cp:lastPrinted>
  <dcterms:modified xsi:type="dcterms:W3CDTF">2025-06-25T08:13:28Z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EA2281F583B94261980656BF17A652C9_13</vt:lpwstr>
  </property>
  <property fmtid="{D5CDD505-2E9C-101B-9397-08002B2CF9AE}" pid="4" name="KSOTemplateDocerSaveRecord">
    <vt:lpwstr>eyJoZGlkIjoiZjI1MzBmZDIxZDU2ODRhMDkxYTIwYWVkYzc0ODkwNzkifQ==</vt:lpwstr>
  </property>
</Properties>
</file>