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公开招标-服务</w:t>
      </w:r>
      <w:r>
        <w:rPr>
          <w:rFonts w:hint="eastAsia" w:ascii="仿宋" w:hAnsi="仿宋" w:eastAsia="仿宋" w:cs="仿宋"/>
          <w:b/>
          <w:bCs/>
          <w:color w:val="auto"/>
          <w:sz w:val="28"/>
          <w:szCs w:val="28"/>
          <w:highlight w:val="none"/>
          <w:lang w:eastAsia="zh-CN"/>
        </w:rPr>
        <w:t>）</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乌鲁木齐市区内初中班学校食堂大宗食材采购配送服务项目第八包（禽蛋类食材配送服务）</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乌鲁木齐市第十五中学、乌鲁木齐市第五十八中学、乌鲁木齐市第六十六中学、乌鲁木齐市第六十七中学</w:t>
      </w:r>
    </w:p>
    <w:p w14:paraId="003989C3">
      <w:pPr>
        <w:adjustRightInd w:val="0"/>
        <w:snapToGrid w:val="0"/>
        <w:spacing w:line="480" w:lineRule="exact"/>
        <w:rPr>
          <w:rFonts w:hint="eastAsia" w:ascii="仿宋" w:hAnsi="仿宋" w:eastAsia="仿宋" w:cs="仿宋"/>
          <w:bCs/>
          <w:color w:val="auto"/>
          <w:sz w:val="32"/>
          <w:szCs w:val="32"/>
          <w:highlight w:val="none"/>
        </w:rPr>
      </w:pPr>
    </w:p>
    <w:p w14:paraId="6F64E559">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谢勇、尹飞、丁余、李晶</w:t>
      </w:r>
    </w:p>
    <w:p w14:paraId="485FF0A6">
      <w:pPr>
        <w:adjustRightInd w:val="0"/>
        <w:snapToGrid w:val="0"/>
        <w:spacing w:line="276" w:lineRule="auto"/>
        <w:jc w:val="both"/>
        <w:rPr>
          <w:rFonts w:hint="eastAsia" w:ascii="仿宋" w:hAnsi="仿宋" w:eastAsia="仿宋" w:cs="仿宋"/>
          <w:bCs/>
          <w:color w:val="auto"/>
          <w:sz w:val="32"/>
          <w:szCs w:val="24"/>
          <w:highlight w:val="none"/>
        </w:rPr>
      </w:pPr>
    </w:p>
    <w:p w14:paraId="082D02DE">
      <w:pPr>
        <w:adjustRightInd w:val="0"/>
        <w:snapToGrid w:val="0"/>
        <w:spacing w:line="276" w:lineRule="auto"/>
        <w:jc w:val="left"/>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0991-3782407、0991-6823730、0991-4352208、0991-6166888</w:t>
      </w:r>
    </w:p>
    <w:p w14:paraId="7D9DEBA1">
      <w:pPr>
        <w:rPr>
          <w:rFonts w:hint="eastAsia" w:ascii="仿宋" w:hAnsi="仿宋" w:eastAsia="仿宋" w:cs="仿宋"/>
          <w:color w:val="auto"/>
          <w:highlight w:val="none"/>
        </w:rPr>
      </w:pPr>
    </w:p>
    <w:p w14:paraId="35A8C444">
      <w:pPr>
        <w:adjustRightInd w:val="0"/>
        <w:snapToGrid w:val="0"/>
        <w:spacing w:line="48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w:t>
      </w: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马丹阳、杨凯</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3038F1FE">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BF7D7D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7BC81BA4">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_Toc30700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41B3C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AA85D5">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0B669D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_Toc8920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BD265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5250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E6F1A7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688D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_Toc29958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24571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_Toc9541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_Toc9541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921DA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_Toc3807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66EAC0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A751E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55A434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062E7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_Toc22715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2500C9E">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32D6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_Toc18122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1BAE1C">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_Toc23600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w:t>
      </w:r>
      <w:r>
        <w:rPr>
          <w:rFonts w:hint="eastAsia" w:ascii="仿宋" w:hAnsi="仿宋" w:eastAsia="仿宋" w:cs="仿宋"/>
          <w:color w:val="auto"/>
          <w:szCs w:val="24"/>
          <w:highlight w:val="none"/>
          <w:lang w:val="en-US" w:eastAsia="zh-CN"/>
        </w:rPr>
        <w:t>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31E091">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服务标准和要求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_Toc16385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EB7EE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6BC07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807E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E13E5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_Toc28562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、投标价格明细表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_Toc28562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9C25E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637FC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、技术条款偏离表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92E6C67">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AD88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、法定代表人授权委托书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_Toc11381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16568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B40F399">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、投标人近年类似项目情况表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716C3C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_Toc22229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bCs/>
          <w:color w:val="auto"/>
          <w:szCs w:val="24"/>
          <w:highlight w:val="none"/>
          <w:shd w:val="clear" w:color="auto" w:fill="FFFFFF" w:themeFill="background1"/>
        </w:rPr>
        <w:t>项目负责人简历表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DA5A9B">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_Toc24467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十一</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_Toc24467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F5956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542772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、保证金缴纳证明材料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_Toc12468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47B694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_Toc29087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、其它需要提交的资料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158BC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566DFC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_Toc5592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1</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中小企业扶持政策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401A90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_Toc20667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2</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残疾人企业扶持政策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76C37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_Toc11453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3</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监狱扶持政策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_Toc11453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B88218">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07DFEE24">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auto"/>
          <w:sz w:val="24"/>
          <w:szCs w:val="24"/>
          <w:highlight w:val="none"/>
        </w:rPr>
      </w:pPr>
      <w:bookmarkStart w:id="0" w:name="_Toc30700"/>
      <w:r>
        <w:rPr>
          <w:rFonts w:hint="eastAsia" w:ascii="仿宋" w:hAnsi="仿宋" w:eastAsia="仿宋" w:cs="仿宋"/>
          <w:b/>
          <w:bCs/>
          <w:color w:val="auto"/>
          <w:sz w:val="32"/>
          <w:szCs w:val="32"/>
          <w:highlight w:val="none"/>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乌鲁木齐市区内初中班学校食堂大宗食材采购配送服务项目第八包（禽蛋类食材配送服务）</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val="en-US" w:eastAsia="zh-CN"/>
        </w:rPr>
        <w:t>07月16日 11:00</w:t>
      </w:r>
      <w:r>
        <w:rPr>
          <w:rFonts w:hint="eastAsia" w:ascii="仿宋" w:hAnsi="仿宋" w:eastAsia="仿宋" w:cs="仿宋"/>
          <w:color w:val="auto"/>
          <w:sz w:val="24"/>
          <w:szCs w:val="24"/>
          <w:highlight w:val="none"/>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XSJ20250529-08（2）</w:t>
      </w:r>
    </w:p>
    <w:p w14:paraId="1971BF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乌鲁木齐市区内初中班学校食堂大宗食材采购配送服务项目第八包（禽蛋类食材配送服务）</w:t>
      </w:r>
    </w:p>
    <w:p w14:paraId="54211E0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153.9305 万元</w:t>
      </w:r>
    </w:p>
    <w:p w14:paraId="79C93B5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单价报价部分的单价限价合计5.1元，费率报价部分单价限价费率100%</w:t>
      </w:r>
      <w:r>
        <w:rPr>
          <w:rFonts w:hint="eastAsia" w:ascii="仿宋" w:hAnsi="仿宋" w:eastAsia="仿宋" w:cs="仿宋"/>
          <w:color w:val="auto"/>
          <w:kern w:val="0"/>
          <w:sz w:val="24"/>
          <w:szCs w:val="24"/>
          <w:highlight w:val="none"/>
          <w:u w:val="none"/>
          <w:lang w:val="en-US" w:eastAsia="zh-CN"/>
        </w:rPr>
        <w:t>；明细详见招标文件“第四章服务标准和要求”。</w:t>
      </w:r>
    </w:p>
    <w:p w14:paraId="35114F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禽蛋类食材配送服务，</w:t>
      </w:r>
      <w:r>
        <w:rPr>
          <w:rFonts w:hint="eastAsia" w:ascii="仿宋" w:hAnsi="仿宋" w:eastAsia="仿宋" w:cs="仿宋"/>
          <w:color w:val="auto"/>
          <w:sz w:val="24"/>
          <w:szCs w:val="24"/>
          <w:highlight w:val="none"/>
          <w:lang w:val="en-US" w:eastAsia="zh-CN"/>
        </w:rPr>
        <w:t>详见招标文件。</w:t>
      </w:r>
    </w:p>
    <w:p w14:paraId="6704F3D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备注：</w:t>
      </w:r>
    </w:p>
    <w:p w14:paraId="55EEF43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①各投标人只报</w:t>
      </w:r>
      <w:r>
        <w:rPr>
          <w:rFonts w:hint="eastAsia" w:ascii="仿宋" w:hAnsi="仿宋" w:eastAsia="仿宋" w:cs="仿宋"/>
          <w:color w:val="auto"/>
          <w:sz w:val="24"/>
          <w:szCs w:val="24"/>
          <w:highlight w:val="none"/>
          <w:lang w:val="en-US" w:eastAsia="zh-CN"/>
        </w:rPr>
        <w:t>单价及</w:t>
      </w:r>
      <w:r>
        <w:rPr>
          <w:rFonts w:hint="eastAsia" w:ascii="仿宋" w:hAnsi="仿宋" w:eastAsia="仿宋" w:cs="仿宋"/>
          <w:color w:val="auto"/>
          <w:sz w:val="24"/>
          <w:szCs w:val="24"/>
          <w:highlight w:val="none"/>
          <w:lang w:val="en-US"/>
        </w:rPr>
        <w:t>统一费率，采购人所采购的食材品种、类别及数量以实际发生为准，按时结算。</w:t>
      </w:r>
    </w:p>
    <w:p w14:paraId="74E6AF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②本项目由</w:t>
      </w:r>
      <w:r>
        <w:rPr>
          <w:rFonts w:hint="eastAsia" w:ascii="仿宋" w:hAnsi="仿宋" w:eastAsia="仿宋" w:cs="仿宋"/>
          <w:color w:val="auto"/>
          <w:sz w:val="24"/>
          <w:szCs w:val="24"/>
          <w:highlight w:val="none"/>
          <w:lang w:val="en-US"/>
        </w:rPr>
        <w:t>乌鲁木齐市区内学生工作管理中心</w:t>
      </w:r>
      <w:r>
        <w:rPr>
          <w:rFonts w:hint="eastAsia" w:ascii="仿宋" w:hAnsi="仿宋" w:eastAsia="仿宋" w:cs="仿宋"/>
          <w:color w:val="auto"/>
          <w:sz w:val="24"/>
          <w:szCs w:val="24"/>
          <w:highlight w:val="none"/>
          <w:lang w:val="en-US" w:eastAsia="zh-CN"/>
        </w:rPr>
        <w:t>牵头组织实施。</w:t>
      </w:r>
    </w:p>
    <w:p w14:paraId="38C421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2025年8月1日至2026年7月31日</w:t>
      </w:r>
      <w:r>
        <w:rPr>
          <w:rFonts w:hint="eastAsia" w:ascii="仿宋" w:hAnsi="仿宋" w:eastAsia="仿宋" w:cs="仿宋"/>
          <w:color w:val="auto"/>
          <w:sz w:val="24"/>
          <w:szCs w:val="24"/>
          <w:highlight w:val="none"/>
        </w:rPr>
        <w:t>。</w:t>
      </w:r>
    </w:p>
    <w:p w14:paraId="28A2D50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的资格要求：</w:t>
      </w:r>
    </w:p>
    <w:p w14:paraId="222C0B3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EDF35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（2）、投标人为小微企业。</w:t>
      </w:r>
    </w:p>
    <w:p w14:paraId="2656E00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（4）、投标人须具备有效的《食品经营许可证》或《食品生产许可证》；其许可范围须包括本项目中除食用农产品外的全部食材品类。如投标人所在地行政监督管理部门另有规定，须提供相关文件信息。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日，每天上午00:00至1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C2F7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07月16日 11:00</w:t>
      </w:r>
      <w:r>
        <w:rPr>
          <w:rFonts w:hint="eastAsia" w:ascii="仿宋" w:hAnsi="仿宋" w:eastAsia="仿宋" w:cs="仿宋"/>
          <w:color w:val="auto"/>
          <w:sz w:val="24"/>
          <w:szCs w:val="24"/>
          <w:highlight w:val="none"/>
        </w:rPr>
        <w:t>（北京时间）</w:t>
      </w:r>
    </w:p>
    <w:p w14:paraId="116BF2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07月16日 11:00</w:t>
      </w:r>
      <w:r>
        <w:rPr>
          <w:rFonts w:hint="eastAsia" w:ascii="仿宋" w:hAnsi="仿宋" w:eastAsia="仿宋" w:cs="仿宋"/>
          <w:color w:val="auto"/>
          <w:sz w:val="24"/>
          <w:szCs w:val="24"/>
          <w:highlight w:val="none"/>
        </w:rPr>
        <w:t>（北京时间）</w:t>
      </w:r>
    </w:p>
    <w:p w14:paraId="1A112F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6272F0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67E692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C901B40">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乌鲁木齐市第十五中学、乌鲁木齐市第五十八中学、乌鲁木齐市第六十六中学、乌鲁木齐市第六十七中学</w:t>
      </w:r>
    </w:p>
    <w:p w14:paraId="41AE04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p>
    <w:p w14:paraId="024C296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联系方式：0991-3782407、0991-6823730、0991-4352208、0991-6166888</w:t>
      </w:r>
    </w:p>
    <w:p w14:paraId="1B972C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078A7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636C50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096BC84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18690890996、13201210619</w:t>
      </w:r>
    </w:p>
    <w:p w14:paraId="5DC853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470BBD7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马丹阳、杨凯</w:t>
      </w:r>
    </w:p>
    <w:p w14:paraId="45C8C4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5F68146C">
      <w:pPr>
        <w:pStyle w:val="8"/>
        <w:rPr>
          <w:rFonts w:hint="eastAsia" w:ascii="仿宋" w:hAnsi="仿宋" w:eastAsia="仿宋" w:cs="仿宋"/>
          <w:color w:val="auto"/>
          <w:highlight w:val="none"/>
        </w:rPr>
      </w:pPr>
    </w:p>
    <w:p w14:paraId="20CCF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BA5047">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1" w:name="_Toc19196"/>
      <w:bookmarkStart w:id="276" w:name="_GoBack"/>
      <w:bookmarkEnd w:id="276"/>
      <w:r>
        <w:rPr>
          <w:rFonts w:hint="eastAsia" w:ascii="仿宋" w:hAnsi="仿宋" w:eastAsia="仿宋" w:cs="仿宋"/>
          <w:b/>
          <w:color w:val="auto"/>
          <w:sz w:val="24"/>
          <w:szCs w:val="24"/>
          <w:highlight w:val="none"/>
        </w:rPr>
        <w:t>投标人须知前附表</w:t>
      </w:r>
      <w:bookmarkEnd w:id="1"/>
    </w:p>
    <w:tbl>
      <w:tblPr>
        <w:tblStyle w:val="4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乌鲁木齐市区内初中班学校食堂大宗食材采购配送服务项目第八包（禽蛋类食材配送服务）</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XSJ20250529-08（2）</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 xml:space="preserve"> 乌鲁木齐市第十五中学、乌鲁木齐市第五十八中学、乌鲁木齐市第六十六中学、乌鲁木齐市第六十七中学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财政拨款、营养餐经费、师生自筹资金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153.9305 万元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23AEF36A">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1、单价报价部分的单价限价合计5.1元，费率报价部分单价限价费率100%；明细详见招标文件“第四章服务标准和要求”。</w:t>
            </w:r>
          </w:p>
          <w:p w14:paraId="7FF5A1B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2、根据配送服务清单中所要求的报价方式进行报价，其中：</w:t>
            </w:r>
          </w:p>
          <w:p w14:paraId="69830D7A">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①单价报价部分：</w:t>
            </w:r>
          </w:p>
          <w:p w14:paraId="03F38C1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投标人的投标报价（单价）以元为单位，为便于结算建议保留一位小数，到角即可；且不得高于相对应的单价限价。</w:t>
            </w:r>
          </w:p>
          <w:p w14:paraId="2A0A5F7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②费率报价部分：投标人的投标报价（统一费率）不得大于100%（不得在费率前填写“±”），例如填报+101%或-101%（或+102%或-102%）的投标人其投标文件将会被否决。</w:t>
            </w:r>
          </w:p>
          <w:p w14:paraId="7B5E475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3、费率报价部分说明：</w:t>
            </w:r>
          </w:p>
          <w:p w14:paraId="7B6D70C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①、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新联市场、九鼎农贸市场等大中型商超、市场的询价采集物资价格的平均价作为送货单价，月底结账时按规定的结算费率统一结算。投标人以此为基准填报投标报价（统一费率）。</w:t>
            </w:r>
          </w:p>
          <w:p w14:paraId="39188AF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②、结算价=基准价×中标费率；例如某产品价值1000元，费率为95%，实际付款金额为950元（注：该措辞仅供解释使用，具体投标报价由投标人结合自身情况自主报价）。</w:t>
            </w:r>
          </w:p>
          <w:p w14:paraId="27513EE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注：各投标人只报单价及费率，采购数量以实际发生为准，按实结算。</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574413">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20E73394">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合同履约期限</w:t>
            </w:r>
          </w:p>
        </w:tc>
        <w:tc>
          <w:tcPr>
            <w:tcW w:w="7073" w:type="dxa"/>
            <w:shd w:val="clear" w:color="auto" w:fill="auto"/>
            <w:vAlign w:val="center"/>
          </w:tcPr>
          <w:p w14:paraId="36EA26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eastAsia="zh-CN"/>
              </w:rPr>
              <w:t>2025年8月1日至2026年7月31日</w:t>
            </w:r>
          </w:p>
        </w:tc>
      </w:tr>
      <w:tr w14:paraId="0366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E104CD9">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6944B4A0">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保质期</w:t>
            </w:r>
          </w:p>
          <w:p w14:paraId="3998A947">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（有效期）</w:t>
            </w:r>
          </w:p>
        </w:tc>
        <w:tc>
          <w:tcPr>
            <w:tcW w:w="7073" w:type="dxa"/>
            <w:shd w:val="clear" w:color="auto" w:fill="auto"/>
            <w:vAlign w:val="center"/>
          </w:tcPr>
          <w:p w14:paraId="5C9F259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冷藏情况下不少于30日历日</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504F5A02">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4849C73C">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配送地点</w:t>
            </w:r>
          </w:p>
        </w:tc>
        <w:tc>
          <w:tcPr>
            <w:tcW w:w="7073" w:type="dxa"/>
            <w:shd w:val="clear" w:color="auto" w:fill="auto"/>
            <w:vAlign w:val="center"/>
          </w:tcPr>
          <w:p w14:paraId="17364C1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详见</w:t>
            </w:r>
            <w:r>
              <w:rPr>
                <w:rFonts w:hint="eastAsia" w:ascii="仿宋" w:hAnsi="仿宋" w:eastAsia="仿宋" w:cs="仿宋"/>
                <w:color w:val="auto"/>
                <w:kern w:val="0"/>
                <w:szCs w:val="21"/>
                <w:highlight w:val="none"/>
              </w:rPr>
              <w:t>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乌鲁木齐市区内初中班学校食堂大宗食材采购配送服务项目第八包（禽蛋类食材配送服务）</w:t>
            </w:r>
            <w:r>
              <w:rPr>
                <w:rFonts w:hint="eastAsia" w:ascii="仿宋" w:hAnsi="仿宋" w:eastAsia="仿宋" w:cs="仿宋"/>
                <w:color w:val="auto"/>
                <w:kern w:val="0"/>
                <w:szCs w:val="21"/>
                <w:highlight w:val="none"/>
              </w:rPr>
              <w:t>范围内</w:t>
            </w:r>
            <w:r>
              <w:rPr>
                <w:rFonts w:hint="eastAsia" w:ascii="仿宋" w:hAnsi="仿宋" w:eastAsia="仿宋" w:cs="仿宋"/>
                <w:color w:val="auto"/>
                <w:kern w:val="0"/>
                <w:szCs w:val="21"/>
                <w:highlight w:val="none"/>
                <w:lang w:val="en-US" w:eastAsia="zh-CN"/>
              </w:rPr>
              <w:t>对应</w:t>
            </w:r>
            <w:r>
              <w:rPr>
                <w:rFonts w:hint="eastAsia" w:ascii="仿宋" w:hAnsi="仿宋" w:eastAsia="仿宋" w:cs="仿宋"/>
                <w:color w:val="auto"/>
                <w:kern w:val="0"/>
                <w:szCs w:val="21"/>
                <w:highlight w:val="none"/>
              </w:rPr>
              <w:t>的所有工作内容，关于采购范围的详细说明见招标文件第四章“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因“乌鲁木齐市区内初中班学校食堂大宗食材采购配送服务项目”</w:t>
            </w:r>
            <w:r>
              <w:rPr>
                <w:rFonts w:hint="eastAsia" w:ascii="仿宋" w:hAnsi="仿宋" w:eastAsia="仿宋" w:cs="仿宋"/>
                <w:color w:val="auto"/>
                <w:kern w:val="0"/>
                <w:szCs w:val="21"/>
                <w:highlight w:val="none"/>
                <w:lang w:val="en-US" w:eastAsia="zh-CN"/>
              </w:rPr>
              <w:t>第一包至第九包</w:t>
            </w:r>
            <w:r>
              <w:rPr>
                <w:rFonts w:hint="eastAsia" w:ascii="仿宋" w:hAnsi="仿宋" w:eastAsia="仿宋" w:cs="仿宋"/>
                <w:color w:val="auto"/>
                <w:kern w:val="0"/>
                <w:szCs w:val="21"/>
                <w:highlight w:val="none"/>
                <w:lang w:eastAsia="zh-CN"/>
              </w:rPr>
              <w:t>可兼投但不可兼中，故评标委员会根据有效投标人数量推荐1-3名中标候选人。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投标人的资格要求</w:t>
            </w:r>
          </w:p>
        </w:tc>
        <w:tc>
          <w:tcPr>
            <w:tcW w:w="7073" w:type="dxa"/>
            <w:vAlign w:val="center"/>
          </w:tcPr>
          <w:p w14:paraId="19949A5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4AB6EC9E">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（2）、投标人为小微企业。</w:t>
            </w:r>
          </w:p>
          <w:p w14:paraId="657C278A">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235CD4F3">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（4）、投标人须具备有效的《食品经营许可证》或《食品生产许可证》；其许可范围须包括本项目中除食用农产品外的全部食材品类。如投标人所在地行政监督管理部门另有规定，须提供相关文件信息。</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w:t>
            </w:r>
            <w:r>
              <w:rPr>
                <w:rFonts w:hint="eastAsia" w:ascii="仿宋" w:hAnsi="仿宋" w:eastAsia="仿宋" w:cs="仿宋"/>
                <w:color w:val="auto"/>
                <w:kern w:val="0"/>
                <w:szCs w:val="21"/>
                <w:highlight w:val="none"/>
                <w:shd w:val="clear" w:color="auto" w:fill="FFFFFF" w:themeFill="background1"/>
                <w:lang w:val="en-US" w:eastAsia="zh-CN"/>
              </w:rPr>
              <w:t>金额：1.53万元(大写：壹万伍仟叁佰元整）</w:t>
            </w:r>
          </w:p>
          <w:p w14:paraId="342595B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2、提交截止时间：同投标文件递交截止时间</w:t>
            </w:r>
          </w:p>
          <w:p w14:paraId="6A41B92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3、提交形式：</w:t>
            </w:r>
            <w:r>
              <w:rPr>
                <w:rFonts w:hint="eastAsia" w:ascii="仿宋" w:hAnsi="仿宋" w:eastAsia="仿宋" w:cs="仿宋"/>
                <w:color w:val="auto"/>
                <w:kern w:val="0"/>
                <w:szCs w:val="21"/>
                <w:highlight w:val="none"/>
                <w:shd w:val="clear" w:color="auto" w:fill="FFFFFF" w:themeFill="background1"/>
              </w:rPr>
              <w:t>投标保证金以支票、汇票、本票或者金融机构、担保机构出具的保函等非现金形式提交至采购代理机构。</w:t>
            </w:r>
          </w:p>
          <w:p w14:paraId="421A5C2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4、银行账户信息</w:t>
            </w:r>
          </w:p>
          <w:p w14:paraId="194AD7E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lang w:val="en-US" w:eastAsia="zh-CN"/>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 xml:space="preserve">马丹阳、杨凯 </w:t>
            </w:r>
            <w:r>
              <w:rPr>
                <w:rFonts w:hint="eastAsia" w:ascii="仿宋" w:hAnsi="仿宋" w:eastAsia="仿宋" w:cs="仿宋"/>
                <w:color w:val="auto"/>
                <w:szCs w:val="21"/>
                <w:highlight w:val="none"/>
              </w:rPr>
              <w:t>；联系方式：0991-4661782。</w:t>
            </w:r>
          </w:p>
          <w:p w14:paraId="35AF6960">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07月16日 11:00</w:t>
            </w:r>
            <w:r>
              <w:rPr>
                <w:rFonts w:hint="eastAsia" w:ascii="仿宋" w:hAnsi="仿宋" w:eastAsia="仿宋" w:cs="仿宋"/>
                <w:color w:val="auto"/>
                <w:kern w:val="0"/>
                <w:szCs w:val="21"/>
                <w:highlight w:val="none"/>
              </w:rPr>
              <w:t>（北京时间）</w:t>
            </w:r>
          </w:p>
          <w:p w14:paraId="5DE409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07月16日 11:00</w:t>
            </w:r>
            <w:r>
              <w:rPr>
                <w:rFonts w:hint="eastAsia" w:ascii="仿宋" w:hAnsi="仿宋" w:eastAsia="仿宋" w:cs="仿宋"/>
                <w:color w:val="auto"/>
                <w:kern w:val="0"/>
                <w:szCs w:val="21"/>
                <w:highlight w:val="none"/>
              </w:rPr>
              <w:t>（北京时间）</w:t>
            </w:r>
          </w:p>
          <w:p w14:paraId="2344B9E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keepLines w:val="0"/>
              <w:pageBreakBefore w:val="0"/>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合同额的10%</w:t>
            </w:r>
            <w:r>
              <w:rPr>
                <w:rFonts w:hint="eastAsia" w:ascii="仿宋" w:hAnsi="仿宋" w:eastAsia="仿宋" w:cs="仿宋"/>
                <w:color w:val="auto"/>
                <w:kern w:val="0"/>
                <w:szCs w:val="21"/>
                <w:highlight w:val="none"/>
                <w:shd w:val="clear" w:color="auto" w:fill="FFFFFF" w:themeFill="background1"/>
              </w:rPr>
              <w:t>。</w:t>
            </w:r>
          </w:p>
          <w:p w14:paraId="31AF8C6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05"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3、在货物采购项目中，投标人提供的货物既有中小企业制造货物，也有大型企业制造货物的，不享受本办法规定的中小企业扶持政策。</w:t>
            </w:r>
          </w:p>
          <w:p w14:paraId="0B482C8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4、以联合体形式参加政府采购活动，联合体各方均为中小企业的，联合体视同中小企业。其中，联合体各方均为小微企业的，联合体视同小微企业。</w:t>
            </w:r>
          </w:p>
          <w:p w14:paraId="5C9ABA26">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5、投标人经享受扶持政策获得政府采购合同的，小微企业不得将合同分包给大中型企业，中型企业不得将合同分包给大型企业；</w:t>
            </w:r>
          </w:p>
          <w:p w14:paraId="37C62828">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6、残疾人福利性单位和监狱企业视同小型、微型企业。</w:t>
            </w:r>
          </w:p>
          <w:p w14:paraId="0385D78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highlight w:val="none"/>
                <w:lang w:val="en-US" w:eastAsia="zh-CN" w:bidi="ar-SA"/>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、根据“关于印发中小企业划型标准规定的通知(工信部联企业〔2011〕300号)”等有关规定，本项目标的所属行业为批发业。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分包</w:t>
            </w:r>
          </w:p>
        </w:tc>
        <w:tc>
          <w:tcPr>
            <w:tcW w:w="7073" w:type="dxa"/>
            <w:vAlign w:val="center"/>
          </w:tcPr>
          <w:p w14:paraId="0F6044F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p>
        </w:tc>
        <w:tc>
          <w:tcPr>
            <w:tcW w:w="1410" w:type="dxa"/>
            <w:shd w:val="clear" w:color="auto" w:fill="auto"/>
            <w:vAlign w:val="center"/>
          </w:tcPr>
          <w:p w14:paraId="21C4580C">
            <w:pPr>
              <w:keepNext/>
              <w:widowControl/>
              <w:jc w:val="distribute"/>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说明</w:t>
            </w:r>
          </w:p>
        </w:tc>
        <w:tc>
          <w:tcPr>
            <w:tcW w:w="7073" w:type="dxa"/>
            <w:shd w:val="clear" w:color="auto" w:fill="auto"/>
            <w:vAlign w:val="center"/>
          </w:tcPr>
          <w:p w14:paraId="45C9B262">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1、采购代理咨询费以预算金额为基准，参照国家计委《招标代理服务费管理暂行办法》的通知(计价格[2002]1980号)计取，由中标人在领取中标通知书时支付。</w:t>
            </w:r>
          </w:p>
          <w:p w14:paraId="40606DE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2、本表内容如与后文内容不一致处，以本表为准。</w:t>
            </w:r>
          </w:p>
          <w:p w14:paraId="1073CF85">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乌鲁木齐市区内初中班学校食堂大宗食材采购配送服务项目第一包（肉类食材配送服务）、第二包（蔬菜类、加工面类、豆制品类食材配送服务）、第三包（米面油、杂粮类食材配送服务）、第四包（冻货水产类食材配送服务）、第五包（乳制品类食材配送服务）、第六包（水果类食材配送服务）、第七包（调料副食类食材配送服务）、第八包（禽蛋类食材配送服务）、第九包（综合类食材配送服务）为一个整体项目，各投标人可兼投但不可兼中。按评审顺序，前一包的第一中标候选人不参与下一包的中标候选人推荐；评审顺序为第一包、第八包、第九包，第三包、第四包、第五包，第二包、第六包、第七包。</w:t>
            </w:r>
          </w:p>
          <w:p w14:paraId="57295B5D">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4、为避免投标文件缺失，建议各投标人在投标文件上传阶段，将全套投标文件内容上传至电子交易平台的商务技术响应文件模块。</w:t>
            </w:r>
          </w:p>
          <w:p w14:paraId="149C0B5F">
            <w:pPr>
              <w:keepNext/>
              <w:keepLines w:val="0"/>
              <w:pageBreakBefore w:val="0"/>
              <w:widowControl/>
              <w:numPr>
                <w:ilvl w:val="0"/>
                <w:numId w:val="0"/>
              </w:numPr>
              <w:kinsoku/>
              <w:wordWrap/>
              <w:overflowPunct/>
              <w:topLinePunct w:val="0"/>
              <w:autoSpaceDE/>
              <w:autoSpaceDN/>
              <w:bidi w:val="0"/>
              <w:adjustRightInd/>
              <w:snapToGrid/>
              <w:ind w:firstLine="211"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5、因第七包（调料副食类食材配送服务）修改食材规格延期开标，第八包（禽蛋类食材配送服务）流标需重新组织招标，导致评审顺序发生变化。现将评审顺序修改为：第一包、第九包，第三包、第四包、第五包，第二包、第六包、第七包、第八包。</w:t>
            </w:r>
          </w:p>
        </w:tc>
      </w:tr>
    </w:tbl>
    <w:p w14:paraId="02041254">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6993"/>
      <w:r>
        <w:rPr>
          <w:rFonts w:hint="eastAsia" w:ascii="仿宋" w:hAnsi="仿宋" w:eastAsia="仿宋" w:cs="仿宋"/>
          <w:b/>
          <w:color w:val="auto"/>
          <w:sz w:val="24"/>
          <w:szCs w:val="24"/>
          <w:highlight w:val="none"/>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8920"/>
      <w:bookmarkStart w:id="6" w:name="_Toc31299"/>
      <w:bookmarkStart w:id="7" w:name="_Toc130252597"/>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50C556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保质期（有效期）：见投标人须知前附表。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配送地点</w:t>
      </w:r>
      <w:r>
        <w:rPr>
          <w:rFonts w:hint="eastAsia" w:ascii="仿宋" w:hAnsi="仿宋" w:eastAsia="仿宋" w:cs="仿宋"/>
          <w:color w:val="auto"/>
          <w:kern w:val="0"/>
          <w:sz w:val="24"/>
          <w:szCs w:val="24"/>
          <w:highlight w:val="none"/>
        </w:rPr>
        <w:t>：见投标人须知前附表。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25919"/>
      <w:bookmarkStart w:id="9" w:name="_Toc535592196"/>
      <w:bookmarkStart w:id="10" w:name="_Toc9197"/>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w:t>
      </w:r>
      <w:r>
        <w:rPr>
          <w:rFonts w:hint="eastAsia" w:ascii="仿宋" w:hAnsi="仿宋" w:eastAsia="仿宋" w:cs="仿宋"/>
          <w:color w:val="auto"/>
          <w:kern w:val="0"/>
          <w:sz w:val="24"/>
          <w:szCs w:val="24"/>
          <w:highlight w:val="none"/>
          <w:lang w:val="en-US" w:eastAsia="zh-CN"/>
        </w:rPr>
        <w:t>文本</w:t>
      </w:r>
      <w:r>
        <w:rPr>
          <w:rFonts w:hint="eastAsia" w:ascii="仿宋" w:hAnsi="仿宋" w:eastAsia="仿宋" w:cs="仿宋"/>
          <w:color w:val="auto"/>
          <w:kern w:val="0"/>
          <w:sz w:val="24"/>
          <w:szCs w:val="24"/>
          <w:highlight w:val="none"/>
        </w:rPr>
        <w:t>；</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2915"/>
      <w:bookmarkStart w:id="13" w:name="_Toc5120"/>
      <w:bookmarkStart w:id="14" w:name="_Toc535592197"/>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）、项目负责人简历表</w:t>
      </w:r>
    </w:p>
    <w:p w14:paraId="312152DE">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）、拟派主要服务人员情况表</w:t>
      </w:r>
    </w:p>
    <w:p w14:paraId="50DAFBEB">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）、服务方案</w:t>
      </w:r>
    </w:p>
    <w:p w14:paraId="595F88D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保证金缴纳证明材料</w:t>
      </w:r>
    </w:p>
    <w:p w14:paraId="1BB689D4">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5945"/>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29958"/>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14199"/>
      <w:bookmarkStart w:id="25" w:name="_Toc9541"/>
      <w:bookmarkStart w:id="26" w:name="_Toc53559220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3807"/>
      <w:bookmarkStart w:id="29" w:name="_Toc10869"/>
      <w:bookmarkStart w:id="30" w:name="_Toc535592201"/>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23164"/>
      <w:bookmarkStart w:id="33" w:name="_Toc535592202"/>
      <w:bookmarkStart w:id="34" w:name="_Toc24040"/>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14357"/>
      <w:r>
        <w:rPr>
          <w:rFonts w:hint="eastAsia" w:ascii="仿宋" w:hAnsi="仿宋" w:eastAsia="仿宋" w:cs="仿宋"/>
          <w:b/>
          <w:color w:val="auto"/>
          <w:sz w:val="24"/>
          <w:szCs w:val="24"/>
          <w:highlight w:val="none"/>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szCs w:val="24"/>
          <w:highlight w:val="none"/>
        </w:rPr>
      </w:pPr>
      <w:bookmarkStart w:id="36" w:name="_BookMark_1"/>
      <w:bookmarkEnd w:id="36"/>
      <w:bookmarkStart w:id="37" w:name="_Toc58342531"/>
      <w:bookmarkStart w:id="38" w:name="_Toc4330"/>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4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71090DC9">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5DA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shd w:val="clear" w:color="auto" w:fill="auto"/>
            <w:tcMar>
              <w:top w:w="0" w:type="dxa"/>
              <w:left w:w="28" w:type="dxa"/>
              <w:bottom w:w="0" w:type="dxa"/>
              <w:right w:w="28" w:type="dxa"/>
            </w:tcMar>
            <w:vAlign w:val="center"/>
          </w:tcPr>
          <w:p w14:paraId="68F01544">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2783" w:type="dxa"/>
            <w:shd w:val="clear" w:color="auto" w:fill="auto"/>
            <w:tcMar>
              <w:top w:w="0" w:type="dxa"/>
              <w:left w:w="28" w:type="dxa"/>
              <w:bottom w:w="0" w:type="dxa"/>
              <w:right w:w="28" w:type="dxa"/>
            </w:tcMar>
            <w:vAlign w:val="center"/>
          </w:tcPr>
          <w:p w14:paraId="21CDAFD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795A3152">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bl>
    <w:p w14:paraId="1E2E5CA6">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40"/>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0"/>
        <w:gridCol w:w="3678"/>
        <w:gridCol w:w="5410"/>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1856"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728"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w:t>
            </w:r>
          </w:p>
        </w:tc>
        <w:tc>
          <w:tcPr>
            <w:tcW w:w="1856" w:type="pct"/>
            <w:shd w:val="clear" w:color="auto" w:fill="auto"/>
            <w:vAlign w:val="center"/>
          </w:tcPr>
          <w:p w14:paraId="45FA4191">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1856" w:type="pct"/>
            <w:shd w:val="clear" w:color="auto" w:fill="auto"/>
            <w:vAlign w:val="center"/>
          </w:tcPr>
          <w:p w14:paraId="6F2D8FB2">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kern w:val="0"/>
                <w:szCs w:val="24"/>
                <w:highlight w:val="none"/>
                <w:lang w:val="en-US" w:eastAsia="zh-CN"/>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1856" w:type="pct"/>
            <w:shd w:val="clear" w:color="auto" w:fill="auto"/>
            <w:vAlign w:val="center"/>
          </w:tcPr>
          <w:p w14:paraId="797610A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1856" w:type="pct"/>
            <w:shd w:val="clear" w:color="auto" w:fill="auto"/>
            <w:vAlign w:val="center"/>
          </w:tcPr>
          <w:p w14:paraId="4C385BA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w:t>
            </w:r>
          </w:p>
        </w:tc>
        <w:tc>
          <w:tcPr>
            <w:tcW w:w="1856" w:type="pct"/>
            <w:shd w:val="clear" w:color="auto" w:fill="auto"/>
            <w:vAlign w:val="center"/>
          </w:tcPr>
          <w:p w14:paraId="0C47CF5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2728"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4"/>
                <w:highlight w:val="none"/>
                <w:lang w:val="en-US" w:eastAsia="zh-CN"/>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14"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1856"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投标人为小微企业。</w:t>
            </w:r>
          </w:p>
        </w:tc>
        <w:tc>
          <w:tcPr>
            <w:tcW w:w="2728"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按招标文件要求提供声明函，加盖投标人章。</w:t>
            </w:r>
          </w:p>
        </w:tc>
      </w:tr>
      <w:tr w14:paraId="4F5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27CD540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7</w:t>
            </w:r>
          </w:p>
        </w:tc>
        <w:tc>
          <w:tcPr>
            <w:tcW w:w="1856" w:type="pct"/>
            <w:shd w:val="clear" w:color="auto" w:fill="auto"/>
            <w:vAlign w:val="center"/>
          </w:tcPr>
          <w:p w14:paraId="6E9362C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728" w:type="pct"/>
            <w:shd w:val="clear" w:color="auto" w:fill="auto"/>
            <w:vAlign w:val="center"/>
          </w:tcPr>
          <w:p w14:paraId="7F1E8CF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3696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4" w:type="pct"/>
            <w:vAlign w:val="center"/>
          </w:tcPr>
          <w:p w14:paraId="60CB82AB">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8</w:t>
            </w:r>
          </w:p>
        </w:tc>
        <w:tc>
          <w:tcPr>
            <w:tcW w:w="1856" w:type="pct"/>
            <w:shd w:val="clear" w:color="auto" w:fill="auto"/>
            <w:vAlign w:val="center"/>
          </w:tcPr>
          <w:p w14:paraId="706799F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投标人须具备有效的《食品经营许可证》或《食品生产许可证》；其许可范围须包括本项目中除食用农产品外的全部食材品类。如投标人所在地行政监督管理部门另有规定，须提供相关文件信息。</w:t>
            </w:r>
          </w:p>
        </w:tc>
        <w:tc>
          <w:tcPr>
            <w:tcW w:w="2728" w:type="pct"/>
            <w:shd w:val="clear" w:color="auto" w:fill="auto"/>
            <w:vAlign w:val="center"/>
          </w:tcPr>
          <w:p w14:paraId="1CB93D0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提供证明材料扫描件。</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6B2BF77">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40"/>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280"/>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280"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280"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单价、单价合计、费率</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不得超过投标人须知前附表中的</w:t>
            </w:r>
            <w:r>
              <w:rPr>
                <w:rFonts w:hint="eastAsia" w:ascii="仿宋" w:hAnsi="仿宋" w:eastAsia="仿宋" w:cs="仿宋"/>
                <w:color w:val="auto"/>
                <w:kern w:val="0"/>
                <w:szCs w:val="24"/>
                <w:highlight w:val="none"/>
                <w:lang w:val="en-US" w:eastAsia="zh-CN"/>
              </w:rPr>
              <w:t>最高限价（单价限价、单价限价合计、费率）。</w:t>
            </w:r>
          </w:p>
        </w:tc>
        <w:tc>
          <w:tcPr>
            <w:tcW w:w="3280"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C0D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6142D04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3</w:t>
            </w:r>
          </w:p>
        </w:tc>
        <w:tc>
          <w:tcPr>
            <w:tcW w:w="5299" w:type="dxa"/>
            <w:vAlign w:val="center"/>
          </w:tcPr>
          <w:p w14:paraId="02DA515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280" w:type="dxa"/>
            <w:vAlign w:val="center"/>
          </w:tcPr>
          <w:p w14:paraId="72D73E8C">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7FF1E9C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4</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合同履约期限</w:t>
            </w:r>
            <w:r>
              <w:rPr>
                <w:rFonts w:hint="eastAsia" w:ascii="仿宋" w:hAnsi="仿宋" w:eastAsia="仿宋" w:cs="仿宋"/>
                <w:color w:val="auto"/>
                <w:kern w:val="0"/>
                <w:szCs w:val="24"/>
                <w:highlight w:val="none"/>
                <w:lang w:val="en-US" w:eastAsia="zh-CN"/>
              </w:rPr>
              <w:t>和保质期（有效期）</w:t>
            </w:r>
            <w:r>
              <w:rPr>
                <w:rFonts w:hint="eastAsia" w:ascii="仿宋" w:hAnsi="仿宋" w:eastAsia="仿宋" w:cs="仿宋"/>
                <w:color w:val="auto"/>
                <w:kern w:val="0"/>
                <w:szCs w:val="24"/>
                <w:highlight w:val="none"/>
              </w:rPr>
              <w:t>必须满足招标文件要求。</w:t>
            </w:r>
          </w:p>
        </w:tc>
        <w:tc>
          <w:tcPr>
            <w:tcW w:w="3280"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shd w:val="clear" w:color="auto" w:fill="auto"/>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5</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lang w:val="en-US" w:eastAsia="zh-CN"/>
              </w:rPr>
              <w:t>项目负责人简历表必须提供。</w:t>
            </w:r>
          </w:p>
        </w:tc>
        <w:tc>
          <w:tcPr>
            <w:tcW w:w="3280"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6</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highlight w:val="none"/>
                <w:lang w:val="en-US" w:eastAsia="zh-CN"/>
              </w:rPr>
              <w:t>拟派主要服务人员情况表</w:t>
            </w:r>
            <w:r>
              <w:rPr>
                <w:rFonts w:hint="eastAsia" w:ascii="仿宋" w:hAnsi="仿宋" w:eastAsia="仿宋" w:cs="仿宋"/>
                <w:color w:val="auto"/>
                <w:kern w:val="0"/>
                <w:szCs w:val="24"/>
                <w:highlight w:val="none"/>
                <w:lang w:val="en-US" w:eastAsia="zh-CN"/>
              </w:rPr>
              <w:t>必须提供。</w:t>
            </w:r>
          </w:p>
        </w:tc>
        <w:tc>
          <w:tcPr>
            <w:tcW w:w="3280"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shd w:val="clear" w:color="auto" w:fill="auto"/>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ECF5AF1">
            <w:pPr>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3280"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8</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投标文件符合招标文件全部实质性要求。</w:t>
            </w:r>
          </w:p>
        </w:tc>
        <w:tc>
          <w:tcPr>
            <w:tcW w:w="3280"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301"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80C4AC9">
      <w:pPr>
        <w:rPr>
          <w:rFonts w:hint="eastAsia" w:ascii="仿宋" w:hAnsi="仿宋" w:eastAsia="仿宋" w:cs="仿宋"/>
          <w:b/>
          <w:color w:val="auto"/>
          <w:szCs w:val="24"/>
          <w:highlight w:val="none"/>
        </w:rPr>
      </w:pPr>
    </w:p>
    <w:p w14:paraId="1EE21171">
      <w:pPr>
        <w:pStyle w:val="12"/>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40"/>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00"/>
        <w:gridCol w:w="819"/>
        <w:gridCol w:w="7244"/>
      </w:tblGrid>
      <w:tr w14:paraId="003A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32794B18">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200" w:type="dxa"/>
            <w:noWrap w:val="0"/>
            <w:vAlign w:val="center"/>
          </w:tcPr>
          <w:p w14:paraId="4BC08EF8">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评标项目</w:t>
            </w:r>
          </w:p>
        </w:tc>
        <w:tc>
          <w:tcPr>
            <w:tcW w:w="819" w:type="dxa"/>
            <w:noWrap w:val="0"/>
            <w:vAlign w:val="center"/>
          </w:tcPr>
          <w:p w14:paraId="71FEFE36">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评标分值</w:t>
            </w:r>
          </w:p>
        </w:tc>
        <w:tc>
          <w:tcPr>
            <w:tcW w:w="7244" w:type="dxa"/>
            <w:noWrap w:val="0"/>
            <w:vAlign w:val="center"/>
          </w:tcPr>
          <w:p w14:paraId="641E839C">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评标方法描述</w:t>
            </w:r>
          </w:p>
        </w:tc>
      </w:tr>
      <w:tr w14:paraId="1033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3" w:type="dxa"/>
            <w:vMerge w:val="restart"/>
            <w:noWrap w:val="0"/>
            <w:vAlign w:val="center"/>
          </w:tcPr>
          <w:p w14:paraId="73F86AAD">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w:t>
            </w:r>
          </w:p>
        </w:tc>
        <w:tc>
          <w:tcPr>
            <w:tcW w:w="1200" w:type="dxa"/>
            <w:vMerge w:val="restart"/>
            <w:noWrap w:val="0"/>
            <w:vAlign w:val="center"/>
          </w:tcPr>
          <w:p w14:paraId="3DBDD9F3">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w:t>
            </w:r>
          </w:p>
        </w:tc>
        <w:tc>
          <w:tcPr>
            <w:tcW w:w="819" w:type="dxa"/>
            <w:noWrap w:val="0"/>
            <w:vAlign w:val="center"/>
          </w:tcPr>
          <w:p w14:paraId="34269675">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7244" w:type="dxa"/>
            <w:noWrap w:val="0"/>
            <w:vAlign w:val="center"/>
          </w:tcPr>
          <w:p w14:paraId="622146EE">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单价报价部分</w:t>
            </w:r>
            <w:r>
              <w:rPr>
                <w:rFonts w:hint="eastAsia" w:ascii="仿宋" w:hAnsi="仿宋" w:eastAsia="仿宋" w:cs="仿宋"/>
                <w:color w:val="auto"/>
                <w:sz w:val="21"/>
                <w:szCs w:val="21"/>
                <w:highlight w:val="none"/>
              </w:rPr>
              <w:t>投标报价得分计算方法：</w:t>
            </w:r>
          </w:p>
          <w:p w14:paraId="4D451F86">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1.投标报价的确定</w:t>
            </w:r>
          </w:p>
          <w:p w14:paraId="502E62BE">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投标报价是指经评审的且不超过采购预算金额的投标价格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Cs w:val="24"/>
                <w:highlight w:val="none"/>
                <w:lang w:val="en-US" w:eastAsia="zh-CN"/>
              </w:rPr>
              <w:t>单价合计金额</w:t>
            </w:r>
            <w:r>
              <w:rPr>
                <w:rFonts w:hint="eastAsia" w:ascii="仿宋" w:hAnsi="仿宋" w:eastAsia="仿宋" w:cs="仿宋"/>
                <w:color w:val="auto"/>
                <w:sz w:val="21"/>
                <w:szCs w:val="21"/>
                <w:highlight w:val="none"/>
                <w:lang w:eastAsia="zh-CN"/>
              </w:rPr>
              <w:t>）</w:t>
            </w:r>
          </w:p>
          <w:p w14:paraId="1611BA9D">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2.评标基准价的确定</w:t>
            </w:r>
          </w:p>
          <w:p w14:paraId="1EE5A826">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满足招标文件要求且投标报价最低的为评标基准价</w:t>
            </w:r>
          </w:p>
          <w:p w14:paraId="0EDA7D19">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投标报价得分=(评标基准价／投标报价)×</w:t>
            </w:r>
            <w:r>
              <w:rPr>
                <w:rFonts w:hint="eastAsia" w:ascii="仿宋" w:hAnsi="仿宋" w:eastAsia="仿宋" w:cs="仿宋"/>
                <w:color w:val="auto"/>
                <w:sz w:val="21"/>
                <w:szCs w:val="21"/>
                <w:highlight w:val="none"/>
                <w:lang w:val="en-US" w:eastAsia="zh-CN"/>
              </w:rPr>
              <w:t>5</w:t>
            </w:r>
          </w:p>
          <w:p w14:paraId="74A77D58">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4.评分分值计算保留小数点后两位，小数点后三位“四舍五入”。</w:t>
            </w:r>
          </w:p>
        </w:tc>
      </w:tr>
      <w:tr w14:paraId="2D46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3" w:type="dxa"/>
            <w:vMerge w:val="continue"/>
            <w:noWrap w:val="0"/>
            <w:vAlign w:val="center"/>
          </w:tcPr>
          <w:p w14:paraId="38ECD4C2">
            <w:pPr>
              <w:keepLines w:val="0"/>
              <w:pageBreakBefore w:val="0"/>
              <w:wordWrap/>
              <w:overflowPunct/>
              <w:topLinePunct w:val="0"/>
              <w:bidi w:val="0"/>
              <w:spacing w:line="360" w:lineRule="auto"/>
              <w:jc w:val="center"/>
              <w:outlineLvl w:val="9"/>
              <w:rPr>
                <w:rFonts w:hint="eastAsia" w:ascii="仿宋" w:hAnsi="仿宋" w:eastAsia="仿宋" w:cs="仿宋"/>
                <w:color w:val="auto"/>
                <w:szCs w:val="21"/>
                <w:highlight w:val="none"/>
              </w:rPr>
            </w:pPr>
          </w:p>
        </w:tc>
        <w:tc>
          <w:tcPr>
            <w:tcW w:w="1200" w:type="dxa"/>
            <w:vMerge w:val="continue"/>
            <w:noWrap w:val="0"/>
            <w:vAlign w:val="center"/>
          </w:tcPr>
          <w:p w14:paraId="2C3E32ED">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p>
        </w:tc>
        <w:tc>
          <w:tcPr>
            <w:tcW w:w="819" w:type="dxa"/>
            <w:noWrap w:val="0"/>
            <w:vAlign w:val="center"/>
          </w:tcPr>
          <w:p w14:paraId="0E306404">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w:t>
            </w:r>
          </w:p>
        </w:tc>
        <w:tc>
          <w:tcPr>
            <w:tcW w:w="7244" w:type="dxa"/>
            <w:noWrap w:val="0"/>
            <w:vAlign w:val="center"/>
          </w:tcPr>
          <w:p w14:paraId="077895C7">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费率报价部分</w:t>
            </w:r>
            <w:r>
              <w:rPr>
                <w:rFonts w:hint="eastAsia" w:ascii="仿宋" w:hAnsi="仿宋" w:eastAsia="仿宋" w:cs="仿宋"/>
                <w:color w:val="auto"/>
                <w:sz w:val="21"/>
                <w:szCs w:val="21"/>
                <w:highlight w:val="none"/>
              </w:rPr>
              <w:t>投标报价得分计算方法：</w:t>
            </w:r>
          </w:p>
          <w:p w14:paraId="22034D74">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1.投标报价的确定</w:t>
            </w:r>
          </w:p>
          <w:p w14:paraId="065006F2">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投标报价是指经评审的且不超过采购预算金额的投标价格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费率</w:t>
            </w:r>
            <w:r>
              <w:rPr>
                <w:rFonts w:hint="eastAsia" w:ascii="仿宋" w:hAnsi="仿宋" w:eastAsia="仿宋" w:cs="仿宋"/>
                <w:color w:val="auto"/>
                <w:sz w:val="21"/>
                <w:szCs w:val="21"/>
                <w:highlight w:val="none"/>
                <w:lang w:eastAsia="zh-CN"/>
              </w:rPr>
              <w:t>）</w:t>
            </w:r>
          </w:p>
          <w:p w14:paraId="70E78344">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2.评标基准价的确定</w:t>
            </w:r>
          </w:p>
          <w:p w14:paraId="4BFCB0A0">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满足招标文件要求且投标报价最低的为评标基准价</w:t>
            </w:r>
          </w:p>
          <w:p w14:paraId="4B131E1C">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投标报价得分=(评标基准价／投标报价)×</w:t>
            </w:r>
            <w:r>
              <w:rPr>
                <w:rFonts w:hint="eastAsia" w:ascii="仿宋" w:hAnsi="仿宋" w:eastAsia="仿宋" w:cs="仿宋"/>
                <w:color w:val="auto"/>
                <w:sz w:val="21"/>
                <w:szCs w:val="21"/>
                <w:highlight w:val="none"/>
                <w:lang w:val="en-US" w:eastAsia="zh-CN"/>
              </w:rPr>
              <w:t>25</w:t>
            </w:r>
          </w:p>
          <w:p w14:paraId="4ADDEC2D">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4.评分分值计算保留小数点后两位，小数点后三位“四舍五入”。</w:t>
            </w:r>
          </w:p>
        </w:tc>
      </w:tr>
      <w:tr w14:paraId="4AE8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55AE792E">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w:t>
            </w:r>
          </w:p>
        </w:tc>
        <w:tc>
          <w:tcPr>
            <w:tcW w:w="1200" w:type="dxa"/>
            <w:noWrap w:val="0"/>
            <w:vAlign w:val="center"/>
          </w:tcPr>
          <w:p w14:paraId="07E148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类似业绩</w:t>
            </w:r>
          </w:p>
        </w:tc>
        <w:tc>
          <w:tcPr>
            <w:tcW w:w="819" w:type="dxa"/>
            <w:noWrap w:val="0"/>
            <w:vAlign w:val="center"/>
          </w:tcPr>
          <w:p w14:paraId="3CFC2279">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7244" w:type="dxa"/>
            <w:noWrap w:val="0"/>
            <w:vAlign w:val="center"/>
          </w:tcPr>
          <w:p w14:paraId="7BA8C7AD">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投标人近三年（2022年1月1日-至今，以合同日期为准）承接的类似业绩, 每提供一项1分，最多计5项；须提供合同。</w:t>
            </w:r>
          </w:p>
        </w:tc>
      </w:tr>
      <w:tr w14:paraId="63EC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081CFC47">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c>
          <w:tcPr>
            <w:tcW w:w="1200" w:type="dxa"/>
            <w:noWrap w:val="0"/>
            <w:vAlign w:val="center"/>
          </w:tcPr>
          <w:p w14:paraId="5763005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履约能力</w:t>
            </w:r>
          </w:p>
        </w:tc>
        <w:tc>
          <w:tcPr>
            <w:tcW w:w="819" w:type="dxa"/>
            <w:noWrap w:val="0"/>
            <w:vAlign w:val="center"/>
          </w:tcPr>
          <w:p w14:paraId="721CBDA5">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8</w:t>
            </w:r>
          </w:p>
        </w:tc>
        <w:tc>
          <w:tcPr>
            <w:tcW w:w="7244" w:type="dxa"/>
            <w:noWrap w:val="0"/>
            <w:vAlign w:val="center"/>
          </w:tcPr>
          <w:p w14:paraId="1F2BCDAD">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①投标人具有仓储场所的得2分，具有冻库或保鲜库场所加2分；须提供租赁合同或房屋产权证或者土地使用权证。</w:t>
            </w:r>
          </w:p>
          <w:p w14:paraId="4483578D">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②投标人拟为本项目配备6辆配送车辆得基本分1分，每增加1辆（备用/应急使用）加1分，最多得4分（注：若车辆为投标人自有，须提供车辆行驶证，若车辆为投标人租赁，则须提供租赁合同和车辆行驶证）。</w:t>
            </w:r>
          </w:p>
        </w:tc>
      </w:tr>
      <w:tr w14:paraId="6358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49AFD69A">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200" w:type="dxa"/>
            <w:noWrap w:val="0"/>
            <w:vAlign w:val="center"/>
          </w:tcPr>
          <w:p w14:paraId="3CFE7E7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配送服务方案</w:t>
            </w:r>
          </w:p>
        </w:tc>
        <w:tc>
          <w:tcPr>
            <w:tcW w:w="819" w:type="dxa"/>
            <w:noWrap w:val="0"/>
            <w:vAlign w:val="center"/>
          </w:tcPr>
          <w:p w14:paraId="0744F543">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3626CBEA">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配送服务方案，包含但不限于：①配送服务组织结构及</w:t>
            </w:r>
            <w:r>
              <w:rPr>
                <w:rFonts w:hint="eastAsia" w:ascii="仿宋" w:hAnsi="仿宋" w:eastAsia="仿宋" w:cs="仿宋"/>
                <w:color w:val="auto"/>
                <w:highlight w:val="none"/>
              </w:rPr>
              <w:t>配送人员管理制度</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highlight w:val="none"/>
              </w:rPr>
              <w:t>货源保障方案</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highlight w:val="none"/>
              </w:rPr>
              <w:t>食材出入库管理制度</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④食材溯源保障措施；4部分要素。</w:t>
            </w:r>
          </w:p>
          <w:p w14:paraId="1ACD39F8">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53A7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53BF3730">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200" w:type="dxa"/>
            <w:noWrap w:val="0"/>
            <w:vAlign w:val="center"/>
          </w:tcPr>
          <w:p w14:paraId="57B9EC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食材安全及管理方案</w:t>
            </w:r>
          </w:p>
        </w:tc>
        <w:tc>
          <w:tcPr>
            <w:tcW w:w="819" w:type="dxa"/>
            <w:noWrap w:val="0"/>
            <w:vAlign w:val="center"/>
          </w:tcPr>
          <w:p w14:paraId="7F3170D4">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7244" w:type="dxa"/>
            <w:noWrap w:val="0"/>
            <w:vAlign w:val="center"/>
          </w:tcPr>
          <w:p w14:paraId="5A9C8B35">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食材安全及管理方案，包含但不限于：①食材采购及贮存管理制度、②食材</w:t>
            </w:r>
            <w:r>
              <w:rPr>
                <w:rFonts w:hint="eastAsia" w:ascii="仿宋" w:hAnsi="仿宋" w:eastAsia="仿宋" w:cs="仿宋"/>
                <w:color w:val="auto"/>
                <w:highlight w:val="none"/>
              </w:rPr>
              <w:t>安全</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质量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查验制度</w:t>
            </w:r>
            <w:r>
              <w:rPr>
                <w:rFonts w:hint="eastAsia" w:ascii="仿宋" w:hAnsi="仿宋" w:eastAsia="仿宋" w:cs="仿宋"/>
                <w:color w:val="auto"/>
                <w:sz w:val="21"/>
                <w:szCs w:val="21"/>
                <w:highlight w:val="none"/>
                <w:lang w:val="en-US" w:eastAsia="zh-CN"/>
              </w:rPr>
              <w:t>、③食材留样措施、④食材</w:t>
            </w:r>
            <w:r>
              <w:rPr>
                <w:rFonts w:hint="eastAsia" w:ascii="仿宋" w:hAnsi="仿宋" w:eastAsia="仿宋" w:cs="仿宋"/>
                <w:color w:val="auto"/>
                <w:highlight w:val="none"/>
              </w:rPr>
              <w:t>安全</w:t>
            </w:r>
            <w:r>
              <w:rPr>
                <w:rFonts w:hint="eastAsia" w:ascii="仿宋" w:hAnsi="仿宋" w:eastAsia="仿宋" w:cs="仿宋"/>
                <w:color w:val="auto"/>
                <w:highlight w:val="none"/>
                <w:lang w:val="en-US" w:eastAsia="zh-CN"/>
              </w:rPr>
              <w:t>配送</w:t>
            </w:r>
            <w:r>
              <w:rPr>
                <w:rFonts w:hint="eastAsia" w:ascii="仿宋" w:hAnsi="仿宋" w:eastAsia="仿宋" w:cs="仿宋"/>
                <w:color w:val="auto"/>
                <w:highlight w:val="none"/>
              </w:rPr>
              <w:t>制度；</w:t>
            </w:r>
            <w:r>
              <w:rPr>
                <w:rFonts w:hint="eastAsia" w:ascii="仿宋" w:hAnsi="仿宋" w:eastAsia="仿宋" w:cs="仿宋"/>
                <w:color w:val="auto"/>
                <w:sz w:val="21"/>
                <w:szCs w:val="21"/>
                <w:highlight w:val="none"/>
                <w:lang w:val="en-US" w:eastAsia="zh-CN"/>
              </w:rPr>
              <w:t>4部分要素。</w:t>
            </w:r>
          </w:p>
          <w:p w14:paraId="68D18132">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3E63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7F9096C1">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200" w:type="dxa"/>
            <w:noWrap w:val="0"/>
            <w:vAlign w:val="center"/>
          </w:tcPr>
          <w:p w14:paraId="586DEA7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应急预案</w:t>
            </w:r>
          </w:p>
        </w:tc>
        <w:tc>
          <w:tcPr>
            <w:tcW w:w="819" w:type="dxa"/>
            <w:noWrap w:val="0"/>
            <w:vAlign w:val="center"/>
          </w:tcPr>
          <w:p w14:paraId="6F51B7DA">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3A772C6C">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应急预案，包含但不限于：①食品安全事故应急措施、②自然灾害应急措施、③运输安全应急措施、④疾病防控应急措施；4部分要素。</w:t>
            </w:r>
          </w:p>
          <w:p w14:paraId="7ACF41B3">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246E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4A3DB243">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1200" w:type="dxa"/>
            <w:noWrap w:val="0"/>
            <w:vAlign w:val="center"/>
          </w:tcPr>
          <w:p w14:paraId="0C1270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后续服务方案</w:t>
            </w:r>
          </w:p>
        </w:tc>
        <w:tc>
          <w:tcPr>
            <w:tcW w:w="819" w:type="dxa"/>
            <w:noWrap w:val="0"/>
            <w:vAlign w:val="center"/>
          </w:tcPr>
          <w:p w14:paraId="58D98007">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7244" w:type="dxa"/>
            <w:noWrap w:val="0"/>
            <w:vAlign w:val="center"/>
          </w:tcPr>
          <w:p w14:paraId="1832FC1F">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后续服务方案，包含但不限于：①后续服务体系、②</w:t>
            </w:r>
            <w:r>
              <w:rPr>
                <w:rFonts w:hint="eastAsia" w:ascii="仿宋" w:hAnsi="仿宋" w:eastAsia="仿宋" w:cs="仿宋"/>
                <w:color w:val="auto"/>
                <w:highlight w:val="none"/>
              </w:rPr>
              <w:t>客户回访措施</w:t>
            </w:r>
            <w:r>
              <w:rPr>
                <w:rFonts w:hint="eastAsia" w:ascii="仿宋" w:hAnsi="仿宋" w:eastAsia="仿宋" w:cs="仿宋"/>
                <w:color w:val="auto"/>
                <w:sz w:val="21"/>
                <w:szCs w:val="21"/>
                <w:highlight w:val="none"/>
                <w:lang w:val="en-US" w:eastAsia="zh-CN"/>
              </w:rPr>
              <w:t>、③不合格食品退换货及销毁</w:t>
            </w:r>
            <w:r>
              <w:rPr>
                <w:rFonts w:hint="eastAsia" w:ascii="仿宋" w:hAnsi="仿宋" w:eastAsia="仿宋" w:cs="仿宋"/>
                <w:color w:val="auto"/>
                <w:highlight w:val="none"/>
              </w:rPr>
              <w:t>措</w:t>
            </w:r>
            <w:r>
              <w:rPr>
                <w:rFonts w:hint="eastAsia" w:ascii="仿宋" w:hAnsi="仿宋" w:eastAsia="仿宋" w:cs="仿宋"/>
                <w:color w:val="auto"/>
                <w:sz w:val="21"/>
                <w:szCs w:val="21"/>
                <w:highlight w:val="none"/>
                <w:lang w:val="en-US" w:eastAsia="zh-CN"/>
              </w:rPr>
              <w:t>；3部分要素。</w:t>
            </w:r>
          </w:p>
          <w:p w14:paraId="26E75EB2">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3D2B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gridSpan w:val="2"/>
            <w:noWrap w:val="0"/>
            <w:vAlign w:val="center"/>
          </w:tcPr>
          <w:p w14:paraId="2CD098AE">
            <w:pPr>
              <w:keepLines w:val="0"/>
              <w:pageBreakBefore w:val="0"/>
              <w:wordWrap/>
              <w:overflowPunct/>
              <w:topLinePunct w:val="0"/>
              <w:bidi w:val="0"/>
              <w:spacing w:line="360" w:lineRule="auto"/>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合计</w:t>
            </w:r>
          </w:p>
        </w:tc>
        <w:tc>
          <w:tcPr>
            <w:tcW w:w="819" w:type="dxa"/>
            <w:noWrap w:val="0"/>
            <w:vAlign w:val="center"/>
          </w:tcPr>
          <w:p w14:paraId="1D4F42E0">
            <w:pPr>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c>
          <w:tcPr>
            <w:tcW w:w="7244" w:type="dxa"/>
            <w:noWrap w:val="0"/>
            <w:vAlign w:val="center"/>
          </w:tcPr>
          <w:p w14:paraId="3CA88E38">
            <w:pPr>
              <w:keepLines w:val="0"/>
              <w:pageBreakBefore w:val="0"/>
              <w:wordWrap/>
              <w:overflowPunct/>
              <w:topLinePunct w:val="0"/>
              <w:bidi w:val="0"/>
              <w:spacing w:line="360" w:lineRule="auto"/>
              <w:jc w:val="left"/>
              <w:outlineLvl w:val="9"/>
              <w:rPr>
                <w:rFonts w:hint="eastAsia" w:ascii="仿宋" w:hAnsi="仿宋" w:eastAsia="仿宋" w:cs="仿宋"/>
                <w:color w:val="auto"/>
                <w:kern w:val="0"/>
                <w:sz w:val="21"/>
                <w:szCs w:val="21"/>
                <w:highlight w:val="none"/>
              </w:rPr>
            </w:pPr>
          </w:p>
        </w:tc>
      </w:tr>
      <w:tr w14:paraId="0869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6" w:type="dxa"/>
            <w:gridSpan w:val="4"/>
            <w:noWrap w:val="0"/>
            <w:vAlign w:val="center"/>
          </w:tcPr>
          <w:p w14:paraId="74388F80">
            <w:pPr>
              <w:keepLines w:val="0"/>
              <w:pageBreakBefore w:val="0"/>
              <w:wordWrap/>
              <w:overflowPunct/>
              <w:topLinePunct w:val="0"/>
              <w:bidi w:val="0"/>
              <w:spacing w:line="360" w:lineRule="auto"/>
              <w:jc w:val="lef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说明：</w:t>
            </w:r>
            <w:r>
              <w:rPr>
                <w:rFonts w:hint="eastAsia" w:ascii="仿宋" w:hAnsi="仿宋" w:eastAsia="仿宋" w:cs="仿宋"/>
                <w:color w:val="auto"/>
                <w:kern w:val="0"/>
                <w:szCs w:val="21"/>
                <w:highlight w:val="none"/>
              </w:rPr>
              <w:t>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6338B122">
      <w:pPr>
        <w:widowControl/>
        <w:jc w:val="left"/>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12409"/>
      <w:bookmarkStart w:id="42" w:name="_Toc22715"/>
      <w:bookmarkStart w:id="43" w:name="_Toc115977387"/>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21706"/>
      <w:bookmarkStart w:id="46" w:name="_Toc115977388"/>
      <w:bookmarkStart w:id="47" w:name="_Toc8393"/>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24086"/>
      <w:bookmarkStart w:id="49" w:name="_Toc18122"/>
      <w:bookmarkStart w:id="50" w:name="_Toc115977389"/>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201"/>
        <w:widowControl/>
        <w:numPr>
          <w:ilvl w:val="0"/>
          <w:numId w:val="2"/>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与投标文件中相应内容不一致的，以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.7详细评审工作全部结束后，投标人总得分排序按照以下原则进行。</w:t>
      </w:r>
    </w:p>
    <w:p w14:paraId="07A0C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2D2D57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446072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lang w:val="en-US" w:eastAsia="zh-CN"/>
        </w:rPr>
      </w:pPr>
      <w:bookmarkStart w:id="51" w:name="_Toc23600"/>
      <w:r>
        <w:rPr>
          <w:rFonts w:hint="eastAsia" w:ascii="仿宋" w:hAnsi="仿宋" w:eastAsia="仿宋" w:cs="仿宋"/>
          <w:b/>
          <w:color w:val="auto"/>
          <w:sz w:val="24"/>
          <w:szCs w:val="24"/>
          <w:highlight w:val="none"/>
        </w:rPr>
        <w:t>第三章 合同</w:t>
      </w:r>
      <w:r>
        <w:rPr>
          <w:rFonts w:hint="eastAsia" w:ascii="仿宋" w:hAnsi="仿宋" w:eastAsia="仿宋" w:cs="仿宋"/>
          <w:b/>
          <w:color w:val="auto"/>
          <w:sz w:val="24"/>
          <w:szCs w:val="24"/>
          <w:highlight w:val="none"/>
          <w:lang w:val="en-US" w:eastAsia="zh-CN"/>
        </w:rPr>
        <w:t>文本</w:t>
      </w:r>
      <w:bookmarkEnd w:id="51"/>
    </w:p>
    <w:p w14:paraId="67F0628B">
      <w:pPr>
        <w:rPr>
          <w:rFonts w:hint="eastAsia" w:ascii="仿宋" w:hAnsi="仿宋" w:eastAsia="仿宋" w:cs="仿宋"/>
          <w:color w:val="auto"/>
          <w:highlight w:val="none"/>
        </w:rPr>
      </w:pPr>
    </w:p>
    <w:p w14:paraId="7079FBE6">
      <w:pPr>
        <w:pStyle w:val="18"/>
        <w:keepLines w:val="0"/>
        <w:pageBreakBefore w:val="0"/>
        <w:widowControl w:val="0"/>
        <w:numPr>
          <w:ilvl w:val="0"/>
          <w:numId w:val="0"/>
        </w:numPr>
        <w:wordWrap/>
        <w:overflowPunct/>
        <w:topLinePunct w:val="0"/>
        <w:bidi w:val="0"/>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注：本合同文本供参考，具体内容以实际签订为准。</w:t>
      </w:r>
    </w:p>
    <w:p w14:paraId="065EAC8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44"/>
          <w:szCs w:val="44"/>
          <w:highlight w:val="none"/>
          <w:shd w:val="clear" w:color="auto" w:fill="FFFFFF"/>
          <w:lang w:eastAsia="zh-CN"/>
        </w:rPr>
      </w:pPr>
    </w:p>
    <w:p w14:paraId="5B77F16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32"/>
          <w:szCs w:val="32"/>
          <w:highlight w:val="none"/>
          <w:shd w:val="clear" w:color="auto" w:fill="FFFFFF"/>
        </w:rPr>
      </w:pPr>
      <w:r>
        <w:rPr>
          <w:rFonts w:hint="eastAsia" w:ascii="仿宋" w:hAnsi="仿宋" w:eastAsia="仿宋" w:cs="仿宋"/>
          <w:i w:val="0"/>
          <w:iCs w:val="0"/>
          <w:caps w:val="0"/>
          <w:color w:val="auto"/>
          <w:spacing w:val="4"/>
          <w:sz w:val="44"/>
          <w:szCs w:val="44"/>
          <w:highlight w:val="none"/>
          <w:shd w:val="clear" w:color="auto" w:fill="FFFFFF"/>
        </w:rPr>
        <w:t>学校食堂食材采购合同</w:t>
      </w:r>
    </w:p>
    <w:p w14:paraId="631920C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56" w:firstLineChars="200"/>
        <w:jc w:val="both"/>
        <w:textAlignment w:val="auto"/>
        <w:outlineLvl w:val="9"/>
        <w:rPr>
          <w:rFonts w:hint="eastAsia" w:ascii="仿宋" w:hAnsi="仿宋" w:eastAsia="仿宋" w:cs="仿宋"/>
          <w:i w:val="0"/>
          <w:iCs w:val="0"/>
          <w:caps w:val="0"/>
          <w:color w:val="auto"/>
          <w:spacing w:val="4"/>
          <w:sz w:val="32"/>
          <w:szCs w:val="32"/>
          <w:highlight w:val="none"/>
          <w:shd w:val="clear" w:color="auto" w:fill="FFFFFF"/>
        </w:rPr>
      </w:pPr>
    </w:p>
    <w:p w14:paraId="5E55900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甲方</w:t>
      </w:r>
      <w:r>
        <w:rPr>
          <w:rFonts w:hint="eastAsia" w:ascii="仿宋" w:hAnsi="仿宋" w:eastAsia="仿宋" w:cs="仿宋"/>
          <w:i w:val="0"/>
          <w:iCs w:val="0"/>
          <w:caps w:val="0"/>
          <w:color w:val="auto"/>
          <w:spacing w:val="4"/>
          <w:sz w:val="24"/>
          <w:szCs w:val="24"/>
          <w:highlight w:val="none"/>
          <w:shd w:val="clear" w:color="auto" w:fill="FFFFFF"/>
          <w:lang w:eastAsia="zh-CN"/>
        </w:rPr>
        <w:t>（学校方）</w:t>
      </w:r>
      <w:r>
        <w:rPr>
          <w:rFonts w:hint="eastAsia" w:ascii="仿宋" w:hAnsi="仿宋" w:eastAsia="仿宋" w:cs="仿宋"/>
          <w:i w:val="0"/>
          <w:iCs w:val="0"/>
          <w:caps w:val="0"/>
          <w:color w:val="auto"/>
          <w:spacing w:val="4"/>
          <w:sz w:val="24"/>
          <w:szCs w:val="24"/>
          <w:highlight w:val="none"/>
          <w:shd w:val="clear" w:color="auto" w:fill="FFFFFF"/>
        </w:rPr>
        <w:t>：</w:t>
      </w:r>
    </w:p>
    <w:p w14:paraId="3B27A1D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4E27D42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eastAsia="zh-CN"/>
        </w:rPr>
        <w:t>（供货方）</w:t>
      </w:r>
      <w:r>
        <w:rPr>
          <w:rFonts w:hint="eastAsia" w:ascii="仿宋" w:hAnsi="仿宋" w:eastAsia="仿宋" w:cs="仿宋"/>
          <w:i w:val="0"/>
          <w:iCs w:val="0"/>
          <w:caps w:val="0"/>
          <w:color w:val="auto"/>
          <w:spacing w:val="4"/>
          <w:sz w:val="24"/>
          <w:szCs w:val="24"/>
          <w:highlight w:val="none"/>
          <w:shd w:val="clear" w:color="auto" w:fill="FFFFFF"/>
        </w:rPr>
        <w:t>：</w:t>
      </w:r>
    </w:p>
    <w:p w14:paraId="502B90B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1E43949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43DC9D4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仿宋" w:hAnsi="仿宋" w:eastAsia="仿宋" w:cs="仿宋"/>
          <w:i w:val="0"/>
          <w:iCs w:val="0"/>
          <w:caps w:val="0"/>
          <w:color w:val="auto"/>
          <w:spacing w:val="4"/>
          <w:sz w:val="24"/>
          <w:szCs w:val="24"/>
          <w:highlight w:val="none"/>
          <w:shd w:val="clear" w:color="auto" w:fill="FFFFFF"/>
          <w:lang w:eastAsia="zh-CN"/>
        </w:rPr>
        <w:t>，食材</w:t>
      </w:r>
      <w:r>
        <w:rPr>
          <w:rFonts w:hint="eastAsia" w:ascii="仿宋" w:hAnsi="仿宋" w:eastAsia="仿宋" w:cs="仿宋"/>
          <w:i w:val="0"/>
          <w:iCs w:val="0"/>
          <w:caps w:val="0"/>
          <w:color w:val="auto"/>
          <w:spacing w:val="4"/>
          <w:sz w:val="24"/>
          <w:szCs w:val="24"/>
          <w:highlight w:val="none"/>
          <w:shd w:val="clear" w:color="auto" w:fill="FFFFFF"/>
        </w:rPr>
        <w:t>具体质量要求详见</w:t>
      </w:r>
      <w:r>
        <w:rPr>
          <w:rFonts w:hint="eastAsia" w:ascii="仿宋" w:hAnsi="仿宋" w:eastAsia="仿宋" w:cs="仿宋"/>
          <w:i w:val="0"/>
          <w:iCs w:val="0"/>
          <w:caps w:val="0"/>
          <w:color w:val="auto"/>
          <w:spacing w:val="4"/>
          <w:sz w:val="24"/>
          <w:szCs w:val="24"/>
          <w:highlight w:val="none"/>
          <w:shd w:val="clear" w:color="auto" w:fill="FFFFFF"/>
          <w:lang w:eastAsia="zh-CN"/>
        </w:rPr>
        <w:t>附件《</w:t>
      </w:r>
      <w:r>
        <w:rPr>
          <w:rFonts w:hint="eastAsia" w:ascii="仿宋" w:hAnsi="仿宋" w:eastAsia="仿宋" w:cs="仿宋"/>
          <w:i w:val="0"/>
          <w:iCs w:val="0"/>
          <w:caps w:val="0"/>
          <w:color w:val="auto"/>
          <w:spacing w:val="4"/>
          <w:sz w:val="24"/>
          <w:szCs w:val="24"/>
          <w:highlight w:val="none"/>
          <w:shd w:val="clear" w:color="auto" w:fill="FFFFFF"/>
          <w:lang w:val="en-US" w:eastAsia="zh-CN"/>
        </w:rPr>
        <w:t>学校大宗食材原（辅）料</w:t>
      </w:r>
      <w:r>
        <w:rPr>
          <w:rFonts w:hint="eastAsia" w:ascii="仿宋" w:hAnsi="仿宋" w:eastAsia="仿宋" w:cs="仿宋"/>
          <w:i w:val="0"/>
          <w:iCs w:val="0"/>
          <w:caps w:val="0"/>
          <w:color w:val="auto"/>
          <w:spacing w:val="4"/>
          <w:sz w:val="24"/>
          <w:szCs w:val="24"/>
          <w:highlight w:val="none"/>
          <w:shd w:val="clear" w:color="auto" w:fill="FFFFFF"/>
        </w:rPr>
        <w:t>技术及质量要求表</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w:t>
      </w:r>
    </w:p>
    <w:p w14:paraId="77A3C1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一</w:t>
      </w:r>
      <w:r>
        <w:rPr>
          <w:rFonts w:hint="eastAsia" w:ascii="仿宋" w:hAnsi="仿宋" w:eastAsia="仿宋" w:cs="仿宋"/>
          <w:b/>
          <w:bCs/>
          <w:i w:val="0"/>
          <w:iCs w:val="0"/>
          <w:caps w:val="0"/>
          <w:color w:val="auto"/>
          <w:spacing w:val="4"/>
          <w:sz w:val="24"/>
          <w:szCs w:val="24"/>
          <w:highlight w:val="none"/>
          <w:shd w:val="clear" w:color="auto" w:fill="FFFFFF"/>
          <w:lang w:val="en-US" w:eastAsia="zh-CN"/>
        </w:rPr>
        <w:t>、</w:t>
      </w:r>
      <w:r>
        <w:rPr>
          <w:rFonts w:hint="eastAsia" w:ascii="仿宋" w:hAnsi="仿宋" w:eastAsia="仿宋" w:cs="仿宋"/>
          <w:b/>
          <w:bCs/>
          <w:i w:val="0"/>
          <w:iCs w:val="0"/>
          <w:caps w:val="0"/>
          <w:color w:val="auto"/>
          <w:spacing w:val="4"/>
          <w:sz w:val="24"/>
          <w:szCs w:val="24"/>
          <w:highlight w:val="none"/>
          <w:shd w:val="clear" w:color="auto" w:fill="FFFFFF"/>
        </w:rPr>
        <w:t>合同期限</w:t>
      </w:r>
    </w:p>
    <w:p w14:paraId="57CAA3E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color w:val="auto"/>
          <w:spacing w:val="-18"/>
          <w:sz w:val="24"/>
          <w:szCs w:val="24"/>
          <w:highlight w:val="none"/>
          <w:lang w:val="en-US" w:eastAsia="zh-CN"/>
        </w:rPr>
      </w:pPr>
      <w:r>
        <w:rPr>
          <w:rFonts w:hint="eastAsia" w:ascii="仿宋" w:hAnsi="仿宋" w:eastAsia="仿宋" w:cs="仿宋"/>
          <w:i w:val="0"/>
          <w:iCs w:val="0"/>
          <w:caps w:val="0"/>
          <w:color w:val="auto"/>
          <w:spacing w:val="4"/>
          <w:sz w:val="24"/>
          <w:szCs w:val="24"/>
          <w:highlight w:val="none"/>
          <w:shd w:val="clear" w:color="auto" w:fill="FFFFFF"/>
        </w:rPr>
        <w:t>供货服务期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日止；合同一年一签，即</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w:t>
      </w:r>
      <w:r>
        <w:rPr>
          <w:rFonts w:hint="eastAsia" w:ascii="仿宋" w:hAnsi="仿宋" w:eastAsia="仿宋" w:cs="仿宋"/>
          <w:snapToGrid w:val="0"/>
          <w:color w:val="auto"/>
          <w:spacing w:val="-3"/>
          <w:kern w:val="0"/>
          <w:sz w:val="24"/>
          <w:szCs w:val="24"/>
          <w:highlight w:val="none"/>
          <w:lang w:val="en-US" w:eastAsia="zh-CN" w:bidi="ar-SA"/>
        </w:rPr>
        <w:t>如采用招投标方式确定管理服务对象的，则本合同期限与招投标文件保持一致。</w:t>
      </w:r>
    </w:p>
    <w:p w14:paraId="188C19D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服务期内，国家、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如发布新的规定，按照国家、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新的规定执行。</w:t>
      </w:r>
    </w:p>
    <w:p w14:paraId="6BE49A9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二、合同金额、食材供应的品种及单价</w:t>
      </w:r>
    </w:p>
    <w:p w14:paraId="330AAB8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预计年采购金额为</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万元（本合同具体金额：学校按照国家</w:t>
      </w:r>
      <w:r>
        <w:rPr>
          <w:rFonts w:hint="eastAsia" w:ascii="仿宋" w:hAnsi="仿宋" w:eastAsia="仿宋" w:cs="仿宋"/>
          <w:i w:val="0"/>
          <w:iCs w:val="0"/>
          <w:caps w:val="0"/>
          <w:color w:val="auto"/>
          <w:spacing w:val="4"/>
          <w:sz w:val="24"/>
          <w:szCs w:val="24"/>
          <w:highlight w:val="none"/>
          <w:shd w:val="clear" w:color="auto" w:fill="FFFFFF"/>
          <w:lang w:eastAsia="zh-CN"/>
        </w:rPr>
        <w:t>和自治区</w:t>
      </w:r>
      <w:r>
        <w:rPr>
          <w:rFonts w:hint="eastAsia" w:ascii="仿宋" w:hAnsi="仿宋" w:eastAsia="仿宋" w:cs="仿宋"/>
          <w:i w:val="0"/>
          <w:iCs w:val="0"/>
          <w:caps w:val="0"/>
          <w:color w:val="auto"/>
          <w:spacing w:val="4"/>
          <w:sz w:val="24"/>
          <w:szCs w:val="24"/>
          <w:highlight w:val="none"/>
          <w:shd w:val="clear" w:color="auto" w:fill="FFFFFF"/>
        </w:rPr>
        <w:t>有关规定采购贫困地区农副产品之外的实际发生采购金额</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b w:val="0"/>
          <w:bCs w:val="0"/>
          <w:color w:val="auto"/>
          <w:sz w:val="24"/>
          <w:szCs w:val="24"/>
          <w:highlight w:val="none"/>
          <w:u w:val="none"/>
        </w:rPr>
        <w:t>最终以实际配送数量和范围进行结算</w:t>
      </w:r>
      <w:r>
        <w:rPr>
          <w:rFonts w:hint="eastAsia" w:ascii="仿宋" w:hAnsi="仿宋" w:eastAsia="仿宋" w:cs="仿宋"/>
          <w:i w:val="0"/>
          <w:iCs w:val="0"/>
          <w:caps w:val="0"/>
          <w:color w:val="auto"/>
          <w:spacing w:val="4"/>
          <w:sz w:val="24"/>
          <w:szCs w:val="24"/>
          <w:highlight w:val="none"/>
          <w:shd w:val="clear" w:color="auto" w:fill="FFFFFF"/>
        </w:rPr>
        <w:t>）。</w:t>
      </w:r>
    </w:p>
    <w:p w14:paraId="2F9C4A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本次招标实行定点采购的食堂原（辅）材料为以下项目：</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7D090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三、交货地点、时间、数量及验收</w:t>
      </w:r>
    </w:p>
    <w:p w14:paraId="79D962D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交货地点：乙方根据配送范围内学校具体要求将产品送至指定地方即配送目标学校内，原则上送至学校食堂</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FF876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（二）数量：</w:t>
      </w:r>
      <w:r>
        <w:rPr>
          <w:rFonts w:hint="eastAsia" w:ascii="仿宋" w:hAnsi="仿宋" w:eastAsia="仿宋" w:cs="仿宋"/>
          <w:i w:val="0"/>
          <w:iCs w:val="0"/>
          <w:caps w:val="0"/>
          <w:color w:val="auto"/>
          <w:spacing w:val="4"/>
          <w:sz w:val="24"/>
          <w:szCs w:val="24"/>
          <w:highlight w:val="none"/>
          <w:shd w:val="clear" w:color="auto" w:fill="FFFFFF"/>
        </w:rPr>
        <w:t>以甲乙双方签字确认后的配送验收单为准。</w:t>
      </w:r>
    </w:p>
    <w:p w14:paraId="0AD3E21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（三）验收：</w:t>
      </w:r>
    </w:p>
    <w:p w14:paraId="55BEFC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在收到配送货物的现场，由甲方指定负责人按照确定的订货清单验收。</w:t>
      </w:r>
    </w:p>
    <w:p w14:paraId="1BDE636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如甲方对产品的质量、数量、等级、包装有异议的，应在验收后3日内向乙方提出。乙方应当在收到甲方通知后当日内更换、补供，相关退、换货费用由乙方承担。甲方未在规定期限提出异议的，不视为乙方所交付的货物质量完全符合合同预定。</w:t>
      </w:r>
    </w:p>
    <w:p w14:paraId="02B1614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3.</w:t>
      </w:r>
      <w:r>
        <w:rPr>
          <w:rFonts w:hint="eastAsia" w:ascii="仿宋" w:hAnsi="仿宋" w:eastAsia="仿宋" w:cs="仿宋"/>
          <w:i w:val="0"/>
          <w:iCs w:val="0"/>
          <w:caps w:val="0"/>
          <w:color w:val="auto"/>
          <w:spacing w:val="4"/>
          <w:sz w:val="24"/>
          <w:szCs w:val="24"/>
          <w:highlight w:val="none"/>
          <w:shd w:val="clear" w:color="auto" w:fill="FFFFFF"/>
        </w:rPr>
        <w:t>甲乙双方验收合格后，应在配送验收清单上签字确认。</w:t>
      </w:r>
    </w:p>
    <w:p w14:paraId="771144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4.</w:t>
      </w:r>
      <w:r>
        <w:rPr>
          <w:rFonts w:hint="eastAsia" w:ascii="仿宋" w:hAnsi="仿宋" w:eastAsia="仿宋" w:cs="仿宋"/>
          <w:i w:val="0"/>
          <w:iCs w:val="0"/>
          <w:caps w:val="0"/>
          <w:color w:val="auto"/>
          <w:spacing w:val="4"/>
          <w:sz w:val="24"/>
          <w:szCs w:val="24"/>
          <w:highlight w:val="none"/>
          <w:shd w:val="clear" w:color="auto" w:fill="FFFFFF"/>
        </w:rPr>
        <w:t>对不符合质量的品种，甲方有权随时退货和要求乙方换货，乙方应在收到甲方通知后当日内处理、解决，不得影响学校为学生供餐。</w:t>
      </w:r>
    </w:p>
    <w:p w14:paraId="666B77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rPr>
      </w:pPr>
      <w:r>
        <w:rPr>
          <w:rFonts w:hint="eastAsia" w:ascii="仿宋" w:hAnsi="仿宋" w:eastAsia="仿宋" w:cs="仿宋"/>
          <w:b/>
          <w:bCs/>
          <w:i w:val="0"/>
          <w:iCs w:val="0"/>
          <w:caps w:val="0"/>
          <w:color w:val="auto"/>
          <w:spacing w:val="4"/>
          <w:sz w:val="24"/>
          <w:szCs w:val="24"/>
          <w:highlight w:val="none"/>
          <w:shd w:val="clear" w:color="auto" w:fill="FFFFFF"/>
          <w:lang w:eastAsia="zh-CN"/>
        </w:rPr>
        <w:t>四、结算及付款方式</w:t>
      </w:r>
    </w:p>
    <w:p w14:paraId="6A4DCF6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甲乙双方应在月底完成当月供货有关情况核对工作。</w:t>
      </w:r>
    </w:p>
    <w:p w14:paraId="26334B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乙方应于次月第一周，向甲方提供上月货款的正规发票，甲方经核实无异议后，在收到发票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工作日内将上月采购款支付给乙方。</w:t>
      </w:r>
    </w:p>
    <w:p w14:paraId="6CE8BA3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付款方式：</w:t>
      </w:r>
      <w:r>
        <w:rPr>
          <w:rFonts w:hint="eastAsia" w:ascii="仿宋" w:hAnsi="仿宋" w:eastAsia="仿宋" w:cs="仿宋"/>
          <w:i w:val="0"/>
          <w:iCs w:val="0"/>
          <w:caps w:val="0"/>
          <w:color w:val="auto"/>
          <w:spacing w:val="4"/>
          <w:sz w:val="24"/>
          <w:szCs w:val="24"/>
          <w:highlight w:val="none"/>
          <w:u w:val="single"/>
          <w:shd w:val="clear" w:color="auto" w:fill="FFFFFF"/>
        </w:rPr>
        <w:t>公对公银行转账</w:t>
      </w:r>
      <w:r>
        <w:rPr>
          <w:rFonts w:hint="eastAsia" w:ascii="仿宋" w:hAnsi="仿宋" w:eastAsia="仿宋" w:cs="仿宋"/>
          <w:i w:val="0"/>
          <w:iCs w:val="0"/>
          <w:caps w:val="0"/>
          <w:color w:val="auto"/>
          <w:spacing w:val="4"/>
          <w:sz w:val="24"/>
          <w:szCs w:val="24"/>
          <w:highlight w:val="none"/>
          <w:shd w:val="clear" w:color="auto" w:fill="FFFFFF"/>
        </w:rPr>
        <w:t>。</w:t>
      </w:r>
    </w:p>
    <w:p w14:paraId="048585E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（四）其他结算方式：</w:t>
      </w:r>
      <w:r>
        <w:rPr>
          <w:rFonts w:hint="eastAsia" w:ascii="仿宋" w:hAnsi="仿宋" w:eastAsia="仿宋" w:cs="仿宋"/>
          <w:color w:val="auto"/>
          <w:highlight w:val="none"/>
          <w:u w:val="single"/>
          <w:lang w:val="en-US" w:eastAsia="zh-CN"/>
        </w:rPr>
        <w:t xml:space="preserve">   /   </w:t>
      </w:r>
    </w:p>
    <w:p w14:paraId="49F7662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合同期满或中途解除合同，双方应当按照本合同的约定进行对账和结算，确定未结算的价款，甲方在确定价款后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工作日内，一次性结算乙方的所有款项。</w:t>
      </w:r>
    </w:p>
    <w:p w14:paraId="4B83AA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五、履约保证金</w:t>
      </w:r>
    </w:p>
    <w:p w14:paraId="322F3FB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snapToGrid w:val="0"/>
          <w:color w:val="auto"/>
          <w:spacing w:val="-4"/>
          <w:kern w:val="0"/>
          <w:sz w:val="24"/>
          <w:szCs w:val="24"/>
          <w:highlight w:val="none"/>
          <w:lang w:val="en-US" w:eastAsia="en-US" w:bidi="ar-SA"/>
        </w:rPr>
        <w:t>乙方在签订合同后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snapToGrid w:val="0"/>
          <w:color w:val="auto"/>
          <w:spacing w:val="-4"/>
          <w:kern w:val="0"/>
          <w:sz w:val="24"/>
          <w:szCs w:val="24"/>
          <w:highlight w:val="none"/>
          <w:lang w:val="en-US" w:eastAsia="en-US" w:bidi="ar-SA"/>
        </w:rPr>
        <w:t>工作日内，向甲方提供履约保证金或履约保函。其中履约保证金、保函金额</w:t>
      </w:r>
      <w:r>
        <w:rPr>
          <w:rFonts w:hint="eastAsia" w:ascii="仿宋" w:hAnsi="仿宋" w:eastAsia="仿宋" w:cs="仿宋"/>
          <w:snapToGrid w:val="0"/>
          <w:color w:val="auto"/>
          <w:spacing w:val="-4"/>
          <w:kern w:val="0"/>
          <w:sz w:val="24"/>
          <w:szCs w:val="24"/>
          <w:highlight w:val="none"/>
          <w:u w:val="single"/>
          <w:lang w:val="en-US" w:eastAsia="zh-CN" w:bidi="ar-SA"/>
        </w:rPr>
        <w:t xml:space="preserve">     </w:t>
      </w:r>
      <w:r>
        <w:rPr>
          <w:rFonts w:hint="eastAsia" w:ascii="仿宋" w:hAnsi="仿宋" w:eastAsia="仿宋" w:cs="仿宋"/>
          <w:snapToGrid w:val="0"/>
          <w:color w:val="auto"/>
          <w:spacing w:val="-4"/>
          <w:kern w:val="0"/>
          <w:sz w:val="24"/>
          <w:szCs w:val="24"/>
          <w:highlight w:val="none"/>
          <w:lang w:val="en-US" w:eastAsia="en-US" w:bidi="ar-SA"/>
        </w:rPr>
        <w:t>万元，期限</w:t>
      </w:r>
      <w:r>
        <w:rPr>
          <w:rFonts w:hint="eastAsia" w:ascii="仿宋" w:hAnsi="仿宋" w:eastAsia="仿宋" w:cs="仿宋"/>
          <w:snapToGrid w:val="0"/>
          <w:color w:val="auto"/>
          <w:spacing w:val="-4"/>
          <w:kern w:val="0"/>
          <w:sz w:val="24"/>
          <w:szCs w:val="24"/>
          <w:highlight w:val="none"/>
          <w:lang w:val="en-US" w:eastAsia="zh-CN" w:bidi="ar-SA"/>
        </w:rPr>
        <w:t>同合同期限</w:t>
      </w:r>
      <w:r>
        <w:rPr>
          <w:rFonts w:hint="eastAsia" w:ascii="仿宋" w:hAnsi="仿宋" w:eastAsia="仿宋" w:cs="仿宋"/>
          <w:snapToGrid w:val="0"/>
          <w:color w:val="auto"/>
          <w:spacing w:val="-4"/>
          <w:kern w:val="0"/>
          <w:sz w:val="24"/>
          <w:szCs w:val="24"/>
          <w:highlight w:val="none"/>
          <w:lang w:val="en-US" w:eastAsia="en-US" w:bidi="ar-SA"/>
        </w:rPr>
        <w:t>。如超期未提供履约保证金或履约保函，将</w:t>
      </w:r>
      <w:r>
        <w:rPr>
          <w:rFonts w:hint="eastAsia" w:ascii="仿宋" w:hAnsi="仿宋" w:eastAsia="仿宋" w:cs="仿宋"/>
          <w:snapToGrid w:val="0"/>
          <w:color w:val="auto"/>
          <w:spacing w:val="-4"/>
          <w:kern w:val="0"/>
          <w:sz w:val="24"/>
          <w:szCs w:val="24"/>
          <w:highlight w:val="none"/>
          <w:lang w:val="en-US" w:eastAsia="zh-CN" w:bidi="ar-SA"/>
        </w:rPr>
        <w:t>视为乙方无故单方解除合同，因此造成甲方损失的，乙方应当予以赔偿。</w:t>
      </w:r>
    </w:p>
    <w:p w14:paraId="142CBF7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保证金用于以下用途：</w:t>
      </w:r>
    </w:p>
    <w:p w14:paraId="243ED7C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因食材原因导致食品安全事故时，用于第一时间救治师生，乙方需无条件配合甲方启用履约保证金；</w:t>
      </w:r>
    </w:p>
    <w:p w14:paraId="725F59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因乙方原因不能履约，导致学校、师生经济损失的，甲方有权单方面启用履约保证金予以赔付。</w:t>
      </w:r>
    </w:p>
    <w:p w14:paraId="6F118F1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（三）保证金不足以抵偿乙方应承担责任的金额或甲方受到的损失的，乙方应继续承担赔偿责任。</w:t>
      </w:r>
    </w:p>
    <w:p w14:paraId="6E4A10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当保证金不足时，乙方应当在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个工作日内补足保证金。</w:t>
      </w:r>
    </w:p>
    <w:p w14:paraId="58B577A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当合同履行期满，甲方应当</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个工作日内，将保证</w:t>
      </w:r>
      <w:r>
        <w:rPr>
          <w:rFonts w:hint="eastAsia" w:ascii="仿宋" w:hAnsi="仿宋" w:eastAsia="仿宋" w:cs="仿宋"/>
          <w:i w:val="0"/>
          <w:iCs w:val="0"/>
          <w:caps w:val="0"/>
          <w:color w:val="auto"/>
          <w:spacing w:val="4"/>
          <w:sz w:val="24"/>
          <w:szCs w:val="24"/>
          <w:highlight w:val="none"/>
          <w:shd w:val="clear" w:color="auto" w:fill="FFFFFF"/>
          <w:lang w:eastAsia="zh-CN"/>
        </w:rPr>
        <w:t>金</w:t>
      </w:r>
      <w:r>
        <w:rPr>
          <w:rFonts w:hint="eastAsia" w:ascii="仿宋" w:hAnsi="仿宋" w:eastAsia="仿宋" w:cs="仿宋"/>
          <w:i w:val="0"/>
          <w:iCs w:val="0"/>
          <w:caps w:val="0"/>
          <w:color w:val="auto"/>
          <w:spacing w:val="4"/>
          <w:sz w:val="24"/>
          <w:szCs w:val="24"/>
          <w:highlight w:val="none"/>
          <w:shd w:val="clear" w:color="auto" w:fill="FFFFFF"/>
        </w:rPr>
        <w:t>返还给乙方。</w:t>
      </w:r>
    </w:p>
    <w:p w14:paraId="0FA0916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六、食材质量要求</w:t>
      </w:r>
    </w:p>
    <w:p w14:paraId="401E7C3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（一）食材标准：</w:t>
      </w:r>
      <w:r>
        <w:rPr>
          <w:rFonts w:hint="eastAsia" w:ascii="仿宋" w:hAnsi="仿宋" w:eastAsia="仿宋" w:cs="仿宋"/>
          <w:i w:val="0"/>
          <w:iCs w:val="0"/>
          <w:caps w:val="0"/>
          <w:color w:val="auto"/>
          <w:spacing w:val="4"/>
          <w:sz w:val="24"/>
          <w:szCs w:val="24"/>
          <w:highlight w:val="none"/>
          <w:shd w:val="clear" w:color="auto" w:fill="FFFFFF"/>
        </w:rPr>
        <w:t>必须符合国家有关食品安全标准，乙方须提供所供食材的检测合格报告。没有国家标准的，必须符合行业标准，既没有国家标准和行业标准的应确保食材的新鲜、健康。</w:t>
      </w:r>
    </w:p>
    <w:p w14:paraId="6724ABC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（二）食材质量：</w:t>
      </w:r>
      <w:r>
        <w:rPr>
          <w:rFonts w:hint="eastAsia" w:ascii="仿宋" w:hAnsi="仿宋" w:eastAsia="仿宋" w:cs="仿宋"/>
          <w:i w:val="0"/>
          <w:iCs w:val="0"/>
          <w:caps w:val="0"/>
          <w:color w:val="auto"/>
          <w:spacing w:val="4"/>
          <w:sz w:val="24"/>
          <w:szCs w:val="24"/>
          <w:highlight w:val="none"/>
          <w:shd w:val="clear" w:color="auto" w:fill="FFFFFF"/>
        </w:rPr>
        <w:t>乙方在承包采购服务期间要严把质量关，明确进货渠道，建立台账，杜绝“三无”产品</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劣质原料进校园</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仿宋" w:hAnsi="仿宋" w:eastAsia="仿宋" w:cs="仿宋"/>
          <w:i w:val="0"/>
          <w:iCs w:val="0"/>
          <w:caps w:val="0"/>
          <w:color w:val="auto"/>
          <w:spacing w:val="4"/>
          <w:sz w:val="24"/>
          <w:szCs w:val="24"/>
          <w:highlight w:val="none"/>
          <w:shd w:val="clear" w:color="auto" w:fill="FFFFFF"/>
          <w:lang w:eastAsia="zh-CN"/>
        </w:rPr>
        <w:t>的食</w:t>
      </w:r>
      <w:r>
        <w:rPr>
          <w:rFonts w:hint="eastAsia" w:ascii="仿宋" w:hAnsi="仿宋" w:eastAsia="仿宋" w:cs="仿宋"/>
          <w:i w:val="0"/>
          <w:iCs w:val="0"/>
          <w:caps w:val="0"/>
          <w:color w:val="auto"/>
          <w:spacing w:val="4"/>
          <w:sz w:val="24"/>
          <w:szCs w:val="24"/>
          <w:highlight w:val="none"/>
          <w:shd w:val="clear" w:color="auto" w:fill="FFFFFF"/>
        </w:rPr>
        <w:t>材要适合实际操作，减少边角余料，合理节约，降低成本，杜绝浪费。如出现质量问题，乙方应无条件退货或换货。</w:t>
      </w:r>
    </w:p>
    <w:p w14:paraId="32C3C1F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外包装应符合食品安全规定。</w:t>
      </w:r>
    </w:p>
    <w:p w14:paraId="7338E4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七、供应方式</w:t>
      </w:r>
      <w:r>
        <w:rPr>
          <w:rFonts w:hint="eastAsia" w:ascii="仿宋" w:hAnsi="仿宋" w:eastAsia="仿宋" w:cs="仿宋"/>
          <w:b/>
          <w:bCs/>
          <w:i w:val="0"/>
          <w:iCs w:val="0"/>
          <w:caps w:val="0"/>
          <w:color w:val="auto"/>
          <w:spacing w:val="4"/>
          <w:sz w:val="24"/>
          <w:szCs w:val="24"/>
          <w:highlight w:val="none"/>
          <w:shd w:val="clear" w:color="auto" w:fill="FFFFFF"/>
          <w:lang w:val="en-US" w:eastAsia="zh-CN"/>
        </w:rPr>
        <w:t xml:space="preserve"> </w:t>
      </w:r>
    </w:p>
    <w:p w14:paraId="25DD9B1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为确保供餐质量，有效降低采购成本，学校（点）食堂实行食品原料采购“统一采购、统一配</w:t>
      </w:r>
      <w:r>
        <w:rPr>
          <w:rFonts w:hint="eastAsia" w:ascii="仿宋" w:hAnsi="仿宋" w:eastAsia="仿宋" w:cs="仿宋"/>
          <w:i w:val="0"/>
          <w:iCs w:val="0"/>
          <w:caps w:val="0"/>
          <w:color w:val="auto"/>
          <w:spacing w:val="4"/>
          <w:sz w:val="24"/>
          <w:szCs w:val="24"/>
          <w:highlight w:val="none"/>
          <w:shd w:val="clear" w:color="auto" w:fill="FFFFFF"/>
          <w:lang w:eastAsia="zh-CN"/>
        </w:rPr>
        <w:t>送”。</w:t>
      </w:r>
      <w:r>
        <w:rPr>
          <w:rFonts w:hint="eastAsia" w:ascii="仿宋" w:hAnsi="仿宋" w:eastAsia="仿宋" w:cs="仿宋"/>
          <w:i w:val="0"/>
          <w:iCs w:val="0"/>
          <w:caps w:val="0"/>
          <w:color w:val="auto"/>
          <w:spacing w:val="4"/>
          <w:sz w:val="24"/>
          <w:szCs w:val="24"/>
          <w:highlight w:val="none"/>
          <w:shd w:val="clear" w:color="auto" w:fill="FFFFFF"/>
        </w:rPr>
        <w:t>以</w:t>
      </w:r>
      <w:r>
        <w:rPr>
          <w:rFonts w:hint="eastAsia" w:ascii="仿宋" w:hAnsi="仿宋" w:eastAsia="仿宋" w:cs="仿宋"/>
          <w:i w:val="0"/>
          <w:iCs w:val="0"/>
          <w:caps w:val="0"/>
          <w:color w:val="auto"/>
          <w:spacing w:val="4"/>
          <w:sz w:val="24"/>
          <w:szCs w:val="24"/>
          <w:highlight w:val="none"/>
          <w:shd w:val="clear" w:color="auto" w:fill="FFFFFF"/>
          <w:lang w:val="en-US" w:eastAsia="zh-CN"/>
        </w:rPr>
        <w:t>乙方</w:t>
      </w:r>
      <w:r>
        <w:rPr>
          <w:rFonts w:hint="eastAsia" w:ascii="仿宋" w:hAnsi="仿宋" w:eastAsia="仿宋" w:cs="仿宋"/>
          <w:i w:val="0"/>
          <w:iCs w:val="0"/>
          <w:caps w:val="0"/>
          <w:color w:val="auto"/>
          <w:spacing w:val="4"/>
          <w:sz w:val="24"/>
          <w:szCs w:val="24"/>
          <w:highlight w:val="none"/>
          <w:shd w:val="clear" w:color="auto" w:fill="FFFFFF"/>
        </w:rPr>
        <w:t>为主体全面负责学生食品供应安全，负责学校食品原材料与副食品的采购与配送及食材检验，做好相关自检记录，并按食品安全要求和财务要求向学校提供相关票证。</w:t>
      </w:r>
    </w:p>
    <w:p w14:paraId="3CFD3CB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八、配送要求</w:t>
      </w:r>
    </w:p>
    <w:p w14:paraId="2C1B8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（一）由各学校根据实际情况制定用餐食谱，</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按学校提供的食谱进行配送。 </w:t>
      </w:r>
    </w:p>
    <w:p w14:paraId="20DF06A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（二）确定食谱后通知学校提前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天</w:t>
      </w:r>
      <w:r>
        <w:rPr>
          <w:rFonts w:hint="eastAsia" w:ascii="仿宋" w:hAnsi="仿宋" w:eastAsia="仿宋" w:cs="仿宋"/>
          <w:i w:val="0"/>
          <w:iCs w:val="0"/>
          <w:caps w:val="0"/>
          <w:color w:val="auto"/>
          <w:spacing w:val="4"/>
          <w:sz w:val="24"/>
          <w:szCs w:val="24"/>
          <w:highlight w:val="none"/>
          <w:shd w:val="clear" w:color="auto" w:fill="FFFFFF"/>
          <w:lang w:val="en-US" w:eastAsia="zh-CN"/>
        </w:rPr>
        <w:t>把日需求量提交给</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按学校要求进行配送。</w:t>
      </w:r>
    </w:p>
    <w:p w14:paraId="7FE4B41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按照学校提供的购货申请单内容和要求进行配送，具体的配送时间根据各个学校的实际情况确定，并随货开据食品原料配送单。</w:t>
      </w:r>
    </w:p>
    <w:p w14:paraId="297EAEB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（四）学校食品管理员查验食品原料，校领导审核无误后，分别在食品配送单上签名确认，学校根据配送单做好台账及公示工作。 </w:t>
      </w:r>
    </w:p>
    <w:p w14:paraId="4BE14CF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（五）每月底</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据实开具税务发票直接与学校结算。 </w:t>
      </w:r>
    </w:p>
    <w:p w14:paraId="3CE32E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（六）原料的接收查验。</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必须按照学校选定的中标品牌供应食品原料，必须确保食品原料的质量。</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6E25265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须免费指导学校建立符合食品安全标准的储藏仓库。</w:t>
      </w:r>
    </w:p>
    <w:p w14:paraId="3FF4DD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（八）应急保障。</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须自备应急车辆一台或多台。当运输车辆在配送途中出现故障时，可迅速补上；</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须随时关注天气预报，特殊天气情况下，应提前准备雨衣、电筒、发电机等。提前检查车辆等设备是否正常运转。应加派人手，积极做好配送准备。</w:t>
      </w:r>
    </w:p>
    <w:p w14:paraId="52CAC28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（九）其他要求：</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B95987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九、包装和运输</w:t>
      </w:r>
    </w:p>
    <w:p w14:paraId="0C9818E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54C129F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（二）由乙方负责完成食品运输过程中的全部工作内容，并安全送达到甲方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或者甲方</w:t>
      </w:r>
      <w:r>
        <w:rPr>
          <w:rFonts w:hint="eastAsia" w:ascii="仿宋" w:hAnsi="仿宋" w:eastAsia="仿宋" w:cs="仿宋"/>
          <w:i w:val="0"/>
          <w:iCs w:val="0"/>
          <w:caps w:val="0"/>
          <w:color w:val="auto"/>
          <w:spacing w:val="4"/>
          <w:sz w:val="24"/>
          <w:szCs w:val="24"/>
          <w:highlight w:val="none"/>
          <w:shd w:val="clear" w:color="auto" w:fill="FFFFFF"/>
        </w:rPr>
        <w:t>指定交货地点。</w:t>
      </w:r>
    </w:p>
    <w:p w14:paraId="4EBCCD1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497048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w:t>
      </w:r>
      <w:r>
        <w:rPr>
          <w:rFonts w:hint="eastAsia" w:ascii="仿宋" w:hAnsi="仿宋" w:eastAsia="仿宋" w:cs="仿宋"/>
          <w:b/>
          <w:bCs/>
          <w:i w:val="0"/>
          <w:iCs w:val="0"/>
          <w:caps w:val="0"/>
          <w:color w:val="auto"/>
          <w:spacing w:val="4"/>
          <w:sz w:val="24"/>
          <w:szCs w:val="24"/>
          <w:highlight w:val="none"/>
          <w:shd w:val="clear" w:color="auto" w:fill="FFFFFF"/>
          <w:lang w:val="en-US" w:eastAsia="zh-CN"/>
        </w:rPr>
        <w:t>食材</w:t>
      </w:r>
      <w:r>
        <w:rPr>
          <w:rFonts w:hint="eastAsia" w:ascii="仿宋" w:hAnsi="仿宋" w:eastAsia="仿宋" w:cs="仿宋"/>
          <w:b/>
          <w:bCs/>
          <w:i w:val="0"/>
          <w:iCs w:val="0"/>
          <w:caps w:val="0"/>
          <w:color w:val="auto"/>
          <w:spacing w:val="4"/>
          <w:sz w:val="24"/>
          <w:szCs w:val="24"/>
          <w:highlight w:val="none"/>
          <w:shd w:val="clear" w:color="auto" w:fill="FFFFFF"/>
          <w:lang w:eastAsia="zh-CN"/>
        </w:rPr>
        <w:t>验收</w:t>
      </w:r>
    </w:p>
    <w:p w14:paraId="24B197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（一）学校指定专人按国家相关标准</w:t>
      </w:r>
      <w:r>
        <w:rPr>
          <w:rFonts w:hint="eastAsia" w:ascii="仿宋" w:hAnsi="仿宋" w:eastAsia="仿宋" w:cs="仿宋"/>
          <w:i w:val="0"/>
          <w:iCs w:val="0"/>
          <w:caps w:val="0"/>
          <w:color w:val="auto"/>
          <w:spacing w:val="4"/>
          <w:sz w:val="24"/>
          <w:szCs w:val="24"/>
          <w:highlight w:val="none"/>
          <w:shd w:val="clear" w:color="auto" w:fill="FFFFFF"/>
          <w:lang w:val="en-US" w:eastAsia="zh-CN"/>
        </w:rPr>
        <w:t>进行</w:t>
      </w:r>
      <w:r>
        <w:rPr>
          <w:rFonts w:hint="eastAsia" w:ascii="仿宋" w:hAnsi="仿宋" w:eastAsia="仿宋" w:cs="仿宋"/>
          <w:i w:val="0"/>
          <w:iCs w:val="0"/>
          <w:caps w:val="0"/>
          <w:color w:val="auto"/>
          <w:spacing w:val="4"/>
          <w:sz w:val="24"/>
          <w:szCs w:val="24"/>
          <w:highlight w:val="none"/>
          <w:shd w:val="clear" w:color="auto" w:fill="FFFFFF"/>
        </w:rPr>
        <w:t>验收，不符合相关标准的</w:t>
      </w:r>
      <w:r>
        <w:rPr>
          <w:rFonts w:hint="eastAsia" w:ascii="仿宋" w:hAnsi="仿宋" w:eastAsia="仿宋" w:cs="仿宋"/>
          <w:i w:val="0"/>
          <w:iCs w:val="0"/>
          <w:caps w:val="0"/>
          <w:color w:val="auto"/>
          <w:spacing w:val="4"/>
          <w:sz w:val="24"/>
          <w:szCs w:val="24"/>
          <w:highlight w:val="none"/>
          <w:shd w:val="clear" w:color="auto" w:fill="FFFFFF"/>
          <w:lang w:val="en-US" w:eastAsia="zh-CN"/>
        </w:rPr>
        <w:t>食材</w:t>
      </w:r>
      <w:r>
        <w:rPr>
          <w:rFonts w:hint="eastAsia" w:ascii="仿宋" w:hAnsi="仿宋" w:eastAsia="仿宋" w:cs="仿宋"/>
          <w:i w:val="0"/>
          <w:iCs w:val="0"/>
          <w:caps w:val="0"/>
          <w:color w:val="auto"/>
          <w:spacing w:val="4"/>
          <w:sz w:val="24"/>
          <w:szCs w:val="24"/>
          <w:highlight w:val="none"/>
          <w:shd w:val="clear" w:color="auto" w:fill="FFFFFF"/>
        </w:rPr>
        <w:t>乙方应及时调换，并不得影响甲方</w:t>
      </w:r>
      <w:r>
        <w:rPr>
          <w:rFonts w:hint="eastAsia" w:ascii="仿宋" w:hAnsi="仿宋" w:eastAsia="仿宋" w:cs="仿宋"/>
          <w:i w:val="0"/>
          <w:iCs w:val="0"/>
          <w:caps w:val="0"/>
          <w:color w:val="auto"/>
          <w:spacing w:val="4"/>
          <w:sz w:val="24"/>
          <w:szCs w:val="24"/>
          <w:highlight w:val="none"/>
          <w:shd w:val="clear" w:color="auto" w:fill="FFFFFF"/>
          <w:lang w:val="en-US" w:eastAsia="zh-CN"/>
        </w:rPr>
        <w:t>及学校</w:t>
      </w:r>
      <w:r>
        <w:rPr>
          <w:rFonts w:hint="eastAsia" w:ascii="仿宋" w:hAnsi="仿宋" w:eastAsia="仿宋" w:cs="仿宋"/>
          <w:i w:val="0"/>
          <w:iCs w:val="0"/>
          <w:caps w:val="0"/>
          <w:color w:val="auto"/>
          <w:spacing w:val="4"/>
          <w:sz w:val="24"/>
          <w:szCs w:val="24"/>
          <w:highlight w:val="none"/>
          <w:shd w:val="clear" w:color="auto" w:fill="FFFFFF"/>
        </w:rPr>
        <w:t>的正常</w:t>
      </w:r>
      <w:r>
        <w:rPr>
          <w:rFonts w:hint="eastAsia" w:ascii="仿宋" w:hAnsi="仿宋" w:eastAsia="仿宋" w:cs="仿宋"/>
          <w:i w:val="0"/>
          <w:iCs w:val="0"/>
          <w:caps w:val="0"/>
          <w:color w:val="auto"/>
          <w:spacing w:val="4"/>
          <w:sz w:val="24"/>
          <w:szCs w:val="24"/>
          <w:highlight w:val="none"/>
          <w:shd w:val="clear" w:color="auto" w:fill="FFFFFF"/>
          <w:lang w:val="en-US" w:eastAsia="zh-CN"/>
        </w:rPr>
        <w:t>工作</w:t>
      </w:r>
      <w:r>
        <w:rPr>
          <w:rFonts w:hint="eastAsia" w:ascii="仿宋" w:hAnsi="仿宋" w:eastAsia="仿宋" w:cs="仿宋"/>
          <w:i w:val="0"/>
          <w:iCs w:val="0"/>
          <w:caps w:val="0"/>
          <w:color w:val="auto"/>
          <w:spacing w:val="4"/>
          <w:sz w:val="24"/>
          <w:szCs w:val="24"/>
          <w:highlight w:val="none"/>
          <w:shd w:val="clear" w:color="auto" w:fill="FFFFFF"/>
        </w:rPr>
        <w:t>。</w:t>
      </w:r>
    </w:p>
    <w:p w14:paraId="2692992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（二）送货单一式四联，经</w:t>
      </w:r>
      <w:r>
        <w:rPr>
          <w:rFonts w:hint="eastAsia" w:ascii="仿宋" w:hAnsi="仿宋" w:eastAsia="仿宋" w:cs="仿宋"/>
          <w:i w:val="0"/>
          <w:iCs w:val="0"/>
          <w:caps w:val="0"/>
          <w:color w:val="auto"/>
          <w:spacing w:val="4"/>
          <w:sz w:val="24"/>
          <w:szCs w:val="24"/>
          <w:highlight w:val="none"/>
          <w:shd w:val="clear" w:color="auto" w:fill="FFFFFF"/>
          <w:lang w:eastAsia="zh-CN"/>
        </w:rPr>
        <w:t>学校</w:t>
      </w:r>
      <w:r>
        <w:rPr>
          <w:rFonts w:hint="eastAsia" w:ascii="仿宋" w:hAnsi="仿宋" w:eastAsia="仿宋" w:cs="仿宋"/>
          <w:i w:val="0"/>
          <w:iCs w:val="0"/>
          <w:caps w:val="0"/>
          <w:color w:val="auto"/>
          <w:spacing w:val="4"/>
          <w:sz w:val="24"/>
          <w:szCs w:val="24"/>
          <w:highlight w:val="none"/>
          <w:shd w:val="clear" w:color="auto" w:fill="FFFFFF"/>
        </w:rPr>
        <w:t>食堂管理员、主管及乙方库房、送货人签字后各自留存（白联：乙方财务，红联：乙方与学校对账，蓝联和黄联给学校食堂和学校财务各一份）作为结算依据。</w:t>
      </w:r>
    </w:p>
    <w:p w14:paraId="1D2D1EB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302BF94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十一、甲方权利义务</w:t>
      </w:r>
    </w:p>
    <w:p w14:paraId="5CE4187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按时向乙方下达次日或次周订单，以便乙方提前安排准备；</w:t>
      </w:r>
    </w:p>
    <w:p w14:paraId="2689EAE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依据订单和供货清单进行清点验收，对不符合学校订单的食材，有权退回乙方，由此产生的损失由乙方承担；</w:t>
      </w:r>
    </w:p>
    <w:p w14:paraId="5745C2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依据订单和供货清单进行称重验收，重量以学校称重数据为准；</w:t>
      </w:r>
    </w:p>
    <w:p w14:paraId="1AECF59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双方需在供货清单上签字确认；</w:t>
      </w:r>
    </w:p>
    <w:p w14:paraId="043F405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乙方提供发票信息与实际发生信息一致时，不得拖延支付费用；</w:t>
      </w:r>
    </w:p>
    <w:p w14:paraId="3E208F7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学校监督小组或膳食委员会</w:t>
      </w:r>
      <w:r>
        <w:rPr>
          <w:rFonts w:hint="eastAsia" w:ascii="仿宋" w:hAnsi="仿宋" w:eastAsia="仿宋" w:cs="仿宋"/>
          <w:i w:val="0"/>
          <w:iCs w:val="0"/>
          <w:caps w:val="0"/>
          <w:color w:val="auto"/>
          <w:spacing w:val="4"/>
          <w:sz w:val="24"/>
          <w:szCs w:val="24"/>
          <w:highlight w:val="none"/>
          <w:shd w:val="clear" w:color="auto" w:fill="FFFFFF"/>
          <w:lang w:eastAsia="zh-CN"/>
        </w:rPr>
        <w:t>等监督管理机构</w:t>
      </w:r>
      <w:r>
        <w:rPr>
          <w:rFonts w:hint="eastAsia" w:ascii="仿宋" w:hAnsi="仿宋" w:eastAsia="仿宋" w:cs="仿宋"/>
          <w:i w:val="0"/>
          <w:iCs w:val="0"/>
          <w:caps w:val="0"/>
          <w:color w:val="auto"/>
          <w:spacing w:val="4"/>
          <w:sz w:val="24"/>
          <w:szCs w:val="24"/>
          <w:highlight w:val="none"/>
          <w:shd w:val="clear" w:color="auto" w:fill="FFFFFF"/>
        </w:rPr>
        <w:t>不定期对乙方经营的食材品质及来源进行检查</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504D1FE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（七）定期检查库存食材，对临近保质期的食材进行管理监督，设置临期食材专柜或在相对集中区域陈列使用；</w:t>
      </w:r>
    </w:p>
    <w:p w14:paraId="27473E6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7CB4E4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十二、乙方权利义务</w:t>
      </w:r>
    </w:p>
    <w:p w14:paraId="3FD76D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应严格按照《中华人民共和国农产品质量安全法》《中华人民共和国消费者权益保护法》《中华人民共和国食品安全法》等有关食品安全规定，保质、保量为甲方供应所需食材。</w:t>
      </w:r>
    </w:p>
    <w:p w14:paraId="39D0717A">
      <w:pPr>
        <w:pStyle w:val="11"/>
        <w:keepNext w:val="0"/>
        <w:keepLines w:val="0"/>
        <w:pageBreakBefore w:val="0"/>
        <w:wordWrap/>
        <w:overflowPunct/>
        <w:topLinePunct w:val="0"/>
        <w:bidi w:val="0"/>
        <w:spacing w:line="360" w:lineRule="auto"/>
        <w:ind w:firstLine="496" w:firstLineChars="200"/>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需向甲方提供营业执照、账户及开户行信息、供应食材质量合格证明</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从业人员健康证明、税务登记证、食品的检验报告、食品安全管理体系认证证书、食材来源证明、安全应急预案</w:t>
      </w:r>
      <w:r>
        <w:rPr>
          <w:rFonts w:hint="eastAsia" w:ascii="仿宋" w:hAnsi="仿宋" w:eastAsia="仿宋" w:cs="仿宋"/>
          <w:i w:val="0"/>
          <w:iCs w:val="0"/>
          <w:caps w:val="0"/>
          <w:color w:val="auto"/>
          <w:spacing w:val="4"/>
          <w:sz w:val="24"/>
          <w:szCs w:val="24"/>
          <w:highlight w:val="none"/>
          <w:shd w:val="clear" w:color="auto" w:fill="FFFFFF"/>
        </w:rPr>
        <w:t>等有关资料；</w:t>
      </w:r>
    </w:p>
    <w:p w14:paraId="00D9FB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与甲方核对供应食材信息无误后，需向甲方提供合规的发票；</w:t>
      </w:r>
    </w:p>
    <w:p w14:paraId="2B0A8E6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按照订单约定准时将食材运送到指定地点，配合甲方做好验收并在供货清单上签字确认；</w:t>
      </w:r>
    </w:p>
    <w:p w14:paraId="2AFA1F0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自行承担食材从开始运输至经甲方检验合格前的一切损毁、变质风险；</w:t>
      </w:r>
    </w:p>
    <w:p w14:paraId="17B0A3A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严格按照甲方订单中的品类、规格、质量及数量进行配送，验收时甲方若发现食材质量不达标、重量不足或出现漏货等情况，乙方应按照甲方的要求立即更换及补货；</w:t>
      </w:r>
    </w:p>
    <w:p w14:paraId="748D41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w:t>
      </w:r>
      <w:r>
        <w:rPr>
          <w:rFonts w:hint="eastAsia" w:ascii="仿宋" w:hAnsi="仿宋" w:eastAsia="仿宋" w:cs="仿宋"/>
          <w:i w:val="0"/>
          <w:iCs w:val="0"/>
          <w:caps w:val="0"/>
          <w:color w:val="auto"/>
          <w:spacing w:val="4"/>
          <w:sz w:val="24"/>
          <w:szCs w:val="24"/>
          <w:highlight w:val="none"/>
          <w:shd w:val="clear" w:color="auto" w:fill="FFFFFF"/>
        </w:rPr>
        <w:t>工作人员出入校园应遵守学校规章制度</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0847F4B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6674290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十三、合同解除</w:t>
      </w:r>
    </w:p>
    <w:p w14:paraId="1ECBF20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双方协商一致可以解除本合同；</w:t>
      </w:r>
    </w:p>
    <w:p w14:paraId="0FA1F6F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在合同期内，由于发生不可抗力，致使合同不能履行的，甲、乙双方的任何一方有权提出解除合同。由此发生的经济损失，甲、乙双方各自承担。</w:t>
      </w:r>
    </w:p>
    <w:p w14:paraId="3BB7FA7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乙方未按合同约定时间供货的，每延迟一次按延迟供货金额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20 </w:t>
      </w:r>
      <w:r>
        <w:rPr>
          <w:rFonts w:hint="eastAsia" w:ascii="仿宋" w:hAnsi="仿宋" w:eastAsia="仿宋" w:cs="仿宋"/>
          <w:i w:val="0"/>
          <w:iCs w:val="0"/>
          <w:caps w:val="0"/>
          <w:color w:val="auto"/>
          <w:spacing w:val="4"/>
          <w:sz w:val="24"/>
          <w:szCs w:val="24"/>
          <w:highlight w:val="none"/>
          <w:shd w:val="clear" w:color="auto" w:fill="FFFFFF"/>
        </w:rPr>
        <w:t>%支付违约金，如发生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 </w:t>
      </w:r>
      <w:r>
        <w:rPr>
          <w:rFonts w:hint="eastAsia" w:ascii="仿宋" w:hAnsi="仿宋" w:eastAsia="仿宋" w:cs="仿宋"/>
          <w:i w:val="0"/>
          <w:iCs w:val="0"/>
          <w:caps w:val="0"/>
          <w:color w:val="auto"/>
          <w:spacing w:val="4"/>
          <w:sz w:val="24"/>
          <w:szCs w:val="24"/>
          <w:highlight w:val="none"/>
          <w:shd w:val="clear" w:color="auto" w:fill="FFFFFF"/>
        </w:rPr>
        <w:t>次延迟供货，甲方有权解除合同。</w:t>
      </w:r>
    </w:p>
    <w:p w14:paraId="714B5CB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合同期内，如果因乙方原因不能履约的，应提前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日通知甲方解除合同；如乙方未及时书面通知甲方解除合同而给甲方造成损失的，除乙方应向甲方支付已经履行合同总价款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%违约金外，还应赔偿甲方临时采购增加的费用以及其他损失。如果乙方拒绝支付违约金和赔偿金的，甲方有权在乙方已供原材料款项中扣除。</w:t>
      </w:r>
    </w:p>
    <w:p w14:paraId="47FCEE6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如乙方所提供的食材经甲方进行抽检不合格的，该批次产品一律无条件退回。如果两次发现抽查不合格的，甲方有权解除合同，乙方应承担违约责任，向甲方支付已经履约总价款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%的违约金。</w:t>
      </w:r>
    </w:p>
    <w:p w14:paraId="15B00A6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如甲、乙双方中有一方不接受调整价格，可</w:t>
      </w:r>
      <w:r>
        <w:rPr>
          <w:rFonts w:hint="eastAsia" w:ascii="仿宋" w:hAnsi="仿宋" w:eastAsia="仿宋" w:cs="仿宋"/>
          <w:i w:val="0"/>
          <w:iCs w:val="0"/>
          <w:caps w:val="0"/>
          <w:color w:val="auto"/>
          <w:spacing w:val="4"/>
          <w:sz w:val="24"/>
          <w:szCs w:val="24"/>
          <w:highlight w:val="none"/>
          <w:shd w:val="clear" w:color="auto" w:fill="FFFFFF"/>
          <w:lang w:val="en-US" w:eastAsia="zh-CN"/>
        </w:rPr>
        <w:t>协商</w:t>
      </w:r>
      <w:r>
        <w:rPr>
          <w:rFonts w:hint="eastAsia" w:ascii="仿宋" w:hAnsi="仿宋" w:eastAsia="仿宋" w:cs="仿宋"/>
          <w:i w:val="0"/>
          <w:iCs w:val="0"/>
          <w:caps w:val="0"/>
          <w:color w:val="auto"/>
          <w:spacing w:val="4"/>
          <w:sz w:val="24"/>
          <w:szCs w:val="24"/>
          <w:highlight w:val="none"/>
          <w:shd w:val="clear" w:color="auto" w:fill="FFFFFF"/>
        </w:rPr>
        <w:t>解除合同，不属于违约行为。本合同履行中无论因何种原因解除合同，乙方仍需按照上一个周期的价格为甲方供货一个月，如因乙方无法供货给甲方造成损失，乙方除赔偿甲方全部损失外，应向甲方支付已经履约总价款</w:t>
      </w:r>
      <w:r>
        <w:rPr>
          <w:rFonts w:hint="eastAsia" w:ascii="仿宋" w:hAnsi="仿宋" w:eastAsia="仿宋" w:cs="仿宋"/>
          <w:i w:val="0"/>
          <w:iCs w:val="0"/>
          <w:caps w:val="0"/>
          <w:color w:val="auto"/>
          <w:spacing w:val="4"/>
          <w:sz w:val="24"/>
          <w:szCs w:val="24"/>
          <w:highlight w:val="none"/>
          <w:shd w:val="clear" w:color="auto" w:fill="FFFFFF"/>
          <w:lang w:val="en-US" w:eastAsia="zh-CN"/>
        </w:rPr>
        <w:t>20%</w:t>
      </w:r>
      <w:r>
        <w:rPr>
          <w:rFonts w:hint="eastAsia" w:ascii="仿宋" w:hAnsi="仿宋" w:eastAsia="仿宋" w:cs="仿宋"/>
          <w:i w:val="0"/>
          <w:iCs w:val="0"/>
          <w:caps w:val="0"/>
          <w:color w:val="auto"/>
          <w:spacing w:val="4"/>
          <w:sz w:val="24"/>
          <w:szCs w:val="24"/>
          <w:highlight w:val="none"/>
          <w:shd w:val="clear" w:color="auto" w:fill="FFFFFF"/>
        </w:rPr>
        <w:t>的违约金。</w:t>
      </w:r>
    </w:p>
    <w:p w14:paraId="7FF4A8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十四、违约责任</w:t>
      </w:r>
    </w:p>
    <w:p w14:paraId="53674BD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（一）食品供应</w:t>
      </w:r>
      <w:r>
        <w:rPr>
          <w:rFonts w:hint="eastAsia" w:ascii="仿宋" w:hAnsi="仿宋" w:eastAsia="仿宋" w:cs="仿宋"/>
          <w:i w:val="0"/>
          <w:iCs w:val="0"/>
          <w:caps w:val="0"/>
          <w:color w:val="auto"/>
          <w:spacing w:val="4"/>
          <w:sz w:val="24"/>
          <w:szCs w:val="24"/>
          <w:highlight w:val="none"/>
          <w:shd w:val="clear" w:color="auto" w:fill="FFFFFF"/>
          <w:lang w:val="en-US" w:eastAsia="en-US"/>
        </w:rPr>
        <w:t>造成师生食物中毒（一般食品安全事故及以上等级的）或其他食源性疾病等重大安</w:t>
      </w:r>
      <w:r>
        <w:rPr>
          <w:rFonts w:hint="eastAsia" w:ascii="仿宋" w:hAnsi="仿宋" w:eastAsia="仿宋" w:cs="仿宋"/>
          <w:i w:val="0"/>
          <w:iCs w:val="0"/>
          <w:caps w:val="0"/>
          <w:color w:val="auto"/>
          <w:spacing w:val="4"/>
          <w:sz w:val="24"/>
          <w:szCs w:val="24"/>
          <w:highlight w:val="none"/>
          <w:shd w:val="clear" w:color="auto" w:fill="FFFFFF"/>
        </w:rPr>
        <w:t>全事故的，由乙方承担全部赔偿责任，甲方有权单方</w:t>
      </w:r>
      <w:r>
        <w:rPr>
          <w:rFonts w:hint="eastAsia" w:ascii="仿宋" w:hAnsi="仿宋" w:eastAsia="仿宋" w:cs="仿宋"/>
          <w:i w:val="0"/>
          <w:iCs w:val="0"/>
          <w:caps w:val="0"/>
          <w:color w:val="auto"/>
          <w:spacing w:val="4"/>
          <w:sz w:val="24"/>
          <w:szCs w:val="24"/>
          <w:highlight w:val="none"/>
          <w:shd w:val="clear" w:color="auto" w:fill="FFFFFF"/>
          <w:lang w:val="en-US" w:eastAsia="zh-CN"/>
        </w:rPr>
        <w:t>解除本</w:t>
      </w:r>
      <w:r>
        <w:rPr>
          <w:rFonts w:hint="eastAsia" w:ascii="仿宋" w:hAnsi="仿宋" w:eastAsia="仿宋" w:cs="仿宋"/>
          <w:i w:val="0"/>
          <w:iCs w:val="0"/>
          <w:caps w:val="0"/>
          <w:color w:val="auto"/>
          <w:spacing w:val="4"/>
          <w:sz w:val="24"/>
          <w:szCs w:val="24"/>
          <w:highlight w:val="none"/>
          <w:shd w:val="clear" w:color="auto" w:fill="FFFFFF"/>
        </w:rPr>
        <w:t>合同</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乙方应当向甲方支付已供货总金额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%的违约金。</w:t>
      </w:r>
    </w:p>
    <w:p w14:paraId="0D4C80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（二）乙方工作没有达到甲方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或学校</w:t>
      </w:r>
      <w:r>
        <w:rPr>
          <w:rFonts w:hint="eastAsia" w:ascii="仿宋" w:hAnsi="仿宋" w:eastAsia="仿宋" w:cs="仿宋"/>
          <w:i w:val="0"/>
          <w:iCs w:val="0"/>
          <w:caps w:val="0"/>
          <w:color w:val="auto"/>
          <w:spacing w:val="4"/>
          <w:sz w:val="24"/>
          <w:szCs w:val="24"/>
          <w:highlight w:val="none"/>
          <w:shd w:val="clear" w:color="auto" w:fill="FFFFFF"/>
        </w:rPr>
        <w:t>要求的，甲方有权向乙方提出工作整改，提高服务水平。甲方三次催告后乙方仍不予整改的，甲方有权单方解除合同，乙方应承担给甲方造成的</w:t>
      </w:r>
      <w:r>
        <w:rPr>
          <w:rFonts w:hint="eastAsia" w:ascii="仿宋" w:hAnsi="仿宋" w:eastAsia="仿宋" w:cs="仿宋"/>
          <w:i w:val="0"/>
          <w:iCs w:val="0"/>
          <w:caps w:val="0"/>
          <w:color w:val="auto"/>
          <w:spacing w:val="4"/>
          <w:sz w:val="24"/>
          <w:szCs w:val="24"/>
          <w:highlight w:val="none"/>
          <w:shd w:val="clear" w:color="auto" w:fill="FFFFFF"/>
          <w:lang w:val="en-US" w:eastAsia="zh-CN"/>
        </w:rPr>
        <w:t>全部</w:t>
      </w:r>
      <w:r>
        <w:rPr>
          <w:rFonts w:hint="eastAsia" w:ascii="仿宋" w:hAnsi="仿宋" w:eastAsia="仿宋" w:cs="仿宋"/>
          <w:i w:val="0"/>
          <w:iCs w:val="0"/>
          <w:caps w:val="0"/>
          <w:color w:val="auto"/>
          <w:spacing w:val="4"/>
          <w:sz w:val="24"/>
          <w:szCs w:val="24"/>
          <w:highlight w:val="none"/>
          <w:shd w:val="clear" w:color="auto" w:fill="FFFFFF"/>
        </w:rPr>
        <w:t>损失（包括但不限于鉴定费、差旅费、诉讼费、律师费等）。</w:t>
      </w:r>
    </w:p>
    <w:p w14:paraId="591FE1F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rPr>
        <w:t>（三）若乙方已做到供货及时，保质保量，诚信经营，甲方除不可抗力外</w:t>
      </w:r>
      <w:r>
        <w:rPr>
          <w:rFonts w:hint="eastAsia" w:ascii="仿宋" w:hAnsi="仿宋" w:eastAsia="仿宋" w:cs="仿宋"/>
          <w:i w:val="0"/>
          <w:iCs w:val="0"/>
          <w:caps w:val="0"/>
          <w:color w:val="auto"/>
          <w:spacing w:val="4"/>
          <w:sz w:val="24"/>
          <w:szCs w:val="24"/>
          <w:highlight w:val="none"/>
          <w:shd w:val="clear" w:color="auto" w:fill="FFFFFF"/>
          <w:lang w:val="en-US" w:eastAsia="zh-CN"/>
        </w:rPr>
        <w:t>无正当理由</w:t>
      </w:r>
      <w:r>
        <w:rPr>
          <w:rFonts w:hint="eastAsia" w:ascii="仿宋" w:hAnsi="仿宋" w:eastAsia="仿宋" w:cs="仿宋"/>
          <w:i w:val="0"/>
          <w:iCs w:val="0"/>
          <w:caps w:val="0"/>
          <w:color w:val="auto"/>
          <w:spacing w:val="4"/>
          <w:sz w:val="24"/>
          <w:szCs w:val="24"/>
          <w:highlight w:val="none"/>
          <w:shd w:val="clear" w:color="auto" w:fill="FFFFFF"/>
        </w:rPr>
        <w:t>不能在合同期内随意取消乙方的供货权</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5E65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auto"/>
          <w:spacing w:val="4"/>
          <w:sz w:val="24"/>
          <w:szCs w:val="24"/>
          <w:highlight w:val="none"/>
          <w:shd w:val="clear" w:color="auto" w:fill="FFFFFF"/>
          <w:lang w:val="en-US" w:eastAsia="zh-CN"/>
        </w:rPr>
        <w:t>已供货总金</w:t>
      </w:r>
      <w:r>
        <w:rPr>
          <w:rFonts w:hint="eastAsia" w:ascii="仿宋" w:hAnsi="仿宋" w:eastAsia="仿宋" w:cs="仿宋"/>
          <w:i w:val="0"/>
          <w:iCs w:val="0"/>
          <w:caps w:val="0"/>
          <w:color w:val="auto"/>
          <w:spacing w:val="4"/>
          <w:sz w:val="24"/>
          <w:szCs w:val="24"/>
          <w:highlight w:val="none"/>
          <w:shd w:val="clear" w:color="auto" w:fill="FFFFFF"/>
          <w:lang w:eastAsia="zh-CN"/>
        </w:rPr>
        <w:t>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%的惩罚性违约金外，还应赔偿由此给守约方造成的全部损失。同时，违约方未按守约方的要求纠正违约行为或虽经纠正但仍不符合合同约定的，守约方有权解除合同，由此产生的责任均由违约方承担。</w:t>
      </w:r>
    </w:p>
    <w:p w14:paraId="202DC21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（五）乙方违反本合同约定，应当赔偿甲方损失或支付违约金的，甲方有权直接从应付乙方餐费中、履约保证金中直接扣除，不足部分继续追偿。</w:t>
      </w:r>
    </w:p>
    <w:p w14:paraId="7665A35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十五、争议解决</w:t>
      </w:r>
    </w:p>
    <w:p w14:paraId="7E175E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因本合同相关事项发生的纠纷，可由双方协商解决，协商不成，可按以下第</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（二） </w:t>
      </w:r>
      <w:r>
        <w:rPr>
          <w:rFonts w:hint="eastAsia" w:ascii="仿宋" w:hAnsi="仿宋" w:eastAsia="仿宋" w:cs="仿宋"/>
          <w:i w:val="0"/>
          <w:iCs w:val="0"/>
          <w:caps w:val="0"/>
          <w:color w:val="auto"/>
          <w:spacing w:val="4"/>
          <w:sz w:val="24"/>
          <w:szCs w:val="24"/>
          <w:highlight w:val="none"/>
          <w:shd w:val="clear" w:color="auto" w:fill="FFFFFF"/>
        </w:rPr>
        <w:t>种方式解决：</w:t>
      </w:r>
    </w:p>
    <w:p w14:paraId="201E2067">
      <w:pPr>
        <w:pStyle w:val="3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乌鲁木齐市 </w:t>
      </w:r>
      <w:r>
        <w:rPr>
          <w:rFonts w:hint="eastAsia" w:ascii="仿宋" w:hAnsi="仿宋" w:eastAsia="仿宋" w:cs="仿宋"/>
          <w:i w:val="0"/>
          <w:iCs w:val="0"/>
          <w:caps w:val="0"/>
          <w:color w:val="auto"/>
          <w:spacing w:val="4"/>
          <w:sz w:val="24"/>
          <w:szCs w:val="24"/>
          <w:highlight w:val="none"/>
          <w:shd w:val="clear" w:color="auto" w:fill="FFFFFF"/>
        </w:rPr>
        <w:t>仲裁委员会申请仲裁。</w:t>
      </w:r>
    </w:p>
    <w:p w14:paraId="706269D2">
      <w:pPr>
        <w:pStyle w:val="3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）依法向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甲方所在地</w:t>
      </w:r>
      <w:r>
        <w:rPr>
          <w:rFonts w:hint="eastAsia" w:ascii="仿宋" w:hAnsi="仿宋" w:eastAsia="仿宋" w:cs="仿宋"/>
          <w:i w:val="0"/>
          <w:iCs w:val="0"/>
          <w:caps w:val="0"/>
          <w:color w:val="auto"/>
          <w:spacing w:val="4"/>
          <w:sz w:val="24"/>
          <w:szCs w:val="24"/>
          <w:highlight w:val="none"/>
          <w:shd w:val="clear" w:color="auto" w:fill="FFFFFF"/>
        </w:rPr>
        <w:t>人民法院起诉。</w:t>
      </w:r>
    </w:p>
    <w:p w14:paraId="2CECF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rFonts w:hint="eastAsia" w:ascii="仿宋" w:hAnsi="仿宋" w:eastAsia="仿宋" w:cs="仿宋"/>
          <w:snapToGrid w:val="0"/>
          <w:color w:val="auto"/>
          <w:spacing w:val="0"/>
          <w:kern w:val="0"/>
          <w:sz w:val="24"/>
          <w:szCs w:val="24"/>
          <w:highlight w:val="none"/>
          <w:lang w:val="en-US" w:eastAsia="en-US" w:bidi="ar-SA"/>
        </w:rPr>
      </w:pPr>
      <w:r>
        <w:rPr>
          <w:rFonts w:hint="eastAsia" w:ascii="仿宋" w:hAnsi="仿宋" w:eastAsia="仿宋" w:cs="仿宋"/>
          <w:snapToGrid w:val="0"/>
          <w:color w:val="auto"/>
          <w:spacing w:val="0"/>
          <w:kern w:val="0"/>
          <w:sz w:val="24"/>
          <w:szCs w:val="24"/>
          <w:highlight w:val="none"/>
          <w:lang w:val="en-US" w:eastAsia="en-US" w:bidi="ar-SA"/>
        </w:rPr>
        <w:t>在诉讼或仲裁期间</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本合同不涉及争议的条款仍然有效</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双方应继续履行。</w:t>
      </w:r>
      <w:r>
        <w:rPr>
          <w:rFonts w:hint="eastAsia" w:ascii="仿宋" w:hAnsi="仿宋" w:eastAsia="仿宋" w:cs="仿宋"/>
          <w:color w:val="auto"/>
          <w:spacing w:val="0"/>
          <w:kern w:val="2"/>
          <w:sz w:val="24"/>
          <w:szCs w:val="24"/>
          <w:highlight w:val="none"/>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auto"/>
          <w:spacing w:val="0"/>
          <w:kern w:val="0"/>
          <w:sz w:val="24"/>
          <w:szCs w:val="24"/>
          <w:highlight w:val="none"/>
          <w:lang w:val="en-US" w:eastAsia="zh-CN" w:bidi="ar-SA"/>
        </w:rPr>
        <w:t>所有成本由违约方承担。</w:t>
      </w:r>
    </w:p>
    <w:p w14:paraId="18E2E70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outlineLvl w:val="9"/>
        <w:rPr>
          <w:rFonts w:hint="eastAsia" w:ascii="仿宋" w:hAnsi="仿宋" w:eastAsia="仿宋" w:cs="仿宋"/>
          <w:b/>
          <w:bCs/>
          <w:i w:val="0"/>
          <w:iCs w:val="0"/>
          <w:caps w:val="0"/>
          <w:color w:val="auto"/>
          <w:spacing w:val="0"/>
          <w:sz w:val="24"/>
          <w:szCs w:val="24"/>
          <w:highlight w:val="none"/>
          <w:shd w:val="clear" w:color="auto" w:fill="FFFFFF"/>
          <w:lang w:eastAsia="zh-CN"/>
        </w:rPr>
      </w:pPr>
      <w:r>
        <w:rPr>
          <w:rFonts w:hint="eastAsia" w:ascii="仿宋" w:hAnsi="仿宋" w:eastAsia="仿宋" w:cs="仿宋"/>
          <w:b/>
          <w:bCs/>
          <w:i w:val="0"/>
          <w:iCs w:val="0"/>
          <w:caps w:val="0"/>
          <w:color w:val="auto"/>
          <w:spacing w:val="0"/>
          <w:sz w:val="24"/>
          <w:szCs w:val="24"/>
          <w:highlight w:val="none"/>
          <w:shd w:val="clear" w:color="auto" w:fill="FFFFFF"/>
          <w:lang w:eastAsia="zh-CN"/>
        </w:rPr>
        <w:t>十六、合同签订时间、地点、份数及生效</w:t>
      </w:r>
    </w:p>
    <w:p w14:paraId="7ABD6C1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（一）合同签订时间：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日。</w:t>
      </w:r>
    </w:p>
    <w:p w14:paraId="2ADB6E5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u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（二）合同签订地点：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p>
    <w:p w14:paraId="443E2FD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（三）合同份数：合同一式</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份，甲方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份，乙方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color w:val="auto"/>
          <w:spacing w:val="0"/>
          <w:sz w:val="24"/>
          <w:highlight w:val="none"/>
          <w:lang w:eastAsia="zh-CN"/>
        </w:rPr>
        <w:t>由甲方向当地</w:t>
      </w:r>
      <w:r>
        <w:rPr>
          <w:rFonts w:hint="eastAsia" w:ascii="仿宋" w:hAnsi="仿宋" w:eastAsia="仿宋" w:cs="仿宋"/>
          <w:color w:val="auto"/>
          <w:spacing w:val="0"/>
          <w:sz w:val="24"/>
          <w:highlight w:val="none"/>
        </w:rPr>
        <w:t>教育行政部门</w:t>
      </w:r>
      <w:r>
        <w:rPr>
          <w:rFonts w:hint="eastAsia" w:ascii="仿宋" w:hAnsi="仿宋" w:eastAsia="仿宋" w:cs="仿宋"/>
          <w:color w:val="auto"/>
          <w:spacing w:val="0"/>
          <w:sz w:val="24"/>
          <w:highlight w:val="none"/>
          <w:lang w:eastAsia="zh-CN"/>
        </w:rPr>
        <w:t>备案</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rPr>
        <w:t>份。</w:t>
      </w:r>
    </w:p>
    <w:p w14:paraId="6A48272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（四）本合同经双方法定代表人签字并加盖公章</w:t>
      </w:r>
      <w:r>
        <w:rPr>
          <w:rFonts w:hint="eastAsia" w:ascii="仿宋" w:hAnsi="仿宋" w:eastAsia="仿宋" w:cs="仿宋"/>
          <w:i w:val="0"/>
          <w:iCs w:val="0"/>
          <w:caps w:val="0"/>
          <w:color w:val="auto"/>
          <w:spacing w:val="4"/>
          <w:sz w:val="24"/>
          <w:szCs w:val="24"/>
          <w:highlight w:val="none"/>
          <w:shd w:val="clear" w:color="auto" w:fill="FFFFFF"/>
        </w:rPr>
        <w:t>（加盖骑缝章）</w:t>
      </w:r>
      <w:r>
        <w:rPr>
          <w:rFonts w:hint="eastAsia" w:ascii="仿宋" w:hAnsi="仿宋" w:eastAsia="仿宋" w:cs="仿宋"/>
          <w:i w:val="0"/>
          <w:iCs w:val="0"/>
          <w:caps w:val="0"/>
          <w:color w:val="auto"/>
          <w:spacing w:val="0"/>
          <w:sz w:val="24"/>
          <w:szCs w:val="24"/>
          <w:highlight w:val="none"/>
          <w:shd w:val="clear" w:color="auto" w:fill="FFFFFF"/>
        </w:rPr>
        <w:t>后生效。</w:t>
      </w:r>
    </w:p>
    <w:p w14:paraId="3C9B818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十七、其它约定</w:t>
      </w:r>
    </w:p>
    <w:p w14:paraId="278FCD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（一）合同签订后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7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日内向属地教育行政部门备案。</w:t>
      </w:r>
    </w:p>
    <w:p w14:paraId="7FD136C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二</w:t>
      </w:r>
      <w:r>
        <w:rPr>
          <w:rFonts w:hint="eastAsia" w:ascii="仿宋" w:hAnsi="仿宋" w:eastAsia="仿宋" w:cs="仿宋"/>
          <w:i w:val="0"/>
          <w:iCs w:val="0"/>
          <w:caps w:val="0"/>
          <w:color w:val="auto"/>
          <w:spacing w:val="4"/>
          <w:sz w:val="24"/>
          <w:szCs w:val="24"/>
          <w:highlight w:val="none"/>
          <w:shd w:val="clear" w:color="auto" w:fill="FFFFFF"/>
        </w:rPr>
        <w:t>）在</w:t>
      </w:r>
      <w:r>
        <w:rPr>
          <w:rFonts w:hint="eastAsia" w:ascii="仿宋" w:hAnsi="仿宋" w:eastAsia="仿宋" w:cs="仿宋"/>
          <w:i w:val="0"/>
          <w:iCs w:val="0"/>
          <w:caps w:val="0"/>
          <w:color w:val="auto"/>
          <w:spacing w:val="4"/>
          <w:sz w:val="24"/>
          <w:szCs w:val="24"/>
          <w:highlight w:val="none"/>
          <w:shd w:val="clear" w:color="auto" w:fill="FFFFFF"/>
          <w:lang w:val="en-US" w:eastAsia="zh-CN"/>
        </w:rPr>
        <w:t>履行本合同过程</w:t>
      </w:r>
      <w:r>
        <w:rPr>
          <w:rFonts w:hint="eastAsia" w:ascii="仿宋" w:hAnsi="仿宋" w:eastAsia="仿宋" w:cs="仿宋"/>
          <w:i w:val="0"/>
          <w:iCs w:val="0"/>
          <w:caps w:val="0"/>
          <w:color w:val="auto"/>
          <w:spacing w:val="4"/>
          <w:sz w:val="24"/>
          <w:szCs w:val="24"/>
          <w:highlight w:val="none"/>
          <w:shd w:val="clear" w:color="auto" w:fill="FFFFFF"/>
        </w:rPr>
        <w:t>中涉及</w:t>
      </w:r>
      <w:r>
        <w:rPr>
          <w:rFonts w:hint="eastAsia" w:ascii="仿宋" w:hAnsi="仿宋" w:eastAsia="仿宋" w:cs="仿宋"/>
          <w:i w:val="0"/>
          <w:iCs w:val="0"/>
          <w:caps w:val="0"/>
          <w:color w:val="auto"/>
          <w:spacing w:val="4"/>
          <w:sz w:val="24"/>
          <w:szCs w:val="24"/>
          <w:highlight w:val="none"/>
          <w:shd w:val="clear" w:color="auto" w:fill="FFFFFF"/>
          <w:lang w:val="en-US" w:eastAsia="zh-CN"/>
        </w:rPr>
        <w:t>对中标</w:t>
      </w:r>
      <w:r>
        <w:rPr>
          <w:rFonts w:hint="eastAsia" w:ascii="仿宋" w:hAnsi="仿宋" w:eastAsia="仿宋" w:cs="仿宋"/>
          <w:i w:val="0"/>
          <w:iCs w:val="0"/>
          <w:caps w:val="0"/>
          <w:color w:val="auto"/>
          <w:spacing w:val="4"/>
          <w:sz w:val="24"/>
          <w:szCs w:val="24"/>
          <w:highlight w:val="none"/>
          <w:shd w:val="clear" w:color="auto" w:fill="FFFFFF"/>
        </w:rPr>
        <w:t>资金和</w:t>
      </w:r>
      <w:r>
        <w:rPr>
          <w:rFonts w:hint="eastAsia" w:ascii="仿宋" w:hAnsi="仿宋" w:eastAsia="仿宋" w:cs="仿宋"/>
          <w:i w:val="0"/>
          <w:iCs w:val="0"/>
          <w:caps w:val="0"/>
          <w:color w:val="auto"/>
          <w:spacing w:val="4"/>
          <w:sz w:val="24"/>
          <w:szCs w:val="24"/>
          <w:highlight w:val="none"/>
          <w:shd w:val="clear" w:color="auto" w:fill="FFFFFF"/>
          <w:lang w:val="en-US" w:eastAsia="zh-CN"/>
        </w:rPr>
        <w:t>本合同</w:t>
      </w:r>
      <w:r>
        <w:rPr>
          <w:rFonts w:hint="eastAsia" w:ascii="仿宋" w:hAnsi="仿宋" w:eastAsia="仿宋" w:cs="仿宋"/>
          <w:i w:val="0"/>
          <w:iCs w:val="0"/>
          <w:caps w:val="0"/>
          <w:color w:val="auto"/>
          <w:spacing w:val="4"/>
          <w:sz w:val="24"/>
          <w:szCs w:val="24"/>
          <w:highlight w:val="none"/>
          <w:shd w:val="clear" w:color="auto" w:fill="FFFFFF"/>
        </w:rPr>
        <w:t>内容修改或补充的，须经</w:t>
      </w:r>
      <w:r>
        <w:rPr>
          <w:rFonts w:hint="eastAsia" w:ascii="仿宋" w:hAnsi="仿宋" w:eastAsia="仿宋" w:cs="仿宋"/>
          <w:i w:val="0"/>
          <w:iCs w:val="0"/>
          <w:caps w:val="0"/>
          <w:color w:val="auto"/>
          <w:spacing w:val="4"/>
          <w:sz w:val="24"/>
          <w:szCs w:val="24"/>
          <w:highlight w:val="none"/>
          <w:shd w:val="clear" w:color="auto" w:fill="FFFFFF"/>
          <w:lang w:val="en-US" w:eastAsia="zh-CN"/>
        </w:rPr>
        <w:t>当地</w:t>
      </w:r>
      <w:r>
        <w:rPr>
          <w:rFonts w:hint="eastAsia" w:ascii="仿宋" w:hAnsi="仿宋" w:eastAsia="仿宋" w:cs="仿宋"/>
          <w:i w:val="0"/>
          <w:iCs w:val="0"/>
          <w:caps w:val="0"/>
          <w:color w:val="auto"/>
          <w:spacing w:val="4"/>
          <w:sz w:val="24"/>
          <w:szCs w:val="24"/>
          <w:highlight w:val="none"/>
          <w:shd w:val="clear" w:color="auto" w:fill="FFFFFF"/>
        </w:rPr>
        <w:t>财政部门审批，并签订书面补充协议报</w:t>
      </w:r>
      <w:r>
        <w:rPr>
          <w:rFonts w:hint="eastAsia" w:ascii="仿宋" w:hAnsi="仿宋" w:eastAsia="仿宋" w:cs="仿宋"/>
          <w:i w:val="0"/>
          <w:iCs w:val="0"/>
          <w:caps w:val="0"/>
          <w:color w:val="auto"/>
          <w:spacing w:val="4"/>
          <w:sz w:val="24"/>
          <w:szCs w:val="24"/>
          <w:highlight w:val="none"/>
          <w:shd w:val="clear" w:color="auto" w:fill="FFFFFF"/>
          <w:lang w:eastAsia="zh-CN"/>
        </w:rPr>
        <w:t>教育行政部门和市场监管部门</w:t>
      </w:r>
      <w:r>
        <w:rPr>
          <w:rFonts w:hint="eastAsia" w:ascii="仿宋" w:hAnsi="仿宋" w:eastAsia="仿宋" w:cs="仿宋"/>
          <w:i w:val="0"/>
          <w:iCs w:val="0"/>
          <w:caps w:val="0"/>
          <w:color w:val="auto"/>
          <w:spacing w:val="4"/>
          <w:sz w:val="24"/>
          <w:szCs w:val="24"/>
          <w:highlight w:val="none"/>
          <w:shd w:val="clear" w:color="auto" w:fill="FFFFFF"/>
        </w:rPr>
        <w:t>备案，方可作为主合同不可分割的一部分。</w:t>
      </w:r>
    </w:p>
    <w:p w14:paraId="4328CC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1F8868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（四）</w:t>
      </w:r>
      <w:r>
        <w:rPr>
          <w:rFonts w:hint="eastAsia" w:ascii="仿宋" w:hAnsi="仿宋" w:eastAsia="仿宋" w:cs="仿宋"/>
          <w:i w:val="0"/>
          <w:iCs w:val="0"/>
          <w:caps w:val="0"/>
          <w:color w:val="auto"/>
          <w:spacing w:val="4"/>
          <w:sz w:val="24"/>
          <w:szCs w:val="24"/>
          <w:highlight w:val="none"/>
          <w:shd w:val="clear" w:color="auto" w:fill="FFFFFF"/>
        </w:rPr>
        <w:t>本合同</w:t>
      </w:r>
      <w:r>
        <w:rPr>
          <w:rFonts w:hint="eastAsia" w:ascii="仿宋" w:hAnsi="仿宋" w:eastAsia="仿宋" w:cs="仿宋"/>
          <w:i w:val="0"/>
          <w:iCs w:val="0"/>
          <w:caps w:val="0"/>
          <w:color w:val="auto"/>
          <w:spacing w:val="4"/>
          <w:sz w:val="24"/>
          <w:szCs w:val="24"/>
          <w:highlight w:val="none"/>
          <w:shd w:val="clear" w:color="auto" w:fill="FFFFFF"/>
          <w:lang w:val="en-US" w:eastAsia="zh-CN"/>
        </w:rPr>
        <w:t>如有</w:t>
      </w:r>
      <w:r>
        <w:rPr>
          <w:rFonts w:hint="eastAsia" w:ascii="仿宋" w:hAnsi="仿宋" w:eastAsia="仿宋" w:cs="仿宋"/>
          <w:i w:val="0"/>
          <w:iCs w:val="0"/>
          <w:caps w:val="0"/>
          <w:color w:val="auto"/>
          <w:spacing w:val="4"/>
          <w:sz w:val="24"/>
          <w:szCs w:val="24"/>
          <w:highlight w:val="none"/>
          <w:shd w:val="clear" w:color="auto" w:fill="FFFFFF"/>
        </w:rPr>
        <w:t>未尽事宜，由甲乙双方</w:t>
      </w:r>
      <w:r>
        <w:rPr>
          <w:rFonts w:hint="eastAsia" w:ascii="仿宋" w:hAnsi="仿宋" w:eastAsia="仿宋" w:cs="仿宋"/>
          <w:i w:val="0"/>
          <w:iCs w:val="0"/>
          <w:caps w:val="0"/>
          <w:color w:val="auto"/>
          <w:spacing w:val="4"/>
          <w:sz w:val="24"/>
          <w:szCs w:val="24"/>
          <w:highlight w:val="none"/>
          <w:shd w:val="clear" w:color="auto" w:fill="FFFFFF"/>
          <w:lang w:val="en-US" w:eastAsia="zh-CN"/>
        </w:rPr>
        <w:t>协商解决。达成一致后签订</w:t>
      </w:r>
      <w:r>
        <w:rPr>
          <w:rFonts w:hint="eastAsia" w:ascii="仿宋" w:hAnsi="仿宋" w:eastAsia="仿宋" w:cs="仿宋"/>
          <w:i w:val="0"/>
          <w:iCs w:val="0"/>
          <w:caps w:val="0"/>
          <w:color w:val="auto"/>
          <w:spacing w:val="4"/>
          <w:sz w:val="24"/>
          <w:szCs w:val="24"/>
          <w:highlight w:val="none"/>
          <w:shd w:val="clear" w:color="auto" w:fill="FFFFFF"/>
        </w:rPr>
        <w:t>补充</w:t>
      </w:r>
      <w:r>
        <w:rPr>
          <w:rFonts w:hint="eastAsia" w:ascii="仿宋" w:hAnsi="仿宋" w:eastAsia="仿宋" w:cs="仿宋"/>
          <w:i w:val="0"/>
          <w:iCs w:val="0"/>
          <w:caps w:val="0"/>
          <w:color w:val="auto"/>
          <w:spacing w:val="4"/>
          <w:sz w:val="24"/>
          <w:szCs w:val="24"/>
          <w:highlight w:val="none"/>
          <w:shd w:val="clear" w:color="auto" w:fill="FFFFFF"/>
          <w:lang w:val="en-US" w:eastAsia="zh-CN"/>
        </w:rPr>
        <w:t>协议</w:t>
      </w: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补充协议的约定</w:t>
      </w:r>
      <w:r>
        <w:rPr>
          <w:rFonts w:hint="eastAsia" w:ascii="仿宋" w:hAnsi="仿宋" w:eastAsia="仿宋" w:cs="仿宋"/>
          <w:i w:val="0"/>
          <w:iCs w:val="0"/>
          <w:caps w:val="0"/>
          <w:color w:val="auto"/>
          <w:spacing w:val="4"/>
          <w:sz w:val="24"/>
          <w:szCs w:val="24"/>
          <w:highlight w:val="none"/>
          <w:shd w:val="clear" w:color="auto" w:fill="FFFFFF"/>
        </w:rPr>
        <w:t>原则上不能</w:t>
      </w:r>
      <w:r>
        <w:rPr>
          <w:rFonts w:hint="eastAsia" w:ascii="仿宋" w:hAnsi="仿宋" w:eastAsia="仿宋" w:cs="仿宋"/>
          <w:i w:val="0"/>
          <w:iCs w:val="0"/>
          <w:caps w:val="0"/>
          <w:color w:val="auto"/>
          <w:spacing w:val="4"/>
          <w:sz w:val="24"/>
          <w:szCs w:val="24"/>
          <w:highlight w:val="none"/>
          <w:shd w:val="clear" w:color="auto" w:fill="FFFFFF"/>
          <w:lang w:val="en-US" w:eastAsia="zh-CN"/>
        </w:rPr>
        <w:t>与本合同及中标通知书的核心内容相抵触，否则不具有法律效力</w:t>
      </w:r>
      <w:r>
        <w:rPr>
          <w:rFonts w:hint="eastAsia" w:ascii="仿宋" w:hAnsi="仿宋" w:eastAsia="仿宋" w:cs="仿宋"/>
          <w:i w:val="0"/>
          <w:iCs w:val="0"/>
          <w:caps w:val="0"/>
          <w:color w:val="auto"/>
          <w:spacing w:val="4"/>
          <w:sz w:val="24"/>
          <w:szCs w:val="24"/>
          <w:highlight w:val="none"/>
          <w:shd w:val="clear" w:color="auto" w:fill="FFFFFF"/>
        </w:rPr>
        <w:t>。</w:t>
      </w:r>
    </w:p>
    <w:p w14:paraId="1CB089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08F5210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甲方（公章）：</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乙方（公章）：</w:t>
      </w:r>
    </w:p>
    <w:p w14:paraId="27545E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账户：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账户：</w:t>
      </w:r>
    </w:p>
    <w:p w14:paraId="607096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开户行：</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开户行：</w:t>
      </w:r>
    </w:p>
    <w:p w14:paraId="6C2A1D9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纳税人识别号：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纳税人识别号：</w:t>
      </w:r>
    </w:p>
    <w:p w14:paraId="57ED3FB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地址：</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地址：</w:t>
      </w:r>
    </w:p>
    <w:p w14:paraId="48C1FE7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联系人：</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联系人：</w:t>
      </w:r>
    </w:p>
    <w:p w14:paraId="3D019BC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联系电话：</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联系电话：</w:t>
      </w:r>
    </w:p>
    <w:p w14:paraId="36A1041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法人（签字）：</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法人（签字）：</w:t>
      </w:r>
    </w:p>
    <w:p w14:paraId="2C958FF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p>
    <w:p w14:paraId="3B62D79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注意事项：本合同条款未尽事宜，由甲乙双方以补充合同约定，原则上不能超越和违背</w:t>
      </w:r>
      <w:r>
        <w:rPr>
          <w:rFonts w:hint="eastAsia" w:ascii="仿宋" w:hAnsi="仿宋" w:eastAsia="仿宋" w:cs="仿宋"/>
          <w:color w:val="auto"/>
          <w:spacing w:val="0"/>
          <w:sz w:val="24"/>
          <w:szCs w:val="24"/>
          <w:highlight w:val="none"/>
          <w:lang w:eastAsia="zh-CN"/>
        </w:rPr>
        <w:t>采购</w:t>
      </w:r>
      <w:r>
        <w:rPr>
          <w:rFonts w:hint="eastAsia" w:ascii="仿宋" w:hAnsi="仿宋" w:eastAsia="仿宋" w:cs="仿宋"/>
          <w:color w:val="auto"/>
          <w:spacing w:val="0"/>
          <w:sz w:val="24"/>
          <w:szCs w:val="24"/>
          <w:highlight w:val="none"/>
        </w:rPr>
        <w:t>文件、投标文件及投标有关承诺的范围及内容。</w:t>
      </w:r>
    </w:p>
    <w:p w14:paraId="1504A77C">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32"/>
          <w:szCs w:val="32"/>
          <w:highlight w:val="none"/>
          <w:lang w:val="en-US" w:eastAsia="zh-CN" w:bidi="ar-SA"/>
        </w:rPr>
      </w:pPr>
    </w:p>
    <w:p w14:paraId="53CD7B8A">
      <w:pPr>
        <w:keepLines w:val="0"/>
        <w:pageBreakBefore w:val="0"/>
        <w:wordWrap/>
        <w:overflowPunct/>
        <w:topLinePunct w:val="0"/>
        <w:bidi w:val="0"/>
        <w:spacing w:line="360" w:lineRule="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br w:type="page"/>
      </w:r>
    </w:p>
    <w:p w14:paraId="17BC05C4">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w:t>
      </w:r>
    </w:p>
    <w:p w14:paraId="382AF677">
      <w:pPr>
        <w:keepNext w:val="0"/>
        <w:keepLines w:val="0"/>
        <w:pageBreakBefore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学校大宗食材原（辅）料技术及质量要求表</w:t>
      </w:r>
    </w:p>
    <w:tbl>
      <w:tblPr>
        <w:tblStyle w:val="4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6ABE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071032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2065" w:type="dxa"/>
            <w:noWrap w:val="0"/>
            <w:vAlign w:val="center"/>
          </w:tcPr>
          <w:p w14:paraId="46ADA29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材料名称</w:t>
            </w:r>
          </w:p>
        </w:tc>
        <w:tc>
          <w:tcPr>
            <w:tcW w:w="6474" w:type="dxa"/>
            <w:noWrap w:val="0"/>
            <w:vAlign w:val="center"/>
          </w:tcPr>
          <w:p w14:paraId="6406F58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技术及质量要求</w:t>
            </w:r>
          </w:p>
        </w:tc>
      </w:tr>
      <w:tr w14:paraId="35D6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D8F97D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065" w:type="dxa"/>
            <w:noWrap w:val="0"/>
            <w:vAlign w:val="center"/>
          </w:tcPr>
          <w:p w14:paraId="766CDF4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大米（籼米、粳米、糯米等）</w:t>
            </w:r>
          </w:p>
        </w:tc>
        <w:tc>
          <w:tcPr>
            <w:tcW w:w="6474" w:type="dxa"/>
            <w:noWrap w:val="0"/>
            <w:vAlign w:val="center"/>
          </w:tcPr>
          <w:p w14:paraId="3CC8B56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1354-2018 标准，拥有 SC 食品质量安全认证，须袋装。米质颗粒饱满，有清香味，无麸皮等杂质，严禁提供陈化米。</w:t>
            </w:r>
          </w:p>
        </w:tc>
      </w:tr>
      <w:tr w14:paraId="174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69E5637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065" w:type="dxa"/>
            <w:noWrap w:val="0"/>
            <w:vAlign w:val="center"/>
          </w:tcPr>
          <w:p w14:paraId="049CB3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面  粉</w:t>
            </w:r>
          </w:p>
        </w:tc>
        <w:tc>
          <w:tcPr>
            <w:tcW w:w="6474" w:type="dxa"/>
            <w:noWrap w:val="0"/>
            <w:vAlign w:val="center"/>
          </w:tcPr>
          <w:p w14:paraId="639CD44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1355-2021 标准，拥有 SC 食品质量安全认证，须袋装。干净无害，无异味、异物、结块、杂质或霉点。严禁提供陈旧面粉。</w:t>
            </w:r>
          </w:p>
        </w:tc>
      </w:tr>
      <w:tr w14:paraId="159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6B8BEFC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361A2F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52ABEE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2065" w:type="dxa"/>
            <w:noWrap w:val="0"/>
            <w:vAlign w:val="center"/>
          </w:tcPr>
          <w:p w14:paraId="507D7B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食用油</w:t>
            </w:r>
          </w:p>
        </w:tc>
        <w:tc>
          <w:tcPr>
            <w:tcW w:w="6474" w:type="dxa"/>
            <w:noWrap w:val="0"/>
            <w:vAlign w:val="center"/>
          </w:tcPr>
          <w:p w14:paraId="21C918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7FE0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DD9BAB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5FA1D75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245CD8E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4</w:t>
            </w:r>
          </w:p>
        </w:tc>
        <w:tc>
          <w:tcPr>
            <w:tcW w:w="2065" w:type="dxa"/>
            <w:noWrap w:val="0"/>
            <w:vAlign w:val="top"/>
          </w:tcPr>
          <w:p w14:paraId="13A3D3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79987AD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3298A4B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蔬菜、水果</w:t>
            </w:r>
          </w:p>
          <w:p w14:paraId="02A276F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tc>
        <w:tc>
          <w:tcPr>
            <w:tcW w:w="6474" w:type="dxa"/>
            <w:noWrap w:val="0"/>
            <w:vAlign w:val="center"/>
          </w:tcPr>
          <w:p w14:paraId="6F76ED7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3D52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4385D2D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2065" w:type="dxa"/>
            <w:noWrap w:val="0"/>
            <w:vAlign w:val="center"/>
          </w:tcPr>
          <w:p w14:paraId="54038A1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肉  类</w:t>
            </w:r>
          </w:p>
        </w:tc>
        <w:tc>
          <w:tcPr>
            <w:tcW w:w="6474" w:type="dxa"/>
            <w:noWrap w:val="0"/>
            <w:vAlign w:val="center"/>
          </w:tcPr>
          <w:p w14:paraId="1CAAF2D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具有动物检验检疫合格证明，且符合食品卫生安全法要求。新鲜肉类（牛肉、羊肉、猪肉、鸡肉、鸭肉等），肉有光泽，新鲜气味正常，肉不能是冷冻肉</w:t>
            </w:r>
            <w:r>
              <w:rPr>
                <w:rFonts w:hint="eastAsia" w:ascii="仿宋" w:hAnsi="仿宋" w:eastAsia="仿宋" w:cs="仿宋"/>
                <w:b w:val="0"/>
                <w:bCs w:val="0"/>
                <w:strike w:val="0"/>
                <w:dstrike w:val="0"/>
                <w:color w:val="auto"/>
                <w:kern w:val="2"/>
                <w:sz w:val="24"/>
                <w:szCs w:val="24"/>
                <w:highlight w:val="none"/>
                <w:lang w:val="en-US" w:eastAsia="zh-CN" w:bidi="ar-SA"/>
              </w:rPr>
              <w:t>，必须清洗干净</w:t>
            </w:r>
            <w:r>
              <w:rPr>
                <w:rFonts w:hint="eastAsia" w:ascii="仿宋" w:hAnsi="仿宋" w:eastAsia="仿宋" w:cs="仿宋"/>
                <w:b w:val="0"/>
                <w:bCs w:val="0"/>
                <w:color w:val="auto"/>
                <w:kern w:val="2"/>
                <w:sz w:val="24"/>
                <w:szCs w:val="24"/>
                <w:highlight w:val="none"/>
                <w:lang w:val="en-US" w:eastAsia="zh-CN" w:bidi="ar-SA"/>
              </w:rPr>
              <w:t>，并根据学校的要求切割成大块、丝和片。</w:t>
            </w:r>
          </w:p>
        </w:tc>
      </w:tr>
      <w:tr w14:paraId="69C2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323B85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2065" w:type="dxa"/>
            <w:noWrap w:val="0"/>
            <w:vAlign w:val="center"/>
          </w:tcPr>
          <w:p w14:paraId="63E4A85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禽  蛋</w:t>
            </w:r>
          </w:p>
        </w:tc>
        <w:tc>
          <w:tcPr>
            <w:tcW w:w="6474" w:type="dxa"/>
            <w:noWrap w:val="0"/>
            <w:vAlign w:val="center"/>
          </w:tcPr>
          <w:p w14:paraId="4049297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F7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E6D692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2065" w:type="dxa"/>
            <w:noWrap w:val="0"/>
            <w:vAlign w:val="center"/>
          </w:tcPr>
          <w:p w14:paraId="22B8C28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其他（包含调味品、豆制品、米、面、米粉等）</w:t>
            </w:r>
          </w:p>
        </w:tc>
        <w:tc>
          <w:tcPr>
            <w:tcW w:w="6474" w:type="dxa"/>
            <w:noWrap w:val="0"/>
            <w:vAlign w:val="center"/>
          </w:tcPr>
          <w:p w14:paraId="567B3EE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符合相关食品安全国家标准。</w:t>
            </w:r>
          </w:p>
        </w:tc>
      </w:tr>
      <w:tr w14:paraId="0FCD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73E237C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2065" w:type="dxa"/>
            <w:noWrap w:val="0"/>
            <w:vAlign w:val="center"/>
          </w:tcPr>
          <w:p w14:paraId="493C41A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乳制品</w:t>
            </w:r>
          </w:p>
        </w:tc>
        <w:tc>
          <w:tcPr>
            <w:tcW w:w="6474" w:type="dxa"/>
            <w:noWrap w:val="0"/>
            <w:vAlign w:val="center"/>
          </w:tcPr>
          <w:p w14:paraId="6E4DE4F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符合相关乳制品食品安全国家标准。牛奶颜色乳白，乳香清淡，口感稀薄，闻起来香味很淡，入口后有淡淡的奶香。加热后不挂杯。</w:t>
            </w:r>
          </w:p>
        </w:tc>
      </w:tr>
      <w:tr w14:paraId="639E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2363618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2065" w:type="dxa"/>
            <w:noWrap w:val="0"/>
            <w:vAlign w:val="center"/>
          </w:tcPr>
          <w:p w14:paraId="56CD3C3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糕  点</w:t>
            </w:r>
          </w:p>
        </w:tc>
        <w:tc>
          <w:tcPr>
            <w:tcW w:w="6474" w:type="dxa"/>
            <w:noWrap w:val="0"/>
            <w:vAlign w:val="center"/>
          </w:tcPr>
          <w:p w14:paraId="5D98AAC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 GB7099-2015 食品安全国家标准（糕点、面包）</w:t>
            </w:r>
          </w:p>
        </w:tc>
      </w:tr>
    </w:tbl>
    <w:p w14:paraId="0506C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3EE5F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1477CB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p>
    <w:p w14:paraId="614FF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p>
    <w:p w14:paraId="25BBB642">
      <w:pPr>
        <w:pStyle w:val="1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lang w:eastAsia="zh-CN"/>
        </w:rPr>
      </w:pPr>
      <w:bookmarkStart w:id="52" w:name="_Toc16385"/>
      <w:r>
        <w:rPr>
          <w:rFonts w:hint="eastAsia" w:ascii="仿宋" w:hAnsi="仿宋" w:eastAsia="仿宋" w:cs="仿宋"/>
          <w:b/>
          <w:color w:val="auto"/>
          <w:sz w:val="24"/>
          <w:szCs w:val="24"/>
          <w:highlight w:val="none"/>
        </w:rPr>
        <w:t xml:space="preserve">第四章 </w:t>
      </w:r>
      <w:bookmarkStart w:id="53" w:name="_Toc138639074"/>
      <w:bookmarkEnd w:id="53"/>
      <w:bookmarkStart w:id="54" w:name="_Toc138638719"/>
      <w:bookmarkEnd w:id="54"/>
      <w:bookmarkStart w:id="55" w:name="_Toc138638906"/>
      <w:bookmarkEnd w:id="55"/>
      <w:bookmarkStart w:id="56" w:name="_Toc138639090"/>
      <w:bookmarkEnd w:id="56"/>
      <w:bookmarkStart w:id="57" w:name="_Toc138638534"/>
      <w:bookmarkEnd w:id="57"/>
      <w:bookmarkStart w:id="58" w:name="_Toc138638535"/>
      <w:bookmarkEnd w:id="58"/>
      <w:bookmarkStart w:id="59" w:name="_Toc138639091"/>
      <w:bookmarkEnd w:id="59"/>
      <w:bookmarkStart w:id="60" w:name="_Toc138638702"/>
      <w:bookmarkEnd w:id="60"/>
      <w:bookmarkStart w:id="61" w:name="_Toc138638538"/>
      <w:bookmarkEnd w:id="61"/>
      <w:bookmarkStart w:id="62" w:name="_Toc138639145"/>
      <w:bookmarkEnd w:id="62"/>
      <w:bookmarkStart w:id="63" w:name="_合同文件的组成及解释顺序"/>
      <w:bookmarkEnd w:id="63"/>
      <w:bookmarkStart w:id="64" w:name="_Toc138638510"/>
      <w:bookmarkEnd w:id="64"/>
      <w:bookmarkStart w:id="65" w:name="_Toc138638509"/>
      <w:bookmarkEnd w:id="65"/>
      <w:bookmarkStart w:id="66" w:name="_Toc138638718"/>
      <w:bookmarkEnd w:id="66"/>
      <w:bookmarkStart w:id="67" w:name="_Toc138638884"/>
      <w:bookmarkEnd w:id="67"/>
      <w:bookmarkStart w:id="68" w:name="_Toc138638907"/>
      <w:bookmarkEnd w:id="68"/>
      <w:bookmarkStart w:id="69" w:name="_Toc138638910"/>
      <w:bookmarkEnd w:id="69"/>
      <w:bookmarkStart w:id="70" w:name="_Toc138638883"/>
      <w:bookmarkEnd w:id="70"/>
      <w:bookmarkStart w:id="71" w:name="_Toc138638773"/>
      <w:bookmarkEnd w:id="71"/>
      <w:bookmarkStart w:id="72" w:name="_Toc531016893"/>
      <w:r>
        <w:rPr>
          <w:rFonts w:hint="eastAsia" w:ascii="仿宋" w:hAnsi="仿宋" w:eastAsia="仿宋" w:cs="仿宋"/>
          <w:b/>
          <w:color w:val="auto"/>
          <w:sz w:val="24"/>
          <w:szCs w:val="24"/>
          <w:highlight w:val="none"/>
          <w:lang w:eastAsia="zh-CN"/>
        </w:rPr>
        <w:t>服务标准和要求</w:t>
      </w:r>
      <w:bookmarkEnd w:id="52"/>
    </w:p>
    <w:p w14:paraId="004A0624">
      <w:pPr>
        <w:rPr>
          <w:rFonts w:hint="eastAsia" w:ascii="仿宋" w:hAnsi="仿宋" w:eastAsia="仿宋" w:cs="仿宋"/>
          <w:color w:val="auto"/>
          <w:highlight w:val="none"/>
          <w:lang w:val="en-US" w:eastAsia="zh-CN"/>
        </w:rPr>
      </w:pPr>
    </w:p>
    <w:p w14:paraId="339493CF">
      <w:pPr>
        <w:pStyle w:val="12"/>
        <w:keepNext w:val="0"/>
        <w:keepLines w:val="0"/>
        <w:pageBreakBefore w:val="0"/>
        <w:numPr>
          <w:ilvl w:val="0"/>
          <w:numId w:val="0"/>
        </w:numPr>
        <w:kinsoku/>
        <w:wordWrap/>
        <w:overflowPunct/>
        <w:topLinePunct w:val="0"/>
        <w:bidi w:val="0"/>
        <w:snapToGrid/>
        <w:spacing w:line="360" w:lineRule="auto"/>
        <w:outlineLvl w:val="9"/>
        <w:rPr>
          <w:rFonts w:hint="eastAsia" w:ascii="仿宋" w:hAnsi="仿宋" w:eastAsia="仿宋" w:cs="仿宋"/>
          <w:color w:val="auto"/>
          <w:kern w:val="0"/>
          <w:sz w:val="24"/>
          <w:szCs w:val="24"/>
          <w:highlight w:val="none"/>
          <w:lang w:val="en-US" w:eastAsia="zh-CN" w:bidi="ar-SA"/>
        </w:rPr>
      </w:pPr>
      <w:bookmarkStart w:id="73" w:name="_Toc3298"/>
      <w:bookmarkEnd w:id="73"/>
      <w:r>
        <w:rPr>
          <w:rFonts w:hint="eastAsia" w:ascii="仿宋" w:hAnsi="仿宋" w:eastAsia="仿宋" w:cs="仿宋"/>
          <w:color w:val="auto"/>
          <w:kern w:val="0"/>
          <w:sz w:val="24"/>
          <w:szCs w:val="24"/>
          <w:highlight w:val="none"/>
          <w:lang w:val="en-US" w:eastAsia="zh-CN" w:bidi="ar-SA"/>
        </w:rPr>
        <w:t>(1)技术要求</w:t>
      </w:r>
    </w:p>
    <w:p w14:paraId="5F6FCFEC">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禽蛋类</w:t>
      </w:r>
      <w:r>
        <w:rPr>
          <w:rFonts w:hint="eastAsia" w:ascii="仿宋" w:hAnsi="仿宋" w:eastAsia="仿宋" w:cs="仿宋"/>
          <w:color w:val="auto"/>
          <w:kern w:val="0"/>
          <w:sz w:val="24"/>
          <w:szCs w:val="24"/>
          <w:highlight w:val="none"/>
          <w:lang w:val="en-US" w:eastAsia="zh-CN" w:bidi="ar-SA"/>
        </w:rPr>
        <w:t>食材总体需求清单</w:t>
      </w:r>
    </w:p>
    <w:p w14:paraId="17B51998">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（仅列举常用食材，采购品种及数量以实际发生为准。）</w:t>
      </w:r>
    </w:p>
    <w:tbl>
      <w:tblPr>
        <w:tblStyle w:val="40"/>
        <w:tblW w:w="8973" w:type="dxa"/>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1204"/>
        <w:gridCol w:w="791"/>
        <w:gridCol w:w="710"/>
        <w:gridCol w:w="859"/>
        <w:gridCol w:w="1186"/>
        <w:gridCol w:w="2605"/>
        <w:gridCol w:w="913"/>
      </w:tblGrid>
      <w:tr w14:paraId="58FF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E0AF9AC">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6265786">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14FD749">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FDABC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CF8C731">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86495A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2605" w:type="dxa"/>
            <w:tcBorders>
              <w:top w:val="single" w:color="000000" w:sz="4" w:space="0"/>
              <w:left w:val="single" w:color="000000" w:sz="4" w:space="0"/>
              <w:bottom w:val="single" w:color="000000" w:sz="4" w:space="0"/>
              <w:right w:val="single" w:color="000000" w:sz="4" w:space="0"/>
            </w:tcBorders>
            <w:noWrap w:val="0"/>
            <w:vAlign w:val="center"/>
          </w:tcPr>
          <w:p w14:paraId="75BF2AB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质量标准</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C24069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备注</w:t>
            </w:r>
          </w:p>
        </w:tc>
      </w:tr>
      <w:tr w14:paraId="6F92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07B668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F93A07C">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咸鸭蛋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25BAC2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70g</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EBC2CD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01F71F3">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2072593">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 </w:t>
            </w:r>
          </w:p>
        </w:tc>
        <w:tc>
          <w:tcPr>
            <w:tcW w:w="2605" w:type="dxa"/>
            <w:vMerge w:val="restart"/>
            <w:tcBorders>
              <w:top w:val="single" w:color="000000" w:sz="4" w:space="0"/>
              <w:left w:val="single" w:color="000000" w:sz="4" w:space="0"/>
              <w:right w:val="single" w:color="000000" w:sz="4" w:space="0"/>
            </w:tcBorders>
            <w:noWrap w:val="0"/>
            <w:vAlign w:val="center"/>
          </w:tcPr>
          <w:p w14:paraId="01F90A9C">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一、感官质量标准</w:t>
            </w:r>
          </w:p>
          <w:p w14:paraId="1F2BF2FC">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1.外观：</w:t>
            </w:r>
          </w:p>
          <w:p w14:paraId="75BFA98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鲜蛋（鸡蛋、鹌鹑蛋）：蛋壳清洁完整，无裂纹、凹陷或霉斑。蛋壳表面色泽均匀（如鸡蛋呈淡褐色或白色，鹌鹑蛋呈斑驳花纹）。</w:t>
            </w:r>
          </w:p>
          <w:p w14:paraId="676C8A8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2.内部品质：</w:t>
            </w:r>
          </w:p>
          <w:p w14:paraId="18B128B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鲜蛋：气室高度≤7mm（新鲜蛋），无散黄、血丝或异物。蛋黄轮廓清晰，蛋白浓稠分层（浓蛋白与稀蛋白分明）。</w:t>
            </w:r>
          </w:p>
          <w:p w14:paraId="51CD768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3.气味：</w:t>
            </w:r>
          </w:p>
          <w:p w14:paraId="75EFB40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鲜蛋：无明显腥味或腐败味（破壳后无异味）。</w:t>
            </w:r>
          </w:p>
          <w:p w14:paraId="241B837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二、理化及营养指标</w:t>
            </w:r>
          </w:p>
          <w:p w14:paraId="49E2D34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1.水分与成分：</w:t>
            </w:r>
          </w:p>
          <w:p w14:paraId="1618FFF6">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鲜蛋：水分含量75%-78%，蛋白质≥12g/100g，脂肪≥9g/100g（参考GB 2749《蛋与蛋制品》）。</w:t>
            </w:r>
          </w:p>
          <w:p w14:paraId="601EF0A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新鲜度指标：哈夫单位（HU）​：鲜鸡蛋≥72（AA级），≥60（A级），反映蛋白浓稠度。</w:t>
            </w:r>
          </w:p>
          <w:p w14:paraId="19C68EF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pH值：鲜蛋蛋白pH 7.6-9.5，蛋黄pH 6.0-6.8。</w:t>
            </w:r>
          </w:p>
          <w:p w14:paraId="3548B89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一、安全卫生指标</w:t>
            </w:r>
          </w:p>
          <w:p w14:paraId="4278A5A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1.兽药残留：抗生素（如氟喹诺酮类、磺胺类）残留符合GB 31650《食品中兽药最大残留限量》。</w:t>
            </w:r>
          </w:p>
          <w:p w14:paraId="051EE8A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2.重金属污染：铅、镉、汞、砷等含量符合GB 2762《食品中污染物限量》（如铅≤0.2mg/公斤）。</w:t>
            </w:r>
          </w:p>
          <w:p w14:paraId="56849ED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3.微生物指标：</w:t>
            </w:r>
          </w:p>
          <w:p w14:paraId="2084A9C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鲜蛋：沙门氏菌不得检出（GB 29921），菌落总数≤5×10⁴ CFU/g。</w:t>
            </w:r>
          </w:p>
          <w:p w14:paraId="20CA1DF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三、包装与标签要求</w:t>
            </w:r>
          </w:p>
          <w:p w14:paraId="1BCC120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1.包装材料：鲜蛋使用防震材料（如纸托、泡沫盒）。包装材料符合GB 4806食品接触材料标准。</w:t>
            </w:r>
          </w:p>
          <w:p w14:paraId="167F35F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2.标签信息：需有动物产品检疫合格证明（鲜蛋）或食品生产许可证编号（加工蛋）。</w:t>
            </w:r>
          </w:p>
          <w:p w14:paraId="4ECCE6E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四、储存与运输要求</w:t>
            </w:r>
          </w:p>
          <w:p w14:paraId="6E5E358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1.温度与湿度：</w:t>
            </w:r>
          </w:p>
          <w:p w14:paraId="57E95F9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鲜蛋：0-20℃储存，相对湿度80%-85%，避免冷冻（蛋壳易裂）；运输中防震。</w:t>
            </w:r>
          </w:p>
          <w:p w14:paraId="24CB697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避光与通风：鲜蛋储存需避光（防止维生素损失）。</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8E9EB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1CA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0DC955">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D8D830B">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松花蛋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FB3930">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70g</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1D9A4AF">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3E733BF">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96AEDC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 </w:t>
            </w:r>
          </w:p>
        </w:tc>
        <w:tc>
          <w:tcPr>
            <w:tcW w:w="2605" w:type="dxa"/>
            <w:vMerge w:val="continue"/>
            <w:tcBorders>
              <w:left w:val="single" w:color="000000" w:sz="4" w:space="0"/>
              <w:right w:val="single" w:color="000000" w:sz="4" w:space="0"/>
            </w:tcBorders>
            <w:noWrap w:val="0"/>
            <w:vAlign w:val="center"/>
          </w:tcPr>
          <w:p w14:paraId="2DE234C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BE32ED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0B1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FF419C9">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55FF4F0">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五香蛋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29830F">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30g</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2AA5FA6">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F6541A4">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8E53024">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2605" w:type="dxa"/>
            <w:vMerge w:val="continue"/>
            <w:tcBorders>
              <w:left w:val="single" w:color="000000" w:sz="4" w:space="0"/>
              <w:right w:val="single" w:color="000000" w:sz="4" w:space="0"/>
            </w:tcBorders>
            <w:noWrap w:val="0"/>
            <w:vAlign w:val="center"/>
          </w:tcPr>
          <w:p w14:paraId="0A2EE7B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FB6A03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8AB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69" w:type="dxa"/>
            <w:gridSpan w:val="5"/>
            <w:tcBorders>
              <w:top w:val="single" w:color="000000" w:sz="4" w:space="0"/>
              <w:left w:val="single" w:color="000000" w:sz="4" w:space="0"/>
              <w:bottom w:val="single" w:color="000000" w:sz="4" w:space="0"/>
              <w:right w:val="single" w:color="000000" w:sz="4" w:space="0"/>
            </w:tcBorders>
            <w:noWrap w:val="0"/>
            <w:vAlign w:val="center"/>
          </w:tcPr>
          <w:p w14:paraId="217DDD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单价限价合计</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AA23FF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w:t>
            </w:r>
          </w:p>
        </w:tc>
        <w:tc>
          <w:tcPr>
            <w:tcW w:w="2605" w:type="dxa"/>
            <w:vMerge w:val="continue"/>
            <w:tcBorders>
              <w:left w:val="single" w:color="000000" w:sz="4" w:space="0"/>
              <w:right w:val="single" w:color="000000" w:sz="4" w:space="0"/>
            </w:tcBorders>
            <w:noWrap w:val="0"/>
            <w:vAlign w:val="center"/>
          </w:tcPr>
          <w:p w14:paraId="4B3D017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B3297F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599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16484E5">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1DEE7B3">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F3968AB">
            <w:pPr>
              <w:spacing w:line="360" w:lineRule="auto"/>
              <w:jc w:val="center"/>
              <w:rPr>
                <w:rFonts w:hint="eastAsia" w:ascii="仿宋" w:hAnsi="仿宋" w:eastAsia="仿宋" w:cs="仿宋"/>
                <w:i w:val="0"/>
                <w:iCs w:val="0"/>
                <w:color w:val="auto"/>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D28B9EB">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070FF5">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费率</w:t>
            </w:r>
          </w:p>
        </w:tc>
        <w:tc>
          <w:tcPr>
            <w:tcW w:w="1186" w:type="dxa"/>
            <w:vMerge w:val="restart"/>
            <w:tcBorders>
              <w:top w:val="single" w:color="000000" w:sz="4" w:space="0"/>
              <w:left w:val="single" w:color="000000" w:sz="4" w:space="0"/>
              <w:right w:val="single" w:color="000000" w:sz="4" w:space="0"/>
            </w:tcBorders>
            <w:noWrap w:val="0"/>
            <w:vAlign w:val="center"/>
          </w:tcPr>
          <w:p w14:paraId="64FBFAEC">
            <w:pPr>
              <w:spacing w:line="360" w:lineRule="auto"/>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100%</w:t>
            </w:r>
          </w:p>
        </w:tc>
        <w:tc>
          <w:tcPr>
            <w:tcW w:w="2605" w:type="dxa"/>
            <w:vMerge w:val="continue"/>
            <w:tcBorders>
              <w:left w:val="single" w:color="000000" w:sz="4" w:space="0"/>
              <w:right w:val="single" w:color="000000" w:sz="4" w:space="0"/>
            </w:tcBorders>
            <w:noWrap w:val="0"/>
            <w:vAlign w:val="center"/>
          </w:tcPr>
          <w:p w14:paraId="72173280">
            <w:pPr>
              <w:spacing w:line="360" w:lineRule="auto"/>
              <w:jc w:val="center"/>
              <w:rPr>
                <w:rFonts w:hint="eastAsia" w:ascii="仿宋" w:hAnsi="仿宋" w:eastAsia="仿宋" w:cs="仿宋"/>
                <w:i w:val="0"/>
                <w:iCs w:val="0"/>
                <w:color w:val="auto"/>
                <w:sz w:val="22"/>
                <w:szCs w:val="22"/>
                <w:highlight w:val="none"/>
                <w:u w:val="none"/>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4E8E325">
            <w:pPr>
              <w:spacing w:line="360" w:lineRule="auto"/>
              <w:jc w:val="center"/>
              <w:rPr>
                <w:rFonts w:hint="eastAsia" w:ascii="仿宋" w:hAnsi="仿宋" w:eastAsia="仿宋" w:cs="仿宋"/>
                <w:i w:val="0"/>
                <w:iCs w:val="0"/>
                <w:color w:val="auto"/>
                <w:sz w:val="22"/>
                <w:szCs w:val="22"/>
                <w:highlight w:val="none"/>
                <w:u w:val="none"/>
              </w:rPr>
            </w:pPr>
          </w:p>
        </w:tc>
      </w:tr>
      <w:tr w14:paraId="357C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54D38F29">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149085A">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鹌鹑蛋</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9750C0">
            <w:pPr>
              <w:spacing w:line="360" w:lineRule="auto"/>
              <w:jc w:val="center"/>
              <w:rPr>
                <w:rFonts w:hint="eastAsia" w:ascii="仿宋" w:hAnsi="仿宋" w:eastAsia="仿宋" w:cs="仿宋"/>
                <w:i w:val="0"/>
                <w:iCs w:val="0"/>
                <w:color w:val="auto"/>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11AF144">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43C3A96">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费率</w:t>
            </w:r>
          </w:p>
        </w:tc>
        <w:tc>
          <w:tcPr>
            <w:tcW w:w="1186" w:type="dxa"/>
            <w:vMerge w:val="continue"/>
            <w:tcBorders>
              <w:left w:val="single" w:color="000000" w:sz="4" w:space="0"/>
              <w:bottom w:val="single" w:color="000000" w:sz="4" w:space="0"/>
              <w:right w:val="single" w:color="000000" w:sz="4" w:space="0"/>
            </w:tcBorders>
            <w:noWrap w:val="0"/>
            <w:vAlign w:val="center"/>
          </w:tcPr>
          <w:p w14:paraId="553C7C74">
            <w:pPr>
              <w:spacing w:line="360" w:lineRule="auto"/>
              <w:jc w:val="center"/>
              <w:rPr>
                <w:rFonts w:hint="eastAsia" w:ascii="仿宋" w:hAnsi="仿宋" w:eastAsia="仿宋" w:cs="仿宋"/>
                <w:i w:val="0"/>
                <w:iCs w:val="0"/>
                <w:color w:val="auto"/>
                <w:sz w:val="22"/>
                <w:szCs w:val="22"/>
                <w:highlight w:val="none"/>
                <w:u w:val="none"/>
              </w:rPr>
            </w:pPr>
          </w:p>
        </w:tc>
        <w:tc>
          <w:tcPr>
            <w:tcW w:w="2605" w:type="dxa"/>
            <w:vMerge w:val="continue"/>
            <w:tcBorders>
              <w:left w:val="single" w:color="000000" w:sz="4" w:space="0"/>
              <w:bottom w:val="single" w:color="000000" w:sz="4" w:space="0"/>
              <w:right w:val="single" w:color="000000" w:sz="4" w:space="0"/>
            </w:tcBorders>
            <w:noWrap w:val="0"/>
            <w:vAlign w:val="center"/>
          </w:tcPr>
          <w:p w14:paraId="2AA93582">
            <w:pPr>
              <w:spacing w:line="360" w:lineRule="auto"/>
              <w:jc w:val="center"/>
              <w:rPr>
                <w:rFonts w:hint="eastAsia" w:ascii="仿宋" w:hAnsi="仿宋" w:eastAsia="仿宋" w:cs="仿宋"/>
                <w:i w:val="0"/>
                <w:iCs w:val="0"/>
                <w:color w:val="auto"/>
                <w:sz w:val="22"/>
                <w:szCs w:val="22"/>
                <w:highlight w:val="none"/>
                <w:u w:val="none"/>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5D0958D">
            <w:pPr>
              <w:spacing w:line="360" w:lineRule="auto"/>
              <w:jc w:val="center"/>
              <w:rPr>
                <w:rFonts w:hint="eastAsia" w:ascii="仿宋" w:hAnsi="仿宋" w:eastAsia="仿宋" w:cs="仿宋"/>
                <w:i w:val="0"/>
                <w:iCs w:val="0"/>
                <w:color w:val="auto"/>
                <w:sz w:val="22"/>
                <w:szCs w:val="22"/>
                <w:highlight w:val="none"/>
                <w:u w:val="none"/>
              </w:rPr>
            </w:pPr>
          </w:p>
        </w:tc>
      </w:tr>
    </w:tbl>
    <w:p w14:paraId="526A00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8"/>
          <w:szCs w:val="28"/>
          <w:highlight w:val="none"/>
          <w:lang w:val="en-US" w:eastAsia="zh-CN"/>
        </w:rPr>
        <w:br w:type="page"/>
      </w: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val="en-US" w:eastAsia="zh-CN"/>
        </w:rPr>
        <w:t>商务要求</w:t>
      </w:r>
    </w:p>
    <w:p w14:paraId="60416DB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054F8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禽蛋类食材配送服务，包括但不限于：咸鸭蛋、松花蛋、五香蛋、鸡蛋、鹌鹑蛋</w:t>
      </w:r>
      <w:r>
        <w:rPr>
          <w:rFonts w:hint="eastAsia" w:ascii="仿宋" w:hAnsi="仿宋" w:eastAsia="仿宋" w:cs="仿宋"/>
          <w:color w:val="auto"/>
          <w:sz w:val="24"/>
          <w:szCs w:val="24"/>
          <w:highlight w:val="none"/>
          <w:lang w:val="en-US" w:eastAsia="zh-CN"/>
        </w:rPr>
        <w:t>等；采购人所采购的食材品种、类别及数量以实际发生为准，按时结算。</w:t>
      </w:r>
    </w:p>
    <w:p w14:paraId="7480F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投标人所供禽蛋质量须达到GB/T37108-2018 标准，农残不超标，并可溯源。有产地证明、检疫合格证的无公害产品，包装成一板（箱）或整件配送。要求外壳完好、新鲜，大小均匀，无破损、霉变、病斑、陈腐味。</w:t>
      </w:r>
    </w:p>
    <w:p w14:paraId="59E79C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二、合同履约期限</w:t>
      </w:r>
    </w:p>
    <w:p w14:paraId="166FC2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2025年8月1日至2026年7月31日</w:t>
      </w:r>
    </w:p>
    <w:p w14:paraId="5DCADDF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三、保质期（有效期）</w:t>
      </w:r>
    </w:p>
    <w:p w14:paraId="625A51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冷藏情况下不少于30日历日</w:t>
      </w:r>
    </w:p>
    <w:p w14:paraId="263A5D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四、配送地点</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838"/>
        <w:gridCol w:w="4103"/>
        <w:gridCol w:w="1463"/>
      </w:tblGrid>
      <w:tr w14:paraId="7BBF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10CE15B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1528" w:type="pct"/>
            <w:noWrap w:val="0"/>
            <w:vAlign w:val="center"/>
          </w:tcPr>
          <w:p w14:paraId="104CBE9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209" w:type="pct"/>
            <w:noWrap w:val="0"/>
            <w:vAlign w:val="center"/>
          </w:tcPr>
          <w:p w14:paraId="10F4885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配送地点（食堂地点）</w:t>
            </w:r>
          </w:p>
        </w:tc>
        <w:tc>
          <w:tcPr>
            <w:tcW w:w="788" w:type="pct"/>
            <w:noWrap w:val="0"/>
            <w:vAlign w:val="center"/>
          </w:tcPr>
          <w:p w14:paraId="6E29CFF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48D9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0ADA0BD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528" w:type="pct"/>
            <w:noWrap w:val="0"/>
            <w:vAlign w:val="center"/>
          </w:tcPr>
          <w:p w14:paraId="60DD2AA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209" w:type="pct"/>
            <w:noWrap w:val="0"/>
            <w:vAlign w:val="center"/>
          </w:tcPr>
          <w:p w14:paraId="4F5FDD4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乌鲁木齐市新市区北辰七街1567号</w:t>
            </w:r>
          </w:p>
        </w:tc>
        <w:tc>
          <w:tcPr>
            <w:tcW w:w="788" w:type="pct"/>
            <w:vMerge w:val="restart"/>
            <w:noWrap w:val="0"/>
            <w:vAlign w:val="center"/>
          </w:tcPr>
          <w:p w14:paraId="4C5BD2C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5A6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79635FE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528" w:type="pct"/>
            <w:vMerge w:val="restart"/>
            <w:noWrap w:val="0"/>
            <w:vAlign w:val="center"/>
          </w:tcPr>
          <w:p w14:paraId="0F9310F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209" w:type="pct"/>
            <w:noWrap w:val="0"/>
            <w:vAlign w:val="center"/>
          </w:tcPr>
          <w:p w14:paraId="056F136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乌鲁木齐市米东区中瑞街550号</w:t>
            </w:r>
          </w:p>
        </w:tc>
        <w:tc>
          <w:tcPr>
            <w:tcW w:w="788" w:type="pct"/>
            <w:vMerge w:val="continue"/>
            <w:noWrap w:val="0"/>
            <w:vAlign w:val="center"/>
          </w:tcPr>
          <w:p w14:paraId="705F757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1B4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52A07FA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46C022C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207BE0B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乌鲁木齐市米东区米东中路2186号</w:t>
            </w:r>
          </w:p>
        </w:tc>
        <w:tc>
          <w:tcPr>
            <w:tcW w:w="788" w:type="pct"/>
            <w:vMerge w:val="continue"/>
            <w:noWrap w:val="0"/>
            <w:vAlign w:val="center"/>
          </w:tcPr>
          <w:p w14:paraId="36DC573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83E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0FD40F6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528" w:type="pct"/>
            <w:vMerge w:val="restart"/>
            <w:noWrap w:val="0"/>
            <w:vAlign w:val="center"/>
          </w:tcPr>
          <w:p w14:paraId="3551941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209" w:type="pct"/>
            <w:noWrap w:val="0"/>
            <w:vAlign w:val="center"/>
          </w:tcPr>
          <w:p w14:paraId="79A3F42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乌鲁木齐市新市区新医路221号</w:t>
            </w:r>
          </w:p>
        </w:tc>
        <w:tc>
          <w:tcPr>
            <w:tcW w:w="788" w:type="pct"/>
            <w:vMerge w:val="continue"/>
            <w:noWrap w:val="0"/>
            <w:vAlign w:val="center"/>
          </w:tcPr>
          <w:p w14:paraId="312A024D">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61FF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693F52C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4E25C69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3A20880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乌鲁木齐市经开区红岩街545号</w:t>
            </w:r>
          </w:p>
        </w:tc>
        <w:tc>
          <w:tcPr>
            <w:tcW w:w="788" w:type="pct"/>
            <w:vMerge w:val="continue"/>
            <w:noWrap w:val="0"/>
            <w:vAlign w:val="center"/>
          </w:tcPr>
          <w:p w14:paraId="46E3CBD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C24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30D59D3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528" w:type="pct"/>
            <w:noWrap w:val="0"/>
            <w:vAlign w:val="center"/>
          </w:tcPr>
          <w:p w14:paraId="63C443F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209" w:type="pct"/>
            <w:noWrap w:val="0"/>
            <w:vAlign w:val="center"/>
          </w:tcPr>
          <w:p w14:paraId="41C949D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乌鲁木齐市米东区永华东街1516号</w:t>
            </w:r>
          </w:p>
        </w:tc>
        <w:tc>
          <w:tcPr>
            <w:tcW w:w="788" w:type="pct"/>
            <w:vMerge w:val="continue"/>
            <w:noWrap w:val="0"/>
            <w:vAlign w:val="center"/>
          </w:tcPr>
          <w:p w14:paraId="4862DBE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bl>
    <w:p w14:paraId="7FDDE6A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02431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本项目采购预算153.9305 万元，采购人所采购的食材品种、类别及数量以实际发生为准，按时结算。</w:t>
      </w:r>
    </w:p>
    <w:p w14:paraId="198C313E">
      <w:pPr>
        <w:pStyle w:val="57"/>
        <w:spacing w:line="36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采购预算明细</w:t>
      </w:r>
    </w:p>
    <w:tbl>
      <w:tblPr>
        <w:tblStyle w:val="41"/>
        <w:tblW w:w="7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057"/>
        <w:gridCol w:w="2300"/>
        <w:gridCol w:w="1663"/>
      </w:tblGrid>
      <w:tr w14:paraId="06B5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7D6FA6F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3057" w:type="dxa"/>
            <w:noWrap w:val="0"/>
            <w:vAlign w:val="center"/>
          </w:tcPr>
          <w:p w14:paraId="601148A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300" w:type="dxa"/>
            <w:noWrap w:val="0"/>
            <w:vAlign w:val="center"/>
          </w:tcPr>
          <w:p w14:paraId="34B84FC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采购预算（万元）</w:t>
            </w:r>
          </w:p>
        </w:tc>
        <w:tc>
          <w:tcPr>
            <w:tcW w:w="1663" w:type="dxa"/>
            <w:noWrap w:val="0"/>
            <w:vAlign w:val="center"/>
          </w:tcPr>
          <w:p w14:paraId="1AD3BC4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2F2E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3BF8832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3057" w:type="dxa"/>
            <w:noWrap w:val="0"/>
            <w:vAlign w:val="center"/>
          </w:tcPr>
          <w:p w14:paraId="597F191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300" w:type="dxa"/>
            <w:noWrap w:val="0"/>
            <w:vAlign w:val="center"/>
          </w:tcPr>
          <w:p w14:paraId="48C9A5F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30.2000 </w:t>
            </w:r>
          </w:p>
        </w:tc>
        <w:tc>
          <w:tcPr>
            <w:tcW w:w="1663" w:type="dxa"/>
            <w:noWrap w:val="0"/>
            <w:vAlign w:val="center"/>
          </w:tcPr>
          <w:p w14:paraId="242CE3E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254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39BEDD9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3057" w:type="dxa"/>
            <w:noWrap w:val="0"/>
            <w:vAlign w:val="center"/>
          </w:tcPr>
          <w:p w14:paraId="027C76D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300" w:type="dxa"/>
            <w:noWrap w:val="0"/>
            <w:vAlign w:val="center"/>
          </w:tcPr>
          <w:p w14:paraId="5A268F3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56.8050 </w:t>
            </w:r>
          </w:p>
        </w:tc>
        <w:tc>
          <w:tcPr>
            <w:tcW w:w="1663" w:type="dxa"/>
            <w:noWrap w:val="0"/>
            <w:vAlign w:val="center"/>
          </w:tcPr>
          <w:p w14:paraId="6B7E71C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4D2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294FCD2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3057" w:type="dxa"/>
            <w:noWrap w:val="0"/>
            <w:vAlign w:val="center"/>
          </w:tcPr>
          <w:p w14:paraId="7B444A6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300" w:type="dxa"/>
            <w:noWrap w:val="0"/>
            <w:vAlign w:val="center"/>
          </w:tcPr>
          <w:p w14:paraId="75AB900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41.0755 </w:t>
            </w:r>
          </w:p>
        </w:tc>
        <w:tc>
          <w:tcPr>
            <w:tcW w:w="1663" w:type="dxa"/>
            <w:noWrap w:val="0"/>
            <w:vAlign w:val="center"/>
          </w:tcPr>
          <w:p w14:paraId="5D25A14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2527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7F22E09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3057" w:type="dxa"/>
            <w:noWrap w:val="0"/>
            <w:vAlign w:val="center"/>
          </w:tcPr>
          <w:p w14:paraId="201A20F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300" w:type="dxa"/>
            <w:noWrap w:val="0"/>
            <w:vAlign w:val="center"/>
          </w:tcPr>
          <w:p w14:paraId="5567078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25.8500 </w:t>
            </w:r>
          </w:p>
        </w:tc>
        <w:tc>
          <w:tcPr>
            <w:tcW w:w="1663" w:type="dxa"/>
            <w:noWrap w:val="0"/>
            <w:vAlign w:val="center"/>
          </w:tcPr>
          <w:p w14:paraId="52924EB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AD3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65" w:type="dxa"/>
            <w:gridSpan w:val="2"/>
            <w:noWrap w:val="0"/>
            <w:vAlign w:val="center"/>
          </w:tcPr>
          <w:p w14:paraId="619AB01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2300" w:type="dxa"/>
            <w:noWrap w:val="0"/>
            <w:vAlign w:val="center"/>
          </w:tcPr>
          <w:p w14:paraId="252154B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153.9305</w:t>
            </w:r>
          </w:p>
        </w:tc>
        <w:tc>
          <w:tcPr>
            <w:tcW w:w="1663" w:type="dxa"/>
            <w:noWrap w:val="0"/>
            <w:vAlign w:val="center"/>
          </w:tcPr>
          <w:p w14:paraId="3268823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693AA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2、根据配送服务清单中所要求的报价方式进行报价，其中：</w:t>
      </w:r>
    </w:p>
    <w:p w14:paraId="03937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①单价报价部分：</w:t>
      </w:r>
    </w:p>
    <w:p w14:paraId="64DA3C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投标人的投标报价（单价）以元为单位，为便于结算建议保留一位小数，到角即可；且不得高于相对应的</w:t>
      </w:r>
      <w:r>
        <w:rPr>
          <w:rFonts w:hint="eastAsia" w:ascii="仿宋" w:hAnsi="仿宋" w:eastAsia="仿宋" w:cs="仿宋"/>
          <w:color w:val="auto"/>
          <w:sz w:val="24"/>
          <w:szCs w:val="24"/>
          <w:highlight w:val="none"/>
          <w:lang w:val="en-US" w:eastAsia="zh-CN"/>
        </w:rPr>
        <w:t>单价限价。</w:t>
      </w:r>
    </w:p>
    <w:p w14:paraId="31D2E5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②费率报价部分：</w:t>
      </w:r>
      <w:r>
        <w:rPr>
          <w:rFonts w:hint="eastAsia" w:ascii="仿宋" w:hAnsi="仿宋" w:eastAsia="仿宋" w:cs="仿宋"/>
          <w:color w:val="auto"/>
          <w:kern w:val="2"/>
          <w:sz w:val="24"/>
          <w:szCs w:val="24"/>
          <w:highlight w:val="none"/>
          <w:lang w:val="en-US" w:eastAsia="zh-CN" w:bidi="ar-SA"/>
        </w:rPr>
        <w:t>投标人的投标报价（统一费率）不得大于100%（不得在费率前填写“±”），例如填报+101%或-101%（或+102%或-102%）的投标人其投标文件将会被否决。</w:t>
      </w:r>
    </w:p>
    <w:p w14:paraId="2C27D3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3、费率报价部分说明：</w:t>
      </w:r>
    </w:p>
    <w:p w14:paraId="46F49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新联市场、九鼎农贸市场等大中型商超、市场的询价采集物资价格的平均价作为送货单价，月底结账时按规定的结算费率统一结算。投标人以此为基准填报投标报价（</w:t>
      </w:r>
      <w:r>
        <w:rPr>
          <w:rFonts w:hint="eastAsia" w:ascii="仿宋" w:hAnsi="仿宋" w:eastAsia="仿宋" w:cs="仿宋"/>
          <w:color w:val="auto"/>
          <w:kern w:val="2"/>
          <w:sz w:val="24"/>
          <w:szCs w:val="24"/>
          <w:highlight w:val="none"/>
          <w:lang w:val="en-US" w:eastAsia="zh-CN" w:bidi="ar-SA"/>
        </w:rPr>
        <w:t>统一费率</w:t>
      </w:r>
      <w:r>
        <w:rPr>
          <w:rFonts w:hint="eastAsia" w:ascii="仿宋" w:hAnsi="仿宋" w:eastAsia="仿宋" w:cs="仿宋"/>
          <w:color w:val="auto"/>
          <w:sz w:val="24"/>
          <w:szCs w:val="24"/>
          <w:highlight w:val="none"/>
          <w:lang w:val="en-US" w:eastAsia="zh-CN"/>
        </w:rPr>
        <w:t>）。</w:t>
      </w:r>
    </w:p>
    <w:p w14:paraId="62652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②、结算价=基准价×中标费率；例如某产品价值1000元，费率为95%，实际付款金额为950元（注：该措辞仅供解释使用，具体投标报价由投标人结合自身情况自主报价）。</w:t>
      </w:r>
    </w:p>
    <w:p w14:paraId="69A39D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六、服务要求 </w:t>
      </w:r>
    </w:p>
    <w:p w14:paraId="7E22C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人供货时须提供所配送食材有关的所有材料，例如下列供应商或食材厂家相关证件材料：基础资质类材料（营业执照、食品生产/经营许可证）、产品合规性证明（检测报告、检疫合格证、检验合格证）、供应链与人员类证件（员工身份证、健康证明、冷链物流资质、溯源二维码或批次号）等证件材料，以满足市场监督部门管理要求及学校食品安全要求；投标人必须无条件执行有关部门发布的和本项目有关的所有政策文件规定。 </w:t>
      </w:r>
    </w:p>
    <w:p w14:paraId="09DA5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2、投标人直接接触食材的员工需提供健康证，防止传染病污染。</w:t>
      </w:r>
    </w:p>
    <w:p w14:paraId="160CA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货物运输必须采用封闭的、有低温保鲜设备并符合国家卫生、动物防疫条件的运载工具。运输片牛、羊肉的，还应当设置吊挂设施。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14:paraId="0017E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提供商品须均为正规生产的新鲜（冷冻食品除外）、检验合格、无毒无辐射商品，必须遵守《中华人民共和国农产品质量安全法》、《中华人民共和国食品安全法》、等相关法律法规，所供食材必须符合食品安全最新标准，并且从加工、包装、运输、贮存到销售应全部符合国家规定最新标准。不得有掺假、变质、变味、过期等现象出现，严禁伪劣、假冒、无证不合格产品进入。</w:t>
      </w:r>
    </w:p>
    <w:p w14:paraId="3C600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 </w:t>
      </w:r>
    </w:p>
    <w:p w14:paraId="65FD46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6、除不可抗力以外，投标人应根据采购人提供的需求清单，于规定的时间内将订单内所有商品配送至指定地点（有特殊约定的按照约定时间配送）并卸至采购人指定位置，寒暑假除外。 </w:t>
      </w:r>
    </w:p>
    <w:p w14:paraId="2D9A1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7、采购人发现商品出现损坏或出现水渍、串味、受潮等导致商品性质改变的，投标人必须无条件退货或更换商品。 </w:t>
      </w:r>
    </w:p>
    <w:p w14:paraId="4D6F1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8、投标人提供假冒伪劣、过期、变质的、有毒食品的，一经发现，除按采购人要求无条件退货或换货外，还须承担相应民事及刑事法律责任。</w:t>
      </w:r>
    </w:p>
    <w:p w14:paraId="09D78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9、需求中所述国家、行业等有关标准，如有最新文件按新文件执行。</w:t>
      </w:r>
    </w:p>
    <w:p w14:paraId="2F9F0C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10、本项目采购需求中按公斤/个计价的食材采用散装方式配送，其余食材须采用预包装方式配送；食用农产品除外。</w:t>
      </w:r>
    </w:p>
    <w:p w14:paraId="46168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招标文件中所述食材规格为最小值（实质性要求），投标人所报食材可优于该规格；该情形属于正偏离，不影响投标人投标资格。反之，若投标人所报食材规格低于该规格则属于负偏离，将无法通过符合性审查。</w:t>
      </w:r>
    </w:p>
    <w:p w14:paraId="1FD19A8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七、其它要求 </w:t>
      </w:r>
    </w:p>
    <w:p w14:paraId="68CB21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能力:①投标人需有足够的空间和适宜的环境来储存和保护食材；②投标人应为本项目提供的具有冷藏或保温功能的配送车辆，以保证食材在运输过程中的新鲜度和安全性；③投标人需为本项目配备专业的配送团队，确保食材按时送达，及体现配送服务的专业性和高效性。</w:t>
      </w:r>
    </w:p>
    <w:p w14:paraId="29582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服务方案，包含但不限于：①配送服务组织结构及配送人员管理制度，明确组织架构和人员职责，确保配送流程的顺畅和高效；②货源保障方案，确保食材供应的稳定性和及时性；③食材出入库管理制度，规范食材的存储和管理流程，防止食材的损耗和浪费；④食材溯源保障措施，建立完善的食材追溯体系，确保食材来源的可追溯性和安全性。</w:t>
      </w:r>
    </w:p>
    <w:p w14:paraId="42982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材安全及管理方案，包含但不限于：①食材采购及贮存管理制度，确保采购的食材符合安全标准，并在贮存过程中保持食材的质量；②食材安全（质量）查验制度，定期对食材进行安全检查，确保食材的安全性；③食材留样措施，对食材进行留样，以便在发生食品安全问题时能够追溯和处理；④食材安全配送制度，确保食材在配送过程中的安全，防止食材受到污染。</w:t>
      </w:r>
    </w:p>
    <w:p w14:paraId="10AFFF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应急预案，包含但不限于：①食品安全事故应急措施，制定食品安全事故的应对流程和措施，以减少食品安全事故的影响；②自然灾害应急措施，针对可能发生的自然灾害制定相应的应对措施，以保障食材的安全；③运输安全应急措施，确保食材在运输过程中的安全，防止交通事故的发生；④疾病防控应急措施，制定疾病防控措施，防止疾病在食材供应链中的传播。</w:t>
      </w:r>
    </w:p>
    <w:p w14:paraId="2D5C3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后续服务方案，包含但不限于：①后续服务体系，建立完善的售后服务体系，以满足客户的需求和解决客户的问题；②客户回访措施，定期对客户进行回访，了解客户的需求和反馈，以提升服务质量；③不合格食品退换货及销毁措施，制定不合格食品的退换货和销毁流程，确保不合格食品不会流入市场，保障消费者的权益。</w:t>
      </w:r>
    </w:p>
    <w:p w14:paraId="42C7EF2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74" w:name="_Toc13809"/>
      <w:r>
        <w:rPr>
          <w:rFonts w:hint="eastAsia" w:ascii="仿宋" w:hAnsi="仿宋" w:eastAsia="仿宋" w:cs="仿宋"/>
          <w:b/>
          <w:color w:val="auto"/>
          <w:sz w:val="24"/>
          <w:szCs w:val="24"/>
          <w:highlight w:val="none"/>
        </w:rPr>
        <w:t>第五章 投标文件格式</w:t>
      </w:r>
      <w:bookmarkEnd w:id="72"/>
      <w:bookmarkEnd w:id="74"/>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8"/>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项目名称</w:t>
      </w:r>
      <w:r>
        <w:rPr>
          <w:rFonts w:hint="eastAsia" w:ascii="仿宋" w:hAnsi="仿宋" w:eastAsia="仿宋" w:cs="仿宋"/>
          <w:b/>
          <w:bCs/>
          <w:color w:val="auto"/>
          <w:sz w:val="24"/>
          <w:szCs w:val="24"/>
          <w:highlight w:val="none"/>
          <w:u w:val="single"/>
        </w:rPr>
        <w:t>）</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项目编号</w:t>
      </w:r>
      <w:r>
        <w:rPr>
          <w:rFonts w:hint="eastAsia" w:ascii="仿宋" w:hAnsi="仿宋" w:eastAsia="仿宋" w:cs="仿宋"/>
          <w:b/>
          <w:bCs/>
          <w:color w:val="auto"/>
          <w:sz w:val="24"/>
          <w:szCs w:val="24"/>
          <w:highlight w:val="none"/>
          <w:u w:val="single"/>
        </w:rPr>
        <w:t>）</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 录</w:t>
      </w:r>
      <w:bookmarkEnd w:id="75"/>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266195C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十、项目负责人简历表</w:t>
      </w:r>
    </w:p>
    <w:p w14:paraId="0A8775A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十一、拟派主要服务人员情况表</w:t>
      </w:r>
    </w:p>
    <w:p w14:paraId="7769A88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十二、服务方案</w:t>
      </w:r>
    </w:p>
    <w:p w14:paraId="345D7C0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十三、保证金缴纳证明材料</w:t>
      </w:r>
    </w:p>
    <w:p w14:paraId="1CA196E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十四、</w:t>
      </w:r>
      <w:r>
        <w:rPr>
          <w:rFonts w:hint="eastAsia" w:ascii="仿宋" w:hAnsi="仿宋" w:eastAsia="仿宋" w:cs="仿宋"/>
          <w:color w:val="auto"/>
          <w:kern w:val="0"/>
          <w:sz w:val="24"/>
          <w:szCs w:val="24"/>
          <w:highlight w:val="none"/>
        </w:rPr>
        <w:t>其它需要提交的资料</w:t>
      </w: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6" w:name="_Toc1962"/>
      <w:bookmarkStart w:id="77" w:name="_Toc6644"/>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开标一览表</w:t>
      </w:r>
      <w:bookmarkEnd w:id="76"/>
      <w:bookmarkEnd w:id="77"/>
    </w:p>
    <w:p w14:paraId="3AEE6744">
      <w:pPr>
        <w:rPr>
          <w:rFonts w:hint="eastAsia" w:ascii="仿宋" w:hAnsi="仿宋" w:eastAsia="仿宋" w:cs="仿宋"/>
          <w:color w:val="auto"/>
          <w:highlight w:val="none"/>
        </w:rPr>
      </w:pPr>
    </w:p>
    <w:p w14:paraId="3772166F">
      <w:pPr>
        <w:rPr>
          <w:rFonts w:hint="eastAsia" w:ascii="仿宋" w:hAnsi="仿宋" w:eastAsia="仿宋" w:cs="仿宋"/>
          <w:color w:val="auto"/>
          <w:highlight w:val="none"/>
        </w:rPr>
      </w:pPr>
    </w:p>
    <w:tbl>
      <w:tblPr>
        <w:tblStyle w:val="40"/>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投标价格</w:t>
            </w:r>
          </w:p>
        </w:tc>
        <w:tc>
          <w:tcPr>
            <w:tcW w:w="3499" w:type="pct"/>
            <w:tcBorders>
              <w:left w:val="single" w:color="auto" w:sz="4" w:space="0"/>
            </w:tcBorders>
            <w:shd w:val="clear" w:color="auto" w:fill="auto"/>
            <w:vAlign w:val="center"/>
          </w:tcPr>
          <w:p w14:paraId="6C9BC66A">
            <w:pPr>
              <w:pStyle w:val="39"/>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bCs/>
                <w:color w:val="auto"/>
                <w:sz w:val="24"/>
                <w:szCs w:val="24"/>
                <w:highlight w:val="none"/>
                <w:lang w:val="en-US" w:eastAsia="zh-CN"/>
              </w:rPr>
              <w:t>详见投标价格明细表</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2025年8月1日至2026年7月31日。</w:t>
            </w:r>
          </w:p>
        </w:tc>
      </w:tr>
      <w:tr w14:paraId="1A95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642EAEC">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i w:val="0"/>
                <w:iCs w:val="0"/>
                <w:color w:val="auto"/>
                <w:sz w:val="24"/>
                <w:szCs w:val="24"/>
                <w:highlight w:val="none"/>
                <w:lang w:val="en-US" w:eastAsia="zh-CN"/>
              </w:rPr>
              <w:t>保质期（有效期）</w:t>
            </w:r>
          </w:p>
        </w:tc>
        <w:tc>
          <w:tcPr>
            <w:tcW w:w="3499" w:type="pct"/>
            <w:tcBorders>
              <w:left w:val="single" w:color="auto" w:sz="4" w:space="0"/>
            </w:tcBorders>
            <w:shd w:val="clear" w:color="auto" w:fill="auto"/>
            <w:vAlign w:val="center"/>
          </w:tcPr>
          <w:p w14:paraId="50A6FFE3">
            <w:pPr>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冷藏情况下不少于30日历日</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自投标截止之日</w:t>
            </w:r>
            <w:r>
              <w:rPr>
                <w:rFonts w:hint="eastAsia" w:ascii="仿宋" w:hAnsi="仿宋" w:eastAsia="仿宋" w:cs="仿宋"/>
                <w:bCs/>
                <w:color w:val="auto"/>
                <w:kern w:val="2"/>
                <w:sz w:val="24"/>
                <w:szCs w:val="24"/>
                <w:highlight w:val="none"/>
                <w:u w:val="single"/>
                <w:lang w:val="en-US" w:eastAsia="zh-CN" w:bidi="ar-SA"/>
              </w:rPr>
              <w:t xml:space="preserve"> 90 </w:t>
            </w:r>
            <w:r>
              <w:rPr>
                <w:rFonts w:hint="eastAsia" w:ascii="仿宋" w:hAnsi="仿宋" w:eastAsia="仿宋" w:cs="仿宋"/>
                <w:bCs/>
                <w:color w:val="auto"/>
                <w:kern w:val="2"/>
                <w:sz w:val="24"/>
                <w:szCs w:val="24"/>
                <w:highlight w:val="none"/>
                <w:lang w:val="en-US" w:eastAsia="zh-CN" w:bidi="ar-SA"/>
              </w:rPr>
              <w:t>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kern w:val="2"/>
                <w:sz w:val="24"/>
                <w:szCs w:val="24"/>
                <w:highlight w:val="none"/>
                <w:lang w:val="en-US" w:eastAsia="zh-CN" w:bidi="ar-SA"/>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9"/>
        <w:rPr>
          <w:rFonts w:hint="eastAsia" w:ascii="仿宋" w:hAnsi="仿宋" w:eastAsia="仿宋" w:cs="仿宋"/>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78" w:name="_Toc13707"/>
      <w:bookmarkStart w:id="79" w:name="_Toc28881"/>
      <w:r>
        <w:rPr>
          <w:rFonts w:hint="eastAsia" w:ascii="仿宋" w:hAnsi="仿宋" w:eastAsia="仿宋" w:cs="仿宋"/>
          <w:b/>
          <w:color w:val="auto"/>
          <w:sz w:val="24"/>
          <w:szCs w:val="24"/>
          <w:highlight w:val="none"/>
        </w:rPr>
        <w:t>二、投标函</w:t>
      </w:r>
      <w:bookmarkEnd w:id="78"/>
      <w:bookmarkEnd w:id="79"/>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386B0EF">
      <w:pPr>
        <w:tabs>
          <w:tab w:val="center" w:pos="4832"/>
          <w:tab w:val="left" w:pos="7140"/>
        </w:tabs>
        <w:jc w:val="center"/>
        <w:outlineLvl w:val="1"/>
        <w:rPr>
          <w:rFonts w:hint="eastAsia" w:ascii="仿宋" w:hAnsi="仿宋" w:eastAsia="仿宋" w:cs="仿宋"/>
          <w:color w:val="auto"/>
          <w:sz w:val="24"/>
          <w:szCs w:val="24"/>
          <w:highlight w:val="none"/>
          <w:lang w:eastAsia="zh-CN"/>
        </w:rPr>
      </w:pPr>
      <w:bookmarkStart w:id="80" w:name="_Toc130252615"/>
      <w:bookmarkStart w:id="81" w:name="_Toc28562"/>
      <w:bookmarkStart w:id="82" w:name="_Toc109941765"/>
      <w:bookmarkStart w:id="83" w:name="_Toc110707965"/>
      <w:bookmarkStart w:id="84" w:name="_Toc109921158"/>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、投标价格明细表</w:t>
      </w:r>
      <w:bookmarkEnd w:id="80"/>
      <w:bookmarkEnd w:id="81"/>
      <w:bookmarkEnd w:id="82"/>
      <w:bookmarkEnd w:id="83"/>
      <w:bookmarkEnd w:id="84"/>
    </w:p>
    <w:tbl>
      <w:tblPr>
        <w:tblStyle w:val="40"/>
        <w:tblW w:w="8973"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04"/>
        <w:gridCol w:w="791"/>
        <w:gridCol w:w="710"/>
        <w:gridCol w:w="859"/>
        <w:gridCol w:w="1186"/>
        <w:gridCol w:w="2605"/>
        <w:gridCol w:w="913"/>
      </w:tblGrid>
      <w:tr w14:paraId="4DA1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73" w:type="dxa"/>
            <w:gridSpan w:val="8"/>
            <w:noWrap w:val="0"/>
            <w:vAlign w:val="center"/>
          </w:tcPr>
          <w:p w14:paraId="0F6C02D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1"/>
                <w:szCs w:val="21"/>
                <w:highlight w:val="none"/>
                <w:u w:val="none"/>
                <w:lang w:val="en-US" w:eastAsia="zh-CN" w:bidi="ar"/>
              </w:rPr>
              <w:t>单价报价部分</w:t>
            </w:r>
          </w:p>
        </w:tc>
      </w:tr>
      <w:tr w14:paraId="39E8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shd w:val="clear" w:color="auto" w:fill="auto"/>
            <w:noWrap w:val="0"/>
            <w:vAlign w:val="center"/>
          </w:tcPr>
          <w:p w14:paraId="3695B6F6">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04" w:type="dxa"/>
            <w:shd w:val="clear" w:color="auto" w:fill="auto"/>
            <w:noWrap w:val="0"/>
            <w:vAlign w:val="center"/>
          </w:tcPr>
          <w:p w14:paraId="6F48F9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791" w:type="dxa"/>
            <w:shd w:val="clear" w:color="auto" w:fill="auto"/>
            <w:noWrap w:val="0"/>
            <w:vAlign w:val="center"/>
          </w:tcPr>
          <w:p w14:paraId="15B46436">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710" w:type="dxa"/>
            <w:shd w:val="clear" w:color="auto" w:fill="auto"/>
            <w:noWrap w:val="0"/>
            <w:vAlign w:val="center"/>
          </w:tcPr>
          <w:p w14:paraId="41F0F3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859" w:type="dxa"/>
            <w:shd w:val="clear" w:color="auto" w:fill="auto"/>
            <w:noWrap w:val="0"/>
            <w:vAlign w:val="center"/>
          </w:tcPr>
          <w:p w14:paraId="7E06A5D8">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1186" w:type="dxa"/>
            <w:shd w:val="clear" w:color="auto" w:fill="auto"/>
            <w:noWrap w:val="0"/>
            <w:vAlign w:val="center"/>
          </w:tcPr>
          <w:p w14:paraId="0605E7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2605" w:type="dxa"/>
            <w:shd w:val="clear" w:color="auto" w:fill="auto"/>
            <w:noWrap w:val="0"/>
            <w:vAlign w:val="center"/>
          </w:tcPr>
          <w:p w14:paraId="483766B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单价（元）</w:t>
            </w:r>
          </w:p>
        </w:tc>
        <w:tc>
          <w:tcPr>
            <w:tcW w:w="913" w:type="dxa"/>
            <w:shd w:val="clear" w:color="auto" w:fill="auto"/>
            <w:noWrap w:val="0"/>
            <w:vAlign w:val="center"/>
          </w:tcPr>
          <w:p w14:paraId="77BAABB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备注</w:t>
            </w:r>
          </w:p>
        </w:tc>
      </w:tr>
      <w:tr w14:paraId="60F2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14:paraId="1B562E78">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204" w:type="dxa"/>
            <w:noWrap w:val="0"/>
            <w:vAlign w:val="center"/>
          </w:tcPr>
          <w:p w14:paraId="065FFD77">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咸鸭蛋</w:t>
            </w:r>
          </w:p>
        </w:tc>
        <w:tc>
          <w:tcPr>
            <w:tcW w:w="791" w:type="dxa"/>
            <w:noWrap w:val="0"/>
            <w:vAlign w:val="center"/>
          </w:tcPr>
          <w:p w14:paraId="6EA083E7">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70g</w:t>
            </w:r>
          </w:p>
        </w:tc>
        <w:tc>
          <w:tcPr>
            <w:tcW w:w="710" w:type="dxa"/>
            <w:noWrap w:val="0"/>
            <w:vAlign w:val="center"/>
          </w:tcPr>
          <w:p w14:paraId="0CA8F91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59" w:type="dxa"/>
            <w:noWrap w:val="0"/>
            <w:vAlign w:val="center"/>
          </w:tcPr>
          <w:p w14:paraId="1BB70837">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86" w:type="dxa"/>
            <w:noWrap w:val="0"/>
            <w:vAlign w:val="center"/>
          </w:tcPr>
          <w:p w14:paraId="46829A35">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 </w:t>
            </w:r>
          </w:p>
        </w:tc>
        <w:tc>
          <w:tcPr>
            <w:tcW w:w="2605" w:type="dxa"/>
            <w:noWrap w:val="0"/>
            <w:vAlign w:val="center"/>
          </w:tcPr>
          <w:p w14:paraId="1E3ED4F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13" w:type="dxa"/>
            <w:noWrap w:val="0"/>
            <w:vAlign w:val="center"/>
          </w:tcPr>
          <w:p w14:paraId="05F94B0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D98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14:paraId="09FAA9B7">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04" w:type="dxa"/>
            <w:noWrap w:val="0"/>
            <w:vAlign w:val="center"/>
          </w:tcPr>
          <w:p w14:paraId="231D858A">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松花蛋</w:t>
            </w:r>
          </w:p>
        </w:tc>
        <w:tc>
          <w:tcPr>
            <w:tcW w:w="791" w:type="dxa"/>
            <w:noWrap w:val="0"/>
            <w:vAlign w:val="center"/>
          </w:tcPr>
          <w:p w14:paraId="1340BC9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70g</w:t>
            </w:r>
          </w:p>
        </w:tc>
        <w:tc>
          <w:tcPr>
            <w:tcW w:w="710" w:type="dxa"/>
            <w:noWrap w:val="0"/>
            <w:vAlign w:val="center"/>
          </w:tcPr>
          <w:p w14:paraId="19DBEC53">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59" w:type="dxa"/>
            <w:noWrap w:val="0"/>
            <w:vAlign w:val="center"/>
          </w:tcPr>
          <w:p w14:paraId="215235FC">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86" w:type="dxa"/>
            <w:noWrap w:val="0"/>
            <w:vAlign w:val="center"/>
          </w:tcPr>
          <w:p w14:paraId="0CBE2CB4">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 </w:t>
            </w:r>
          </w:p>
        </w:tc>
        <w:tc>
          <w:tcPr>
            <w:tcW w:w="2605" w:type="dxa"/>
            <w:noWrap w:val="0"/>
            <w:vAlign w:val="center"/>
          </w:tcPr>
          <w:p w14:paraId="0F0531F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13" w:type="dxa"/>
            <w:noWrap w:val="0"/>
            <w:vAlign w:val="center"/>
          </w:tcPr>
          <w:p w14:paraId="0D7A36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D61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14:paraId="6F2E4142">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04" w:type="dxa"/>
            <w:noWrap w:val="0"/>
            <w:vAlign w:val="center"/>
          </w:tcPr>
          <w:p w14:paraId="09AC9C43">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五香蛋</w:t>
            </w:r>
          </w:p>
        </w:tc>
        <w:tc>
          <w:tcPr>
            <w:tcW w:w="791" w:type="dxa"/>
            <w:noWrap w:val="0"/>
            <w:vAlign w:val="center"/>
          </w:tcPr>
          <w:p w14:paraId="5474C9DF">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30g</w:t>
            </w:r>
          </w:p>
        </w:tc>
        <w:tc>
          <w:tcPr>
            <w:tcW w:w="710" w:type="dxa"/>
            <w:noWrap w:val="0"/>
            <w:vAlign w:val="center"/>
          </w:tcPr>
          <w:p w14:paraId="5AE2FD69">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59" w:type="dxa"/>
            <w:noWrap w:val="0"/>
            <w:vAlign w:val="center"/>
          </w:tcPr>
          <w:p w14:paraId="44D850B1">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86" w:type="dxa"/>
            <w:noWrap w:val="0"/>
            <w:vAlign w:val="center"/>
          </w:tcPr>
          <w:p w14:paraId="786ABFA1">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 </w:t>
            </w:r>
          </w:p>
        </w:tc>
        <w:tc>
          <w:tcPr>
            <w:tcW w:w="2605" w:type="dxa"/>
            <w:noWrap w:val="0"/>
            <w:vAlign w:val="center"/>
          </w:tcPr>
          <w:p w14:paraId="678E0D5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13" w:type="dxa"/>
            <w:noWrap w:val="0"/>
            <w:vAlign w:val="center"/>
          </w:tcPr>
          <w:p w14:paraId="20DE2FC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6E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269" w:type="dxa"/>
            <w:gridSpan w:val="5"/>
            <w:shd w:val="clear" w:color="auto" w:fill="auto"/>
            <w:noWrap w:val="0"/>
            <w:vAlign w:val="center"/>
          </w:tcPr>
          <w:p w14:paraId="604F180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单价合计</w:t>
            </w:r>
          </w:p>
        </w:tc>
        <w:tc>
          <w:tcPr>
            <w:tcW w:w="1186" w:type="dxa"/>
            <w:shd w:val="clear" w:color="auto" w:fill="auto"/>
            <w:noWrap w:val="0"/>
            <w:vAlign w:val="center"/>
          </w:tcPr>
          <w:p w14:paraId="5CE19E5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5.1</w:t>
            </w:r>
          </w:p>
        </w:tc>
        <w:tc>
          <w:tcPr>
            <w:tcW w:w="2605" w:type="dxa"/>
            <w:noWrap w:val="0"/>
            <w:vAlign w:val="center"/>
          </w:tcPr>
          <w:p w14:paraId="25AA19B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13" w:type="dxa"/>
            <w:noWrap w:val="0"/>
            <w:vAlign w:val="center"/>
          </w:tcPr>
          <w:p w14:paraId="513CD5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BF3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73" w:type="dxa"/>
            <w:gridSpan w:val="8"/>
            <w:shd w:val="clear" w:color="auto" w:fill="auto"/>
            <w:noWrap w:val="0"/>
            <w:vAlign w:val="center"/>
          </w:tcPr>
          <w:p w14:paraId="082EF7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费率</w:t>
            </w:r>
            <w:r>
              <w:rPr>
                <w:rFonts w:hint="eastAsia" w:ascii="仿宋" w:hAnsi="仿宋" w:eastAsia="仿宋" w:cs="仿宋"/>
                <w:i w:val="0"/>
                <w:iCs w:val="0"/>
                <w:color w:val="auto"/>
                <w:kern w:val="0"/>
                <w:sz w:val="21"/>
                <w:szCs w:val="21"/>
                <w:highlight w:val="none"/>
                <w:u w:val="none"/>
                <w:lang w:val="en-US" w:eastAsia="zh-CN" w:bidi="ar"/>
              </w:rPr>
              <w:t>报价部分</w:t>
            </w:r>
          </w:p>
        </w:tc>
      </w:tr>
      <w:tr w14:paraId="670A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shd w:val="clear" w:color="auto" w:fill="auto"/>
            <w:noWrap w:val="0"/>
            <w:vAlign w:val="center"/>
          </w:tcPr>
          <w:p w14:paraId="5309E5DA">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04" w:type="dxa"/>
            <w:shd w:val="clear" w:color="auto" w:fill="auto"/>
            <w:noWrap w:val="0"/>
            <w:vAlign w:val="center"/>
          </w:tcPr>
          <w:p w14:paraId="28E9EE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791" w:type="dxa"/>
            <w:shd w:val="clear" w:color="auto" w:fill="auto"/>
            <w:noWrap w:val="0"/>
            <w:vAlign w:val="center"/>
          </w:tcPr>
          <w:p w14:paraId="37D25F43">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710" w:type="dxa"/>
            <w:shd w:val="clear" w:color="auto" w:fill="auto"/>
            <w:noWrap w:val="0"/>
            <w:vAlign w:val="center"/>
          </w:tcPr>
          <w:p w14:paraId="1DD2977C">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859" w:type="dxa"/>
            <w:shd w:val="clear" w:color="auto" w:fill="auto"/>
            <w:noWrap w:val="0"/>
            <w:vAlign w:val="center"/>
          </w:tcPr>
          <w:p w14:paraId="2BD58BCA">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1186" w:type="dxa"/>
            <w:shd w:val="clear" w:color="auto" w:fill="auto"/>
            <w:noWrap w:val="0"/>
            <w:vAlign w:val="center"/>
          </w:tcPr>
          <w:p w14:paraId="152EAB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w:t>
            </w:r>
          </w:p>
        </w:tc>
        <w:tc>
          <w:tcPr>
            <w:tcW w:w="2605" w:type="dxa"/>
            <w:shd w:val="clear" w:color="auto" w:fill="auto"/>
            <w:noWrap w:val="0"/>
            <w:vAlign w:val="center"/>
          </w:tcPr>
          <w:p w14:paraId="6782D87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单价</w:t>
            </w:r>
          </w:p>
        </w:tc>
        <w:tc>
          <w:tcPr>
            <w:tcW w:w="913" w:type="dxa"/>
            <w:shd w:val="clear" w:color="auto" w:fill="auto"/>
            <w:noWrap w:val="0"/>
            <w:vAlign w:val="center"/>
          </w:tcPr>
          <w:p w14:paraId="57C7002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备注</w:t>
            </w:r>
          </w:p>
        </w:tc>
      </w:tr>
      <w:tr w14:paraId="4D27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14:paraId="66D99DD1">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04" w:type="dxa"/>
            <w:noWrap w:val="0"/>
            <w:vAlign w:val="center"/>
          </w:tcPr>
          <w:p w14:paraId="2BC8F85B">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鸡蛋</w:t>
            </w:r>
          </w:p>
        </w:tc>
        <w:tc>
          <w:tcPr>
            <w:tcW w:w="791" w:type="dxa"/>
            <w:noWrap w:val="0"/>
            <w:vAlign w:val="center"/>
          </w:tcPr>
          <w:p w14:paraId="0C5FE56B">
            <w:pPr>
              <w:spacing w:line="360" w:lineRule="auto"/>
              <w:jc w:val="center"/>
              <w:rPr>
                <w:rFonts w:hint="eastAsia" w:ascii="仿宋" w:hAnsi="仿宋" w:eastAsia="仿宋" w:cs="仿宋"/>
                <w:i w:val="0"/>
                <w:iCs w:val="0"/>
                <w:color w:val="auto"/>
                <w:sz w:val="22"/>
                <w:szCs w:val="22"/>
                <w:highlight w:val="none"/>
                <w:u w:val="none"/>
              </w:rPr>
            </w:pPr>
          </w:p>
        </w:tc>
        <w:tc>
          <w:tcPr>
            <w:tcW w:w="710" w:type="dxa"/>
            <w:noWrap w:val="0"/>
            <w:vAlign w:val="center"/>
          </w:tcPr>
          <w:p w14:paraId="0FD03260">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59" w:type="dxa"/>
            <w:noWrap w:val="0"/>
            <w:vAlign w:val="center"/>
          </w:tcPr>
          <w:p w14:paraId="65FEC21D">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费率</w:t>
            </w:r>
          </w:p>
        </w:tc>
        <w:tc>
          <w:tcPr>
            <w:tcW w:w="1186" w:type="dxa"/>
            <w:vMerge w:val="restart"/>
            <w:noWrap w:val="0"/>
            <w:vAlign w:val="center"/>
          </w:tcPr>
          <w:p w14:paraId="3BCCCE77">
            <w:pPr>
              <w:spacing w:line="360" w:lineRule="auto"/>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100%</w:t>
            </w:r>
          </w:p>
        </w:tc>
        <w:tc>
          <w:tcPr>
            <w:tcW w:w="2605" w:type="dxa"/>
            <w:vMerge w:val="restart"/>
            <w:noWrap w:val="0"/>
            <w:vAlign w:val="center"/>
          </w:tcPr>
          <w:p w14:paraId="2A8FF4C3">
            <w:pPr>
              <w:spacing w:line="36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sz w:val="21"/>
                <w:szCs w:val="21"/>
                <w:highlight w:val="none"/>
                <w:u w:val="single"/>
                <w:lang w:val="en-US" w:eastAsia="zh-CN"/>
              </w:rPr>
              <w:t xml:space="preserve">    </w:t>
            </w:r>
            <w:r>
              <w:rPr>
                <w:rFonts w:hint="eastAsia" w:ascii="仿宋" w:hAnsi="仿宋" w:eastAsia="仿宋" w:cs="仿宋"/>
                <w:i w:val="0"/>
                <w:iCs w:val="0"/>
                <w:color w:val="auto"/>
                <w:sz w:val="21"/>
                <w:szCs w:val="21"/>
                <w:highlight w:val="none"/>
                <w:u w:val="none"/>
                <w:lang w:val="en-US" w:eastAsia="zh-CN"/>
              </w:rPr>
              <w:t>%</w:t>
            </w:r>
          </w:p>
        </w:tc>
        <w:tc>
          <w:tcPr>
            <w:tcW w:w="913" w:type="dxa"/>
            <w:noWrap w:val="0"/>
            <w:vAlign w:val="center"/>
          </w:tcPr>
          <w:p w14:paraId="6473DCF8">
            <w:pPr>
              <w:spacing w:line="360" w:lineRule="auto"/>
              <w:jc w:val="center"/>
              <w:rPr>
                <w:rFonts w:hint="eastAsia" w:ascii="仿宋" w:hAnsi="仿宋" w:eastAsia="仿宋" w:cs="仿宋"/>
                <w:i w:val="0"/>
                <w:iCs w:val="0"/>
                <w:color w:val="auto"/>
                <w:sz w:val="22"/>
                <w:szCs w:val="22"/>
                <w:highlight w:val="none"/>
                <w:u w:val="none"/>
              </w:rPr>
            </w:pPr>
          </w:p>
        </w:tc>
      </w:tr>
      <w:tr w14:paraId="1648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noWrap w:val="0"/>
            <w:vAlign w:val="center"/>
          </w:tcPr>
          <w:p w14:paraId="2606C867">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04" w:type="dxa"/>
            <w:noWrap w:val="0"/>
            <w:vAlign w:val="center"/>
          </w:tcPr>
          <w:p w14:paraId="4D161B7A">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鹌鹑蛋</w:t>
            </w:r>
          </w:p>
        </w:tc>
        <w:tc>
          <w:tcPr>
            <w:tcW w:w="791" w:type="dxa"/>
            <w:noWrap w:val="0"/>
            <w:vAlign w:val="center"/>
          </w:tcPr>
          <w:p w14:paraId="504BD4B4">
            <w:pPr>
              <w:spacing w:line="360" w:lineRule="auto"/>
              <w:jc w:val="center"/>
              <w:rPr>
                <w:rFonts w:hint="eastAsia" w:ascii="仿宋" w:hAnsi="仿宋" w:eastAsia="仿宋" w:cs="仿宋"/>
                <w:i w:val="0"/>
                <w:iCs w:val="0"/>
                <w:color w:val="auto"/>
                <w:sz w:val="22"/>
                <w:szCs w:val="22"/>
                <w:highlight w:val="none"/>
                <w:u w:val="none"/>
              </w:rPr>
            </w:pPr>
          </w:p>
        </w:tc>
        <w:tc>
          <w:tcPr>
            <w:tcW w:w="710" w:type="dxa"/>
            <w:noWrap w:val="0"/>
            <w:vAlign w:val="center"/>
          </w:tcPr>
          <w:p w14:paraId="278ABEFF">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59" w:type="dxa"/>
            <w:noWrap w:val="0"/>
            <w:vAlign w:val="center"/>
          </w:tcPr>
          <w:p w14:paraId="3A1EACE0">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费率</w:t>
            </w:r>
          </w:p>
        </w:tc>
        <w:tc>
          <w:tcPr>
            <w:tcW w:w="1186" w:type="dxa"/>
            <w:vMerge w:val="continue"/>
            <w:noWrap w:val="0"/>
            <w:vAlign w:val="center"/>
          </w:tcPr>
          <w:p w14:paraId="6FFD9B58">
            <w:pPr>
              <w:spacing w:line="360" w:lineRule="auto"/>
              <w:jc w:val="center"/>
              <w:rPr>
                <w:rFonts w:hint="eastAsia" w:ascii="仿宋" w:hAnsi="仿宋" w:eastAsia="仿宋" w:cs="仿宋"/>
                <w:i w:val="0"/>
                <w:iCs w:val="0"/>
                <w:color w:val="auto"/>
                <w:sz w:val="22"/>
                <w:szCs w:val="22"/>
                <w:highlight w:val="none"/>
                <w:u w:val="none"/>
              </w:rPr>
            </w:pPr>
          </w:p>
        </w:tc>
        <w:tc>
          <w:tcPr>
            <w:tcW w:w="2605" w:type="dxa"/>
            <w:vMerge w:val="continue"/>
            <w:noWrap w:val="0"/>
            <w:vAlign w:val="center"/>
          </w:tcPr>
          <w:p w14:paraId="0804481B">
            <w:pPr>
              <w:spacing w:line="360" w:lineRule="auto"/>
              <w:jc w:val="center"/>
              <w:rPr>
                <w:rFonts w:hint="eastAsia" w:ascii="仿宋" w:hAnsi="仿宋" w:eastAsia="仿宋" w:cs="仿宋"/>
                <w:i w:val="0"/>
                <w:iCs w:val="0"/>
                <w:color w:val="auto"/>
                <w:sz w:val="22"/>
                <w:szCs w:val="22"/>
                <w:highlight w:val="none"/>
                <w:u w:val="none"/>
              </w:rPr>
            </w:pPr>
          </w:p>
        </w:tc>
        <w:tc>
          <w:tcPr>
            <w:tcW w:w="913" w:type="dxa"/>
            <w:noWrap w:val="0"/>
            <w:vAlign w:val="center"/>
          </w:tcPr>
          <w:p w14:paraId="3B38F349">
            <w:pPr>
              <w:spacing w:line="360" w:lineRule="auto"/>
              <w:jc w:val="center"/>
              <w:rPr>
                <w:rFonts w:hint="eastAsia" w:ascii="仿宋" w:hAnsi="仿宋" w:eastAsia="仿宋" w:cs="仿宋"/>
                <w:i w:val="0"/>
                <w:iCs w:val="0"/>
                <w:color w:val="auto"/>
                <w:sz w:val="22"/>
                <w:szCs w:val="22"/>
                <w:highlight w:val="none"/>
                <w:u w:val="none"/>
              </w:rPr>
            </w:pPr>
          </w:p>
        </w:tc>
      </w:tr>
    </w:tbl>
    <w:p w14:paraId="0F352532">
      <w:pPr>
        <w:spacing w:line="360" w:lineRule="auto"/>
        <w:jc w:val="left"/>
        <w:rPr>
          <w:rFonts w:hint="eastAsia" w:ascii="仿宋" w:hAnsi="仿宋" w:eastAsia="仿宋" w:cs="仿宋"/>
          <w:color w:val="auto"/>
          <w:sz w:val="21"/>
          <w:szCs w:val="21"/>
          <w:highlight w:val="none"/>
        </w:rPr>
      </w:pPr>
    </w:p>
    <w:p w14:paraId="6A9825BA">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5B313A4">
      <w:pPr>
        <w:numPr>
          <w:ilvl w:val="0"/>
          <w:numId w:val="0"/>
        </w:num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szCs w:val="24"/>
          <w:highlight w:val="none"/>
          <w:lang w:val="en-US" w:eastAsia="zh-CN"/>
        </w:rPr>
        <w:t>本表中“规格、单价、备注”由投标人根据自身及所供食材情况填报。</w:t>
      </w:r>
    </w:p>
    <w:p w14:paraId="7C930C91">
      <w:pPr>
        <w:numPr>
          <w:ilvl w:val="0"/>
          <w:numId w:val="0"/>
        </w:num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25BCD7FC">
      <w:pPr>
        <w:spacing w:line="360" w:lineRule="auto"/>
        <w:ind w:firstLine="480" w:firstLineChars="200"/>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D0319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2A6EB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9"/>
        <w:rPr>
          <w:rFonts w:hint="eastAsia" w:ascii="仿宋" w:hAnsi="仿宋" w:eastAsia="仿宋" w:cs="仿宋"/>
          <w:color w:val="auto"/>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5" w:name="_Toc130252618"/>
      <w:bookmarkStart w:id="86" w:name="_Toc30686"/>
      <w:bookmarkStart w:id="87" w:name="_Toc109941768"/>
      <w:bookmarkStart w:id="88" w:name="_Toc17089"/>
      <w:bookmarkStart w:id="89" w:name="_Toc109921161"/>
      <w:bookmarkStart w:id="90" w:name="_Toc1312"/>
      <w:bookmarkStart w:id="91" w:name="_Toc110707968"/>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、商务条款偏离表</w:t>
      </w:r>
      <w:bookmarkEnd w:id="85"/>
      <w:bookmarkEnd w:id="86"/>
      <w:bookmarkEnd w:id="87"/>
      <w:bookmarkEnd w:id="88"/>
      <w:bookmarkEnd w:id="89"/>
      <w:bookmarkEnd w:id="90"/>
      <w:bookmarkEnd w:id="91"/>
    </w:p>
    <w:p w14:paraId="0162C82C">
      <w:pPr>
        <w:rPr>
          <w:rFonts w:hint="eastAsia" w:ascii="仿宋" w:hAnsi="仿宋" w:eastAsia="仿宋" w:cs="仿宋"/>
          <w:color w:val="auto"/>
          <w:highlight w:val="none"/>
        </w:rPr>
      </w:pPr>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92" w:name="_Toc109921160"/>
      <w:bookmarkStart w:id="93" w:name="_Toc130252617"/>
      <w:bookmarkStart w:id="94" w:name="_Toc27420"/>
      <w:bookmarkStart w:id="95" w:name="_Toc6958"/>
      <w:bookmarkStart w:id="96" w:name="_Toc110707967"/>
      <w:bookmarkStart w:id="97" w:name="_Toc109941767"/>
      <w:bookmarkStart w:id="98" w:name="_Toc3509"/>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、技术条款偏离表</w:t>
      </w:r>
      <w:bookmarkEnd w:id="92"/>
      <w:bookmarkEnd w:id="93"/>
      <w:bookmarkEnd w:id="94"/>
      <w:bookmarkEnd w:id="95"/>
      <w:bookmarkEnd w:id="96"/>
      <w:bookmarkEnd w:id="97"/>
      <w:bookmarkEnd w:id="98"/>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9" w:name="_Toc109941769"/>
      <w:bookmarkStart w:id="100" w:name="_Toc110707969"/>
      <w:bookmarkStart w:id="101" w:name="_Toc23590"/>
      <w:bookmarkStart w:id="102" w:name="_Toc5075"/>
      <w:bookmarkStart w:id="103" w:name="_Toc130252619"/>
      <w:bookmarkStart w:id="104" w:name="_Toc29249"/>
      <w:bookmarkStart w:id="105" w:name="_Toc109921162"/>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、法定代表人身份证明书</w:t>
      </w:r>
      <w:bookmarkEnd w:id="99"/>
      <w:bookmarkEnd w:id="100"/>
      <w:bookmarkEnd w:id="101"/>
      <w:bookmarkEnd w:id="102"/>
      <w:bookmarkEnd w:id="103"/>
      <w:bookmarkEnd w:id="104"/>
      <w:bookmarkEnd w:id="105"/>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40"/>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06" w:name="_Toc11381"/>
      <w:bookmarkStart w:id="107" w:name="_Toc130252620"/>
      <w:bookmarkStart w:id="108" w:name="_Toc29077"/>
      <w:bookmarkStart w:id="109" w:name="_Toc19364"/>
      <w:bookmarkStart w:id="110" w:name="_Toc109941770"/>
      <w:bookmarkStart w:id="111" w:name="_Toc110707970"/>
      <w:bookmarkStart w:id="112" w:name="_Toc10992116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、法定代表人授权委托书</w:t>
      </w:r>
      <w:bookmarkEnd w:id="106"/>
      <w:bookmarkEnd w:id="107"/>
      <w:bookmarkEnd w:id="108"/>
      <w:bookmarkEnd w:id="109"/>
      <w:bookmarkEnd w:id="110"/>
      <w:bookmarkEnd w:id="111"/>
      <w:bookmarkEnd w:id="112"/>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40"/>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40"/>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13" w:name="_Toc109941771"/>
      <w:bookmarkStart w:id="114" w:name="_Toc109921164"/>
      <w:bookmarkStart w:id="115" w:name="_Toc110707971"/>
      <w:bookmarkStart w:id="116" w:name="_Toc29422"/>
      <w:bookmarkStart w:id="117" w:name="_Toc25783"/>
      <w:bookmarkStart w:id="118" w:name="_Toc130252621"/>
      <w:bookmarkStart w:id="119"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20" w:name="_Toc27665"/>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w:t>
      </w:r>
      <w:bookmarkEnd w:id="113"/>
      <w:bookmarkEnd w:id="114"/>
      <w:bookmarkEnd w:id="115"/>
      <w:r>
        <w:rPr>
          <w:rFonts w:hint="eastAsia" w:ascii="仿宋" w:hAnsi="仿宋" w:eastAsia="仿宋" w:cs="仿宋"/>
          <w:b/>
          <w:bCs/>
          <w:color w:val="auto"/>
          <w:sz w:val="24"/>
          <w:szCs w:val="24"/>
          <w:highlight w:val="none"/>
        </w:rPr>
        <w:t>投标人资格条件证明材料</w:t>
      </w:r>
      <w:bookmarkEnd w:id="116"/>
      <w:bookmarkEnd w:id="117"/>
      <w:bookmarkEnd w:id="118"/>
      <w:bookmarkEnd w:id="120"/>
    </w:p>
    <w:p w14:paraId="733115E0">
      <w:pPr>
        <w:rPr>
          <w:rFonts w:hint="eastAsia" w:ascii="仿宋" w:hAnsi="仿宋" w:eastAsia="仿宋" w:cs="仿宋"/>
          <w:color w:val="auto"/>
          <w:highlight w:val="none"/>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21" w:name="_Toc24317"/>
      <w:bookmarkStart w:id="122" w:name="_Toc14695"/>
      <w:bookmarkStart w:id="123" w:name="_Toc30664"/>
      <w:bookmarkStart w:id="124" w:name="_Toc11980"/>
      <w:bookmarkStart w:id="125" w:name="_Toc19961"/>
      <w:bookmarkStart w:id="126" w:name="_Toc13140"/>
      <w:bookmarkStart w:id="127" w:name="_Toc29380"/>
      <w:bookmarkStart w:id="128" w:name="_Toc4679"/>
      <w:bookmarkStart w:id="129" w:name="_Toc113901850"/>
      <w:bookmarkStart w:id="130" w:name="_Toc141050516"/>
      <w:bookmarkStart w:id="131" w:name="_Toc31943"/>
      <w:bookmarkStart w:id="132" w:name="_Toc5144"/>
      <w:bookmarkStart w:id="133" w:name="_Toc23897"/>
      <w:bookmarkStart w:id="134" w:name="_Toc18158"/>
      <w:bookmarkStart w:id="135" w:name="_Toc643"/>
      <w:bookmarkStart w:id="136" w:name="_Toc7702"/>
      <w:bookmarkStart w:id="137" w:name="_Toc28034"/>
      <w:bookmarkStart w:id="138" w:name="_Toc128476879"/>
      <w:bookmarkStart w:id="139" w:name="_Toc13628"/>
      <w:bookmarkStart w:id="140" w:name="_Toc130252623"/>
      <w:r>
        <w:rPr>
          <w:rFonts w:hint="eastAsia" w:ascii="仿宋" w:hAnsi="仿宋" w:eastAsia="仿宋" w:cs="仿宋"/>
          <w:color w:val="auto"/>
          <w:sz w:val="24"/>
          <w:szCs w:val="24"/>
          <w:highlight w:val="none"/>
        </w:rPr>
        <w:br w:type="page"/>
      </w:r>
      <w:bookmarkStart w:id="141" w:name="_Toc31890"/>
      <w:bookmarkStart w:id="142" w:name="_Toc29907"/>
      <w:bookmarkStart w:id="143" w:name="_Toc5906"/>
      <w:bookmarkStart w:id="144" w:name="_Toc130252622"/>
      <w:bookmarkStart w:id="145" w:name="_Toc7329"/>
      <w:bookmarkStart w:id="146" w:name="_Toc5302"/>
      <w:bookmarkStart w:id="147" w:name="_Toc7909"/>
      <w:bookmarkStart w:id="148" w:name="_Toc14445"/>
      <w:bookmarkStart w:id="149" w:name="_Toc2553"/>
      <w:bookmarkStart w:id="150" w:name="_Toc128476878"/>
      <w:bookmarkStart w:id="151" w:name="_Toc5497"/>
      <w:bookmarkStart w:id="152" w:name="_Toc113901849"/>
      <w:bookmarkStart w:id="153" w:name="_Toc26222"/>
      <w:bookmarkStart w:id="154" w:name="_Toc141050515"/>
      <w:bookmarkStart w:id="155" w:name="_Toc5059"/>
      <w:bookmarkStart w:id="156" w:name="_Toc27784"/>
      <w:bookmarkStart w:id="157" w:name="_Toc29449"/>
      <w:bookmarkStart w:id="158" w:name="_Toc29597"/>
      <w:bookmarkStart w:id="159" w:name="_Toc12625"/>
      <w:bookmarkStart w:id="160" w:name="_Toc8286"/>
      <w:bookmarkStart w:id="161" w:name="_Toc22107"/>
      <w:bookmarkStart w:id="162" w:name="_Toc56"/>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.1 法人或者其他组织的营业执照等证明文件，自然人的身份证明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63" w:name="_Toc21575"/>
      <w:bookmarkStart w:id="164" w:name="_Toc673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.2 财务状况报告，依法缴纳税收和社会保障资金的相关材料</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63"/>
      <w:bookmarkEnd w:id="164"/>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spacing w:val="10"/>
          <w:szCs w:val="24"/>
          <w:highlight w:val="none"/>
          <w:shd w:val="clear" w:color="auto" w:fill="FFFFFF" w:themeFill="background1"/>
        </w:rPr>
        <w:t>个月（以投标文件递交截止之日为期限）的投标人无需提供。</w:t>
      </w:r>
    </w:p>
    <w:p w14:paraId="56B762E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3E1834A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65" w:name="_Toc20521"/>
      <w:bookmarkStart w:id="166" w:name="_Toc28397"/>
      <w:bookmarkStart w:id="167" w:name="_Toc28937"/>
      <w:bookmarkStart w:id="168" w:name="_Toc141050517"/>
      <w:bookmarkStart w:id="169" w:name="_Toc29582"/>
      <w:bookmarkStart w:id="170" w:name="_Toc6527"/>
      <w:bookmarkStart w:id="171" w:name="_Toc130252624"/>
      <w:bookmarkStart w:id="172" w:name="_Toc28756"/>
      <w:bookmarkStart w:id="173" w:name="_Toc128476880"/>
      <w:bookmarkStart w:id="174" w:name="_Toc3038"/>
      <w:bookmarkStart w:id="175" w:name="_Toc8262"/>
      <w:bookmarkStart w:id="176" w:name="_Toc22195"/>
      <w:bookmarkStart w:id="177" w:name="_Toc6490"/>
      <w:bookmarkStart w:id="178" w:name="_Toc24943"/>
      <w:bookmarkStart w:id="179" w:name="_Toc15267"/>
      <w:bookmarkStart w:id="180" w:name="_Toc113901851"/>
      <w:bookmarkStart w:id="181" w:name="_Toc24817"/>
      <w:bookmarkStart w:id="182"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83" w:name="_Toc13146"/>
      <w:bookmarkStart w:id="184" w:name="_Toc6917"/>
      <w:bookmarkStart w:id="185" w:name="_Toc30845"/>
      <w:bookmarkStart w:id="186" w:name="_Toc31926"/>
      <w:bookmarkStart w:id="187" w:name="_Toc22128"/>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 具备履行合同所必需的设备和专业技术能力的证明材料</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3"/>
      <w:bookmarkEnd w:id="184"/>
      <w:bookmarkEnd w:id="185"/>
      <w:bookmarkEnd w:id="186"/>
      <w:bookmarkEnd w:id="187"/>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82"/>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88" w:name="_Toc1350"/>
      <w:bookmarkStart w:id="189" w:name="_Toc31613"/>
      <w:bookmarkStart w:id="190" w:name="_Toc141050518"/>
      <w:bookmarkStart w:id="191" w:name="_Toc16035"/>
      <w:bookmarkStart w:id="192" w:name="_Toc12742"/>
      <w:bookmarkStart w:id="193" w:name="_Toc29127"/>
      <w:bookmarkStart w:id="194" w:name="_Toc19260"/>
      <w:bookmarkStart w:id="195" w:name="_Toc154"/>
      <w:bookmarkStart w:id="196" w:name="_Toc14597"/>
      <w:bookmarkStart w:id="197" w:name="_Toc12060"/>
      <w:bookmarkStart w:id="198" w:name="_Toc128476881"/>
      <w:bookmarkStart w:id="199" w:name="_Toc5472"/>
      <w:bookmarkStart w:id="200" w:name="_Toc27933"/>
      <w:bookmarkStart w:id="201" w:name="_Toc113901852"/>
      <w:bookmarkStart w:id="202" w:name="_Toc17656"/>
      <w:bookmarkStart w:id="203" w:name="_Toc9960"/>
      <w:bookmarkStart w:id="204" w:name="_Toc18553"/>
      <w:bookmarkStart w:id="205" w:name="_Toc1561"/>
      <w:bookmarkStart w:id="206" w:name="_Toc24529"/>
      <w:bookmarkStart w:id="207" w:name="_Toc130252625"/>
      <w:bookmarkStart w:id="208" w:name="_Toc9901"/>
      <w:bookmarkStart w:id="209" w:name="_Toc12824"/>
      <w:bookmarkStart w:id="210" w:name="_Toc11155649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.4 参加政府采购活动前3年内在经营活动中没有重大违法记录的书面声明</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1" w:name="_Toc9134"/>
      <w:bookmarkStart w:id="212" w:name="_Toc17488"/>
      <w:bookmarkStart w:id="213" w:name="_Toc31144"/>
      <w:bookmarkStart w:id="214" w:name="_Toc30930"/>
      <w:bookmarkStart w:id="215" w:name="_Toc8192"/>
      <w:bookmarkStart w:id="216" w:name="_Toc14380"/>
      <w:bookmarkStart w:id="217" w:name="_Toc3183"/>
      <w:bookmarkStart w:id="218" w:name="_Toc25108"/>
      <w:bookmarkStart w:id="219" w:name="_Toc26082"/>
      <w:bookmarkStart w:id="220" w:name="_Toc6424"/>
      <w:bookmarkStart w:id="221" w:name="_Toc313"/>
      <w:bookmarkStart w:id="222" w:name="_Toc113901853"/>
      <w:bookmarkStart w:id="223" w:name="_Toc130252626"/>
      <w:bookmarkStart w:id="224" w:name="_Toc13701"/>
      <w:bookmarkStart w:id="225" w:name="_Toc4675"/>
      <w:bookmarkStart w:id="226" w:name="_Toc9385"/>
      <w:bookmarkStart w:id="227" w:name="_Toc128476882"/>
      <w:bookmarkStart w:id="228" w:name="_Toc30447"/>
      <w:bookmarkStart w:id="229" w:name="_Toc13030"/>
      <w:bookmarkStart w:id="230" w:name="_Toc24660"/>
      <w:bookmarkStart w:id="231" w:name="_Toc11552"/>
      <w:bookmarkStart w:id="232" w:name="_Toc141050519"/>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.5 具备法律、行政法规规定的其他条件的证明材料</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51D6BF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13F7D05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1B257C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7ACF3A0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B825FE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6586F52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3A7827E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3264DE7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1B32338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3245C2F6">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02086800">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75F0EF3A">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23C0B963">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063B1FD5">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33" w:name="_Toc18236"/>
      <w:bookmarkStart w:id="234" w:name="_Toc6260"/>
      <w:bookmarkStart w:id="235" w:name="_Toc27167"/>
      <w:bookmarkStart w:id="236" w:name="_Toc20402"/>
      <w:bookmarkStart w:id="237" w:name="_Toc110707972"/>
      <w:bookmarkStart w:id="238" w:name="_Toc109921165"/>
      <w:bookmarkStart w:id="239" w:name="_Toc109941772"/>
      <w:bookmarkStart w:id="240" w:name="_Toc130252627"/>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、投标人近年类似项目情况表</w:t>
      </w:r>
      <w:bookmarkEnd w:id="233"/>
      <w:bookmarkEnd w:id="234"/>
      <w:bookmarkEnd w:id="235"/>
      <w:bookmarkEnd w:id="236"/>
      <w:bookmarkEnd w:id="237"/>
      <w:bookmarkEnd w:id="238"/>
      <w:bookmarkEnd w:id="239"/>
      <w:bookmarkEnd w:id="240"/>
    </w:p>
    <w:p w14:paraId="2434995A">
      <w:pPr>
        <w:spacing w:line="360" w:lineRule="auto"/>
        <w:jc w:val="left"/>
        <w:rPr>
          <w:rFonts w:hint="eastAsia" w:ascii="仿宋" w:hAnsi="仿宋" w:eastAsia="仿宋" w:cs="仿宋"/>
          <w:color w:val="auto"/>
          <w:sz w:val="24"/>
          <w:szCs w:val="24"/>
          <w:highlight w:val="none"/>
        </w:rPr>
      </w:pP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119"/>
    <w:p w14:paraId="0061609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41" w:name="_Toc533503191"/>
      <w:bookmarkStart w:id="242" w:name="_Toc18139"/>
      <w:bookmarkStart w:id="243" w:name="_Toc22229"/>
      <w:bookmarkStart w:id="244" w:name="_Toc17068"/>
      <w:bookmarkStart w:id="245" w:name="_Toc38446480"/>
      <w:bookmarkStart w:id="246" w:name="_Toc27045"/>
      <w:bookmarkStart w:id="247" w:name="_Toc507586175"/>
      <w:bookmarkStart w:id="248" w:name="_Toc60925660"/>
      <w:bookmarkStart w:id="249" w:name="_Toc30206"/>
      <w:bookmarkStart w:id="250" w:name="_Toc130252631"/>
      <w:bookmarkStart w:id="251" w:name="_Toc22688"/>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241"/>
      <w:bookmarkEnd w:id="242"/>
      <w:bookmarkEnd w:id="243"/>
      <w:bookmarkEnd w:id="244"/>
      <w:bookmarkEnd w:id="245"/>
      <w:bookmarkEnd w:id="246"/>
      <w:bookmarkEnd w:id="247"/>
    </w:p>
    <w:p w14:paraId="4A3488E4">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4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E67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A081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7BCC869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AA240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6C1846D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D3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4E48F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A33FCF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9996D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6CB65F9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692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C49E3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347FBF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F0294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FE267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9A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2A7027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0393D0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7042E8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1B4EB0B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DD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48EC7A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2A67B62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F57F7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128037F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95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A439B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4836DFC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7D802A4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D8B6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1023E16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633B825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160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132A9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DA4061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4F688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3133A97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081F6EE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2E3FE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C13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3032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05B030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0669C4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6A58A2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6A345F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89403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2DA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22F55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2BC0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97FF9D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EC11B1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5CFBA99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020EBA3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C9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58C9C2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6C1B5A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07DDE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4BF5C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037B9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49ADFF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B9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F962ED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7264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549A78F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A4EA28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E6EB0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27C508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23A3C819">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7E2F7B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CD4395">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52" w:name="_Toc24467"/>
      <w:bookmarkStart w:id="253" w:name="_Toc3377"/>
      <w:bookmarkStart w:id="254" w:name="_Toc22814"/>
      <w:r>
        <w:rPr>
          <w:rFonts w:hint="eastAsia" w:ascii="仿宋" w:hAnsi="仿宋" w:eastAsia="仿宋" w:cs="仿宋"/>
          <w:b/>
          <w:color w:val="auto"/>
          <w:sz w:val="24"/>
          <w:szCs w:val="24"/>
          <w:highlight w:val="none"/>
          <w:shd w:val="clear" w:color="auto" w:fill="FFFFFF" w:themeFill="background1"/>
          <w:lang w:val="en-US" w:eastAsia="zh-CN"/>
        </w:rPr>
        <w:t>十一</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52"/>
      <w:bookmarkEnd w:id="253"/>
      <w:bookmarkEnd w:id="254"/>
    </w:p>
    <w:tbl>
      <w:tblPr>
        <w:tblStyle w:val="4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5EB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9A1E5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6CD1F12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7D2079C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598B083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42B192F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0D82BE9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063103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8A2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1FC47F3">
            <w:pPr>
              <w:spacing w:line="440" w:lineRule="exact"/>
              <w:jc w:val="center"/>
              <w:rPr>
                <w:rFonts w:hint="eastAsia" w:ascii="仿宋" w:hAnsi="仿宋" w:eastAsia="仿宋" w:cs="仿宋"/>
                <w:color w:val="auto"/>
                <w:szCs w:val="21"/>
                <w:highlight w:val="none"/>
              </w:rPr>
            </w:pPr>
          </w:p>
        </w:tc>
        <w:tc>
          <w:tcPr>
            <w:tcW w:w="1167" w:type="dxa"/>
            <w:vAlign w:val="center"/>
          </w:tcPr>
          <w:p w14:paraId="1A9363EE">
            <w:pPr>
              <w:spacing w:line="360" w:lineRule="auto"/>
              <w:jc w:val="center"/>
              <w:rPr>
                <w:rFonts w:hint="eastAsia" w:ascii="仿宋" w:hAnsi="仿宋" w:eastAsia="仿宋" w:cs="仿宋"/>
                <w:color w:val="auto"/>
                <w:szCs w:val="21"/>
                <w:highlight w:val="none"/>
              </w:rPr>
            </w:pPr>
          </w:p>
        </w:tc>
        <w:tc>
          <w:tcPr>
            <w:tcW w:w="2283" w:type="dxa"/>
            <w:vAlign w:val="center"/>
          </w:tcPr>
          <w:p w14:paraId="2E0813FA">
            <w:pPr>
              <w:spacing w:line="360" w:lineRule="auto"/>
              <w:jc w:val="center"/>
              <w:rPr>
                <w:rFonts w:hint="eastAsia" w:ascii="仿宋" w:hAnsi="仿宋" w:eastAsia="仿宋" w:cs="仿宋"/>
                <w:color w:val="auto"/>
                <w:szCs w:val="21"/>
                <w:highlight w:val="none"/>
              </w:rPr>
            </w:pPr>
          </w:p>
        </w:tc>
        <w:tc>
          <w:tcPr>
            <w:tcW w:w="1388" w:type="dxa"/>
            <w:vAlign w:val="center"/>
          </w:tcPr>
          <w:p w14:paraId="717F08DC">
            <w:pPr>
              <w:spacing w:line="360" w:lineRule="auto"/>
              <w:jc w:val="center"/>
              <w:rPr>
                <w:rFonts w:hint="eastAsia" w:ascii="仿宋" w:hAnsi="仿宋" w:eastAsia="仿宋" w:cs="仿宋"/>
                <w:color w:val="auto"/>
                <w:szCs w:val="21"/>
                <w:highlight w:val="none"/>
              </w:rPr>
            </w:pPr>
          </w:p>
        </w:tc>
        <w:tc>
          <w:tcPr>
            <w:tcW w:w="1012" w:type="dxa"/>
            <w:vAlign w:val="center"/>
          </w:tcPr>
          <w:p w14:paraId="1586BB54">
            <w:pPr>
              <w:spacing w:line="360" w:lineRule="auto"/>
              <w:jc w:val="center"/>
              <w:rPr>
                <w:rFonts w:hint="eastAsia" w:ascii="仿宋" w:hAnsi="仿宋" w:eastAsia="仿宋" w:cs="仿宋"/>
                <w:color w:val="auto"/>
                <w:szCs w:val="21"/>
                <w:highlight w:val="none"/>
              </w:rPr>
            </w:pPr>
          </w:p>
        </w:tc>
        <w:tc>
          <w:tcPr>
            <w:tcW w:w="1141" w:type="dxa"/>
            <w:vAlign w:val="center"/>
          </w:tcPr>
          <w:p w14:paraId="6B8B0B19">
            <w:pPr>
              <w:spacing w:line="360" w:lineRule="auto"/>
              <w:jc w:val="center"/>
              <w:rPr>
                <w:rFonts w:hint="eastAsia" w:ascii="仿宋" w:hAnsi="仿宋" w:eastAsia="仿宋" w:cs="仿宋"/>
                <w:color w:val="auto"/>
                <w:szCs w:val="21"/>
                <w:highlight w:val="none"/>
              </w:rPr>
            </w:pPr>
          </w:p>
        </w:tc>
        <w:tc>
          <w:tcPr>
            <w:tcW w:w="1406" w:type="dxa"/>
            <w:vAlign w:val="center"/>
          </w:tcPr>
          <w:p w14:paraId="666A5151">
            <w:pPr>
              <w:spacing w:line="360" w:lineRule="auto"/>
              <w:jc w:val="center"/>
              <w:rPr>
                <w:rFonts w:hint="eastAsia" w:ascii="仿宋" w:hAnsi="仿宋" w:eastAsia="仿宋" w:cs="仿宋"/>
                <w:color w:val="auto"/>
                <w:szCs w:val="21"/>
                <w:highlight w:val="none"/>
              </w:rPr>
            </w:pPr>
          </w:p>
        </w:tc>
      </w:tr>
      <w:tr w14:paraId="5666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34D3A61">
            <w:pPr>
              <w:spacing w:line="440" w:lineRule="exact"/>
              <w:jc w:val="center"/>
              <w:rPr>
                <w:rFonts w:hint="eastAsia" w:ascii="仿宋" w:hAnsi="仿宋" w:eastAsia="仿宋" w:cs="仿宋"/>
                <w:color w:val="auto"/>
                <w:szCs w:val="21"/>
                <w:highlight w:val="none"/>
              </w:rPr>
            </w:pPr>
          </w:p>
        </w:tc>
        <w:tc>
          <w:tcPr>
            <w:tcW w:w="1167" w:type="dxa"/>
            <w:vAlign w:val="center"/>
          </w:tcPr>
          <w:p w14:paraId="5CD14563">
            <w:pPr>
              <w:spacing w:line="360" w:lineRule="auto"/>
              <w:jc w:val="center"/>
              <w:rPr>
                <w:rFonts w:hint="eastAsia" w:ascii="仿宋" w:hAnsi="仿宋" w:eastAsia="仿宋" w:cs="仿宋"/>
                <w:color w:val="auto"/>
                <w:szCs w:val="21"/>
                <w:highlight w:val="none"/>
              </w:rPr>
            </w:pPr>
          </w:p>
        </w:tc>
        <w:tc>
          <w:tcPr>
            <w:tcW w:w="2283" w:type="dxa"/>
            <w:vAlign w:val="center"/>
          </w:tcPr>
          <w:p w14:paraId="0DFC64AD">
            <w:pPr>
              <w:spacing w:line="360" w:lineRule="auto"/>
              <w:jc w:val="center"/>
              <w:rPr>
                <w:rFonts w:hint="eastAsia" w:ascii="仿宋" w:hAnsi="仿宋" w:eastAsia="仿宋" w:cs="仿宋"/>
                <w:color w:val="auto"/>
                <w:szCs w:val="21"/>
                <w:highlight w:val="none"/>
              </w:rPr>
            </w:pPr>
          </w:p>
        </w:tc>
        <w:tc>
          <w:tcPr>
            <w:tcW w:w="1388" w:type="dxa"/>
            <w:vAlign w:val="center"/>
          </w:tcPr>
          <w:p w14:paraId="5C303723">
            <w:pPr>
              <w:spacing w:line="360" w:lineRule="auto"/>
              <w:jc w:val="center"/>
              <w:rPr>
                <w:rFonts w:hint="eastAsia" w:ascii="仿宋" w:hAnsi="仿宋" w:eastAsia="仿宋" w:cs="仿宋"/>
                <w:color w:val="auto"/>
                <w:szCs w:val="21"/>
                <w:highlight w:val="none"/>
              </w:rPr>
            </w:pPr>
          </w:p>
        </w:tc>
        <w:tc>
          <w:tcPr>
            <w:tcW w:w="1012" w:type="dxa"/>
            <w:vAlign w:val="center"/>
          </w:tcPr>
          <w:p w14:paraId="302A2BDD">
            <w:pPr>
              <w:spacing w:line="360" w:lineRule="auto"/>
              <w:jc w:val="center"/>
              <w:rPr>
                <w:rFonts w:hint="eastAsia" w:ascii="仿宋" w:hAnsi="仿宋" w:eastAsia="仿宋" w:cs="仿宋"/>
                <w:color w:val="auto"/>
                <w:szCs w:val="21"/>
                <w:highlight w:val="none"/>
              </w:rPr>
            </w:pPr>
          </w:p>
        </w:tc>
        <w:tc>
          <w:tcPr>
            <w:tcW w:w="1141" w:type="dxa"/>
            <w:vAlign w:val="center"/>
          </w:tcPr>
          <w:p w14:paraId="5000F2CE">
            <w:pPr>
              <w:spacing w:line="360" w:lineRule="auto"/>
              <w:jc w:val="center"/>
              <w:rPr>
                <w:rFonts w:hint="eastAsia" w:ascii="仿宋" w:hAnsi="仿宋" w:eastAsia="仿宋" w:cs="仿宋"/>
                <w:color w:val="auto"/>
                <w:szCs w:val="21"/>
                <w:highlight w:val="none"/>
              </w:rPr>
            </w:pPr>
          </w:p>
        </w:tc>
        <w:tc>
          <w:tcPr>
            <w:tcW w:w="1406" w:type="dxa"/>
            <w:vAlign w:val="center"/>
          </w:tcPr>
          <w:p w14:paraId="5D7D86EE">
            <w:pPr>
              <w:spacing w:line="360" w:lineRule="auto"/>
              <w:jc w:val="center"/>
              <w:rPr>
                <w:rFonts w:hint="eastAsia" w:ascii="仿宋" w:hAnsi="仿宋" w:eastAsia="仿宋" w:cs="仿宋"/>
                <w:color w:val="auto"/>
                <w:szCs w:val="21"/>
                <w:highlight w:val="none"/>
              </w:rPr>
            </w:pPr>
          </w:p>
        </w:tc>
      </w:tr>
      <w:tr w14:paraId="175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0618085">
            <w:pPr>
              <w:spacing w:line="440" w:lineRule="exact"/>
              <w:jc w:val="center"/>
              <w:rPr>
                <w:rFonts w:hint="eastAsia" w:ascii="仿宋" w:hAnsi="仿宋" w:eastAsia="仿宋" w:cs="仿宋"/>
                <w:color w:val="auto"/>
                <w:szCs w:val="21"/>
                <w:highlight w:val="none"/>
              </w:rPr>
            </w:pPr>
          </w:p>
        </w:tc>
        <w:tc>
          <w:tcPr>
            <w:tcW w:w="1167" w:type="dxa"/>
            <w:vAlign w:val="center"/>
          </w:tcPr>
          <w:p w14:paraId="647B4F9F">
            <w:pPr>
              <w:spacing w:line="360" w:lineRule="auto"/>
              <w:jc w:val="center"/>
              <w:rPr>
                <w:rFonts w:hint="eastAsia" w:ascii="仿宋" w:hAnsi="仿宋" w:eastAsia="仿宋" w:cs="仿宋"/>
                <w:color w:val="auto"/>
                <w:szCs w:val="21"/>
                <w:highlight w:val="none"/>
              </w:rPr>
            </w:pPr>
          </w:p>
        </w:tc>
        <w:tc>
          <w:tcPr>
            <w:tcW w:w="2283" w:type="dxa"/>
            <w:vAlign w:val="center"/>
          </w:tcPr>
          <w:p w14:paraId="440B34AE">
            <w:pPr>
              <w:spacing w:line="360" w:lineRule="auto"/>
              <w:jc w:val="center"/>
              <w:rPr>
                <w:rFonts w:hint="eastAsia" w:ascii="仿宋" w:hAnsi="仿宋" w:eastAsia="仿宋" w:cs="仿宋"/>
                <w:color w:val="auto"/>
                <w:szCs w:val="21"/>
                <w:highlight w:val="none"/>
              </w:rPr>
            </w:pPr>
          </w:p>
        </w:tc>
        <w:tc>
          <w:tcPr>
            <w:tcW w:w="1388" w:type="dxa"/>
            <w:vAlign w:val="center"/>
          </w:tcPr>
          <w:p w14:paraId="138EF000">
            <w:pPr>
              <w:spacing w:line="360" w:lineRule="auto"/>
              <w:jc w:val="center"/>
              <w:rPr>
                <w:rFonts w:hint="eastAsia" w:ascii="仿宋" w:hAnsi="仿宋" w:eastAsia="仿宋" w:cs="仿宋"/>
                <w:color w:val="auto"/>
                <w:szCs w:val="21"/>
                <w:highlight w:val="none"/>
              </w:rPr>
            </w:pPr>
          </w:p>
        </w:tc>
        <w:tc>
          <w:tcPr>
            <w:tcW w:w="1012" w:type="dxa"/>
            <w:vAlign w:val="center"/>
          </w:tcPr>
          <w:p w14:paraId="033093CC">
            <w:pPr>
              <w:spacing w:line="360" w:lineRule="auto"/>
              <w:jc w:val="center"/>
              <w:rPr>
                <w:rFonts w:hint="eastAsia" w:ascii="仿宋" w:hAnsi="仿宋" w:eastAsia="仿宋" w:cs="仿宋"/>
                <w:color w:val="auto"/>
                <w:szCs w:val="21"/>
                <w:highlight w:val="none"/>
              </w:rPr>
            </w:pPr>
          </w:p>
        </w:tc>
        <w:tc>
          <w:tcPr>
            <w:tcW w:w="1141" w:type="dxa"/>
            <w:vAlign w:val="center"/>
          </w:tcPr>
          <w:p w14:paraId="22C3A31B">
            <w:pPr>
              <w:spacing w:line="360" w:lineRule="auto"/>
              <w:jc w:val="center"/>
              <w:rPr>
                <w:rFonts w:hint="eastAsia" w:ascii="仿宋" w:hAnsi="仿宋" w:eastAsia="仿宋" w:cs="仿宋"/>
                <w:color w:val="auto"/>
                <w:szCs w:val="21"/>
                <w:highlight w:val="none"/>
              </w:rPr>
            </w:pPr>
          </w:p>
        </w:tc>
        <w:tc>
          <w:tcPr>
            <w:tcW w:w="1406" w:type="dxa"/>
            <w:vAlign w:val="center"/>
          </w:tcPr>
          <w:p w14:paraId="5F2E25B9">
            <w:pPr>
              <w:spacing w:line="360" w:lineRule="auto"/>
              <w:jc w:val="center"/>
              <w:rPr>
                <w:rFonts w:hint="eastAsia" w:ascii="仿宋" w:hAnsi="仿宋" w:eastAsia="仿宋" w:cs="仿宋"/>
                <w:color w:val="auto"/>
                <w:szCs w:val="21"/>
                <w:highlight w:val="none"/>
              </w:rPr>
            </w:pPr>
          </w:p>
        </w:tc>
      </w:tr>
      <w:tr w14:paraId="237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DB9BC92">
            <w:pPr>
              <w:spacing w:line="440" w:lineRule="exact"/>
              <w:jc w:val="center"/>
              <w:rPr>
                <w:rFonts w:hint="eastAsia" w:ascii="仿宋" w:hAnsi="仿宋" w:eastAsia="仿宋" w:cs="仿宋"/>
                <w:color w:val="auto"/>
                <w:szCs w:val="21"/>
                <w:highlight w:val="none"/>
              </w:rPr>
            </w:pPr>
          </w:p>
        </w:tc>
        <w:tc>
          <w:tcPr>
            <w:tcW w:w="1167" w:type="dxa"/>
            <w:vAlign w:val="center"/>
          </w:tcPr>
          <w:p w14:paraId="4BE6280C">
            <w:pPr>
              <w:spacing w:line="360" w:lineRule="auto"/>
              <w:jc w:val="center"/>
              <w:rPr>
                <w:rFonts w:hint="eastAsia" w:ascii="仿宋" w:hAnsi="仿宋" w:eastAsia="仿宋" w:cs="仿宋"/>
                <w:color w:val="auto"/>
                <w:szCs w:val="21"/>
                <w:highlight w:val="none"/>
              </w:rPr>
            </w:pPr>
          </w:p>
        </w:tc>
        <w:tc>
          <w:tcPr>
            <w:tcW w:w="2283" w:type="dxa"/>
            <w:vAlign w:val="center"/>
          </w:tcPr>
          <w:p w14:paraId="644E17FA">
            <w:pPr>
              <w:spacing w:line="360" w:lineRule="auto"/>
              <w:jc w:val="center"/>
              <w:rPr>
                <w:rFonts w:hint="eastAsia" w:ascii="仿宋" w:hAnsi="仿宋" w:eastAsia="仿宋" w:cs="仿宋"/>
                <w:color w:val="auto"/>
                <w:szCs w:val="21"/>
                <w:highlight w:val="none"/>
              </w:rPr>
            </w:pPr>
          </w:p>
        </w:tc>
        <w:tc>
          <w:tcPr>
            <w:tcW w:w="1388" w:type="dxa"/>
            <w:vAlign w:val="center"/>
          </w:tcPr>
          <w:p w14:paraId="401DA057">
            <w:pPr>
              <w:spacing w:line="360" w:lineRule="auto"/>
              <w:jc w:val="center"/>
              <w:rPr>
                <w:rFonts w:hint="eastAsia" w:ascii="仿宋" w:hAnsi="仿宋" w:eastAsia="仿宋" w:cs="仿宋"/>
                <w:color w:val="auto"/>
                <w:szCs w:val="21"/>
                <w:highlight w:val="none"/>
              </w:rPr>
            </w:pPr>
          </w:p>
        </w:tc>
        <w:tc>
          <w:tcPr>
            <w:tcW w:w="1012" w:type="dxa"/>
            <w:vAlign w:val="center"/>
          </w:tcPr>
          <w:p w14:paraId="303D6482">
            <w:pPr>
              <w:spacing w:line="360" w:lineRule="auto"/>
              <w:jc w:val="center"/>
              <w:rPr>
                <w:rFonts w:hint="eastAsia" w:ascii="仿宋" w:hAnsi="仿宋" w:eastAsia="仿宋" w:cs="仿宋"/>
                <w:color w:val="auto"/>
                <w:szCs w:val="21"/>
                <w:highlight w:val="none"/>
              </w:rPr>
            </w:pPr>
          </w:p>
        </w:tc>
        <w:tc>
          <w:tcPr>
            <w:tcW w:w="1141" w:type="dxa"/>
            <w:vAlign w:val="center"/>
          </w:tcPr>
          <w:p w14:paraId="1A0A110D">
            <w:pPr>
              <w:spacing w:line="360" w:lineRule="auto"/>
              <w:jc w:val="center"/>
              <w:rPr>
                <w:rFonts w:hint="eastAsia" w:ascii="仿宋" w:hAnsi="仿宋" w:eastAsia="仿宋" w:cs="仿宋"/>
                <w:color w:val="auto"/>
                <w:szCs w:val="21"/>
                <w:highlight w:val="none"/>
              </w:rPr>
            </w:pPr>
          </w:p>
        </w:tc>
        <w:tc>
          <w:tcPr>
            <w:tcW w:w="1406" w:type="dxa"/>
            <w:vAlign w:val="center"/>
          </w:tcPr>
          <w:p w14:paraId="73FD1C5C">
            <w:pPr>
              <w:spacing w:line="360" w:lineRule="auto"/>
              <w:jc w:val="center"/>
              <w:rPr>
                <w:rFonts w:hint="eastAsia" w:ascii="仿宋" w:hAnsi="仿宋" w:eastAsia="仿宋" w:cs="仿宋"/>
                <w:color w:val="auto"/>
                <w:szCs w:val="21"/>
                <w:highlight w:val="none"/>
              </w:rPr>
            </w:pPr>
          </w:p>
        </w:tc>
      </w:tr>
      <w:tr w14:paraId="3BEB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6005C39">
            <w:pPr>
              <w:spacing w:line="440" w:lineRule="exact"/>
              <w:jc w:val="center"/>
              <w:rPr>
                <w:rFonts w:hint="eastAsia" w:ascii="仿宋" w:hAnsi="仿宋" w:eastAsia="仿宋" w:cs="仿宋"/>
                <w:color w:val="auto"/>
                <w:szCs w:val="21"/>
                <w:highlight w:val="none"/>
              </w:rPr>
            </w:pPr>
          </w:p>
        </w:tc>
        <w:tc>
          <w:tcPr>
            <w:tcW w:w="1167" w:type="dxa"/>
            <w:vAlign w:val="center"/>
          </w:tcPr>
          <w:p w14:paraId="5818F110">
            <w:pPr>
              <w:spacing w:line="360" w:lineRule="auto"/>
              <w:jc w:val="center"/>
              <w:rPr>
                <w:rFonts w:hint="eastAsia" w:ascii="仿宋" w:hAnsi="仿宋" w:eastAsia="仿宋" w:cs="仿宋"/>
                <w:color w:val="auto"/>
                <w:szCs w:val="21"/>
                <w:highlight w:val="none"/>
              </w:rPr>
            </w:pPr>
          </w:p>
        </w:tc>
        <w:tc>
          <w:tcPr>
            <w:tcW w:w="2283" w:type="dxa"/>
            <w:vAlign w:val="center"/>
          </w:tcPr>
          <w:p w14:paraId="790039D4">
            <w:pPr>
              <w:spacing w:line="360" w:lineRule="auto"/>
              <w:jc w:val="center"/>
              <w:rPr>
                <w:rFonts w:hint="eastAsia" w:ascii="仿宋" w:hAnsi="仿宋" w:eastAsia="仿宋" w:cs="仿宋"/>
                <w:color w:val="auto"/>
                <w:szCs w:val="21"/>
                <w:highlight w:val="none"/>
              </w:rPr>
            </w:pPr>
          </w:p>
        </w:tc>
        <w:tc>
          <w:tcPr>
            <w:tcW w:w="1388" w:type="dxa"/>
            <w:vAlign w:val="center"/>
          </w:tcPr>
          <w:p w14:paraId="37609B87">
            <w:pPr>
              <w:spacing w:line="360" w:lineRule="auto"/>
              <w:jc w:val="center"/>
              <w:rPr>
                <w:rFonts w:hint="eastAsia" w:ascii="仿宋" w:hAnsi="仿宋" w:eastAsia="仿宋" w:cs="仿宋"/>
                <w:color w:val="auto"/>
                <w:szCs w:val="21"/>
                <w:highlight w:val="none"/>
              </w:rPr>
            </w:pPr>
          </w:p>
        </w:tc>
        <w:tc>
          <w:tcPr>
            <w:tcW w:w="1012" w:type="dxa"/>
            <w:vAlign w:val="center"/>
          </w:tcPr>
          <w:p w14:paraId="380E5A1F">
            <w:pPr>
              <w:spacing w:line="360" w:lineRule="auto"/>
              <w:jc w:val="center"/>
              <w:rPr>
                <w:rFonts w:hint="eastAsia" w:ascii="仿宋" w:hAnsi="仿宋" w:eastAsia="仿宋" w:cs="仿宋"/>
                <w:color w:val="auto"/>
                <w:szCs w:val="21"/>
                <w:highlight w:val="none"/>
              </w:rPr>
            </w:pPr>
          </w:p>
        </w:tc>
        <w:tc>
          <w:tcPr>
            <w:tcW w:w="1141" w:type="dxa"/>
            <w:vAlign w:val="center"/>
          </w:tcPr>
          <w:p w14:paraId="6CF8F442">
            <w:pPr>
              <w:spacing w:line="360" w:lineRule="auto"/>
              <w:jc w:val="center"/>
              <w:rPr>
                <w:rFonts w:hint="eastAsia" w:ascii="仿宋" w:hAnsi="仿宋" w:eastAsia="仿宋" w:cs="仿宋"/>
                <w:color w:val="auto"/>
                <w:szCs w:val="21"/>
                <w:highlight w:val="none"/>
              </w:rPr>
            </w:pPr>
          </w:p>
        </w:tc>
        <w:tc>
          <w:tcPr>
            <w:tcW w:w="1406" w:type="dxa"/>
            <w:vAlign w:val="center"/>
          </w:tcPr>
          <w:p w14:paraId="490C03B6">
            <w:pPr>
              <w:spacing w:line="360" w:lineRule="auto"/>
              <w:jc w:val="center"/>
              <w:rPr>
                <w:rFonts w:hint="eastAsia" w:ascii="仿宋" w:hAnsi="仿宋" w:eastAsia="仿宋" w:cs="仿宋"/>
                <w:color w:val="auto"/>
                <w:szCs w:val="21"/>
                <w:highlight w:val="none"/>
              </w:rPr>
            </w:pPr>
          </w:p>
        </w:tc>
      </w:tr>
    </w:tbl>
    <w:p w14:paraId="488D9AA8">
      <w:pPr>
        <w:keepNext w:val="0"/>
        <w:keepLines w:val="0"/>
        <w:widowControl/>
        <w:suppressLineNumbers w:val="0"/>
        <w:jc w:val="left"/>
        <w:rPr>
          <w:rFonts w:hint="eastAsia" w:ascii="仿宋" w:hAnsi="仿宋" w:eastAsia="仿宋" w:cs="仿宋"/>
          <w:color w:val="auto"/>
          <w:highlight w:val="none"/>
        </w:rPr>
      </w:pPr>
    </w:p>
    <w:p w14:paraId="7F40B7AA">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376C3CC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Start w:id="255" w:name="_Toc109921167"/>
      <w:bookmarkStart w:id="256" w:name="_Toc109941774"/>
      <w:bookmarkStart w:id="257" w:name="_Toc110707974"/>
      <w:bookmarkStart w:id="258" w:name="_Toc130252629"/>
      <w:bookmarkStart w:id="259" w:name="_Toc19815"/>
      <w:bookmarkStart w:id="260" w:name="_Toc23008"/>
      <w:bookmarkStart w:id="261" w:name="_Toc18284"/>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w:t>
      </w:r>
      <w:bookmarkEnd w:id="255"/>
      <w:bookmarkEnd w:id="256"/>
      <w:bookmarkEnd w:id="257"/>
      <w:bookmarkEnd w:id="258"/>
      <w:r>
        <w:rPr>
          <w:rFonts w:hint="eastAsia" w:ascii="仿宋" w:hAnsi="仿宋" w:eastAsia="仿宋" w:cs="仿宋"/>
          <w:b/>
          <w:color w:val="auto"/>
          <w:sz w:val="24"/>
          <w:szCs w:val="24"/>
          <w:highlight w:val="none"/>
          <w:lang w:eastAsia="zh-CN"/>
        </w:rPr>
        <w:t>服务方案</w:t>
      </w:r>
      <w:bookmarkEnd w:id="259"/>
      <w:bookmarkEnd w:id="260"/>
      <w:bookmarkEnd w:id="261"/>
    </w:p>
    <w:p w14:paraId="3B52B344">
      <w:pPr>
        <w:spacing w:line="360" w:lineRule="auto"/>
        <w:ind w:firstLine="480" w:firstLineChars="200"/>
        <w:rPr>
          <w:rFonts w:hint="eastAsia" w:ascii="仿宋" w:hAnsi="仿宋" w:eastAsia="仿宋" w:cs="仿宋"/>
          <w:bCs/>
          <w:color w:val="auto"/>
          <w:sz w:val="24"/>
          <w:szCs w:val="24"/>
          <w:highlight w:val="none"/>
        </w:rPr>
      </w:pPr>
      <w:bookmarkStart w:id="262" w:name="_Toc375218897"/>
    </w:p>
    <w:p w14:paraId="4A7081C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63" w:name="_Toc375218899"/>
    </w:p>
    <w:p w14:paraId="70FAFFF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E063EDE">
      <w:pPr>
        <w:tabs>
          <w:tab w:val="center" w:pos="4832"/>
          <w:tab w:val="left" w:pos="7140"/>
        </w:tabs>
        <w:jc w:val="center"/>
        <w:outlineLvl w:val="1"/>
        <w:rPr>
          <w:rFonts w:hint="eastAsia" w:ascii="仿宋" w:hAnsi="仿宋" w:eastAsia="仿宋" w:cs="仿宋"/>
          <w:b/>
          <w:color w:val="auto"/>
          <w:sz w:val="24"/>
          <w:szCs w:val="24"/>
          <w:highlight w:val="none"/>
        </w:rPr>
      </w:pPr>
      <w:bookmarkStart w:id="264" w:name="_Toc124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、保证金缴纳证明材料</w:t>
      </w:r>
      <w:bookmarkEnd w:id="264"/>
    </w:p>
    <w:p w14:paraId="7436713F">
      <w:pPr>
        <w:spacing w:line="360" w:lineRule="auto"/>
        <w:ind w:firstLine="480" w:firstLineChars="200"/>
        <w:rPr>
          <w:rFonts w:hint="eastAsia" w:ascii="仿宋" w:hAnsi="仿宋" w:eastAsia="仿宋" w:cs="仿宋"/>
          <w:color w:val="auto"/>
          <w:sz w:val="24"/>
          <w:szCs w:val="24"/>
          <w:highlight w:val="none"/>
        </w:rPr>
      </w:pPr>
    </w:p>
    <w:p w14:paraId="0C9AF771">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34DD5FCB">
      <w:pPr>
        <w:spacing w:line="360" w:lineRule="auto"/>
        <w:ind w:firstLine="480" w:firstLineChars="200"/>
        <w:rPr>
          <w:rFonts w:hint="eastAsia" w:ascii="仿宋" w:hAnsi="仿宋" w:eastAsia="仿宋" w:cs="仿宋"/>
          <w:color w:val="auto"/>
          <w:sz w:val="24"/>
          <w:szCs w:val="24"/>
          <w:highlight w:val="none"/>
        </w:rPr>
      </w:pPr>
    </w:p>
    <w:bookmarkEnd w:id="262"/>
    <w:bookmarkEnd w:id="263"/>
    <w:p w14:paraId="42D04846">
      <w:pPr>
        <w:spacing w:line="360" w:lineRule="auto"/>
        <w:ind w:firstLine="480" w:firstLineChars="200"/>
        <w:rPr>
          <w:rFonts w:hint="eastAsia" w:ascii="仿宋" w:hAnsi="仿宋" w:eastAsia="仿宋" w:cs="仿宋"/>
          <w:color w:val="auto"/>
          <w:sz w:val="24"/>
          <w:szCs w:val="24"/>
          <w:highlight w:val="none"/>
        </w:rPr>
      </w:pPr>
    </w:p>
    <w:p w14:paraId="510D2977">
      <w:pPr>
        <w:spacing w:line="360" w:lineRule="auto"/>
        <w:ind w:firstLine="480" w:firstLineChars="200"/>
        <w:rPr>
          <w:rFonts w:hint="eastAsia" w:ascii="仿宋" w:hAnsi="仿宋" w:eastAsia="仿宋" w:cs="仿宋"/>
          <w:color w:val="auto"/>
          <w:sz w:val="24"/>
          <w:szCs w:val="24"/>
          <w:highlight w:val="none"/>
        </w:rPr>
      </w:pPr>
    </w:p>
    <w:p w14:paraId="387049A4">
      <w:pPr>
        <w:spacing w:line="360" w:lineRule="auto"/>
        <w:ind w:firstLine="480" w:firstLineChars="200"/>
        <w:rPr>
          <w:rFonts w:hint="eastAsia" w:ascii="仿宋" w:hAnsi="仿宋" w:eastAsia="仿宋" w:cs="仿宋"/>
          <w:color w:val="auto"/>
          <w:sz w:val="24"/>
          <w:szCs w:val="24"/>
          <w:highlight w:val="none"/>
        </w:rPr>
      </w:pPr>
    </w:p>
    <w:p w14:paraId="4F5A64C4">
      <w:pPr>
        <w:rPr>
          <w:rFonts w:hint="eastAsia" w:ascii="仿宋" w:hAnsi="仿宋" w:eastAsia="仿宋" w:cs="仿宋"/>
          <w:b/>
          <w:color w:val="auto"/>
          <w:sz w:val="24"/>
          <w:szCs w:val="24"/>
          <w:highlight w:val="none"/>
        </w:rPr>
      </w:pPr>
      <w:bookmarkStart w:id="265" w:name="_Toc24108"/>
      <w:bookmarkStart w:id="266" w:name="_Toc109921168"/>
      <w:bookmarkStart w:id="267" w:name="_Toc109941775"/>
      <w:bookmarkStart w:id="268" w:name="_Toc110707975"/>
      <w:bookmarkStart w:id="269" w:name="_Toc130252630"/>
      <w:bookmarkStart w:id="270" w:name="_Toc14156"/>
      <w:r>
        <w:rPr>
          <w:rFonts w:hint="eastAsia" w:ascii="仿宋" w:hAnsi="仿宋" w:eastAsia="仿宋" w:cs="仿宋"/>
          <w:b/>
          <w:color w:val="auto"/>
          <w:sz w:val="24"/>
          <w:szCs w:val="24"/>
          <w:highlight w:val="none"/>
        </w:rPr>
        <w:br w:type="page"/>
      </w:r>
    </w:p>
    <w:p w14:paraId="62B4EBB1">
      <w:pPr>
        <w:tabs>
          <w:tab w:val="center" w:pos="4832"/>
          <w:tab w:val="left" w:pos="7140"/>
        </w:tabs>
        <w:jc w:val="center"/>
        <w:outlineLvl w:val="1"/>
        <w:rPr>
          <w:rFonts w:hint="eastAsia" w:ascii="仿宋" w:hAnsi="仿宋" w:eastAsia="仿宋" w:cs="仿宋"/>
          <w:b/>
          <w:color w:val="auto"/>
          <w:sz w:val="24"/>
          <w:szCs w:val="24"/>
          <w:highlight w:val="none"/>
        </w:rPr>
      </w:pPr>
      <w:bookmarkStart w:id="271" w:name="_Toc29087"/>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、其它需要提交的资料</w:t>
      </w:r>
      <w:bookmarkEnd w:id="265"/>
      <w:bookmarkEnd w:id="266"/>
      <w:bookmarkEnd w:id="267"/>
      <w:bookmarkEnd w:id="268"/>
      <w:bookmarkEnd w:id="269"/>
      <w:bookmarkEnd w:id="270"/>
      <w:bookmarkEnd w:id="271"/>
    </w:p>
    <w:p w14:paraId="1EFD0F99">
      <w:pPr>
        <w:spacing w:line="360" w:lineRule="auto"/>
        <w:ind w:firstLine="480" w:firstLineChars="200"/>
        <w:rPr>
          <w:rFonts w:hint="eastAsia" w:ascii="仿宋" w:hAnsi="仿宋" w:eastAsia="仿宋" w:cs="仿宋"/>
          <w:color w:val="auto"/>
          <w:sz w:val="24"/>
          <w:szCs w:val="24"/>
          <w:highlight w:val="none"/>
        </w:rPr>
      </w:pPr>
    </w:p>
    <w:p w14:paraId="419941D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72" w:name="_Toc23260"/>
      <w:r>
        <w:rPr>
          <w:rFonts w:hint="eastAsia" w:ascii="仿宋" w:hAnsi="仿宋" w:eastAsia="仿宋" w:cs="仿宋"/>
          <w:b/>
          <w:color w:val="auto"/>
          <w:sz w:val="24"/>
          <w:szCs w:val="24"/>
          <w:highlight w:val="none"/>
        </w:rPr>
        <w:t>第六章 补充条款</w:t>
      </w:r>
      <w:bookmarkEnd w:id="248"/>
      <w:bookmarkEnd w:id="249"/>
      <w:bookmarkEnd w:id="250"/>
      <w:bookmarkEnd w:id="251"/>
      <w:bookmarkEnd w:id="272"/>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73" w:name="_Toc5592"/>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中小企业扶持政策</w:t>
      </w:r>
      <w:bookmarkEnd w:id="273"/>
    </w:p>
    <w:p w14:paraId="66E3D5D5">
      <w:pPr>
        <w:spacing w:line="360" w:lineRule="auto"/>
        <w:jc w:val="center"/>
        <w:rPr>
          <w:rFonts w:hint="eastAsia" w:ascii="仿宋" w:hAnsi="仿宋" w:eastAsia="仿宋" w:cs="仿宋"/>
          <w:color w:val="auto"/>
          <w:spacing w:val="6"/>
          <w:sz w:val="24"/>
          <w:szCs w:val="24"/>
          <w:highlight w:val="none"/>
        </w:rPr>
      </w:pPr>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lang w:val="en-US" w:eastAsia="zh-CN"/>
        </w:rPr>
      </w:pPr>
      <w:bookmarkStart w:id="274" w:name="_Toc20667"/>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残疾人企业扶持政策</w:t>
      </w:r>
      <w:bookmarkEnd w:id="274"/>
    </w:p>
    <w:p w14:paraId="691F0BAB">
      <w:pPr>
        <w:spacing w:line="360" w:lineRule="auto"/>
        <w:jc w:val="center"/>
        <w:rPr>
          <w:rFonts w:hint="eastAsia" w:ascii="仿宋" w:hAnsi="仿宋" w:eastAsia="仿宋" w:cs="仿宋"/>
          <w:color w:val="auto"/>
          <w:spacing w:val="6"/>
          <w:sz w:val="24"/>
          <w:szCs w:val="24"/>
          <w:highlight w:val="none"/>
        </w:rPr>
      </w:pPr>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8"/>
        <w:rPr>
          <w:rFonts w:hint="eastAsia" w:ascii="仿宋" w:hAnsi="仿宋" w:eastAsia="仿宋" w:cs="仿宋"/>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75" w:name="_Toc11453"/>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监狱扶持政策</w:t>
      </w:r>
      <w:bookmarkEnd w:id="275"/>
    </w:p>
    <w:p w14:paraId="57B5C2F9">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8"/>
        <w:rPr>
          <w:rFonts w:hint="eastAsia" w:ascii="仿宋" w:hAnsi="仿宋" w:eastAsia="仿宋" w:cs="仿宋"/>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jc w:val="both"/>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3"/>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52D5D66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3"/>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3"/>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7D13"/>
    <w:multiLevelType w:val="singleLevel"/>
    <w:tmpl w:val="DE837D13"/>
    <w:lvl w:ilvl="0" w:tentative="0">
      <w:start w:val="1"/>
      <w:numFmt w:val="decimal"/>
      <w:pStyle w:val="18"/>
      <w:lvlText w:val="%1."/>
      <w:lvlJc w:val="left"/>
      <w:pPr>
        <w:tabs>
          <w:tab w:val="left" w:pos="2040"/>
        </w:tabs>
        <w:ind w:left="2040" w:hanging="360"/>
      </w:p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82DED"/>
    <w:rsid w:val="016519C1"/>
    <w:rsid w:val="019239B4"/>
    <w:rsid w:val="0196601E"/>
    <w:rsid w:val="01BD7A4F"/>
    <w:rsid w:val="01C401C9"/>
    <w:rsid w:val="01DD30DE"/>
    <w:rsid w:val="01DE5716"/>
    <w:rsid w:val="02D23086"/>
    <w:rsid w:val="02DA63DE"/>
    <w:rsid w:val="02F94BC3"/>
    <w:rsid w:val="02FD6D4D"/>
    <w:rsid w:val="032E29E5"/>
    <w:rsid w:val="03EC32E0"/>
    <w:rsid w:val="04A3407A"/>
    <w:rsid w:val="04A8452D"/>
    <w:rsid w:val="04C13D69"/>
    <w:rsid w:val="05602A5A"/>
    <w:rsid w:val="056326BB"/>
    <w:rsid w:val="057C19CF"/>
    <w:rsid w:val="05A218FD"/>
    <w:rsid w:val="05BA5435"/>
    <w:rsid w:val="063F4718"/>
    <w:rsid w:val="068A0D23"/>
    <w:rsid w:val="06C00186"/>
    <w:rsid w:val="06CB3F2E"/>
    <w:rsid w:val="071719AF"/>
    <w:rsid w:val="071A149F"/>
    <w:rsid w:val="07356E91"/>
    <w:rsid w:val="07702E6D"/>
    <w:rsid w:val="07CA3595"/>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CAD06C0"/>
    <w:rsid w:val="0CB8153E"/>
    <w:rsid w:val="0CF3376D"/>
    <w:rsid w:val="0D2332ED"/>
    <w:rsid w:val="0D415C54"/>
    <w:rsid w:val="0D5C45C0"/>
    <w:rsid w:val="0DD028B8"/>
    <w:rsid w:val="0DDA3736"/>
    <w:rsid w:val="0DEA1BCB"/>
    <w:rsid w:val="0E347BBB"/>
    <w:rsid w:val="0E9272B5"/>
    <w:rsid w:val="0F4E7C06"/>
    <w:rsid w:val="0F5576A6"/>
    <w:rsid w:val="0F73174D"/>
    <w:rsid w:val="0F75161B"/>
    <w:rsid w:val="0FC21505"/>
    <w:rsid w:val="0FD348E1"/>
    <w:rsid w:val="0FE9445C"/>
    <w:rsid w:val="0FF7412C"/>
    <w:rsid w:val="103E5A93"/>
    <w:rsid w:val="10923E54"/>
    <w:rsid w:val="10E87F18"/>
    <w:rsid w:val="11204879"/>
    <w:rsid w:val="11C023CD"/>
    <w:rsid w:val="11C8783A"/>
    <w:rsid w:val="11F70C71"/>
    <w:rsid w:val="1202500A"/>
    <w:rsid w:val="128F3808"/>
    <w:rsid w:val="12BE5A78"/>
    <w:rsid w:val="12DA1AE3"/>
    <w:rsid w:val="131462C7"/>
    <w:rsid w:val="13955291"/>
    <w:rsid w:val="139B3968"/>
    <w:rsid w:val="13BD568C"/>
    <w:rsid w:val="13EF712B"/>
    <w:rsid w:val="13FB724D"/>
    <w:rsid w:val="1461239E"/>
    <w:rsid w:val="14642A47"/>
    <w:rsid w:val="14900FF3"/>
    <w:rsid w:val="14A423A8"/>
    <w:rsid w:val="14AB3CAB"/>
    <w:rsid w:val="14E47444"/>
    <w:rsid w:val="151948F4"/>
    <w:rsid w:val="158E37F0"/>
    <w:rsid w:val="15FD6214"/>
    <w:rsid w:val="1607785B"/>
    <w:rsid w:val="160A7825"/>
    <w:rsid w:val="16353154"/>
    <w:rsid w:val="16610551"/>
    <w:rsid w:val="168510F5"/>
    <w:rsid w:val="16D72F09"/>
    <w:rsid w:val="170B670F"/>
    <w:rsid w:val="178D2ADC"/>
    <w:rsid w:val="18047D2E"/>
    <w:rsid w:val="18510A99"/>
    <w:rsid w:val="185537EF"/>
    <w:rsid w:val="188E357D"/>
    <w:rsid w:val="18C372FC"/>
    <w:rsid w:val="18CB25F9"/>
    <w:rsid w:val="19043F59"/>
    <w:rsid w:val="19153875"/>
    <w:rsid w:val="19351120"/>
    <w:rsid w:val="19766A09"/>
    <w:rsid w:val="19A05834"/>
    <w:rsid w:val="1A891F2F"/>
    <w:rsid w:val="1A951111"/>
    <w:rsid w:val="1B140288"/>
    <w:rsid w:val="1B574618"/>
    <w:rsid w:val="1B8F0552"/>
    <w:rsid w:val="1B9A62B3"/>
    <w:rsid w:val="1BC17CE4"/>
    <w:rsid w:val="1BD10986"/>
    <w:rsid w:val="1BD664C1"/>
    <w:rsid w:val="1BF72D21"/>
    <w:rsid w:val="1C2D3D71"/>
    <w:rsid w:val="1C312E45"/>
    <w:rsid w:val="1C381D54"/>
    <w:rsid w:val="1CD47504"/>
    <w:rsid w:val="1D130331"/>
    <w:rsid w:val="1D174F3D"/>
    <w:rsid w:val="1D2027D7"/>
    <w:rsid w:val="1D28001A"/>
    <w:rsid w:val="1D860599"/>
    <w:rsid w:val="1DAA1C58"/>
    <w:rsid w:val="1E2A7DC2"/>
    <w:rsid w:val="1E62130A"/>
    <w:rsid w:val="1E641526"/>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993768"/>
    <w:rsid w:val="22C47358"/>
    <w:rsid w:val="22C858FF"/>
    <w:rsid w:val="22DC7E78"/>
    <w:rsid w:val="238F6834"/>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6F7280B"/>
    <w:rsid w:val="271B474C"/>
    <w:rsid w:val="272B1672"/>
    <w:rsid w:val="27535154"/>
    <w:rsid w:val="27541D8F"/>
    <w:rsid w:val="275639D6"/>
    <w:rsid w:val="275D6B12"/>
    <w:rsid w:val="27C065A2"/>
    <w:rsid w:val="28092E82"/>
    <w:rsid w:val="283C7070"/>
    <w:rsid w:val="284B1663"/>
    <w:rsid w:val="285831A2"/>
    <w:rsid w:val="287D5314"/>
    <w:rsid w:val="28AB0135"/>
    <w:rsid w:val="28C32245"/>
    <w:rsid w:val="28D771B3"/>
    <w:rsid w:val="28E15521"/>
    <w:rsid w:val="28F22610"/>
    <w:rsid w:val="294A6240"/>
    <w:rsid w:val="294D1B32"/>
    <w:rsid w:val="297B7831"/>
    <w:rsid w:val="29C15A7E"/>
    <w:rsid w:val="2AD4533E"/>
    <w:rsid w:val="2ADF3CE2"/>
    <w:rsid w:val="2B006133"/>
    <w:rsid w:val="2B183E1B"/>
    <w:rsid w:val="2B19215E"/>
    <w:rsid w:val="2BCC11A7"/>
    <w:rsid w:val="2BDB76C2"/>
    <w:rsid w:val="2BE27F2E"/>
    <w:rsid w:val="2BE87AAD"/>
    <w:rsid w:val="2C37360C"/>
    <w:rsid w:val="2C424529"/>
    <w:rsid w:val="2C5A3DB0"/>
    <w:rsid w:val="2D5B1AF1"/>
    <w:rsid w:val="2D7121BC"/>
    <w:rsid w:val="2D8F7C42"/>
    <w:rsid w:val="2DB61DC2"/>
    <w:rsid w:val="2E61479F"/>
    <w:rsid w:val="2E935510"/>
    <w:rsid w:val="2EC21111"/>
    <w:rsid w:val="2ED964C1"/>
    <w:rsid w:val="2F0C2E65"/>
    <w:rsid w:val="2F113395"/>
    <w:rsid w:val="2F3F2FA2"/>
    <w:rsid w:val="2FBD207A"/>
    <w:rsid w:val="2FC46C7B"/>
    <w:rsid w:val="2FE8309F"/>
    <w:rsid w:val="2FF975F4"/>
    <w:rsid w:val="30226E93"/>
    <w:rsid w:val="302A1EA4"/>
    <w:rsid w:val="30847806"/>
    <w:rsid w:val="31181CFC"/>
    <w:rsid w:val="319770C5"/>
    <w:rsid w:val="325A31AA"/>
    <w:rsid w:val="32650FD7"/>
    <w:rsid w:val="32916000"/>
    <w:rsid w:val="33163A81"/>
    <w:rsid w:val="332561EC"/>
    <w:rsid w:val="339C09C3"/>
    <w:rsid w:val="33AB50A9"/>
    <w:rsid w:val="33DC5BDE"/>
    <w:rsid w:val="3446557F"/>
    <w:rsid w:val="34567FB6"/>
    <w:rsid w:val="34A30383"/>
    <w:rsid w:val="34C1517C"/>
    <w:rsid w:val="351E0F07"/>
    <w:rsid w:val="3589141A"/>
    <w:rsid w:val="3599165E"/>
    <w:rsid w:val="35AA46AB"/>
    <w:rsid w:val="35D97CAC"/>
    <w:rsid w:val="35E46651"/>
    <w:rsid w:val="35FF348B"/>
    <w:rsid w:val="36063CE6"/>
    <w:rsid w:val="3647031A"/>
    <w:rsid w:val="368528CA"/>
    <w:rsid w:val="36D668E1"/>
    <w:rsid w:val="37984548"/>
    <w:rsid w:val="37B13D2C"/>
    <w:rsid w:val="37E61FE4"/>
    <w:rsid w:val="380D6333"/>
    <w:rsid w:val="384004B6"/>
    <w:rsid w:val="38400B30"/>
    <w:rsid w:val="386901D1"/>
    <w:rsid w:val="38DB2C38"/>
    <w:rsid w:val="38F256D0"/>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2515D5"/>
    <w:rsid w:val="3CDE6407"/>
    <w:rsid w:val="3CFB0E50"/>
    <w:rsid w:val="3D136199"/>
    <w:rsid w:val="3D2F6747"/>
    <w:rsid w:val="3D410A49"/>
    <w:rsid w:val="3DF82424"/>
    <w:rsid w:val="3E607FF6"/>
    <w:rsid w:val="3E864749"/>
    <w:rsid w:val="3E9064A4"/>
    <w:rsid w:val="3EA34825"/>
    <w:rsid w:val="3F0044FB"/>
    <w:rsid w:val="3F22673D"/>
    <w:rsid w:val="3F32042D"/>
    <w:rsid w:val="3F543E53"/>
    <w:rsid w:val="3F984734"/>
    <w:rsid w:val="3FAE422A"/>
    <w:rsid w:val="3FDA7ED4"/>
    <w:rsid w:val="40224945"/>
    <w:rsid w:val="40742202"/>
    <w:rsid w:val="409C0254"/>
    <w:rsid w:val="40BE01CA"/>
    <w:rsid w:val="40D854C8"/>
    <w:rsid w:val="410B008F"/>
    <w:rsid w:val="416845DA"/>
    <w:rsid w:val="418331C2"/>
    <w:rsid w:val="41AE59AC"/>
    <w:rsid w:val="42273EA0"/>
    <w:rsid w:val="423F17DF"/>
    <w:rsid w:val="42402E61"/>
    <w:rsid w:val="4276314B"/>
    <w:rsid w:val="42876CE2"/>
    <w:rsid w:val="42F70A75"/>
    <w:rsid w:val="432D5ADB"/>
    <w:rsid w:val="4358085A"/>
    <w:rsid w:val="43BC79A0"/>
    <w:rsid w:val="44093E52"/>
    <w:rsid w:val="44123658"/>
    <w:rsid w:val="441B2477"/>
    <w:rsid w:val="44617F98"/>
    <w:rsid w:val="446C43E1"/>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1C53"/>
    <w:rsid w:val="480F46F9"/>
    <w:rsid w:val="489108BA"/>
    <w:rsid w:val="490364C8"/>
    <w:rsid w:val="496747FE"/>
    <w:rsid w:val="4972249A"/>
    <w:rsid w:val="498F50D9"/>
    <w:rsid w:val="49D00F6E"/>
    <w:rsid w:val="49EA3D54"/>
    <w:rsid w:val="49EB7B56"/>
    <w:rsid w:val="49FF361D"/>
    <w:rsid w:val="4A3228A6"/>
    <w:rsid w:val="4A3B24EE"/>
    <w:rsid w:val="4A3B6699"/>
    <w:rsid w:val="4A7E7BF1"/>
    <w:rsid w:val="4A83508C"/>
    <w:rsid w:val="4A835FE1"/>
    <w:rsid w:val="4B1F3C01"/>
    <w:rsid w:val="4B553E21"/>
    <w:rsid w:val="4B5C6F5D"/>
    <w:rsid w:val="4B5F25AA"/>
    <w:rsid w:val="4BE84ADE"/>
    <w:rsid w:val="4BEA35E2"/>
    <w:rsid w:val="4C2D26A8"/>
    <w:rsid w:val="4C9B1D07"/>
    <w:rsid w:val="4C9E46AD"/>
    <w:rsid w:val="4CEC3221"/>
    <w:rsid w:val="4D245859"/>
    <w:rsid w:val="4D5221B8"/>
    <w:rsid w:val="4DE8774A"/>
    <w:rsid w:val="4DF354E4"/>
    <w:rsid w:val="4E121B55"/>
    <w:rsid w:val="4E6F2738"/>
    <w:rsid w:val="4E822DD2"/>
    <w:rsid w:val="4EEF633A"/>
    <w:rsid w:val="4EF574D2"/>
    <w:rsid w:val="4F02606E"/>
    <w:rsid w:val="4F22401A"/>
    <w:rsid w:val="4F3D0E54"/>
    <w:rsid w:val="4F561F16"/>
    <w:rsid w:val="4F806F93"/>
    <w:rsid w:val="4F9D7B44"/>
    <w:rsid w:val="4FA17635"/>
    <w:rsid w:val="4FC43323"/>
    <w:rsid w:val="4FD712A8"/>
    <w:rsid w:val="4FDE2637"/>
    <w:rsid w:val="50615016"/>
    <w:rsid w:val="50783615"/>
    <w:rsid w:val="50A22688"/>
    <w:rsid w:val="50C03AEB"/>
    <w:rsid w:val="510A745C"/>
    <w:rsid w:val="51431169"/>
    <w:rsid w:val="51482C7D"/>
    <w:rsid w:val="515B7031"/>
    <w:rsid w:val="51965D71"/>
    <w:rsid w:val="52804A52"/>
    <w:rsid w:val="52B256B5"/>
    <w:rsid w:val="531E4716"/>
    <w:rsid w:val="532F4F57"/>
    <w:rsid w:val="53310342"/>
    <w:rsid w:val="53A72D40"/>
    <w:rsid w:val="53B34B12"/>
    <w:rsid w:val="53B355D7"/>
    <w:rsid w:val="53C806C1"/>
    <w:rsid w:val="53F33750"/>
    <w:rsid w:val="541E31C1"/>
    <w:rsid w:val="543C3DD0"/>
    <w:rsid w:val="54BE5272"/>
    <w:rsid w:val="55E60D40"/>
    <w:rsid w:val="561C4D71"/>
    <w:rsid w:val="567B189B"/>
    <w:rsid w:val="57633CE5"/>
    <w:rsid w:val="577A4DC8"/>
    <w:rsid w:val="57960AF2"/>
    <w:rsid w:val="57C83332"/>
    <w:rsid w:val="58311772"/>
    <w:rsid w:val="589E0EC5"/>
    <w:rsid w:val="58C46142"/>
    <w:rsid w:val="58D26AB1"/>
    <w:rsid w:val="58E107A1"/>
    <w:rsid w:val="58E16CF4"/>
    <w:rsid w:val="59145045"/>
    <w:rsid w:val="591D7F46"/>
    <w:rsid w:val="5A364E1D"/>
    <w:rsid w:val="5A443ABB"/>
    <w:rsid w:val="5A957D96"/>
    <w:rsid w:val="5AA77AC9"/>
    <w:rsid w:val="5ABE498D"/>
    <w:rsid w:val="5AD76600"/>
    <w:rsid w:val="5B5A431C"/>
    <w:rsid w:val="5BA30291"/>
    <w:rsid w:val="5BCA7F13"/>
    <w:rsid w:val="5C001B87"/>
    <w:rsid w:val="5C1A4C32"/>
    <w:rsid w:val="5C402786"/>
    <w:rsid w:val="5CAC586B"/>
    <w:rsid w:val="5CB519F1"/>
    <w:rsid w:val="5D2C38E4"/>
    <w:rsid w:val="5D2D2508"/>
    <w:rsid w:val="5D445AA3"/>
    <w:rsid w:val="5D8B5B79"/>
    <w:rsid w:val="5DE30E18"/>
    <w:rsid w:val="5DF448C0"/>
    <w:rsid w:val="5DFB2D6D"/>
    <w:rsid w:val="5E4F72F6"/>
    <w:rsid w:val="5EEB4428"/>
    <w:rsid w:val="5F57386C"/>
    <w:rsid w:val="5F5B4A5D"/>
    <w:rsid w:val="5F7067E7"/>
    <w:rsid w:val="5F9745B0"/>
    <w:rsid w:val="5FB355F1"/>
    <w:rsid w:val="5FD255E8"/>
    <w:rsid w:val="602D0A71"/>
    <w:rsid w:val="603277EB"/>
    <w:rsid w:val="60777D0A"/>
    <w:rsid w:val="6098238E"/>
    <w:rsid w:val="60D47DFC"/>
    <w:rsid w:val="60D659FD"/>
    <w:rsid w:val="61835CB6"/>
    <w:rsid w:val="61845D8D"/>
    <w:rsid w:val="61F611D0"/>
    <w:rsid w:val="61FE0917"/>
    <w:rsid w:val="62287777"/>
    <w:rsid w:val="628F56D7"/>
    <w:rsid w:val="62A53835"/>
    <w:rsid w:val="62E4606E"/>
    <w:rsid w:val="62EC4C13"/>
    <w:rsid w:val="63332842"/>
    <w:rsid w:val="633E116D"/>
    <w:rsid w:val="63586D06"/>
    <w:rsid w:val="63A97172"/>
    <w:rsid w:val="64383AD1"/>
    <w:rsid w:val="64502F80"/>
    <w:rsid w:val="64590086"/>
    <w:rsid w:val="65735178"/>
    <w:rsid w:val="6577044D"/>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7CE1AA6"/>
    <w:rsid w:val="68012F0F"/>
    <w:rsid w:val="68555008"/>
    <w:rsid w:val="686200DD"/>
    <w:rsid w:val="688D02FE"/>
    <w:rsid w:val="688F22C8"/>
    <w:rsid w:val="68EB20F0"/>
    <w:rsid w:val="68ED3493"/>
    <w:rsid w:val="68F95994"/>
    <w:rsid w:val="6917406C"/>
    <w:rsid w:val="694420CC"/>
    <w:rsid w:val="69601EB7"/>
    <w:rsid w:val="69661355"/>
    <w:rsid w:val="696E1C4C"/>
    <w:rsid w:val="6A0A597F"/>
    <w:rsid w:val="6A31115D"/>
    <w:rsid w:val="6A7F7B72"/>
    <w:rsid w:val="6A8E035E"/>
    <w:rsid w:val="6AC0668D"/>
    <w:rsid w:val="6ADF6E0B"/>
    <w:rsid w:val="6AFA27E1"/>
    <w:rsid w:val="6B067791"/>
    <w:rsid w:val="6B0F6EB3"/>
    <w:rsid w:val="6B7B77ED"/>
    <w:rsid w:val="6B923E7E"/>
    <w:rsid w:val="6BAF4A30"/>
    <w:rsid w:val="6C16685D"/>
    <w:rsid w:val="6C382C77"/>
    <w:rsid w:val="6D714693"/>
    <w:rsid w:val="6D9034EF"/>
    <w:rsid w:val="6DD01ED5"/>
    <w:rsid w:val="6DD05733"/>
    <w:rsid w:val="6E1D776A"/>
    <w:rsid w:val="6E3336F6"/>
    <w:rsid w:val="6E3E23D3"/>
    <w:rsid w:val="6E58315D"/>
    <w:rsid w:val="6E9137E0"/>
    <w:rsid w:val="6E916298"/>
    <w:rsid w:val="6EA84809"/>
    <w:rsid w:val="6EF041DC"/>
    <w:rsid w:val="6F4831D1"/>
    <w:rsid w:val="6F66625A"/>
    <w:rsid w:val="6FAF3250"/>
    <w:rsid w:val="6FCE7B7A"/>
    <w:rsid w:val="6FD607DD"/>
    <w:rsid w:val="6FF75479"/>
    <w:rsid w:val="70613731"/>
    <w:rsid w:val="70812E3F"/>
    <w:rsid w:val="70981F36"/>
    <w:rsid w:val="70997AC2"/>
    <w:rsid w:val="713003C1"/>
    <w:rsid w:val="713A2FED"/>
    <w:rsid w:val="71706A0F"/>
    <w:rsid w:val="719178EE"/>
    <w:rsid w:val="71BC3A02"/>
    <w:rsid w:val="723839D1"/>
    <w:rsid w:val="72BA11D4"/>
    <w:rsid w:val="739F6935"/>
    <w:rsid w:val="745E5245"/>
    <w:rsid w:val="74DD43BC"/>
    <w:rsid w:val="74DE2D28"/>
    <w:rsid w:val="75317F36"/>
    <w:rsid w:val="753A7A60"/>
    <w:rsid w:val="759242AE"/>
    <w:rsid w:val="75FC4D15"/>
    <w:rsid w:val="761738FD"/>
    <w:rsid w:val="76431924"/>
    <w:rsid w:val="765518E7"/>
    <w:rsid w:val="767E572A"/>
    <w:rsid w:val="771E7D75"/>
    <w:rsid w:val="776668EA"/>
    <w:rsid w:val="77BA09E4"/>
    <w:rsid w:val="77E12415"/>
    <w:rsid w:val="77FA5285"/>
    <w:rsid w:val="781E0F73"/>
    <w:rsid w:val="782725D3"/>
    <w:rsid w:val="787F225F"/>
    <w:rsid w:val="78A376CA"/>
    <w:rsid w:val="78B638A1"/>
    <w:rsid w:val="791871BB"/>
    <w:rsid w:val="794A3E9B"/>
    <w:rsid w:val="798968C0"/>
    <w:rsid w:val="79D96301"/>
    <w:rsid w:val="79DC7338"/>
    <w:rsid w:val="7A1A0D3D"/>
    <w:rsid w:val="7A344A7E"/>
    <w:rsid w:val="7AA664FD"/>
    <w:rsid w:val="7AC51B7A"/>
    <w:rsid w:val="7B0A3A31"/>
    <w:rsid w:val="7B1524BC"/>
    <w:rsid w:val="7BD754B6"/>
    <w:rsid w:val="7BE36163"/>
    <w:rsid w:val="7BE60B10"/>
    <w:rsid w:val="7C00428B"/>
    <w:rsid w:val="7C126A94"/>
    <w:rsid w:val="7C69085F"/>
    <w:rsid w:val="7D5B1FAF"/>
    <w:rsid w:val="7DC4607A"/>
    <w:rsid w:val="7E4253D3"/>
    <w:rsid w:val="7E6E734E"/>
    <w:rsid w:val="7E985949"/>
    <w:rsid w:val="7EA22E41"/>
    <w:rsid w:val="7EC30AC6"/>
    <w:rsid w:val="7EFB1398"/>
    <w:rsid w:val="7F463856"/>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2"/>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30"/>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8"/>
    <w:qFormat/>
    <w:uiPriority w:val="0"/>
    <w:pPr>
      <w:jc w:val="left"/>
    </w:pPr>
  </w:style>
  <w:style w:type="paragraph" w:styleId="12">
    <w:name w:val="Body Text"/>
    <w:basedOn w:val="1"/>
    <w:next w:val="13"/>
    <w:link w:val="133"/>
    <w:qFormat/>
    <w:uiPriority w:val="99"/>
    <w:pPr>
      <w:spacing w:after="120"/>
    </w:pPr>
    <w:rPr>
      <w:rFonts w:ascii="Calibri" w:hAnsi="Calibri" w:eastAsia="宋体" w:cs="Times New Roman"/>
      <w:kern w:val="0"/>
      <w:sz w:val="24"/>
      <w:szCs w:val="20"/>
    </w:rPr>
  </w:style>
  <w:style w:type="paragraph" w:customStyle="1" w:styleId="1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4">
    <w:name w:val="Body Text Indent"/>
    <w:basedOn w:val="1"/>
    <w:next w:val="1"/>
    <w:link w:val="64"/>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18"/>
    <w:link w:val="193"/>
    <w:qFormat/>
    <w:uiPriority w:val="0"/>
    <w:rPr>
      <w:rFonts w:ascii="宋体" w:hAnsi="Courier New" w:eastAsia="宋体"/>
      <w:szCs w:val="21"/>
    </w:rPr>
  </w:style>
  <w:style w:type="paragraph" w:styleId="18">
    <w:name w:val="List Number 5"/>
    <w:basedOn w:val="1"/>
    <w:semiHidden/>
    <w:unhideWhenUsed/>
    <w:qFormat/>
    <w:uiPriority w:val="99"/>
    <w:pPr>
      <w:numPr>
        <w:ilvl w:val="0"/>
        <w:numId w:val="1"/>
      </w:numPr>
    </w:p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3"/>
    <w:qFormat/>
    <w:uiPriority w:val="0"/>
    <w:rPr>
      <w:szCs w:val="21"/>
    </w:rPr>
  </w:style>
  <w:style w:type="paragraph" w:styleId="21">
    <w:name w:val="Body Text Indent 2"/>
    <w:basedOn w:val="1"/>
    <w:link w:val="126"/>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6"/>
    <w:qFormat/>
    <w:uiPriority w:val="99"/>
    <w:rPr>
      <w:rFonts w:ascii="Calibri" w:hAnsi="Calibri" w:eastAsia="宋体" w:cs="Times New Roman"/>
      <w:sz w:val="18"/>
      <w:szCs w:val="18"/>
    </w:rPr>
  </w:style>
  <w:style w:type="paragraph" w:styleId="23">
    <w:name w:val="footer"/>
    <w:basedOn w:val="1"/>
    <w:next w:val="1"/>
    <w:link w:val="63"/>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footnote text"/>
    <w:basedOn w:val="1"/>
    <w:link w:val="170"/>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28"/>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link w:val="156"/>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1"/>
    <w:next w:val="11"/>
    <w:link w:val="163"/>
    <w:qFormat/>
    <w:uiPriority w:val="0"/>
    <w:rPr>
      <w:b/>
      <w:bCs/>
    </w:rPr>
  </w:style>
  <w:style w:type="paragraph" w:styleId="38">
    <w:name w:val="Body Text First Indent"/>
    <w:basedOn w:val="12"/>
    <w:link w:val="203"/>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9">
    <w:name w:val="Body Text First Indent 2"/>
    <w:basedOn w:val="14"/>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paragraph" w:customStyle="1" w:styleId="5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58">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9">
    <w:name w:val="标题 1 字符"/>
    <w:basedOn w:val="42"/>
    <w:link w:val="2"/>
    <w:qFormat/>
    <w:uiPriority w:val="9"/>
    <w:rPr>
      <w:rFonts w:ascii="???" w:hAnsi="???" w:eastAsia="宋体" w:cs="Arial"/>
      <w:b/>
      <w:bCs/>
      <w:color w:val="020000"/>
      <w:kern w:val="36"/>
      <w:sz w:val="44"/>
      <w:szCs w:val="44"/>
    </w:rPr>
  </w:style>
  <w:style w:type="character" w:customStyle="1" w:styleId="60">
    <w:name w:val="标题 3 字符"/>
    <w:basedOn w:val="42"/>
    <w:link w:val="4"/>
    <w:qFormat/>
    <w:uiPriority w:val="0"/>
    <w:rPr>
      <w:rFonts w:ascii="??" w:hAnsi="??" w:eastAsia="宋体" w:cs="Arial"/>
      <w:b/>
      <w:bCs/>
      <w:color w:val="000000"/>
      <w:kern w:val="0"/>
      <w:sz w:val="32"/>
      <w:szCs w:val="32"/>
    </w:rPr>
  </w:style>
  <w:style w:type="character" w:customStyle="1" w:styleId="61">
    <w:name w:val="标题 2 字符"/>
    <w:basedOn w:val="42"/>
    <w:link w:val="3"/>
    <w:qFormat/>
    <w:uiPriority w:val="99"/>
    <w:rPr>
      <w:rFonts w:ascii="???" w:hAnsi="???" w:eastAsia="宋体" w:cs="Arial"/>
      <w:b/>
      <w:bCs/>
      <w:color w:val="020000"/>
      <w:kern w:val="0"/>
      <w:sz w:val="32"/>
      <w:szCs w:val="32"/>
    </w:rPr>
  </w:style>
  <w:style w:type="character" w:customStyle="1" w:styleId="62">
    <w:name w:val="页眉 字符"/>
    <w:basedOn w:val="42"/>
    <w:link w:val="24"/>
    <w:qFormat/>
    <w:uiPriority w:val="99"/>
    <w:rPr>
      <w:rFonts w:ascii="Calibri" w:hAnsi="Calibri" w:eastAsia="宋体" w:cs="Times New Roman"/>
      <w:sz w:val="18"/>
      <w:szCs w:val="18"/>
    </w:rPr>
  </w:style>
  <w:style w:type="character" w:customStyle="1" w:styleId="63">
    <w:name w:val="页脚 字符"/>
    <w:basedOn w:val="42"/>
    <w:link w:val="23"/>
    <w:qFormat/>
    <w:uiPriority w:val="99"/>
    <w:rPr>
      <w:rFonts w:ascii="Calibri" w:hAnsi="Calibri" w:eastAsia="宋体" w:cs="Times New Roman"/>
      <w:sz w:val="18"/>
      <w:szCs w:val="18"/>
    </w:rPr>
  </w:style>
  <w:style w:type="character" w:customStyle="1" w:styleId="64">
    <w:name w:val="正文文本缩进 字符"/>
    <w:basedOn w:val="42"/>
    <w:link w:val="14"/>
    <w:qFormat/>
    <w:uiPriority w:val="0"/>
    <w:rPr>
      <w:rFonts w:ascii="??" w:hAnsi="??" w:eastAsia="宋体" w:cs="Arial"/>
      <w:kern w:val="0"/>
      <w:sz w:val="24"/>
      <w:szCs w:val="24"/>
    </w:rPr>
  </w:style>
  <w:style w:type="paragraph" w:customStyle="1" w:styleId="65">
    <w:name w:val="列出段落1"/>
    <w:basedOn w:val="1"/>
    <w:qFormat/>
    <w:uiPriority w:val="34"/>
    <w:pPr>
      <w:ind w:firstLine="420" w:firstLineChars="200"/>
    </w:pPr>
    <w:rPr>
      <w:rFonts w:ascii="Calibri" w:hAnsi="Calibri" w:eastAsia="宋体" w:cs="Times New Roman"/>
    </w:rPr>
  </w:style>
  <w:style w:type="character" w:customStyle="1" w:styleId="66">
    <w:name w:val="标题 2 Char Char"/>
    <w:qFormat/>
    <w:uiPriority w:val="99"/>
    <w:rPr>
      <w:rFonts w:ascii="Arial" w:hAnsi="Arial" w:eastAsia="黑体"/>
      <w:b/>
      <w:kern w:val="2"/>
      <w:sz w:val="32"/>
      <w:lang w:val="en-US" w:eastAsia="zh-CN"/>
    </w:rPr>
  </w:style>
  <w:style w:type="character" w:customStyle="1" w:styleId="67">
    <w:name w:val="2charchar"/>
    <w:basedOn w:val="42"/>
    <w:qFormat/>
    <w:uiPriority w:val="99"/>
    <w:rPr>
      <w:rFonts w:cs="Times New Roman"/>
    </w:rPr>
  </w:style>
  <w:style w:type="paragraph" w:customStyle="1" w:styleId="68">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9">
    <w:name w:val="z-窗体顶端1"/>
    <w:basedOn w:val="1"/>
    <w:next w:val="1"/>
    <w:link w:val="70"/>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0">
    <w:name w:val="z-窗体顶端 Char"/>
    <w:basedOn w:val="42"/>
    <w:link w:val="69"/>
    <w:semiHidden/>
    <w:qFormat/>
    <w:uiPriority w:val="99"/>
    <w:rPr>
      <w:rFonts w:ascii="Arial" w:hAnsi="Arial" w:eastAsia="宋体" w:cs="Arial"/>
      <w:vanish/>
      <w:kern w:val="0"/>
      <w:sz w:val="16"/>
      <w:szCs w:val="16"/>
    </w:rPr>
  </w:style>
  <w:style w:type="paragraph" w:customStyle="1" w:styleId="71">
    <w:name w:val="z-窗体底端1"/>
    <w:basedOn w:val="1"/>
    <w:next w:val="1"/>
    <w:link w:val="72"/>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2">
    <w:name w:val="z-窗体底端 Char"/>
    <w:basedOn w:val="42"/>
    <w:link w:val="71"/>
    <w:semiHidden/>
    <w:qFormat/>
    <w:uiPriority w:val="99"/>
    <w:rPr>
      <w:rFonts w:ascii="Arial" w:hAnsi="Arial" w:eastAsia="宋体" w:cs="Arial"/>
      <w:vanish/>
      <w:kern w:val="0"/>
      <w:sz w:val="16"/>
      <w:szCs w:val="16"/>
    </w:rPr>
  </w:style>
  <w:style w:type="paragraph" w:customStyle="1" w:styleId="73">
    <w:name w:val="hu正文"/>
    <w:basedOn w:val="1"/>
    <w:link w:val="74"/>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4">
    <w:name w:val="hu正文 Char"/>
    <w:link w:val="73"/>
    <w:qFormat/>
    <w:locked/>
    <w:uiPriority w:val="99"/>
    <w:rPr>
      <w:rFonts w:ascii="Times New Roman" w:hAnsi="Times New Roman" w:eastAsia="宋体" w:cs="Times New Roman"/>
      <w:kern w:val="0"/>
      <w:sz w:val="24"/>
      <w:szCs w:val="20"/>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6">
    <w:name w:val="批注框文本 字符"/>
    <w:basedOn w:val="42"/>
    <w:link w:val="22"/>
    <w:qFormat/>
    <w:uiPriority w:val="99"/>
    <w:rPr>
      <w:rFonts w:ascii="Calibri" w:hAnsi="Calibri" w:eastAsia="宋体" w:cs="Times New Roman"/>
      <w:sz w:val="18"/>
      <w:szCs w:val="18"/>
    </w:rPr>
  </w:style>
  <w:style w:type="character" w:customStyle="1" w:styleId="77">
    <w:name w:val="ui-bz-bg-hover1"/>
    <w:basedOn w:val="42"/>
    <w:qFormat/>
    <w:uiPriority w:val="99"/>
    <w:rPr>
      <w:rFonts w:cs="Times New Roman"/>
    </w:rPr>
  </w:style>
  <w:style w:type="character" w:customStyle="1" w:styleId="78">
    <w:name w:val="批注框文本 Char1"/>
    <w:qFormat/>
    <w:uiPriority w:val="99"/>
    <w:rPr>
      <w:rFonts w:ascii="Times New Roman" w:hAnsi="Times New Roman" w:eastAsia="宋体"/>
      <w:sz w:val="18"/>
    </w:rPr>
  </w:style>
  <w:style w:type="character" w:customStyle="1" w:styleId="79">
    <w:name w:val="bds_nopic"/>
    <w:basedOn w:val="42"/>
    <w:qFormat/>
    <w:uiPriority w:val="99"/>
    <w:rPr>
      <w:rFonts w:cs="Times New Roman"/>
    </w:rPr>
  </w:style>
  <w:style w:type="character" w:customStyle="1" w:styleId="80">
    <w:name w:val="tip12"/>
    <w:qFormat/>
    <w:uiPriority w:val="99"/>
    <w:rPr>
      <w:vanish/>
      <w:color w:val="FF0000"/>
      <w:sz w:val="18"/>
    </w:rPr>
  </w:style>
  <w:style w:type="character" w:customStyle="1" w:styleId="81">
    <w:name w:val="Body Text Indent 3 Char"/>
    <w:qFormat/>
    <w:locked/>
    <w:uiPriority w:val="99"/>
    <w:rPr>
      <w:rFonts w:ascii="宋体" w:eastAsia="宋体"/>
    </w:rPr>
  </w:style>
  <w:style w:type="character" w:customStyle="1" w:styleId="82">
    <w:name w:val="HTML Markup"/>
    <w:qFormat/>
    <w:uiPriority w:val="99"/>
    <w:rPr>
      <w:vanish/>
      <w:color w:val="FF0000"/>
    </w:rPr>
  </w:style>
  <w:style w:type="character" w:customStyle="1" w:styleId="83">
    <w:name w:val="tip7"/>
    <w:qFormat/>
    <w:uiPriority w:val="99"/>
    <w:rPr>
      <w:vanish/>
      <w:color w:val="FF0000"/>
      <w:sz w:val="18"/>
    </w:rPr>
  </w:style>
  <w:style w:type="character" w:customStyle="1" w:styleId="84">
    <w:name w:val="f-star"/>
    <w:qFormat/>
    <w:uiPriority w:val="99"/>
    <w:rPr>
      <w:color w:val="999999"/>
      <w:sz w:val="21"/>
    </w:rPr>
  </w:style>
  <w:style w:type="character" w:customStyle="1" w:styleId="85">
    <w:name w:val="Document Map Char1"/>
    <w:qFormat/>
    <w:uiPriority w:val="99"/>
    <w:rPr>
      <w:rFonts w:ascii="Times New Roman" w:hAnsi="Times New Roman"/>
      <w:kern w:val="2"/>
      <w:sz w:val="2"/>
    </w:rPr>
  </w:style>
  <w:style w:type="character" w:customStyle="1" w:styleId="86">
    <w:name w:val="my-class2"/>
    <w:basedOn w:val="42"/>
    <w:qFormat/>
    <w:uiPriority w:val="99"/>
    <w:rPr>
      <w:rFonts w:cs="Times New Roman"/>
    </w:rPr>
  </w:style>
  <w:style w:type="character" w:customStyle="1" w:styleId="87">
    <w:name w:val="no52"/>
    <w:basedOn w:val="42"/>
    <w:qFormat/>
    <w:uiPriority w:val="99"/>
    <w:rPr>
      <w:rFonts w:cs="Times New Roman"/>
    </w:rPr>
  </w:style>
  <w:style w:type="character" w:customStyle="1" w:styleId="88">
    <w:name w:val="no4"/>
    <w:basedOn w:val="42"/>
    <w:qFormat/>
    <w:uiPriority w:val="99"/>
    <w:rPr>
      <w:rFonts w:cs="Times New Roman"/>
    </w:rPr>
  </w:style>
  <w:style w:type="character" w:customStyle="1" w:styleId="89">
    <w:name w:val="my-notice"/>
    <w:basedOn w:val="42"/>
    <w:qFormat/>
    <w:uiPriority w:val="99"/>
    <w:rPr>
      <w:rFonts w:cs="Times New Roman"/>
    </w:rPr>
  </w:style>
  <w:style w:type="character" w:customStyle="1" w:styleId="90">
    <w:name w:val="ico-jiang"/>
    <w:basedOn w:val="42"/>
    <w:qFormat/>
    <w:uiPriority w:val="99"/>
    <w:rPr>
      <w:rFonts w:cs="Times New Roman"/>
    </w:rPr>
  </w:style>
  <w:style w:type="character" w:customStyle="1" w:styleId="91">
    <w:name w:val="ico-jiang2"/>
    <w:basedOn w:val="42"/>
    <w:qFormat/>
    <w:uiPriority w:val="99"/>
    <w:rPr>
      <w:rFonts w:cs="Times New Roman"/>
    </w:rPr>
  </w:style>
  <w:style w:type="character" w:customStyle="1" w:styleId="92">
    <w:name w:val="bds_more1"/>
    <w:qFormat/>
    <w:uiPriority w:val="99"/>
    <w:rPr>
      <w:rFonts w:ascii="宋体" w:hAnsi="宋体" w:eastAsia="宋体"/>
    </w:rPr>
  </w:style>
  <w:style w:type="character" w:customStyle="1" w:styleId="93">
    <w:name w:val="Body Text Indent 2 Char"/>
    <w:qFormat/>
    <w:locked/>
    <w:uiPriority w:val="99"/>
    <w:rPr>
      <w:rFonts w:ascii="宋体" w:eastAsia="宋体"/>
      <w:sz w:val="24"/>
    </w:rPr>
  </w:style>
  <w:style w:type="character" w:customStyle="1" w:styleId="94">
    <w:name w:val="org_name"/>
    <w:basedOn w:val="42"/>
    <w:qFormat/>
    <w:uiPriority w:val="99"/>
    <w:rPr>
      <w:rFonts w:cs="Times New Roman"/>
    </w:rPr>
  </w:style>
  <w:style w:type="character" w:customStyle="1" w:styleId="95">
    <w:name w:val="org_name2"/>
    <w:basedOn w:val="42"/>
    <w:qFormat/>
    <w:uiPriority w:val="99"/>
    <w:rPr>
      <w:rFonts w:cs="Times New Roman"/>
    </w:rPr>
  </w:style>
  <w:style w:type="character" w:customStyle="1" w:styleId="96">
    <w:name w:val="tip10"/>
    <w:qFormat/>
    <w:uiPriority w:val="99"/>
    <w:rPr>
      <w:vanish/>
      <w:color w:val="FF0000"/>
      <w:sz w:val="18"/>
    </w:rPr>
  </w:style>
  <w:style w:type="character" w:customStyle="1" w:styleId="97">
    <w:name w:val="orange"/>
    <w:qFormat/>
    <w:uiPriority w:val="99"/>
    <w:rPr>
      <w:color w:val="3FB58F"/>
    </w:rPr>
  </w:style>
  <w:style w:type="character" w:customStyle="1" w:styleId="98">
    <w:name w:val="bds_more"/>
    <w:basedOn w:val="42"/>
    <w:qFormat/>
    <w:uiPriority w:val="99"/>
    <w:rPr>
      <w:rFonts w:cs="Times New Roman"/>
    </w:rPr>
  </w:style>
  <w:style w:type="character" w:customStyle="1" w:styleId="99">
    <w:name w:val="t-tag"/>
    <w:qFormat/>
    <w:uiPriority w:val="99"/>
    <w:rPr>
      <w:color w:val="FFFFFF"/>
      <w:sz w:val="18"/>
      <w:shd w:val="clear" w:color="auto" w:fill="FE8833"/>
    </w:rPr>
  </w:style>
  <w:style w:type="character" w:customStyle="1" w:styleId="100">
    <w:name w:val="top-icon"/>
    <w:basedOn w:val="42"/>
    <w:qFormat/>
    <w:uiPriority w:val="99"/>
    <w:rPr>
      <w:rFonts w:cs="Times New Roman"/>
    </w:rPr>
  </w:style>
  <w:style w:type="character" w:customStyle="1" w:styleId="101">
    <w:name w:val="Body Text Char"/>
    <w:qFormat/>
    <w:locked/>
    <w:uiPriority w:val="99"/>
    <w:rPr>
      <w:sz w:val="24"/>
    </w:rPr>
  </w:style>
  <w:style w:type="character" w:customStyle="1" w:styleId="102">
    <w:name w:val="no72"/>
    <w:basedOn w:val="42"/>
    <w:qFormat/>
    <w:uiPriority w:val="99"/>
    <w:rPr>
      <w:rFonts w:cs="Times New Roman"/>
    </w:rPr>
  </w:style>
  <w:style w:type="character" w:customStyle="1" w:styleId="103">
    <w:name w:val="bds_nopic2"/>
    <w:basedOn w:val="42"/>
    <w:qFormat/>
    <w:uiPriority w:val="99"/>
    <w:rPr>
      <w:rFonts w:cs="Times New Roman"/>
    </w:rPr>
  </w:style>
  <w:style w:type="character" w:customStyle="1" w:styleId="104">
    <w:name w:val="Document Map Char"/>
    <w:qFormat/>
    <w:uiPriority w:val="99"/>
    <w:rPr>
      <w:rFonts w:ascii="宋体"/>
      <w:sz w:val="18"/>
    </w:rPr>
  </w:style>
  <w:style w:type="character" w:customStyle="1" w:styleId="105">
    <w:name w:val="no6"/>
    <w:basedOn w:val="42"/>
    <w:qFormat/>
    <w:uiPriority w:val="99"/>
    <w:rPr>
      <w:rFonts w:cs="Times New Roman"/>
    </w:rPr>
  </w:style>
  <w:style w:type="character" w:customStyle="1" w:styleId="106">
    <w:name w:val="tip"/>
    <w:qFormat/>
    <w:uiPriority w:val="99"/>
    <w:rPr>
      <w:vanish/>
      <w:color w:val="FF0000"/>
      <w:sz w:val="18"/>
    </w:rPr>
  </w:style>
  <w:style w:type="character" w:customStyle="1" w:styleId="107">
    <w:name w:val="apple-converted-space"/>
    <w:basedOn w:val="42"/>
    <w:qFormat/>
    <w:uiPriority w:val="99"/>
    <w:rPr>
      <w:rFonts w:cs="Times New Roman"/>
    </w:rPr>
  </w:style>
  <w:style w:type="character" w:customStyle="1" w:styleId="108">
    <w:name w:val="bds_more2"/>
    <w:basedOn w:val="42"/>
    <w:qFormat/>
    <w:uiPriority w:val="99"/>
    <w:rPr>
      <w:rFonts w:cs="Times New Roman"/>
    </w:rPr>
  </w:style>
  <w:style w:type="character" w:customStyle="1" w:styleId="109">
    <w:name w:val="my-class"/>
    <w:basedOn w:val="42"/>
    <w:qFormat/>
    <w:uiPriority w:val="99"/>
    <w:rPr>
      <w:rFonts w:cs="Times New Roman"/>
    </w:rPr>
  </w:style>
  <w:style w:type="character" w:customStyle="1" w:styleId="110">
    <w:name w:val="ui-bz-bg-hover"/>
    <w:qFormat/>
    <w:uiPriority w:val="99"/>
    <w:rPr>
      <w:shd w:val="clear" w:color="auto" w:fill="000000"/>
    </w:rPr>
  </w:style>
  <w:style w:type="character" w:customStyle="1" w:styleId="111">
    <w:name w:val="no7"/>
    <w:basedOn w:val="42"/>
    <w:qFormat/>
    <w:uiPriority w:val="99"/>
    <w:rPr>
      <w:rFonts w:cs="Times New Roman"/>
    </w:rPr>
  </w:style>
  <w:style w:type="character" w:customStyle="1" w:styleId="112">
    <w:name w:val="正文缩进 字符"/>
    <w:link w:val="8"/>
    <w:qFormat/>
    <w:locked/>
    <w:uiPriority w:val="99"/>
    <w:rPr>
      <w:rFonts w:ascii="Times New Roman" w:hAnsi="Times New Roman" w:eastAsia="宋体" w:cs="Times New Roman"/>
      <w:kern w:val="0"/>
      <w:sz w:val="24"/>
      <w:szCs w:val="20"/>
    </w:rPr>
  </w:style>
  <w:style w:type="character" w:customStyle="1" w:styleId="113">
    <w:name w:val="ico-jiang1"/>
    <w:basedOn w:val="42"/>
    <w:qFormat/>
    <w:uiPriority w:val="99"/>
    <w:rPr>
      <w:rFonts w:cs="Times New Roman"/>
    </w:rPr>
  </w:style>
  <w:style w:type="character" w:customStyle="1" w:styleId="114">
    <w:name w:val="no62"/>
    <w:basedOn w:val="42"/>
    <w:qFormat/>
    <w:uiPriority w:val="99"/>
    <w:rPr>
      <w:rFonts w:cs="Times New Roman"/>
    </w:rPr>
  </w:style>
  <w:style w:type="character" w:customStyle="1" w:styleId="115">
    <w:name w:val="orange5"/>
    <w:qFormat/>
    <w:uiPriority w:val="99"/>
    <w:rPr>
      <w:color w:val="3FB58F"/>
    </w:rPr>
  </w:style>
  <w:style w:type="character" w:customStyle="1" w:styleId="116">
    <w:name w:val="bds_more4"/>
    <w:basedOn w:val="42"/>
    <w:qFormat/>
    <w:uiPriority w:val="99"/>
    <w:rPr>
      <w:rFonts w:cs="Times New Roman"/>
    </w:rPr>
  </w:style>
  <w:style w:type="character" w:customStyle="1" w:styleId="117">
    <w:name w:val="no5"/>
    <w:basedOn w:val="42"/>
    <w:qFormat/>
    <w:uiPriority w:val="99"/>
    <w:rPr>
      <w:rFonts w:cs="Times New Roman"/>
    </w:rPr>
  </w:style>
  <w:style w:type="character" w:customStyle="1" w:styleId="118">
    <w:name w:val="bds_more3"/>
    <w:basedOn w:val="42"/>
    <w:qFormat/>
    <w:uiPriority w:val="99"/>
    <w:rPr>
      <w:rFonts w:cs="Times New Roman"/>
    </w:rPr>
  </w:style>
  <w:style w:type="character" w:customStyle="1" w:styleId="119">
    <w:name w:val="no42"/>
    <w:basedOn w:val="42"/>
    <w:qFormat/>
    <w:uiPriority w:val="99"/>
    <w:rPr>
      <w:rFonts w:cs="Times New Roman"/>
    </w:rPr>
  </w:style>
  <w:style w:type="character" w:customStyle="1" w:styleId="120">
    <w:name w:val="bds_nopic1"/>
    <w:basedOn w:val="42"/>
    <w:qFormat/>
    <w:uiPriority w:val="99"/>
    <w:rPr>
      <w:rFonts w:cs="Times New Roman"/>
    </w:rPr>
  </w:style>
  <w:style w:type="character" w:customStyle="1" w:styleId="121">
    <w:name w:val="my-notice1"/>
    <w:basedOn w:val="42"/>
    <w:qFormat/>
    <w:uiPriority w:val="99"/>
    <w:rPr>
      <w:rFonts w:cs="Times New Roman"/>
    </w:rPr>
  </w:style>
  <w:style w:type="character" w:customStyle="1" w:styleId="122">
    <w:name w:val="orange6"/>
    <w:qFormat/>
    <w:uiPriority w:val="99"/>
    <w:rPr>
      <w:color w:val="3FB58F"/>
    </w:rPr>
  </w:style>
  <w:style w:type="character" w:customStyle="1" w:styleId="123">
    <w:name w:val="Document Map Char2"/>
    <w:qFormat/>
    <w:locked/>
    <w:uiPriority w:val="99"/>
    <w:rPr>
      <w:rFonts w:ascii="宋体"/>
      <w:sz w:val="18"/>
    </w:rPr>
  </w:style>
  <w:style w:type="character" w:customStyle="1" w:styleId="124">
    <w:name w:val="ico-jiang3"/>
    <w:basedOn w:val="42"/>
    <w:qFormat/>
    <w:uiPriority w:val="99"/>
    <w:rPr>
      <w:rFonts w:cs="Times New Roman"/>
    </w:rPr>
  </w:style>
  <w:style w:type="character" w:customStyle="1" w:styleId="125">
    <w:name w:val="tip13"/>
    <w:qFormat/>
    <w:uiPriority w:val="99"/>
    <w:rPr>
      <w:vanish/>
      <w:color w:val="FF0000"/>
      <w:sz w:val="18"/>
    </w:rPr>
  </w:style>
  <w:style w:type="character" w:customStyle="1" w:styleId="126">
    <w:name w:val="正文文本缩进 2 字符"/>
    <w:basedOn w:val="42"/>
    <w:link w:val="21"/>
    <w:qFormat/>
    <w:uiPriority w:val="99"/>
    <w:rPr>
      <w:rFonts w:ascii="宋体" w:hAnsi="Calibri" w:eastAsia="宋体" w:cs="Times New Roman"/>
      <w:kern w:val="0"/>
      <w:sz w:val="24"/>
      <w:szCs w:val="20"/>
    </w:rPr>
  </w:style>
  <w:style w:type="character" w:customStyle="1" w:styleId="127">
    <w:name w:val="Body Text Indent 2 Char1"/>
    <w:basedOn w:val="42"/>
    <w:semiHidden/>
    <w:qFormat/>
    <w:locked/>
    <w:uiPriority w:val="99"/>
    <w:rPr>
      <w:rFonts w:cs="Times New Roman"/>
    </w:rPr>
  </w:style>
  <w:style w:type="character" w:customStyle="1" w:styleId="128">
    <w:name w:val="正文文本缩进 3 字符"/>
    <w:basedOn w:val="42"/>
    <w:link w:val="29"/>
    <w:qFormat/>
    <w:uiPriority w:val="99"/>
    <w:rPr>
      <w:rFonts w:ascii="宋体" w:hAnsi="Calibri" w:eastAsia="宋体" w:cs="Times New Roman"/>
      <w:kern w:val="0"/>
      <w:sz w:val="20"/>
      <w:szCs w:val="20"/>
    </w:rPr>
  </w:style>
  <w:style w:type="character" w:customStyle="1" w:styleId="129">
    <w:name w:val="Body Text Indent 3 Char1"/>
    <w:basedOn w:val="42"/>
    <w:semiHidden/>
    <w:qFormat/>
    <w:locked/>
    <w:uiPriority w:val="99"/>
    <w:rPr>
      <w:rFonts w:cs="Times New Roman"/>
      <w:sz w:val="16"/>
      <w:szCs w:val="16"/>
    </w:rPr>
  </w:style>
  <w:style w:type="character" w:customStyle="1" w:styleId="130">
    <w:name w:val="文档结构图 字符"/>
    <w:basedOn w:val="42"/>
    <w:link w:val="9"/>
    <w:qFormat/>
    <w:uiPriority w:val="99"/>
    <w:rPr>
      <w:rFonts w:ascii="宋体" w:hAnsi="Calibri" w:eastAsia="宋体" w:cs="Times New Roman"/>
      <w:kern w:val="0"/>
      <w:sz w:val="18"/>
      <w:szCs w:val="20"/>
    </w:rPr>
  </w:style>
  <w:style w:type="character" w:customStyle="1" w:styleId="131">
    <w:name w:val="Document Map Char3"/>
    <w:basedOn w:val="42"/>
    <w:semiHidden/>
    <w:qFormat/>
    <w:locked/>
    <w:uiPriority w:val="99"/>
    <w:rPr>
      <w:rFonts w:ascii="Times New Roman" w:hAnsi="Times New Roman" w:cs="Times New Roman"/>
      <w:sz w:val="2"/>
    </w:rPr>
  </w:style>
  <w:style w:type="paragraph" w:customStyle="1" w:styleId="132">
    <w:name w:val="_Style 1"/>
    <w:basedOn w:val="1"/>
    <w:qFormat/>
    <w:uiPriority w:val="99"/>
    <w:pPr>
      <w:ind w:firstLine="420" w:firstLineChars="200"/>
    </w:pPr>
    <w:rPr>
      <w:rFonts w:ascii="Times New Roman" w:hAnsi="Times New Roman" w:eastAsia="宋体" w:cs="Times New Roman"/>
      <w:szCs w:val="24"/>
    </w:rPr>
  </w:style>
  <w:style w:type="character" w:customStyle="1" w:styleId="133">
    <w:name w:val="正文文本 字符"/>
    <w:basedOn w:val="42"/>
    <w:link w:val="12"/>
    <w:qFormat/>
    <w:uiPriority w:val="99"/>
    <w:rPr>
      <w:rFonts w:ascii="Calibri" w:hAnsi="Calibri" w:eastAsia="宋体" w:cs="Times New Roman"/>
      <w:kern w:val="0"/>
      <w:sz w:val="24"/>
      <w:szCs w:val="20"/>
    </w:rPr>
  </w:style>
  <w:style w:type="character" w:customStyle="1" w:styleId="134">
    <w:name w:val="Body Text Char1"/>
    <w:basedOn w:val="42"/>
    <w:semiHidden/>
    <w:qFormat/>
    <w:locked/>
    <w:uiPriority w:val="99"/>
    <w:rPr>
      <w:rFonts w:cs="Times New Roman"/>
    </w:rPr>
  </w:style>
  <w:style w:type="paragraph" w:customStyle="1" w:styleId="135">
    <w:name w:val="_Style 21"/>
    <w:basedOn w:val="1"/>
    <w:qFormat/>
    <w:uiPriority w:val="99"/>
    <w:rPr>
      <w:rFonts w:ascii="Times New Roman" w:hAnsi="Times New Roman" w:eastAsia="宋体" w:cs="Times New Roman"/>
      <w:szCs w:val="20"/>
    </w:rPr>
  </w:style>
  <w:style w:type="paragraph" w:customStyle="1" w:styleId="136">
    <w:name w:val="p0"/>
    <w:basedOn w:val="1"/>
    <w:qFormat/>
    <w:uiPriority w:val="99"/>
    <w:pPr>
      <w:widowControl/>
    </w:pPr>
    <w:rPr>
      <w:rFonts w:ascii="Times New Roman" w:hAnsi="Times New Roman" w:eastAsia="宋体" w:cs="Times New Roman"/>
      <w:kern w:val="0"/>
      <w:szCs w:val="21"/>
    </w:rPr>
  </w:style>
  <w:style w:type="paragraph" w:customStyle="1" w:styleId="137">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8">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9">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0">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1">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2">
    <w:name w:val="_Style 2"/>
    <w:basedOn w:val="1"/>
    <w:qFormat/>
    <w:uiPriority w:val="99"/>
    <w:pPr>
      <w:ind w:firstLine="420" w:firstLineChars="200"/>
    </w:pPr>
    <w:rPr>
      <w:rFonts w:ascii="Calibri" w:hAnsi="Calibri" w:eastAsia="宋体" w:cs="Times New Roman"/>
    </w:rPr>
  </w:style>
  <w:style w:type="paragraph" w:customStyle="1" w:styleId="143">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4">
    <w:name w:val="_Style 11"/>
    <w:basedOn w:val="1"/>
    <w:qFormat/>
    <w:uiPriority w:val="99"/>
    <w:rPr>
      <w:rFonts w:ascii="Times New Roman" w:hAnsi="Times New Roman" w:eastAsia="宋体" w:cs="Times New Roman"/>
      <w:szCs w:val="24"/>
    </w:rPr>
  </w:style>
  <w:style w:type="paragraph" w:customStyle="1" w:styleId="145">
    <w:name w:val="Char"/>
    <w:basedOn w:val="1"/>
    <w:qFormat/>
    <w:uiPriority w:val="99"/>
    <w:rPr>
      <w:rFonts w:ascii="Times New Roman" w:hAnsi="Times New Roman" w:eastAsia="宋体" w:cs="Times New Roman"/>
      <w:szCs w:val="21"/>
    </w:rPr>
  </w:style>
  <w:style w:type="paragraph" w:customStyle="1" w:styleId="146">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7">
    <w:name w:val="列出段落2"/>
    <w:basedOn w:val="1"/>
    <w:qFormat/>
    <w:uiPriority w:val="99"/>
    <w:pPr>
      <w:ind w:firstLine="420" w:firstLineChars="200"/>
    </w:pPr>
    <w:rPr>
      <w:rFonts w:ascii="Times New Roman" w:hAnsi="Times New Roman" w:eastAsia="宋体" w:cs="Times New Roman"/>
      <w:szCs w:val="24"/>
    </w:rPr>
  </w:style>
  <w:style w:type="paragraph" w:customStyle="1" w:styleId="148">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9">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0">
    <w:name w:val="font41"/>
    <w:qFormat/>
    <w:uiPriority w:val="99"/>
    <w:rPr>
      <w:rFonts w:hint="eastAsia" w:ascii="宋体" w:hAnsi="宋体" w:eastAsia="宋体" w:cs="宋体"/>
      <w:b/>
      <w:color w:val="000000"/>
      <w:sz w:val="22"/>
      <w:szCs w:val="22"/>
      <w:u w:val="none"/>
    </w:rPr>
  </w:style>
  <w:style w:type="character" w:customStyle="1" w:styleId="151">
    <w:name w:val="font81"/>
    <w:qFormat/>
    <w:uiPriority w:val="99"/>
    <w:rPr>
      <w:rFonts w:hint="eastAsia" w:ascii="宋体" w:hAnsi="宋体" w:eastAsia="宋体" w:cs="宋体"/>
      <w:b/>
      <w:color w:val="000000"/>
      <w:sz w:val="22"/>
      <w:szCs w:val="22"/>
      <w:u w:val="none"/>
    </w:rPr>
  </w:style>
  <w:style w:type="character" w:customStyle="1" w:styleId="152">
    <w:name w:val="font21"/>
    <w:basedOn w:val="42"/>
    <w:qFormat/>
    <w:uiPriority w:val="0"/>
    <w:rPr>
      <w:rFonts w:hint="eastAsia" w:ascii="宋体" w:hAnsi="宋体" w:eastAsia="宋体" w:cs="宋体"/>
      <w:color w:val="000000"/>
      <w:sz w:val="18"/>
      <w:szCs w:val="18"/>
      <w:u w:val="none"/>
    </w:rPr>
  </w:style>
  <w:style w:type="character" w:customStyle="1" w:styleId="153">
    <w:name w:val="日期 字符"/>
    <w:link w:val="20"/>
    <w:qFormat/>
    <w:uiPriority w:val="0"/>
    <w:rPr>
      <w:szCs w:val="21"/>
    </w:rPr>
  </w:style>
  <w:style w:type="character" w:customStyle="1" w:styleId="154">
    <w:name w:val="font01"/>
    <w:qFormat/>
    <w:uiPriority w:val="99"/>
    <w:rPr>
      <w:rFonts w:hint="eastAsia" w:ascii="宋体" w:hAnsi="宋体" w:eastAsia="宋体" w:cs="宋体"/>
      <w:color w:val="000000"/>
      <w:sz w:val="22"/>
      <w:szCs w:val="22"/>
      <w:u w:val="none"/>
    </w:rPr>
  </w:style>
  <w:style w:type="character" w:customStyle="1" w:styleId="155">
    <w:name w:val="Char Char1"/>
    <w:qFormat/>
    <w:uiPriority w:val="0"/>
    <w:rPr>
      <w:rFonts w:eastAsia="宋体"/>
      <w:kern w:val="2"/>
      <w:sz w:val="18"/>
      <w:szCs w:val="18"/>
      <w:lang w:val="en-US" w:eastAsia="zh-CN" w:bidi="ar-SA"/>
    </w:rPr>
  </w:style>
  <w:style w:type="character" w:customStyle="1" w:styleId="156">
    <w:name w:val="标题 字符"/>
    <w:link w:val="36"/>
    <w:qFormat/>
    <w:uiPriority w:val="0"/>
    <w:rPr>
      <w:rFonts w:ascii="Cambria" w:hAnsi="Cambria" w:cs="Times New Roman"/>
      <w:b/>
      <w:bCs/>
      <w:sz w:val="32"/>
      <w:szCs w:val="32"/>
    </w:rPr>
  </w:style>
  <w:style w:type="character" w:customStyle="1" w:styleId="157">
    <w:name w:val="hei141"/>
    <w:qFormat/>
    <w:uiPriority w:val="0"/>
    <w:rPr>
      <w:rFonts w:hint="eastAsia" w:ascii="宋体" w:hAnsi="宋体" w:eastAsia="宋体"/>
      <w:color w:val="000000"/>
      <w:sz w:val="19"/>
      <w:szCs w:val="19"/>
      <w:u w:val="none"/>
    </w:rPr>
  </w:style>
  <w:style w:type="character" w:customStyle="1" w:styleId="158">
    <w:name w:val="批注文字 字符"/>
    <w:link w:val="11"/>
    <w:qFormat/>
    <w:uiPriority w:val="0"/>
  </w:style>
  <w:style w:type="character" w:customStyle="1" w:styleId="159">
    <w:name w:val="apple-style-span"/>
    <w:basedOn w:val="42"/>
    <w:qFormat/>
    <w:uiPriority w:val="0"/>
  </w:style>
  <w:style w:type="character" w:customStyle="1" w:styleId="160">
    <w:name w:val="param-value"/>
    <w:qFormat/>
    <w:uiPriority w:val="99"/>
    <w:rPr>
      <w:rFonts w:cs="Times New Roman"/>
    </w:rPr>
  </w:style>
  <w:style w:type="character" w:customStyle="1" w:styleId="161">
    <w:name w:val="font61"/>
    <w:qFormat/>
    <w:uiPriority w:val="0"/>
    <w:rPr>
      <w:rFonts w:hint="eastAsia" w:ascii="宋体" w:hAnsi="宋体" w:eastAsia="宋体" w:cs="宋体"/>
      <w:color w:val="000000"/>
      <w:sz w:val="22"/>
      <w:szCs w:val="22"/>
      <w:u w:val="none"/>
    </w:rPr>
  </w:style>
  <w:style w:type="character" w:customStyle="1" w:styleId="162">
    <w:name w:val="font11"/>
    <w:qFormat/>
    <w:uiPriority w:val="0"/>
    <w:rPr>
      <w:rFonts w:hint="eastAsia" w:ascii="宋体" w:hAnsi="宋体" w:eastAsia="宋体" w:cs="宋体"/>
      <w:color w:val="FF0000"/>
      <w:sz w:val="22"/>
      <w:szCs w:val="22"/>
      <w:u w:val="none"/>
    </w:rPr>
  </w:style>
  <w:style w:type="character" w:customStyle="1" w:styleId="163">
    <w:name w:val="批注主题 字符"/>
    <w:link w:val="37"/>
    <w:qFormat/>
    <w:uiPriority w:val="0"/>
    <w:rPr>
      <w:b/>
      <w:bCs/>
    </w:rPr>
  </w:style>
  <w:style w:type="character" w:customStyle="1" w:styleId="164">
    <w:name w:val="批注文字 Char1"/>
    <w:basedOn w:val="42"/>
    <w:semiHidden/>
    <w:qFormat/>
    <w:uiPriority w:val="99"/>
  </w:style>
  <w:style w:type="paragraph" w:customStyle="1" w:styleId="165">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6">
    <w:name w:val="批注主题 Char1"/>
    <w:basedOn w:val="164"/>
    <w:semiHidden/>
    <w:qFormat/>
    <w:uiPriority w:val="99"/>
    <w:rPr>
      <w:b/>
      <w:bCs/>
    </w:rPr>
  </w:style>
  <w:style w:type="paragraph" w:customStyle="1" w:styleId="167">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日期 Char1"/>
    <w:basedOn w:val="42"/>
    <w:semiHidden/>
    <w:qFormat/>
    <w:uiPriority w:val="99"/>
  </w:style>
  <w:style w:type="paragraph" w:customStyle="1" w:styleId="16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脚注文本 字符"/>
    <w:basedOn w:val="42"/>
    <w:link w:val="27"/>
    <w:semiHidden/>
    <w:qFormat/>
    <w:uiPriority w:val="0"/>
    <w:rPr>
      <w:rFonts w:ascii="Times New Roman" w:hAnsi="Times New Roman" w:eastAsia="宋体" w:cs="Times New Roman"/>
      <w:sz w:val="18"/>
      <w:szCs w:val="18"/>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1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qFormat/>
    <w:uiPriority w:val="0"/>
    <w:pPr>
      <w:ind w:firstLine="420" w:firstLineChars="200"/>
    </w:pPr>
    <w:rPr>
      <w:rFonts w:ascii="Times New Roman" w:hAnsi="Times New Roman" w:eastAsia="宋体" w:cs="Times New Roman"/>
      <w:szCs w:val="24"/>
    </w:rPr>
  </w:style>
  <w:style w:type="character" w:customStyle="1" w:styleId="185">
    <w:name w:val="Char Char12"/>
    <w:qFormat/>
    <w:uiPriority w:val="0"/>
    <w:rPr>
      <w:rFonts w:eastAsia="宋体"/>
      <w:kern w:val="2"/>
      <w:sz w:val="18"/>
      <w:szCs w:val="18"/>
      <w:lang w:val="en-US" w:eastAsia="zh-CN" w:bidi="ar-SA"/>
    </w:rPr>
  </w:style>
  <w:style w:type="paragraph" w:customStyle="1" w:styleId="186">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qFormat/>
    <w:uiPriority w:val="0"/>
    <w:pPr>
      <w:ind w:firstLine="420" w:firstLineChars="200"/>
    </w:pPr>
    <w:rPr>
      <w:rFonts w:ascii="Times New Roman" w:hAnsi="Times New Roman" w:eastAsia="宋体" w:cs="Times New Roman"/>
      <w:szCs w:val="24"/>
    </w:rPr>
  </w:style>
  <w:style w:type="character" w:customStyle="1" w:styleId="189">
    <w:name w:val="Char Char11"/>
    <w:qFormat/>
    <w:uiPriority w:val="0"/>
    <w:rPr>
      <w:rFonts w:eastAsia="宋体"/>
      <w:kern w:val="2"/>
      <w:sz w:val="18"/>
      <w:szCs w:val="18"/>
      <w:lang w:val="en-US" w:eastAsia="zh-CN" w:bidi="ar-SA"/>
    </w:rPr>
  </w:style>
  <w:style w:type="paragraph" w:customStyle="1" w:styleId="190">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qFormat/>
    <w:uiPriority w:val="0"/>
    <w:pPr>
      <w:ind w:firstLine="420" w:firstLineChars="200"/>
    </w:pPr>
    <w:rPr>
      <w:rFonts w:ascii="Times New Roman" w:hAnsi="Times New Roman" w:eastAsia="宋体" w:cs="Times New Roman"/>
      <w:szCs w:val="24"/>
    </w:rPr>
  </w:style>
  <w:style w:type="character" w:customStyle="1" w:styleId="193">
    <w:name w:val="纯文本 字符"/>
    <w:link w:val="17"/>
    <w:qFormat/>
    <w:uiPriority w:val="0"/>
    <w:rPr>
      <w:rFonts w:ascii="宋体" w:hAnsi="Courier New" w:eastAsia="宋体"/>
      <w:szCs w:val="21"/>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8">
    <w:name w:val="正文缩进2格"/>
    <w:basedOn w:val="1"/>
    <w:link w:val="199"/>
    <w:qFormat/>
    <w:uiPriority w:val="0"/>
    <w:pPr>
      <w:spacing w:line="600" w:lineRule="exact"/>
      <w:ind w:firstLine="639" w:firstLineChars="206"/>
    </w:pPr>
    <w:rPr>
      <w:rFonts w:ascii="仿宋_GB2312" w:hAnsi="宋体" w:eastAsia="仿宋_GB2312" w:cs="Times New Roman"/>
      <w:sz w:val="31"/>
      <w:szCs w:val="28"/>
    </w:rPr>
  </w:style>
  <w:style w:type="character" w:customStyle="1" w:styleId="199">
    <w:name w:val="正文缩进2格 Char"/>
    <w:link w:val="198"/>
    <w:qFormat/>
    <w:uiPriority w:val="0"/>
    <w:rPr>
      <w:rFonts w:ascii="仿宋_GB2312" w:hAnsi="宋体" w:eastAsia="仿宋_GB2312" w:cs="Times New Roman"/>
      <w:sz w:val="31"/>
      <w:szCs w:val="28"/>
    </w:rPr>
  </w:style>
  <w:style w:type="paragraph" w:customStyle="1" w:styleId="20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1">
    <w:name w:val="List Paragraph"/>
    <w:basedOn w:val="1"/>
    <w:qFormat/>
    <w:uiPriority w:val="34"/>
    <w:pPr>
      <w:ind w:firstLine="420" w:firstLineChars="200"/>
    </w:pPr>
  </w:style>
  <w:style w:type="paragraph" w:customStyle="1" w:styleId="202">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3">
    <w:name w:val="正文文本首行缩进 字符"/>
    <w:basedOn w:val="133"/>
    <w:link w:val="38"/>
    <w:semiHidden/>
    <w:qFormat/>
    <w:uiPriority w:val="99"/>
    <w:rPr>
      <w:rFonts w:asciiTheme="minorHAnsi" w:hAnsiTheme="minorHAnsi" w:eastAsiaTheme="minorEastAsia" w:cstheme="minorBidi"/>
      <w:kern w:val="2"/>
      <w:sz w:val="21"/>
      <w:szCs w:val="22"/>
    </w:rPr>
  </w:style>
  <w:style w:type="paragraph" w:customStyle="1" w:styleId="204">
    <w:name w:val="Table Paragraph"/>
    <w:basedOn w:val="1"/>
    <w:qFormat/>
    <w:uiPriority w:val="1"/>
    <w:pPr>
      <w:autoSpaceDE w:val="0"/>
      <w:autoSpaceDN w:val="0"/>
      <w:jc w:val="left"/>
    </w:pPr>
    <w:rPr>
      <w:rFonts w:ascii="宋体" w:hAnsi="宋体" w:eastAsia="宋体" w:cs="宋体"/>
      <w:kern w:val="0"/>
      <w:sz w:val="22"/>
    </w:rPr>
  </w:style>
  <w:style w:type="paragraph" w:customStyle="1" w:styleId="205">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6">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7">
    <w:name w:val="font31"/>
    <w:basedOn w:val="42"/>
    <w:qFormat/>
    <w:uiPriority w:val="0"/>
    <w:rPr>
      <w:rFonts w:ascii="Calibri" w:hAnsi="Calibri" w:cs="Calibri"/>
      <w:color w:val="000000"/>
      <w:sz w:val="18"/>
      <w:szCs w:val="18"/>
      <w:u w:val="none"/>
    </w:rPr>
  </w:style>
  <w:style w:type="paragraph" w:customStyle="1" w:styleId="20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9">
    <w:name w:val="Table Normal"/>
    <w:unhideWhenUsed/>
    <w:qFormat/>
    <w:uiPriority w:val="0"/>
    <w:tblPr>
      <w:tblCellMar>
        <w:top w:w="0" w:type="dxa"/>
        <w:left w:w="0" w:type="dxa"/>
        <w:bottom w:w="0" w:type="dxa"/>
        <w:right w:w="0" w:type="dxa"/>
      </w:tblCellMar>
    </w:tblPr>
  </w:style>
  <w:style w:type="paragraph" w:customStyle="1" w:styleId="210">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字元 字元"/>
    <w:basedOn w:val="1"/>
    <w:qFormat/>
    <w:uiPriority w:val="0"/>
    <w:rPr>
      <w:rFonts w:ascii="Tahoma" w:hAnsi="Tahoma"/>
      <w:sz w:val="24"/>
      <w:szCs w:val="20"/>
    </w:rPr>
  </w:style>
  <w:style w:type="character" w:customStyle="1" w:styleId="213">
    <w:name w:val="font101"/>
    <w:basedOn w:val="4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18385</Words>
  <Characters>19792</Characters>
  <Lines>257</Lines>
  <Paragraphs>72</Paragraphs>
  <TotalTime>1</TotalTime>
  <ScaleCrop>false</ScaleCrop>
  <LinksUpToDate>false</LinksUpToDate>
  <CharactersWithSpaces>20010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2025-06-25T09:52:51Z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8E4D83DD0FE9445D938104ABF9C5A547_13</vt:lpwstr>
  </property>
  <property fmtid="{D5CDD505-2E9C-101B-9397-08002B2CF9AE}" pid="4" name="KSOTemplateDocerSaveRecord">
    <vt:lpwstr>eyJoZGlkIjoiOGE5YzQ0MWM2NDg3NzAxNTI3MDYxNmNiYmNjZWVhNTgiLCJ1c2VySWQiOiIyMDc2NjcyMDcifQ==</vt:lpwstr>
  </property>
</Properties>
</file>