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F6CE9">
      <w:pPr>
        <w:pStyle w:val="18"/>
        <w:spacing w:line="400" w:lineRule="atLeast"/>
        <w:jc w:val="center"/>
        <w:rPr>
          <w:rFonts w:hint="eastAsia" w:ascii="仿宋" w:hAnsi="仿宋" w:eastAsia="仿宋" w:cs="仿宋"/>
          <w:bCs/>
          <w:color w:val="auto"/>
          <w:sz w:val="52"/>
          <w:highlight w:val="none"/>
          <w:lang w:eastAsia="zh-CN"/>
        </w:rPr>
      </w:pPr>
    </w:p>
    <w:p w14:paraId="0DE5A55A">
      <w:pPr>
        <w:pStyle w:val="18"/>
        <w:spacing w:line="400" w:lineRule="atLeast"/>
        <w:jc w:val="center"/>
        <w:rPr>
          <w:rFonts w:hint="eastAsia" w:ascii="仿宋" w:hAnsi="仿宋" w:eastAsia="仿宋" w:cs="仿宋"/>
          <w:bCs/>
          <w:color w:val="auto"/>
          <w:sz w:val="84"/>
          <w:highlight w:val="none"/>
          <w:lang w:val="en-US"/>
        </w:rPr>
      </w:pPr>
      <w:r>
        <w:rPr>
          <w:rFonts w:hint="eastAsia" w:ascii="仿宋" w:hAnsi="仿宋" w:eastAsia="仿宋" w:cs="仿宋"/>
          <w:bCs/>
          <w:color w:val="auto"/>
          <w:sz w:val="52"/>
          <w:highlight w:val="none"/>
          <w:lang w:eastAsia="zh-CN"/>
        </w:rPr>
        <w:t>乌鲁木齐市沙依巴克区教育局仓郁路新建学校设施设备采购（第一期）第四包</w:t>
      </w:r>
    </w:p>
    <w:p w14:paraId="0465F475">
      <w:pPr>
        <w:pStyle w:val="18"/>
        <w:spacing w:line="400" w:lineRule="atLeast"/>
        <w:jc w:val="center"/>
        <w:rPr>
          <w:rFonts w:hint="eastAsia" w:ascii="仿宋" w:hAnsi="仿宋" w:eastAsia="仿宋" w:cs="仿宋"/>
          <w:bCs/>
          <w:color w:val="auto"/>
          <w:sz w:val="84"/>
          <w:highlight w:val="none"/>
        </w:rPr>
      </w:pPr>
    </w:p>
    <w:p w14:paraId="221531F2">
      <w:pPr>
        <w:pStyle w:val="18"/>
        <w:spacing w:line="400" w:lineRule="atLeast"/>
        <w:jc w:val="center"/>
        <w:rPr>
          <w:rFonts w:hint="eastAsia" w:ascii="仿宋" w:hAnsi="仿宋" w:eastAsia="仿宋" w:cs="仿宋"/>
          <w:bCs/>
          <w:color w:val="auto"/>
          <w:sz w:val="84"/>
          <w:highlight w:val="none"/>
        </w:rPr>
      </w:pPr>
      <w:r>
        <w:rPr>
          <w:rFonts w:hint="eastAsia" w:ascii="仿宋" w:hAnsi="仿宋" w:eastAsia="仿宋" w:cs="仿宋"/>
          <w:bCs/>
          <w:color w:val="auto"/>
          <w:sz w:val="84"/>
          <w:highlight w:val="none"/>
        </w:rPr>
        <w:t>招标文件</w:t>
      </w:r>
    </w:p>
    <w:p w14:paraId="4E93F08C">
      <w:pPr>
        <w:pStyle w:val="18"/>
        <w:spacing w:line="400" w:lineRule="atLeast"/>
        <w:jc w:val="center"/>
        <w:rPr>
          <w:rFonts w:hint="eastAsia" w:ascii="仿宋" w:hAnsi="仿宋" w:eastAsia="仿宋" w:cs="仿宋"/>
          <w:bCs/>
          <w:color w:val="auto"/>
          <w:sz w:val="52"/>
          <w:highlight w:val="none"/>
        </w:rPr>
      </w:pPr>
    </w:p>
    <w:p w14:paraId="374C4106">
      <w:pPr>
        <w:pStyle w:val="18"/>
        <w:spacing w:line="400" w:lineRule="atLeast"/>
        <w:jc w:val="center"/>
        <w:rPr>
          <w:rFonts w:hint="eastAsia" w:ascii="仿宋" w:hAnsi="仿宋" w:eastAsia="仿宋" w:cs="仿宋"/>
          <w:bCs/>
          <w:color w:val="auto"/>
          <w:sz w:val="52"/>
          <w:highlight w:val="none"/>
        </w:rPr>
      </w:pPr>
    </w:p>
    <w:p w14:paraId="6F99B5BF">
      <w:pPr>
        <w:pStyle w:val="18"/>
        <w:spacing w:line="400" w:lineRule="atLeast"/>
        <w:jc w:val="center"/>
        <w:rPr>
          <w:rFonts w:hint="eastAsia" w:ascii="仿宋" w:hAnsi="仿宋" w:eastAsia="仿宋" w:cs="仿宋"/>
          <w:bCs/>
          <w:color w:val="auto"/>
          <w:sz w:val="52"/>
          <w:highlight w:val="none"/>
        </w:rPr>
      </w:pPr>
    </w:p>
    <w:tbl>
      <w:tblPr>
        <w:tblStyle w:val="3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1"/>
        <w:gridCol w:w="5488"/>
      </w:tblGrid>
      <w:tr w14:paraId="79407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2491" w:type="dxa"/>
            <w:noWrap w:val="0"/>
            <w:vAlign w:val="center"/>
          </w:tcPr>
          <w:p w14:paraId="3D095947">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项目编号：</w:t>
            </w:r>
          </w:p>
        </w:tc>
        <w:tc>
          <w:tcPr>
            <w:tcW w:w="5488" w:type="dxa"/>
            <w:noWrap w:val="0"/>
            <w:vAlign w:val="center"/>
          </w:tcPr>
          <w:p w14:paraId="5A3CC86B">
            <w:pPr>
              <w:tabs>
                <w:tab w:val="left" w:pos="2431"/>
                <w:tab w:val="left" w:pos="2943"/>
              </w:tabs>
              <w:adjustRightInd w:val="0"/>
              <w:snapToGrid w:val="0"/>
              <w:spacing w:line="360" w:lineRule="exact"/>
              <w:jc w:val="lef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2025-XBZC-45</w:t>
            </w:r>
          </w:p>
        </w:tc>
      </w:tr>
      <w:tr w14:paraId="0D54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2491" w:type="dxa"/>
            <w:noWrap w:val="0"/>
            <w:vAlign w:val="center"/>
          </w:tcPr>
          <w:p w14:paraId="6C802F8A">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采购人（</w:t>
            </w:r>
            <w:r>
              <w:rPr>
                <w:rFonts w:hint="eastAsia" w:ascii="仿宋" w:hAnsi="仿宋" w:eastAsia="仿宋" w:cs="仿宋"/>
                <w:bCs/>
                <w:color w:val="auto"/>
                <w:sz w:val="28"/>
                <w:szCs w:val="28"/>
                <w:highlight w:val="none"/>
                <w:lang w:val="en-US" w:eastAsia="zh-CN"/>
              </w:rPr>
              <w:t>签</w:t>
            </w:r>
            <w:r>
              <w:rPr>
                <w:rFonts w:hint="eastAsia" w:ascii="仿宋" w:hAnsi="仿宋" w:eastAsia="仿宋" w:cs="仿宋"/>
                <w:bCs/>
                <w:color w:val="auto"/>
                <w:sz w:val="28"/>
                <w:szCs w:val="28"/>
                <w:highlight w:val="none"/>
              </w:rPr>
              <w:t>章）：</w:t>
            </w:r>
          </w:p>
        </w:tc>
        <w:tc>
          <w:tcPr>
            <w:tcW w:w="5488" w:type="dxa"/>
            <w:noWrap w:val="0"/>
            <w:vAlign w:val="center"/>
          </w:tcPr>
          <w:p w14:paraId="79E85989">
            <w:pPr>
              <w:tabs>
                <w:tab w:val="left" w:pos="2431"/>
                <w:tab w:val="left" w:pos="2943"/>
              </w:tabs>
              <w:adjustRightInd w:val="0"/>
              <w:snapToGrid w:val="0"/>
              <w:spacing w:line="360" w:lineRule="exact"/>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乌鲁木齐市沙依巴克区教育局</w:t>
            </w:r>
          </w:p>
        </w:tc>
      </w:tr>
      <w:tr w14:paraId="46BE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2491" w:type="dxa"/>
            <w:noWrap w:val="0"/>
            <w:vAlign w:val="center"/>
          </w:tcPr>
          <w:p w14:paraId="329AB800">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采购人地址：</w:t>
            </w:r>
          </w:p>
        </w:tc>
        <w:tc>
          <w:tcPr>
            <w:tcW w:w="5488" w:type="dxa"/>
            <w:noWrap w:val="0"/>
            <w:vAlign w:val="center"/>
          </w:tcPr>
          <w:p w14:paraId="7D90EBCD">
            <w:pPr>
              <w:tabs>
                <w:tab w:val="left" w:pos="2943"/>
              </w:tabs>
              <w:adjustRightInd w:val="0"/>
              <w:snapToGrid w:val="0"/>
              <w:spacing w:line="360" w:lineRule="exact"/>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沙区扬子江路101号</w:t>
            </w:r>
          </w:p>
        </w:tc>
      </w:tr>
      <w:tr w14:paraId="71E1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2491" w:type="dxa"/>
            <w:noWrap w:val="0"/>
            <w:vAlign w:val="center"/>
          </w:tcPr>
          <w:p w14:paraId="42DFC891">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代理机构（</w:t>
            </w:r>
            <w:r>
              <w:rPr>
                <w:rFonts w:hint="eastAsia" w:ascii="仿宋" w:hAnsi="仿宋" w:eastAsia="仿宋" w:cs="仿宋"/>
                <w:bCs/>
                <w:color w:val="auto"/>
                <w:sz w:val="28"/>
                <w:szCs w:val="28"/>
                <w:highlight w:val="none"/>
                <w:lang w:val="en-US" w:eastAsia="zh-CN"/>
              </w:rPr>
              <w:t>签</w:t>
            </w:r>
            <w:r>
              <w:rPr>
                <w:rFonts w:hint="eastAsia" w:ascii="仿宋" w:hAnsi="仿宋" w:eastAsia="仿宋" w:cs="仿宋"/>
                <w:bCs/>
                <w:color w:val="auto"/>
                <w:sz w:val="28"/>
                <w:szCs w:val="28"/>
                <w:highlight w:val="none"/>
              </w:rPr>
              <w:t>章）：</w:t>
            </w:r>
          </w:p>
        </w:tc>
        <w:tc>
          <w:tcPr>
            <w:tcW w:w="5488" w:type="dxa"/>
            <w:noWrap w:val="0"/>
            <w:vAlign w:val="center"/>
          </w:tcPr>
          <w:p w14:paraId="7E009F9B">
            <w:pPr>
              <w:tabs>
                <w:tab w:val="left" w:pos="2431"/>
                <w:tab w:val="left" w:pos="2943"/>
              </w:tabs>
              <w:adjustRightInd w:val="0"/>
              <w:snapToGrid w:val="0"/>
              <w:spacing w:line="360" w:lineRule="exact"/>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新疆西北招标有限公司</w:t>
            </w:r>
          </w:p>
        </w:tc>
      </w:tr>
      <w:tr w14:paraId="7FB2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2491" w:type="dxa"/>
            <w:noWrap w:val="0"/>
            <w:vAlign w:val="center"/>
          </w:tcPr>
          <w:p w14:paraId="675C6FA6">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代理机构地址：</w:t>
            </w:r>
          </w:p>
        </w:tc>
        <w:tc>
          <w:tcPr>
            <w:tcW w:w="5488" w:type="dxa"/>
            <w:noWrap w:val="0"/>
            <w:vAlign w:val="center"/>
          </w:tcPr>
          <w:p w14:paraId="066060C5">
            <w:pPr>
              <w:tabs>
                <w:tab w:val="left" w:pos="2431"/>
                <w:tab w:val="left" w:pos="2943"/>
              </w:tabs>
              <w:adjustRightInd w:val="0"/>
              <w:snapToGrid w:val="0"/>
              <w:spacing w:line="360" w:lineRule="exact"/>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乌鲁木齐市伊宁路318号江西大厦9楼</w:t>
            </w:r>
          </w:p>
        </w:tc>
      </w:tr>
    </w:tbl>
    <w:p w14:paraId="28BCA13A">
      <w:pPr>
        <w:spacing w:line="400" w:lineRule="atLeast"/>
        <w:jc w:val="both"/>
        <w:rPr>
          <w:rFonts w:hint="eastAsia" w:ascii="仿宋" w:hAnsi="仿宋" w:eastAsia="仿宋" w:cs="仿宋"/>
          <w:bCs/>
          <w:color w:val="auto"/>
          <w:sz w:val="36"/>
          <w:highlight w:val="none"/>
        </w:rPr>
      </w:pPr>
    </w:p>
    <w:p w14:paraId="10F3C416">
      <w:pPr>
        <w:spacing w:line="400" w:lineRule="atLeast"/>
        <w:jc w:val="center"/>
        <w:rPr>
          <w:rFonts w:hint="eastAsia" w:ascii="仿宋" w:hAnsi="仿宋" w:eastAsia="仿宋" w:cs="仿宋"/>
          <w:bCs/>
          <w:color w:val="auto"/>
          <w:sz w:val="36"/>
          <w:highlight w:val="none"/>
        </w:rPr>
      </w:pPr>
      <w:r>
        <w:rPr>
          <w:rFonts w:hint="eastAsia" w:ascii="仿宋" w:hAnsi="仿宋" w:eastAsia="仿宋" w:cs="仿宋"/>
          <w:bCs/>
          <w:color w:val="auto"/>
          <w:sz w:val="36"/>
          <w:highlight w:val="none"/>
        </w:rPr>
        <w:t>202</w:t>
      </w:r>
      <w:r>
        <w:rPr>
          <w:rFonts w:hint="eastAsia" w:ascii="仿宋" w:hAnsi="仿宋" w:eastAsia="仿宋" w:cs="仿宋"/>
          <w:bCs/>
          <w:color w:val="auto"/>
          <w:sz w:val="36"/>
          <w:highlight w:val="none"/>
          <w:lang w:val="en-US" w:eastAsia="zh-CN"/>
        </w:rPr>
        <w:t>5</w:t>
      </w:r>
      <w:r>
        <w:rPr>
          <w:rFonts w:hint="eastAsia" w:ascii="仿宋" w:hAnsi="仿宋" w:eastAsia="仿宋" w:cs="仿宋"/>
          <w:bCs/>
          <w:color w:val="auto"/>
          <w:sz w:val="36"/>
          <w:highlight w:val="none"/>
        </w:rPr>
        <w:t>年</w:t>
      </w:r>
      <w:r>
        <w:rPr>
          <w:rFonts w:hint="eastAsia" w:ascii="仿宋" w:hAnsi="仿宋" w:eastAsia="仿宋" w:cs="仿宋"/>
          <w:bCs/>
          <w:color w:val="auto"/>
          <w:sz w:val="36"/>
          <w:highlight w:val="none"/>
          <w:lang w:val="en-US" w:eastAsia="zh-CN"/>
        </w:rPr>
        <w:t>6</w:t>
      </w:r>
      <w:r>
        <w:rPr>
          <w:rFonts w:hint="eastAsia" w:ascii="仿宋" w:hAnsi="仿宋" w:eastAsia="仿宋" w:cs="仿宋"/>
          <w:bCs/>
          <w:color w:val="auto"/>
          <w:sz w:val="36"/>
          <w:highlight w:val="none"/>
        </w:rPr>
        <w:t>月</w:t>
      </w:r>
    </w:p>
    <w:p w14:paraId="7BBFC2B7">
      <w:pPr>
        <w:spacing w:line="400" w:lineRule="atLeast"/>
        <w:jc w:val="center"/>
        <w:rPr>
          <w:rFonts w:hint="eastAsia" w:ascii="仿宋" w:hAnsi="仿宋" w:eastAsia="仿宋" w:cs="仿宋"/>
          <w:bCs/>
          <w:color w:val="auto"/>
          <w:sz w:val="36"/>
          <w:highlight w:val="none"/>
        </w:rPr>
        <w:sectPr>
          <w:headerReference r:id="rId4" w:type="first"/>
          <w:footerReference r:id="rId5" w:type="first"/>
          <w:headerReference r:id="rId3" w:type="default"/>
          <w:pgSz w:w="11905" w:h="16838"/>
          <w:pgMar w:top="720" w:right="1417" w:bottom="720" w:left="1417" w:header="850" w:footer="992" w:gutter="0"/>
          <w:pgNumType w:fmt="decimal" w:start="1"/>
          <w:cols w:space="720" w:num="1"/>
          <w:docGrid w:type="lines" w:linePitch="416" w:charSpace="0"/>
        </w:sectPr>
      </w:pPr>
    </w:p>
    <w:p w14:paraId="133F9A2D">
      <w:pPr>
        <w:spacing w:line="400" w:lineRule="atLeast"/>
        <w:jc w:val="center"/>
        <w:rPr>
          <w:rFonts w:hint="eastAsia" w:ascii="仿宋" w:hAnsi="仿宋" w:eastAsia="仿宋" w:cs="仿宋"/>
          <w:bCs/>
          <w:color w:val="auto"/>
          <w:sz w:val="36"/>
          <w:highlight w:val="none"/>
        </w:rPr>
      </w:pPr>
      <w:r>
        <w:rPr>
          <w:rFonts w:hint="eastAsia" w:ascii="仿宋" w:hAnsi="仿宋" w:eastAsia="仿宋" w:cs="仿宋"/>
          <w:bCs/>
          <w:color w:val="auto"/>
          <w:sz w:val="36"/>
          <w:highlight w:val="none"/>
        </w:rPr>
        <w:t>目</w:t>
      </w:r>
      <w:r>
        <w:rPr>
          <w:rFonts w:hint="eastAsia" w:ascii="仿宋" w:hAnsi="仿宋" w:eastAsia="仿宋" w:cs="仿宋"/>
          <w:bCs/>
          <w:color w:val="auto"/>
          <w:sz w:val="36"/>
          <w:highlight w:val="none"/>
          <w:lang w:val="en-US" w:eastAsia="zh-CN"/>
        </w:rPr>
        <w:t xml:space="preserve">  </w:t>
      </w:r>
      <w:r>
        <w:rPr>
          <w:rFonts w:hint="eastAsia" w:ascii="仿宋" w:hAnsi="仿宋" w:eastAsia="仿宋" w:cs="仿宋"/>
          <w:bCs/>
          <w:color w:val="auto"/>
          <w:sz w:val="36"/>
          <w:highlight w:val="none"/>
        </w:rPr>
        <w:t>录</w:t>
      </w:r>
    </w:p>
    <w:p w14:paraId="7912917F">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TOC \o "1-2" \h \z \u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_Toc7434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第一部分  投标邀请</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_Toc7434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EDD2C92">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_Toc15772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第二部分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_Toc15772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135B211D">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_Toc25386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投标人须知附表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_Toc25386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15E51C3">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_Toc23140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A  说　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_Toc23140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284F87C">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_Toc1015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B  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DC014A3">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_Toc17578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C  投标文件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_Toc17578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9285365">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_Toc18619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D  投标文件的递交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_Toc18619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9DA7C7E">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_Toc11963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 xml:space="preserve">E  </w:t>
      </w:r>
      <w:r>
        <w:rPr>
          <w:rFonts w:hint="eastAsia" w:ascii="仿宋" w:hAnsi="仿宋" w:eastAsia="仿宋" w:cs="仿宋"/>
          <w:bCs/>
          <w:color w:val="auto"/>
          <w:szCs w:val="28"/>
          <w:highlight w:val="none"/>
          <w:lang w:val="en-US" w:eastAsia="zh-CN"/>
        </w:rPr>
        <w:t>开标、评标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_Toc11963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B3C0EEE">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_Toc6159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 xml:space="preserve">F  </w:t>
      </w:r>
      <w:r>
        <w:rPr>
          <w:rFonts w:hint="eastAsia" w:ascii="仿宋" w:hAnsi="仿宋" w:eastAsia="仿宋" w:cs="仿宋"/>
          <w:bCs/>
          <w:color w:val="auto"/>
          <w:szCs w:val="28"/>
          <w:highlight w:val="none"/>
          <w:lang w:val="en-US" w:eastAsia="zh-CN"/>
        </w:rPr>
        <w:t>中标结果</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_Toc6159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84404B8">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_Toc29765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G  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_Toc29765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7EBBFDA">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_Toc6270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lang w:val="en-US" w:eastAsia="zh-CN"/>
        </w:rPr>
        <w:t xml:space="preserve">H  </w:t>
      </w:r>
      <w:r>
        <w:rPr>
          <w:rFonts w:hint="eastAsia" w:ascii="仿宋" w:hAnsi="仿宋" w:eastAsia="仿宋" w:cs="仿宋"/>
          <w:bCs/>
          <w:color w:val="auto"/>
          <w:szCs w:val="28"/>
          <w:highlight w:val="none"/>
        </w:rPr>
        <w:t>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_Toc6270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E916086">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_Toc15603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lang w:val="en-US" w:eastAsia="zh-CN"/>
        </w:rPr>
        <w:t>I  落实政府采购政策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_Toc15603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841CA94">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_Toc10536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第三部分 货物及技术要求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_Toc10536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A30408A">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_Toc28925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第四部分</w:t>
      </w:r>
      <w:r>
        <w:rPr>
          <w:rFonts w:hint="eastAsia" w:ascii="仿宋" w:hAnsi="仿宋" w:eastAsia="仿宋" w:cs="仿宋"/>
          <w:bCs/>
          <w:color w:val="auto"/>
          <w:szCs w:val="32"/>
          <w:highlight w:val="none"/>
          <w:lang w:val="en-US" w:eastAsia="zh-CN"/>
        </w:rPr>
        <w:t xml:space="preserve">  </w:t>
      </w:r>
      <w:r>
        <w:rPr>
          <w:rFonts w:hint="eastAsia" w:ascii="仿宋" w:hAnsi="仿宋" w:eastAsia="仿宋" w:cs="仿宋"/>
          <w:bCs/>
          <w:color w:val="auto"/>
          <w:szCs w:val="32"/>
          <w:highlight w:val="none"/>
        </w:rPr>
        <w:t>合同主要条款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_Toc28925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1E5FA163">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_Toc26774 </w:instrText>
      </w:r>
      <w:r>
        <w:rPr>
          <w:rFonts w:hint="eastAsia" w:ascii="仿宋" w:hAnsi="仿宋" w:eastAsia="仿宋" w:cs="仿宋"/>
          <w:bCs/>
          <w:color w:val="auto"/>
          <w:szCs w:val="24"/>
          <w:highlight w:val="none"/>
        </w:rPr>
        <w:fldChar w:fldCharType="separate"/>
      </w:r>
      <w:r>
        <w:rPr>
          <w:rFonts w:hint="eastAsia" w:ascii="仿宋" w:hAnsi="仿宋" w:eastAsia="仿宋" w:cs="仿宋"/>
          <w:bCs w:val="0"/>
          <w:color w:val="auto"/>
          <w:szCs w:val="24"/>
          <w:highlight w:val="none"/>
        </w:rPr>
        <w:t>第一节 政府采购合同协议书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_Toc26774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216A5D4">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_Toc30512 </w:instrText>
      </w:r>
      <w:r>
        <w:rPr>
          <w:rFonts w:hint="eastAsia" w:ascii="仿宋" w:hAnsi="仿宋" w:eastAsia="仿宋" w:cs="仿宋"/>
          <w:bCs/>
          <w:color w:val="auto"/>
          <w:szCs w:val="24"/>
          <w:highlight w:val="none"/>
        </w:rPr>
        <w:fldChar w:fldCharType="separate"/>
      </w:r>
      <w:r>
        <w:rPr>
          <w:rFonts w:hint="eastAsia" w:ascii="仿宋" w:hAnsi="仿宋" w:eastAsia="仿宋" w:cs="仿宋"/>
          <w:bCs w:val="0"/>
          <w:color w:val="auto"/>
          <w:szCs w:val="24"/>
          <w:highlight w:val="none"/>
        </w:rPr>
        <w:t>第二节 政府采购合同通用条款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_Toc30512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A4EEACA">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_Toc803 </w:instrText>
      </w:r>
      <w:r>
        <w:rPr>
          <w:rFonts w:hint="eastAsia" w:ascii="仿宋" w:hAnsi="仿宋" w:eastAsia="仿宋" w:cs="仿宋"/>
          <w:bCs/>
          <w:color w:val="auto"/>
          <w:szCs w:val="24"/>
          <w:highlight w:val="none"/>
        </w:rPr>
        <w:fldChar w:fldCharType="separate"/>
      </w:r>
      <w:r>
        <w:rPr>
          <w:rFonts w:hint="eastAsia" w:ascii="仿宋" w:hAnsi="仿宋" w:eastAsia="仿宋" w:cs="仿宋"/>
          <w:bCs w:val="0"/>
          <w:color w:val="auto"/>
          <w:szCs w:val="24"/>
          <w:highlight w:val="none"/>
        </w:rPr>
        <w:t>第三节 政府采购合同专用条款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BA6777E">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_Toc12343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第五部分  范本格式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_Toc12343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023EF68">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_Toc3487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11"/>
          <w:szCs w:val="32"/>
          <w:highlight w:val="none"/>
        </w:rPr>
        <w:t>资</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格</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证</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明</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文</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_Toc3487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44446A5">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_Toc303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szCs w:val="24"/>
          <w:highlight w:val="none"/>
          <w:lang w:eastAsia="zh-CN"/>
        </w:rPr>
        <w:t>（</w:t>
      </w:r>
      <w:r>
        <w:rPr>
          <w:rFonts w:hint="eastAsia" w:ascii="仿宋" w:hAnsi="仿宋" w:eastAsia="仿宋" w:cs="仿宋"/>
          <w:bCs/>
          <w:color w:val="auto"/>
          <w:spacing w:val="7"/>
          <w:szCs w:val="24"/>
          <w:highlight w:val="none"/>
          <w:lang w:val="en-US" w:eastAsia="zh-CN"/>
        </w:rPr>
        <w:t>一</w:t>
      </w:r>
      <w:r>
        <w:rPr>
          <w:rFonts w:hint="eastAsia" w:ascii="仿宋" w:hAnsi="仿宋" w:eastAsia="仿宋" w:cs="仿宋"/>
          <w:bCs/>
          <w:color w:val="auto"/>
          <w:spacing w:val="7"/>
          <w:szCs w:val="24"/>
          <w:highlight w:val="none"/>
          <w:lang w:eastAsia="zh-CN"/>
        </w:rPr>
        <w:t>）</w:t>
      </w:r>
      <w:r>
        <w:rPr>
          <w:rFonts w:hint="eastAsia" w:ascii="仿宋" w:hAnsi="仿宋" w:eastAsia="仿宋" w:cs="仿宋"/>
          <w:bCs/>
          <w:color w:val="auto"/>
          <w:spacing w:val="7"/>
          <w:szCs w:val="24"/>
          <w:highlight w:val="none"/>
        </w:rPr>
        <w:t>、满足《中华人民共和国政府采购法》第二十二条规定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98AA6B9">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_Toc5655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3"/>
          <w:szCs w:val="24"/>
          <w:highlight w:val="none"/>
        </w:rPr>
        <w:t>（</w:t>
      </w:r>
      <w:r>
        <w:rPr>
          <w:rFonts w:hint="eastAsia" w:ascii="仿宋" w:hAnsi="仿宋" w:eastAsia="仿宋" w:cs="仿宋"/>
          <w:bCs/>
          <w:color w:val="auto"/>
          <w:spacing w:val="-3"/>
          <w:szCs w:val="24"/>
          <w:highlight w:val="none"/>
          <w:lang w:val="en-US" w:eastAsia="zh-CN"/>
        </w:rPr>
        <w:t>二</w:t>
      </w:r>
      <w:r>
        <w:rPr>
          <w:rFonts w:hint="eastAsia" w:ascii="仿宋" w:hAnsi="仿宋" w:eastAsia="仿宋" w:cs="仿宋"/>
          <w:bCs/>
          <w:color w:val="auto"/>
          <w:spacing w:val="-3"/>
          <w:szCs w:val="24"/>
          <w:highlight w:val="none"/>
        </w:rPr>
        <w:t>）供应商信用承诺函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_Toc5655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37D9971">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_Toc4039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（三） 中小微企业声明函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_Toc4039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9EFA87E">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_Toc9199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（四）监狱企业声明函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_Toc9199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D969599">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_Toc9342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（五） 残疾人福利性单位声明函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_Toc9342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DB32A9F">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_Toc27052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（六） 不参与围标串标承诺书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_Toc27052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972EFD4">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_Toc3009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（七） 其他资格证明文件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930F230">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_Toc15899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11"/>
          <w:szCs w:val="32"/>
          <w:highlight w:val="none"/>
          <w:lang w:val="en-US" w:eastAsia="zh-CN"/>
        </w:rPr>
        <w:t xml:space="preserve">报 价 </w:t>
      </w:r>
      <w:r>
        <w:rPr>
          <w:rFonts w:hint="eastAsia" w:ascii="仿宋" w:hAnsi="仿宋" w:eastAsia="仿宋" w:cs="仿宋"/>
          <w:bCs/>
          <w:color w:val="auto"/>
          <w:spacing w:val="-11"/>
          <w:szCs w:val="32"/>
          <w:highlight w:val="none"/>
        </w:rPr>
        <w:t>文</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_Toc15899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205F2E6">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_Toc21741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一、开标一览表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_Toc21741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65</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41E6086">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_Toc24516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lang w:val="en-US" w:eastAsia="zh-CN"/>
        </w:rPr>
        <w:t>二、</w:t>
      </w:r>
      <w:r>
        <w:rPr>
          <w:rFonts w:hint="eastAsia" w:ascii="仿宋" w:hAnsi="仿宋" w:eastAsia="仿宋" w:cs="仿宋"/>
          <w:bCs/>
          <w:color w:val="auto"/>
          <w:szCs w:val="28"/>
          <w:highlight w:val="none"/>
        </w:rPr>
        <w:t>分项报价表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_Toc24516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B241E2C">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_Toc1675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11"/>
          <w:szCs w:val="32"/>
          <w:highlight w:val="none"/>
          <w:lang w:val="en-US" w:eastAsia="zh-CN"/>
        </w:rPr>
        <w:t xml:space="preserve">商 务 技 术 </w:t>
      </w:r>
      <w:r>
        <w:rPr>
          <w:rFonts w:hint="eastAsia" w:ascii="仿宋" w:hAnsi="仿宋" w:eastAsia="仿宋" w:cs="仿宋"/>
          <w:bCs/>
          <w:color w:val="auto"/>
          <w:spacing w:val="-11"/>
          <w:szCs w:val="32"/>
          <w:highlight w:val="none"/>
        </w:rPr>
        <w:t>文</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_Toc1675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28BA0C7">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_Toc23741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3"/>
          <w:szCs w:val="24"/>
          <w:highlight w:val="none"/>
        </w:rPr>
        <w:t>一、投标函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_Toc23741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5EEEAC6">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_Toc22848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3"/>
          <w:szCs w:val="24"/>
          <w:highlight w:val="none"/>
          <w:lang w:val="en-US" w:eastAsia="zh-CN"/>
        </w:rPr>
        <w:t>二、</w:t>
      </w:r>
      <w:r>
        <w:rPr>
          <w:rFonts w:hint="eastAsia" w:ascii="仿宋" w:hAnsi="仿宋" w:eastAsia="仿宋" w:cs="仿宋"/>
          <w:bCs/>
          <w:color w:val="auto"/>
          <w:spacing w:val="3"/>
          <w:szCs w:val="24"/>
          <w:highlight w:val="none"/>
        </w:rPr>
        <w:t>法人代表授权书格式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_Toc22848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70</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2C56EDB">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_Toc2657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3"/>
          <w:szCs w:val="24"/>
          <w:highlight w:val="none"/>
          <w:lang w:val="en-US" w:eastAsia="zh-CN"/>
        </w:rPr>
        <w:t>三、法定代表人身份证明书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4EF83B9">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_Toc22327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lang w:val="en-US" w:eastAsia="zh-CN"/>
        </w:rPr>
        <w:t>四、</w:t>
      </w:r>
      <w:r>
        <w:rPr>
          <w:rFonts w:hint="eastAsia" w:ascii="仿宋" w:hAnsi="仿宋" w:eastAsia="仿宋" w:cs="仿宋"/>
          <w:bCs/>
          <w:color w:val="auto"/>
          <w:spacing w:val="5"/>
          <w:szCs w:val="24"/>
          <w:highlight w:val="none"/>
        </w:rPr>
        <w:t>政府采购投标人廉洁自律承诺书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_Toc22327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D07192E">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_Toc4981 </w:instrText>
      </w:r>
      <w:r>
        <w:rPr>
          <w:rFonts w:hint="eastAsia" w:ascii="仿宋" w:hAnsi="仿宋" w:eastAsia="仿宋" w:cs="仿宋"/>
          <w:bCs/>
          <w:color w:val="auto"/>
          <w:szCs w:val="24"/>
          <w:highlight w:val="none"/>
        </w:rPr>
        <w:fldChar w:fldCharType="separate"/>
      </w:r>
      <w:r>
        <w:rPr>
          <w:rFonts w:hint="eastAsia" w:ascii="仿宋" w:hAnsi="仿宋" w:eastAsia="仿宋" w:cs="仿宋"/>
          <w:bCs w:val="0"/>
          <w:color w:val="auto"/>
          <w:szCs w:val="28"/>
          <w:highlight w:val="none"/>
          <w:lang w:val="en-US" w:eastAsia="zh-CN"/>
        </w:rPr>
        <w:t>五、商务响应偏离表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_Toc4981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AEFF89C">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_Toc27686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6"/>
          <w:szCs w:val="24"/>
          <w:highlight w:val="none"/>
        </w:rPr>
        <w:t>七、业绩证明文件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_Toc27686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21FE006">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_Toc6339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八、拟派项目团队</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_Toc6339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75</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215C5AE">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_Toc4624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九、技术响应偏离表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_Toc4624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251D75B">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_Toc32558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十、技术方案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_Toc32558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06A5AB8">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_Toc26991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lang w:val="en-US" w:eastAsia="zh-CN"/>
        </w:rPr>
        <w:t>十一、</w:t>
      </w:r>
      <w:r>
        <w:rPr>
          <w:rFonts w:hint="eastAsia" w:ascii="仿宋" w:hAnsi="仿宋" w:eastAsia="仿宋" w:cs="仿宋"/>
          <w:bCs/>
          <w:color w:val="auto"/>
          <w:spacing w:val="5"/>
          <w:szCs w:val="24"/>
          <w:highlight w:val="none"/>
        </w:rPr>
        <w:t>节能、环境标志产品优惠明细表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_Toc26991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CCD760D">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_Toc8144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十</w:t>
      </w:r>
      <w:r>
        <w:rPr>
          <w:rFonts w:hint="eastAsia" w:ascii="仿宋" w:hAnsi="仿宋" w:eastAsia="仿宋" w:cs="仿宋"/>
          <w:bCs/>
          <w:color w:val="auto"/>
          <w:spacing w:val="5"/>
          <w:szCs w:val="24"/>
          <w:highlight w:val="none"/>
          <w:lang w:val="en-US" w:eastAsia="zh-CN"/>
        </w:rPr>
        <w:t>二</w:t>
      </w:r>
      <w:r>
        <w:rPr>
          <w:rFonts w:hint="eastAsia" w:ascii="仿宋" w:hAnsi="仿宋" w:eastAsia="仿宋" w:cs="仿宋"/>
          <w:bCs/>
          <w:color w:val="auto"/>
          <w:spacing w:val="5"/>
          <w:szCs w:val="24"/>
          <w:highlight w:val="none"/>
        </w:rPr>
        <w:t>、</w:t>
      </w:r>
      <w:r>
        <w:rPr>
          <w:rFonts w:hint="eastAsia" w:ascii="仿宋" w:hAnsi="仿宋" w:eastAsia="仿宋" w:cs="仿宋"/>
          <w:bCs/>
          <w:color w:val="auto"/>
          <w:spacing w:val="-3"/>
          <w:szCs w:val="24"/>
          <w:highlight w:val="none"/>
        </w:rPr>
        <w:t>投标人认为需要提供的其它商务、技术资料和说明。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_Toc8144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80</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1330FAD">
      <w:pPr>
        <w:pStyle w:val="24"/>
        <w:tabs>
          <w:tab w:val="right" w:leader="dot" w:pos="8541"/>
        </w:tabs>
        <w:spacing w:line="400" w:lineRule="atLeast"/>
        <w:jc w:val="center"/>
        <w:outlineLvl w:val="0"/>
        <w:rPr>
          <w:rFonts w:hint="eastAsia" w:ascii="仿宋" w:hAnsi="仿宋" w:eastAsia="仿宋" w:cs="仿宋"/>
          <w:bCs/>
          <w:color w:val="auto"/>
          <w:szCs w:val="24"/>
          <w:highlight w:val="none"/>
        </w:rPr>
        <w:sectPr>
          <w:pgSz w:w="11905" w:h="16838"/>
          <w:pgMar w:top="720" w:right="1417" w:bottom="720" w:left="1417" w:header="850" w:footer="992" w:gutter="0"/>
          <w:pgNumType w:fmt="decimal" w:start="1"/>
          <w:cols w:space="720" w:num="1"/>
          <w:docGrid w:type="lines" w:linePitch="416" w:charSpace="0"/>
        </w:sectPr>
      </w:pPr>
      <w:r>
        <w:rPr>
          <w:rFonts w:hint="eastAsia" w:ascii="仿宋" w:hAnsi="仿宋" w:eastAsia="仿宋" w:cs="仿宋"/>
          <w:bCs/>
          <w:color w:val="auto"/>
          <w:szCs w:val="24"/>
          <w:highlight w:val="none"/>
        </w:rPr>
        <w:fldChar w:fldCharType="end"/>
      </w:r>
      <w:bookmarkStart w:id="0" w:name="_Toc298240402"/>
      <w:bookmarkStart w:id="1" w:name="_Toc349573118"/>
      <w:bookmarkStart w:id="2" w:name="_Toc349637917"/>
    </w:p>
    <w:p w14:paraId="1CDA3626">
      <w:pPr>
        <w:pStyle w:val="24"/>
        <w:tabs>
          <w:tab w:val="right" w:leader="dot" w:pos="8541"/>
        </w:tabs>
        <w:jc w:val="center"/>
        <w:outlineLvl w:val="0"/>
        <w:rPr>
          <w:rFonts w:hint="eastAsia" w:ascii="仿宋" w:hAnsi="仿宋" w:eastAsia="仿宋" w:cs="仿宋"/>
          <w:bCs/>
          <w:color w:val="auto"/>
          <w:sz w:val="32"/>
          <w:szCs w:val="32"/>
          <w:highlight w:val="none"/>
        </w:rPr>
      </w:pPr>
      <w:bookmarkStart w:id="3" w:name="_Toc7434"/>
      <w:r>
        <w:rPr>
          <w:rFonts w:hint="eastAsia" w:ascii="仿宋" w:hAnsi="仿宋" w:eastAsia="仿宋" w:cs="仿宋"/>
          <w:bCs/>
          <w:color w:val="auto"/>
          <w:sz w:val="32"/>
          <w:szCs w:val="32"/>
          <w:highlight w:val="none"/>
        </w:rPr>
        <w:t>第一部分  投标邀请</w:t>
      </w:r>
      <w:bookmarkEnd w:id="0"/>
      <w:bookmarkEnd w:id="1"/>
      <w:bookmarkEnd w:id="2"/>
      <w:bookmarkEnd w:id="3"/>
    </w:p>
    <w:p w14:paraId="5988A522">
      <w:pPr>
        <w:tabs>
          <w:tab w:val="left" w:pos="0"/>
          <w:tab w:val="left" w:pos="3165"/>
          <w:tab w:val="center" w:pos="4153"/>
        </w:tabs>
        <w:autoSpaceDE w:val="0"/>
        <w:autoSpaceDN w:val="0"/>
        <w:adjustRightInd w:val="0"/>
        <w:jc w:val="center"/>
        <w:rPr>
          <w:rFonts w:hint="eastAsia" w:ascii="仿宋" w:hAnsi="仿宋" w:eastAsia="仿宋" w:cs="仿宋"/>
          <w:bCs/>
          <w:color w:val="auto"/>
          <w:sz w:val="28"/>
          <w:szCs w:val="28"/>
          <w:highlight w:val="none"/>
          <w:lang w:eastAsia="zh-CN"/>
        </w:rPr>
      </w:pPr>
      <w:bookmarkStart w:id="4" w:name="_Toc28359001"/>
      <w:bookmarkStart w:id="5" w:name="_Toc35393789"/>
      <w:bookmarkStart w:id="6" w:name="_Toc349573119"/>
      <w:bookmarkStart w:id="7" w:name="_Toc267301280"/>
      <w:bookmarkStart w:id="8" w:name="_Toc298240403"/>
      <w:bookmarkStart w:id="9" w:name="_Toc349637918"/>
      <w:r>
        <w:rPr>
          <w:rFonts w:hint="eastAsia" w:ascii="仿宋" w:hAnsi="仿宋" w:eastAsia="仿宋" w:cs="仿宋"/>
          <w:bCs/>
          <w:color w:val="auto"/>
          <w:sz w:val="28"/>
          <w:szCs w:val="28"/>
          <w:highlight w:val="none"/>
          <w:lang w:eastAsia="zh-CN"/>
        </w:rPr>
        <w:t>乌鲁木齐市沙依巴克区教育局仓郁路新建学校设施设备采购（第一期）第四包</w:t>
      </w:r>
    </w:p>
    <w:p w14:paraId="60B72510">
      <w:pPr>
        <w:tabs>
          <w:tab w:val="left" w:pos="0"/>
          <w:tab w:val="left" w:pos="3165"/>
          <w:tab w:val="center" w:pos="4153"/>
        </w:tabs>
        <w:autoSpaceDE w:val="0"/>
        <w:autoSpaceDN w:val="0"/>
        <w:adjustRightInd w:val="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公开招标公告</w:t>
      </w:r>
      <w:bookmarkEnd w:id="4"/>
      <w:bookmarkEnd w:id="5"/>
    </w:p>
    <w:p w14:paraId="464A03BC">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项目概况</w:t>
      </w:r>
    </w:p>
    <w:p w14:paraId="61ACD37C">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u w:val="single"/>
          <w:lang w:eastAsia="zh-CN"/>
        </w:rPr>
        <w:t>乌鲁木齐市沙依巴克区教育局仓郁路新建学校设施设备采购（第一期）第四包</w:t>
      </w:r>
      <w:r>
        <w:rPr>
          <w:rFonts w:hint="eastAsia" w:ascii="仿宋" w:hAnsi="仿宋" w:eastAsia="仿宋" w:cs="仿宋"/>
          <w:bCs/>
          <w:color w:val="auto"/>
          <w:sz w:val="24"/>
          <w:szCs w:val="24"/>
          <w:highlight w:val="none"/>
        </w:rPr>
        <w:t>招标项目的潜在投标人应在</w:t>
      </w:r>
      <w:r>
        <w:rPr>
          <w:rFonts w:hint="eastAsia" w:ascii="仿宋" w:hAnsi="仿宋" w:eastAsia="仿宋" w:cs="仿宋"/>
          <w:bCs/>
          <w:color w:val="auto"/>
          <w:sz w:val="24"/>
          <w:szCs w:val="24"/>
          <w:highlight w:val="none"/>
          <w:u w:val="single"/>
        </w:rPr>
        <w:t>（新疆政府采购云平台https://www.zcygov.cn/</w:t>
      </w:r>
      <w:r>
        <w:rPr>
          <w:rFonts w:hint="eastAsia" w:ascii="仿宋" w:hAnsi="仿宋" w:eastAsia="仿宋" w:cs="仿宋"/>
          <w:bCs/>
          <w:color w:val="auto"/>
          <w:sz w:val="24"/>
          <w:szCs w:val="24"/>
          <w:highlight w:val="none"/>
        </w:rPr>
        <w:t>获取招标文件，并于</w:t>
      </w:r>
      <w:r>
        <w:rPr>
          <w:rFonts w:hint="eastAsia" w:ascii="仿宋" w:hAnsi="仿宋" w:eastAsia="仿宋" w:cs="仿宋"/>
          <w:bCs/>
          <w:color w:val="auto"/>
          <w:sz w:val="24"/>
          <w:szCs w:val="24"/>
          <w:highlight w:val="none"/>
          <w:u w:val="single"/>
          <w:lang w:eastAsia="zh-CN"/>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lang w:eastAsia="zh-CN"/>
        </w:rPr>
        <w:t>年</w:t>
      </w:r>
      <w:r>
        <w:rPr>
          <w:rFonts w:hint="eastAsia" w:ascii="仿宋" w:hAnsi="仿宋" w:eastAsia="仿宋" w:cs="仿宋"/>
          <w:bCs/>
          <w:color w:val="0000FF"/>
          <w:sz w:val="24"/>
          <w:szCs w:val="24"/>
          <w:highlight w:val="none"/>
          <w:u w:val="single"/>
          <w:lang w:val="en-US" w:eastAsia="zh-CN"/>
        </w:rPr>
        <w:t xml:space="preserve"> 7 </w:t>
      </w:r>
      <w:r>
        <w:rPr>
          <w:rFonts w:hint="eastAsia" w:ascii="仿宋" w:hAnsi="仿宋" w:eastAsia="仿宋" w:cs="仿宋"/>
          <w:bCs/>
          <w:color w:val="0000FF"/>
          <w:sz w:val="24"/>
          <w:szCs w:val="24"/>
          <w:highlight w:val="none"/>
          <w:u w:val="single"/>
          <w:lang w:eastAsia="zh-CN"/>
        </w:rPr>
        <w:t>月</w:t>
      </w:r>
      <w:r>
        <w:rPr>
          <w:rFonts w:hint="eastAsia" w:ascii="仿宋" w:hAnsi="仿宋" w:eastAsia="仿宋" w:cs="仿宋"/>
          <w:bCs/>
          <w:color w:val="0000FF"/>
          <w:sz w:val="24"/>
          <w:szCs w:val="24"/>
          <w:highlight w:val="none"/>
          <w:u w:val="single"/>
          <w:lang w:val="en-US" w:eastAsia="zh-CN"/>
        </w:rPr>
        <w:t xml:space="preserve"> 15 </w:t>
      </w:r>
      <w:r>
        <w:rPr>
          <w:rFonts w:hint="eastAsia" w:ascii="仿宋" w:hAnsi="仿宋" w:eastAsia="仿宋" w:cs="仿宋"/>
          <w:bCs/>
          <w:color w:val="0000FF"/>
          <w:sz w:val="24"/>
          <w:szCs w:val="24"/>
          <w:highlight w:val="none"/>
          <w:u w:val="single"/>
          <w:lang w:eastAsia="zh-CN"/>
        </w:rPr>
        <w:t>日</w:t>
      </w:r>
      <w:r>
        <w:rPr>
          <w:rFonts w:hint="eastAsia" w:ascii="仿宋" w:hAnsi="仿宋" w:eastAsia="仿宋" w:cs="仿宋"/>
          <w:bCs/>
          <w:color w:val="auto"/>
          <w:sz w:val="24"/>
          <w:szCs w:val="24"/>
          <w:highlight w:val="none"/>
          <w:u w:val="single"/>
          <w:lang w:val="en-US" w:eastAsia="zh-CN"/>
        </w:rPr>
        <w:t>11点0</w:t>
      </w:r>
      <w:r>
        <w:rPr>
          <w:rFonts w:hint="eastAsia" w:ascii="仿宋" w:hAnsi="仿宋" w:eastAsia="仿宋" w:cs="仿宋"/>
          <w:bCs/>
          <w:color w:val="auto"/>
          <w:sz w:val="24"/>
          <w:szCs w:val="24"/>
          <w:highlight w:val="none"/>
          <w:u w:val="single"/>
          <w:lang w:eastAsia="zh-CN"/>
        </w:rPr>
        <w:t>0分</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北京时间）前递交投标文件。</w:t>
      </w:r>
    </w:p>
    <w:p w14:paraId="0317CBA7">
      <w:pPr>
        <w:keepNext/>
        <w:keepLines/>
        <w:ind w:firstLine="482" w:firstLineChars="200"/>
        <w:rPr>
          <w:rFonts w:hint="eastAsia" w:ascii="仿宋" w:hAnsi="仿宋" w:eastAsia="仿宋" w:cs="仿宋"/>
          <w:b/>
          <w:bCs w:val="0"/>
          <w:color w:val="auto"/>
          <w:sz w:val="24"/>
          <w:szCs w:val="24"/>
          <w:highlight w:val="none"/>
        </w:rPr>
      </w:pPr>
      <w:bookmarkStart w:id="10" w:name="_Toc35393621"/>
      <w:bookmarkStart w:id="11" w:name="_Toc28359002"/>
      <w:bookmarkStart w:id="12" w:name="_Toc28359079"/>
      <w:bookmarkStart w:id="13" w:name="_Toc35393790"/>
      <w:bookmarkStart w:id="14" w:name="_Hlk24379207"/>
      <w:r>
        <w:rPr>
          <w:rFonts w:hint="eastAsia" w:ascii="仿宋" w:hAnsi="仿宋" w:eastAsia="仿宋" w:cs="仿宋"/>
          <w:b/>
          <w:bCs w:val="0"/>
          <w:color w:val="auto"/>
          <w:sz w:val="24"/>
          <w:szCs w:val="24"/>
          <w:highlight w:val="none"/>
        </w:rPr>
        <w:t>一、项目基本情况</w:t>
      </w:r>
      <w:bookmarkEnd w:id="10"/>
      <w:bookmarkEnd w:id="11"/>
      <w:bookmarkEnd w:id="12"/>
      <w:bookmarkEnd w:id="13"/>
    </w:p>
    <w:p w14:paraId="51D1CCF1">
      <w:pPr>
        <w:ind w:firstLine="420" w:firstLineChars="175"/>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lang w:eastAsia="zh-CN"/>
        </w:rPr>
        <w:t>2025-XBZC-45</w:t>
      </w:r>
    </w:p>
    <w:p w14:paraId="34E005D2">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项目名称：</w:t>
      </w:r>
      <w:bookmarkEnd w:id="14"/>
      <w:r>
        <w:rPr>
          <w:rFonts w:hint="eastAsia" w:ascii="仿宋" w:hAnsi="仿宋" w:eastAsia="仿宋" w:cs="仿宋"/>
          <w:bCs/>
          <w:color w:val="auto"/>
          <w:sz w:val="24"/>
          <w:szCs w:val="24"/>
          <w:highlight w:val="none"/>
          <w:lang w:val="en-US" w:eastAsia="zh-CN"/>
        </w:rPr>
        <w:t>乌鲁木齐市沙依巴克区教育局仓郁路新建学校设施设备采购（第一期）第四包</w:t>
      </w:r>
    </w:p>
    <w:p w14:paraId="5EAB36F8">
      <w:pPr>
        <w:ind w:firstLine="420" w:firstLineChars="17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采购方式：公开招标</w:t>
      </w:r>
    </w:p>
    <w:p w14:paraId="18F029B7">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预算金额（元）：</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00000</w:t>
      </w:r>
    </w:p>
    <w:p w14:paraId="5503E9B6">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最高限价（元）：300000</w:t>
      </w:r>
    </w:p>
    <w:p w14:paraId="6D56DFD9">
      <w:pPr>
        <w:ind w:firstLine="420" w:firstLineChars="17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14:paraId="4DA5A621">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标项名称：机房建设设备</w:t>
      </w:r>
    </w:p>
    <w:p w14:paraId="5FA59DD8">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数量：1</w:t>
      </w:r>
    </w:p>
    <w:p w14:paraId="708407D8">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预算金额（元）:300000</w:t>
      </w:r>
    </w:p>
    <w:p w14:paraId="7171F43D">
      <w:pPr>
        <w:ind w:firstLine="420" w:firstLineChars="175"/>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单位：批</w:t>
      </w:r>
    </w:p>
    <w:p w14:paraId="1CC7B3D8">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简要规格描述或项目基本概况介绍、用途：机房建设设备，具体要求详见采购需求</w:t>
      </w:r>
    </w:p>
    <w:p w14:paraId="4F12AC73">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p w14:paraId="4B0C382B">
      <w:pPr>
        <w:ind w:firstLine="420" w:firstLineChars="175"/>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合同履约期限：</w:t>
      </w:r>
      <w:r>
        <w:rPr>
          <w:rFonts w:hint="eastAsia" w:ascii="仿宋" w:hAnsi="仿宋" w:eastAsia="仿宋" w:cs="仿宋"/>
          <w:bCs/>
          <w:color w:val="auto"/>
          <w:sz w:val="24"/>
          <w:szCs w:val="24"/>
          <w:highlight w:val="none"/>
          <w:lang w:val="en-US" w:eastAsia="zh-CN"/>
        </w:rPr>
        <w:t>自合同生效之日起至合同全部权利义务履行完毕之日止。</w:t>
      </w:r>
    </w:p>
    <w:p w14:paraId="68D2E819">
      <w:pPr>
        <w:ind w:firstLine="420" w:firstLineChars="17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本项目（否）接受联合体投标。</w:t>
      </w:r>
    </w:p>
    <w:p w14:paraId="7C3D90C2">
      <w:pPr>
        <w:ind w:firstLine="482" w:firstLineChars="200"/>
        <w:rPr>
          <w:rFonts w:hint="eastAsia" w:ascii="仿宋" w:hAnsi="仿宋" w:eastAsia="仿宋" w:cs="仿宋"/>
          <w:b/>
          <w:bCs w:val="0"/>
          <w:color w:val="auto"/>
          <w:sz w:val="24"/>
          <w:szCs w:val="24"/>
          <w:highlight w:val="none"/>
        </w:rPr>
      </w:pPr>
      <w:bookmarkStart w:id="15" w:name="_Toc35393622"/>
      <w:bookmarkStart w:id="16" w:name="_Toc35393791"/>
      <w:bookmarkStart w:id="17" w:name="_Toc28359003"/>
      <w:bookmarkStart w:id="18" w:name="_Toc28359080"/>
      <w:r>
        <w:rPr>
          <w:rFonts w:hint="eastAsia" w:ascii="仿宋" w:hAnsi="仿宋" w:eastAsia="仿宋" w:cs="仿宋"/>
          <w:b/>
          <w:bCs w:val="0"/>
          <w:color w:val="auto"/>
          <w:sz w:val="24"/>
          <w:szCs w:val="24"/>
          <w:highlight w:val="none"/>
        </w:rPr>
        <w:t>二、申请人的资格要求</w:t>
      </w:r>
      <w:bookmarkEnd w:id="15"/>
      <w:bookmarkEnd w:id="16"/>
      <w:bookmarkEnd w:id="17"/>
      <w:bookmarkEnd w:id="18"/>
    </w:p>
    <w:p w14:paraId="021F9649">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w:t>
      </w:r>
    </w:p>
    <w:p w14:paraId="433456D9">
      <w:pPr>
        <w:ind w:firstLine="480" w:firstLineChars="200"/>
        <w:rPr>
          <w:rFonts w:hint="eastAsia" w:ascii="仿宋" w:hAnsi="仿宋" w:eastAsia="仿宋" w:cs="仿宋"/>
          <w:bCs/>
          <w:color w:val="auto"/>
          <w:sz w:val="24"/>
          <w:szCs w:val="24"/>
          <w:highlight w:val="none"/>
          <w:lang w:eastAsia="zh-CN"/>
        </w:rPr>
      </w:pPr>
      <w:bookmarkStart w:id="19" w:name="_Toc28359004"/>
      <w:bookmarkStart w:id="20" w:name="_Toc28359081"/>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lang w:val="en-US" w:eastAsia="zh-CN"/>
        </w:rPr>
        <w:t>本标项专门面向中小企业</w:t>
      </w:r>
      <w:r>
        <w:rPr>
          <w:rFonts w:hint="eastAsia" w:ascii="仿宋" w:hAnsi="仿宋" w:eastAsia="仿宋" w:cs="仿宋"/>
          <w:bCs/>
          <w:color w:val="auto"/>
          <w:sz w:val="24"/>
          <w:szCs w:val="24"/>
          <w:highlight w:val="none"/>
          <w:lang w:eastAsia="zh-CN"/>
        </w:rPr>
        <w:t>；</w:t>
      </w:r>
    </w:p>
    <w:p w14:paraId="37058D8F">
      <w:pPr>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3.本项目的特定资格要求：</w:t>
      </w:r>
      <w:bookmarkStart w:id="21" w:name="_Toc35393792"/>
      <w:bookmarkStart w:id="22" w:name="_Toc35393623"/>
      <w:r>
        <w:rPr>
          <w:rFonts w:hint="eastAsia" w:ascii="仿宋" w:hAnsi="仿宋" w:eastAsia="仿宋" w:cs="仿宋"/>
          <w:bCs/>
          <w:color w:val="auto"/>
          <w:sz w:val="24"/>
          <w:szCs w:val="24"/>
          <w:highlight w:val="none"/>
          <w:lang w:val="en-US" w:eastAsia="zh-CN"/>
        </w:rPr>
        <w:t>无</w:t>
      </w:r>
    </w:p>
    <w:p w14:paraId="5D2971C9">
      <w:pPr>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4.其他资格要求：</w:t>
      </w:r>
    </w:p>
    <w:p w14:paraId="7D3D1CEB">
      <w:pPr>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（1）法定代表人或单位负责人为同一人或者存在直接控股、管理关系的不同供应商，不得参加同一合同项下的政府采购活动。</w:t>
      </w:r>
    </w:p>
    <w:p w14:paraId="76F75DC4">
      <w:pPr>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（2）除单一来源采购项目外，为采购项目提供整体设计、规范编制或者项目管理、监理、检测等服务的供应商，不得再参加该采购项目的其他采购活动。</w:t>
      </w:r>
    </w:p>
    <w:p w14:paraId="33DB7CDC">
      <w:pPr>
        <w:ind w:firstLine="480" w:firstLineChars="200"/>
        <w:rPr>
          <w:rFonts w:hint="eastAsia" w:ascii="仿宋" w:hAnsi="仿宋" w:eastAsia="仿宋" w:cs="仿宋"/>
          <w:color w:val="auto"/>
          <w:highlight w:val="none"/>
          <w:lang w:val="en-US" w:eastAsia="zh-CN"/>
        </w:rPr>
      </w:pPr>
      <w:r>
        <w:rPr>
          <w:rFonts w:hint="eastAsia" w:ascii="仿宋" w:hAnsi="仿宋" w:eastAsia="仿宋" w:cs="仿宋"/>
          <w:bCs/>
          <w:color w:val="auto"/>
          <w:sz w:val="24"/>
          <w:szCs w:val="24"/>
          <w:highlight w:val="none"/>
          <w:lang w:val="en-US" w:eastAsia="zh-CN"/>
        </w:rPr>
        <w:t>（3）供应商的信用行为：在资格审查阶段经查询，未被列入“失信被执行人”、“重大税收违法失信主体”、“政府采购严重违法失信行为记录名单”其中之一。如有以上不良信用记录之一的，其投标无效。</w:t>
      </w:r>
    </w:p>
    <w:bookmarkEnd w:id="19"/>
    <w:bookmarkEnd w:id="20"/>
    <w:bookmarkEnd w:id="21"/>
    <w:bookmarkEnd w:id="22"/>
    <w:p w14:paraId="0DADC7AE">
      <w:pPr>
        <w:ind w:firstLine="482" w:firstLineChars="200"/>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三、</w:t>
      </w:r>
      <w:r>
        <w:rPr>
          <w:rFonts w:hint="eastAsia" w:ascii="仿宋" w:hAnsi="仿宋" w:eastAsia="仿宋" w:cs="仿宋"/>
          <w:b/>
          <w:bCs w:val="0"/>
          <w:color w:val="auto"/>
          <w:sz w:val="24"/>
          <w:szCs w:val="24"/>
          <w:highlight w:val="none"/>
          <w:lang w:eastAsia="zh-CN"/>
        </w:rPr>
        <w:t>获取招标文件</w:t>
      </w:r>
    </w:p>
    <w:p w14:paraId="5626BB44">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时间：</w:t>
      </w:r>
      <w:r>
        <w:rPr>
          <w:rFonts w:hint="eastAsia" w:ascii="仿宋" w:hAnsi="仿宋" w:eastAsia="仿宋" w:cs="仿宋"/>
          <w:bCs/>
          <w:color w:val="0000FF"/>
          <w:sz w:val="24"/>
          <w:szCs w:val="24"/>
          <w:highlight w:val="none"/>
          <w:u w:val="single"/>
          <w:lang w:eastAsia="zh-CN"/>
        </w:rPr>
        <w:t>202</w:t>
      </w:r>
      <w:r>
        <w:rPr>
          <w:rFonts w:hint="eastAsia" w:ascii="仿宋" w:hAnsi="仿宋" w:eastAsia="仿宋" w:cs="仿宋"/>
          <w:bCs/>
          <w:color w:val="0000FF"/>
          <w:sz w:val="24"/>
          <w:szCs w:val="24"/>
          <w:highlight w:val="none"/>
          <w:u w:val="single"/>
          <w:lang w:val="en-US" w:eastAsia="zh-CN"/>
        </w:rPr>
        <w:t>5</w:t>
      </w:r>
      <w:r>
        <w:rPr>
          <w:rFonts w:hint="eastAsia" w:ascii="仿宋" w:hAnsi="仿宋" w:eastAsia="仿宋" w:cs="仿宋"/>
          <w:bCs/>
          <w:color w:val="0000FF"/>
          <w:sz w:val="24"/>
          <w:szCs w:val="24"/>
          <w:highlight w:val="none"/>
          <w:u w:val="single"/>
          <w:lang w:eastAsia="zh-CN"/>
        </w:rPr>
        <w:t>年</w:t>
      </w:r>
      <w:r>
        <w:rPr>
          <w:rFonts w:hint="eastAsia" w:ascii="仿宋" w:hAnsi="仿宋" w:eastAsia="仿宋" w:cs="仿宋"/>
          <w:bCs/>
          <w:color w:val="0000FF"/>
          <w:sz w:val="24"/>
          <w:szCs w:val="24"/>
          <w:highlight w:val="none"/>
          <w:u w:val="single"/>
          <w:lang w:val="en-US" w:eastAsia="zh-CN"/>
        </w:rPr>
        <w:t xml:space="preserve"> 6 </w:t>
      </w:r>
      <w:r>
        <w:rPr>
          <w:rFonts w:hint="eastAsia" w:ascii="仿宋" w:hAnsi="仿宋" w:eastAsia="仿宋" w:cs="仿宋"/>
          <w:bCs/>
          <w:color w:val="0000FF"/>
          <w:sz w:val="24"/>
          <w:szCs w:val="24"/>
          <w:highlight w:val="none"/>
          <w:u w:val="single"/>
          <w:lang w:eastAsia="zh-CN"/>
        </w:rPr>
        <w:t>月</w:t>
      </w:r>
      <w:r>
        <w:rPr>
          <w:rFonts w:hint="eastAsia" w:ascii="仿宋" w:hAnsi="仿宋" w:eastAsia="仿宋" w:cs="仿宋"/>
          <w:bCs/>
          <w:color w:val="0000FF"/>
          <w:sz w:val="24"/>
          <w:szCs w:val="24"/>
          <w:highlight w:val="none"/>
          <w:u w:val="single"/>
          <w:lang w:val="en-US" w:eastAsia="zh-CN"/>
        </w:rPr>
        <w:t xml:space="preserve"> 19 </w:t>
      </w:r>
      <w:r>
        <w:rPr>
          <w:rFonts w:hint="eastAsia" w:ascii="仿宋" w:hAnsi="仿宋" w:eastAsia="仿宋" w:cs="仿宋"/>
          <w:bCs/>
          <w:color w:val="0000FF"/>
          <w:sz w:val="24"/>
          <w:szCs w:val="24"/>
          <w:highlight w:val="none"/>
          <w:u w:val="single"/>
          <w:lang w:eastAsia="zh-CN"/>
        </w:rPr>
        <w:t>日</w:t>
      </w:r>
      <w:r>
        <w:rPr>
          <w:rFonts w:hint="eastAsia" w:ascii="仿宋" w:hAnsi="仿宋" w:eastAsia="仿宋" w:cs="仿宋"/>
          <w:bCs/>
          <w:color w:val="0000FF"/>
          <w:sz w:val="24"/>
          <w:szCs w:val="24"/>
          <w:highlight w:val="none"/>
        </w:rPr>
        <w:t>至</w:t>
      </w:r>
      <w:r>
        <w:rPr>
          <w:rFonts w:hint="eastAsia" w:ascii="仿宋" w:hAnsi="仿宋" w:eastAsia="仿宋" w:cs="仿宋"/>
          <w:bCs/>
          <w:color w:val="0000FF"/>
          <w:sz w:val="24"/>
          <w:szCs w:val="24"/>
          <w:highlight w:val="none"/>
          <w:u w:val="single"/>
        </w:rPr>
        <w:t>202</w:t>
      </w:r>
      <w:r>
        <w:rPr>
          <w:rFonts w:hint="eastAsia" w:ascii="仿宋" w:hAnsi="仿宋" w:eastAsia="仿宋" w:cs="仿宋"/>
          <w:bCs/>
          <w:color w:val="0000FF"/>
          <w:sz w:val="24"/>
          <w:szCs w:val="24"/>
          <w:highlight w:val="none"/>
          <w:u w:val="single"/>
          <w:lang w:val="en-US" w:eastAsia="zh-CN"/>
        </w:rPr>
        <w:t>5</w:t>
      </w:r>
      <w:r>
        <w:rPr>
          <w:rFonts w:hint="eastAsia" w:ascii="仿宋" w:hAnsi="仿宋" w:eastAsia="仿宋" w:cs="仿宋"/>
          <w:bCs/>
          <w:color w:val="0000FF"/>
          <w:sz w:val="24"/>
          <w:szCs w:val="24"/>
          <w:highlight w:val="none"/>
          <w:u w:val="single"/>
        </w:rPr>
        <w:t>年</w:t>
      </w:r>
      <w:r>
        <w:rPr>
          <w:rFonts w:hint="eastAsia" w:ascii="仿宋" w:hAnsi="仿宋" w:eastAsia="仿宋" w:cs="仿宋"/>
          <w:bCs/>
          <w:color w:val="0000FF"/>
          <w:sz w:val="24"/>
          <w:szCs w:val="24"/>
          <w:highlight w:val="none"/>
          <w:u w:val="single"/>
          <w:lang w:val="en-US" w:eastAsia="zh-CN"/>
        </w:rPr>
        <w:t xml:space="preserve"> 6 </w:t>
      </w:r>
      <w:r>
        <w:rPr>
          <w:rFonts w:hint="eastAsia" w:ascii="仿宋" w:hAnsi="仿宋" w:eastAsia="仿宋" w:cs="仿宋"/>
          <w:bCs/>
          <w:color w:val="0000FF"/>
          <w:sz w:val="24"/>
          <w:szCs w:val="24"/>
          <w:highlight w:val="none"/>
          <w:u w:val="single"/>
        </w:rPr>
        <w:t>月</w:t>
      </w:r>
      <w:r>
        <w:rPr>
          <w:rFonts w:hint="eastAsia" w:ascii="仿宋" w:hAnsi="仿宋" w:eastAsia="仿宋" w:cs="仿宋"/>
          <w:bCs/>
          <w:color w:val="0000FF"/>
          <w:sz w:val="24"/>
          <w:szCs w:val="24"/>
          <w:highlight w:val="none"/>
          <w:u w:val="single"/>
          <w:lang w:val="en-US" w:eastAsia="zh-CN"/>
        </w:rPr>
        <w:t xml:space="preserve"> 26 </w:t>
      </w:r>
      <w:r>
        <w:rPr>
          <w:rFonts w:hint="eastAsia" w:ascii="仿宋" w:hAnsi="仿宋" w:eastAsia="仿宋" w:cs="仿宋"/>
          <w:bCs/>
          <w:color w:val="0000FF"/>
          <w:sz w:val="24"/>
          <w:szCs w:val="24"/>
          <w:highlight w:val="none"/>
          <w:u w:val="single"/>
        </w:rPr>
        <w:t>日</w:t>
      </w:r>
      <w:r>
        <w:rPr>
          <w:rFonts w:hint="eastAsia" w:ascii="仿宋" w:hAnsi="仿宋" w:eastAsia="仿宋" w:cs="仿宋"/>
          <w:bCs/>
          <w:color w:val="auto"/>
          <w:sz w:val="24"/>
          <w:szCs w:val="24"/>
          <w:highlight w:val="none"/>
        </w:rPr>
        <w:t>，每天上午</w:t>
      </w:r>
      <w:r>
        <w:rPr>
          <w:rFonts w:hint="eastAsia" w:ascii="仿宋" w:hAnsi="仿宋" w:eastAsia="仿宋" w:cs="仿宋"/>
          <w:bCs/>
          <w:color w:val="auto"/>
          <w:sz w:val="24"/>
          <w:szCs w:val="24"/>
          <w:highlight w:val="none"/>
          <w:u w:val="single"/>
          <w:lang w:val="en-US" w:eastAsia="zh-CN"/>
        </w:rPr>
        <w:t>00</w:t>
      </w:r>
      <w:r>
        <w:rPr>
          <w:rFonts w:hint="eastAsia" w:ascii="仿宋" w:hAnsi="仿宋" w:eastAsia="仿宋" w:cs="仿宋"/>
          <w:bCs/>
          <w:color w:val="auto"/>
          <w:sz w:val="24"/>
          <w:szCs w:val="24"/>
          <w:highlight w:val="none"/>
          <w:u w:val="single"/>
        </w:rPr>
        <w:t>:00</w:t>
      </w:r>
      <w:r>
        <w:rPr>
          <w:rFonts w:hint="eastAsia" w:ascii="仿宋" w:hAnsi="仿宋" w:eastAsia="仿宋" w:cs="仿宋"/>
          <w:bCs/>
          <w:color w:val="auto"/>
          <w:sz w:val="24"/>
          <w:szCs w:val="24"/>
          <w:highlight w:val="none"/>
        </w:rPr>
        <w:t>至</w:t>
      </w:r>
      <w:r>
        <w:rPr>
          <w:rFonts w:hint="eastAsia" w:ascii="仿宋" w:hAnsi="仿宋" w:eastAsia="仿宋" w:cs="仿宋"/>
          <w:bCs/>
          <w:color w:val="auto"/>
          <w:sz w:val="24"/>
          <w:szCs w:val="24"/>
          <w:highlight w:val="none"/>
          <w:u w:val="single"/>
        </w:rPr>
        <w:t>1</w:t>
      </w:r>
      <w:r>
        <w:rPr>
          <w:rFonts w:hint="eastAsia" w:ascii="仿宋" w:hAnsi="仿宋" w:eastAsia="仿宋" w:cs="仿宋"/>
          <w:bCs/>
          <w:color w:val="auto"/>
          <w:sz w:val="24"/>
          <w:szCs w:val="24"/>
          <w:highlight w:val="none"/>
          <w:u w:val="single"/>
          <w:lang w:val="en-US" w:eastAsia="zh-CN"/>
        </w:rPr>
        <w:t>2</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0</w:t>
      </w:r>
      <w:r>
        <w:rPr>
          <w:rFonts w:hint="eastAsia" w:ascii="仿宋" w:hAnsi="仿宋" w:eastAsia="仿宋" w:cs="仿宋"/>
          <w:bCs/>
          <w:color w:val="auto"/>
          <w:sz w:val="24"/>
          <w:szCs w:val="24"/>
          <w:highlight w:val="none"/>
          <w:u w:val="single"/>
        </w:rPr>
        <w:t>0</w:t>
      </w:r>
      <w:r>
        <w:rPr>
          <w:rFonts w:hint="eastAsia" w:ascii="仿宋" w:hAnsi="仿宋" w:eastAsia="仿宋" w:cs="仿宋"/>
          <w:bCs/>
          <w:color w:val="auto"/>
          <w:sz w:val="24"/>
          <w:szCs w:val="24"/>
          <w:highlight w:val="none"/>
        </w:rPr>
        <w:t>，下午</w:t>
      </w:r>
      <w:r>
        <w:rPr>
          <w:rFonts w:hint="eastAsia" w:ascii="仿宋" w:hAnsi="仿宋" w:eastAsia="仿宋" w:cs="仿宋"/>
          <w:bCs/>
          <w:color w:val="auto"/>
          <w:sz w:val="24"/>
          <w:szCs w:val="24"/>
          <w:highlight w:val="none"/>
          <w:u w:val="single"/>
        </w:rPr>
        <w:t>1</w:t>
      </w:r>
      <w:r>
        <w:rPr>
          <w:rFonts w:hint="eastAsia" w:ascii="仿宋" w:hAnsi="仿宋" w:eastAsia="仿宋" w:cs="仿宋"/>
          <w:bCs/>
          <w:color w:val="auto"/>
          <w:sz w:val="24"/>
          <w:szCs w:val="24"/>
          <w:highlight w:val="none"/>
          <w:u w:val="single"/>
          <w:lang w:val="en-US" w:eastAsia="zh-CN"/>
        </w:rPr>
        <w:t>2</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0</w:t>
      </w:r>
      <w:r>
        <w:rPr>
          <w:rFonts w:hint="eastAsia" w:ascii="仿宋" w:hAnsi="仿宋" w:eastAsia="仿宋" w:cs="仿宋"/>
          <w:bCs/>
          <w:color w:val="auto"/>
          <w:sz w:val="24"/>
          <w:szCs w:val="24"/>
          <w:highlight w:val="none"/>
          <w:u w:val="single"/>
        </w:rPr>
        <w:t>0</w:t>
      </w:r>
      <w:r>
        <w:rPr>
          <w:rFonts w:hint="eastAsia" w:ascii="仿宋" w:hAnsi="仿宋" w:eastAsia="仿宋" w:cs="仿宋"/>
          <w:bCs/>
          <w:color w:val="auto"/>
          <w:sz w:val="24"/>
          <w:szCs w:val="24"/>
          <w:highlight w:val="none"/>
        </w:rPr>
        <w:t>至</w:t>
      </w:r>
      <w:r>
        <w:rPr>
          <w:rFonts w:hint="eastAsia" w:ascii="仿宋" w:hAnsi="仿宋" w:eastAsia="仿宋" w:cs="仿宋"/>
          <w:bCs/>
          <w:color w:val="auto"/>
          <w:sz w:val="24"/>
          <w:szCs w:val="24"/>
          <w:highlight w:val="none"/>
          <w:u w:val="single"/>
          <w:lang w:val="en-US" w:eastAsia="zh-CN"/>
        </w:rPr>
        <w:t>23</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59</w:t>
      </w:r>
      <w:r>
        <w:rPr>
          <w:rFonts w:hint="eastAsia" w:ascii="仿宋" w:hAnsi="仿宋" w:eastAsia="仿宋" w:cs="仿宋"/>
          <w:bCs/>
          <w:color w:val="auto"/>
          <w:sz w:val="24"/>
          <w:szCs w:val="24"/>
          <w:highlight w:val="none"/>
        </w:rPr>
        <w:t>（北京时间，法定节假日除外）</w:t>
      </w:r>
    </w:p>
    <w:p w14:paraId="197840D5">
      <w:pPr>
        <w:pageBreakBefore w:val="0"/>
        <w:kinsoku/>
        <w:wordWrap/>
        <w:overflowPunct/>
        <w:topLinePunct w:val="0"/>
        <w:bidi w:val="0"/>
        <w:spacing w:line="240" w:lineRule="auto"/>
        <w:ind w:firstLine="540"/>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地点：新疆政府采购云平台https://www.zcygov.cn/</w:t>
      </w:r>
    </w:p>
    <w:p w14:paraId="43F18447">
      <w:pPr>
        <w:pageBreakBefore w:val="0"/>
        <w:kinsoku/>
        <w:wordWrap/>
        <w:overflowPunct/>
        <w:topLinePunct w:val="0"/>
        <w:bidi w:val="0"/>
        <w:spacing w:line="240" w:lineRule="auto"/>
        <w:ind w:firstLine="540"/>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方式：供应商登录新疆政府采购云平台https://www.zcygov.cn/在线申请获取采购文件（进入“项目采购”应用，在获取采购文件菜单中选择项目，申请获取采购文件）。</w:t>
      </w:r>
    </w:p>
    <w:p w14:paraId="66F080C4">
      <w:pPr>
        <w:pageBreakBefore w:val="0"/>
        <w:kinsoku/>
        <w:wordWrap/>
        <w:overflowPunct/>
        <w:topLinePunct w:val="0"/>
        <w:bidi w:val="0"/>
        <w:spacing w:line="240" w:lineRule="auto"/>
        <w:ind w:firstLine="540"/>
        <w:outlineLvl w:val="9"/>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rPr>
        <w:t>售价（元）：</w:t>
      </w:r>
      <w:r>
        <w:rPr>
          <w:rFonts w:hint="eastAsia" w:ascii="仿宋" w:hAnsi="仿宋" w:eastAsia="仿宋" w:cs="仿宋"/>
          <w:b w:val="0"/>
          <w:bCs/>
          <w:color w:val="auto"/>
          <w:sz w:val="24"/>
          <w:szCs w:val="24"/>
          <w:highlight w:val="none"/>
          <w:lang w:val="en-US" w:eastAsia="zh-CN"/>
        </w:rPr>
        <w:t>0</w:t>
      </w:r>
      <w:r>
        <w:rPr>
          <w:rFonts w:hint="eastAsia" w:ascii="仿宋" w:hAnsi="仿宋" w:eastAsia="仿宋" w:cs="仿宋"/>
          <w:b w:val="0"/>
          <w:bCs/>
          <w:color w:val="auto"/>
          <w:sz w:val="24"/>
          <w:szCs w:val="24"/>
          <w:highlight w:val="none"/>
        </w:rPr>
        <w:t>.00</w:t>
      </w:r>
    </w:p>
    <w:p w14:paraId="4155537F">
      <w:pPr>
        <w:keepNext/>
        <w:keepLines/>
        <w:ind w:firstLine="480" w:firstLineChars="200"/>
        <w:rPr>
          <w:rFonts w:hint="eastAsia" w:ascii="仿宋" w:hAnsi="仿宋" w:eastAsia="仿宋" w:cs="仿宋"/>
          <w:bCs/>
          <w:color w:val="auto"/>
          <w:sz w:val="24"/>
          <w:szCs w:val="24"/>
          <w:highlight w:val="none"/>
        </w:rPr>
      </w:pPr>
      <w:bookmarkStart w:id="23" w:name="_Toc28359082"/>
      <w:bookmarkStart w:id="24" w:name="_Toc28359005"/>
      <w:bookmarkStart w:id="25" w:name="_Toc35393793"/>
      <w:bookmarkStart w:id="26" w:name="_Toc35393624"/>
      <w:r>
        <w:rPr>
          <w:rFonts w:hint="eastAsia" w:ascii="仿宋" w:hAnsi="仿宋" w:eastAsia="仿宋" w:cs="仿宋"/>
          <w:bCs/>
          <w:color w:val="auto"/>
          <w:sz w:val="24"/>
          <w:szCs w:val="24"/>
          <w:highlight w:val="none"/>
        </w:rPr>
        <w:t>四、提交投标文件</w:t>
      </w:r>
      <w:bookmarkEnd w:id="23"/>
      <w:bookmarkEnd w:id="24"/>
      <w:r>
        <w:rPr>
          <w:rFonts w:hint="eastAsia" w:ascii="仿宋" w:hAnsi="仿宋" w:eastAsia="仿宋" w:cs="仿宋"/>
          <w:bCs/>
          <w:color w:val="auto"/>
          <w:sz w:val="24"/>
          <w:szCs w:val="24"/>
          <w:highlight w:val="none"/>
        </w:rPr>
        <w:t>截止时间、开标时间和地点</w:t>
      </w:r>
      <w:bookmarkEnd w:id="25"/>
      <w:bookmarkEnd w:id="26"/>
    </w:p>
    <w:p w14:paraId="5316E85C">
      <w:pPr>
        <w:pStyle w:val="32"/>
        <w:keepNext w:val="0"/>
        <w:keepLines w:val="0"/>
        <w:pageBreakBefore w:val="0"/>
        <w:widowControl/>
        <w:suppressLineNumbers w:val="0"/>
        <w:kinsoku/>
        <w:wordWrap/>
        <w:overflowPunct/>
        <w:topLinePunct w:val="0"/>
        <w:bidi w:val="0"/>
        <w:spacing w:before="75" w:beforeAutospacing="0" w:after="75" w:afterAutospacing="0"/>
        <w:ind w:left="0" w:right="0" w:firstLine="0"/>
        <w:outlineLvl w:val="9"/>
        <w:rPr>
          <w:rFonts w:hint="eastAsia" w:ascii="仿宋" w:hAnsi="仿宋" w:eastAsia="仿宋" w:cs="仿宋"/>
          <w:b w:val="0"/>
          <w:bCs/>
          <w:color w:val="auto"/>
          <w:kern w:val="2"/>
          <w:sz w:val="24"/>
          <w:szCs w:val="24"/>
          <w:highlight w:val="none"/>
          <w:lang w:val="en-US" w:eastAsia="zh-CN" w:bidi="ar-SA"/>
        </w:rPr>
      </w:pPr>
      <w:bookmarkStart w:id="27" w:name="_Toc35393625"/>
      <w:bookmarkStart w:id="28" w:name="_Toc28359084"/>
      <w:bookmarkStart w:id="29" w:name="_Toc35393794"/>
      <w:bookmarkStart w:id="30" w:name="_Toc28359007"/>
      <w:r>
        <w:rPr>
          <w:rFonts w:hint="eastAsia" w:ascii="仿宋" w:hAnsi="仿宋" w:eastAsia="仿宋" w:cs="仿宋"/>
          <w:b w:val="0"/>
          <w:bCs/>
          <w:color w:val="auto"/>
          <w:kern w:val="2"/>
          <w:sz w:val="24"/>
          <w:szCs w:val="24"/>
          <w:highlight w:val="none"/>
          <w:lang w:val="en-US" w:eastAsia="zh-CN" w:bidi="ar-SA"/>
        </w:rPr>
        <w:t xml:space="preserve">    截止时间：</w:t>
      </w:r>
      <w:r>
        <w:rPr>
          <w:rFonts w:hint="eastAsia" w:ascii="仿宋" w:hAnsi="仿宋" w:eastAsia="仿宋" w:cs="仿宋"/>
          <w:b w:val="0"/>
          <w:bCs/>
          <w:color w:val="0000FF"/>
          <w:kern w:val="2"/>
          <w:sz w:val="24"/>
          <w:szCs w:val="24"/>
          <w:highlight w:val="none"/>
          <w:lang w:val="en-US" w:eastAsia="zh-CN" w:bidi="ar-SA"/>
        </w:rPr>
        <w:t>2025年 7 月 15 日</w:t>
      </w:r>
      <w:r>
        <w:rPr>
          <w:rFonts w:hint="eastAsia" w:ascii="仿宋" w:hAnsi="仿宋" w:eastAsia="仿宋" w:cs="仿宋"/>
          <w:b w:val="0"/>
          <w:bCs/>
          <w:color w:val="auto"/>
          <w:kern w:val="2"/>
          <w:sz w:val="24"/>
          <w:szCs w:val="24"/>
          <w:highlight w:val="none"/>
          <w:lang w:val="en-US" w:eastAsia="zh-CN" w:bidi="ar-SA"/>
        </w:rPr>
        <w:t>11点00分（北京时间）</w:t>
      </w:r>
    </w:p>
    <w:p w14:paraId="25D6BA3B">
      <w:pPr>
        <w:keepNext/>
        <w:keepLines/>
        <w:ind w:firstLine="48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地点：政采云系统不见面开标（https://www.zcygov.cn/）网上开标</w:t>
      </w:r>
    </w:p>
    <w:p w14:paraId="6C04A90C">
      <w:pPr>
        <w:keepNext/>
        <w:keepLines/>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五、公告期限</w:t>
      </w:r>
      <w:bookmarkEnd w:id="27"/>
      <w:bookmarkEnd w:id="28"/>
      <w:bookmarkEnd w:id="29"/>
      <w:bookmarkEnd w:id="30"/>
    </w:p>
    <w:p w14:paraId="18829A9B">
      <w:pPr>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自本公告发布之日起5个工作日。</w:t>
      </w:r>
    </w:p>
    <w:p w14:paraId="7E0D389B">
      <w:pPr>
        <w:keepNext/>
        <w:keepLines/>
        <w:ind w:firstLine="482" w:firstLineChars="200"/>
        <w:rPr>
          <w:rFonts w:hint="eastAsia" w:ascii="仿宋" w:hAnsi="仿宋" w:eastAsia="仿宋" w:cs="仿宋"/>
          <w:b/>
          <w:bCs w:val="0"/>
          <w:color w:val="auto"/>
          <w:sz w:val="24"/>
          <w:szCs w:val="24"/>
          <w:highlight w:val="none"/>
        </w:rPr>
      </w:pPr>
      <w:bookmarkStart w:id="31" w:name="_Toc35393795"/>
      <w:bookmarkStart w:id="32" w:name="_Toc35393626"/>
      <w:r>
        <w:rPr>
          <w:rFonts w:hint="eastAsia" w:ascii="仿宋" w:hAnsi="仿宋" w:eastAsia="仿宋" w:cs="仿宋"/>
          <w:b/>
          <w:bCs w:val="0"/>
          <w:color w:val="auto"/>
          <w:sz w:val="24"/>
          <w:szCs w:val="24"/>
          <w:highlight w:val="none"/>
        </w:rPr>
        <w:t>六、其他补充事宜</w:t>
      </w:r>
      <w:bookmarkEnd w:id="31"/>
      <w:bookmarkEnd w:id="32"/>
    </w:p>
    <w:p w14:paraId="7BD5D8A4">
      <w:pPr>
        <w:keepNext w:val="0"/>
        <w:keepLines w:val="0"/>
        <w:pageBreakBefore w:val="0"/>
        <w:widowControl w:val="0"/>
        <w:kinsoku/>
        <w:wordWrap w:val="0"/>
        <w:overflowPunct/>
        <w:topLinePunct/>
        <w:autoSpaceDE/>
        <w:autoSpaceDN/>
        <w:bidi w:val="0"/>
        <w:adjustRightInd/>
        <w:snapToGrid/>
        <w:spacing w:line="262" w:lineRule="auto"/>
        <w:ind w:right="0" w:firstLine="500" w:firstLineChars="200"/>
        <w:textAlignment w:val="auto"/>
        <w:rPr>
          <w:rFonts w:hint="eastAsia" w:ascii="仿宋" w:hAnsi="仿宋" w:eastAsia="仿宋" w:cs="仿宋"/>
          <w:color w:val="auto"/>
          <w:spacing w:val="5"/>
          <w:sz w:val="24"/>
          <w:szCs w:val="24"/>
          <w:highlight w:val="none"/>
        </w:rPr>
      </w:pPr>
      <w:bookmarkStart w:id="33" w:name="_Toc4500"/>
      <w:bookmarkStart w:id="34" w:name="_Toc28359008"/>
      <w:bookmarkStart w:id="35" w:name="_Toc28359085"/>
      <w:bookmarkStart w:id="36" w:name="_Toc35393627"/>
      <w:bookmarkStart w:id="37" w:name="_Toc35393796"/>
      <w:r>
        <w:rPr>
          <w:rFonts w:hint="eastAsia" w:ascii="仿宋" w:hAnsi="仿宋" w:eastAsia="仿宋" w:cs="仿宋"/>
          <w:color w:val="auto"/>
          <w:spacing w:val="5"/>
          <w:sz w:val="24"/>
          <w:szCs w:val="24"/>
          <w:highlight w:val="none"/>
        </w:rPr>
        <w:t>1、本次采购采用电子交易方式，电子交易平台为“政府采购云平台</w:t>
      </w:r>
      <w:bookmarkEnd w:id="33"/>
      <w:r>
        <w:rPr>
          <w:rFonts w:hint="eastAsia" w:ascii="仿宋" w:hAnsi="仿宋" w:eastAsia="仿宋" w:cs="仿宋"/>
          <w:color w:val="auto"/>
          <w:spacing w:val="5"/>
          <w:sz w:val="24"/>
          <w:szCs w:val="24"/>
          <w:highlight w:val="none"/>
        </w:rPr>
        <w:t>(www.zcygov.cn) ”。供应商参与本项目电子交易活动前，应注册成为政府采购云平台供应商。编制电子响应文件前还需申领 CA 证书并绑定帐号。供应商应充分考虑完成平台注册、申领 CA 证书等所需的时间。因未注册入库、未办理 CA 数字证书等原因造成 无法投标或投标失败等后果由供应商自行承担。</w:t>
      </w:r>
    </w:p>
    <w:p w14:paraId="1F02572B">
      <w:pPr>
        <w:keepNext w:val="0"/>
        <w:keepLines w:val="0"/>
        <w:pageBreakBefore w:val="0"/>
        <w:widowControl w:val="0"/>
        <w:kinsoku/>
        <w:wordWrap w:val="0"/>
        <w:overflowPunct/>
        <w:topLinePunct/>
        <w:autoSpaceDE/>
        <w:autoSpaceDN/>
        <w:bidi w:val="0"/>
        <w:adjustRightInd/>
        <w:snapToGrid/>
        <w:spacing w:line="262" w:lineRule="auto"/>
        <w:ind w:right="0" w:firstLine="500" w:firstLineChars="200"/>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5"/>
          <w:sz w:val="24"/>
          <w:szCs w:val="24"/>
          <w:highlight w:val="none"/>
        </w:rPr>
        <w:t>2、供应商将政采云电子交易客户端下</w:t>
      </w:r>
      <w:r>
        <w:rPr>
          <w:rFonts w:hint="eastAsia" w:ascii="仿宋" w:hAnsi="仿宋" w:eastAsia="仿宋" w:cs="仿宋"/>
          <w:color w:val="auto"/>
          <w:spacing w:val="12"/>
          <w:sz w:val="24"/>
          <w:szCs w:val="24"/>
          <w:highlight w:val="none"/>
        </w:rPr>
        <w:t>载、安</w:t>
      </w:r>
      <w:r>
        <w:rPr>
          <w:rFonts w:hint="eastAsia" w:ascii="仿宋" w:hAnsi="仿宋" w:eastAsia="仿宋" w:cs="仿宋"/>
          <w:color w:val="auto"/>
          <w:spacing w:val="11"/>
          <w:sz w:val="24"/>
          <w:szCs w:val="24"/>
          <w:highlight w:val="none"/>
        </w:rPr>
        <w:t>装</w:t>
      </w:r>
      <w:r>
        <w:rPr>
          <w:rFonts w:hint="eastAsia" w:ascii="仿宋" w:hAnsi="仿宋" w:eastAsia="仿宋" w:cs="仿宋"/>
          <w:color w:val="auto"/>
          <w:spacing w:val="6"/>
          <w:sz w:val="24"/>
          <w:szCs w:val="24"/>
          <w:highlight w:val="none"/>
        </w:rPr>
        <w:t xml:space="preserve">完成后，可通过账号密码或 </w:t>
      </w:r>
      <w:r>
        <w:rPr>
          <w:rFonts w:hint="eastAsia" w:ascii="仿宋" w:hAnsi="仿宋" w:eastAsia="仿宋" w:cs="仿宋"/>
          <w:color w:val="auto"/>
          <w:sz w:val="24"/>
          <w:szCs w:val="24"/>
          <w:highlight w:val="none"/>
        </w:rPr>
        <w:t>CA</w:t>
      </w:r>
      <w:r>
        <w:rPr>
          <w:rFonts w:hint="eastAsia" w:ascii="仿宋" w:hAnsi="仿宋" w:eastAsia="仿宋" w:cs="仿宋"/>
          <w:color w:val="auto"/>
          <w:spacing w:val="6"/>
          <w:sz w:val="24"/>
          <w:szCs w:val="24"/>
          <w:highlight w:val="none"/>
        </w:rPr>
        <w:t xml:space="preserve"> 登录客户端进行响应文件制作。在使用政采云</w:t>
      </w:r>
      <w:r>
        <w:rPr>
          <w:rFonts w:hint="eastAsia" w:ascii="仿宋" w:hAnsi="仿宋" w:eastAsia="仿宋" w:cs="仿宋"/>
          <w:color w:val="auto"/>
          <w:spacing w:val="10"/>
          <w:sz w:val="24"/>
          <w:szCs w:val="24"/>
          <w:highlight w:val="none"/>
        </w:rPr>
        <w:t>投标客户端时，建议使用</w:t>
      </w:r>
      <w:r>
        <w:rPr>
          <w:rFonts w:hint="eastAsia" w:ascii="仿宋" w:hAnsi="仿宋" w:eastAsia="仿宋" w:cs="仿宋"/>
          <w:color w:val="auto"/>
          <w:sz w:val="24"/>
          <w:szCs w:val="24"/>
          <w:highlight w:val="none"/>
        </w:rPr>
        <w:t>WIN</w:t>
      </w:r>
      <w:r>
        <w:rPr>
          <w:rFonts w:hint="eastAsia" w:ascii="仿宋" w:hAnsi="仿宋" w:eastAsia="仿宋" w:cs="仿宋"/>
          <w:color w:val="auto"/>
          <w:spacing w:val="10"/>
          <w:sz w:val="24"/>
          <w:szCs w:val="24"/>
          <w:highlight w:val="none"/>
        </w:rPr>
        <w:t>7及以上操作系统。客户端请至新疆政府采购</w:t>
      </w:r>
      <w:r>
        <w:rPr>
          <w:rFonts w:hint="eastAsia" w:ascii="仿宋" w:hAnsi="仿宋" w:eastAsia="仿宋" w:cs="仿宋"/>
          <w:color w:val="auto"/>
          <w:spacing w:val="6"/>
          <w:sz w:val="24"/>
          <w:szCs w:val="24"/>
          <w:highlight w:val="none"/>
        </w:rPr>
        <w:t>网</w:t>
      </w:r>
      <w:r>
        <w:rPr>
          <w:rFonts w:hint="eastAsia" w:ascii="仿宋" w:hAnsi="仿宋" w:eastAsia="仿宋" w:cs="仿宋"/>
          <w:color w:val="auto"/>
          <w:spacing w:val="29"/>
          <w:sz w:val="24"/>
          <w:szCs w:val="24"/>
          <w:highlight w:val="none"/>
        </w:rPr>
        <w:t>(</w:t>
      </w:r>
      <w:r>
        <w:rPr>
          <w:rFonts w:hint="eastAsia" w:ascii="仿宋" w:hAnsi="仿宋" w:eastAsia="仿宋" w:cs="仿宋"/>
          <w:color w:val="auto"/>
          <w:sz w:val="24"/>
          <w:szCs w:val="24"/>
          <w:highlight w:val="none"/>
        </w:rPr>
        <w:t>www</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ccgp</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xinjiang</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gov</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cn</w:t>
      </w:r>
      <w:r>
        <w:rPr>
          <w:rFonts w:hint="eastAsia" w:ascii="仿宋" w:hAnsi="仿宋" w:eastAsia="仿宋" w:cs="仿宋"/>
          <w:color w:val="auto"/>
          <w:spacing w:val="15"/>
          <w:sz w:val="24"/>
          <w:szCs w:val="24"/>
          <w:highlight w:val="none"/>
        </w:rPr>
        <w:t>)下载专区查看，如有问题可拨打政采云客户服务热线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95763 进行咨询。</w:t>
      </w:r>
    </w:p>
    <w:p w14:paraId="3A3AB4CC">
      <w:pPr>
        <w:keepNext w:val="0"/>
        <w:keepLines w:val="0"/>
        <w:pageBreakBefore w:val="0"/>
        <w:widowControl w:val="0"/>
        <w:numPr>
          <w:ilvl w:val="0"/>
          <w:numId w:val="2"/>
        </w:numPr>
        <w:kinsoku/>
        <w:wordWrap w:val="0"/>
        <w:overflowPunct/>
        <w:topLinePunct/>
        <w:autoSpaceDE/>
        <w:autoSpaceDN/>
        <w:bidi w:val="0"/>
        <w:adjustRightInd/>
        <w:snapToGrid/>
        <w:spacing w:line="265" w:lineRule="auto"/>
        <w:ind w:right="0" w:firstLine="484"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color w:val="auto"/>
          <w:spacing w:val="1"/>
          <w:sz w:val="24"/>
          <w:szCs w:val="24"/>
          <w:highlight w:val="none"/>
        </w:rPr>
        <w:t>加密的电子响应</w:t>
      </w:r>
      <w:r>
        <w:rPr>
          <w:rFonts w:hint="eastAsia" w:ascii="仿宋" w:hAnsi="仿宋" w:eastAsia="仿宋" w:cs="仿宋"/>
          <w:color w:val="auto"/>
          <w:sz w:val="24"/>
          <w:szCs w:val="24"/>
          <w:highlight w:val="none"/>
        </w:rPr>
        <w:t xml:space="preserve">文件( .jmbs 格式) 应在响应文件递交截止时间 </w:t>
      </w:r>
      <w:r>
        <w:rPr>
          <w:rFonts w:hint="eastAsia" w:ascii="仿宋" w:hAnsi="仿宋" w:eastAsia="仿宋" w:cs="仿宋"/>
          <w:color w:val="auto"/>
          <w:spacing w:val="10"/>
          <w:sz w:val="24"/>
          <w:szCs w:val="24"/>
          <w:highlight w:val="none"/>
        </w:rPr>
        <w:t>前</w:t>
      </w:r>
      <w:r>
        <w:rPr>
          <w:rFonts w:hint="eastAsia" w:ascii="仿宋" w:hAnsi="仿宋" w:eastAsia="仿宋" w:cs="仿宋"/>
          <w:color w:val="auto"/>
          <w:spacing w:val="7"/>
          <w:sz w:val="24"/>
          <w:szCs w:val="24"/>
          <w:highlight w:val="none"/>
        </w:rPr>
        <w:t>通</w:t>
      </w:r>
      <w:r>
        <w:rPr>
          <w:rFonts w:hint="eastAsia" w:ascii="仿宋" w:hAnsi="仿宋" w:eastAsia="仿宋" w:cs="仿宋"/>
          <w:color w:val="auto"/>
          <w:spacing w:val="5"/>
          <w:sz w:val="24"/>
          <w:szCs w:val="24"/>
          <w:highlight w:val="none"/>
        </w:rPr>
        <w:t>过政采云平台上传完成。</w:t>
      </w:r>
    </w:p>
    <w:p w14:paraId="382F2911">
      <w:pPr>
        <w:keepNext w:val="0"/>
        <w:keepLines w:val="0"/>
        <w:pageBreakBefore w:val="0"/>
        <w:widowControl w:val="0"/>
        <w:numPr>
          <w:ilvl w:val="0"/>
          <w:numId w:val="2"/>
        </w:numPr>
        <w:kinsoku/>
        <w:wordWrap w:val="0"/>
        <w:overflowPunct/>
        <w:topLinePunct/>
        <w:autoSpaceDE/>
        <w:autoSpaceDN/>
        <w:bidi w:val="0"/>
        <w:adjustRightInd/>
        <w:snapToGrid/>
        <w:spacing w:line="265" w:lineRule="auto"/>
        <w:ind w:left="0" w:leftChars="0" w:right="0" w:firstLine="500" w:firstLineChars="200"/>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响应文件开启当日，供应商无需到达开标现场，仅需</w:t>
      </w:r>
      <w:r>
        <w:rPr>
          <w:rFonts w:hint="eastAsia" w:ascii="仿宋" w:hAnsi="仿宋" w:eastAsia="仿宋" w:cs="仿宋"/>
          <w:color w:val="auto"/>
          <w:spacing w:val="16"/>
          <w:sz w:val="24"/>
          <w:szCs w:val="24"/>
          <w:highlight w:val="none"/>
        </w:rPr>
        <w:t>通过</w:t>
      </w:r>
      <w:r>
        <w:rPr>
          <w:rFonts w:hint="eastAsia" w:ascii="仿宋" w:hAnsi="仿宋" w:eastAsia="仿宋" w:cs="仿宋"/>
          <w:color w:val="auto"/>
          <w:spacing w:val="10"/>
          <w:sz w:val="24"/>
          <w:szCs w:val="24"/>
          <w:highlight w:val="none"/>
        </w:rPr>
        <w:t>政</w:t>
      </w:r>
      <w:r>
        <w:rPr>
          <w:rFonts w:hint="eastAsia" w:ascii="仿宋" w:hAnsi="仿宋" w:eastAsia="仿宋" w:cs="仿宋"/>
          <w:color w:val="auto"/>
          <w:spacing w:val="8"/>
          <w:sz w:val="24"/>
          <w:szCs w:val="24"/>
          <w:highlight w:val="none"/>
        </w:rPr>
        <w:t>采云平台“不见面”开标大厅完成远程解密、开标唱标、询标澄清、结果公布等</w:t>
      </w:r>
      <w:r>
        <w:rPr>
          <w:rFonts w:hint="eastAsia" w:ascii="仿宋" w:hAnsi="仿宋" w:eastAsia="仿宋" w:cs="仿宋"/>
          <w:color w:val="auto"/>
          <w:spacing w:val="10"/>
          <w:sz w:val="24"/>
          <w:szCs w:val="24"/>
          <w:highlight w:val="none"/>
        </w:rPr>
        <w:t>交互环</w:t>
      </w:r>
      <w:r>
        <w:rPr>
          <w:rFonts w:hint="eastAsia" w:ascii="仿宋" w:hAnsi="仿宋" w:eastAsia="仿宋" w:cs="仿宋"/>
          <w:color w:val="auto"/>
          <w:spacing w:val="7"/>
          <w:sz w:val="24"/>
          <w:szCs w:val="24"/>
          <w:highlight w:val="none"/>
        </w:rPr>
        <w:t>节</w:t>
      </w:r>
      <w:r>
        <w:rPr>
          <w:rFonts w:hint="eastAsia" w:ascii="仿宋" w:hAnsi="仿宋" w:eastAsia="仿宋" w:cs="仿宋"/>
          <w:color w:val="auto"/>
          <w:spacing w:val="5"/>
          <w:sz w:val="24"/>
          <w:szCs w:val="24"/>
          <w:highlight w:val="none"/>
        </w:rPr>
        <w:t>。供应商必须使用能正确解密响应文件的“</w:t>
      </w:r>
      <w:r>
        <w:rPr>
          <w:rFonts w:hint="eastAsia" w:ascii="仿宋" w:hAnsi="仿宋" w:eastAsia="仿宋" w:cs="仿宋"/>
          <w:color w:val="auto"/>
          <w:sz w:val="24"/>
          <w:szCs w:val="24"/>
          <w:highlight w:val="none"/>
        </w:rPr>
        <w:t>CA</w:t>
      </w:r>
      <w:r>
        <w:rPr>
          <w:rFonts w:hint="eastAsia" w:ascii="仿宋" w:hAnsi="仿宋" w:eastAsia="仿宋" w:cs="仿宋"/>
          <w:color w:val="auto"/>
          <w:spacing w:val="5"/>
          <w:sz w:val="24"/>
          <w:szCs w:val="24"/>
          <w:highlight w:val="none"/>
        </w:rPr>
        <w:t xml:space="preserve"> 锁”在规定的时间内完成远程解</w:t>
      </w:r>
      <w:r>
        <w:rPr>
          <w:rFonts w:hint="eastAsia" w:ascii="仿宋" w:hAnsi="仿宋" w:eastAsia="仿宋" w:cs="仿宋"/>
          <w:color w:val="auto"/>
          <w:spacing w:val="10"/>
          <w:sz w:val="24"/>
          <w:szCs w:val="24"/>
          <w:highlight w:val="none"/>
        </w:rPr>
        <w:t>密，因</w:t>
      </w:r>
      <w:r>
        <w:rPr>
          <w:rFonts w:hint="eastAsia" w:ascii="仿宋" w:hAnsi="仿宋" w:eastAsia="仿宋" w:cs="仿宋"/>
          <w:color w:val="auto"/>
          <w:spacing w:val="7"/>
          <w:sz w:val="24"/>
          <w:szCs w:val="24"/>
          <w:highlight w:val="none"/>
        </w:rPr>
        <w:t>供</w:t>
      </w:r>
      <w:r>
        <w:rPr>
          <w:rFonts w:hint="eastAsia" w:ascii="仿宋" w:hAnsi="仿宋" w:eastAsia="仿宋" w:cs="仿宋"/>
          <w:color w:val="auto"/>
          <w:spacing w:val="5"/>
          <w:sz w:val="24"/>
          <w:szCs w:val="24"/>
          <w:highlight w:val="none"/>
        </w:rPr>
        <w:t>应商原因未能解密、解密失败或解密超时，视为供应商撤销其响应文件。</w:t>
      </w:r>
    </w:p>
    <w:p w14:paraId="71C5641D">
      <w:pPr>
        <w:keepNext w:val="0"/>
        <w:keepLines w:val="0"/>
        <w:pageBreakBefore w:val="0"/>
        <w:widowControl w:val="0"/>
        <w:kinsoku/>
        <w:overflowPunct/>
        <w:autoSpaceDE/>
        <w:autoSpaceDN/>
        <w:bidi w:val="0"/>
        <w:adjustRightInd/>
        <w:snapToGrid/>
        <w:ind w:right="0" w:firstLine="552" w:firstLineChars="200"/>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pacing w:val="18"/>
          <w:sz w:val="24"/>
          <w:szCs w:val="24"/>
          <w:highlight w:val="none"/>
          <w:lang w:val="en-US" w:eastAsia="zh-CN"/>
        </w:rPr>
        <w:t>5、</w:t>
      </w:r>
      <w:r>
        <w:rPr>
          <w:rFonts w:hint="eastAsia" w:ascii="仿宋" w:hAnsi="仿宋" w:eastAsia="仿宋" w:cs="仿宋"/>
          <w:color w:val="auto"/>
          <w:spacing w:val="18"/>
          <w:sz w:val="24"/>
          <w:szCs w:val="24"/>
          <w:highlight w:val="none"/>
        </w:rPr>
        <w:t>逾</w:t>
      </w:r>
      <w:r>
        <w:rPr>
          <w:rFonts w:hint="eastAsia" w:ascii="仿宋" w:hAnsi="仿宋" w:eastAsia="仿宋" w:cs="仿宋"/>
          <w:color w:val="auto"/>
          <w:spacing w:val="9"/>
          <w:sz w:val="24"/>
          <w:szCs w:val="24"/>
          <w:highlight w:val="none"/>
        </w:rPr>
        <w:t>期上传或者未上传指定地点的响应文件，采购人不予受理。</w:t>
      </w:r>
    </w:p>
    <w:p w14:paraId="4A761265">
      <w:pPr>
        <w:keepNext w:val="0"/>
        <w:keepLines w:val="0"/>
        <w:pageBreakBefore w:val="0"/>
        <w:widowControl w:val="0"/>
        <w:kinsoku/>
        <w:overflowPunct/>
        <w:autoSpaceDE/>
        <w:autoSpaceDN/>
        <w:bidi w:val="0"/>
        <w:adjustRightInd/>
        <w:snapToGrid/>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七、对本次招标提出询问，请按以下方式联系。</w:t>
      </w:r>
      <w:bookmarkEnd w:id="34"/>
      <w:bookmarkEnd w:id="35"/>
      <w:bookmarkEnd w:id="36"/>
      <w:bookmarkEnd w:id="37"/>
    </w:p>
    <w:p w14:paraId="4601A98A">
      <w:pPr>
        <w:pStyle w:val="5"/>
        <w:ind w:firstLine="480"/>
        <w:rPr>
          <w:rFonts w:hint="eastAsia" w:ascii="仿宋" w:hAnsi="仿宋" w:eastAsia="仿宋" w:cs="仿宋"/>
          <w:bCs/>
          <w:color w:val="auto"/>
          <w:sz w:val="24"/>
          <w:highlight w:val="none"/>
        </w:rPr>
      </w:pPr>
      <w:bookmarkStart w:id="38" w:name="_Toc28359087"/>
      <w:bookmarkStart w:id="39" w:name="_Toc28359010"/>
      <w:r>
        <w:rPr>
          <w:rFonts w:hint="eastAsia" w:ascii="仿宋" w:hAnsi="仿宋" w:eastAsia="仿宋" w:cs="仿宋"/>
          <w:bCs/>
          <w:color w:val="auto"/>
          <w:sz w:val="24"/>
          <w:highlight w:val="none"/>
        </w:rPr>
        <w:t>1.采购人信息</w:t>
      </w:r>
    </w:p>
    <w:p w14:paraId="2E528E25">
      <w:pPr>
        <w:pStyle w:val="5"/>
        <w:ind w:firstLine="48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名 称：</w:t>
      </w:r>
      <w:r>
        <w:rPr>
          <w:rFonts w:hint="eastAsia" w:ascii="仿宋" w:hAnsi="仿宋" w:eastAsia="仿宋" w:cs="仿宋"/>
          <w:bCs/>
          <w:color w:val="auto"/>
          <w:sz w:val="24"/>
          <w:highlight w:val="none"/>
          <w:lang w:eastAsia="zh-CN"/>
        </w:rPr>
        <w:t>乌鲁木齐市沙依巴克区教育局</w:t>
      </w:r>
    </w:p>
    <w:p w14:paraId="34753E44">
      <w:pPr>
        <w:pStyle w:val="5"/>
        <w:ind w:firstLine="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地 址：</w:t>
      </w:r>
      <w:r>
        <w:rPr>
          <w:rFonts w:hint="eastAsia" w:ascii="仿宋" w:hAnsi="仿宋" w:eastAsia="仿宋" w:cs="仿宋"/>
          <w:bCs/>
          <w:color w:val="auto"/>
          <w:sz w:val="24"/>
          <w:highlight w:val="none"/>
          <w:lang w:eastAsia="zh-CN"/>
        </w:rPr>
        <w:t>沙区扬子江路101号</w:t>
      </w:r>
    </w:p>
    <w:p w14:paraId="62075937">
      <w:pPr>
        <w:pStyle w:val="5"/>
        <w:ind w:firstLine="480"/>
        <w:rPr>
          <w:rFonts w:hint="default" w:ascii="仿宋" w:hAnsi="仿宋" w:eastAsia="仿宋" w:cs="仿宋"/>
          <w:b/>
          <w:bCs w:val="0"/>
          <w:color w:val="auto"/>
          <w:sz w:val="24"/>
          <w:highlight w:val="none"/>
          <w:lang w:val="en-US" w:eastAsia="zh-CN"/>
        </w:rPr>
      </w:pPr>
      <w:r>
        <w:rPr>
          <w:rFonts w:hint="eastAsia" w:ascii="仿宋" w:hAnsi="仿宋" w:eastAsia="仿宋" w:cs="仿宋"/>
          <w:bCs/>
          <w:color w:val="auto"/>
          <w:sz w:val="24"/>
          <w:highlight w:val="none"/>
        </w:rPr>
        <w:t>联系方式：</w:t>
      </w:r>
      <w:r>
        <w:rPr>
          <w:rFonts w:hint="eastAsia" w:ascii="仿宋" w:hAnsi="仿宋" w:eastAsia="仿宋" w:cs="仿宋"/>
          <w:bCs/>
          <w:color w:val="auto"/>
          <w:sz w:val="24"/>
          <w:highlight w:val="none"/>
          <w:lang w:val="en-US" w:eastAsia="zh-CN"/>
        </w:rPr>
        <w:t>0991-4583615</w:t>
      </w:r>
    </w:p>
    <w:p w14:paraId="4BF49CC9">
      <w:pPr>
        <w:pStyle w:val="5"/>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2.采购代理机构信息</w:t>
      </w:r>
    </w:p>
    <w:p w14:paraId="7E3D53BD">
      <w:pPr>
        <w:pStyle w:val="5"/>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 称：新疆西北招标有限公司</w:t>
      </w:r>
    </w:p>
    <w:p w14:paraId="26235DB7">
      <w:pPr>
        <w:pStyle w:val="5"/>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地 址：乌鲁木齐市沙依巴克区伊宁路江西大厦九楼</w:t>
      </w:r>
    </w:p>
    <w:p w14:paraId="0D79C9C2">
      <w:pPr>
        <w:pStyle w:val="5"/>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联系方式：0991-5823555</w:t>
      </w:r>
    </w:p>
    <w:p w14:paraId="6964F69D">
      <w:pPr>
        <w:pStyle w:val="5"/>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3.项目联系方式</w:t>
      </w:r>
    </w:p>
    <w:p w14:paraId="3CA1AA64">
      <w:pPr>
        <w:pStyle w:val="5"/>
        <w:ind w:firstLine="48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项目联系人：</w:t>
      </w:r>
      <w:r>
        <w:rPr>
          <w:rFonts w:hint="eastAsia" w:ascii="仿宋" w:hAnsi="仿宋" w:eastAsia="仿宋" w:cs="仿宋"/>
          <w:bCs/>
          <w:color w:val="auto"/>
          <w:sz w:val="24"/>
          <w:highlight w:val="none"/>
          <w:lang w:eastAsia="zh-CN"/>
        </w:rPr>
        <w:t>王静、刘建新、李华</w:t>
      </w:r>
    </w:p>
    <w:p w14:paraId="0D761254">
      <w:pPr>
        <w:pStyle w:val="5"/>
        <w:ind w:firstLine="480"/>
        <w:rPr>
          <w:rFonts w:hint="eastAsia" w:ascii="仿宋" w:hAnsi="仿宋" w:eastAsia="仿宋" w:cs="仿宋"/>
          <w:bCs/>
          <w:color w:val="auto"/>
          <w:highlight w:val="none"/>
        </w:rPr>
      </w:pPr>
      <w:r>
        <w:rPr>
          <w:rFonts w:hint="eastAsia" w:ascii="仿宋" w:hAnsi="仿宋" w:eastAsia="仿宋" w:cs="仿宋"/>
          <w:bCs/>
          <w:color w:val="auto"/>
          <w:sz w:val="24"/>
          <w:highlight w:val="none"/>
        </w:rPr>
        <w:t>电 话：0991-5823555</w:t>
      </w:r>
    </w:p>
    <w:bookmarkEnd w:id="38"/>
    <w:bookmarkEnd w:id="39"/>
    <w:p w14:paraId="7A4EB7A4">
      <w:pPr>
        <w:tabs>
          <w:tab w:val="left" w:pos="360"/>
        </w:tabs>
        <w:jc w:val="center"/>
        <w:outlineLvl w:val="0"/>
        <w:rPr>
          <w:rFonts w:hint="eastAsia" w:ascii="仿宋" w:hAnsi="仿宋" w:eastAsia="仿宋" w:cs="仿宋"/>
          <w:bCs/>
          <w:color w:val="auto"/>
          <w:sz w:val="32"/>
          <w:szCs w:val="32"/>
          <w:highlight w:val="none"/>
        </w:rPr>
        <w:sectPr>
          <w:headerReference r:id="rId6" w:type="default"/>
          <w:footerReference r:id="rId7" w:type="default"/>
          <w:pgSz w:w="11905" w:h="16838"/>
          <w:pgMar w:top="1134" w:right="1134" w:bottom="1134" w:left="1134" w:header="850" w:footer="992" w:gutter="0"/>
          <w:pgNumType w:fmt="decimal" w:start="1"/>
          <w:cols w:space="720" w:num="1"/>
          <w:docGrid w:type="lines" w:linePitch="416" w:charSpace="0"/>
        </w:sectPr>
      </w:pPr>
    </w:p>
    <w:p w14:paraId="1279705C">
      <w:pPr>
        <w:tabs>
          <w:tab w:val="left" w:pos="360"/>
        </w:tabs>
        <w:jc w:val="center"/>
        <w:outlineLvl w:val="0"/>
        <w:rPr>
          <w:rFonts w:hint="eastAsia" w:ascii="仿宋" w:hAnsi="仿宋" w:eastAsia="仿宋" w:cs="仿宋"/>
          <w:bCs/>
          <w:color w:val="auto"/>
          <w:sz w:val="32"/>
          <w:szCs w:val="32"/>
          <w:highlight w:val="none"/>
        </w:rPr>
      </w:pPr>
      <w:bookmarkStart w:id="40" w:name="_Toc15772"/>
      <w:r>
        <w:rPr>
          <w:rFonts w:hint="eastAsia" w:ascii="仿宋" w:hAnsi="仿宋" w:eastAsia="仿宋" w:cs="仿宋"/>
          <w:bCs/>
          <w:color w:val="auto"/>
          <w:sz w:val="32"/>
          <w:szCs w:val="32"/>
          <w:highlight w:val="none"/>
        </w:rPr>
        <w:t>第二部分  投标人须知</w:t>
      </w:r>
      <w:bookmarkEnd w:id="6"/>
      <w:bookmarkEnd w:id="7"/>
      <w:bookmarkEnd w:id="8"/>
      <w:bookmarkEnd w:id="9"/>
      <w:bookmarkEnd w:id="40"/>
    </w:p>
    <w:p w14:paraId="4B84AB37">
      <w:pPr>
        <w:pStyle w:val="3"/>
        <w:spacing w:before="0" w:after="100" w:afterAutospacing="1" w:line="400" w:lineRule="atLeast"/>
        <w:jc w:val="center"/>
        <w:rPr>
          <w:rFonts w:hint="eastAsia" w:ascii="仿宋" w:hAnsi="仿宋" w:eastAsia="仿宋" w:cs="仿宋"/>
          <w:b w:val="0"/>
          <w:bCs/>
          <w:color w:val="auto"/>
          <w:sz w:val="28"/>
          <w:szCs w:val="28"/>
          <w:highlight w:val="none"/>
        </w:rPr>
      </w:pPr>
      <w:bookmarkStart w:id="41" w:name="_Toc267301281"/>
      <w:bookmarkStart w:id="42" w:name="_Toc349573120"/>
      <w:bookmarkStart w:id="43" w:name="_Toc25386"/>
      <w:bookmarkStart w:id="44" w:name="_Toc349637919"/>
      <w:bookmarkStart w:id="45" w:name="_Toc298240404"/>
      <w:r>
        <w:rPr>
          <w:rFonts w:hint="eastAsia" w:ascii="仿宋" w:hAnsi="仿宋" w:eastAsia="仿宋" w:cs="仿宋"/>
          <w:b w:val="0"/>
          <w:bCs/>
          <w:color w:val="auto"/>
          <w:sz w:val="28"/>
          <w:szCs w:val="28"/>
          <w:highlight w:val="none"/>
        </w:rPr>
        <w:t>投标人须知附表</w:t>
      </w:r>
      <w:bookmarkEnd w:id="41"/>
      <w:bookmarkEnd w:id="42"/>
      <w:bookmarkEnd w:id="43"/>
      <w:bookmarkEnd w:id="44"/>
      <w:bookmarkEnd w:id="45"/>
    </w:p>
    <w:tbl>
      <w:tblPr>
        <w:tblStyle w:val="36"/>
        <w:tblW w:w="9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9229"/>
      </w:tblGrid>
      <w:tr w14:paraId="2894F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auto" w:sz="4" w:space="0"/>
              <w:bottom w:val="single" w:color="auto" w:sz="4" w:space="0"/>
              <w:right w:val="single" w:color="auto" w:sz="4" w:space="0"/>
            </w:tcBorders>
            <w:noWrap w:val="0"/>
            <w:vAlign w:val="center"/>
          </w:tcPr>
          <w:p w14:paraId="26607374">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9229" w:type="dxa"/>
            <w:tcBorders>
              <w:top w:val="single" w:color="auto" w:sz="4" w:space="0"/>
              <w:left w:val="single" w:color="auto" w:sz="4" w:space="0"/>
              <w:bottom w:val="single" w:color="auto" w:sz="4" w:space="0"/>
            </w:tcBorders>
            <w:noWrap w:val="0"/>
            <w:vAlign w:val="center"/>
          </w:tcPr>
          <w:p w14:paraId="46ABE891">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内容</w:t>
            </w:r>
          </w:p>
        </w:tc>
      </w:tr>
      <w:tr w14:paraId="6CE94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79" w:type="dxa"/>
            <w:gridSpan w:val="2"/>
            <w:tcBorders>
              <w:top w:val="single" w:color="auto" w:sz="4" w:space="0"/>
              <w:bottom w:val="single" w:color="auto" w:sz="4" w:space="0"/>
            </w:tcBorders>
            <w:noWrap w:val="0"/>
            <w:vAlign w:val="center"/>
          </w:tcPr>
          <w:p w14:paraId="35836BD5">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0D1CA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50" w:type="dxa"/>
            <w:tcBorders>
              <w:top w:val="single" w:color="auto" w:sz="4" w:space="0"/>
              <w:bottom w:val="single" w:color="auto" w:sz="4" w:space="0"/>
              <w:right w:val="single" w:color="auto" w:sz="4" w:space="0"/>
            </w:tcBorders>
            <w:noWrap w:val="0"/>
            <w:vAlign w:val="center"/>
          </w:tcPr>
          <w:p w14:paraId="1B023C7E">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9229" w:type="dxa"/>
            <w:tcBorders>
              <w:top w:val="single" w:color="auto" w:sz="4" w:space="0"/>
              <w:left w:val="single" w:color="auto" w:sz="4" w:space="0"/>
              <w:bottom w:val="single" w:color="auto" w:sz="4" w:space="0"/>
            </w:tcBorders>
            <w:noWrap w:val="0"/>
            <w:vAlign w:val="center"/>
          </w:tcPr>
          <w:p w14:paraId="208905A0">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lang w:eastAsia="zh-CN"/>
              </w:rPr>
              <w:t>乌鲁木齐市沙依巴克区教育局仓郁路新建学校设施设备采购（第一期）第四包</w:t>
            </w:r>
          </w:p>
          <w:p w14:paraId="2416BD48">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lang w:eastAsia="zh-CN"/>
              </w:rPr>
              <w:t>2025-XBZC-45</w:t>
            </w:r>
            <w:r>
              <w:rPr>
                <w:rFonts w:hint="eastAsia" w:ascii="仿宋" w:hAnsi="仿宋" w:eastAsia="仿宋" w:cs="仿宋"/>
                <w:bCs/>
                <w:color w:val="auto"/>
                <w:sz w:val="24"/>
                <w:szCs w:val="24"/>
                <w:highlight w:val="none"/>
              </w:rPr>
              <w:t xml:space="preserve"> </w:t>
            </w:r>
          </w:p>
        </w:tc>
      </w:tr>
      <w:tr w14:paraId="21F37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auto" w:sz="4" w:space="0"/>
              <w:bottom w:val="single" w:color="auto" w:sz="4" w:space="0"/>
              <w:right w:val="single" w:color="auto" w:sz="4" w:space="0"/>
            </w:tcBorders>
            <w:noWrap w:val="0"/>
            <w:vAlign w:val="center"/>
          </w:tcPr>
          <w:p w14:paraId="6C51F61F">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9229" w:type="dxa"/>
            <w:tcBorders>
              <w:top w:val="single" w:color="auto" w:sz="4" w:space="0"/>
              <w:left w:val="single" w:color="auto" w:sz="4" w:space="0"/>
              <w:bottom w:val="single" w:color="auto" w:sz="4" w:space="0"/>
            </w:tcBorders>
            <w:noWrap w:val="0"/>
            <w:vAlign w:val="center"/>
          </w:tcPr>
          <w:p w14:paraId="446343A9">
            <w:pPr>
              <w:keepNext w:val="0"/>
              <w:keepLines w:val="0"/>
              <w:pageBreakBefore w:val="0"/>
              <w:kinsoku/>
              <w:overflowPunct/>
              <w:topLinePunct w:val="0"/>
              <w:bidi w:val="0"/>
              <w:adjustRightInd/>
              <w:snapToGrid/>
              <w:spacing w:line="360" w:lineRule="exact"/>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核心产品</w:t>
            </w:r>
            <w:r>
              <w:rPr>
                <w:rFonts w:hint="eastAsia" w:ascii="仿宋" w:hAnsi="仿宋" w:eastAsia="仿宋" w:cs="仿宋"/>
                <w:bCs/>
                <w:color w:val="auto"/>
                <w:sz w:val="24"/>
                <w:szCs w:val="24"/>
                <w:highlight w:val="none"/>
                <w:lang w:eastAsia="zh-CN"/>
              </w:rPr>
              <w:t>：本项目为非单一产品采购项目，其中核心产品为</w:t>
            </w:r>
            <w:r>
              <w:rPr>
                <w:rFonts w:hint="eastAsia" w:ascii="仿宋" w:hAnsi="仿宋" w:eastAsia="仿宋" w:cs="仿宋"/>
                <w:bCs/>
                <w:color w:val="auto"/>
                <w:sz w:val="24"/>
                <w:szCs w:val="24"/>
                <w:highlight w:val="none"/>
                <w:lang w:val="en-US" w:eastAsia="zh-CN"/>
              </w:rPr>
              <w:t>：配电系统设备</w:t>
            </w:r>
          </w:p>
        </w:tc>
      </w:tr>
      <w:tr w14:paraId="15950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auto" w:sz="4" w:space="0"/>
              <w:bottom w:val="single" w:color="auto" w:sz="4" w:space="0"/>
              <w:right w:val="single" w:color="auto" w:sz="4" w:space="0"/>
            </w:tcBorders>
            <w:shd w:val="clear" w:color="auto" w:fill="auto"/>
            <w:noWrap w:val="0"/>
            <w:vAlign w:val="center"/>
          </w:tcPr>
          <w:p w14:paraId="36CF1F89">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w:t>
            </w:r>
          </w:p>
        </w:tc>
        <w:tc>
          <w:tcPr>
            <w:tcW w:w="9229" w:type="dxa"/>
            <w:tcBorders>
              <w:top w:val="single" w:color="auto" w:sz="4" w:space="0"/>
              <w:left w:val="single" w:color="auto" w:sz="4" w:space="0"/>
              <w:bottom w:val="single" w:color="auto" w:sz="4" w:space="0"/>
            </w:tcBorders>
            <w:noWrap w:val="0"/>
            <w:vAlign w:val="center"/>
          </w:tcPr>
          <w:p w14:paraId="5E980BC4">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是否允许采购进口产品：否</w:t>
            </w:r>
          </w:p>
        </w:tc>
      </w:tr>
      <w:tr w14:paraId="63E75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auto" w:sz="4" w:space="0"/>
              <w:bottom w:val="single" w:color="auto" w:sz="4" w:space="0"/>
              <w:right w:val="single" w:color="auto" w:sz="4" w:space="0"/>
            </w:tcBorders>
            <w:shd w:val="clear" w:color="auto" w:fill="auto"/>
            <w:noWrap w:val="0"/>
            <w:vAlign w:val="center"/>
          </w:tcPr>
          <w:p w14:paraId="2F0C14E4">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w:t>
            </w:r>
          </w:p>
        </w:tc>
        <w:tc>
          <w:tcPr>
            <w:tcW w:w="9229" w:type="dxa"/>
            <w:tcBorders>
              <w:top w:val="single" w:color="auto" w:sz="4" w:space="0"/>
              <w:left w:val="single" w:color="auto" w:sz="4" w:space="0"/>
              <w:bottom w:val="single" w:color="auto" w:sz="4" w:space="0"/>
            </w:tcBorders>
            <w:noWrap w:val="0"/>
            <w:vAlign w:val="center"/>
          </w:tcPr>
          <w:p w14:paraId="7E8F62C8">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招标人名称：乌鲁木齐市沙依巴克区教育局</w:t>
            </w:r>
          </w:p>
          <w:p w14:paraId="20B12935">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地 址：沙区扬子江路101号</w:t>
            </w:r>
          </w:p>
          <w:p w14:paraId="09F903D0">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联系方式：0991-4583615</w:t>
            </w:r>
          </w:p>
        </w:tc>
      </w:tr>
      <w:tr w14:paraId="146AE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1" w:hRule="atLeast"/>
          <w:jc w:val="center"/>
        </w:trPr>
        <w:tc>
          <w:tcPr>
            <w:tcW w:w="750" w:type="dxa"/>
            <w:tcBorders>
              <w:top w:val="single" w:color="auto" w:sz="4" w:space="0"/>
              <w:bottom w:val="single" w:color="auto" w:sz="4" w:space="0"/>
              <w:right w:val="single" w:color="auto" w:sz="4" w:space="0"/>
            </w:tcBorders>
            <w:noWrap w:val="0"/>
            <w:vAlign w:val="center"/>
          </w:tcPr>
          <w:p w14:paraId="0AE2EA35">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p>
        </w:tc>
        <w:tc>
          <w:tcPr>
            <w:tcW w:w="9229" w:type="dxa"/>
            <w:tcBorders>
              <w:top w:val="single" w:color="auto" w:sz="4" w:space="0"/>
              <w:left w:val="single" w:color="auto" w:sz="4" w:space="0"/>
              <w:bottom w:val="single" w:color="auto" w:sz="4" w:space="0"/>
            </w:tcBorders>
            <w:noWrap w:val="0"/>
            <w:vAlign w:val="center"/>
          </w:tcPr>
          <w:p w14:paraId="151BA7A4">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招标代理机构名称：新疆西北招标有限公司</w:t>
            </w:r>
          </w:p>
          <w:p w14:paraId="43AC3811">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单位地址：乌鲁木齐市伊宁路318号江西大厦9楼</w:t>
            </w:r>
          </w:p>
          <w:p w14:paraId="05E7D881">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邮编：830000</w:t>
            </w:r>
          </w:p>
          <w:p w14:paraId="39B310E2">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电话：0991-5823555</w:t>
            </w:r>
          </w:p>
          <w:p w14:paraId="348DDB50">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传真：0991-5508779</w:t>
            </w:r>
          </w:p>
        </w:tc>
      </w:tr>
      <w:tr w14:paraId="3FC6C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3" w:hRule="atLeast"/>
          <w:jc w:val="center"/>
        </w:trPr>
        <w:tc>
          <w:tcPr>
            <w:tcW w:w="750" w:type="dxa"/>
            <w:tcBorders>
              <w:top w:val="single" w:color="auto" w:sz="4" w:space="0"/>
              <w:bottom w:val="single" w:color="auto" w:sz="4" w:space="0"/>
              <w:right w:val="single" w:color="auto" w:sz="4" w:space="0"/>
            </w:tcBorders>
            <w:noWrap w:val="0"/>
            <w:vAlign w:val="center"/>
          </w:tcPr>
          <w:p w14:paraId="4E4ABEFC">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9229" w:type="dxa"/>
            <w:tcBorders>
              <w:top w:val="single" w:color="auto" w:sz="4" w:space="0"/>
              <w:left w:val="single" w:color="auto" w:sz="4" w:space="0"/>
              <w:bottom w:val="single" w:color="auto" w:sz="4" w:space="0"/>
            </w:tcBorders>
            <w:noWrap w:val="0"/>
            <w:vAlign w:val="center"/>
          </w:tcPr>
          <w:p w14:paraId="0C6CED7D">
            <w:pPr>
              <w:shd w:val="clear" w:color="auto" w:fil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投标保证金金额：</w:t>
            </w:r>
            <w:r>
              <w:rPr>
                <w:rFonts w:hint="eastAsia" w:ascii="仿宋" w:hAnsi="仿宋" w:eastAsia="仿宋" w:cs="仿宋"/>
                <w:bCs/>
                <w:color w:val="auto"/>
                <w:sz w:val="24"/>
                <w:szCs w:val="24"/>
                <w:highlight w:val="none"/>
                <w:lang w:val="en-US" w:eastAsia="zh-CN"/>
              </w:rPr>
              <w:t>3000</w:t>
            </w:r>
          </w:p>
          <w:p w14:paraId="757037B4">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投标保证金形式：电汇</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网银转账</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保函等形式</w:t>
            </w:r>
          </w:p>
          <w:p w14:paraId="6E0964A0">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账户名称</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新疆西北招标有限公司</w:t>
            </w:r>
          </w:p>
          <w:p w14:paraId="299ABAB7">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账号：0000020010110046725088</w:t>
            </w:r>
          </w:p>
          <w:p w14:paraId="3A92EF76">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行号：313881000301</w:t>
            </w:r>
          </w:p>
          <w:p w14:paraId="1FA8340B">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开户银行：乌鲁木齐银行友好南路支行</w:t>
            </w:r>
          </w:p>
          <w:p w14:paraId="6049B155">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投标保证金递交截止时间：响应文件递交截止时间前。</w:t>
            </w:r>
          </w:p>
          <w:p w14:paraId="7D90C559">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注：用转账或银行电汇提交保证金的，应充分考虑资金在途时间，保证金应于投标保证金递交截止时间前到账；未按招标要求缴纳投标保证金的，视为非实质性响应。</w:t>
            </w:r>
            <w:r>
              <w:rPr>
                <w:rFonts w:hint="eastAsia" w:ascii="仿宋" w:hAnsi="仿宋" w:eastAsia="仿宋" w:cs="仿宋"/>
                <w:b/>
                <w:bCs/>
                <w:color w:val="auto"/>
                <w:sz w:val="24"/>
                <w:szCs w:val="24"/>
                <w:highlight w:val="none"/>
              </w:rPr>
              <w:t>在缴纳保证金时注明项目名称（若字数超标，可自行简写项目名称）或项目编号，如未注明，造成保证金无法查明的，责任由投标供应商承担。</w:t>
            </w:r>
            <w:r>
              <w:rPr>
                <w:rFonts w:hint="eastAsia" w:ascii="仿宋" w:hAnsi="仿宋" w:eastAsia="仿宋" w:cs="仿宋"/>
                <w:color w:val="auto"/>
                <w:sz w:val="24"/>
                <w:szCs w:val="24"/>
                <w:highlight w:val="none"/>
                <w:lang w:val="zh-CN" w:eastAsia="zh-CN"/>
              </w:rPr>
              <w:t>电子保函方式缴纳，具体办理流程详见新疆政府采购网《新疆维吾尔自治区政府采购电子保函工作方案》。投标人以电子保函形式缴纳投标保证金的，应通过“新疆政府采购网”的“电子保函”模块申请购买：直达链接（电子保函）：https://jinrong.zcygov.cn/luban/finance/letter/xinjiang?pageModelFlag=650000金融服务支撑热线：400-903-9583</w:t>
            </w:r>
          </w:p>
        </w:tc>
      </w:tr>
      <w:tr w14:paraId="264F2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auto" w:sz="4" w:space="0"/>
              <w:bottom w:val="single" w:color="auto" w:sz="4" w:space="0"/>
              <w:right w:val="single" w:color="auto" w:sz="4" w:space="0"/>
            </w:tcBorders>
            <w:noWrap w:val="0"/>
            <w:vAlign w:val="center"/>
          </w:tcPr>
          <w:p w14:paraId="7A39CA8E">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9229" w:type="dxa"/>
            <w:tcBorders>
              <w:top w:val="single" w:color="auto" w:sz="4" w:space="0"/>
              <w:left w:val="single" w:color="auto" w:sz="4" w:space="0"/>
              <w:bottom w:val="single" w:color="auto" w:sz="4" w:space="0"/>
            </w:tcBorders>
            <w:noWrap w:val="0"/>
            <w:vAlign w:val="center"/>
          </w:tcPr>
          <w:p w14:paraId="33956450">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p>
        </w:tc>
      </w:tr>
      <w:tr w14:paraId="55706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auto" w:sz="4" w:space="0"/>
              <w:bottom w:val="single" w:color="auto" w:sz="4" w:space="0"/>
              <w:right w:val="single" w:color="auto" w:sz="4" w:space="0"/>
            </w:tcBorders>
            <w:noWrap w:val="0"/>
            <w:vAlign w:val="center"/>
          </w:tcPr>
          <w:p w14:paraId="6270433F">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8</w:t>
            </w:r>
          </w:p>
        </w:tc>
        <w:tc>
          <w:tcPr>
            <w:tcW w:w="9229" w:type="dxa"/>
            <w:tcBorders>
              <w:top w:val="single" w:color="auto" w:sz="4" w:space="0"/>
              <w:left w:val="single" w:color="auto" w:sz="4" w:space="0"/>
              <w:bottom w:val="single" w:color="auto" w:sz="4" w:space="0"/>
            </w:tcBorders>
            <w:noWrap w:val="0"/>
            <w:vAlign w:val="center"/>
          </w:tcPr>
          <w:p w14:paraId="2F2472DC">
            <w:pPr>
              <w:keepNext w:val="0"/>
              <w:keepLines w:val="0"/>
              <w:pageBreakBefore w:val="0"/>
              <w:kinsoku/>
              <w:overflowPunct/>
              <w:topLinePunct w:val="0"/>
              <w:bidi w:val="0"/>
              <w:adjustRightInd/>
              <w:snapToGrid/>
              <w:spacing w:line="36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投标语言：中文</w:t>
            </w:r>
          </w:p>
        </w:tc>
      </w:tr>
      <w:tr w14:paraId="421E6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auto" w:sz="4" w:space="0"/>
              <w:bottom w:val="single" w:color="auto" w:sz="4" w:space="0"/>
              <w:right w:val="single" w:color="auto" w:sz="4" w:space="0"/>
            </w:tcBorders>
            <w:noWrap w:val="0"/>
            <w:vAlign w:val="center"/>
          </w:tcPr>
          <w:p w14:paraId="3EDAD43C">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9</w:t>
            </w:r>
          </w:p>
        </w:tc>
        <w:tc>
          <w:tcPr>
            <w:tcW w:w="9229" w:type="dxa"/>
            <w:tcBorders>
              <w:top w:val="single" w:color="auto" w:sz="4" w:space="0"/>
              <w:left w:val="single" w:color="auto" w:sz="4" w:space="0"/>
              <w:bottom w:val="single" w:color="auto" w:sz="4" w:space="0"/>
            </w:tcBorders>
            <w:noWrap w:val="0"/>
            <w:vAlign w:val="center"/>
          </w:tcPr>
          <w:p w14:paraId="04147298">
            <w:pPr>
              <w:keepNext w:val="0"/>
              <w:keepLines w:val="0"/>
              <w:pageBreakBefore w:val="0"/>
              <w:kinsoku/>
              <w:overflowPunct/>
              <w:topLinePunct w:val="0"/>
              <w:bidi w:val="0"/>
              <w:adjustRightInd/>
              <w:snapToGrid/>
              <w:spacing w:line="36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投标货币：人民币</w:t>
            </w:r>
          </w:p>
        </w:tc>
      </w:tr>
      <w:tr w14:paraId="2DD9B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auto" w:sz="4" w:space="0"/>
              <w:bottom w:val="single" w:color="auto" w:sz="4" w:space="0"/>
              <w:right w:val="single" w:color="auto" w:sz="4" w:space="0"/>
            </w:tcBorders>
            <w:noWrap w:val="0"/>
            <w:vAlign w:val="center"/>
          </w:tcPr>
          <w:p w14:paraId="4FB0E9F1">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9229" w:type="dxa"/>
            <w:tcBorders>
              <w:top w:val="single" w:color="auto" w:sz="4" w:space="0"/>
              <w:left w:val="single" w:color="auto" w:sz="4" w:space="0"/>
              <w:bottom w:val="single" w:color="auto" w:sz="4" w:space="0"/>
            </w:tcBorders>
            <w:noWrap w:val="0"/>
            <w:vAlign w:val="center"/>
          </w:tcPr>
          <w:p w14:paraId="3700C8CE">
            <w:pPr>
              <w:keepNext w:val="0"/>
              <w:keepLines w:val="0"/>
              <w:pageBreakBefore w:val="0"/>
              <w:kinsoku/>
              <w:overflowPunct/>
              <w:topLinePunct w:val="0"/>
              <w:bidi w:val="0"/>
              <w:adjustRightInd/>
              <w:snapToGrid/>
              <w:spacing w:line="360" w:lineRule="exact"/>
              <w:jc w:val="both"/>
              <w:textAlignment w:val="auto"/>
              <w:rPr>
                <w:rFonts w:hint="eastAsia"/>
                <w:color w:val="auto"/>
                <w:highlight w:val="none"/>
                <w:lang w:eastAsia="zh-CN"/>
              </w:rPr>
            </w:pPr>
            <w:r>
              <w:rPr>
                <w:rFonts w:hint="eastAsia" w:ascii="仿宋" w:hAnsi="仿宋" w:eastAsia="仿宋" w:cs="仿宋"/>
                <w:bCs/>
                <w:color w:val="auto"/>
                <w:sz w:val="24"/>
                <w:szCs w:val="24"/>
                <w:highlight w:val="none"/>
              </w:rPr>
              <w:t>质保</w:t>
            </w:r>
            <w:r>
              <w:rPr>
                <w:rFonts w:hint="eastAsia" w:ascii="仿宋" w:hAnsi="仿宋" w:eastAsia="仿宋" w:cs="仿宋"/>
                <w:bCs/>
                <w:color w:val="auto"/>
                <w:sz w:val="24"/>
                <w:szCs w:val="24"/>
                <w:highlight w:val="none"/>
                <w:lang w:val="en-US" w:eastAsia="zh-CN"/>
              </w:rPr>
              <w:t>期</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五年，质保期自甲方签署验收合格起算</w:t>
            </w:r>
          </w:p>
        </w:tc>
      </w:tr>
      <w:tr w14:paraId="469A3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50" w:type="dxa"/>
            <w:tcBorders>
              <w:top w:val="single" w:color="auto" w:sz="4" w:space="0"/>
              <w:bottom w:val="single" w:color="auto" w:sz="4" w:space="0"/>
              <w:right w:val="single" w:color="auto" w:sz="4" w:space="0"/>
            </w:tcBorders>
            <w:noWrap w:val="0"/>
            <w:vAlign w:val="center"/>
          </w:tcPr>
          <w:p w14:paraId="1F40E123">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w:t>
            </w:r>
          </w:p>
        </w:tc>
        <w:tc>
          <w:tcPr>
            <w:tcW w:w="9229" w:type="dxa"/>
            <w:tcBorders>
              <w:top w:val="single" w:color="auto" w:sz="4" w:space="0"/>
              <w:left w:val="single" w:color="auto" w:sz="4" w:space="0"/>
              <w:bottom w:val="single" w:color="auto" w:sz="4" w:space="0"/>
            </w:tcBorders>
            <w:noWrap w:val="0"/>
            <w:vAlign w:val="center"/>
          </w:tcPr>
          <w:p w14:paraId="2E075C3A">
            <w:pPr>
              <w:keepNext w:val="0"/>
              <w:keepLines w:val="0"/>
              <w:pageBreakBefore w:val="0"/>
              <w:kinsoku/>
              <w:overflowPunct/>
              <w:topLinePunct w:val="0"/>
              <w:bidi w:val="0"/>
              <w:adjustRightInd/>
              <w:snapToGrid/>
              <w:spacing w:line="360" w:lineRule="exact"/>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交货期：</w:t>
            </w:r>
            <w:r>
              <w:rPr>
                <w:rFonts w:hint="eastAsia" w:ascii="仿宋" w:hAnsi="仿宋" w:eastAsia="仿宋" w:cs="仿宋"/>
                <w:bCs/>
                <w:color w:val="auto"/>
                <w:sz w:val="24"/>
                <w:szCs w:val="24"/>
                <w:highlight w:val="none"/>
                <w:lang w:val="en-US" w:eastAsia="zh-CN"/>
              </w:rPr>
              <w:t>自合同签订之日起30个日历日内完成供货、安装调试并验收合格</w:t>
            </w:r>
          </w:p>
          <w:p w14:paraId="480E77A4">
            <w:pPr>
              <w:pStyle w:val="26"/>
              <w:rPr>
                <w:rFonts w:hint="eastAsia"/>
                <w:color w:val="auto"/>
                <w:highlight w:val="none"/>
                <w:lang w:val="en-US" w:eastAsia="zh-CN"/>
              </w:rPr>
            </w:pPr>
            <w:r>
              <w:rPr>
                <w:rFonts w:hint="eastAsia" w:ascii="仿宋" w:hAnsi="仿宋" w:eastAsia="仿宋" w:cs="仿宋"/>
                <w:bCs/>
                <w:color w:val="auto"/>
                <w:sz w:val="24"/>
                <w:szCs w:val="24"/>
                <w:highlight w:val="none"/>
                <w:lang w:val="en-US" w:eastAsia="zh-CN"/>
              </w:rPr>
              <w:t>交货地点：由采购人指定地点</w:t>
            </w:r>
          </w:p>
        </w:tc>
      </w:tr>
      <w:tr w14:paraId="1E721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auto" w:sz="4" w:space="0"/>
              <w:bottom w:val="single" w:color="auto" w:sz="4" w:space="0"/>
              <w:right w:val="single" w:color="auto" w:sz="4" w:space="0"/>
            </w:tcBorders>
            <w:noWrap w:val="0"/>
            <w:vAlign w:val="center"/>
          </w:tcPr>
          <w:p w14:paraId="66475FE5">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w:t>
            </w:r>
          </w:p>
        </w:tc>
        <w:tc>
          <w:tcPr>
            <w:tcW w:w="9229" w:type="dxa"/>
            <w:tcBorders>
              <w:top w:val="single" w:color="auto" w:sz="4" w:space="0"/>
              <w:left w:val="single" w:color="auto" w:sz="4" w:space="0"/>
              <w:bottom w:val="single" w:color="auto" w:sz="4" w:space="0"/>
            </w:tcBorders>
            <w:noWrap w:val="0"/>
            <w:vAlign w:val="center"/>
          </w:tcPr>
          <w:p w14:paraId="14D3E455">
            <w:pPr>
              <w:keepNext w:val="0"/>
              <w:keepLines w:val="0"/>
              <w:pageBreakBefore w:val="0"/>
              <w:kinsoku/>
              <w:overflowPunct/>
              <w:topLinePunct w:val="0"/>
              <w:bidi w:val="0"/>
              <w:adjustRightInd/>
              <w:snapToGrid/>
              <w:spacing w:line="36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付款方式：</w:t>
            </w:r>
            <w:r>
              <w:rPr>
                <w:rFonts w:hint="eastAsia" w:ascii="仿宋" w:hAnsi="仿宋" w:eastAsia="仿宋" w:cs="仿宋"/>
                <w:bCs/>
                <w:color w:val="auto"/>
                <w:sz w:val="24"/>
                <w:szCs w:val="24"/>
                <w:highlight w:val="none"/>
                <w:lang w:val="en-US" w:eastAsia="zh-CN"/>
              </w:rPr>
              <w:t>设备到货,安装验收合格支付（最终付款方式以和采购单位签订合同为准）</w:t>
            </w:r>
          </w:p>
        </w:tc>
      </w:tr>
      <w:tr w14:paraId="273A5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79" w:type="dxa"/>
            <w:gridSpan w:val="2"/>
            <w:tcBorders>
              <w:top w:val="single" w:color="auto" w:sz="4" w:space="0"/>
              <w:bottom w:val="single" w:color="auto" w:sz="4" w:space="0"/>
            </w:tcBorders>
            <w:noWrap w:val="0"/>
            <w:vAlign w:val="center"/>
          </w:tcPr>
          <w:p w14:paraId="2C7206DF">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投标文件的编制和递交</w:t>
            </w:r>
          </w:p>
        </w:tc>
      </w:tr>
      <w:tr w14:paraId="1388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auto" w:sz="4" w:space="0"/>
              <w:bottom w:val="single" w:color="auto" w:sz="4" w:space="0"/>
              <w:right w:val="single" w:color="auto" w:sz="4" w:space="0"/>
            </w:tcBorders>
            <w:noWrap w:val="0"/>
            <w:vAlign w:val="center"/>
          </w:tcPr>
          <w:p w14:paraId="51AE3650">
            <w:pPr>
              <w:keepNext w:val="0"/>
              <w:keepLines w:val="0"/>
              <w:pageBreakBefore w:val="0"/>
              <w:tabs>
                <w:tab w:val="left" w:pos="252"/>
                <w:tab w:val="left" w:pos="671"/>
              </w:tabs>
              <w:kinsoku/>
              <w:overflowPunct/>
              <w:topLinePunct w:val="0"/>
              <w:bidi w:val="0"/>
              <w:adjustRightInd/>
              <w:snapToGrid/>
              <w:spacing w:line="360" w:lineRule="exact"/>
              <w:jc w:val="center"/>
              <w:textAlignment w:val="auto"/>
              <w:rPr>
                <w:rFonts w:hint="eastAsia" w:ascii="仿宋" w:hAnsi="仿宋" w:eastAsia="仿宋" w:cs="仿宋"/>
                <w:bCs/>
                <w:color w:val="auto"/>
                <w:spacing w:val="8"/>
                <w:sz w:val="24"/>
                <w:szCs w:val="24"/>
                <w:highlight w:val="none"/>
                <w:lang w:eastAsia="zh-CN"/>
              </w:rPr>
            </w:pPr>
            <w:r>
              <w:rPr>
                <w:rFonts w:hint="eastAsia" w:ascii="仿宋" w:hAnsi="仿宋" w:eastAsia="仿宋" w:cs="仿宋"/>
                <w:bCs/>
                <w:color w:val="auto"/>
                <w:spacing w:val="8"/>
                <w:sz w:val="24"/>
                <w:szCs w:val="24"/>
                <w:highlight w:val="none"/>
              </w:rPr>
              <w:t>1</w:t>
            </w:r>
            <w:r>
              <w:rPr>
                <w:rFonts w:hint="eastAsia" w:ascii="仿宋" w:hAnsi="仿宋" w:eastAsia="仿宋" w:cs="仿宋"/>
                <w:bCs/>
                <w:color w:val="auto"/>
                <w:spacing w:val="8"/>
                <w:sz w:val="24"/>
                <w:szCs w:val="24"/>
                <w:highlight w:val="none"/>
                <w:lang w:val="en-US" w:eastAsia="zh-CN"/>
              </w:rPr>
              <w:t>3</w:t>
            </w:r>
          </w:p>
        </w:tc>
        <w:tc>
          <w:tcPr>
            <w:tcW w:w="9229" w:type="dxa"/>
            <w:tcBorders>
              <w:top w:val="single" w:color="auto" w:sz="4" w:space="0"/>
              <w:left w:val="single" w:color="auto" w:sz="4" w:space="0"/>
              <w:bottom w:val="single" w:color="auto" w:sz="4" w:space="0"/>
            </w:tcBorders>
            <w:shd w:val="clear" w:color="auto" w:fill="auto"/>
            <w:noWrap w:val="0"/>
            <w:vAlign w:val="center"/>
          </w:tcPr>
          <w:p w14:paraId="0DE369E4">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投标有效期：</w:t>
            </w:r>
            <w:r>
              <w:rPr>
                <w:rFonts w:hint="eastAsia" w:ascii="仿宋" w:hAnsi="仿宋" w:eastAsia="仿宋" w:cs="仿宋"/>
                <w:bCs/>
                <w:color w:val="auto"/>
                <w:sz w:val="24"/>
                <w:szCs w:val="24"/>
                <w:highlight w:val="none"/>
                <w:u w:val="single"/>
              </w:rPr>
              <w:t>90</w:t>
            </w:r>
            <w:r>
              <w:rPr>
                <w:rFonts w:hint="eastAsia" w:ascii="仿宋" w:hAnsi="仿宋" w:eastAsia="仿宋" w:cs="仿宋"/>
                <w:bCs/>
                <w:color w:val="auto"/>
                <w:sz w:val="24"/>
                <w:szCs w:val="24"/>
                <w:highlight w:val="none"/>
              </w:rPr>
              <w:t>天（如不满足将导致废标）</w:t>
            </w:r>
          </w:p>
        </w:tc>
      </w:tr>
      <w:tr w14:paraId="64134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50" w:type="dxa"/>
            <w:tcBorders>
              <w:top w:val="single" w:color="auto" w:sz="4" w:space="0"/>
              <w:bottom w:val="single" w:color="auto" w:sz="4" w:space="0"/>
              <w:right w:val="single" w:color="auto" w:sz="4" w:space="0"/>
            </w:tcBorders>
            <w:noWrap w:val="0"/>
            <w:vAlign w:val="center"/>
          </w:tcPr>
          <w:p w14:paraId="0EC14BE2">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4</w:t>
            </w:r>
          </w:p>
        </w:tc>
        <w:tc>
          <w:tcPr>
            <w:tcW w:w="9229" w:type="dxa"/>
            <w:tcBorders>
              <w:top w:val="single" w:color="auto" w:sz="4" w:space="0"/>
              <w:left w:val="single" w:color="auto" w:sz="4" w:space="0"/>
              <w:bottom w:val="single" w:color="auto" w:sz="4" w:space="0"/>
            </w:tcBorders>
            <w:shd w:val="clear" w:color="auto" w:fill="auto"/>
            <w:noWrap w:val="0"/>
            <w:vAlign w:val="center"/>
          </w:tcPr>
          <w:p w14:paraId="2F07A83F">
            <w:pPr>
              <w:pStyle w:val="157"/>
              <w:keepNext w:val="0"/>
              <w:keepLines w:val="0"/>
              <w:pageBreakBefore w:val="0"/>
              <w:widowControl/>
              <w:kinsoku/>
              <w:overflowPunct/>
              <w:topLinePunct w:val="0"/>
              <w:autoSpaceDE w:val="0"/>
              <w:autoSpaceDN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投标文件：</w:t>
            </w:r>
            <w:r>
              <w:rPr>
                <w:rFonts w:hint="eastAsia" w:ascii="仿宋" w:hAnsi="仿宋" w:eastAsia="仿宋" w:cs="仿宋"/>
                <w:bCs/>
                <w:color w:val="auto"/>
                <w:sz w:val="24"/>
                <w:szCs w:val="24"/>
                <w:highlight w:val="none"/>
                <w:lang w:eastAsia="zh-CN"/>
              </w:rPr>
              <w:t>加密的电子</w:t>
            </w: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Cs/>
                <w:color w:val="auto"/>
                <w:sz w:val="24"/>
                <w:szCs w:val="24"/>
                <w:highlight w:val="none"/>
                <w:lang w:eastAsia="zh-CN"/>
              </w:rPr>
              <w:t>文件在</w:t>
            </w:r>
            <w:r>
              <w:rPr>
                <w:rFonts w:hint="eastAsia" w:ascii="仿宋" w:hAnsi="仿宋" w:eastAsia="仿宋" w:cs="仿宋"/>
                <w:bCs/>
                <w:color w:val="auto"/>
                <w:sz w:val="24"/>
                <w:szCs w:val="24"/>
                <w:highlight w:val="none"/>
                <w:lang w:val="en-US" w:eastAsia="zh-CN"/>
              </w:rPr>
              <w:t>投标截止</w:t>
            </w:r>
            <w:r>
              <w:rPr>
                <w:rFonts w:hint="eastAsia" w:ascii="仿宋" w:hAnsi="仿宋" w:eastAsia="仿宋" w:cs="仿宋"/>
                <w:bCs/>
                <w:color w:val="auto"/>
                <w:sz w:val="24"/>
                <w:szCs w:val="24"/>
                <w:highlight w:val="none"/>
                <w:lang w:eastAsia="zh-CN"/>
              </w:rPr>
              <w:t>时间前通过CA在政采云平台上传，加密的电子</w:t>
            </w: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Cs/>
                <w:color w:val="auto"/>
                <w:sz w:val="24"/>
                <w:szCs w:val="24"/>
                <w:highlight w:val="none"/>
                <w:lang w:eastAsia="zh-CN"/>
              </w:rPr>
              <w:t>文件为使用政采云电子投标客户端制作生成的加密版响应文件。</w:t>
            </w:r>
          </w:p>
        </w:tc>
      </w:tr>
      <w:tr w14:paraId="6D3AE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750" w:type="dxa"/>
            <w:tcBorders>
              <w:top w:val="single" w:color="auto" w:sz="4" w:space="0"/>
              <w:bottom w:val="single" w:color="auto" w:sz="4" w:space="0"/>
              <w:right w:val="single" w:color="auto" w:sz="4" w:space="0"/>
            </w:tcBorders>
            <w:noWrap w:val="0"/>
            <w:vAlign w:val="center"/>
          </w:tcPr>
          <w:p w14:paraId="757B04BC">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5</w:t>
            </w:r>
          </w:p>
        </w:tc>
        <w:tc>
          <w:tcPr>
            <w:tcW w:w="9229" w:type="dxa"/>
            <w:tcBorders>
              <w:top w:val="single" w:color="auto" w:sz="4" w:space="0"/>
              <w:left w:val="single" w:color="auto" w:sz="4" w:space="0"/>
              <w:bottom w:val="single" w:color="auto" w:sz="4" w:space="0"/>
            </w:tcBorders>
            <w:shd w:val="clear" w:color="auto" w:fill="auto"/>
            <w:noWrap w:val="0"/>
            <w:vAlign w:val="center"/>
          </w:tcPr>
          <w:p w14:paraId="36D4E850">
            <w:pPr>
              <w:pStyle w:val="157"/>
              <w:keepNext w:val="0"/>
              <w:keepLines w:val="0"/>
              <w:pageBreakBefore w:val="0"/>
              <w:widowControl/>
              <w:kinsoku/>
              <w:overflowPunct/>
              <w:topLinePunct w:val="0"/>
              <w:autoSpaceDE w:val="0"/>
              <w:autoSpaceDN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解密投标文件的时限：</w:t>
            </w:r>
          </w:p>
          <w:p w14:paraId="474E7F16">
            <w:pPr>
              <w:pStyle w:val="157"/>
              <w:keepNext w:val="0"/>
              <w:keepLines w:val="0"/>
              <w:pageBreakBefore w:val="0"/>
              <w:widowControl/>
              <w:kinsoku/>
              <w:overflowPunct/>
              <w:topLinePunct w:val="0"/>
              <w:autoSpaceDE w:val="0"/>
              <w:autoSpaceDN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不见面开标默认解密时长：  30  分钟。</w:t>
            </w:r>
          </w:p>
          <w:p w14:paraId="77DD8988">
            <w:pPr>
              <w:pStyle w:val="157"/>
              <w:keepNext w:val="0"/>
              <w:keepLines w:val="0"/>
              <w:pageBreakBefore w:val="0"/>
              <w:widowControl/>
              <w:kinsoku/>
              <w:overflowPunct/>
              <w:topLinePunct w:val="0"/>
              <w:autoSpaceDE w:val="0"/>
              <w:autoSpaceDN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除因交易平台发生故障导致投标文件无法按时解密外，投标文件未按时解密的，视为未按规定提交投标文件。</w:t>
            </w:r>
          </w:p>
        </w:tc>
      </w:tr>
      <w:tr w14:paraId="20260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50" w:type="dxa"/>
            <w:tcBorders>
              <w:top w:val="single" w:color="auto" w:sz="4" w:space="0"/>
              <w:bottom w:val="single" w:color="auto" w:sz="4" w:space="0"/>
              <w:right w:val="single" w:color="auto" w:sz="4" w:space="0"/>
            </w:tcBorders>
            <w:noWrap w:val="0"/>
            <w:vAlign w:val="center"/>
          </w:tcPr>
          <w:p w14:paraId="103F4349">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w:t>
            </w:r>
          </w:p>
        </w:tc>
        <w:tc>
          <w:tcPr>
            <w:tcW w:w="9229" w:type="dxa"/>
            <w:tcBorders>
              <w:top w:val="single" w:color="auto" w:sz="4" w:space="0"/>
              <w:left w:val="single" w:color="auto" w:sz="4" w:space="0"/>
              <w:bottom w:val="single" w:color="auto" w:sz="4" w:space="0"/>
            </w:tcBorders>
            <w:shd w:val="clear" w:color="auto" w:fill="auto"/>
            <w:noWrap w:val="0"/>
            <w:vAlign w:val="center"/>
          </w:tcPr>
          <w:p w14:paraId="0D679353">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投标文件以电子版上传至政采云系统</w:t>
            </w:r>
          </w:p>
          <w:p w14:paraId="7019B624">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投标文件递交截止时间：202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 xml:space="preserve">年 </w:t>
            </w:r>
            <w:r>
              <w:rPr>
                <w:rFonts w:hint="eastAsia" w:ascii="仿宋" w:hAnsi="仿宋" w:eastAsia="仿宋" w:cs="仿宋"/>
                <w:bCs/>
                <w:color w:val="auto"/>
                <w:sz w:val="24"/>
                <w:szCs w:val="24"/>
                <w:highlight w:val="none"/>
                <w:lang w:val="en-US" w:eastAsia="zh-CN"/>
              </w:rPr>
              <w:t xml:space="preserve">7 </w:t>
            </w:r>
            <w:r>
              <w:rPr>
                <w:rFonts w:hint="eastAsia" w:ascii="仿宋" w:hAnsi="仿宋" w:eastAsia="仿宋" w:cs="仿宋"/>
                <w:bCs/>
                <w:color w:val="auto"/>
                <w:sz w:val="24"/>
                <w:szCs w:val="24"/>
                <w:highlight w:val="none"/>
              </w:rPr>
              <w:t xml:space="preserve">月 </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 xml:space="preserve"> 日</w:t>
            </w: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:00</w:t>
            </w:r>
            <w:r>
              <w:rPr>
                <w:rFonts w:hint="eastAsia" w:ascii="仿宋" w:hAnsi="仿宋" w:eastAsia="仿宋" w:cs="仿宋"/>
                <w:bCs/>
                <w:color w:val="auto"/>
                <w:sz w:val="24"/>
                <w:szCs w:val="24"/>
                <w:highlight w:val="none"/>
              </w:rPr>
              <w:t>时（北京时间）</w:t>
            </w:r>
          </w:p>
        </w:tc>
      </w:tr>
      <w:tr w14:paraId="73E5B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auto" w:sz="4" w:space="0"/>
              <w:bottom w:val="single" w:color="auto" w:sz="4" w:space="0"/>
              <w:right w:val="single" w:color="auto" w:sz="4" w:space="0"/>
            </w:tcBorders>
            <w:noWrap w:val="0"/>
            <w:vAlign w:val="center"/>
          </w:tcPr>
          <w:p w14:paraId="25EAE718">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7</w:t>
            </w:r>
          </w:p>
        </w:tc>
        <w:tc>
          <w:tcPr>
            <w:tcW w:w="9229" w:type="dxa"/>
            <w:tcBorders>
              <w:top w:val="single" w:color="auto" w:sz="4" w:space="0"/>
              <w:left w:val="single" w:color="auto" w:sz="4" w:space="0"/>
              <w:bottom w:val="single" w:color="auto" w:sz="4" w:space="0"/>
            </w:tcBorders>
            <w:shd w:val="clear" w:color="auto" w:fill="auto"/>
            <w:noWrap w:val="0"/>
            <w:vAlign w:val="center"/>
          </w:tcPr>
          <w:p w14:paraId="197FE5E9">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招标答疑：应于 202</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val="en-US" w:eastAsia="zh-CN"/>
              </w:rPr>
              <w:t xml:space="preserve"> 6 </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lang w:val="en-US" w:eastAsia="zh-CN"/>
              </w:rPr>
              <w:t xml:space="preserve"> 27 </w:t>
            </w:r>
            <w:r>
              <w:rPr>
                <w:rFonts w:hint="eastAsia" w:ascii="仿宋" w:hAnsi="仿宋" w:eastAsia="仿宋" w:cs="仿宋"/>
                <w:b w:val="0"/>
                <w:bCs/>
                <w:color w:val="auto"/>
                <w:sz w:val="24"/>
                <w:szCs w:val="24"/>
                <w:highlight w:val="none"/>
              </w:rPr>
              <w:t>日13时 00 分（北京时间）之前，逾期不接受。</w:t>
            </w:r>
          </w:p>
          <w:p w14:paraId="5D3CDFB0">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答疑形式：以书面形式送至新疆西北招标有限公司，并将电子版的形式发至邮箱</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邮箱：</w:t>
            </w:r>
            <w:r>
              <w:rPr>
                <w:rFonts w:hint="eastAsia" w:ascii="仿宋" w:hAnsi="仿宋" w:eastAsia="仿宋" w:cs="仿宋"/>
                <w:b w:val="0"/>
                <w:bCs/>
                <w:color w:val="auto"/>
                <w:sz w:val="24"/>
                <w:szCs w:val="24"/>
                <w:highlight w:val="none"/>
                <w:lang w:eastAsia="zh-CN"/>
              </w:rPr>
              <w:t>411019373</w:t>
            </w:r>
            <w:r>
              <w:rPr>
                <w:rFonts w:hint="eastAsia" w:ascii="仿宋" w:hAnsi="仿宋" w:eastAsia="仿宋" w:cs="仿宋"/>
                <w:b w:val="0"/>
                <w:bCs/>
                <w:color w:val="auto"/>
                <w:sz w:val="24"/>
                <w:szCs w:val="24"/>
                <w:highlight w:val="none"/>
              </w:rPr>
              <w:t>@qq.com纸质版加盖公章送至新疆西北招标有限公司</w:t>
            </w:r>
          </w:p>
        </w:tc>
      </w:tr>
      <w:tr w14:paraId="665E9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50" w:type="dxa"/>
            <w:tcBorders>
              <w:top w:val="single" w:color="auto" w:sz="4" w:space="0"/>
              <w:bottom w:val="single" w:color="auto" w:sz="4" w:space="0"/>
              <w:right w:val="single" w:color="auto" w:sz="4" w:space="0"/>
            </w:tcBorders>
            <w:noWrap w:val="0"/>
            <w:vAlign w:val="center"/>
          </w:tcPr>
          <w:p w14:paraId="777EBB2A">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8</w:t>
            </w:r>
          </w:p>
        </w:tc>
        <w:tc>
          <w:tcPr>
            <w:tcW w:w="9229" w:type="dxa"/>
            <w:tcBorders>
              <w:top w:val="single" w:color="auto" w:sz="4" w:space="0"/>
              <w:left w:val="single" w:color="auto" w:sz="4" w:space="0"/>
              <w:bottom w:val="single" w:color="auto" w:sz="4" w:space="0"/>
            </w:tcBorders>
            <w:shd w:val="clear" w:color="auto" w:fill="auto"/>
            <w:noWrap w:val="0"/>
            <w:vAlign w:val="center"/>
          </w:tcPr>
          <w:p w14:paraId="14707735">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开标日期：</w:t>
            </w:r>
            <w:r>
              <w:rPr>
                <w:rFonts w:hint="eastAsia" w:ascii="仿宋" w:hAnsi="仿宋" w:eastAsia="仿宋" w:cs="仿宋"/>
                <w:bCs/>
                <w:color w:val="auto"/>
                <w:sz w:val="24"/>
                <w:szCs w:val="24"/>
                <w:highlight w:val="none"/>
                <w:lang w:eastAsia="zh-CN"/>
              </w:rPr>
              <w:t>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年</w:t>
            </w:r>
            <w:r>
              <w:rPr>
                <w:rFonts w:hint="eastAsia" w:ascii="仿宋" w:hAnsi="仿宋" w:eastAsia="仿宋" w:cs="仿宋"/>
                <w:bCs/>
                <w:color w:val="auto"/>
                <w:sz w:val="24"/>
                <w:szCs w:val="24"/>
                <w:highlight w:val="none"/>
                <w:lang w:val="en-US" w:eastAsia="zh-CN"/>
              </w:rPr>
              <w:t xml:space="preserve"> 7 </w:t>
            </w:r>
            <w:r>
              <w:rPr>
                <w:rFonts w:hint="eastAsia" w:ascii="仿宋" w:hAnsi="仿宋" w:eastAsia="仿宋" w:cs="仿宋"/>
                <w:bCs/>
                <w:color w:val="auto"/>
                <w:sz w:val="24"/>
                <w:szCs w:val="24"/>
                <w:highlight w:val="none"/>
                <w:lang w:eastAsia="zh-CN"/>
              </w:rPr>
              <w:t>月</w:t>
            </w:r>
            <w:r>
              <w:rPr>
                <w:rFonts w:hint="eastAsia" w:ascii="仿宋" w:hAnsi="仿宋" w:eastAsia="仿宋" w:cs="仿宋"/>
                <w:bCs/>
                <w:color w:val="auto"/>
                <w:sz w:val="24"/>
                <w:szCs w:val="24"/>
                <w:highlight w:val="none"/>
                <w:lang w:val="en-US" w:eastAsia="zh-CN"/>
              </w:rPr>
              <w:t xml:space="preserve"> 15 </w:t>
            </w:r>
            <w:r>
              <w:rPr>
                <w:rFonts w:hint="eastAsia" w:ascii="仿宋" w:hAnsi="仿宋" w:eastAsia="仿宋" w:cs="仿宋"/>
                <w:bCs/>
                <w:color w:val="auto"/>
                <w:sz w:val="24"/>
                <w:szCs w:val="24"/>
                <w:highlight w:val="none"/>
                <w:lang w:eastAsia="zh-CN"/>
              </w:rPr>
              <w:t>日</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点</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lang w:eastAsia="zh-CN"/>
              </w:rPr>
              <w:t>0分</w:t>
            </w:r>
            <w:r>
              <w:rPr>
                <w:rFonts w:hint="eastAsia" w:ascii="仿宋" w:hAnsi="仿宋" w:eastAsia="仿宋" w:cs="仿宋"/>
                <w:bCs/>
                <w:color w:val="auto"/>
                <w:sz w:val="24"/>
                <w:szCs w:val="24"/>
                <w:highlight w:val="none"/>
              </w:rPr>
              <w:t>时（北京时间）</w:t>
            </w:r>
          </w:p>
          <w:p w14:paraId="20D2CCD2">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开标地点：</w:t>
            </w:r>
            <w:r>
              <w:rPr>
                <w:rFonts w:hint="eastAsia" w:ascii="仿宋" w:hAnsi="仿宋" w:eastAsia="仿宋" w:cs="仿宋"/>
                <w:b w:val="0"/>
                <w:bCs/>
                <w:color w:val="auto"/>
                <w:kern w:val="2"/>
                <w:sz w:val="24"/>
                <w:szCs w:val="24"/>
                <w:highlight w:val="none"/>
                <w:lang w:val="en-US" w:eastAsia="zh-CN" w:bidi="ar-SA"/>
              </w:rPr>
              <w:t>政采云系统不见面开（https://www.zcygov.cn/）网上开标</w:t>
            </w:r>
          </w:p>
        </w:tc>
      </w:tr>
      <w:tr w14:paraId="1D0AD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4" w:hRule="atLeast"/>
          <w:jc w:val="center"/>
        </w:trPr>
        <w:tc>
          <w:tcPr>
            <w:tcW w:w="750" w:type="dxa"/>
            <w:tcBorders>
              <w:top w:val="single" w:color="auto" w:sz="4" w:space="0"/>
              <w:bottom w:val="single" w:color="auto" w:sz="4" w:space="0"/>
              <w:right w:val="single" w:color="auto" w:sz="4" w:space="0"/>
            </w:tcBorders>
            <w:noWrap w:val="0"/>
            <w:vAlign w:val="center"/>
          </w:tcPr>
          <w:p w14:paraId="73B56BEA">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p>
        </w:tc>
        <w:tc>
          <w:tcPr>
            <w:tcW w:w="9229" w:type="dxa"/>
            <w:tcBorders>
              <w:top w:val="single" w:color="auto" w:sz="4" w:space="0"/>
              <w:left w:val="single" w:color="auto" w:sz="4" w:space="0"/>
              <w:bottom w:val="single" w:color="auto" w:sz="4" w:space="0"/>
            </w:tcBorders>
            <w:shd w:val="clear" w:color="auto" w:fill="auto"/>
            <w:noWrap w:val="0"/>
            <w:vAlign w:val="center"/>
          </w:tcPr>
          <w:p w14:paraId="1ACE8B30">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低于成本价不正当竞争预防措施（实质性要求）：</w:t>
            </w:r>
          </w:p>
          <w:p w14:paraId="034432A6">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在评审过程中，评审委员会认为投标人投标价低于成本价，有可能影响产品质量或者不能诚信履约的，评审小组应当要求其在开标现场合理的时间内提供书面说明，并提交相关证明材料，投标人不能证明其报价合理性的，评审小组应当将其作为</w:t>
            </w:r>
            <w:r>
              <w:rPr>
                <w:rFonts w:hint="eastAsia" w:ascii="仿宋" w:hAnsi="仿宋" w:eastAsia="仿宋" w:cs="仿宋"/>
                <w:b/>
                <w:bCs w:val="0"/>
                <w:color w:val="auto"/>
                <w:sz w:val="24"/>
                <w:szCs w:val="24"/>
                <w:highlight w:val="none"/>
              </w:rPr>
              <w:t>无效处理</w:t>
            </w:r>
            <w:r>
              <w:rPr>
                <w:rFonts w:hint="eastAsia" w:ascii="仿宋" w:hAnsi="仿宋" w:eastAsia="仿宋" w:cs="仿宋"/>
                <w:bCs/>
                <w:color w:val="auto"/>
                <w:sz w:val="24"/>
                <w:szCs w:val="24"/>
                <w:highlight w:val="none"/>
              </w:rPr>
              <w:t>。</w:t>
            </w:r>
          </w:p>
          <w:p w14:paraId="6DC40C09">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投标人的书面说明材料应当按照国家财务会计制度的规定要求，逐项就投标人提供的货物、工程和服务的主营业务成本、税金及附加、销售费用、管理费用、财务费用等成本构成事项详细陈述）。</w:t>
            </w:r>
          </w:p>
          <w:p w14:paraId="4AA719A8">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投标人书面说明应当签字确认或者加盖公章，否则无效。书面说明的签字确认，由其法定代表人/主要负责人/本人或者其授权代表签字确认。</w:t>
            </w:r>
          </w:p>
          <w:p w14:paraId="5DC19D7C">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kern w:val="2"/>
                <w:sz w:val="21"/>
                <w:highlight w:val="none"/>
                <w:lang w:val="en-US" w:eastAsia="zh-CN" w:bidi="ar-SA"/>
              </w:rPr>
            </w:pPr>
            <w:r>
              <w:rPr>
                <w:rFonts w:hint="eastAsia" w:ascii="仿宋" w:hAnsi="仿宋" w:eastAsia="仿宋" w:cs="仿宋"/>
                <w:bCs/>
                <w:color w:val="auto"/>
                <w:sz w:val="24"/>
                <w:szCs w:val="24"/>
                <w:highlight w:val="none"/>
              </w:rPr>
              <w:t>3.投标人提供书面说明后，评标小组应当结合采购项目采购需求、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小组应当将其响应文件作为</w:t>
            </w:r>
            <w:r>
              <w:rPr>
                <w:rFonts w:hint="eastAsia" w:ascii="仿宋" w:hAnsi="仿宋" w:eastAsia="仿宋" w:cs="仿宋"/>
                <w:b/>
                <w:bCs w:val="0"/>
                <w:color w:val="auto"/>
                <w:sz w:val="24"/>
                <w:szCs w:val="24"/>
                <w:highlight w:val="none"/>
              </w:rPr>
              <w:t>无效处理</w:t>
            </w:r>
            <w:r>
              <w:rPr>
                <w:rFonts w:hint="eastAsia" w:ascii="仿宋" w:hAnsi="仿宋" w:eastAsia="仿宋" w:cs="仿宋"/>
                <w:bCs/>
                <w:color w:val="auto"/>
                <w:sz w:val="24"/>
                <w:szCs w:val="24"/>
                <w:highlight w:val="none"/>
              </w:rPr>
              <w:t>。</w:t>
            </w:r>
          </w:p>
        </w:tc>
      </w:tr>
      <w:tr w14:paraId="63F48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auto" w:sz="4" w:space="0"/>
              <w:bottom w:val="single" w:color="auto" w:sz="4" w:space="0"/>
              <w:right w:val="single" w:color="auto" w:sz="4" w:space="0"/>
            </w:tcBorders>
            <w:noWrap w:val="0"/>
            <w:vAlign w:val="center"/>
          </w:tcPr>
          <w:p w14:paraId="4321709A">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20</w:t>
            </w:r>
          </w:p>
        </w:tc>
        <w:tc>
          <w:tcPr>
            <w:tcW w:w="9229" w:type="dxa"/>
            <w:tcBorders>
              <w:top w:val="single" w:color="auto" w:sz="4" w:space="0"/>
              <w:left w:val="single" w:color="auto" w:sz="4" w:space="0"/>
              <w:bottom w:val="single" w:color="auto" w:sz="4" w:space="0"/>
            </w:tcBorders>
            <w:shd w:val="clear" w:color="auto" w:fill="auto"/>
            <w:noWrap w:val="0"/>
            <w:vAlign w:val="center"/>
          </w:tcPr>
          <w:p w14:paraId="4669805E">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推荐中标候选人</w:t>
            </w:r>
            <w:r>
              <w:rPr>
                <w:rFonts w:hint="eastAsia" w:ascii="仿宋" w:hAnsi="仿宋" w:eastAsia="仿宋" w:cs="仿宋"/>
                <w:b/>
                <w:bCs/>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中标候选人数量 </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 xml:space="preserve"> 家</w:t>
            </w:r>
            <w:r>
              <w:rPr>
                <w:rFonts w:hint="eastAsia" w:ascii="仿宋" w:hAnsi="仿宋" w:eastAsia="仿宋" w:cs="仿宋"/>
                <w:b w:val="0"/>
                <w:bCs w:val="0"/>
                <w:color w:val="auto"/>
                <w:sz w:val="24"/>
                <w:szCs w:val="24"/>
                <w:highlight w:val="none"/>
                <w:lang w:eastAsia="zh-CN"/>
              </w:rPr>
              <w:t>。</w:t>
            </w:r>
          </w:p>
        </w:tc>
      </w:tr>
      <w:tr w14:paraId="70566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auto" w:sz="4" w:space="0"/>
              <w:bottom w:val="single" w:color="auto" w:sz="4" w:space="0"/>
              <w:right w:val="single" w:color="auto" w:sz="4" w:space="0"/>
            </w:tcBorders>
            <w:noWrap w:val="0"/>
            <w:vAlign w:val="center"/>
          </w:tcPr>
          <w:p w14:paraId="1F10F93A">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w:t>
            </w:r>
          </w:p>
        </w:tc>
        <w:tc>
          <w:tcPr>
            <w:tcW w:w="9229" w:type="dxa"/>
            <w:tcBorders>
              <w:top w:val="single" w:color="auto" w:sz="4" w:space="0"/>
              <w:left w:val="single" w:color="auto" w:sz="4" w:space="0"/>
              <w:bottom w:val="single" w:color="auto" w:sz="4" w:space="0"/>
            </w:tcBorders>
            <w:shd w:val="clear" w:color="auto" w:fill="auto"/>
            <w:noWrap w:val="0"/>
            <w:vAlign w:val="center"/>
          </w:tcPr>
          <w:p w14:paraId="408BDBD9">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确定中标人：</w:t>
            </w:r>
            <w:r>
              <w:rPr>
                <w:rFonts w:hint="eastAsia" w:ascii="仿宋" w:hAnsi="仿宋" w:eastAsia="仿宋" w:cs="仿宋"/>
                <w:bCs/>
                <w:color w:val="auto"/>
                <w:sz w:val="24"/>
                <w:highlight w:val="none"/>
                <w:lang w:val="en-US" w:eastAsia="zh-CN"/>
              </w:rPr>
              <w:t>采购人直接委托评标委员会直接确定中标人。</w:t>
            </w:r>
          </w:p>
        </w:tc>
      </w:tr>
      <w:tr w14:paraId="3691D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750" w:type="dxa"/>
            <w:tcBorders>
              <w:top w:val="single" w:color="auto" w:sz="4" w:space="0"/>
              <w:bottom w:val="single" w:color="auto" w:sz="4" w:space="0"/>
              <w:right w:val="single" w:color="auto" w:sz="4" w:space="0"/>
            </w:tcBorders>
            <w:noWrap w:val="0"/>
            <w:vAlign w:val="center"/>
          </w:tcPr>
          <w:p w14:paraId="04F47AC5">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w:t>
            </w:r>
          </w:p>
        </w:tc>
        <w:tc>
          <w:tcPr>
            <w:tcW w:w="9229" w:type="dxa"/>
            <w:tcBorders>
              <w:top w:val="single" w:color="auto" w:sz="4" w:space="0"/>
              <w:left w:val="single" w:color="auto" w:sz="4" w:space="0"/>
              <w:bottom w:val="single" w:color="auto" w:sz="4" w:space="0"/>
            </w:tcBorders>
            <w:shd w:val="clear" w:color="auto" w:fill="auto"/>
            <w:noWrap w:val="0"/>
            <w:vAlign w:val="center"/>
          </w:tcPr>
          <w:p w14:paraId="1532584B">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注：中小企业划分标准依据《工业和信息化部、国家统计局、国家发展和改革委员会、财政部关于印发中小企业划型标准规定的通知》（工信部联企业〔2011〕300号）规定。本项目采购标的对应的中小企业划分标准所属行业为</w:t>
            </w:r>
            <w:r>
              <w:rPr>
                <w:rFonts w:hint="eastAsia" w:ascii="仿宋" w:hAnsi="仿宋" w:eastAsia="仿宋" w:cs="仿宋"/>
                <w:b/>
                <w:bCs w:val="0"/>
                <w:color w:val="auto"/>
                <w:kern w:val="2"/>
                <w:sz w:val="24"/>
                <w:szCs w:val="24"/>
                <w:highlight w:val="none"/>
                <w:u w:val="single"/>
                <w:lang w:val="en-US" w:eastAsia="zh-CN" w:bidi="ar-SA"/>
              </w:rPr>
              <w:t>工业</w:t>
            </w:r>
            <w:r>
              <w:rPr>
                <w:rFonts w:hint="eastAsia" w:ascii="仿宋" w:hAnsi="仿宋" w:eastAsia="仿宋" w:cs="仿宋"/>
                <w:b w:val="0"/>
                <w:bCs/>
                <w:color w:val="auto"/>
                <w:kern w:val="2"/>
                <w:sz w:val="24"/>
                <w:szCs w:val="24"/>
                <w:highlight w:val="none"/>
                <w:lang w:val="en-US" w:eastAsia="zh-CN" w:bidi="ar-SA"/>
              </w:rPr>
              <w:t>。</w:t>
            </w:r>
            <w:r>
              <w:rPr>
                <w:rFonts w:hint="eastAsia" w:ascii="仿宋" w:hAnsi="仿宋" w:eastAsia="仿宋" w:cs="仿宋"/>
                <w:b/>
                <w:bCs w:val="0"/>
                <w:color w:val="auto"/>
                <w:kern w:val="2"/>
                <w:sz w:val="24"/>
                <w:szCs w:val="24"/>
                <w:highlight w:val="none"/>
                <w:lang w:val="en-US" w:eastAsia="zh-CN" w:bidi="ar-SA"/>
              </w:rPr>
              <w:t>即供应商所提供货物由中小企业制造（货物由中小企业生产且使用该中小企业商号或者注册商标）。</w:t>
            </w:r>
          </w:p>
        </w:tc>
      </w:tr>
      <w:tr w14:paraId="5BC59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79" w:type="dxa"/>
            <w:gridSpan w:val="2"/>
            <w:tcBorders>
              <w:top w:val="single" w:color="auto" w:sz="4" w:space="0"/>
              <w:bottom w:val="single" w:color="auto" w:sz="4" w:space="0"/>
            </w:tcBorders>
            <w:noWrap w:val="0"/>
            <w:vAlign w:val="center"/>
          </w:tcPr>
          <w:p w14:paraId="1EFE48A0">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　予　合　同</w:t>
            </w:r>
          </w:p>
        </w:tc>
      </w:tr>
      <w:tr w14:paraId="5EC63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9979" w:type="dxa"/>
            <w:gridSpan w:val="2"/>
            <w:tcBorders>
              <w:top w:val="single" w:color="auto" w:sz="4" w:space="0"/>
              <w:bottom w:val="single" w:color="auto" w:sz="4" w:space="0"/>
            </w:tcBorders>
            <w:noWrap w:val="0"/>
            <w:vAlign w:val="center"/>
          </w:tcPr>
          <w:p w14:paraId="6DF61639">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适用于本投标商须知的额外增加的变动：招标代理服务费由中标方</w:t>
            </w:r>
            <w:r>
              <w:rPr>
                <w:rFonts w:hint="eastAsia" w:ascii="仿宋" w:hAnsi="仿宋" w:eastAsia="仿宋" w:cs="仿宋"/>
                <w:bCs/>
                <w:color w:val="auto"/>
                <w:sz w:val="24"/>
                <w:szCs w:val="24"/>
                <w:highlight w:val="none"/>
                <w:lang w:val="en-US" w:eastAsia="zh-CN"/>
              </w:rPr>
              <w:t>领取中标通知书时</w:t>
            </w:r>
            <w:r>
              <w:rPr>
                <w:rFonts w:hint="eastAsia" w:ascii="仿宋" w:hAnsi="仿宋" w:eastAsia="仿宋" w:cs="仿宋"/>
                <w:bCs/>
                <w:color w:val="auto"/>
                <w:sz w:val="24"/>
                <w:szCs w:val="24"/>
                <w:highlight w:val="none"/>
              </w:rPr>
              <w:t>向新疆西北招标有限公司支付，</w:t>
            </w:r>
            <w:r>
              <w:rPr>
                <w:rFonts w:hint="eastAsia" w:ascii="仿宋" w:hAnsi="仿宋" w:eastAsia="仿宋" w:cs="仿宋"/>
                <w:bCs/>
                <w:color w:val="auto"/>
                <w:sz w:val="24"/>
                <w:szCs w:val="24"/>
                <w:highlight w:val="none"/>
                <w:lang w:val="en-US" w:eastAsia="zh-CN"/>
              </w:rPr>
              <w:t>参照</w:t>
            </w:r>
            <w:r>
              <w:rPr>
                <w:rFonts w:hint="eastAsia" w:ascii="仿宋" w:hAnsi="仿宋" w:eastAsia="仿宋" w:cs="仿宋"/>
                <w:bCs/>
                <w:color w:val="auto"/>
                <w:sz w:val="24"/>
                <w:szCs w:val="24"/>
                <w:highlight w:val="none"/>
              </w:rPr>
              <w:t>发改价格</w:t>
            </w:r>
            <w:r>
              <w:rPr>
                <w:rFonts w:hint="eastAsia" w:ascii="仿宋" w:hAnsi="仿宋" w:eastAsia="仿宋" w:cs="仿宋"/>
                <w:bCs/>
                <w:color w:val="auto"/>
                <w:sz w:val="24"/>
                <w:szCs w:val="24"/>
                <w:highlight w:val="none"/>
                <w:lang w:eastAsia="zh-CN"/>
              </w:rPr>
              <w:t>〔2011〕534号</w:t>
            </w:r>
            <w:r>
              <w:rPr>
                <w:rFonts w:hint="eastAsia" w:ascii="仿宋" w:hAnsi="仿宋" w:eastAsia="仿宋" w:cs="仿宋"/>
                <w:bCs/>
                <w:color w:val="auto"/>
                <w:sz w:val="24"/>
                <w:szCs w:val="24"/>
                <w:highlight w:val="none"/>
              </w:rPr>
              <w:t>及计价格</w:t>
            </w:r>
            <w:r>
              <w:rPr>
                <w:rFonts w:hint="eastAsia" w:ascii="仿宋" w:hAnsi="仿宋" w:eastAsia="仿宋" w:cs="仿宋"/>
                <w:bCs/>
                <w:color w:val="auto"/>
                <w:sz w:val="24"/>
                <w:szCs w:val="24"/>
                <w:highlight w:val="none"/>
                <w:lang w:eastAsia="zh-CN"/>
              </w:rPr>
              <w:t>〔2002〕1980号</w:t>
            </w:r>
            <w:r>
              <w:rPr>
                <w:rFonts w:hint="eastAsia" w:ascii="仿宋" w:hAnsi="仿宋" w:eastAsia="仿宋" w:cs="仿宋"/>
                <w:bCs/>
                <w:color w:val="auto"/>
                <w:sz w:val="24"/>
                <w:szCs w:val="24"/>
                <w:highlight w:val="none"/>
              </w:rPr>
              <w:t>文件计算的招标代理服务收费标准</w:t>
            </w:r>
            <w:r>
              <w:rPr>
                <w:rFonts w:hint="eastAsia" w:ascii="仿宋" w:hAnsi="仿宋" w:eastAsia="仿宋" w:cs="仿宋"/>
                <w:bCs/>
                <w:color w:val="auto"/>
                <w:sz w:val="24"/>
                <w:szCs w:val="24"/>
                <w:highlight w:val="none"/>
                <w:lang w:val="en-US" w:eastAsia="zh-CN"/>
              </w:rPr>
              <w:t>下浮20%</w:t>
            </w:r>
            <w:r>
              <w:rPr>
                <w:rFonts w:hint="eastAsia" w:ascii="仿宋" w:hAnsi="仿宋" w:eastAsia="仿宋" w:cs="仿宋"/>
                <w:bCs/>
                <w:color w:val="auto"/>
                <w:sz w:val="24"/>
                <w:szCs w:val="24"/>
                <w:highlight w:val="none"/>
              </w:rPr>
              <w:t>计取。</w:t>
            </w:r>
          </w:p>
        </w:tc>
      </w:tr>
      <w:tr w14:paraId="27787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9979" w:type="dxa"/>
            <w:gridSpan w:val="2"/>
            <w:tcBorders>
              <w:top w:val="single" w:color="auto" w:sz="4" w:space="0"/>
              <w:bottom w:val="single" w:color="auto" w:sz="4" w:space="0"/>
            </w:tcBorders>
            <w:noWrap w:val="0"/>
            <w:vAlign w:val="center"/>
          </w:tcPr>
          <w:p w14:paraId="4CC19D43">
            <w:pPr>
              <w:widowControl/>
              <w:spacing w:line="240" w:lineRule="auto"/>
              <w:ind w:left="-20"/>
              <w:jc w:val="left"/>
              <w:rPr>
                <w:rFonts w:hint="eastAsia" w:ascii="Times New Roman" w:hAnsi="Times New Roman" w:eastAsia="仿宋" w:cs="Times New Roman"/>
                <w:color w:val="auto"/>
                <w:sz w:val="24"/>
                <w:szCs w:val="20"/>
                <w:highlight w:val="none"/>
                <w:lang w:val="en-US" w:eastAsia="zh-CN"/>
              </w:rPr>
            </w:pPr>
            <w:r>
              <w:rPr>
                <w:rFonts w:hint="default" w:ascii="Times New Roman" w:hAnsi="Times New Roman" w:eastAsia="仿宋" w:cs="Times New Roman"/>
                <w:color w:val="auto"/>
                <w:sz w:val="24"/>
                <w:szCs w:val="20"/>
                <w:highlight w:val="none"/>
              </w:rPr>
              <w:t>兼投不兼中说明</w:t>
            </w:r>
            <w:r>
              <w:rPr>
                <w:rFonts w:hint="eastAsia" w:ascii="Times New Roman" w:hAnsi="Times New Roman" w:eastAsia="仿宋" w:cs="Times New Roman"/>
                <w:color w:val="auto"/>
                <w:sz w:val="24"/>
                <w:szCs w:val="20"/>
                <w:highlight w:val="none"/>
                <w:lang w:eastAsia="zh-CN"/>
              </w:rPr>
              <w:t>：乌鲁木齐市沙依巴克区教育局仓郁路新建学校设施设备采购（第一期）</w:t>
            </w:r>
            <w:r>
              <w:rPr>
                <w:rFonts w:hint="eastAsia" w:eastAsia="仿宋" w:cs="Times New Roman"/>
                <w:color w:val="auto"/>
                <w:sz w:val="24"/>
                <w:szCs w:val="20"/>
                <w:highlight w:val="none"/>
                <w:lang w:val="en-US" w:eastAsia="zh-CN"/>
              </w:rPr>
              <w:t>共四个标包</w:t>
            </w:r>
            <w:r>
              <w:rPr>
                <w:rFonts w:hint="default" w:ascii="Times New Roman" w:hAnsi="Times New Roman" w:eastAsia="仿宋" w:cs="Times New Roman"/>
                <w:color w:val="auto"/>
                <w:sz w:val="24"/>
                <w:szCs w:val="20"/>
                <w:highlight w:val="none"/>
              </w:rPr>
              <w:t>兼投不兼中</w:t>
            </w:r>
            <w:r>
              <w:rPr>
                <w:rFonts w:hint="eastAsia" w:eastAsia="仿宋" w:cs="Times New Roman"/>
                <w:color w:val="auto"/>
                <w:sz w:val="24"/>
                <w:szCs w:val="20"/>
                <w:highlight w:val="none"/>
                <w:lang w:eastAsia="zh-CN"/>
              </w:rPr>
              <w:t>。</w:t>
            </w:r>
          </w:p>
          <w:p w14:paraId="580E489F">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default" w:ascii="Times New Roman" w:hAnsi="Times New Roman" w:eastAsia="仿宋" w:cs="Times New Roman"/>
                <w:color w:val="auto"/>
                <w:sz w:val="24"/>
                <w:szCs w:val="20"/>
                <w:highlight w:val="none"/>
              </w:rPr>
              <w:t>兼投不兼中描述：每个供应商最多只能被确定为上述</w:t>
            </w:r>
            <w:r>
              <w:rPr>
                <w:rFonts w:hint="eastAsia" w:eastAsia="仿宋" w:cs="Times New Roman"/>
                <w:color w:val="auto"/>
                <w:sz w:val="24"/>
                <w:szCs w:val="20"/>
                <w:highlight w:val="none"/>
                <w:lang w:val="en-US" w:eastAsia="zh-CN"/>
              </w:rPr>
              <w:t>四</w:t>
            </w:r>
            <w:r>
              <w:rPr>
                <w:rFonts w:hint="default" w:ascii="Times New Roman" w:hAnsi="Times New Roman" w:eastAsia="仿宋" w:cs="Times New Roman"/>
                <w:color w:val="auto"/>
                <w:sz w:val="24"/>
                <w:szCs w:val="20"/>
                <w:highlight w:val="none"/>
              </w:rPr>
              <w:t>个</w:t>
            </w:r>
            <w:r>
              <w:rPr>
                <w:rFonts w:hint="eastAsia" w:eastAsia="仿宋" w:cs="Times New Roman"/>
                <w:color w:val="auto"/>
                <w:sz w:val="24"/>
                <w:szCs w:val="20"/>
                <w:highlight w:val="none"/>
                <w:lang w:val="en-US" w:eastAsia="zh-CN"/>
              </w:rPr>
              <w:t>包</w:t>
            </w:r>
            <w:r>
              <w:rPr>
                <w:rFonts w:hint="default" w:ascii="Times New Roman" w:hAnsi="Times New Roman" w:eastAsia="仿宋" w:cs="Times New Roman"/>
                <w:color w:val="auto"/>
                <w:sz w:val="24"/>
                <w:szCs w:val="20"/>
                <w:highlight w:val="none"/>
              </w:rPr>
              <w:t>中的</w:t>
            </w:r>
            <w:r>
              <w:rPr>
                <w:rFonts w:hint="eastAsia" w:eastAsia="仿宋" w:cs="Times New Roman"/>
                <w:color w:val="auto"/>
                <w:sz w:val="24"/>
                <w:szCs w:val="20"/>
                <w:highlight w:val="none"/>
                <w:lang w:val="en-US" w:eastAsia="zh-CN"/>
              </w:rPr>
              <w:t>一</w:t>
            </w:r>
            <w:r>
              <w:rPr>
                <w:rFonts w:hint="default" w:ascii="Times New Roman" w:hAnsi="Times New Roman" w:eastAsia="仿宋" w:cs="Times New Roman"/>
                <w:color w:val="auto"/>
                <w:sz w:val="24"/>
                <w:szCs w:val="20"/>
                <w:highlight w:val="none"/>
              </w:rPr>
              <w:t>个</w:t>
            </w:r>
            <w:r>
              <w:rPr>
                <w:rFonts w:hint="eastAsia" w:eastAsia="仿宋" w:cs="Times New Roman"/>
                <w:color w:val="auto"/>
                <w:sz w:val="24"/>
                <w:szCs w:val="20"/>
                <w:highlight w:val="none"/>
                <w:lang w:val="en-US" w:eastAsia="zh-CN"/>
              </w:rPr>
              <w:t>包</w:t>
            </w:r>
            <w:r>
              <w:rPr>
                <w:rFonts w:hint="default" w:ascii="Times New Roman" w:hAnsi="Times New Roman" w:eastAsia="仿宋" w:cs="Times New Roman"/>
                <w:color w:val="auto"/>
                <w:sz w:val="24"/>
                <w:szCs w:val="20"/>
                <w:highlight w:val="none"/>
              </w:rPr>
              <w:t>的</w:t>
            </w:r>
            <w:r>
              <w:rPr>
                <w:rFonts w:hint="eastAsia" w:ascii="Times New Roman" w:hAnsi="Times New Roman" w:eastAsia="仿宋" w:cs="Times New Roman"/>
                <w:color w:val="auto"/>
                <w:sz w:val="24"/>
                <w:szCs w:val="20"/>
                <w:highlight w:val="none"/>
                <w:lang w:val="en-US" w:eastAsia="zh-CN"/>
              </w:rPr>
              <w:t>中标</w:t>
            </w:r>
            <w:r>
              <w:rPr>
                <w:rFonts w:hint="default" w:ascii="Times New Roman" w:hAnsi="Times New Roman" w:eastAsia="仿宋" w:cs="Times New Roman"/>
                <w:color w:val="auto"/>
                <w:sz w:val="24"/>
                <w:szCs w:val="20"/>
                <w:highlight w:val="none"/>
              </w:rPr>
              <w:t>供应商。本项目</w:t>
            </w:r>
            <w:r>
              <w:rPr>
                <w:rFonts w:hint="eastAsia" w:eastAsia="仿宋" w:cs="Times New Roman"/>
                <w:color w:val="auto"/>
                <w:sz w:val="24"/>
                <w:szCs w:val="20"/>
                <w:highlight w:val="none"/>
                <w:lang w:val="en-US" w:eastAsia="zh-CN"/>
              </w:rPr>
              <w:t>第一包</w:t>
            </w:r>
            <w:r>
              <w:rPr>
                <w:rFonts w:hint="eastAsia" w:ascii="Times New Roman" w:hAnsi="Times New Roman" w:eastAsia="仿宋" w:cs="Times New Roman"/>
                <w:color w:val="auto"/>
                <w:sz w:val="24"/>
                <w:szCs w:val="20"/>
                <w:highlight w:val="none"/>
                <w:lang w:val="en-US" w:eastAsia="zh-CN"/>
              </w:rPr>
              <w:t>至</w:t>
            </w:r>
            <w:r>
              <w:rPr>
                <w:rFonts w:hint="eastAsia" w:eastAsia="仿宋" w:cs="Times New Roman"/>
                <w:color w:val="auto"/>
                <w:sz w:val="24"/>
                <w:szCs w:val="20"/>
                <w:highlight w:val="none"/>
                <w:lang w:val="en-US" w:eastAsia="zh-CN"/>
              </w:rPr>
              <w:t>第四包</w:t>
            </w:r>
            <w:r>
              <w:rPr>
                <w:rFonts w:hint="default" w:ascii="Times New Roman" w:hAnsi="Times New Roman" w:eastAsia="仿宋" w:cs="Times New Roman"/>
                <w:color w:val="auto"/>
                <w:sz w:val="24"/>
                <w:szCs w:val="20"/>
                <w:highlight w:val="none"/>
              </w:rPr>
              <w:t>顺序进行评审，依次按照评标总得分由高到低的顺序排序。同时对多</w:t>
            </w:r>
            <w:r>
              <w:rPr>
                <w:rFonts w:hint="eastAsia" w:ascii="Times New Roman" w:hAnsi="Times New Roman" w:eastAsia="仿宋" w:cs="Times New Roman"/>
                <w:color w:val="auto"/>
                <w:sz w:val="24"/>
                <w:szCs w:val="20"/>
                <w:highlight w:val="none"/>
                <w:lang w:val="en-US" w:eastAsia="zh-CN"/>
              </w:rPr>
              <w:t>标包</w:t>
            </w:r>
            <w:r>
              <w:rPr>
                <w:rFonts w:hint="default" w:ascii="Times New Roman" w:hAnsi="Times New Roman" w:eastAsia="仿宋" w:cs="Times New Roman"/>
                <w:color w:val="auto"/>
                <w:sz w:val="24"/>
                <w:szCs w:val="20"/>
                <w:highlight w:val="none"/>
              </w:rPr>
              <w:t>响应的供应商，如供应商在前面</w:t>
            </w:r>
            <w:r>
              <w:rPr>
                <w:rFonts w:hint="eastAsia" w:ascii="Times New Roman" w:hAnsi="Times New Roman" w:eastAsia="仿宋" w:cs="Times New Roman"/>
                <w:color w:val="auto"/>
                <w:sz w:val="24"/>
                <w:szCs w:val="20"/>
                <w:highlight w:val="none"/>
                <w:lang w:val="en-US" w:eastAsia="zh-CN"/>
              </w:rPr>
              <w:t>标包</w:t>
            </w:r>
            <w:r>
              <w:rPr>
                <w:rFonts w:hint="default" w:ascii="Times New Roman" w:hAnsi="Times New Roman" w:eastAsia="仿宋" w:cs="Times New Roman"/>
                <w:color w:val="auto"/>
                <w:sz w:val="24"/>
                <w:szCs w:val="20"/>
                <w:highlight w:val="none"/>
              </w:rPr>
              <w:t>已被评审为</w:t>
            </w:r>
            <w:r>
              <w:rPr>
                <w:rFonts w:hint="eastAsia" w:ascii="Times New Roman" w:hAnsi="Times New Roman" w:eastAsia="仿宋" w:cs="Times New Roman"/>
                <w:color w:val="auto"/>
                <w:sz w:val="24"/>
                <w:szCs w:val="20"/>
                <w:highlight w:val="none"/>
                <w:lang w:val="en-US" w:eastAsia="zh-CN"/>
              </w:rPr>
              <w:t>中标</w:t>
            </w:r>
            <w:r>
              <w:rPr>
                <w:rFonts w:hint="default" w:ascii="Times New Roman" w:hAnsi="Times New Roman" w:eastAsia="仿宋" w:cs="Times New Roman"/>
                <w:color w:val="auto"/>
                <w:sz w:val="24"/>
                <w:szCs w:val="20"/>
                <w:highlight w:val="none"/>
              </w:rPr>
              <w:t>供应商，则评审委员会在评审后面</w:t>
            </w:r>
            <w:r>
              <w:rPr>
                <w:rFonts w:hint="eastAsia" w:ascii="Times New Roman" w:hAnsi="Times New Roman" w:eastAsia="仿宋" w:cs="Times New Roman"/>
                <w:color w:val="auto"/>
                <w:sz w:val="24"/>
                <w:szCs w:val="20"/>
                <w:highlight w:val="none"/>
                <w:lang w:val="en-US" w:eastAsia="zh-CN"/>
              </w:rPr>
              <w:t>标包</w:t>
            </w:r>
            <w:r>
              <w:rPr>
                <w:rFonts w:hint="default" w:ascii="Times New Roman" w:hAnsi="Times New Roman" w:eastAsia="仿宋" w:cs="Times New Roman"/>
                <w:color w:val="auto"/>
                <w:sz w:val="24"/>
                <w:szCs w:val="20"/>
                <w:highlight w:val="none"/>
              </w:rPr>
              <w:t>时，已经作为</w:t>
            </w:r>
            <w:r>
              <w:rPr>
                <w:rFonts w:hint="eastAsia" w:ascii="Times New Roman" w:hAnsi="Times New Roman" w:eastAsia="仿宋" w:cs="Times New Roman"/>
                <w:color w:val="auto"/>
                <w:sz w:val="24"/>
                <w:szCs w:val="20"/>
                <w:highlight w:val="none"/>
                <w:lang w:val="en-US" w:eastAsia="zh-CN"/>
              </w:rPr>
              <w:t>中标</w:t>
            </w:r>
            <w:r>
              <w:rPr>
                <w:rFonts w:hint="default" w:ascii="Times New Roman" w:hAnsi="Times New Roman" w:eastAsia="仿宋" w:cs="Times New Roman"/>
                <w:color w:val="auto"/>
                <w:sz w:val="24"/>
                <w:szCs w:val="20"/>
                <w:highlight w:val="none"/>
              </w:rPr>
              <w:t>供应商的不再作为其他</w:t>
            </w:r>
            <w:r>
              <w:rPr>
                <w:rFonts w:hint="eastAsia" w:ascii="Times New Roman" w:hAnsi="Times New Roman" w:eastAsia="仿宋" w:cs="Times New Roman"/>
                <w:color w:val="auto"/>
                <w:sz w:val="24"/>
                <w:szCs w:val="20"/>
                <w:highlight w:val="none"/>
                <w:lang w:val="en-US" w:eastAsia="zh-CN"/>
              </w:rPr>
              <w:t>标包</w:t>
            </w:r>
            <w:r>
              <w:rPr>
                <w:rFonts w:hint="default" w:ascii="Times New Roman" w:hAnsi="Times New Roman" w:eastAsia="仿宋" w:cs="Times New Roman"/>
                <w:color w:val="auto"/>
                <w:sz w:val="24"/>
                <w:szCs w:val="20"/>
                <w:highlight w:val="none"/>
              </w:rPr>
              <w:t>的</w:t>
            </w:r>
            <w:r>
              <w:rPr>
                <w:rFonts w:hint="eastAsia" w:ascii="Times New Roman" w:hAnsi="Times New Roman" w:eastAsia="仿宋" w:cs="Times New Roman"/>
                <w:color w:val="auto"/>
                <w:sz w:val="24"/>
                <w:szCs w:val="20"/>
                <w:highlight w:val="none"/>
                <w:lang w:val="en-US" w:eastAsia="zh-CN"/>
              </w:rPr>
              <w:t>中标</w:t>
            </w:r>
            <w:r>
              <w:rPr>
                <w:rFonts w:hint="default" w:ascii="Times New Roman" w:hAnsi="Times New Roman" w:eastAsia="仿宋" w:cs="Times New Roman"/>
                <w:color w:val="auto"/>
                <w:sz w:val="24"/>
                <w:szCs w:val="20"/>
                <w:highlight w:val="none"/>
              </w:rPr>
              <w:t>供应商。</w:t>
            </w:r>
          </w:p>
        </w:tc>
      </w:tr>
    </w:tbl>
    <w:p w14:paraId="6A8F6813">
      <w:pPr>
        <w:pStyle w:val="3"/>
        <w:keepNext/>
        <w:keepLines/>
        <w:pageBreakBefore w:val="0"/>
        <w:widowControl w:val="0"/>
        <w:kinsoku/>
        <w:wordWrap/>
        <w:overflowPunct/>
        <w:topLinePunct w:val="0"/>
        <w:autoSpaceDE/>
        <w:autoSpaceDN/>
        <w:bidi w:val="0"/>
        <w:adjustRightInd/>
        <w:snapToGrid/>
        <w:spacing w:before="100" w:beforeAutospacing="1" w:after="100" w:afterAutospacing="1" w:line="400" w:lineRule="atLeast"/>
        <w:jc w:val="center"/>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br w:type="page"/>
      </w:r>
      <w:bookmarkStart w:id="46" w:name="_Toc23140"/>
      <w:bookmarkStart w:id="47" w:name="_Toc349573121"/>
      <w:bookmarkStart w:id="48" w:name="_Toc298240405"/>
      <w:bookmarkStart w:id="49" w:name="_Toc349637920"/>
      <w:bookmarkStart w:id="50" w:name="_Toc267301282"/>
      <w:r>
        <w:rPr>
          <w:rFonts w:hint="eastAsia" w:ascii="仿宋" w:hAnsi="仿宋" w:eastAsia="仿宋" w:cs="仿宋"/>
          <w:b w:val="0"/>
          <w:bCs/>
          <w:color w:val="auto"/>
          <w:sz w:val="28"/>
          <w:szCs w:val="28"/>
          <w:highlight w:val="none"/>
        </w:rPr>
        <w:t>A  说　明</w:t>
      </w:r>
      <w:bookmarkEnd w:id="46"/>
      <w:bookmarkEnd w:id="47"/>
      <w:bookmarkEnd w:id="48"/>
      <w:bookmarkEnd w:id="49"/>
      <w:bookmarkEnd w:id="50"/>
    </w:p>
    <w:p w14:paraId="66125E41">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适用范围</w:t>
      </w:r>
    </w:p>
    <w:p w14:paraId="2E9114DD">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本招标文件仅适用于本次投标邀请中所叙述项目的货物及服务采购。</w:t>
      </w:r>
    </w:p>
    <w:p w14:paraId="2225D4D1">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定义</w:t>
      </w:r>
    </w:p>
    <w:p w14:paraId="4F033F24">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2.1根据《中华人民共和国政府采购法》及其实施条例等有关法律、法规和规章的规定，制定本招标文件</w:t>
      </w:r>
    </w:p>
    <w:p w14:paraId="6F5F9D63">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2.2采购人：指依法进行政府采购的国家机关、事业单位、团体组织。</w:t>
      </w:r>
    </w:p>
    <w:p w14:paraId="472BA391">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采购代理机构：指依法进行政府采购的国家机关、事业单位、团体组织委托的采购代理机构。</w:t>
      </w:r>
    </w:p>
    <w:p w14:paraId="4D494BC1">
      <w:pPr>
        <w:spacing w:line="400" w:lineRule="atLeast"/>
        <w:ind w:left="480" w:hanging="480" w:hanging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eastAsia="zh-CN"/>
        </w:rPr>
        <w:t>政府采购监督管理部门：各级人民政府财政部门是负责政府采购监督管理的部门，依法履行对政府采购活动的监督管理职责。各级人民政府其他有关部 门依法履行与政府采购活动有关的监督管理职责。</w:t>
      </w:r>
    </w:p>
    <w:p w14:paraId="23BAB07D">
      <w:pPr>
        <w:spacing w:line="400" w:lineRule="atLeast"/>
        <w:ind w:left="480" w:hanging="480" w:hanging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投标人（也称“供应商”、“申请人”）：指向采购人提供货物、工程或者服务的法人、其他组织或者自然人。分支机构不得参加政府采购活动，但银行、保险、石油石化、电力、电信等有行业特殊情况的除外。</w:t>
      </w:r>
    </w:p>
    <w:p w14:paraId="4F1FD4C2">
      <w:pPr>
        <w:spacing w:line="400" w:lineRule="atLeast"/>
        <w:ind w:left="480" w:hanging="480" w:hanging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eastAsia="zh-CN"/>
        </w:rPr>
        <w:t>“进口产品”是指通过中国海关报关验放进入中国境内且产自关境外的产品，详见《关于政府采购进口产品管理有关问题的通知》(财库〔2007〕119号)、《关于政府采购进口产品管理有关问题的通知财办库》（财库〔2008〕﹞248号）。</w:t>
      </w:r>
    </w:p>
    <w:p w14:paraId="2CC52BA1">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lang w:eastAsia="zh-CN"/>
        </w:rPr>
        <w:t>本项目的投标人须满足以下条件。</w:t>
      </w:r>
    </w:p>
    <w:p w14:paraId="08E15F46">
      <w:pPr>
        <w:spacing w:line="400" w:lineRule="atLeas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3.1具备《中华人民共和国政府采购法》第二十二条规定的条件，遵守本项目采购人本级和上级财政部门政府采购的有关规定</w:t>
      </w:r>
      <w:r>
        <w:rPr>
          <w:rFonts w:hint="eastAsia" w:ascii="仿宋" w:hAnsi="仿宋" w:eastAsia="仿宋" w:cs="仿宋"/>
          <w:bCs/>
          <w:color w:val="auto"/>
          <w:sz w:val="24"/>
          <w:highlight w:val="none"/>
          <w:lang w:val="en-US" w:eastAsia="zh-CN"/>
        </w:rPr>
        <w:t>。</w:t>
      </w:r>
    </w:p>
    <w:p w14:paraId="7A9D878A">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3.2以招标公告中发布的方式依法获得了本项目的招标文件。</w:t>
      </w:r>
    </w:p>
    <w:p w14:paraId="0121E23D">
      <w:pPr>
        <w:spacing w:line="400" w:lineRule="atLeas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3.3符合本招标文件规定并参加投标的供应商。</w:t>
      </w:r>
    </w:p>
    <w:p w14:paraId="520C2721">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潜在投标人、潜在供应商：指符合本招标文件规定的供应商。</w:t>
      </w:r>
    </w:p>
    <w:p w14:paraId="49CBB2D2">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资金来源</w:t>
      </w:r>
    </w:p>
    <w:p w14:paraId="2274D595">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资金来源：为财政性资金即纳入预算管理的资金。以财政性资金作为还款来源的借贷资金，视同财政性资金。财政性资金与非财政性资金无法分割采购的，统一适用《中华人民共和国政府采购法》及其实施条例。</w:t>
      </w:r>
    </w:p>
    <w:p w14:paraId="08E3C490">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投标人资格要求</w:t>
      </w:r>
    </w:p>
    <w:p w14:paraId="565C6A49">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.1投标人资格要求：见“第一</w:t>
      </w:r>
      <w:r>
        <w:rPr>
          <w:rFonts w:hint="eastAsia" w:ascii="仿宋" w:hAnsi="仿宋" w:eastAsia="仿宋" w:cs="仿宋"/>
          <w:bCs/>
          <w:color w:val="auto"/>
          <w:sz w:val="24"/>
          <w:highlight w:val="none"/>
          <w:lang w:val="en-US" w:eastAsia="zh-CN"/>
        </w:rPr>
        <w:t xml:space="preserve">部分 </w:t>
      </w:r>
      <w:r>
        <w:rPr>
          <w:rFonts w:hint="eastAsia" w:ascii="仿宋" w:hAnsi="仿宋" w:eastAsia="仿宋" w:cs="仿宋"/>
          <w:bCs/>
          <w:color w:val="auto"/>
          <w:sz w:val="24"/>
          <w:highlight w:val="none"/>
        </w:rPr>
        <w:t>招标公告”；</w:t>
      </w:r>
    </w:p>
    <w:p w14:paraId="1072D08A">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费用承担</w:t>
      </w:r>
    </w:p>
    <w:p w14:paraId="4E89FD15">
      <w:pPr>
        <w:spacing w:line="400" w:lineRule="atLeast"/>
        <w:ind w:left="480" w:hanging="48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.1不论投标的结果如何，投标人应承担所有与准备和参加投标有关的费用</w:t>
      </w:r>
      <w:r>
        <w:rPr>
          <w:rFonts w:hint="eastAsia" w:ascii="仿宋" w:hAnsi="仿宋" w:eastAsia="仿宋" w:cs="仿宋"/>
          <w:bCs/>
          <w:color w:val="auto"/>
          <w:sz w:val="24"/>
          <w:highlight w:val="none"/>
          <w:lang w:eastAsia="zh-CN"/>
        </w:rPr>
        <w:t>。</w:t>
      </w:r>
    </w:p>
    <w:p w14:paraId="719597B4">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保密</w:t>
      </w:r>
    </w:p>
    <w:p w14:paraId="076AA59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8.1参与招标投标活动的各方应对招标文件和投标文件中的商业和技术等秘密保密，否则应承担相应的法律责任。</w:t>
      </w:r>
    </w:p>
    <w:p w14:paraId="3739ABE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8.2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93B6B4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8.3采购代理机构有权将投标人提供的所有资料向有关政府部门或评审投标文件的有关人员披露。</w:t>
      </w:r>
    </w:p>
    <w:p w14:paraId="5C85BC29">
      <w:pPr>
        <w:spacing w:line="400" w:lineRule="atLeast"/>
        <w:ind w:left="480" w:hanging="480"/>
        <w:rPr>
          <w:rFonts w:hint="eastAsia" w:ascii="仿宋" w:hAnsi="仿宋" w:eastAsia="仿宋" w:cs="仿宋"/>
          <w:color w:val="auto"/>
          <w:highlight w:val="none"/>
        </w:rPr>
      </w:pPr>
      <w:r>
        <w:rPr>
          <w:rFonts w:hint="eastAsia" w:ascii="仿宋" w:hAnsi="仿宋" w:eastAsia="仿宋" w:cs="仿宋"/>
          <w:bCs/>
          <w:color w:val="auto"/>
          <w:sz w:val="24"/>
          <w:highlight w:val="none"/>
          <w:lang w:val="en-US" w:eastAsia="zh-CN"/>
        </w:rPr>
        <w:t>8.4各级人民政府财政部门对政府采购活动进行监督检查，有权查阅、复制有关文件、资料，相关单位和人员应当予以配合。</w:t>
      </w:r>
    </w:p>
    <w:p w14:paraId="07769C24">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语言文字</w:t>
      </w:r>
    </w:p>
    <w:p w14:paraId="5227DF1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9.1招标投标过程文件使用的语言文字为中文。专用术语使用外文的，应附有中文注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87E334B">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计量单位</w:t>
      </w:r>
    </w:p>
    <w:p w14:paraId="565EBD9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10.1所有计量均采用中华人民共和国法定计量单位。</w:t>
      </w:r>
    </w:p>
    <w:p w14:paraId="339194FC">
      <w:pPr>
        <w:numPr>
          <w:ilvl w:val="0"/>
          <w:numId w:val="0"/>
        </w:numPr>
        <w:spacing w:line="400" w:lineRule="atLeast"/>
        <w:ind w:leftChars="0"/>
        <w:rPr>
          <w:rFonts w:hint="eastAsia" w:ascii="仿宋" w:hAnsi="仿宋" w:eastAsia="仿宋" w:cs="仿宋"/>
          <w:color w:val="auto"/>
          <w:highlight w:val="none"/>
        </w:rPr>
      </w:pPr>
    </w:p>
    <w:p w14:paraId="4D94CB67">
      <w:pPr>
        <w:pStyle w:val="3"/>
        <w:spacing w:before="100" w:beforeAutospacing="1" w:after="100" w:afterAutospacing="1" w:line="400" w:lineRule="atLeast"/>
        <w:jc w:val="center"/>
        <w:rPr>
          <w:rFonts w:hint="eastAsia" w:ascii="仿宋" w:hAnsi="仿宋" w:eastAsia="仿宋" w:cs="仿宋"/>
          <w:b w:val="0"/>
          <w:bCs/>
          <w:color w:val="auto"/>
          <w:sz w:val="28"/>
          <w:szCs w:val="28"/>
          <w:highlight w:val="none"/>
        </w:rPr>
      </w:pPr>
      <w:bookmarkStart w:id="51" w:name="_Toc1015"/>
      <w:bookmarkStart w:id="52" w:name="_Toc349637921"/>
      <w:bookmarkStart w:id="53" w:name="_Toc298240406"/>
      <w:bookmarkStart w:id="54" w:name="_Toc267301283"/>
      <w:bookmarkStart w:id="55" w:name="_Toc349573122"/>
      <w:r>
        <w:rPr>
          <w:rFonts w:hint="eastAsia" w:ascii="仿宋" w:hAnsi="仿宋" w:eastAsia="仿宋" w:cs="仿宋"/>
          <w:b w:val="0"/>
          <w:bCs/>
          <w:color w:val="auto"/>
          <w:sz w:val="28"/>
          <w:szCs w:val="28"/>
          <w:highlight w:val="none"/>
        </w:rPr>
        <w:t>B  招标文件</w:t>
      </w:r>
      <w:bookmarkEnd w:id="51"/>
      <w:bookmarkEnd w:id="52"/>
      <w:bookmarkEnd w:id="53"/>
      <w:bookmarkEnd w:id="54"/>
      <w:bookmarkEnd w:id="55"/>
    </w:p>
    <w:p w14:paraId="1CD4F940">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．招标文件构成</w:t>
      </w:r>
    </w:p>
    <w:p w14:paraId="6D7E6765">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.1招标文件包括：</w:t>
      </w:r>
    </w:p>
    <w:p w14:paraId="38F2FC72">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⑴投标邀请；</w:t>
      </w:r>
    </w:p>
    <w:p w14:paraId="77F5F1A2">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⑵投标商须知；</w:t>
      </w:r>
    </w:p>
    <w:p w14:paraId="26CC519A">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⑶货物及技术要求；</w:t>
      </w:r>
    </w:p>
    <w:p w14:paraId="17B60D64">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⑷合同条款；</w:t>
      </w:r>
    </w:p>
    <w:p w14:paraId="033BC515">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⑸范本格式。</w:t>
      </w:r>
    </w:p>
    <w:p w14:paraId="6D0C2B62">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.2招标文件以中文编写。</w:t>
      </w:r>
    </w:p>
    <w:p w14:paraId="4552D3C6">
      <w:pPr>
        <w:spacing w:line="400" w:lineRule="atLeast"/>
        <w:ind w:left="360" w:hanging="360" w:hanging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3投标商应认真阅读招标文件中所有的事项、格式、条款和规范等要求，从而对招标文件作出实质性响应。如果没有按照招标文件要求提交全部投标文件或资料，没有对招标文件作出实质性响应，其风险应由投标商自行承担。</w:t>
      </w:r>
    </w:p>
    <w:p w14:paraId="6D31105E">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．招标文件澄清</w:t>
      </w:r>
    </w:p>
    <w:p w14:paraId="0CDFCFE5">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.1投标商对招标文件有疑问的，可以向招标代理机构提出询问，招标代理机构将及时做出答复；</w:t>
      </w:r>
    </w:p>
    <w:p w14:paraId="09017EB9">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.2投标商对招标文件有质疑，须在得到招标文件之日起，以书面形式向招标机构提出质疑；招标机构在收到书面质疑后尽快做出答复，并以书面形式通知质疑投标商。</w:t>
      </w:r>
    </w:p>
    <w:p w14:paraId="3460221F">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.招标文件的修改</w:t>
      </w:r>
    </w:p>
    <w:p w14:paraId="15842F1E">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.1对招标文件进行必要的修改，招标代理机构将在投标截止时间15日前以书面形式通知所有购买招标文件的投标商。该修改的内容为招标文件的组成部分；</w:t>
      </w:r>
    </w:p>
    <w:p w14:paraId="2762A85C">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.2在投标截止时间前，招标机构可视具体情况延长投标截止时间，并将变更时间书面通知所有购买招标文件的投标商。</w:t>
      </w:r>
    </w:p>
    <w:p w14:paraId="041F3329">
      <w:pPr>
        <w:pStyle w:val="3"/>
        <w:spacing w:before="100" w:beforeAutospacing="1" w:after="100" w:afterAutospacing="1" w:line="400" w:lineRule="atLeast"/>
        <w:jc w:val="center"/>
        <w:rPr>
          <w:rFonts w:hint="eastAsia" w:ascii="仿宋" w:hAnsi="仿宋" w:eastAsia="仿宋" w:cs="仿宋"/>
          <w:b w:val="0"/>
          <w:bCs/>
          <w:color w:val="auto"/>
          <w:sz w:val="28"/>
          <w:szCs w:val="28"/>
          <w:highlight w:val="none"/>
        </w:rPr>
      </w:pPr>
      <w:bookmarkStart w:id="56" w:name="_Toc349573123"/>
      <w:bookmarkStart w:id="57" w:name="_Toc17578"/>
      <w:bookmarkStart w:id="58" w:name="_Toc349637922"/>
      <w:bookmarkStart w:id="59" w:name="_Toc267301284"/>
      <w:bookmarkStart w:id="60" w:name="_Toc298240407"/>
      <w:r>
        <w:rPr>
          <w:rFonts w:hint="eastAsia" w:ascii="仿宋" w:hAnsi="仿宋" w:eastAsia="仿宋" w:cs="仿宋"/>
          <w:b w:val="0"/>
          <w:bCs/>
          <w:color w:val="auto"/>
          <w:sz w:val="28"/>
          <w:szCs w:val="28"/>
          <w:highlight w:val="none"/>
        </w:rPr>
        <w:t>C  投标文件</w:t>
      </w:r>
      <w:bookmarkEnd w:id="56"/>
      <w:bookmarkEnd w:id="57"/>
      <w:bookmarkEnd w:id="58"/>
      <w:bookmarkEnd w:id="59"/>
      <w:bookmarkEnd w:id="60"/>
    </w:p>
    <w:p w14:paraId="55994498">
      <w:pPr>
        <w:pStyle w:val="15"/>
        <w:keepNext w:val="0"/>
        <w:keepLines w:val="0"/>
        <w:pageBreakBefore w:val="0"/>
        <w:widowControl/>
        <w:kinsoku w:val="0"/>
        <w:wordWrap/>
        <w:overflowPunct/>
        <w:topLinePunct w:val="0"/>
        <w:autoSpaceDE w:val="0"/>
        <w:autoSpaceDN w:val="0"/>
        <w:bidi w:val="0"/>
        <w:adjustRightInd w:val="0"/>
        <w:snapToGrid w:val="0"/>
        <w:spacing w:before="127" w:line="220" w:lineRule="auto"/>
        <w:ind w:right="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Cs/>
          <w:color w:val="auto"/>
          <w:kern w:val="2"/>
          <w:sz w:val="24"/>
          <w:highlight w:val="none"/>
          <w:lang w:val="en-US" w:eastAsia="zh-CN" w:bidi="ar-SA"/>
        </w:rPr>
        <w:t>14.投标文件的组成</w:t>
      </w:r>
    </w:p>
    <w:p w14:paraId="2B070BC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14.1投标人应完整地按招标文件提供的投标文件格式及要求编写投标文件，具体内容详见“第五部分 范本格式”的相关内容。</w:t>
      </w:r>
    </w:p>
    <w:p w14:paraId="68CDF90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14.2投标人应提交招标文件要求的证明文件，证明其投标内容符合招标文件规定，该证明文件是投标文件的一部分。证明文件形式可以是文字资料、图纸和数据等。</w:t>
      </w:r>
    </w:p>
    <w:p w14:paraId="6BD7479A">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14.3为保证公平公正，除非本招标文件另有规定或说明，投标人对同一项目投标时，不得同时提供备选投标方案。</w:t>
      </w:r>
    </w:p>
    <w:p w14:paraId="4C534241">
      <w:pPr>
        <w:pStyle w:val="15"/>
        <w:keepNext w:val="0"/>
        <w:keepLines w:val="0"/>
        <w:pageBreakBefore w:val="0"/>
        <w:widowControl/>
        <w:kinsoku w:val="0"/>
        <w:wordWrap/>
        <w:overflowPunct/>
        <w:topLinePunct w:val="0"/>
        <w:autoSpaceDE w:val="0"/>
        <w:autoSpaceDN w:val="0"/>
        <w:bidi w:val="0"/>
        <w:adjustRightInd w:val="0"/>
        <w:snapToGrid w:val="0"/>
        <w:spacing w:before="127" w:line="220" w:lineRule="auto"/>
        <w:ind w:right="0"/>
        <w:textAlignment w:val="baseline"/>
        <w:outlineLvl w:val="9"/>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15.投标报价</w:t>
      </w:r>
    </w:p>
    <w:p w14:paraId="7953580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15.1投标人的报价均应以人民币进行报价。</w:t>
      </w:r>
    </w:p>
    <w:p w14:paraId="04E9DAA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15.2投标人应按照本招标文件规定的报价方式进行报价，投标报价中不得包含招标文件要求以外的内容，否则，在评标时不予核减。投标报价中也不得缺漏招标文件所要求的内容，否则，</w:t>
      </w:r>
      <w:r>
        <w:rPr>
          <w:rFonts w:hint="eastAsia" w:ascii="仿宋" w:hAnsi="仿宋" w:eastAsia="仿宋" w:cs="仿宋"/>
          <w:b/>
          <w:bCs w:val="0"/>
          <w:color w:val="auto"/>
          <w:sz w:val="24"/>
          <w:highlight w:val="none"/>
          <w:lang w:val="en-US" w:eastAsia="zh-CN"/>
        </w:rPr>
        <w:t>其投标无效。</w:t>
      </w:r>
    </w:p>
    <w:p w14:paraId="04D7A48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标人的报价应包括为完成本项目所发生的一切费用和税费，采购人将不再支付报价以外的任何费用。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70149FC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投标人的报价应包括但不限于下列内容：</w:t>
      </w:r>
    </w:p>
    <w:p w14:paraId="4728828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AE29D3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15.2.2按照招标文件要求完成本项目的全部相关费用。</w:t>
      </w:r>
    </w:p>
    <w:p w14:paraId="7CCD2BB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15.3投标人须严格按照分项报价表规定的内容填写货物单价以及其他事项。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缴纳的费用都应包括在投标人提交的投标报价中。</w:t>
      </w:r>
    </w:p>
    <w:p w14:paraId="23D91E4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15.4投标人在投标文件中注明免费的项目将视为包含在投标报价中。</w:t>
      </w:r>
    </w:p>
    <w:p w14:paraId="6E43FBE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15.5每一种采购内容只允许有一个报价，</w:t>
      </w:r>
      <w:r>
        <w:rPr>
          <w:rFonts w:hint="eastAsia" w:ascii="仿宋" w:hAnsi="仿宋" w:eastAsia="仿宋" w:cs="仿宋"/>
          <w:b/>
          <w:bCs w:val="0"/>
          <w:color w:val="auto"/>
          <w:sz w:val="24"/>
          <w:highlight w:val="none"/>
          <w:lang w:val="en-US" w:eastAsia="zh-CN"/>
        </w:rPr>
        <w:t>否则其投标无效</w:t>
      </w:r>
      <w:r>
        <w:rPr>
          <w:rFonts w:hint="eastAsia" w:ascii="仿宋" w:hAnsi="仿宋" w:eastAsia="仿宋" w:cs="仿宋"/>
          <w:bCs/>
          <w:color w:val="auto"/>
          <w:sz w:val="24"/>
          <w:highlight w:val="none"/>
          <w:lang w:val="en-US" w:eastAsia="zh-CN"/>
        </w:rPr>
        <w:t>。除非招标文件另有规定，不接受可选择或可调整的投标方案和报价，任何有选择的或可调整的投标方案和报价将被视为非实质性响应招标文件,</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0B49B70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15.6投标报价不得超过“第一部分 招标公告”中规定的最高投标限价或者预算金额，否则评标委员会将对其作</w:t>
      </w:r>
      <w:r>
        <w:rPr>
          <w:rFonts w:hint="eastAsia" w:ascii="仿宋" w:hAnsi="仿宋" w:eastAsia="仿宋" w:cs="仿宋"/>
          <w:b/>
          <w:bCs w:val="0"/>
          <w:color w:val="auto"/>
          <w:sz w:val="24"/>
          <w:highlight w:val="none"/>
          <w:lang w:val="en-US" w:eastAsia="zh-CN"/>
        </w:rPr>
        <w:t>无效投标处理</w:t>
      </w:r>
      <w:r>
        <w:rPr>
          <w:rFonts w:hint="eastAsia" w:ascii="仿宋" w:hAnsi="仿宋" w:eastAsia="仿宋" w:cs="仿宋"/>
          <w:bCs/>
          <w:color w:val="auto"/>
          <w:sz w:val="24"/>
          <w:highlight w:val="none"/>
          <w:lang w:val="en-US" w:eastAsia="zh-CN"/>
        </w:rPr>
        <w:t>。</w:t>
      </w:r>
    </w:p>
    <w:p w14:paraId="7A84215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15.7投标人对投标报价若有说明应在投标文件中显著处注明。</w:t>
      </w:r>
    </w:p>
    <w:p w14:paraId="55463F9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除政策性文件规定以外，投标人所报价格在合同实施期间不因市场变化因素而变动。</w:t>
      </w:r>
    </w:p>
    <w:p w14:paraId="73EF38C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15.8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74495CC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15.9最低报价不能作为中标的保证。</w:t>
      </w:r>
    </w:p>
    <w:p w14:paraId="18908F6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15.10采购人不得向投标人索要或者接受其给予的赠品、回扣或者与采购无关的其他商品、服务。</w:t>
      </w:r>
    </w:p>
    <w:p w14:paraId="65107CFD">
      <w:pPr>
        <w:pStyle w:val="15"/>
        <w:keepNext w:val="0"/>
        <w:keepLines w:val="0"/>
        <w:pageBreakBefore w:val="0"/>
        <w:widowControl/>
        <w:kinsoku w:val="0"/>
        <w:wordWrap/>
        <w:overflowPunct/>
        <w:topLinePunct w:val="0"/>
        <w:autoSpaceDE w:val="0"/>
        <w:autoSpaceDN w:val="0"/>
        <w:bidi w:val="0"/>
        <w:adjustRightInd w:val="0"/>
        <w:snapToGrid w:val="0"/>
        <w:spacing w:before="127" w:line="220" w:lineRule="auto"/>
        <w:ind w:right="0"/>
        <w:textAlignment w:val="baseline"/>
        <w:outlineLvl w:val="9"/>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16.投标有效期</w:t>
      </w:r>
    </w:p>
    <w:p w14:paraId="05C8DBD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16.1投标有效期见“第二部分 投标人须知前附表”，投标人承诺的投标有效期少于招标文件规定期限的，</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3D8CF31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16.2投标有效期从提交投标文件的截止之日起算。投标文件中承诺的投标有效期应当不少于招标文件中载明的投标有效期。投标有效期内投标人撤销投标文件的，采购人或者采购代理机构可以不退还投标保证金。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20B9FDC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16.3特殊情况下，在原投标文件有效期截止之前，采购代理机构或采购人可要求投标人延长投标有效期。需要延长投标有效期时，采购代理机构或采购人将以书面形式通知所有投标人，投标人应以书面形式答复是否同意延长投标有效期。</w:t>
      </w:r>
    </w:p>
    <w:p w14:paraId="2C391A6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16.4投标人同意延长的，其投标保证金的有效期也相应延长，但不得要求或被允许修改或撤销其投标文件；投标人拒绝延长的，其投标文件在原投标有效期满后将不再有效，但其提交的投标保证金可予以退还。</w:t>
      </w:r>
    </w:p>
    <w:p w14:paraId="1196A52C">
      <w:pPr>
        <w:spacing w:line="400" w:lineRule="atLeast"/>
        <w:ind w:left="480" w:hanging="480"/>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17.投标文件的编制</w:t>
      </w:r>
    </w:p>
    <w:p w14:paraId="14F08DB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17.1投标文件应在供应商客户端中进行编制，在投标文件中要求加盖印章的，除有特殊说明之外，可使用电子签章签署。</w:t>
      </w:r>
    </w:p>
    <w:p w14:paraId="64B742E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17.2投标人在供应商客户端中按照供应商客户端中的格式要求填写响应内容后，生成投标文件。投标人须按照招标文件的要求使用电子签章对要求加盖印章的部分逐一进行签章。</w:t>
      </w:r>
    </w:p>
    <w:p w14:paraId="5881559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17.3投标人应详细阅读招标文件的全部内容。投标文件须对招标文件中的内容作出实质性和完整的响应，如果投标文件填报的内容不详，或没有提供招标文件中所要求的全部资料及数据，将可能导致</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662B809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17.4投标文件须严格按照本招标文件规定的格式提交，并按规定的统一格式逐项填写，不准有空项；无相应内容可填的项，应填写“无”、“未测试”、“没有相应指标”等明确的回答文字。由于编排混乱导致投标文件被误读或查找不到，其责任由投标人承担。</w:t>
      </w:r>
    </w:p>
    <w:p w14:paraId="540F4D3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17.5货物的技术参数有具体数值要求的，且招标文件要求投标人提供响应产品彩页、检验检测报告、厂家使用说明书等证明材料，则投标人在技术参数响应表中须标注产品实际参数数值，照搬照抄招标文件参数、不注明实际数值者</w:t>
      </w:r>
      <w:r>
        <w:rPr>
          <w:rFonts w:hint="eastAsia" w:ascii="仿宋" w:hAnsi="仿宋" w:eastAsia="仿宋" w:cs="仿宋"/>
          <w:b/>
          <w:bCs w:val="0"/>
          <w:color w:val="auto"/>
          <w:sz w:val="24"/>
          <w:highlight w:val="none"/>
          <w:lang w:val="en-US" w:eastAsia="zh-CN"/>
        </w:rPr>
        <w:t>视为未响应</w:t>
      </w:r>
      <w:r>
        <w:rPr>
          <w:rFonts w:hint="eastAsia" w:ascii="仿宋" w:hAnsi="仿宋" w:eastAsia="仿宋" w:cs="仿宋"/>
          <w:bCs/>
          <w:color w:val="auto"/>
          <w:sz w:val="24"/>
          <w:highlight w:val="none"/>
          <w:lang w:val="en-US" w:eastAsia="zh-CN"/>
        </w:rPr>
        <w:t>。</w:t>
      </w:r>
    </w:p>
    <w:p w14:paraId="1061676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17.6开标一览表为在开标时唱标的内容，要求按格式统一填写，不得自行增减内容。</w:t>
      </w:r>
    </w:p>
    <w:p w14:paraId="4F5B2CD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17.7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按</w:t>
      </w:r>
      <w:r>
        <w:rPr>
          <w:rFonts w:hint="eastAsia" w:ascii="仿宋" w:hAnsi="仿宋" w:eastAsia="仿宋" w:cs="仿宋"/>
          <w:b/>
          <w:bCs w:val="0"/>
          <w:color w:val="auto"/>
          <w:sz w:val="24"/>
          <w:highlight w:val="none"/>
          <w:lang w:val="en-US" w:eastAsia="zh-CN"/>
        </w:rPr>
        <w:t>无效投标</w:t>
      </w:r>
      <w:r>
        <w:rPr>
          <w:rFonts w:hint="eastAsia" w:ascii="仿宋" w:hAnsi="仿宋" w:eastAsia="仿宋" w:cs="仿宋"/>
          <w:bCs/>
          <w:color w:val="auto"/>
          <w:sz w:val="24"/>
          <w:highlight w:val="none"/>
          <w:lang w:val="en-US" w:eastAsia="zh-CN"/>
        </w:rPr>
        <w:t>处理。</w:t>
      </w:r>
    </w:p>
    <w:p w14:paraId="004FA65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17.8投标人必须保证投标文件所提供的全部资料真实可靠，并接受采购人、采购代理机构或评标委员会对其中任何资料进一步审查的要求。</w:t>
      </w:r>
    </w:p>
    <w:p w14:paraId="40F1E3A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17.9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仿宋" w:hAnsi="仿宋" w:eastAsia="仿宋" w:cs="仿宋"/>
          <w:b/>
          <w:bCs w:val="0"/>
          <w:color w:val="auto"/>
          <w:sz w:val="24"/>
          <w:highlight w:val="none"/>
          <w:lang w:val="en-US" w:eastAsia="zh-CN"/>
        </w:rPr>
        <w:t>无效投标</w:t>
      </w:r>
      <w:r>
        <w:rPr>
          <w:rFonts w:hint="eastAsia" w:ascii="仿宋" w:hAnsi="仿宋" w:eastAsia="仿宋" w:cs="仿宋"/>
          <w:bCs/>
          <w:color w:val="auto"/>
          <w:sz w:val="24"/>
          <w:highlight w:val="none"/>
          <w:lang w:val="en-US" w:eastAsia="zh-CN"/>
        </w:rPr>
        <w:t>处理。</w:t>
      </w:r>
    </w:p>
    <w:p w14:paraId="5FAB7DF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17.10电子投标文件的编制</w:t>
      </w:r>
    </w:p>
    <w:p w14:paraId="3F88D96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17.10.1电子投标文件需按招标文件要求进行制作编制。投标文件制作时，不同内容按标签提示制作导入，按照招标文件中明确的投标文件目录和格式进行编制，保证目录清晰、内容完整；</w:t>
      </w:r>
    </w:p>
    <w:p w14:paraId="3B6DA7E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50F1F684">
      <w:pPr>
        <w:pStyle w:val="3"/>
        <w:spacing w:before="100" w:beforeAutospacing="1" w:after="100" w:afterAutospacing="1" w:line="400" w:lineRule="atLeast"/>
        <w:jc w:val="center"/>
        <w:rPr>
          <w:rFonts w:hint="eastAsia" w:ascii="仿宋" w:hAnsi="仿宋" w:eastAsia="仿宋" w:cs="仿宋"/>
          <w:b w:val="0"/>
          <w:bCs/>
          <w:color w:val="auto"/>
          <w:sz w:val="28"/>
          <w:szCs w:val="28"/>
          <w:highlight w:val="none"/>
        </w:rPr>
      </w:pPr>
      <w:bookmarkStart w:id="61" w:name="_Toc298240408"/>
      <w:bookmarkStart w:id="62" w:name="_Toc349637923"/>
      <w:bookmarkStart w:id="63" w:name="_Toc18619"/>
      <w:bookmarkStart w:id="64" w:name="_Toc349573124"/>
      <w:bookmarkStart w:id="65" w:name="_Toc267301285"/>
      <w:r>
        <w:rPr>
          <w:rFonts w:hint="eastAsia" w:ascii="仿宋" w:hAnsi="仿宋" w:eastAsia="仿宋" w:cs="仿宋"/>
          <w:b w:val="0"/>
          <w:bCs/>
          <w:color w:val="auto"/>
          <w:sz w:val="28"/>
          <w:szCs w:val="28"/>
          <w:highlight w:val="none"/>
        </w:rPr>
        <w:t>D  投标文件的递交</w:t>
      </w:r>
      <w:bookmarkEnd w:id="61"/>
      <w:bookmarkEnd w:id="62"/>
      <w:bookmarkEnd w:id="63"/>
      <w:bookmarkEnd w:id="64"/>
      <w:bookmarkEnd w:id="65"/>
    </w:p>
    <w:p w14:paraId="11C2E0B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18.投标保证金</w:t>
      </w:r>
    </w:p>
    <w:p w14:paraId="0825087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18.1投标人应按照招标文件“第二部分 投标人须知前附表 ”规定的金额及要求提交投标保证金。投标人自愿超额缴纳投标保证金的，投标文件不做无效处理。</w:t>
      </w:r>
    </w:p>
    <w:p w14:paraId="1BC04E0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18.2提交投标保证金可采用的形式：政府采购法律法规接受的支票、汇票、本票、网上银行支付或者金融机构、担保机构出具的保函等非现金形式。投标人未按照招标文件要求提交投标保证金的，其</w:t>
      </w:r>
      <w:r>
        <w:rPr>
          <w:rFonts w:hint="eastAsia" w:ascii="仿宋" w:hAnsi="仿宋" w:eastAsia="仿宋" w:cs="仿宋"/>
          <w:b/>
          <w:bCs w:val="0"/>
          <w:color w:val="auto"/>
          <w:sz w:val="24"/>
          <w:highlight w:val="none"/>
          <w:lang w:val="en-US" w:eastAsia="zh-CN"/>
        </w:rPr>
        <w:t>投标无效</w:t>
      </w:r>
      <w:r>
        <w:rPr>
          <w:rFonts w:hint="eastAsia" w:ascii="仿宋" w:hAnsi="仿宋" w:eastAsia="仿宋" w:cs="仿宋"/>
          <w:bCs/>
          <w:color w:val="auto"/>
          <w:sz w:val="24"/>
          <w:highlight w:val="none"/>
          <w:lang w:val="en-US" w:eastAsia="zh-CN"/>
        </w:rPr>
        <w:t>。投标保证金有效期同投标有效期。</w:t>
      </w:r>
    </w:p>
    <w:p w14:paraId="278BD57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00658CF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18.4投标人为联合体的，可以由联合体中的一方或者多方共同提交投标保证金，其提交的投标保证金对联合体各方均具有约束力。</w:t>
      </w:r>
    </w:p>
    <w:p w14:paraId="58795AC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未中标投标人的投标保证金应当自中标通知书发出之日起 5 个工作日内退还，中标投标人的投标保证金应当自采购合同签订之日起 5 个工作日内退还。</w:t>
      </w:r>
    </w:p>
    <w:p w14:paraId="68C7F17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18.6投标人在投标截止时间前撤回已提交的投标文件的，自收到投标人书面撤回通知之日起 5 个工作日内，退还已收取的投标保证金，但因投标人自身原因导致无法及时退还的除外。</w:t>
      </w:r>
    </w:p>
    <w:p w14:paraId="27E2F8A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18.7终止招标项目已经收取投标保证金的，自终止采购活动后 5 个工作日内退还已收取的投标保证金及其在银行产生的孳息。</w:t>
      </w:r>
    </w:p>
    <w:p w14:paraId="0214C68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18.8有下列情形之一的，采购人或采购代理机构可以不予退还投标保证金,情节严重的将其列入不良记录名单：</w:t>
      </w:r>
    </w:p>
    <w:p w14:paraId="76B3A0F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18.8.1开标后在投标有效期内，投标人撤销其投标的；</w:t>
      </w:r>
    </w:p>
    <w:p w14:paraId="4312EB5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18.8.2中标后无正当理由不与采购人签订合同的；</w:t>
      </w:r>
    </w:p>
    <w:p w14:paraId="2E678FF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18.8.3中标人与采购人订立背离合同实质性内容的其他协议；</w:t>
      </w:r>
    </w:p>
    <w:p w14:paraId="59C9E21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18.8.4将中标项目转让给他人，或者在投标文件中未说明，且未经采购人同意，将中标项目分包给他人的；</w:t>
      </w:r>
    </w:p>
    <w:p w14:paraId="2288546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18.8.5存在串通投标行为的；</w:t>
      </w:r>
    </w:p>
    <w:p w14:paraId="0C9DDBD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18.8.6存在弄虚作假或提供虚假材料谋取中标的；</w:t>
      </w:r>
    </w:p>
    <w:p w14:paraId="1B76FEE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18.8.7投标人其他未按招标文件规定和合同约定履行义务的行为。</w:t>
      </w:r>
    </w:p>
    <w:p w14:paraId="6592466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18.9如开标时投标人对本单位投标保证金缴纳情况有疑义，投标人应在开标结束前向采购人提交书面申请核实保证金缴纳情况。由银行或保险公司核实后出具书面材料予以答复。</w:t>
      </w:r>
    </w:p>
    <w:p w14:paraId="3743612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19.投标文件的加密</w:t>
      </w:r>
    </w:p>
    <w:p w14:paraId="640CEE3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19.1投标人在供应商客户端中生成投标文件并完成签章之后，使用CA证书在供应商客户端中对投标文件进行加密。</w:t>
      </w:r>
    </w:p>
    <w:p w14:paraId="6EC36EA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19.2投标人应在供应商客户端中对加密的投标文件进行解密验证，以防止投标文件加密异常，在开标时无法解密。</w:t>
      </w:r>
    </w:p>
    <w:p w14:paraId="34C3A4A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19.3投标人应保证加密投标文件的CA证书有效期在开标时间之前。若CA证书有效期临近开标时间，建议投标人提前办理CA证书续期，以免开标时无法进行解密。</w:t>
      </w:r>
    </w:p>
    <w:p w14:paraId="4B9B7287">
      <w:pPr>
        <w:spacing w:line="400" w:lineRule="atLeast"/>
        <w:ind w:left="480" w:hanging="480"/>
        <w:jc w:val="both"/>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19.4投标人在投标文件递交截止时间前通过新疆政府采购网（http://www.ccgp-xinjiang.gov.cn/）的 ”政采云登录入口 ”登录后，将加密电子投标文件（为. jmbs后缀格式）上传到对应项目的指定位置，投标人认为有必要提交的其他资料请于投标截止时间前一并提交。</w:t>
      </w:r>
    </w:p>
    <w:p w14:paraId="70F750D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19.5如果投标人未按上述要求加密并上传，采购代理机构对投标文件的误投、无法解密、传输错误等问题概不负责。对由此造成无法正常开启的投标文件，采购代理机构有权予以拒绝，并退回投标人。</w:t>
      </w:r>
    </w:p>
    <w:p w14:paraId="05A4E6C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19.6本项目采用不见面开标，无需提供电子投标文件U盘。</w:t>
      </w:r>
    </w:p>
    <w:p w14:paraId="0DC57FD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20.投标文件的递交（上传）</w:t>
      </w:r>
    </w:p>
    <w:p w14:paraId="10D5449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20.1投标人应在“第一部分 招标公告 ”规定的投标截止时间前递交（上传）投标文件。</w:t>
      </w:r>
    </w:p>
    <w:p w14:paraId="4DF305E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20.2投标人递交（上传）投标文件的地点见“第一部分 招标公告”。</w:t>
      </w:r>
    </w:p>
    <w:p w14:paraId="789DDD7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20.3投标人应充分评估集中同时投标带来的网络影响，尽量避开投标高峰时间，错峰进行电子投标。投标人递交全部的投标文件后可在政采云平台（项目采购—投标文件上传）中获取投标文件递交回执单。</w:t>
      </w:r>
    </w:p>
    <w:p w14:paraId="21CD060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20.4投标人应在供应商客户端中下载未加密且完成签章的投标文件妥善保存，以便启动应急开标程序时使用。</w:t>
      </w:r>
    </w:p>
    <w:p w14:paraId="7154E5C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20.5投标人所递交的投标文件不予退还。</w:t>
      </w:r>
    </w:p>
    <w:p w14:paraId="6FB875D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21.拒收</w:t>
      </w:r>
    </w:p>
    <w:p w14:paraId="6104FD7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21.1超过投标文件提交截止时间或者不按照本章要求加密的投标文件，交易系统应当拒收。</w:t>
      </w:r>
    </w:p>
    <w:p w14:paraId="1B1D4BF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22.投标文件的修改与撤回</w:t>
      </w:r>
    </w:p>
    <w:p w14:paraId="2777B0B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22.1投标人在“第一部分 招标公告 ”规定的投标文件递交截止时间之前，可在新疆政府采购电子交易云平台上随时撤回已上传的电子投标文件，将修改好的电子投标文件在投标文件递交截止时间前重新上传到新疆政府采购电子交易云平台的指定位置。</w:t>
      </w:r>
    </w:p>
    <w:p w14:paraId="711A2B29">
      <w:pPr>
        <w:pStyle w:val="3"/>
        <w:spacing w:before="100" w:beforeAutospacing="1" w:after="100" w:afterAutospacing="1" w:line="400" w:lineRule="atLeast"/>
        <w:jc w:val="center"/>
        <w:rPr>
          <w:rFonts w:hint="eastAsia" w:ascii="仿宋" w:hAnsi="仿宋" w:eastAsia="仿宋" w:cs="仿宋"/>
          <w:b w:val="0"/>
          <w:bCs/>
          <w:color w:val="auto"/>
          <w:sz w:val="28"/>
          <w:szCs w:val="28"/>
          <w:highlight w:val="none"/>
          <w:lang w:val="en-US" w:eastAsia="zh-CN"/>
        </w:rPr>
      </w:pPr>
      <w:bookmarkStart w:id="66" w:name="_Toc349637924"/>
      <w:bookmarkStart w:id="67" w:name="_Toc298240409"/>
      <w:bookmarkStart w:id="68" w:name="_Toc267301286"/>
      <w:bookmarkStart w:id="69" w:name="_Toc349573125"/>
      <w:bookmarkStart w:id="70" w:name="_Toc11963"/>
      <w:r>
        <w:rPr>
          <w:rFonts w:hint="eastAsia" w:ascii="仿宋" w:hAnsi="仿宋" w:eastAsia="仿宋" w:cs="仿宋"/>
          <w:b w:val="0"/>
          <w:bCs/>
          <w:color w:val="auto"/>
          <w:sz w:val="28"/>
          <w:szCs w:val="28"/>
          <w:highlight w:val="none"/>
        </w:rPr>
        <w:t xml:space="preserve">E  </w:t>
      </w:r>
      <w:bookmarkEnd w:id="66"/>
      <w:bookmarkEnd w:id="67"/>
      <w:bookmarkEnd w:id="68"/>
      <w:bookmarkEnd w:id="69"/>
      <w:r>
        <w:rPr>
          <w:rFonts w:hint="eastAsia" w:ascii="仿宋" w:hAnsi="仿宋" w:eastAsia="仿宋" w:cs="仿宋"/>
          <w:b w:val="0"/>
          <w:bCs/>
          <w:color w:val="auto"/>
          <w:sz w:val="28"/>
          <w:szCs w:val="28"/>
          <w:highlight w:val="none"/>
          <w:lang w:val="en-US" w:eastAsia="zh-CN"/>
        </w:rPr>
        <w:t>开标、评标</w:t>
      </w:r>
      <w:bookmarkEnd w:id="70"/>
    </w:p>
    <w:p w14:paraId="0266C73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23.开标会议</w:t>
      </w:r>
    </w:p>
    <w:p w14:paraId="201A5F8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23.1开标会按“第一部分 招标公告 ”规定的开标时间和地点准时举行，采购人、采购代理机构邀请所有投标人准时参加开标会。投标人应按照招标文件的要求参与不见面开标。</w:t>
      </w:r>
    </w:p>
    <w:p w14:paraId="3CDE0F7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23.2采购代理机构按照招标文件规定的时间、地点主持开标。采购人在规定的投标文件递交截止时间（开标时间）和地点进行不见面远程开标。投标人的法定代表人或其委托代理人无需到达开标现场，仅需在任意地点通过新疆政府采购电子交易云平台（网址：</w:t>
      </w:r>
      <w:r>
        <w:rPr>
          <w:rFonts w:hint="eastAsia" w:ascii="仿宋" w:hAnsi="仿宋" w:eastAsia="仿宋" w:cs="仿宋"/>
          <w:bCs/>
          <w:color w:val="auto"/>
          <w:sz w:val="24"/>
          <w:highlight w:val="none"/>
          <w:lang w:val="en-US" w:eastAsia="zh-CN"/>
        </w:rPr>
        <w:fldChar w:fldCharType="begin"/>
      </w:r>
      <w:r>
        <w:rPr>
          <w:rFonts w:hint="eastAsia" w:ascii="仿宋" w:hAnsi="仿宋" w:eastAsia="仿宋" w:cs="仿宋"/>
          <w:bCs/>
          <w:color w:val="auto"/>
          <w:sz w:val="24"/>
          <w:highlight w:val="none"/>
          <w:lang w:val="en-US" w:eastAsia="zh-CN"/>
        </w:rPr>
        <w:instrText xml:space="preserve"> HYPERLINK "https://www.zcygov.cn/" </w:instrText>
      </w:r>
      <w:r>
        <w:rPr>
          <w:rFonts w:hint="eastAsia" w:ascii="仿宋" w:hAnsi="仿宋" w:eastAsia="仿宋" w:cs="仿宋"/>
          <w:bCs/>
          <w:color w:val="auto"/>
          <w:sz w:val="24"/>
          <w:highlight w:val="none"/>
          <w:lang w:val="en-US" w:eastAsia="zh-CN"/>
        </w:rPr>
        <w:fldChar w:fldCharType="separate"/>
      </w:r>
      <w:r>
        <w:rPr>
          <w:rFonts w:hint="eastAsia" w:ascii="仿宋" w:hAnsi="仿宋" w:eastAsia="仿宋" w:cs="仿宋"/>
          <w:bCs/>
          <w:color w:val="auto"/>
          <w:sz w:val="24"/>
          <w:highlight w:val="none"/>
          <w:lang w:val="en-US" w:eastAsia="zh-CN"/>
        </w:rPr>
        <w:t>https://www.zcygov.cn/</w:t>
      </w:r>
      <w:r>
        <w:rPr>
          <w:rFonts w:hint="eastAsia" w:ascii="仿宋" w:hAnsi="仿宋" w:eastAsia="仿宋" w:cs="仿宋"/>
          <w:bCs/>
          <w:color w:val="auto"/>
          <w:sz w:val="24"/>
          <w:highlight w:val="none"/>
          <w:lang w:val="en-US" w:eastAsia="zh-CN"/>
        </w:rPr>
        <w:fldChar w:fldCharType="end"/>
      </w:r>
      <w:r>
        <w:rPr>
          <w:rFonts w:hint="eastAsia" w:ascii="仿宋" w:hAnsi="仿宋" w:eastAsia="仿宋" w:cs="仿宋"/>
          <w:bCs/>
          <w:color w:val="auto"/>
          <w:sz w:val="24"/>
          <w:highlight w:val="none"/>
          <w:lang w:val="en-US" w:eastAsia="zh-CN"/>
        </w:rPr>
        <w:t>）的“政采云登录入口”登录后，进入“政采云远程开标大厅”参加开标会议，并使用CA 密钥完成远程解密、提疑澄清、开标唱标、结果公布等交互环节。</w:t>
      </w:r>
    </w:p>
    <w:p w14:paraId="1DC3E0F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23.3开标过程将宣布投标人名称、投标价格和招标文件规定的需要宣布的其他内容并进行记录，并由参加开标的各投标人确认。投标人未在规定时间内提出疑义或确认一览表的，视同认可开标结果。</w:t>
      </w:r>
    </w:p>
    <w:p w14:paraId="76CB171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24.开标程序</w:t>
      </w:r>
    </w:p>
    <w:p w14:paraId="3CDC44A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24.1投标人不足 3 家的，不得开标。</w:t>
      </w:r>
    </w:p>
    <w:p w14:paraId="29B96BE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24.2评标委员会成员不得参加开标活动。</w:t>
      </w:r>
    </w:p>
    <w:p w14:paraId="5736881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24.3主持人按下列程序进行开标：</w:t>
      </w:r>
    </w:p>
    <w:p w14:paraId="5B8E6DC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（1）宣布开标会纪律；</w:t>
      </w:r>
    </w:p>
    <w:p w14:paraId="7E0DF61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（2）介绍参加开标会的单位和人员；</w:t>
      </w:r>
    </w:p>
    <w:p w14:paraId="6477B06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（3）发起投标文件解密。投标人应在“投标人须知前附表”规定的时间内使用加密投标文件的CA证书在系统中完成投标文件的解密；</w:t>
      </w:r>
    </w:p>
    <w:p w14:paraId="7FFC481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（4）解密完成后，系统自动显示投标人名称、投标价格和招标文件规定的需要宣布的其他内容；</w:t>
      </w:r>
    </w:p>
    <w:p w14:paraId="4BC390E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（5）系统自动生成开标记录表，投标人应在线对开标记录进行签署确认；</w:t>
      </w:r>
    </w:p>
    <w:p w14:paraId="6A673A6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（6）开标会结束。</w:t>
      </w:r>
    </w:p>
    <w:p w14:paraId="7250458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25.开标疑义及回避情形</w:t>
      </w:r>
    </w:p>
    <w:p w14:paraId="63EDE27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25.1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266FE3D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25.2 投标人未参加开标的，视同认可开标结果。</w:t>
      </w:r>
    </w:p>
    <w:p w14:paraId="18ACF7A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26.资格审查及审查主体</w:t>
      </w:r>
    </w:p>
    <w:p w14:paraId="68F340C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26.1开标结束后，采购人或者采购代理机构应当依法对投标人的资格进行审查。</w:t>
      </w:r>
    </w:p>
    <w:p w14:paraId="64E6ABC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26.2资格审查结束后，应及时对资格审查结果进行复核，对资格审查错误进行及时纠正并记录。</w:t>
      </w:r>
    </w:p>
    <w:p w14:paraId="0CE357A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26.3资格审查合格投标人不足 3 家的，不得评标。</w:t>
      </w:r>
    </w:p>
    <w:tbl>
      <w:tblPr>
        <w:tblStyle w:val="3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036"/>
        <w:gridCol w:w="6482"/>
      </w:tblGrid>
      <w:tr w14:paraId="1706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9080" w:type="dxa"/>
            <w:gridSpan w:val="3"/>
            <w:noWrap w:val="0"/>
            <w:vAlign w:val="center"/>
          </w:tcPr>
          <w:p w14:paraId="0826F7C5">
            <w:pPr>
              <w:pStyle w:val="5"/>
              <w:ind w:left="0" w:leftChars="0" w:firstLine="0" w:firstLineChars="0"/>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资格审查表</w:t>
            </w:r>
          </w:p>
        </w:tc>
      </w:tr>
      <w:tr w14:paraId="485E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98" w:type="dxa"/>
            <w:gridSpan w:val="2"/>
            <w:vMerge w:val="restart"/>
            <w:noWrap w:val="0"/>
            <w:vAlign w:val="center"/>
          </w:tcPr>
          <w:p w14:paraId="500951E6">
            <w:pPr>
              <w:pStyle w:val="5"/>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审查内容</w:t>
            </w:r>
          </w:p>
        </w:tc>
        <w:tc>
          <w:tcPr>
            <w:tcW w:w="6482" w:type="dxa"/>
            <w:vMerge w:val="restart"/>
            <w:noWrap w:val="0"/>
            <w:vAlign w:val="center"/>
          </w:tcPr>
          <w:p w14:paraId="625BFFBD">
            <w:pPr>
              <w:pStyle w:val="5"/>
              <w:ind w:left="0" w:leftChars="0" w:firstLine="0" w:firstLineChars="0"/>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审查标准</w:t>
            </w:r>
          </w:p>
        </w:tc>
      </w:tr>
      <w:tr w14:paraId="5671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98" w:type="dxa"/>
            <w:gridSpan w:val="2"/>
            <w:vMerge w:val="continue"/>
            <w:noWrap w:val="0"/>
            <w:vAlign w:val="center"/>
          </w:tcPr>
          <w:p w14:paraId="2436A120">
            <w:pPr>
              <w:pStyle w:val="5"/>
              <w:jc w:val="both"/>
              <w:rPr>
                <w:rFonts w:hint="eastAsia" w:ascii="仿宋" w:hAnsi="仿宋" w:eastAsia="仿宋" w:cs="仿宋"/>
                <w:bCs/>
                <w:color w:val="auto"/>
                <w:sz w:val="24"/>
                <w:highlight w:val="none"/>
                <w:vertAlign w:val="baseline"/>
              </w:rPr>
            </w:pPr>
          </w:p>
        </w:tc>
        <w:tc>
          <w:tcPr>
            <w:tcW w:w="6482" w:type="dxa"/>
            <w:vMerge w:val="continue"/>
            <w:noWrap w:val="0"/>
            <w:vAlign w:val="center"/>
          </w:tcPr>
          <w:p w14:paraId="3BE7099E">
            <w:pPr>
              <w:pStyle w:val="5"/>
              <w:jc w:val="both"/>
              <w:rPr>
                <w:rFonts w:hint="eastAsia" w:ascii="仿宋" w:hAnsi="仿宋" w:eastAsia="仿宋" w:cs="仿宋"/>
                <w:bCs/>
                <w:color w:val="auto"/>
                <w:sz w:val="24"/>
                <w:highlight w:val="none"/>
                <w:vertAlign w:val="baseline"/>
              </w:rPr>
            </w:pPr>
          </w:p>
        </w:tc>
      </w:tr>
      <w:tr w14:paraId="3CC1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2" w:type="dxa"/>
            <w:noWrap w:val="0"/>
            <w:vAlign w:val="center"/>
          </w:tcPr>
          <w:p w14:paraId="3C1B376E">
            <w:pPr>
              <w:pStyle w:val="5"/>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w:t>
            </w:r>
          </w:p>
        </w:tc>
        <w:tc>
          <w:tcPr>
            <w:tcW w:w="2036" w:type="dxa"/>
            <w:noWrap w:val="0"/>
            <w:vAlign w:val="center"/>
          </w:tcPr>
          <w:p w14:paraId="630AF7A9">
            <w:pPr>
              <w:pStyle w:val="5"/>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具</w:t>
            </w:r>
            <w:r>
              <w:rPr>
                <w:rFonts w:hint="eastAsia" w:ascii="仿宋" w:hAnsi="仿宋" w:eastAsia="仿宋" w:cs="仿宋"/>
                <w:bCs/>
                <w:color w:val="auto"/>
                <w:sz w:val="24"/>
                <w:highlight w:val="none"/>
              </w:rPr>
              <w:t>有独立承担民事责任的能力</w:t>
            </w:r>
          </w:p>
        </w:tc>
        <w:tc>
          <w:tcPr>
            <w:tcW w:w="6482" w:type="dxa"/>
            <w:noWrap w:val="0"/>
            <w:vAlign w:val="center"/>
          </w:tcPr>
          <w:p w14:paraId="280440FA">
            <w:pPr>
              <w:pStyle w:val="5"/>
              <w:ind w:left="0" w:leftChars="0" w:firstLine="0" w:firstLineChars="0"/>
              <w:jc w:val="both"/>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提供法人营业执照或事业单位法人证书或民办非企业单位登记证书或个体工商户营业执照或其他组织的执业许可证副本扫描件；供应商为自然人的提供身份证明扫描件。</w:t>
            </w:r>
          </w:p>
        </w:tc>
      </w:tr>
      <w:tr w14:paraId="0ECE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62" w:type="dxa"/>
            <w:noWrap w:val="0"/>
            <w:vAlign w:val="center"/>
          </w:tcPr>
          <w:p w14:paraId="2A8BA1D9">
            <w:pPr>
              <w:pStyle w:val="5"/>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2036" w:type="dxa"/>
            <w:noWrap w:val="0"/>
            <w:vAlign w:val="center"/>
          </w:tcPr>
          <w:p w14:paraId="553D1C75">
            <w:pPr>
              <w:pStyle w:val="5"/>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具有良好的商业信誉和健全的财务会计制度</w:t>
            </w:r>
          </w:p>
        </w:tc>
        <w:tc>
          <w:tcPr>
            <w:tcW w:w="6482" w:type="dxa"/>
            <w:noWrap w:val="0"/>
            <w:vAlign w:val="center"/>
          </w:tcPr>
          <w:p w14:paraId="2693A862">
            <w:pPr>
              <w:pStyle w:val="5"/>
              <w:ind w:left="0" w:leftChars="0" w:firstLine="0" w:firstLineChars="0"/>
              <w:jc w:val="both"/>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六个月内出具的资信证明扫描件（银行出具的存款证明不能替代银行资信证明）</w:t>
            </w:r>
            <w:r>
              <w:rPr>
                <w:rFonts w:hint="eastAsia" w:ascii="仿宋" w:hAnsi="仿宋" w:eastAsia="仿宋" w:cs="仿宋"/>
                <w:bCs/>
                <w:color w:val="auto"/>
                <w:sz w:val="24"/>
                <w:highlight w:val="none"/>
                <w:lang w:eastAsia="zh-CN"/>
              </w:rPr>
              <w:t>。</w:t>
            </w:r>
          </w:p>
        </w:tc>
      </w:tr>
      <w:tr w14:paraId="2D63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562" w:type="dxa"/>
            <w:noWrap w:val="0"/>
            <w:vAlign w:val="center"/>
          </w:tcPr>
          <w:p w14:paraId="25E41097">
            <w:pPr>
              <w:pStyle w:val="5"/>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2036" w:type="dxa"/>
            <w:noWrap w:val="0"/>
            <w:vAlign w:val="center"/>
          </w:tcPr>
          <w:p w14:paraId="5C4490A5">
            <w:pPr>
              <w:pStyle w:val="5"/>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具有履行合同所必需的设备和专业技术能力</w:t>
            </w:r>
          </w:p>
        </w:tc>
        <w:tc>
          <w:tcPr>
            <w:tcW w:w="6482" w:type="dxa"/>
            <w:noWrap w:val="0"/>
            <w:vAlign w:val="center"/>
          </w:tcPr>
          <w:p w14:paraId="0C06300A">
            <w:pPr>
              <w:pStyle w:val="5"/>
              <w:ind w:left="0" w:leftChars="0" w:firstLine="0" w:firstLineChars="0"/>
              <w:jc w:val="both"/>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提供具备履行合同所必需的设备和专业技术能力的承诺函。</w:t>
            </w:r>
          </w:p>
        </w:tc>
      </w:tr>
      <w:tr w14:paraId="3233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62" w:type="dxa"/>
            <w:noWrap w:val="0"/>
            <w:vAlign w:val="center"/>
          </w:tcPr>
          <w:p w14:paraId="70634D04">
            <w:pPr>
              <w:pStyle w:val="5"/>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2036" w:type="dxa"/>
            <w:noWrap w:val="0"/>
            <w:vAlign w:val="center"/>
          </w:tcPr>
          <w:p w14:paraId="3FED4A14">
            <w:pPr>
              <w:pStyle w:val="5"/>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有依法缴纳税收和社会保障资金的良好记录</w:t>
            </w:r>
          </w:p>
        </w:tc>
        <w:tc>
          <w:tcPr>
            <w:tcW w:w="6482" w:type="dxa"/>
            <w:noWrap w:val="0"/>
            <w:vAlign w:val="center"/>
          </w:tcPr>
          <w:p w14:paraId="4D1AB2CC">
            <w:pPr>
              <w:pStyle w:val="5"/>
              <w:numPr>
                <w:ilvl w:val="0"/>
                <w:numId w:val="3"/>
              </w:numPr>
              <w:ind w:left="425" w:leftChars="0" w:hanging="425"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提供投标截止日前一年内任一月份的缴税凭据或完税证明等扫描件；依法免税的，应提供相应文件（扫描件）证明其依法免税。</w:t>
            </w:r>
          </w:p>
          <w:p w14:paraId="4C3AD6DC">
            <w:pPr>
              <w:pStyle w:val="5"/>
              <w:numPr>
                <w:ilvl w:val="0"/>
                <w:numId w:val="3"/>
              </w:numPr>
              <w:ind w:left="425" w:leftChars="0" w:hanging="425" w:firstLineChars="0"/>
              <w:jc w:val="both"/>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提供投标截止日前一年内任意一个月社保缴纳的证明材料（注：缴纳的银行电子回单或社保部门出具的相关证明材料)。</w:t>
            </w:r>
          </w:p>
        </w:tc>
      </w:tr>
      <w:tr w14:paraId="220A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562" w:type="dxa"/>
            <w:noWrap w:val="0"/>
            <w:vAlign w:val="center"/>
          </w:tcPr>
          <w:p w14:paraId="2C31F21F">
            <w:pPr>
              <w:pStyle w:val="5"/>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2036" w:type="dxa"/>
            <w:noWrap w:val="0"/>
            <w:vAlign w:val="center"/>
          </w:tcPr>
          <w:p w14:paraId="7110DBE3">
            <w:pPr>
              <w:pStyle w:val="5"/>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参加政府采购活动前三年内，在经营活动中没有重大违法记录</w:t>
            </w:r>
          </w:p>
        </w:tc>
        <w:tc>
          <w:tcPr>
            <w:tcW w:w="6482" w:type="dxa"/>
            <w:noWrap w:val="0"/>
            <w:vAlign w:val="center"/>
          </w:tcPr>
          <w:p w14:paraId="4C3589B0">
            <w:pPr>
              <w:pStyle w:val="5"/>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eastAsia="zh-CN"/>
              </w:rPr>
              <w:t>提供《三年内在经营活动中没有重大违法记录的声明》。</w:t>
            </w:r>
          </w:p>
        </w:tc>
      </w:tr>
      <w:tr w14:paraId="0D24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562" w:type="dxa"/>
            <w:noWrap w:val="0"/>
            <w:vAlign w:val="center"/>
          </w:tcPr>
          <w:p w14:paraId="663E95B7">
            <w:pPr>
              <w:pStyle w:val="5"/>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w:t>
            </w:r>
          </w:p>
        </w:tc>
        <w:tc>
          <w:tcPr>
            <w:tcW w:w="2036" w:type="dxa"/>
            <w:shd w:val="clear" w:color="auto" w:fill="auto"/>
            <w:noWrap w:val="0"/>
            <w:vAlign w:val="center"/>
          </w:tcPr>
          <w:p w14:paraId="369D58C1">
            <w:pPr>
              <w:pStyle w:val="5"/>
              <w:ind w:left="0" w:leftChars="0" w:firstLine="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其他要求</w:t>
            </w:r>
          </w:p>
        </w:tc>
        <w:tc>
          <w:tcPr>
            <w:tcW w:w="6482" w:type="dxa"/>
            <w:shd w:val="clear" w:color="auto" w:fill="auto"/>
            <w:noWrap w:val="0"/>
            <w:vAlign w:val="center"/>
          </w:tcPr>
          <w:p w14:paraId="70B7DFC1">
            <w:pPr>
              <w:pStyle w:val="5"/>
              <w:ind w:left="0" w:leftChars="0"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投标保证金缴纳证明材料（收据或汇款凭证等）</w:t>
            </w:r>
          </w:p>
        </w:tc>
      </w:tr>
      <w:tr w14:paraId="0D98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62" w:type="dxa"/>
            <w:noWrap w:val="0"/>
            <w:vAlign w:val="center"/>
          </w:tcPr>
          <w:p w14:paraId="6681E91E">
            <w:pPr>
              <w:pStyle w:val="5"/>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7</w:t>
            </w:r>
          </w:p>
        </w:tc>
        <w:tc>
          <w:tcPr>
            <w:tcW w:w="2036" w:type="dxa"/>
            <w:shd w:val="clear" w:color="auto" w:fill="auto"/>
            <w:noWrap w:val="0"/>
            <w:vAlign w:val="center"/>
          </w:tcPr>
          <w:p w14:paraId="313D8A91">
            <w:pPr>
              <w:pStyle w:val="5"/>
              <w:ind w:left="0" w:leftChars="0" w:firstLine="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其他要求</w:t>
            </w:r>
          </w:p>
        </w:tc>
        <w:tc>
          <w:tcPr>
            <w:tcW w:w="6482" w:type="dxa"/>
            <w:shd w:val="clear" w:color="auto" w:fill="auto"/>
            <w:noWrap w:val="0"/>
            <w:vAlign w:val="center"/>
          </w:tcPr>
          <w:p w14:paraId="5827A61B">
            <w:pPr>
              <w:pStyle w:val="5"/>
              <w:ind w:left="0" w:leftChars="0"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要求的其他资格要求</w:t>
            </w:r>
          </w:p>
        </w:tc>
      </w:tr>
      <w:tr w14:paraId="5393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62" w:type="dxa"/>
            <w:noWrap w:val="0"/>
            <w:vAlign w:val="center"/>
          </w:tcPr>
          <w:p w14:paraId="18D73E4E">
            <w:pPr>
              <w:pStyle w:val="5"/>
              <w:ind w:left="0" w:leftChars="0" w:firstLine="0" w:firstLineChars="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w:t>
            </w:r>
          </w:p>
        </w:tc>
        <w:tc>
          <w:tcPr>
            <w:tcW w:w="2036" w:type="dxa"/>
            <w:shd w:val="clear" w:color="auto" w:fill="auto"/>
            <w:noWrap w:val="0"/>
            <w:vAlign w:val="center"/>
          </w:tcPr>
          <w:p w14:paraId="6C34A11B">
            <w:pPr>
              <w:pStyle w:val="5"/>
              <w:ind w:left="0" w:leftChars="0" w:firstLine="0" w:firstLineChars="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落实政府采购政策</w:t>
            </w:r>
          </w:p>
        </w:tc>
        <w:tc>
          <w:tcPr>
            <w:tcW w:w="6482" w:type="dxa"/>
            <w:shd w:val="clear" w:color="auto" w:fill="auto"/>
            <w:noWrap w:val="0"/>
            <w:vAlign w:val="center"/>
          </w:tcPr>
          <w:p w14:paraId="4D763DF8">
            <w:pPr>
              <w:pStyle w:val="5"/>
              <w:ind w:left="0" w:leftChars="0" w:firstLine="0" w:firstLineChars="0"/>
              <w:jc w:val="both"/>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按要求提供《中小企业声明函》</w:t>
            </w:r>
          </w:p>
        </w:tc>
      </w:tr>
    </w:tbl>
    <w:p w14:paraId="332B85F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26.4其他资格要求</w:t>
      </w:r>
    </w:p>
    <w:p w14:paraId="26F1590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26.4.1法定代表人或单位负责人为同一人或者存在直接控股、管理关系的不同供应商，不得参加同一合同项下的政府采购活动。</w:t>
      </w:r>
    </w:p>
    <w:p w14:paraId="4A7565C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26.4.2除单一来源采购项目外，为采购项目提供整体设计、规范编制或者项目管理、监理、检测等服务的供应商，不得再参加该采购项目的其他采购活动。</w:t>
      </w:r>
    </w:p>
    <w:p w14:paraId="200AC2F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26.4.3供应商的信用行为：在资格审查阶段经查询，未被列入“失信被执行人”、“重大税收违法失信主体”、“政府采购严重违法失信行为记录名单”其中之一。如有以上不良信用记录之一的，其</w:t>
      </w:r>
      <w:r>
        <w:rPr>
          <w:rFonts w:hint="eastAsia" w:ascii="仿宋" w:hAnsi="仿宋" w:eastAsia="仿宋" w:cs="仿宋"/>
          <w:b/>
          <w:bCs w:val="0"/>
          <w:color w:val="auto"/>
          <w:sz w:val="24"/>
          <w:highlight w:val="none"/>
          <w:lang w:val="en-US" w:eastAsia="zh-CN"/>
        </w:rPr>
        <w:t>投标无效</w:t>
      </w:r>
      <w:r>
        <w:rPr>
          <w:rFonts w:hint="eastAsia" w:ascii="仿宋" w:hAnsi="仿宋" w:eastAsia="仿宋" w:cs="仿宋"/>
          <w:bCs/>
          <w:color w:val="auto"/>
          <w:sz w:val="24"/>
          <w:highlight w:val="none"/>
          <w:lang w:val="en-US" w:eastAsia="zh-CN"/>
        </w:rPr>
        <w:t>。</w:t>
      </w:r>
    </w:p>
    <w:p w14:paraId="657D703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26.5信用信息查询</w:t>
      </w:r>
    </w:p>
    <w:p w14:paraId="06B6920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26.5.1信用信息的使用规则：经查询列入失信被执行人名单、重大税收违法案件当事人名单、政府采购严重违法失信行为记录名单的投标人将被拒绝参与政府采购活动。</w:t>
      </w:r>
    </w:p>
    <w:p w14:paraId="07B4BA7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26.5.2联合体信用信息查询：两个以上的自然人、法人或者其他组织组成一个联合体，以一个供应商的身份共同参加政府采购活动的，应当对所有联合体成员进行信用记录查询，联合体成员存在不良信用记录的，视同联合体。</w:t>
      </w:r>
    </w:p>
    <w:p w14:paraId="74CA9C9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26.5.3信用信息查询渠道及截止时间：采购机构将通过“信用中国”网站(www.creditchina.gov.cn)、中国政府采购网(www.ccgp.gov.cn)渠道查询投标人投标截止时间当天的信用记录。</w:t>
      </w:r>
    </w:p>
    <w:p w14:paraId="562FAFA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26.5.4信用信息查询记录和证据留存的具体方式：现场查询的投标人的信用记录、查询结果经确认后将与采购文件一起存档。存在不良信用记录。</w:t>
      </w:r>
    </w:p>
    <w:p w14:paraId="3373B9C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27评标委员会</w:t>
      </w:r>
    </w:p>
    <w:p w14:paraId="45A14AE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27.1评标由采购人依法组建的评标委员会负责。评标委员会由采购人代表和评审专家组成，成员人数应当为5人以上单数，其中评审专家不得少于成员总数的三分之二。采购人或者采购代理机构应当从省级以上财政部门设立的政府采购评审专家库中，通过随机方式抽取评审专家。</w:t>
      </w:r>
    </w:p>
    <w:p w14:paraId="567F0E0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27.2采购项目符合下列情形之一的，评标委员会成员人数应当为7人以上单数：</w:t>
      </w:r>
    </w:p>
    <w:p w14:paraId="6F8DDFC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（1）采购预算金额在1000万元以上；</w:t>
      </w:r>
    </w:p>
    <w:p w14:paraId="0028250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（2）技术复杂；</w:t>
      </w:r>
    </w:p>
    <w:p w14:paraId="46137F4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（3）社会影响较大。</w:t>
      </w:r>
    </w:p>
    <w:p w14:paraId="6517CA0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27.3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19A92B8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27.4评标委员会成员名单在评标结果公告前应当保密。</w:t>
      </w:r>
    </w:p>
    <w:p w14:paraId="5897E9B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27.5评标中因评标委员会成员缺席、回避或者健康等特殊原因导致评标委员会组成不符合本办法规定的，采购人或者采购代理机构应当依法补足后继续评标。被更换的评标委员会成员所作出的评标意见无效。</w:t>
      </w:r>
    </w:p>
    <w:p w14:paraId="5841BD7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27.6无法及时补足评标委员会成员的，采购人或者采购代理机构应当停止评标活动，封存所有投标文件和开标、评标资料，依法重新组建评标委员会进行评标。原评标委员会所作出的评标意见无效。</w:t>
      </w:r>
    </w:p>
    <w:p w14:paraId="3ACCF85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27.7评标委员会成员有下列情形之一的，应当回避：</w:t>
      </w:r>
    </w:p>
    <w:p w14:paraId="3097560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（1）参加采购活动前 3 年内与投标人存在劳动关系；</w:t>
      </w:r>
    </w:p>
    <w:p w14:paraId="2224C82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（2）参加采购活动前 3 年内担任投标人的董事、监事；</w:t>
      </w:r>
    </w:p>
    <w:p w14:paraId="4CD82C6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（3）参加采购活动前 3 年内是投标人的控股股东或实际控制人；</w:t>
      </w:r>
    </w:p>
    <w:p w14:paraId="3BE3554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（4）与投标人的法定代表人或者负责人有夫妻、直系血亲、三代以内旁系血亲或者近姻亲关系；</w:t>
      </w:r>
    </w:p>
    <w:p w14:paraId="6195CAB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（5）与投标人有其他可能影响采购活动公平、公正进行的关系。</w:t>
      </w:r>
    </w:p>
    <w:p w14:paraId="3A957A9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28.评标方法及标准：</w:t>
      </w:r>
    </w:p>
    <w:p w14:paraId="5B46270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根据《中华人民共和国政府采购法》及其实施条例、《政府采购货物和服务招标投标管理办法》及相关法律法规确定以下评标方法及标准。</w:t>
      </w:r>
    </w:p>
    <w:p w14:paraId="1AA4549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28.1评标方法：本项目采用综合评分法。综合评分法，是指投标文件满足招标文件全部实质性要求，且按照评审因素的量化指标评审得分最高的投标人为中标候选人的评标方法。</w:t>
      </w:r>
    </w:p>
    <w:p w14:paraId="6ACBA81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29.评标程序</w:t>
      </w:r>
    </w:p>
    <w:p w14:paraId="33E84282">
      <w:pPr>
        <w:spacing w:line="400" w:lineRule="atLeast"/>
        <w:ind w:left="480" w:hanging="480"/>
        <w:rPr>
          <w:rFonts w:hint="eastAsia" w:ascii="仿宋" w:hAnsi="仿宋" w:eastAsia="仿宋" w:cs="仿宋"/>
          <w:bCs/>
          <w:color w:val="auto"/>
          <w:sz w:val="24"/>
          <w:highlight w:val="none"/>
          <w:lang w:val="en-US" w:eastAsia="zh-CN"/>
        </w:rPr>
      </w:pPr>
      <w:bookmarkStart w:id="71" w:name="_Toc581"/>
      <w:r>
        <w:rPr>
          <w:rFonts w:hint="eastAsia" w:ascii="仿宋" w:hAnsi="仿宋" w:eastAsia="仿宋" w:cs="仿宋"/>
          <w:bCs/>
          <w:color w:val="auto"/>
          <w:sz w:val="24"/>
          <w:highlight w:val="none"/>
          <w:lang w:val="en-US" w:eastAsia="zh-CN"/>
        </w:rPr>
        <w:t>29.1符合性审查</w:t>
      </w:r>
      <w:bookmarkEnd w:id="71"/>
    </w:p>
    <w:p w14:paraId="37FB91D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评标委员会应当对通过资格审查的投标人的投标文件进行符合性审查，以确定其是否满足招标文件的实质性要求。投标人必须通过符合性审查的全部评审指标，不满足招标文件的实质性要求的，其投标无效。通过符合性审查的有效供应商不足3家的应当终止采购活动，发布项目终止公告并说明原因，重新开展采购活动。</w:t>
      </w:r>
    </w:p>
    <w:tbl>
      <w:tblPr>
        <w:tblStyle w:val="162"/>
        <w:tblpPr w:leftFromText="180" w:rightFromText="180" w:vertAnchor="text" w:horzAnchor="page" w:tblpXSpec="center" w:tblpY="491"/>
        <w:tblOverlap w:val="never"/>
        <w:tblW w:w="91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825"/>
        <w:gridCol w:w="5160"/>
        <w:gridCol w:w="637"/>
        <w:gridCol w:w="809"/>
      </w:tblGrid>
      <w:tr w14:paraId="4DB23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46" w:type="dxa"/>
            <w:vMerge w:val="restart"/>
            <w:shd w:val="clear" w:color="auto" w:fill="D8D8D8"/>
            <w:vAlign w:val="center"/>
          </w:tcPr>
          <w:p w14:paraId="7024A7BF">
            <w:pPr>
              <w:keepNext w:val="0"/>
              <w:keepLines w:val="0"/>
              <w:pageBreakBefore w:val="0"/>
              <w:widowControl/>
              <w:kinsoku w:val="0"/>
              <w:wordWrap/>
              <w:overflowPunct/>
              <w:topLinePunct w:val="0"/>
              <w:autoSpaceDE w:val="0"/>
              <w:autoSpaceDN w:val="0"/>
              <w:bidi w:val="0"/>
              <w:adjustRightInd w:val="0"/>
              <w:snapToGrid w:val="0"/>
              <w:spacing w:line="298" w:lineRule="auto"/>
              <w:ind w:right="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825" w:type="dxa"/>
            <w:vMerge w:val="restart"/>
            <w:tcBorders>
              <w:bottom w:val="nil"/>
            </w:tcBorders>
            <w:shd w:val="clear" w:color="auto" w:fill="D8D8D8"/>
            <w:vAlign w:val="center"/>
          </w:tcPr>
          <w:p w14:paraId="66D10755">
            <w:pPr>
              <w:keepNext w:val="0"/>
              <w:keepLines w:val="0"/>
              <w:pageBreakBefore w:val="0"/>
              <w:widowControl/>
              <w:kinsoku w:val="0"/>
              <w:wordWrap/>
              <w:overflowPunct/>
              <w:topLinePunct w:val="0"/>
              <w:autoSpaceDE w:val="0"/>
              <w:autoSpaceDN w:val="0"/>
              <w:bidi w:val="0"/>
              <w:adjustRightInd w:val="0"/>
              <w:snapToGrid w:val="0"/>
              <w:spacing w:line="29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审查项名称</w:t>
            </w:r>
          </w:p>
        </w:tc>
        <w:tc>
          <w:tcPr>
            <w:tcW w:w="5160" w:type="dxa"/>
            <w:vMerge w:val="restart"/>
            <w:tcBorders>
              <w:bottom w:val="nil"/>
            </w:tcBorders>
            <w:shd w:val="clear" w:color="auto" w:fill="D8D8D8"/>
            <w:vAlign w:val="center"/>
          </w:tcPr>
          <w:p w14:paraId="44266840">
            <w:pPr>
              <w:keepNext w:val="0"/>
              <w:keepLines w:val="0"/>
              <w:pageBreakBefore w:val="0"/>
              <w:widowControl/>
              <w:kinsoku w:val="0"/>
              <w:wordWrap/>
              <w:overflowPunct/>
              <w:topLinePunct w:val="0"/>
              <w:autoSpaceDE w:val="0"/>
              <w:autoSpaceDN w:val="0"/>
              <w:bidi w:val="0"/>
              <w:adjustRightInd w:val="0"/>
              <w:snapToGrid w:val="0"/>
              <w:spacing w:line="29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审查内容</w:t>
            </w:r>
          </w:p>
        </w:tc>
        <w:tc>
          <w:tcPr>
            <w:tcW w:w="1446" w:type="dxa"/>
            <w:gridSpan w:val="2"/>
            <w:shd w:val="clear" w:color="auto" w:fill="D8D8D8"/>
            <w:vAlign w:val="center"/>
          </w:tcPr>
          <w:p w14:paraId="226A8137">
            <w:pPr>
              <w:pStyle w:val="163"/>
              <w:keepNext w:val="0"/>
              <w:keepLines w:val="0"/>
              <w:pageBreakBefore w:val="0"/>
              <w:widowControl/>
              <w:kinsoku w:val="0"/>
              <w:wordWrap/>
              <w:overflowPunct/>
              <w:topLinePunct w:val="0"/>
              <w:autoSpaceDE w:val="0"/>
              <w:autoSpaceDN w:val="0"/>
              <w:bidi w:val="0"/>
              <w:adjustRightInd w:val="0"/>
              <w:snapToGrid w:val="0"/>
              <w:spacing w:before="113"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审查结果</w:t>
            </w:r>
          </w:p>
        </w:tc>
      </w:tr>
      <w:tr w14:paraId="16FF0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746" w:type="dxa"/>
            <w:vMerge w:val="continue"/>
            <w:vAlign w:val="center"/>
          </w:tcPr>
          <w:p w14:paraId="100D0BD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825" w:type="dxa"/>
            <w:vMerge w:val="continue"/>
            <w:tcBorders>
              <w:top w:val="nil"/>
            </w:tcBorders>
            <w:vAlign w:val="center"/>
          </w:tcPr>
          <w:p w14:paraId="5B00A30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5160" w:type="dxa"/>
            <w:vMerge w:val="continue"/>
            <w:tcBorders>
              <w:top w:val="nil"/>
            </w:tcBorders>
            <w:vAlign w:val="center"/>
          </w:tcPr>
          <w:p w14:paraId="3F369C8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637" w:type="dxa"/>
            <w:shd w:val="clear" w:color="auto" w:fill="D8D8D8"/>
            <w:vAlign w:val="center"/>
          </w:tcPr>
          <w:p w14:paraId="5D74E624">
            <w:pPr>
              <w:pStyle w:val="163"/>
              <w:keepNext w:val="0"/>
              <w:keepLines w:val="0"/>
              <w:pageBreakBefore w:val="0"/>
              <w:widowControl/>
              <w:kinsoku w:val="0"/>
              <w:wordWrap/>
              <w:overflowPunct/>
              <w:topLinePunct w:val="0"/>
              <w:autoSpaceDE w:val="0"/>
              <w:autoSpaceDN w:val="0"/>
              <w:bidi w:val="0"/>
              <w:adjustRightInd w:val="0"/>
              <w:snapToGrid w:val="0"/>
              <w:spacing w:before="146"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符合</w:t>
            </w:r>
          </w:p>
        </w:tc>
        <w:tc>
          <w:tcPr>
            <w:tcW w:w="809" w:type="dxa"/>
            <w:shd w:val="clear" w:color="auto" w:fill="D8D8D8"/>
            <w:vAlign w:val="center"/>
          </w:tcPr>
          <w:p w14:paraId="50264316">
            <w:pPr>
              <w:pStyle w:val="163"/>
              <w:keepNext w:val="0"/>
              <w:keepLines w:val="0"/>
              <w:pageBreakBefore w:val="0"/>
              <w:widowControl/>
              <w:kinsoku w:val="0"/>
              <w:wordWrap/>
              <w:overflowPunct/>
              <w:topLinePunct w:val="0"/>
              <w:autoSpaceDE w:val="0"/>
              <w:autoSpaceDN w:val="0"/>
              <w:bidi w:val="0"/>
              <w:adjustRightInd w:val="0"/>
              <w:snapToGrid w:val="0"/>
              <w:spacing w:before="146"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不符合</w:t>
            </w:r>
          </w:p>
        </w:tc>
      </w:tr>
      <w:tr w14:paraId="10621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746" w:type="dxa"/>
            <w:vAlign w:val="center"/>
          </w:tcPr>
          <w:p w14:paraId="5415DF08">
            <w:pPr>
              <w:pStyle w:val="163"/>
              <w:keepNext w:val="0"/>
              <w:keepLines w:val="0"/>
              <w:pageBreakBefore w:val="0"/>
              <w:widowControl/>
              <w:kinsoku w:val="0"/>
              <w:wordWrap/>
              <w:overflowPunct/>
              <w:topLinePunct w:val="0"/>
              <w:autoSpaceDE w:val="0"/>
              <w:autoSpaceDN w:val="0"/>
              <w:bidi w:val="0"/>
              <w:adjustRightInd w:val="0"/>
              <w:snapToGrid w:val="0"/>
              <w:spacing w:before="258" w:line="228"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1</w:t>
            </w:r>
          </w:p>
        </w:tc>
        <w:tc>
          <w:tcPr>
            <w:tcW w:w="1825" w:type="dxa"/>
            <w:vAlign w:val="center"/>
          </w:tcPr>
          <w:p w14:paraId="634E9610">
            <w:pPr>
              <w:pStyle w:val="163"/>
              <w:keepNext w:val="0"/>
              <w:keepLines w:val="0"/>
              <w:pageBreakBefore w:val="0"/>
              <w:widowControl/>
              <w:kinsoku w:val="0"/>
              <w:wordWrap/>
              <w:overflowPunct/>
              <w:topLinePunct w:val="0"/>
              <w:autoSpaceDE w:val="0"/>
              <w:autoSpaceDN w:val="0"/>
              <w:bidi w:val="0"/>
              <w:adjustRightInd w:val="0"/>
              <w:snapToGrid w:val="0"/>
              <w:spacing w:before="258"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投标文件签署</w:t>
            </w:r>
          </w:p>
        </w:tc>
        <w:tc>
          <w:tcPr>
            <w:tcW w:w="5160" w:type="dxa"/>
            <w:vAlign w:val="center"/>
          </w:tcPr>
          <w:p w14:paraId="332CAA17">
            <w:pPr>
              <w:pStyle w:val="163"/>
              <w:keepNext w:val="0"/>
              <w:keepLines w:val="0"/>
              <w:pageBreakBefore w:val="0"/>
              <w:widowControl/>
              <w:kinsoku w:val="0"/>
              <w:wordWrap/>
              <w:overflowPunct/>
              <w:topLinePunct w:val="0"/>
              <w:autoSpaceDE w:val="0"/>
              <w:autoSpaceDN w:val="0"/>
              <w:bidi w:val="0"/>
              <w:adjustRightInd w:val="0"/>
              <w:snapToGrid w:val="0"/>
              <w:spacing w:before="257" w:line="228" w:lineRule="auto"/>
              <w:ind w:right="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投标文件按招标文件要求签署、盖章的</w:t>
            </w:r>
          </w:p>
        </w:tc>
        <w:tc>
          <w:tcPr>
            <w:tcW w:w="637" w:type="dxa"/>
            <w:vAlign w:val="top"/>
          </w:tcPr>
          <w:p w14:paraId="34A43C5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5538DF4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B458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746" w:type="dxa"/>
            <w:vAlign w:val="center"/>
          </w:tcPr>
          <w:p w14:paraId="527BFC63">
            <w:pPr>
              <w:pStyle w:val="163"/>
              <w:keepNext w:val="0"/>
              <w:keepLines w:val="0"/>
              <w:pageBreakBefore w:val="0"/>
              <w:widowControl/>
              <w:kinsoku w:val="0"/>
              <w:wordWrap/>
              <w:overflowPunct/>
              <w:topLinePunct w:val="0"/>
              <w:autoSpaceDE w:val="0"/>
              <w:autoSpaceDN w:val="0"/>
              <w:bidi w:val="0"/>
              <w:adjustRightInd w:val="0"/>
              <w:snapToGrid w:val="0"/>
              <w:spacing w:before="65" w:line="229"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2</w:t>
            </w:r>
          </w:p>
        </w:tc>
        <w:tc>
          <w:tcPr>
            <w:tcW w:w="1825" w:type="dxa"/>
            <w:shd w:val="clear" w:color="auto" w:fill="auto"/>
            <w:vAlign w:val="center"/>
          </w:tcPr>
          <w:p w14:paraId="5B98306B">
            <w:pPr>
              <w:pStyle w:val="163"/>
              <w:keepNext w:val="0"/>
              <w:keepLines w:val="0"/>
              <w:pageBreakBefore w:val="0"/>
              <w:widowControl/>
              <w:kinsoku w:val="0"/>
              <w:wordWrap/>
              <w:overflowPunct/>
              <w:topLinePunct w:val="0"/>
              <w:autoSpaceDE w:val="0"/>
              <w:autoSpaceDN w:val="0"/>
              <w:bidi w:val="0"/>
              <w:adjustRightInd w:val="0"/>
              <w:snapToGrid w:val="0"/>
              <w:spacing w:before="303" w:line="227"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6"/>
                <w:sz w:val="24"/>
                <w:szCs w:val="24"/>
                <w:highlight w:val="none"/>
              </w:rPr>
              <w:t>投标报价</w:t>
            </w:r>
          </w:p>
        </w:tc>
        <w:tc>
          <w:tcPr>
            <w:tcW w:w="5160" w:type="dxa"/>
            <w:shd w:val="clear" w:color="auto" w:fill="auto"/>
            <w:vAlign w:val="center"/>
          </w:tcPr>
          <w:p w14:paraId="2871118A">
            <w:pPr>
              <w:pStyle w:val="163"/>
              <w:keepNext w:val="0"/>
              <w:keepLines w:val="0"/>
              <w:pageBreakBefore w:val="0"/>
              <w:widowControl/>
              <w:kinsoku w:val="0"/>
              <w:wordWrap/>
              <w:overflowPunct/>
              <w:topLinePunct w:val="0"/>
              <w:autoSpaceDE w:val="0"/>
              <w:autoSpaceDN w:val="0"/>
              <w:bidi w:val="0"/>
              <w:adjustRightInd w:val="0"/>
              <w:snapToGrid w:val="0"/>
              <w:spacing w:before="146" w:line="291" w:lineRule="auto"/>
              <w:ind w:right="0" w:rightChars="0"/>
              <w:jc w:val="both"/>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9"/>
                <w:sz w:val="24"/>
                <w:szCs w:val="24"/>
                <w:highlight w:val="none"/>
              </w:rPr>
              <w:t>投标人报价未超过招标文件中规定的最高限价或者预算金额</w:t>
            </w:r>
            <w:r>
              <w:rPr>
                <w:rFonts w:hint="eastAsia" w:ascii="仿宋" w:hAnsi="仿宋" w:eastAsia="仿宋" w:cs="仿宋"/>
                <w:color w:val="auto"/>
                <w:sz w:val="24"/>
                <w:szCs w:val="24"/>
                <w:highlight w:val="none"/>
              </w:rPr>
              <w:t>的</w:t>
            </w:r>
          </w:p>
        </w:tc>
        <w:tc>
          <w:tcPr>
            <w:tcW w:w="637" w:type="dxa"/>
            <w:vAlign w:val="top"/>
          </w:tcPr>
          <w:p w14:paraId="4580B2D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226082C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6C0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746" w:type="dxa"/>
            <w:vAlign w:val="center"/>
          </w:tcPr>
          <w:p w14:paraId="52318464">
            <w:pPr>
              <w:pStyle w:val="163"/>
              <w:keepNext w:val="0"/>
              <w:keepLines w:val="0"/>
              <w:pageBreakBefore w:val="0"/>
              <w:widowControl/>
              <w:kinsoku w:val="0"/>
              <w:wordWrap/>
              <w:overflowPunct/>
              <w:topLinePunct w:val="0"/>
              <w:autoSpaceDE w:val="0"/>
              <w:autoSpaceDN w:val="0"/>
              <w:bidi w:val="0"/>
              <w:adjustRightInd w:val="0"/>
              <w:snapToGrid w:val="0"/>
              <w:spacing w:before="303" w:line="227" w:lineRule="auto"/>
              <w:ind w:right="0"/>
              <w:jc w:val="center"/>
              <w:textAlignment w:val="baseline"/>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3</w:t>
            </w:r>
          </w:p>
        </w:tc>
        <w:tc>
          <w:tcPr>
            <w:tcW w:w="1825" w:type="dxa"/>
            <w:shd w:val="clear" w:color="auto" w:fill="auto"/>
            <w:vAlign w:val="center"/>
          </w:tcPr>
          <w:p w14:paraId="7FA9A935">
            <w:pPr>
              <w:pStyle w:val="163"/>
              <w:keepNext w:val="0"/>
              <w:keepLines w:val="0"/>
              <w:pageBreakBefore w:val="0"/>
              <w:widowControl/>
              <w:kinsoku w:val="0"/>
              <w:wordWrap/>
              <w:overflowPunct/>
              <w:topLinePunct w:val="0"/>
              <w:autoSpaceDE w:val="0"/>
              <w:autoSpaceDN w:val="0"/>
              <w:bidi w:val="0"/>
              <w:adjustRightInd w:val="0"/>
              <w:snapToGrid w:val="0"/>
              <w:spacing w:before="280" w:line="228"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虚假材料</w:t>
            </w:r>
          </w:p>
        </w:tc>
        <w:tc>
          <w:tcPr>
            <w:tcW w:w="5160" w:type="dxa"/>
            <w:shd w:val="clear" w:color="auto" w:fill="auto"/>
            <w:vAlign w:val="center"/>
          </w:tcPr>
          <w:p w14:paraId="69D9F287">
            <w:pPr>
              <w:pStyle w:val="163"/>
              <w:keepNext w:val="0"/>
              <w:keepLines w:val="0"/>
              <w:pageBreakBefore w:val="0"/>
              <w:widowControl/>
              <w:kinsoku w:val="0"/>
              <w:wordWrap/>
              <w:overflowPunct/>
              <w:topLinePunct w:val="0"/>
              <w:autoSpaceDE w:val="0"/>
              <w:autoSpaceDN w:val="0"/>
              <w:bidi w:val="0"/>
              <w:adjustRightInd w:val="0"/>
              <w:snapToGrid w:val="0"/>
              <w:spacing w:before="280" w:line="228" w:lineRule="auto"/>
              <w:ind w:right="0" w:rightChars="0"/>
              <w:jc w:val="both"/>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8"/>
                <w:sz w:val="24"/>
                <w:szCs w:val="24"/>
                <w:highlight w:val="none"/>
              </w:rPr>
              <w:t>投标文件未提供虚假材料的</w:t>
            </w:r>
          </w:p>
        </w:tc>
        <w:tc>
          <w:tcPr>
            <w:tcW w:w="637" w:type="dxa"/>
            <w:vAlign w:val="top"/>
          </w:tcPr>
          <w:p w14:paraId="572AC08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2B12491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026FD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746" w:type="dxa"/>
            <w:vAlign w:val="center"/>
          </w:tcPr>
          <w:p w14:paraId="2059A663">
            <w:pPr>
              <w:pStyle w:val="163"/>
              <w:keepNext w:val="0"/>
              <w:keepLines w:val="0"/>
              <w:pageBreakBefore w:val="0"/>
              <w:widowControl/>
              <w:kinsoku w:val="0"/>
              <w:wordWrap/>
              <w:overflowPunct/>
              <w:topLinePunct w:val="0"/>
              <w:autoSpaceDE w:val="0"/>
              <w:autoSpaceDN w:val="0"/>
              <w:bidi w:val="0"/>
              <w:adjustRightInd w:val="0"/>
              <w:snapToGrid w:val="0"/>
              <w:spacing w:before="280" w:line="228"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4</w:t>
            </w:r>
          </w:p>
        </w:tc>
        <w:tc>
          <w:tcPr>
            <w:tcW w:w="1825" w:type="dxa"/>
            <w:shd w:val="clear" w:color="auto" w:fill="auto"/>
            <w:vAlign w:val="center"/>
          </w:tcPr>
          <w:p w14:paraId="52C6C167">
            <w:pPr>
              <w:pStyle w:val="163"/>
              <w:keepNext w:val="0"/>
              <w:keepLines w:val="0"/>
              <w:pageBreakBefore w:val="0"/>
              <w:widowControl/>
              <w:kinsoku w:val="0"/>
              <w:wordWrap/>
              <w:overflowPunct/>
              <w:topLinePunct w:val="0"/>
              <w:autoSpaceDE w:val="0"/>
              <w:autoSpaceDN w:val="0"/>
              <w:bidi w:val="0"/>
              <w:adjustRightInd w:val="0"/>
              <w:snapToGrid w:val="0"/>
              <w:spacing w:before="196" w:line="290"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投标人影响评</w:t>
            </w:r>
            <w:r>
              <w:rPr>
                <w:rFonts w:hint="eastAsia" w:ascii="仿宋" w:hAnsi="仿宋" w:eastAsia="仿宋" w:cs="仿宋"/>
                <w:color w:val="auto"/>
                <w:sz w:val="24"/>
                <w:szCs w:val="24"/>
                <w:highlight w:val="none"/>
              </w:rPr>
              <w:t>标</w:t>
            </w:r>
          </w:p>
        </w:tc>
        <w:tc>
          <w:tcPr>
            <w:tcW w:w="5160" w:type="dxa"/>
            <w:shd w:val="clear" w:color="auto" w:fill="auto"/>
            <w:vAlign w:val="center"/>
          </w:tcPr>
          <w:p w14:paraId="104EAA2A">
            <w:pPr>
              <w:pStyle w:val="163"/>
              <w:keepNext w:val="0"/>
              <w:keepLines w:val="0"/>
              <w:pageBreakBefore w:val="0"/>
              <w:widowControl/>
              <w:kinsoku w:val="0"/>
              <w:wordWrap/>
              <w:overflowPunct/>
              <w:topLinePunct w:val="0"/>
              <w:autoSpaceDE w:val="0"/>
              <w:autoSpaceDN w:val="0"/>
              <w:bidi w:val="0"/>
              <w:adjustRightInd w:val="0"/>
              <w:snapToGrid w:val="0"/>
              <w:spacing w:before="197" w:line="288" w:lineRule="auto"/>
              <w:ind w:right="0" w:rightChars="0"/>
              <w:jc w:val="both"/>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9"/>
                <w:sz w:val="24"/>
                <w:szCs w:val="24"/>
                <w:highlight w:val="none"/>
              </w:rPr>
              <w:t>投标人对采购人、采购代理机构、评标委员会及其工作人员</w:t>
            </w:r>
            <w:r>
              <w:rPr>
                <w:rFonts w:hint="eastAsia" w:ascii="仿宋" w:hAnsi="仿宋" w:eastAsia="仿宋" w:cs="仿宋"/>
                <w:color w:val="auto"/>
                <w:spacing w:val="8"/>
                <w:sz w:val="24"/>
                <w:szCs w:val="24"/>
                <w:highlight w:val="none"/>
              </w:rPr>
              <w:t>未施加影响,无有碍公平、公正的</w:t>
            </w:r>
          </w:p>
        </w:tc>
        <w:tc>
          <w:tcPr>
            <w:tcW w:w="637" w:type="dxa"/>
            <w:vAlign w:val="top"/>
          </w:tcPr>
          <w:p w14:paraId="0D50354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2D518BC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47B5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746" w:type="dxa"/>
            <w:vAlign w:val="center"/>
          </w:tcPr>
          <w:p w14:paraId="0002A458">
            <w:pPr>
              <w:pStyle w:val="163"/>
              <w:keepNext w:val="0"/>
              <w:keepLines w:val="0"/>
              <w:pageBreakBefore w:val="0"/>
              <w:widowControl/>
              <w:kinsoku w:val="0"/>
              <w:wordWrap/>
              <w:overflowPunct/>
              <w:topLinePunct w:val="0"/>
              <w:autoSpaceDE w:val="0"/>
              <w:autoSpaceDN w:val="0"/>
              <w:bidi w:val="0"/>
              <w:adjustRightInd w:val="0"/>
              <w:snapToGrid w:val="0"/>
              <w:spacing w:before="259" w:line="229"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5</w:t>
            </w:r>
          </w:p>
        </w:tc>
        <w:tc>
          <w:tcPr>
            <w:tcW w:w="1825" w:type="dxa"/>
            <w:shd w:val="clear" w:color="auto" w:fill="auto"/>
            <w:vAlign w:val="center"/>
          </w:tcPr>
          <w:p w14:paraId="2EE4BF70">
            <w:pPr>
              <w:pStyle w:val="163"/>
              <w:keepNext w:val="0"/>
              <w:keepLines w:val="0"/>
              <w:pageBreakBefore w:val="0"/>
              <w:widowControl/>
              <w:kinsoku w:val="0"/>
              <w:wordWrap/>
              <w:overflowPunct/>
              <w:topLinePunct w:val="0"/>
              <w:autoSpaceDE w:val="0"/>
              <w:autoSpaceDN w:val="0"/>
              <w:bidi w:val="0"/>
              <w:adjustRightInd w:val="0"/>
              <w:snapToGrid w:val="0"/>
              <w:spacing w:before="196" w:line="290" w:lineRule="auto"/>
              <w:ind w:right="0" w:rightChars="0"/>
              <w:jc w:val="center"/>
              <w:textAlignment w:val="baseline"/>
              <w:rPr>
                <w:rFonts w:hint="eastAsia" w:ascii="仿宋" w:hAnsi="仿宋" w:eastAsia="仿宋" w:cs="仿宋"/>
                <w:color w:val="auto"/>
                <w:spacing w:val="7"/>
                <w:sz w:val="24"/>
                <w:szCs w:val="24"/>
                <w:highlight w:val="none"/>
                <w:lang w:val="en-US" w:eastAsia="en-US"/>
              </w:rPr>
            </w:pPr>
            <w:r>
              <w:rPr>
                <w:rFonts w:hint="eastAsia" w:ascii="仿宋" w:hAnsi="仿宋" w:eastAsia="仿宋" w:cs="仿宋"/>
                <w:color w:val="auto"/>
                <w:spacing w:val="7"/>
                <w:sz w:val="24"/>
                <w:szCs w:val="24"/>
                <w:highlight w:val="none"/>
              </w:rPr>
              <w:t>围标串标情形</w:t>
            </w:r>
          </w:p>
        </w:tc>
        <w:tc>
          <w:tcPr>
            <w:tcW w:w="5160" w:type="dxa"/>
            <w:shd w:val="clear" w:color="auto" w:fill="auto"/>
            <w:vAlign w:val="center"/>
          </w:tcPr>
          <w:p w14:paraId="7D378EC3">
            <w:pPr>
              <w:pStyle w:val="163"/>
              <w:keepNext w:val="0"/>
              <w:keepLines w:val="0"/>
              <w:pageBreakBefore w:val="0"/>
              <w:widowControl/>
              <w:kinsoku w:val="0"/>
              <w:wordWrap/>
              <w:overflowPunct/>
              <w:topLinePunct w:val="0"/>
              <w:autoSpaceDE w:val="0"/>
              <w:autoSpaceDN w:val="0"/>
              <w:bidi w:val="0"/>
              <w:adjustRightInd w:val="0"/>
              <w:snapToGrid w:val="0"/>
              <w:spacing w:before="196" w:line="290" w:lineRule="auto"/>
              <w:ind w:right="0" w:rightChars="0"/>
              <w:jc w:val="center"/>
              <w:textAlignment w:val="baseline"/>
              <w:rPr>
                <w:rFonts w:hint="default" w:ascii="仿宋" w:hAnsi="仿宋" w:eastAsia="仿宋" w:cs="仿宋"/>
                <w:color w:val="auto"/>
                <w:spacing w:val="7"/>
                <w:sz w:val="24"/>
                <w:szCs w:val="24"/>
                <w:highlight w:val="none"/>
                <w:lang w:val="en-US" w:eastAsia="en-US"/>
              </w:rPr>
            </w:pPr>
            <w:r>
              <w:rPr>
                <w:rFonts w:hint="eastAsia" w:ascii="仿宋" w:hAnsi="仿宋" w:eastAsia="仿宋" w:cs="仿宋"/>
                <w:color w:val="auto"/>
                <w:spacing w:val="7"/>
                <w:sz w:val="24"/>
                <w:szCs w:val="24"/>
                <w:highlight w:val="none"/>
              </w:rPr>
              <w:t>投标人</w:t>
            </w:r>
            <w:r>
              <w:rPr>
                <w:rFonts w:hint="eastAsia" w:ascii="仿宋" w:hAnsi="仿宋" w:eastAsia="仿宋" w:cs="仿宋"/>
                <w:color w:val="auto"/>
                <w:spacing w:val="7"/>
                <w:sz w:val="24"/>
                <w:szCs w:val="24"/>
                <w:highlight w:val="none"/>
                <w:lang w:val="en-US" w:eastAsia="zh-CN"/>
              </w:rPr>
              <w:t>有第二部分29.9.情形之一</w:t>
            </w:r>
          </w:p>
        </w:tc>
        <w:tc>
          <w:tcPr>
            <w:tcW w:w="637" w:type="dxa"/>
            <w:vAlign w:val="top"/>
          </w:tcPr>
          <w:p w14:paraId="0333E66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4349E06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B0F9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jc w:val="center"/>
        </w:trPr>
        <w:tc>
          <w:tcPr>
            <w:tcW w:w="746" w:type="dxa"/>
            <w:vAlign w:val="center"/>
          </w:tcPr>
          <w:p w14:paraId="26B5756A">
            <w:pPr>
              <w:pStyle w:val="163"/>
              <w:keepNext w:val="0"/>
              <w:keepLines w:val="0"/>
              <w:pageBreakBefore w:val="0"/>
              <w:widowControl/>
              <w:kinsoku w:val="0"/>
              <w:wordWrap/>
              <w:overflowPunct/>
              <w:topLinePunct w:val="0"/>
              <w:autoSpaceDE w:val="0"/>
              <w:autoSpaceDN w:val="0"/>
              <w:bidi w:val="0"/>
              <w:adjustRightInd w:val="0"/>
              <w:snapToGrid w:val="0"/>
              <w:spacing w:before="196" w:line="290"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6</w:t>
            </w:r>
          </w:p>
        </w:tc>
        <w:tc>
          <w:tcPr>
            <w:tcW w:w="1825" w:type="dxa"/>
            <w:shd w:val="clear" w:color="auto" w:fill="auto"/>
            <w:vAlign w:val="center"/>
          </w:tcPr>
          <w:p w14:paraId="0F734E31">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3"/>
                <w:sz w:val="24"/>
                <w:szCs w:val="24"/>
                <w:highlight w:val="none"/>
              </w:rPr>
              <w:t>附加条件</w:t>
            </w:r>
          </w:p>
        </w:tc>
        <w:tc>
          <w:tcPr>
            <w:tcW w:w="5160" w:type="dxa"/>
            <w:shd w:val="clear" w:color="auto" w:fill="auto"/>
            <w:vAlign w:val="center"/>
          </w:tcPr>
          <w:p w14:paraId="59C2A02E">
            <w:pPr>
              <w:pStyle w:val="163"/>
              <w:keepNext w:val="0"/>
              <w:keepLines w:val="0"/>
              <w:pageBreakBefore w:val="0"/>
              <w:widowControl/>
              <w:kinsoku w:val="0"/>
              <w:wordWrap/>
              <w:overflowPunct/>
              <w:topLinePunct w:val="0"/>
              <w:autoSpaceDE w:val="0"/>
              <w:autoSpaceDN w:val="0"/>
              <w:bidi w:val="0"/>
              <w:adjustRightInd w:val="0"/>
              <w:snapToGrid w:val="0"/>
              <w:spacing w:before="197" w:line="288" w:lineRule="auto"/>
              <w:ind w:right="0" w:rightChars="0"/>
              <w:jc w:val="both"/>
              <w:textAlignment w:val="baseline"/>
              <w:rPr>
                <w:rFonts w:hint="eastAsia" w:ascii="仿宋" w:hAnsi="仿宋" w:eastAsia="仿宋" w:cs="仿宋"/>
                <w:color w:val="auto"/>
                <w:spacing w:val="9"/>
                <w:kern w:val="2"/>
                <w:sz w:val="24"/>
                <w:szCs w:val="24"/>
                <w:highlight w:val="none"/>
                <w:lang w:val="en-US" w:eastAsia="en-US" w:bidi="ar-SA"/>
              </w:rPr>
            </w:pPr>
            <w:r>
              <w:rPr>
                <w:rFonts w:hint="eastAsia" w:ascii="仿宋" w:hAnsi="仿宋" w:eastAsia="仿宋" w:cs="仿宋"/>
                <w:color w:val="auto"/>
                <w:spacing w:val="9"/>
                <w:sz w:val="24"/>
                <w:szCs w:val="24"/>
                <w:highlight w:val="none"/>
              </w:rPr>
              <w:t>投标文件没有采购人不能接受的附加条件的</w:t>
            </w:r>
          </w:p>
        </w:tc>
        <w:tc>
          <w:tcPr>
            <w:tcW w:w="637" w:type="dxa"/>
            <w:vAlign w:val="top"/>
          </w:tcPr>
          <w:p w14:paraId="4B96480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0CC1A9F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67EC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jc w:val="center"/>
        </w:trPr>
        <w:tc>
          <w:tcPr>
            <w:tcW w:w="746" w:type="dxa"/>
            <w:vAlign w:val="center"/>
          </w:tcPr>
          <w:p w14:paraId="4ABEB80B">
            <w:pPr>
              <w:pStyle w:val="163"/>
              <w:keepNext w:val="0"/>
              <w:keepLines w:val="0"/>
              <w:pageBreakBefore w:val="0"/>
              <w:widowControl/>
              <w:kinsoku w:val="0"/>
              <w:wordWrap/>
              <w:overflowPunct/>
              <w:topLinePunct w:val="0"/>
              <w:autoSpaceDE w:val="0"/>
              <w:autoSpaceDN w:val="0"/>
              <w:bidi w:val="0"/>
              <w:adjustRightInd w:val="0"/>
              <w:snapToGrid w:val="0"/>
              <w:spacing w:before="306" w:line="229" w:lineRule="auto"/>
              <w:ind w:right="0"/>
              <w:jc w:val="center"/>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7</w:t>
            </w:r>
          </w:p>
        </w:tc>
        <w:tc>
          <w:tcPr>
            <w:tcW w:w="1825" w:type="dxa"/>
            <w:shd w:val="clear" w:color="auto" w:fill="auto"/>
            <w:vAlign w:val="center"/>
          </w:tcPr>
          <w:p w14:paraId="42A6C73D">
            <w:pPr>
              <w:pStyle w:val="163"/>
              <w:keepNext w:val="0"/>
              <w:keepLines w:val="0"/>
              <w:pageBreakBefore w:val="0"/>
              <w:widowControl/>
              <w:kinsoku w:val="0"/>
              <w:wordWrap/>
              <w:overflowPunct/>
              <w:topLinePunct w:val="0"/>
              <w:autoSpaceDE w:val="0"/>
              <w:autoSpaceDN w:val="0"/>
              <w:bidi w:val="0"/>
              <w:adjustRightInd w:val="0"/>
              <w:snapToGrid w:val="0"/>
              <w:spacing w:before="65" w:line="229"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8"/>
                <w:sz w:val="24"/>
                <w:szCs w:val="24"/>
                <w:highlight w:val="none"/>
              </w:rPr>
              <w:t>其他无效情形</w:t>
            </w:r>
          </w:p>
        </w:tc>
        <w:tc>
          <w:tcPr>
            <w:tcW w:w="5160" w:type="dxa"/>
            <w:shd w:val="clear" w:color="auto" w:fill="auto"/>
            <w:vAlign w:val="center"/>
          </w:tcPr>
          <w:p w14:paraId="1FA6EA3A">
            <w:pPr>
              <w:pStyle w:val="163"/>
              <w:keepNext w:val="0"/>
              <w:keepLines w:val="0"/>
              <w:pageBreakBefore w:val="0"/>
              <w:widowControl/>
              <w:kinsoku w:val="0"/>
              <w:wordWrap/>
              <w:overflowPunct/>
              <w:topLinePunct w:val="0"/>
              <w:autoSpaceDE w:val="0"/>
              <w:autoSpaceDN w:val="0"/>
              <w:bidi w:val="0"/>
              <w:adjustRightInd w:val="0"/>
              <w:snapToGrid w:val="0"/>
              <w:spacing w:before="197" w:line="288" w:lineRule="auto"/>
              <w:ind w:right="0" w:rightChars="0"/>
              <w:jc w:val="both"/>
              <w:textAlignment w:val="baseline"/>
              <w:rPr>
                <w:rFonts w:hint="eastAsia" w:ascii="仿宋" w:hAnsi="仿宋" w:eastAsia="仿宋" w:cs="仿宋"/>
                <w:color w:val="auto"/>
                <w:spacing w:val="9"/>
                <w:kern w:val="2"/>
                <w:sz w:val="24"/>
                <w:szCs w:val="24"/>
                <w:highlight w:val="none"/>
                <w:lang w:val="en-US" w:eastAsia="en-US" w:bidi="ar-SA"/>
              </w:rPr>
            </w:pPr>
            <w:r>
              <w:rPr>
                <w:rFonts w:hint="eastAsia" w:ascii="仿宋" w:hAnsi="仿宋" w:eastAsia="仿宋" w:cs="仿宋"/>
                <w:color w:val="auto"/>
                <w:spacing w:val="9"/>
                <w:sz w:val="24"/>
                <w:szCs w:val="24"/>
                <w:highlight w:val="none"/>
              </w:rPr>
              <w:t>没有法律、法规、规章规定属于投标无效的其他情形。</w:t>
            </w:r>
          </w:p>
        </w:tc>
        <w:tc>
          <w:tcPr>
            <w:tcW w:w="637" w:type="dxa"/>
            <w:vAlign w:val="top"/>
          </w:tcPr>
          <w:p w14:paraId="2D4F0E8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517D018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1EF32F4B">
      <w:pPr>
        <w:pStyle w:val="46"/>
        <w:ind w:left="0" w:leftChars="0" w:firstLine="0" w:firstLineChars="0"/>
        <w:rPr>
          <w:rFonts w:hint="eastAsia" w:ascii="仿宋" w:hAnsi="仿宋" w:eastAsia="仿宋" w:cs="仿宋"/>
          <w:bCs/>
          <w:color w:val="auto"/>
          <w:sz w:val="24"/>
          <w:highlight w:val="none"/>
          <w:lang w:val="en-US" w:eastAsia="zh-CN"/>
        </w:rPr>
      </w:pPr>
    </w:p>
    <w:p w14:paraId="6BB58C7C">
      <w:pPr>
        <w:spacing w:line="400" w:lineRule="atLeast"/>
        <w:ind w:left="480" w:hanging="480"/>
        <w:rPr>
          <w:rFonts w:hint="eastAsia" w:ascii="仿宋" w:hAnsi="仿宋" w:eastAsia="仿宋" w:cs="仿宋"/>
          <w:bCs/>
          <w:color w:val="auto"/>
          <w:sz w:val="24"/>
          <w:highlight w:val="none"/>
          <w:lang w:val="en-US" w:eastAsia="zh-CN"/>
        </w:rPr>
      </w:pPr>
      <w:bookmarkStart w:id="72" w:name="_Toc32614"/>
      <w:r>
        <w:rPr>
          <w:rFonts w:hint="eastAsia" w:ascii="仿宋" w:hAnsi="仿宋" w:eastAsia="仿宋" w:cs="仿宋"/>
          <w:bCs/>
          <w:color w:val="auto"/>
          <w:sz w:val="24"/>
          <w:highlight w:val="none"/>
          <w:lang w:val="en-US" w:eastAsia="zh-CN"/>
        </w:rPr>
        <w:t>29.2投标文件澄清及修正</w:t>
      </w:r>
      <w:bookmarkEnd w:id="72"/>
    </w:p>
    <w:p w14:paraId="7D01AF8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29.2.1评标期间，对于投标文件中含义不明确、同类问题表述不一致或者有明显文字和计算错误的内容需要投标人作出必要的澄清、说明或者补正的，评标委员会应当在政采云平台评标系统中以书面形式要求投标人作出必要的澄清、说明或者补正。</w:t>
      </w:r>
    </w:p>
    <w:p w14:paraId="6857396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29.2.2投标人应按照评标委员会要求在规定时间内作出澄清、说明或者补正，澄清、说明或者补正不得超出投标文件的范围或者改变投标文件的实质性内容。</w:t>
      </w:r>
    </w:p>
    <w:p w14:paraId="17B8561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29.2.3投标人的澄清、说明或者补正是其投标文件的有效组成部分，澄清、说明或者补正应当在政采云平台评标系统中加盖电子印章后提交。</w:t>
      </w:r>
    </w:p>
    <w:p w14:paraId="2429A37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29.2.4报价合理性说明：评标委员会认为投标人的报价明显低于其他通过符合性审查投标人的报价，有可能影响货物质量或者不能诚信履约的，应当要求该投标人在合理的时间内提供说明，必要时提交相关证明材料；若投标人不能证明其报价合理性的，评标委员会应当将其作</w:t>
      </w:r>
      <w:r>
        <w:rPr>
          <w:rFonts w:hint="eastAsia" w:ascii="仿宋" w:hAnsi="仿宋" w:eastAsia="仿宋" w:cs="仿宋"/>
          <w:b/>
          <w:bCs w:val="0"/>
          <w:color w:val="auto"/>
          <w:sz w:val="24"/>
          <w:highlight w:val="none"/>
          <w:lang w:val="en-US" w:eastAsia="zh-CN"/>
        </w:rPr>
        <w:t>无效投标</w:t>
      </w:r>
      <w:r>
        <w:rPr>
          <w:rFonts w:hint="eastAsia" w:ascii="仿宋" w:hAnsi="仿宋" w:eastAsia="仿宋" w:cs="仿宋"/>
          <w:bCs/>
          <w:color w:val="auto"/>
          <w:sz w:val="24"/>
          <w:highlight w:val="none"/>
          <w:lang w:val="en-US" w:eastAsia="zh-CN"/>
        </w:rPr>
        <w:t>处理。</w:t>
      </w:r>
    </w:p>
    <w:p w14:paraId="35B8F35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29.2.4.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14:paraId="58484E7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29.3投标文件报价出现前后不一致的，除招标文件另有规定外，按照下列规定修正：</w:t>
      </w:r>
    </w:p>
    <w:p w14:paraId="2D720B6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29.3.1投标文件中开标一览表（报价表）内容与投标文件中相应内容不一致的，以开标一览表（报价表）为准；</w:t>
      </w:r>
    </w:p>
    <w:p w14:paraId="5B6EBA4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29.3.2大写金额和小写金额不一致的，以大写金额为准；</w:t>
      </w:r>
    </w:p>
    <w:p w14:paraId="11464B9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29.3.3单价金额小数点或者百分比有明显错位的，以开标一览表的总价为准，并修改单价；</w:t>
      </w:r>
    </w:p>
    <w:p w14:paraId="45EA757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29.3.4总价金额与按单价汇总金额不一致的，以单价金额计算结果为准。</w:t>
      </w:r>
    </w:p>
    <w:p w14:paraId="05E5C9D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29.3.5同时出现两种以上不一致的，按照29.3.1—29.3.1 的顺序修正。修正后的报价采用书面形式，并加盖公章，或者由法定代表人或其授权的代表签字，经投标人确认后产生约束力，投标人不确认的，其投标无效。</w:t>
      </w:r>
    </w:p>
    <w:p w14:paraId="68BBD94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29.4比较与评价</w:t>
      </w:r>
    </w:p>
    <w:p w14:paraId="64F2596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29.4.1评标委员会应当按照招标文件中规定的评标方法和标准，对符合性审查合格的投标文件进行商务和技术评估，综合比较与评价；未通过符合性审查的投标文件不得进入比较与评价。</w:t>
      </w:r>
    </w:p>
    <w:p w14:paraId="5379E0CD">
      <w:pPr>
        <w:spacing w:line="400" w:lineRule="atLeast"/>
        <w:ind w:left="480" w:hanging="48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《评审因素及标准》</w:t>
      </w:r>
    </w:p>
    <w:p w14:paraId="6E9F079C">
      <w:pPr>
        <w:jc w:val="center"/>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经济部分评审（30分）</w:t>
      </w:r>
    </w:p>
    <w:tbl>
      <w:tblPr>
        <w:tblStyle w:val="3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88"/>
        <w:gridCol w:w="7346"/>
      </w:tblGrid>
      <w:tr w14:paraId="1A19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33" w:type="dxa"/>
            <w:gridSpan w:val="2"/>
            <w:vAlign w:val="center"/>
          </w:tcPr>
          <w:p w14:paraId="40D6232D">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评审因素</w:t>
            </w:r>
          </w:p>
        </w:tc>
        <w:tc>
          <w:tcPr>
            <w:tcW w:w="7346" w:type="dxa"/>
            <w:vAlign w:val="center"/>
          </w:tcPr>
          <w:p w14:paraId="6DBCF6D1">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评审标准</w:t>
            </w:r>
          </w:p>
        </w:tc>
      </w:tr>
      <w:tr w14:paraId="1F73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33" w:type="dxa"/>
            <w:gridSpan w:val="2"/>
            <w:vMerge w:val="restart"/>
            <w:vAlign w:val="center"/>
          </w:tcPr>
          <w:p w14:paraId="1A40FD65">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投标报价</w:t>
            </w:r>
          </w:p>
        </w:tc>
        <w:tc>
          <w:tcPr>
            <w:tcW w:w="7346" w:type="dxa"/>
            <w:vAlign w:val="center"/>
          </w:tcPr>
          <w:p w14:paraId="280BA5CB">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评标基准价即满足招标文件要求且投标价格最低的投标报价。</w:t>
            </w:r>
          </w:p>
          <w:p w14:paraId="629DBCDF">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投标报价得分=（评标基准价/投标报价）×30</w:t>
            </w:r>
          </w:p>
        </w:tc>
      </w:tr>
      <w:tr w14:paraId="24CB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33" w:type="dxa"/>
            <w:gridSpan w:val="2"/>
            <w:vMerge w:val="continue"/>
            <w:vAlign w:val="center"/>
          </w:tcPr>
          <w:p w14:paraId="2FF8F8EE">
            <w:pPr>
              <w:pStyle w:val="46"/>
              <w:rPr>
                <w:rFonts w:hint="eastAsia" w:ascii="仿宋" w:hAnsi="仿宋" w:eastAsia="仿宋" w:cs="仿宋"/>
                <w:color w:val="auto"/>
                <w:highlight w:val="none"/>
                <w:lang w:val="en-US" w:eastAsia="zh-CN"/>
              </w:rPr>
            </w:pPr>
          </w:p>
        </w:tc>
        <w:tc>
          <w:tcPr>
            <w:tcW w:w="7346" w:type="dxa"/>
            <w:vAlign w:val="center"/>
          </w:tcPr>
          <w:p w14:paraId="0D894891">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因落实政府采购政策进行价格调整的，以调整后的价格计算评标基准价和投标报价。</w:t>
            </w:r>
          </w:p>
        </w:tc>
      </w:tr>
      <w:tr w14:paraId="2A2D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45" w:type="dxa"/>
            <w:vMerge w:val="restart"/>
            <w:vAlign w:val="center"/>
          </w:tcPr>
          <w:p w14:paraId="108A4B73">
            <w:pPr>
              <w:pStyle w:val="46"/>
              <w:spacing w:line="240" w:lineRule="auto"/>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政府采购价格折扣优惠政策说明</w:t>
            </w:r>
          </w:p>
        </w:tc>
        <w:tc>
          <w:tcPr>
            <w:tcW w:w="1288" w:type="dxa"/>
            <w:vAlign w:val="center"/>
          </w:tcPr>
          <w:p w14:paraId="31A2E97A">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中小企业</w:t>
            </w:r>
          </w:p>
        </w:tc>
        <w:tc>
          <w:tcPr>
            <w:tcW w:w="7346" w:type="dxa"/>
            <w:vAlign w:val="center"/>
          </w:tcPr>
          <w:p w14:paraId="4F42443E">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对于未预留份额专门面向中小企业的采购项目，根据《政府采购促进中小企业发展管理办法》（财库[2020]46号）的规定，评标时将给予此类企业进行价格10%的优惠，用优惠后的价格参与评审。</w:t>
            </w:r>
          </w:p>
        </w:tc>
      </w:tr>
      <w:tr w14:paraId="4A08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45" w:type="dxa"/>
            <w:vMerge w:val="continue"/>
            <w:vAlign w:val="center"/>
          </w:tcPr>
          <w:p w14:paraId="1911797D">
            <w:pPr>
              <w:pStyle w:val="46"/>
              <w:jc w:val="center"/>
              <w:rPr>
                <w:rFonts w:hint="eastAsia" w:ascii="仿宋" w:hAnsi="仿宋" w:eastAsia="仿宋" w:cs="仿宋"/>
                <w:color w:val="auto"/>
                <w:highlight w:val="none"/>
                <w:lang w:val="en-US" w:eastAsia="zh-CN"/>
              </w:rPr>
            </w:pPr>
          </w:p>
        </w:tc>
        <w:tc>
          <w:tcPr>
            <w:tcW w:w="1288" w:type="dxa"/>
            <w:vAlign w:val="center"/>
          </w:tcPr>
          <w:p w14:paraId="099B7FE9">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监狱企业</w:t>
            </w:r>
          </w:p>
        </w:tc>
        <w:tc>
          <w:tcPr>
            <w:tcW w:w="7346" w:type="dxa"/>
            <w:vAlign w:val="center"/>
          </w:tcPr>
          <w:p w14:paraId="18534BD5">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财库〔2014〕68号《财政部司法部关于政府采购支持监狱企业发展有关问题的通知》，能够提供由省级以上监狱管理局、戒毒管理局（含新疆生产建设兵团）出具的“属于监狱企业的证明文件”的监狱企业，视同小型。</w:t>
            </w:r>
          </w:p>
        </w:tc>
      </w:tr>
      <w:tr w14:paraId="2B0D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645" w:type="dxa"/>
            <w:vMerge w:val="continue"/>
            <w:vAlign w:val="center"/>
          </w:tcPr>
          <w:p w14:paraId="28056968">
            <w:pPr>
              <w:pStyle w:val="46"/>
              <w:jc w:val="center"/>
              <w:rPr>
                <w:rFonts w:hint="eastAsia" w:ascii="仿宋" w:hAnsi="仿宋" w:eastAsia="仿宋" w:cs="仿宋"/>
                <w:color w:val="auto"/>
                <w:highlight w:val="none"/>
                <w:lang w:val="en-US" w:eastAsia="zh-CN"/>
              </w:rPr>
            </w:pPr>
          </w:p>
        </w:tc>
        <w:tc>
          <w:tcPr>
            <w:tcW w:w="1288" w:type="dxa"/>
            <w:vAlign w:val="center"/>
          </w:tcPr>
          <w:p w14:paraId="2F9B1F31">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福利企业</w:t>
            </w:r>
          </w:p>
        </w:tc>
        <w:tc>
          <w:tcPr>
            <w:tcW w:w="7346" w:type="dxa"/>
            <w:vAlign w:val="center"/>
          </w:tcPr>
          <w:p w14:paraId="6410394A">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财库〔2017〕141号《财政部民政部中国残疾人联合会关于促进残疾人就业政府采购政策的通知》，符合享受政府采购支持政策的残疾人福利性单位条件且提供自拟格式的《残疾人福利性单位声明函》的残疾人福利性单位，视同小型。</w:t>
            </w:r>
          </w:p>
        </w:tc>
      </w:tr>
    </w:tbl>
    <w:p w14:paraId="09539FAF">
      <w:pPr>
        <w:pStyle w:val="26"/>
        <w:rPr>
          <w:rFonts w:hint="eastAsia"/>
          <w:highlight w:val="none"/>
          <w:lang w:val="en-US" w:eastAsia="zh-CN"/>
        </w:rPr>
      </w:pPr>
    </w:p>
    <w:p w14:paraId="6152AB59">
      <w:pPr>
        <w:pStyle w:val="26"/>
        <w:rPr>
          <w:rFonts w:hint="eastAsia"/>
          <w:highlight w:val="none"/>
          <w:lang w:val="en-US" w:eastAsia="zh-CN"/>
        </w:rPr>
      </w:pPr>
    </w:p>
    <w:p w14:paraId="5EAFD626">
      <w:pPr>
        <w:pStyle w:val="26"/>
        <w:rPr>
          <w:rFonts w:hint="eastAsia"/>
          <w:highlight w:val="none"/>
          <w:lang w:val="en-US" w:eastAsia="zh-CN"/>
        </w:rPr>
      </w:pPr>
    </w:p>
    <w:p w14:paraId="7CD9192F">
      <w:pPr>
        <w:pStyle w:val="26"/>
        <w:rPr>
          <w:rFonts w:hint="eastAsia"/>
          <w:highlight w:val="none"/>
          <w:lang w:val="en-US" w:eastAsia="zh-CN"/>
        </w:rPr>
      </w:pPr>
    </w:p>
    <w:p w14:paraId="6781F58C">
      <w:pPr>
        <w:pStyle w:val="26"/>
        <w:rPr>
          <w:rFonts w:hint="eastAsia"/>
          <w:highlight w:val="none"/>
          <w:lang w:val="en-US" w:eastAsia="zh-CN"/>
        </w:rPr>
      </w:pPr>
    </w:p>
    <w:tbl>
      <w:tblPr>
        <w:tblStyle w:val="36"/>
        <w:tblpPr w:leftFromText="180" w:rightFromText="180" w:vertAnchor="text" w:horzAnchor="page" w:tblpXSpec="center" w:tblpY="412"/>
        <w:tblOverlap w:val="never"/>
        <w:tblW w:w="54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355"/>
        <w:gridCol w:w="8138"/>
      </w:tblGrid>
      <w:tr w14:paraId="70E4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jc w:val="center"/>
        </w:trPr>
        <w:tc>
          <w:tcPr>
            <w:tcW w:w="5000" w:type="pct"/>
            <w:gridSpan w:val="3"/>
            <w:shd w:val="clear" w:color="auto" w:fill="auto"/>
            <w:noWrap/>
            <w:vAlign w:val="center"/>
          </w:tcPr>
          <w:p w14:paraId="216774C0">
            <w:pPr>
              <w:pStyle w:val="34"/>
              <w:spacing w:after="0"/>
              <w:ind w:left="0" w:leftChars="0" w:firstLine="0" w:firstLineChars="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b/>
                <w:bCs/>
                <w:color w:val="auto"/>
                <w:sz w:val="24"/>
                <w:szCs w:val="24"/>
                <w:highlight w:val="none"/>
              </w:rPr>
              <w:t>商务技术部分（70分）</w:t>
            </w:r>
          </w:p>
        </w:tc>
      </w:tr>
      <w:tr w14:paraId="528D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300" w:type="pct"/>
            <w:shd w:val="clear" w:color="auto" w:fill="auto"/>
            <w:noWrap/>
            <w:vAlign w:val="center"/>
          </w:tcPr>
          <w:p w14:paraId="29E12230">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w:t>
            </w:r>
          </w:p>
        </w:tc>
        <w:tc>
          <w:tcPr>
            <w:tcW w:w="671" w:type="pct"/>
            <w:shd w:val="clear" w:color="auto" w:fill="auto"/>
            <w:vAlign w:val="center"/>
          </w:tcPr>
          <w:p w14:paraId="6C0B21AA">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技术参数响应程度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35</w:t>
            </w:r>
            <w:r>
              <w:rPr>
                <w:rFonts w:hint="eastAsia" w:ascii="仿宋" w:hAnsi="仿宋" w:eastAsia="仿宋" w:cs="仿宋"/>
                <w:kern w:val="0"/>
                <w:sz w:val="24"/>
                <w:szCs w:val="24"/>
                <w:highlight w:val="none"/>
              </w:rPr>
              <w:t>分）</w:t>
            </w:r>
          </w:p>
        </w:tc>
        <w:tc>
          <w:tcPr>
            <w:tcW w:w="4027" w:type="pct"/>
            <w:shd w:val="clear" w:color="auto" w:fill="auto"/>
            <w:vAlign w:val="center"/>
          </w:tcPr>
          <w:p w14:paraId="430DBC91">
            <w:pPr>
              <w:widowControl/>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根据投标人投标产品技术参数及功能满足招标文件的情况进行评定</w:t>
            </w:r>
            <w:r>
              <w:rPr>
                <w:rFonts w:hint="eastAsia" w:ascii="仿宋" w:hAnsi="仿宋" w:eastAsia="仿宋" w:cs="仿宋"/>
                <w:kern w:val="0"/>
                <w:sz w:val="24"/>
                <w:szCs w:val="24"/>
                <w:highlight w:val="none"/>
              </w:rPr>
              <w:t>，标▲</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11项</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产品技术参数不符合招标文件要求的，每有一项扣</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分，扣完为止；非标▲产品技术参数不符合招标文件要求的，每有一项扣</w:t>
            </w:r>
            <w:r>
              <w:rPr>
                <w:rFonts w:hint="eastAsia" w:ascii="仿宋" w:hAnsi="仿宋" w:eastAsia="仿宋" w:cs="仿宋"/>
                <w:kern w:val="0"/>
                <w:sz w:val="24"/>
                <w:szCs w:val="24"/>
                <w:highlight w:val="none"/>
                <w:lang w:val="en-US" w:eastAsia="zh-CN"/>
              </w:rPr>
              <w:t>0.5</w:t>
            </w:r>
            <w:r>
              <w:rPr>
                <w:rFonts w:hint="eastAsia" w:ascii="仿宋" w:hAnsi="仿宋" w:eastAsia="仿宋" w:cs="仿宋"/>
                <w:kern w:val="0"/>
                <w:sz w:val="24"/>
                <w:szCs w:val="24"/>
                <w:highlight w:val="none"/>
              </w:rPr>
              <w:t>分，扣完为止；注：（按要求提供官网截图指标或功能截图或检测报告等证明材料，不提供相关材料证明或提供证明材料与要求不符，视为不满足参数要求）</w:t>
            </w:r>
            <w:r>
              <w:rPr>
                <w:rFonts w:hint="eastAsia" w:ascii="仿宋" w:hAnsi="仿宋" w:eastAsia="仿宋" w:cs="仿宋"/>
                <w:kern w:val="0"/>
                <w:sz w:val="24"/>
                <w:szCs w:val="24"/>
                <w:highlight w:val="none"/>
                <w:lang w:eastAsia="zh-CN"/>
              </w:rPr>
              <w:t>。</w:t>
            </w:r>
          </w:p>
        </w:tc>
      </w:tr>
      <w:tr w14:paraId="1B70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300" w:type="pct"/>
            <w:shd w:val="clear" w:color="auto" w:fill="auto"/>
            <w:noWrap/>
            <w:vAlign w:val="center"/>
          </w:tcPr>
          <w:p w14:paraId="059A063A">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2</w:t>
            </w:r>
          </w:p>
        </w:tc>
        <w:tc>
          <w:tcPr>
            <w:tcW w:w="671" w:type="pct"/>
            <w:shd w:val="clear" w:color="auto" w:fill="auto"/>
            <w:vAlign w:val="center"/>
          </w:tcPr>
          <w:p w14:paraId="4DE698FD">
            <w:pPr>
              <w:widowControl/>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产品厂商实力</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分）</w:t>
            </w:r>
          </w:p>
        </w:tc>
        <w:tc>
          <w:tcPr>
            <w:tcW w:w="4027" w:type="pct"/>
            <w:shd w:val="clear" w:color="auto" w:fill="auto"/>
            <w:vAlign w:val="center"/>
          </w:tcPr>
          <w:p w14:paraId="61681998">
            <w:pPr>
              <w:pStyle w:val="15"/>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产品制造商</w:t>
            </w:r>
            <w:r>
              <w:rPr>
                <w:rFonts w:hint="eastAsia" w:ascii="仿宋" w:hAnsi="仿宋" w:eastAsia="仿宋" w:cs="仿宋"/>
                <w:kern w:val="0"/>
                <w:sz w:val="24"/>
                <w:szCs w:val="24"/>
                <w:highlight w:val="none"/>
                <w:lang w:val="en-US" w:eastAsia="zh-CN"/>
              </w:rPr>
              <w:t>具备ISO27001信息安全管理体系认证证书</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ISO14001环境管理体系认证证书</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ISO9001质量管理体系认证证书</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ISO45001职业健康安全管理体系认证证书</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ISO28000供应链安全管理体系认证证书</w:t>
            </w:r>
            <w:r>
              <w:rPr>
                <w:rFonts w:hint="eastAsia" w:ascii="仿宋" w:hAnsi="仿宋" w:eastAsia="仿宋" w:cs="仿宋"/>
                <w:kern w:val="0"/>
                <w:sz w:val="24"/>
                <w:szCs w:val="24"/>
                <w:highlight w:val="none"/>
                <w:lang w:eastAsia="zh-CN"/>
              </w:rPr>
              <w:t>、ISO22301业务连续性管理体系认证证书（</w:t>
            </w:r>
            <w:r>
              <w:rPr>
                <w:rFonts w:hint="eastAsia" w:ascii="仿宋" w:hAnsi="仿宋" w:eastAsia="仿宋" w:cs="仿宋"/>
                <w:kern w:val="0"/>
                <w:sz w:val="24"/>
                <w:szCs w:val="24"/>
                <w:highlight w:val="none"/>
                <w:lang w:val="en-US" w:eastAsia="zh-CN"/>
              </w:rPr>
              <w:t>认证范围需同本标项相关</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（提供认证证书复印件、全国认证认可信息公共服务平台查询链接及截图，否则不计分）</w:t>
            </w:r>
            <w:r>
              <w:rPr>
                <w:rFonts w:hint="eastAsia" w:ascii="仿宋" w:hAnsi="仿宋" w:eastAsia="仿宋" w:cs="仿宋"/>
                <w:kern w:val="0"/>
                <w:sz w:val="24"/>
                <w:szCs w:val="24"/>
                <w:highlight w:val="none"/>
                <w:lang w:eastAsia="zh-CN"/>
              </w:rPr>
              <w:t>。</w:t>
            </w:r>
          </w:p>
        </w:tc>
      </w:tr>
      <w:tr w14:paraId="1910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300" w:type="pct"/>
            <w:shd w:val="clear" w:color="auto" w:fill="auto"/>
            <w:noWrap/>
            <w:vAlign w:val="center"/>
          </w:tcPr>
          <w:p w14:paraId="3DCF7180">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3</w:t>
            </w:r>
          </w:p>
        </w:tc>
        <w:tc>
          <w:tcPr>
            <w:tcW w:w="671" w:type="pct"/>
            <w:shd w:val="clear" w:color="auto" w:fill="auto"/>
            <w:vAlign w:val="center"/>
          </w:tcPr>
          <w:p w14:paraId="2392AB9A">
            <w:pPr>
              <w:widowControl/>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类似业绩</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（4分）</w:t>
            </w:r>
          </w:p>
        </w:tc>
        <w:tc>
          <w:tcPr>
            <w:tcW w:w="4027" w:type="pct"/>
            <w:shd w:val="clear" w:color="auto" w:fill="auto"/>
            <w:vAlign w:val="center"/>
          </w:tcPr>
          <w:p w14:paraId="4D009085">
            <w:pPr>
              <w:widowControl/>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eastAsia="zh-CN"/>
              </w:rPr>
              <w:t>提供所投产品投标截止日前三年类似</w:t>
            </w:r>
            <w:r>
              <w:rPr>
                <w:rFonts w:hint="eastAsia" w:ascii="仿宋" w:hAnsi="仿宋" w:eastAsia="仿宋" w:cs="仿宋"/>
                <w:kern w:val="0"/>
                <w:sz w:val="24"/>
                <w:szCs w:val="24"/>
                <w:highlight w:val="none"/>
                <w:lang w:val="en-US" w:eastAsia="zh-CN"/>
              </w:rPr>
              <w:t>项目</w:t>
            </w:r>
            <w:r>
              <w:rPr>
                <w:rFonts w:hint="eastAsia" w:ascii="仿宋" w:hAnsi="仿宋" w:eastAsia="仿宋" w:cs="仿宋"/>
                <w:kern w:val="0"/>
                <w:sz w:val="24"/>
                <w:szCs w:val="24"/>
                <w:highlight w:val="none"/>
                <w:lang w:eastAsia="zh-CN"/>
              </w:rPr>
              <w:t>业绩</w:t>
            </w:r>
            <w:r>
              <w:rPr>
                <w:rFonts w:hint="eastAsia" w:ascii="仿宋" w:hAnsi="仿宋" w:eastAsia="仿宋" w:cs="仿宋"/>
                <w:kern w:val="0"/>
                <w:sz w:val="24"/>
                <w:szCs w:val="24"/>
                <w:highlight w:val="none"/>
              </w:rPr>
              <w:t>，每提供1个有效业绩得</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分，本项满分得4分（要求：有效业绩指同时提供合同。提供齐全视为一份有效业绩，未按要求提供或提供资料不齐全视为无效业绩）未提供业绩证明材料的本项不得分。</w:t>
            </w:r>
          </w:p>
        </w:tc>
      </w:tr>
      <w:tr w14:paraId="5106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300" w:type="pct"/>
            <w:shd w:val="clear" w:color="auto" w:fill="auto"/>
            <w:noWrap/>
            <w:vAlign w:val="center"/>
          </w:tcPr>
          <w:p w14:paraId="78C49B35">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4</w:t>
            </w:r>
          </w:p>
        </w:tc>
        <w:tc>
          <w:tcPr>
            <w:tcW w:w="671" w:type="pct"/>
            <w:shd w:val="clear" w:color="auto" w:fill="auto"/>
            <w:vAlign w:val="center"/>
          </w:tcPr>
          <w:p w14:paraId="6058FD67">
            <w:pPr>
              <w:snapToGrid w:val="0"/>
              <w:spacing w:line="4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rPr>
              <w:t>项目组织方案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12分</w:t>
            </w:r>
            <w:r>
              <w:rPr>
                <w:rFonts w:hint="eastAsia" w:ascii="仿宋" w:hAnsi="仿宋" w:eastAsia="仿宋" w:cs="仿宋"/>
                <w:color w:val="auto"/>
                <w:sz w:val="24"/>
                <w:szCs w:val="24"/>
                <w:highlight w:val="none"/>
                <w:lang w:eastAsia="zh-CN"/>
              </w:rPr>
              <w:t>）</w:t>
            </w:r>
          </w:p>
        </w:tc>
        <w:tc>
          <w:tcPr>
            <w:tcW w:w="4027" w:type="pct"/>
            <w:shd w:val="clear" w:color="auto" w:fill="auto"/>
            <w:vAlign w:val="center"/>
          </w:tcPr>
          <w:p w14:paraId="7C13860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根据供应商提供的项目</w:t>
            </w:r>
            <w:r>
              <w:rPr>
                <w:rFonts w:hint="eastAsia" w:ascii="仿宋" w:hAnsi="仿宋" w:eastAsia="仿宋" w:cs="仿宋"/>
                <w:color w:val="auto"/>
                <w:sz w:val="24"/>
                <w:szCs w:val="24"/>
                <w:highlight w:val="none"/>
                <w:lang w:val="en-US" w:eastAsia="zh-CN"/>
              </w:rPr>
              <w:t>组织</w:t>
            </w:r>
            <w:r>
              <w:rPr>
                <w:rFonts w:hint="eastAsia" w:ascii="仿宋" w:hAnsi="仿宋" w:eastAsia="仿宋" w:cs="仿宋"/>
                <w:color w:val="auto"/>
                <w:sz w:val="24"/>
                <w:szCs w:val="24"/>
                <w:highlight w:val="none"/>
                <w:lang w:eastAsia="zh-CN"/>
              </w:rPr>
              <w:t>方案进行评分：</w:t>
            </w:r>
          </w:p>
          <w:p w14:paraId="5445F301">
            <w:pPr>
              <w:keepNext w:val="0"/>
              <w:keepLines w:val="0"/>
              <w:widowControl w:val="0"/>
              <w:suppressLineNumbers w:val="0"/>
              <w:shd w:val="clear" w:color="auto" w:fill="auto"/>
              <w:adjustRightInd/>
              <w:spacing w:before="0" w:beforeAutospacing="0" w:after="0" w:afterAutospacing="0" w:line="240" w:lineRule="auto"/>
              <w:ind w:left="0" w:leftChars="0" w:right="0" w:rightChars="0" w:firstLine="0" w:firstLineChars="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b w:val="0"/>
                <w:bCs w:val="0"/>
                <w:color w:val="auto"/>
                <w:sz w:val="24"/>
                <w:szCs w:val="24"/>
                <w:highlight w:val="none"/>
              </w:rPr>
              <w:t>项目</w:t>
            </w:r>
            <w:r>
              <w:rPr>
                <w:rFonts w:hint="eastAsia" w:ascii="仿宋" w:hAnsi="仿宋" w:eastAsia="仿宋" w:cs="仿宋"/>
                <w:b w:val="0"/>
                <w:bCs w:val="0"/>
                <w:color w:val="auto"/>
                <w:sz w:val="24"/>
                <w:szCs w:val="24"/>
                <w:highlight w:val="none"/>
                <w:lang w:val="en-US" w:eastAsia="zh-CN"/>
              </w:rPr>
              <w:t>组织</w:t>
            </w:r>
            <w:r>
              <w:rPr>
                <w:rFonts w:hint="eastAsia" w:ascii="仿宋" w:hAnsi="仿宋" w:eastAsia="仿宋" w:cs="仿宋"/>
                <w:b w:val="0"/>
                <w:bCs w:val="0"/>
                <w:color w:val="auto"/>
                <w:sz w:val="24"/>
                <w:szCs w:val="24"/>
                <w:highlight w:val="none"/>
              </w:rPr>
              <w:t>方案包括但不限于：</w:t>
            </w:r>
            <w:r>
              <w:rPr>
                <w:rFonts w:hint="eastAsia" w:ascii="仿宋" w:hAnsi="仿宋" w:eastAsia="仿宋" w:cs="仿宋"/>
                <w:b w:val="0"/>
                <w:bCs w:val="0"/>
                <w:color w:val="auto"/>
                <w:sz w:val="24"/>
                <w:szCs w:val="24"/>
                <w:highlight w:val="none"/>
                <w:lang w:eastAsia="zh-CN"/>
              </w:rPr>
              <w:t>①</w:t>
            </w:r>
            <w:r>
              <w:rPr>
                <w:rFonts w:hint="eastAsia" w:ascii="仿宋" w:hAnsi="仿宋" w:eastAsia="仿宋" w:cs="仿宋"/>
                <w:b w:val="0"/>
                <w:bCs w:val="0"/>
                <w:color w:val="auto"/>
                <w:sz w:val="24"/>
                <w:szCs w:val="24"/>
                <w:highlight w:val="none"/>
              </w:rPr>
              <w:t>项目人员安排（包含但不限于主要人员名单及基本情况介绍、在本项目中承担的职责等）、</w:t>
            </w:r>
            <w:r>
              <w:rPr>
                <w:rFonts w:hint="eastAsia" w:ascii="仿宋" w:hAnsi="仿宋" w:eastAsia="仿宋" w:cs="仿宋"/>
                <w:b w:val="0"/>
                <w:bCs w:val="0"/>
                <w:color w:val="auto"/>
                <w:sz w:val="24"/>
                <w:szCs w:val="24"/>
                <w:highlight w:val="none"/>
                <w:lang w:eastAsia="zh-CN"/>
              </w:rPr>
              <w:t>②</w:t>
            </w:r>
            <w:r>
              <w:rPr>
                <w:rFonts w:hint="eastAsia" w:ascii="仿宋" w:hAnsi="仿宋" w:eastAsia="仿宋" w:cs="仿宋"/>
                <w:b w:val="0"/>
                <w:bCs w:val="0"/>
                <w:color w:val="auto"/>
                <w:sz w:val="24"/>
                <w:szCs w:val="24"/>
                <w:highlight w:val="none"/>
              </w:rPr>
              <w:t>供货方案（包含但不限于产品来源、供货计划、供货时间、包装和运输方式等）、</w:t>
            </w:r>
            <w:r>
              <w:rPr>
                <w:rFonts w:hint="eastAsia" w:ascii="仿宋" w:hAnsi="仿宋" w:eastAsia="仿宋" w:cs="仿宋"/>
                <w:b w:val="0"/>
                <w:bCs w:val="0"/>
                <w:color w:val="auto"/>
                <w:sz w:val="24"/>
                <w:szCs w:val="24"/>
                <w:highlight w:val="none"/>
                <w:lang w:eastAsia="zh-CN"/>
              </w:rPr>
              <w:t>③</w:t>
            </w:r>
            <w:r>
              <w:rPr>
                <w:rFonts w:hint="eastAsia" w:ascii="仿宋" w:hAnsi="仿宋" w:eastAsia="仿宋" w:cs="仿宋"/>
                <w:b w:val="0"/>
                <w:bCs w:val="0"/>
                <w:color w:val="auto"/>
                <w:sz w:val="24"/>
                <w:szCs w:val="24"/>
                <w:highlight w:val="none"/>
              </w:rPr>
              <w:t>质量管控方案（包括但不限于质量管控的标准、方法和程序等）、</w:t>
            </w:r>
            <w:r>
              <w:rPr>
                <w:rFonts w:hint="eastAsia" w:ascii="仿宋" w:hAnsi="仿宋" w:eastAsia="仿宋" w:cs="仿宋"/>
                <w:b w:val="0"/>
                <w:bCs w:val="0"/>
                <w:color w:val="auto"/>
                <w:sz w:val="24"/>
                <w:szCs w:val="24"/>
                <w:highlight w:val="none"/>
                <w:lang w:eastAsia="zh-CN"/>
              </w:rPr>
              <w:t>④</w:t>
            </w:r>
            <w:r>
              <w:rPr>
                <w:rFonts w:hint="eastAsia" w:ascii="仿宋" w:hAnsi="仿宋" w:eastAsia="仿宋" w:cs="仿宋"/>
                <w:b w:val="0"/>
                <w:bCs w:val="0"/>
                <w:color w:val="auto"/>
                <w:sz w:val="24"/>
                <w:szCs w:val="24"/>
                <w:highlight w:val="none"/>
              </w:rPr>
              <w:t>测试（调试）方案（包含但不限于人员安排、测试步骤、测试标准等）等4项内容，方案内容完整齐全，符合项目实际的，得</w:t>
            </w: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分；每缺少一项方案内容</w:t>
            </w:r>
            <w:r>
              <w:rPr>
                <w:rFonts w:hint="eastAsia" w:ascii="仿宋" w:hAnsi="仿宋" w:eastAsia="仿宋" w:cs="仿宋"/>
                <w:b w:val="0"/>
                <w:bCs w:val="0"/>
                <w:color w:val="auto"/>
                <w:sz w:val="24"/>
                <w:szCs w:val="24"/>
                <w:highlight w:val="none"/>
                <w:lang w:val="en-US" w:eastAsia="zh-CN"/>
              </w:rPr>
              <w:t>扣3分</w:t>
            </w:r>
            <w:r>
              <w:rPr>
                <w:rFonts w:hint="eastAsia" w:ascii="仿宋" w:hAnsi="仿宋" w:eastAsia="仿宋" w:cs="仿宋"/>
                <w:b w:val="0"/>
                <w:bCs w:val="0"/>
                <w:color w:val="auto"/>
                <w:sz w:val="24"/>
                <w:szCs w:val="24"/>
                <w:highlight w:val="none"/>
              </w:rPr>
              <w:t>，</w:t>
            </w:r>
            <w:r>
              <w:rPr>
                <w:rFonts w:hint="eastAsia" w:ascii="仿宋" w:hAnsi="仿宋" w:eastAsia="仿宋" w:cs="仿宋"/>
                <w:bCs/>
                <w:color w:val="auto"/>
                <w:sz w:val="24"/>
                <w:highlight w:val="none"/>
              </w:rPr>
              <w:t>每项内容中每有一处内容缺陷扣 1</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 xml:space="preserve"> 分(缺陷是指：存在不适用项目实际情况的情形、凭空编造、内容前后不一致、前后逻辑错误、涉及的规范及标准错误、地点区域错误、内容遗漏、不符合采购需求等)，扣完为止。</w:t>
            </w:r>
          </w:p>
        </w:tc>
      </w:tr>
      <w:tr w14:paraId="5ACF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300" w:type="pct"/>
            <w:shd w:val="clear" w:color="auto" w:fill="auto"/>
            <w:noWrap/>
            <w:vAlign w:val="center"/>
          </w:tcPr>
          <w:p w14:paraId="5E049CBD">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5</w:t>
            </w:r>
          </w:p>
        </w:tc>
        <w:tc>
          <w:tcPr>
            <w:tcW w:w="671" w:type="pct"/>
            <w:shd w:val="clear" w:color="auto" w:fill="auto"/>
            <w:vAlign w:val="center"/>
          </w:tcPr>
          <w:p w14:paraId="19DB67DD">
            <w:pPr>
              <w:pStyle w:val="5"/>
              <w:ind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技术培训方案</w:t>
            </w:r>
          </w:p>
          <w:p w14:paraId="54E329AD">
            <w:pPr>
              <w:pStyle w:val="5"/>
              <w:ind w:firstLine="0" w:firstLine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6分</w:t>
            </w:r>
            <w:r>
              <w:rPr>
                <w:rFonts w:hint="eastAsia" w:ascii="仿宋" w:hAnsi="仿宋" w:eastAsia="仿宋" w:cs="仿宋"/>
                <w:bCs/>
                <w:color w:val="auto"/>
                <w:sz w:val="24"/>
                <w:highlight w:val="none"/>
                <w:lang w:eastAsia="zh-CN"/>
              </w:rPr>
              <w:t>）</w:t>
            </w:r>
          </w:p>
        </w:tc>
        <w:tc>
          <w:tcPr>
            <w:tcW w:w="4027" w:type="pct"/>
            <w:shd w:val="clear" w:color="auto" w:fill="auto"/>
            <w:vAlign w:val="center"/>
          </w:tcPr>
          <w:p w14:paraId="380B8A96">
            <w:pPr>
              <w:pStyle w:val="5"/>
              <w:ind w:firstLine="0" w:firstLineChars="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根据供应商提供的项目</w:t>
            </w:r>
            <w:r>
              <w:rPr>
                <w:rFonts w:hint="eastAsia" w:ascii="仿宋" w:hAnsi="仿宋" w:eastAsia="仿宋" w:cs="仿宋"/>
                <w:bCs/>
                <w:color w:val="auto"/>
                <w:sz w:val="24"/>
                <w:highlight w:val="none"/>
                <w:lang w:val="en-US" w:eastAsia="zh-CN"/>
              </w:rPr>
              <w:t>技术</w:t>
            </w:r>
            <w:r>
              <w:rPr>
                <w:rFonts w:hint="eastAsia" w:ascii="仿宋" w:hAnsi="仿宋" w:eastAsia="仿宋" w:cs="仿宋"/>
                <w:bCs/>
                <w:color w:val="auto"/>
                <w:sz w:val="24"/>
                <w:highlight w:val="none"/>
                <w:lang w:eastAsia="zh-CN"/>
              </w:rPr>
              <w:t>培训方案进行评分：</w:t>
            </w:r>
          </w:p>
          <w:p w14:paraId="67743F41">
            <w:pPr>
              <w:pStyle w:val="5"/>
              <w:ind w:firstLine="0" w:firstLineChars="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bCs/>
                <w:color w:val="auto"/>
                <w:sz w:val="24"/>
                <w:highlight w:val="none"/>
                <w:lang w:eastAsia="zh-CN"/>
              </w:rPr>
              <w:t>项目培训方案包括但不限于</w:t>
            </w:r>
            <w:r>
              <w:rPr>
                <w:rFonts w:hint="eastAsia" w:ascii="仿宋" w:hAnsi="仿宋" w:eastAsia="仿宋" w:cs="仿宋"/>
                <w:bCs/>
                <w:color w:val="auto"/>
                <w:sz w:val="24"/>
                <w:highlight w:val="none"/>
                <w:lang w:val="en-US" w:eastAsia="zh-CN"/>
              </w:rPr>
              <w:t>培训内容、培训方式、培训计划、培训团队人员配置</w:t>
            </w:r>
            <w:r>
              <w:rPr>
                <w:rFonts w:hint="eastAsia" w:ascii="仿宋" w:hAnsi="仿宋" w:eastAsia="仿宋" w:cs="仿宋"/>
                <w:bCs/>
                <w:color w:val="auto"/>
                <w:sz w:val="24"/>
                <w:highlight w:val="none"/>
                <w:lang w:eastAsia="zh-CN"/>
              </w:rPr>
              <w:t>等</w:t>
            </w:r>
            <w:r>
              <w:rPr>
                <w:rFonts w:hint="eastAsia" w:ascii="仿宋" w:hAnsi="仿宋" w:eastAsia="仿宋" w:cs="仿宋"/>
                <w:bCs/>
                <w:color w:val="auto"/>
                <w:sz w:val="24"/>
                <w:highlight w:val="none"/>
                <w:lang w:val="en-US" w:eastAsia="zh-CN"/>
              </w:rPr>
              <w:t>4项内容，</w:t>
            </w:r>
            <w:r>
              <w:rPr>
                <w:rFonts w:hint="eastAsia" w:ascii="仿宋" w:hAnsi="仿宋" w:eastAsia="仿宋" w:cs="仿宋"/>
                <w:bCs/>
                <w:color w:val="auto"/>
                <w:sz w:val="24"/>
                <w:highlight w:val="none"/>
                <w:lang w:eastAsia="zh-CN"/>
              </w:rPr>
              <w:t>方案内容完整齐全，符合项目实际的，得</w:t>
            </w:r>
            <w:r>
              <w:rPr>
                <w:rFonts w:hint="eastAsia" w:ascii="仿宋" w:hAnsi="仿宋" w:eastAsia="仿宋" w:cs="仿宋"/>
                <w:bCs/>
                <w:color w:val="auto"/>
                <w:sz w:val="24"/>
                <w:highlight w:val="none"/>
                <w:lang w:val="en-US" w:eastAsia="zh-CN"/>
              </w:rPr>
              <w:t>6分；每缺少一项方案内容扣1.5分，每项内容中每有一处内容缺陷扣1分(缺陷是指：存在不适用项目实际情况的情形、凭空编造、内容前后不一致、前后逻辑错误、涉及的规范及标准错误、地点区域错误、内容遗漏、不符合采购需求等)每项内容1分，扣完为止。</w:t>
            </w:r>
          </w:p>
        </w:tc>
      </w:tr>
      <w:tr w14:paraId="402C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jc w:val="center"/>
        </w:trPr>
        <w:tc>
          <w:tcPr>
            <w:tcW w:w="300" w:type="pct"/>
            <w:shd w:val="clear" w:color="auto" w:fill="auto"/>
            <w:noWrap/>
            <w:vAlign w:val="center"/>
          </w:tcPr>
          <w:p w14:paraId="6CBEE9AC">
            <w:pPr>
              <w:widowControl/>
              <w:jc w:val="center"/>
              <w:rPr>
                <w:rFonts w:hint="eastAsia" w:ascii="仿宋" w:hAnsi="仿宋" w:eastAsia="仿宋" w:cs="仿宋"/>
                <w:kern w:val="0"/>
                <w:sz w:val="24"/>
                <w:szCs w:val="24"/>
                <w:highlight w:val="none"/>
                <w:lang w:eastAsia="zh-CN"/>
              </w:rPr>
            </w:pPr>
            <w:bookmarkStart w:id="156" w:name="_GoBack" w:colFirst="1" w:colLast="2"/>
            <w:r>
              <w:rPr>
                <w:rFonts w:hint="eastAsia" w:ascii="仿宋" w:hAnsi="仿宋" w:eastAsia="仿宋" w:cs="仿宋"/>
                <w:kern w:val="0"/>
                <w:sz w:val="24"/>
                <w:szCs w:val="24"/>
                <w:highlight w:val="none"/>
                <w:lang w:val="en-US" w:eastAsia="zh-CN"/>
              </w:rPr>
              <w:t>6</w:t>
            </w:r>
          </w:p>
        </w:tc>
        <w:tc>
          <w:tcPr>
            <w:tcW w:w="671" w:type="pct"/>
            <w:shd w:val="clear" w:color="auto" w:fill="auto"/>
            <w:vAlign w:val="center"/>
          </w:tcPr>
          <w:p w14:paraId="7871E83A">
            <w:pPr>
              <w:widowControl/>
              <w:spacing w:line="40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w:t>
            </w:r>
          </w:p>
          <w:p w14:paraId="083626E9">
            <w:pPr>
              <w:keepNext w:val="0"/>
              <w:keepLines w:val="0"/>
              <w:widowControl w:val="0"/>
              <w:suppressLineNumbers w:val="0"/>
              <w:shd w:val="clear" w:color="auto" w:fill="auto"/>
              <w:adjustRightInd/>
              <w:spacing w:before="0" w:beforeAutospacing="0" w:after="120" w:afterAutospacing="0" w:line="300" w:lineRule="exact"/>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7分</w:t>
            </w:r>
            <w:r>
              <w:rPr>
                <w:rFonts w:hint="eastAsia" w:ascii="仿宋" w:hAnsi="仿宋" w:eastAsia="仿宋" w:cs="仿宋"/>
                <w:color w:val="auto"/>
                <w:kern w:val="0"/>
                <w:sz w:val="24"/>
                <w:szCs w:val="24"/>
                <w:highlight w:val="none"/>
                <w:lang w:eastAsia="zh-CN"/>
              </w:rPr>
              <w:t>）</w:t>
            </w:r>
          </w:p>
        </w:tc>
        <w:tc>
          <w:tcPr>
            <w:tcW w:w="4027" w:type="pct"/>
            <w:shd w:val="clear" w:color="auto" w:fill="auto"/>
            <w:vAlign w:val="center"/>
          </w:tcPr>
          <w:p w14:paraId="5AC176A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根据供应商提供的售后服务方案进行评分：</w:t>
            </w:r>
          </w:p>
          <w:p w14:paraId="3A6ED34F">
            <w:pPr>
              <w:keepNext w:val="0"/>
              <w:keepLines w:val="0"/>
              <w:widowControl w:val="0"/>
              <w:suppressLineNumbers w:val="0"/>
              <w:shd w:val="clear" w:color="auto" w:fill="auto"/>
              <w:adjustRightInd/>
              <w:spacing w:before="0" w:beforeAutospacing="0" w:after="0" w:afterAutospacing="0" w:line="240" w:lineRule="auto"/>
              <w:ind w:left="0" w:leftChars="0" w:right="0" w:rightChars="0" w:firstLine="0" w:firstLineChars="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lang w:eastAsia="zh-CN"/>
              </w:rPr>
              <w:t>项目售后服务方案包括但不限于</w:t>
            </w:r>
            <w:r>
              <w:rPr>
                <w:rFonts w:hint="eastAsia" w:ascii="仿宋" w:hAnsi="仿宋" w:eastAsia="仿宋" w:cs="仿宋"/>
                <w:color w:val="auto"/>
                <w:sz w:val="24"/>
                <w:szCs w:val="24"/>
                <w:highlight w:val="none"/>
                <w:lang w:val="en-US" w:eastAsia="zh-CN"/>
              </w:rPr>
              <w:t>售后服务承诺、巡检方案、备品备件更换方案、服务人员配备（含专职维修工程师、保证设备的日常维护及故障排除、厂家技术方面专职维修工程师以提供技术服务支持）、故障响应措施、</w:t>
            </w:r>
            <w:r>
              <w:rPr>
                <w:rFonts w:hint="eastAsia" w:ascii="仿宋" w:hAnsi="仿宋" w:eastAsia="仿宋" w:cs="仿宋"/>
                <w:color w:val="auto"/>
                <w:sz w:val="24"/>
                <w:szCs w:val="24"/>
                <w:highlight w:val="none"/>
              </w:rPr>
              <w:t>故障维修响应时间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质保外服务措施</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lang w:val="en-US" w:eastAsia="zh-CN"/>
              </w:rPr>
              <w:t>7项内容，</w:t>
            </w:r>
            <w:r>
              <w:rPr>
                <w:rFonts w:hint="eastAsia" w:ascii="仿宋" w:hAnsi="仿宋" w:eastAsia="仿宋" w:cs="仿宋"/>
                <w:color w:val="auto"/>
                <w:sz w:val="24"/>
                <w:szCs w:val="24"/>
                <w:highlight w:val="none"/>
                <w:lang w:eastAsia="zh-CN"/>
              </w:rPr>
              <w:t>方案内容完整齐全，符合项目实际的，得</w:t>
            </w:r>
            <w:r>
              <w:rPr>
                <w:rFonts w:hint="eastAsia" w:ascii="仿宋" w:hAnsi="仿宋" w:eastAsia="仿宋" w:cs="仿宋"/>
                <w:color w:val="auto"/>
                <w:sz w:val="24"/>
                <w:szCs w:val="24"/>
                <w:highlight w:val="none"/>
                <w:lang w:val="en-US" w:eastAsia="zh-CN"/>
              </w:rPr>
              <w:t>7分；每缺少一项方案内容扣1分，</w:t>
            </w:r>
            <w:r>
              <w:rPr>
                <w:rFonts w:hint="eastAsia" w:ascii="仿宋" w:hAnsi="仿宋" w:eastAsia="仿宋" w:cs="仿宋"/>
                <w:b w:val="0"/>
                <w:bCs w:val="0"/>
                <w:color w:val="auto"/>
                <w:sz w:val="24"/>
                <w:szCs w:val="24"/>
                <w:highlight w:val="none"/>
                <w:lang w:val="en-US" w:eastAsia="zh-CN"/>
              </w:rPr>
              <w:t>每有</w:t>
            </w:r>
            <w:r>
              <w:rPr>
                <w:rFonts w:hint="eastAsia" w:ascii="仿宋" w:hAnsi="仿宋" w:eastAsia="仿宋" w:cs="仿宋"/>
                <w:b w:val="0"/>
                <w:bCs w:val="0"/>
                <w:color w:val="auto"/>
                <w:sz w:val="24"/>
                <w:szCs w:val="24"/>
                <w:highlight w:val="none"/>
              </w:rPr>
              <w:t>一项内容存在</w:t>
            </w:r>
            <w:r>
              <w:rPr>
                <w:rFonts w:hint="eastAsia" w:ascii="仿宋" w:hAnsi="仿宋" w:eastAsia="仿宋" w:cs="仿宋"/>
                <w:b w:val="0"/>
                <w:bCs w:val="0"/>
                <w:color w:val="auto"/>
                <w:sz w:val="24"/>
                <w:szCs w:val="24"/>
                <w:highlight w:val="none"/>
                <w:lang w:val="en-US" w:eastAsia="zh-CN"/>
              </w:rPr>
              <w:t>缺项、漏项或有</w:t>
            </w:r>
            <w:r>
              <w:rPr>
                <w:rFonts w:hint="eastAsia" w:ascii="仿宋" w:hAnsi="仿宋" w:eastAsia="仿宋" w:cs="仿宋"/>
                <w:b w:val="0"/>
                <w:bCs w:val="0"/>
                <w:color w:val="auto"/>
                <w:sz w:val="24"/>
                <w:szCs w:val="24"/>
                <w:highlight w:val="none"/>
              </w:rPr>
              <w:t>缺陷的</w:t>
            </w:r>
            <w:r>
              <w:rPr>
                <w:rFonts w:hint="eastAsia" w:ascii="仿宋" w:hAnsi="仿宋" w:eastAsia="仿宋" w:cs="仿宋"/>
                <w:color w:val="auto"/>
                <w:sz w:val="24"/>
                <w:szCs w:val="24"/>
                <w:highlight w:val="none"/>
                <w:lang w:val="en-US" w:eastAsia="zh-CN"/>
              </w:rPr>
              <w:t>扣0.5分，扣完为止；未提供项目售后服务方案的，此项不得分。</w:t>
            </w:r>
          </w:p>
        </w:tc>
      </w:tr>
      <w:bookmarkEnd w:id="156"/>
    </w:tbl>
    <w:p w14:paraId="4014957C">
      <w:pPr>
        <w:pStyle w:val="26"/>
        <w:rPr>
          <w:rFonts w:hint="eastAsia"/>
          <w:highlight w:val="none"/>
          <w:lang w:val="en-US" w:eastAsia="zh-CN"/>
        </w:rPr>
      </w:pPr>
    </w:p>
    <w:p w14:paraId="63EFAD27">
      <w:pPr>
        <w:spacing w:line="400" w:lineRule="atLeast"/>
        <w:ind w:left="480" w:hanging="480"/>
        <w:rPr>
          <w:rFonts w:hint="eastAsia" w:ascii="仿宋" w:hAnsi="仿宋" w:eastAsia="仿宋" w:cs="仿宋"/>
          <w:bCs/>
          <w:color w:val="auto"/>
          <w:sz w:val="24"/>
          <w:highlight w:val="none"/>
          <w:lang w:val="en-US" w:eastAsia="zh-CN"/>
        </w:rPr>
      </w:pPr>
      <w:r>
        <w:rPr>
          <w:rFonts w:hint="eastAsia"/>
          <w:highlight w:val="none"/>
          <w:lang w:val="en-US" w:eastAsia="zh-CN"/>
        </w:rPr>
        <w:br w:type="page"/>
      </w:r>
      <w:r>
        <w:rPr>
          <w:rFonts w:hint="eastAsia" w:ascii="仿宋" w:hAnsi="仿宋" w:eastAsia="仿宋" w:cs="仿宋"/>
          <w:bCs/>
          <w:color w:val="auto"/>
          <w:sz w:val="24"/>
          <w:highlight w:val="none"/>
          <w:lang w:val="en-US" w:eastAsia="zh-CN"/>
        </w:rPr>
        <w:t>29.4.2相同品牌处理原则</w:t>
      </w:r>
    </w:p>
    <w:p w14:paraId="7ADE1F4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29.4.3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按投标报价由低到高顺序排列，其他同品牌投标人不作为中标候选人。</w:t>
      </w:r>
    </w:p>
    <w:p w14:paraId="1EEC298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29.4.4非单一产品采购项目，采购人应当根据采购项目技术构成、产品价格比重等合理确定核心产品（采购清单中作“与核心产品相同〈或同一〉品牌”实质性要求的产品，视为核心产品），并以“核心产品”在“投标人须知前附表”中载明，评审时按前款规定处理。</w:t>
      </w:r>
    </w:p>
    <w:p w14:paraId="6828649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29.4.5有效投标品牌不足 3 家的应按废标处理。</w:t>
      </w:r>
    </w:p>
    <w:p w14:paraId="05CEC6D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29.5评标得分及复核</w:t>
      </w:r>
    </w:p>
    <w:p w14:paraId="68D941B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29.5.1评标过程中，各项分值一般精确到小数点后两位，评标得分应为商务评分、技术评分、报价评分之和。评标委员会各成员应汇总每个投标人的得分。</w:t>
      </w:r>
    </w:p>
    <w:p w14:paraId="0E65E7B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29.5.2评标结果汇总完成后，采购代理机构应对评标结果进行复核。经复核发现存在以下情形之一的，评标委员会应当当场修改评标结果，并在评标报告中记载：</w:t>
      </w:r>
    </w:p>
    <w:p w14:paraId="61D41195">
      <w:pPr>
        <w:pStyle w:val="15"/>
        <w:keepNext w:val="0"/>
        <w:keepLines w:val="0"/>
        <w:pageBreakBefore w:val="0"/>
        <w:widowControl/>
        <w:kinsoku w:val="0"/>
        <w:wordWrap/>
        <w:overflowPunct/>
        <w:topLinePunct w:val="0"/>
        <w:autoSpaceDE w:val="0"/>
        <w:autoSpaceDN w:val="0"/>
        <w:bidi w:val="0"/>
        <w:adjustRightInd w:val="0"/>
        <w:snapToGrid w:val="0"/>
        <w:spacing w:before="184" w:line="220" w:lineRule="auto"/>
        <w:ind w:left="0" w:leftChars="0" w:right="0" w:firstLine="480" w:firstLineChars="200"/>
        <w:textAlignment w:val="baseline"/>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（1） 分值汇总计算错误的；</w:t>
      </w:r>
    </w:p>
    <w:p w14:paraId="7FCE7C6A">
      <w:pPr>
        <w:pStyle w:val="15"/>
        <w:keepNext w:val="0"/>
        <w:keepLines w:val="0"/>
        <w:pageBreakBefore w:val="0"/>
        <w:widowControl/>
        <w:kinsoku w:val="0"/>
        <w:wordWrap/>
        <w:overflowPunct/>
        <w:topLinePunct w:val="0"/>
        <w:autoSpaceDE w:val="0"/>
        <w:autoSpaceDN w:val="0"/>
        <w:bidi w:val="0"/>
        <w:adjustRightInd w:val="0"/>
        <w:snapToGrid w:val="0"/>
        <w:spacing w:before="181" w:line="221" w:lineRule="auto"/>
        <w:ind w:left="0" w:leftChars="0" w:right="0" w:firstLine="480" w:firstLineChars="200"/>
        <w:textAlignment w:val="baseline"/>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（2） 分项评分超出评分标准范围的；</w:t>
      </w:r>
    </w:p>
    <w:p w14:paraId="228B44A2">
      <w:pPr>
        <w:pStyle w:val="15"/>
        <w:keepNext w:val="0"/>
        <w:keepLines w:val="0"/>
        <w:pageBreakBefore w:val="0"/>
        <w:widowControl/>
        <w:kinsoku w:val="0"/>
        <w:wordWrap/>
        <w:overflowPunct/>
        <w:topLinePunct w:val="0"/>
        <w:autoSpaceDE w:val="0"/>
        <w:autoSpaceDN w:val="0"/>
        <w:bidi w:val="0"/>
        <w:adjustRightInd w:val="0"/>
        <w:snapToGrid w:val="0"/>
        <w:spacing w:before="182" w:line="219" w:lineRule="auto"/>
        <w:ind w:left="0" w:leftChars="0" w:right="0" w:firstLine="480" w:firstLineChars="200"/>
        <w:textAlignment w:val="baseline"/>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（3） 评标委员会成员对客观评审因素评分不一致的；</w:t>
      </w:r>
    </w:p>
    <w:p w14:paraId="4C6734D5">
      <w:pPr>
        <w:pStyle w:val="15"/>
        <w:keepNext w:val="0"/>
        <w:keepLines w:val="0"/>
        <w:pageBreakBefore w:val="0"/>
        <w:widowControl/>
        <w:kinsoku w:val="0"/>
        <w:wordWrap/>
        <w:overflowPunct/>
        <w:topLinePunct w:val="0"/>
        <w:autoSpaceDE w:val="0"/>
        <w:autoSpaceDN w:val="0"/>
        <w:bidi w:val="0"/>
        <w:adjustRightInd w:val="0"/>
        <w:snapToGrid w:val="0"/>
        <w:spacing w:before="183" w:line="219" w:lineRule="auto"/>
        <w:ind w:left="0" w:leftChars="0" w:right="0" w:firstLine="480" w:firstLineChars="200"/>
        <w:textAlignment w:val="baseline"/>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（4） 经评标委员会认定评分畸高、畸低的。</w:t>
      </w:r>
    </w:p>
    <w:p w14:paraId="225E1BF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29.6各投标人的最终得分为评标委员会所有成员对各投标人评标得分汇总后的算术平均值。</w:t>
      </w:r>
    </w:p>
    <w:p w14:paraId="24117D5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29.6.1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607F8A4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29.6.2采购人或者采购代理机构不得通过对样品进行检测、对投标人进行考察等方式改变评审结果。</w:t>
      </w:r>
    </w:p>
    <w:p w14:paraId="22099AE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29.7排序与推荐</w:t>
      </w:r>
    </w:p>
    <w:p w14:paraId="70B0D51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29.7.1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按技术指标优劣顺序排列。</w:t>
      </w:r>
    </w:p>
    <w:p w14:paraId="648FF13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29.7.2中标候选人推荐家数详见“投标人须知前附表”</w:t>
      </w:r>
    </w:p>
    <w:p w14:paraId="28336C97">
      <w:pPr>
        <w:pStyle w:val="46"/>
        <w:ind w:left="480" w:leftChars="0" w:hanging="480" w:hangingChars="200"/>
        <w:rPr>
          <w:rFonts w:hint="eastAsia" w:ascii="仿宋" w:hAnsi="仿宋" w:eastAsia="仿宋" w:cs="仿宋"/>
          <w:bCs/>
          <w:color w:val="auto"/>
          <w:kern w:val="2"/>
          <w:sz w:val="24"/>
          <w:szCs w:val="20"/>
          <w:highlight w:val="none"/>
          <w:lang w:val="en-US" w:eastAsia="zh-CN" w:bidi="ar-SA"/>
        </w:rPr>
      </w:pPr>
      <w:r>
        <w:rPr>
          <w:rFonts w:hint="eastAsia" w:ascii="仿宋" w:hAnsi="仿宋" w:eastAsia="仿宋" w:cs="仿宋"/>
          <w:bCs/>
          <w:color w:val="auto"/>
          <w:kern w:val="2"/>
          <w:sz w:val="24"/>
          <w:szCs w:val="20"/>
          <w:highlight w:val="none"/>
          <w:lang w:val="en-US" w:eastAsia="zh-CN" w:bidi="ar-SA"/>
        </w:rPr>
        <w:t>29.7.3编写评标报告: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5166DD3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29.8投标人存在下列情形之一的，投标无效：</w:t>
      </w:r>
    </w:p>
    <w:p w14:paraId="651701E4">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（1）投标人不具备《中华人民共和国政府采购法》第二十二条规定条件；</w:t>
      </w:r>
    </w:p>
    <w:p w14:paraId="59726DCF">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（2）投标文件未按招标文件要求签署、盖章的；</w:t>
      </w:r>
    </w:p>
    <w:p w14:paraId="56E6959A">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（3）不具备招标文件中规定的资格要求的（投标人未提供有效资格文件的，视为投标人不具备招标文件中规定的资格要求）；</w:t>
      </w:r>
    </w:p>
    <w:p w14:paraId="1581BE20">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（4）投标文件提供虚假材料的；</w:t>
      </w:r>
    </w:p>
    <w:p w14:paraId="00078071">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（5）投标文件不满足招标文件中标注“★”号的实质性条款（或指标）要求的；</w:t>
      </w:r>
    </w:p>
    <w:p w14:paraId="2C6536F9">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（6）投标人报价超过招标文件中规定的最高限价或者预算金额的；</w:t>
      </w:r>
    </w:p>
    <w:p w14:paraId="53DC0F9F">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（7）联合体的供应商未提交各方共同签署的联合体协议的；</w:t>
      </w:r>
    </w:p>
    <w:p w14:paraId="00BCFE01">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（8）投标人未按招标文件的规定交纳投标保证金的；</w:t>
      </w:r>
    </w:p>
    <w:p w14:paraId="2BFE12B0">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（9）评审期间,投标人没有按评标委员会的要求提交经授权代表签字的澄清、说明、补正或改变了投标文件的实质性内容的；</w:t>
      </w:r>
    </w:p>
    <w:p w14:paraId="060BE578">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（10）投标人对采购人、采购代理机构、评标委员会及其工作人员施加影响,有碍公平、公正的；</w:t>
      </w:r>
    </w:p>
    <w:p w14:paraId="2DCB9893">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（11）投标文件含有采购人不能接受的附加条件的；</w:t>
      </w:r>
    </w:p>
    <w:p w14:paraId="46C4953A">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（12）法律、法规、规章规定属于投标无效的其他情形。</w:t>
      </w:r>
    </w:p>
    <w:p w14:paraId="710FBBD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29.9有下列情形之一的，视为投标人串通投标，其投标无效：</w:t>
      </w:r>
    </w:p>
    <w:p w14:paraId="3439709E">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（1）不同投标人的投标文件由同一单位或者个人编制；</w:t>
      </w:r>
    </w:p>
    <w:p w14:paraId="2965A3E3">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（2）不同投标人委托同一单位或者个人办理投标事宜；</w:t>
      </w:r>
    </w:p>
    <w:p w14:paraId="0D42CE9B">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（3）不同投标人的投标文件载明的项目管理成员或者联系人员为同一人；</w:t>
      </w:r>
    </w:p>
    <w:p w14:paraId="45661000">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（4）不同投标人的投标文件异常一致或者投标报价呈规律性差异；</w:t>
      </w:r>
    </w:p>
    <w:p w14:paraId="47C2989F">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（5）不同投标人的投标文件相互混装；</w:t>
      </w:r>
    </w:p>
    <w:p w14:paraId="7BAEA2F0">
      <w:pPr>
        <w:keepNext w:val="0"/>
        <w:keepLines w:val="0"/>
        <w:pageBreakBefore w:val="0"/>
        <w:widowControl w:val="0"/>
        <w:numPr>
          <w:ilvl w:val="0"/>
          <w:numId w:val="0"/>
        </w:numPr>
        <w:tabs>
          <w:tab w:val="left" w:pos="386"/>
        </w:tabs>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（6）不同投标人的投标保证金从同一单位或者个人的账户转出；</w:t>
      </w:r>
    </w:p>
    <w:p w14:paraId="05CA1051">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（7）不同投标人使用同一电脑（机器特征值一致：如 MAC 地址等）或使用同一电子密钥，编制或上传电子投标文件；</w:t>
      </w:r>
    </w:p>
    <w:p w14:paraId="231A7BDA">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（8）法律、法规、规章规定属于投标人串通投标的其他情形。</w:t>
      </w:r>
    </w:p>
    <w:p w14:paraId="541CEDB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29.10根据《中华人民共和国政府采购法》第三十六条之规定，在招标采购过程中，出现下列情形之一的，应予废标：</w:t>
      </w:r>
    </w:p>
    <w:p w14:paraId="5D29ED3C">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（1）符合专业条件的供应商或者对招标文件作实质响应的供应商不足 3 家 的；</w:t>
      </w:r>
    </w:p>
    <w:p w14:paraId="7D4B2C3D">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（2）出现影响采购公正的违法、违规行为的；</w:t>
      </w:r>
    </w:p>
    <w:p w14:paraId="7D7BD8C5">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（3）投标人的报价均超过了采购预算，采购人不能支付的；</w:t>
      </w:r>
    </w:p>
    <w:p w14:paraId="57FF1C97">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（4）因重大变故，采购任务取消的；</w:t>
      </w:r>
    </w:p>
    <w:p w14:paraId="4074AEE1">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（5）法律、法规、规章规定属于废标的其他情形。</w:t>
      </w:r>
    </w:p>
    <w:p w14:paraId="24F62BA8">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（6）废标后，采购人应当将废标理由通知所有投标人。</w:t>
      </w:r>
    </w:p>
    <w:p w14:paraId="2DBB0BB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29.11停止评标的情形</w:t>
      </w:r>
    </w:p>
    <w:p w14:paraId="513B7A55">
      <w:pPr>
        <w:spacing w:line="400" w:lineRule="atLeast"/>
        <w:ind w:left="482" w:leftChars="199" w:hanging="64" w:hangingChars="27"/>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B339E8E">
      <w:pPr>
        <w:spacing w:line="400" w:lineRule="atLeast"/>
        <w:ind w:left="480" w:hanging="480"/>
        <w:rPr>
          <w:rFonts w:hint="eastAsia" w:ascii="仿宋" w:hAnsi="仿宋" w:eastAsia="仿宋" w:cs="仿宋"/>
          <w:bCs/>
          <w:color w:val="auto"/>
          <w:sz w:val="24"/>
          <w:highlight w:val="none"/>
          <w:lang w:val="en-US" w:eastAsia="zh-CN"/>
        </w:rPr>
      </w:pPr>
      <w:bookmarkStart w:id="73" w:name="_Toc5053"/>
      <w:r>
        <w:rPr>
          <w:rFonts w:hint="eastAsia" w:ascii="仿宋" w:hAnsi="仿宋" w:eastAsia="仿宋" w:cs="仿宋"/>
          <w:bCs/>
          <w:color w:val="auto"/>
          <w:sz w:val="24"/>
          <w:highlight w:val="none"/>
          <w:lang w:val="en-US" w:eastAsia="zh-CN"/>
        </w:rPr>
        <w:t>29.12重新开展采购</w:t>
      </w:r>
      <w:bookmarkEnd w:id="73"/>
    </w:p>
    <w:p w14:paraId="439654B1">
      <w:pPr>
        <w:spacing w:line="400" w:lineRule="atLeast"/>
        <w:ind w:left="482" w:leftChars="199" w:hanging="64" w:hangingChars="27"/>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有《中华人民共和国政府采购法》第七十一条、第七十二条规定的违法行为之一，影响或者可能影响中标结果的，依照下列规定处理：</w:t>
      </w:r>
    </w:p>
    <w:p w14:paraId="20DD9C24">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（1）未确定中标供应商的，终止本次政府采购活动，重新开展政府采购活动。</w:t>
      </w:r>
    </w:p>
    <w:p w14:paraId="7C00E562">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（2）已确定中标供应商但尚未签订政府采购合同的，中标结果无效，从合格的中标候选人中另行确定中标供应商；没有合格的中标候选人的，重新开展政府采购活动。</w:t>
      </w:r>
    </w:p>
    <w:p w14:paraId="28A3A415">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（3）政府采购合同已签订但尚未履行的，撤销合同，从合格的中标候选人中另行确定中标供应商；没有合格的中标候选人的，重新开展政府采购活动。</w:t>
      </w:r>
    </w:p>
    <w:p w14:paraId="44B1EA7C">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（4）政府采购合同已经履行，给采购人、供应商造成损失的，由责任人承担赔偿责任。</w:t>
      </w:r>
    </w:p>
    <w:p w14:paraId="546C3E65">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政府采购当事人有其他违反《中华人民共和国政府采购法》或者《中华人民共和国政府采购法实施条例》等法律法规规定的行为，经改正后仍然影响或者可能影响中标结果或者依法被认定为中标无效的，依照24.1—24.4规定处理。</w:t>
      </w:r>
    </w:p>
    <w:p w14:paraId="135643A3">
      <w:pPr>
        <w:pStyle w:val="27"/>
        <w:rPr>
          <w:rFonts w:hint="eastAsia" w:ascii="仿宋" w:hAnsi="仿宋" w:eastAsia="仿宋" w:cs="仿宋"/>
          <w:color w:val="auto"/>
          <w:highlight w:val="none"/>
        </w:rPr>
      </w:pPr>
    </w:p>
    <w:p w14:paraId="4B6318C5">
      <w:pPr>
        <w:pStyle w:val="3"/>
        <w:spacing w:before="100" w:beforeAutospacing="1" w:after="100" w:afterAutospacing="1" w:line="400" w:lineRule="atLeast"/>
        <w:jc w:val="center"/>
        <w:rPr>
          <w:rFonts w:hint="eastAsia" w:ascii="仿宋" w:hAnsi="仿宋" w:eastAsia="仿宋" w:cs="仿宋"/>
          <w:b w:val="0"/>
          <w:bCs/>
          <w:color w:val="auto"/>
          <w:sz w:val="28"/>
          <w:szCs w:val="28"/>
          <w:highlight w:val="none"/>
          <w:lang w:val="en-US" w:eastAsia="zh-CN"/>
        </w:rPr>
      </w:pPr>
      <w:bookmarkStart w:id="74" w:name="_Toc349573126"/>
      <w:bookmarkStart w:id="75" w:name="_Toc267301287"/>
      <w:bookmarkStart w:id="76" w:name="_Toc298240410"/>
      <w:bookmarkStart w:id="77" w:name="_Toc349637925"/>
      <w:bookmarkStart w:id="78" w:name="_Toc6159"/>
      <w:r>
        <w:rPr>
          <w:rFonts w:hint="eastAsia" w:ascii="仿宋" w:hAnsi="仿宋" w:eastAsia="仿宋" w:cs="仿宋"/>
          <w:b w:val="0"/>
          <w:bCs/>
          <w:color w:val="auto"/>
          <w:sz w:val="28"/>
          <w:szCs w:val="28"/>
          <w:highlight w:val="none"/>
        </w:rPr>
        <w:t xml:space="preserve">F  </w:t>
      </w:r>
      <w:bookmarkEnd w:id="74"/>
      <w:bookmarkEnd w:id="75"/>
      <w:bookmarkEnd w:id="76"/>
      <w:bookmarkEnd w:id="77"/>
      <w:r>
        <w:rPr>
          <w:rFonts w:hint="eastAsia" w:ascii="仿宋" w:hAnsi="仿宋" w:eastAsia="仿宋" w:cs="仿宋"/>
          <w:b w:val="0"/>
          <w:bCs/>
          <w:color w:val="auto"/>
          <w:sz w:val="28"/>
          <w:szCs w:val="28"/>
          <w:highlight w:val="none"/>
          <w:lang w:val="en-US" w:eastAsia="zh-CN"/>
        </w:rPr>
        <w:t>中标结果</w:t>
      </w:r>
      <w:bookmarkEnd w:id="78"/>
    </w:p>
    <w:p w14:paraId="5D04DEBA">
      <w:pPr>
        <w:numPr>
          <w:ilvl w:val="0"/>
          <w:numId w:val="0"/>
        </w:numPr>
        <w:spacing w:line="400" w:lineRule="atLeast"/>
        <w:ind w:leftChars="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30.确定中标人</w:t>
      </w:r>
    </w:p>
    <w:p w14:paraId="34268F5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30.1采购人将在评标报告确定的中标候选人名单中按顺序确定中标人，中标候选人并列的，按照“投标人须知前附表”确定中标人；招标文件未规定的，采取随机抽取的方式确定。采购人是否委托评标委员会直接确定中标人，见“投标人须知前附表”</w:t>
      </w:r>
    </w:p>
    <w:p w14:paraId="740EDE72">
      <w:pPr>
        <w:numPr>
          <w:ilvl w:val="0"/>
          <w:numId w:val="0"/>
        </w:numPr>
        <w:spacing w:line="400" w:lineRule="atLeast"/>
        <w:ind w:leftChars="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31.中标结果公告</w:t>
      </w:r>
    </w:p>
    <w:p w14:paraId="4A2617C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31.1采购人或采购代理机构应当自中标人确定之日起 2 个工作日内，在发布招标公告的同一媒体上发布中标结果公告，同时向中标人发出中标通知书。招标文件随中标结果同时公告，中标结果公告期限为 1 个工作日。</w:t>
      </w:r>
    </w:p>
    <w:p w14:paraId="74DBD49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31.2中标人为中小企业享受中小企业扶持政策的，其“ 中小企业声明函”随中标结果同时公告。中标人为残疾人福利性单位的，其“残疾人福利性单位声明函 ”随中标结果同时公告。</w:t>
      </w:r>
    </w:p>
    <w:p w14:paraId="52CF216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32.中标通知</w:t>
      </w:r>
    </w:p>
    <w:p w14:paraId="1123D3D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2EEEF3C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32.2中标通知书对采购人和中标人均具有法律效力。中标通知书发出后，采购人改变中标结果的，或者中标人放弃中标项目的，应当依法承担法律责任。</w:t>
      </w:r>
    </w:p>
    <w:p w14:paraId="67E06697">
      <w:pPr>
        <w:pStyle w:val="3"/>
        <w:spacing w:before="100" w:beforeAutospacing="1" w:after="100" w:afterAutospacing="1" w:line="400" w:lineRule="atLeast"/>
        <w:jc w:val="center"/>
        <w:rPr>
          <w:rFonts w:hint="eastAsia" w:ascii="仿宋" w:hAnsi="仿宋" w:eastAsia="仿宋" w:cs="仿宋"/>
          <w:b w:val="0"/>
          <w:bCs/>
          <w:color w:val="auto"/>
          <w:sz w:val="28"/>
          <w:szCs w:val="28"/>
          <w:highlight w:val="none"/>
        </w:rPr>
      </w:pPr>
      <w:bookmarkStart w:id="79" w:name="_Toc29765"/>
      <w:bookmarkStart w:id="80" w:name="_Toc267301288"/>
      <w:r>
        <w:rPr>
          <w:rFonts w:hint="eastAsia" w:ascii="仿宋" w:hAnsi="仿宋" w:eastAsia="仿宋" w:cs="仿宋"/>
          <w:b w:val="0"/>
          <w:bCs/>
          <w:color w:val="auto"/>
          <w:sz w:val="28"/>
          <w:szCs w:val="28"/>
          <w:highlight w:val="none"/>
        </w:rPr>
        <w:t>G  签订合同</w:t>
      </w:r>
      <w:bookmarkEnd w:id="79"/>
    </w:p>
    <w:p w14:paraId="3CB5955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33.履约保证金</w:t>
      </w:r>
    </w:p>
    <w:p w14:paraId="534A1F7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33.1在签订合同前，中标人应按“投标人须知前附表”规定的金额、担保形式和采购人认可的履约担保格式向采购人提交履约保证金。</w:t>
      </w:r>
    </w:p>
    <w:p w14:paraId="4178455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33.2中标人不能按本章第 33.1 项要求提交履约担保的，视为放弃中标，给采购人造成损失的，中标人还应当承担民事责任。</w:t>
      </w:r>
    </w:p>
    <w:p w14:paraId="3EBECC9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34.签订合同</w:t>
      </w:r>
    </w:p>
    <w:p w14:paraId="57E9C4C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34.1采购人和中标人应当自中标通知书发出之日起 25 天内，根据招标文件和中标人的投标文件订立书面合同。采购人因不可抗力原因迟延签订合同的，应当自不可抗力事由消除之日起 7 日内完成合同签订事宜。所签订的合同不得对招标文件和中标人投标文件作实质性修改。中标人无正当理由拒签合同，给采购人造成损失的，中标人还应当承担民事责任。</w:t>
      </w:r>
    </w:p>
    <w:p w14:paraId="7AFDEAA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34.2中标人拒绝与采购人签订合同的，采购人可以按照评标报告推荐的中标候选人名单排序，确定下一候选人为中标人，也可以重新开展政府采购活动。</w:t>
      </w:r>
    </w:p>
    <w:p w14:paraId="2DD8E88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34.3采购人和中标人不得向对方提出任何不合理的要求，作为签订合同的条件，双方不得私下订立背离合同实质性内容的协议。</w:t>
      </w:r>
    </w:p>
    <w:p w14:paraId="347FDF1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34.4联合体中标的，联合体各方应当共同与采购人签订合同，就采购合同约定的事项向采购人承担连带责任。</w:t>
      </w:r>
    </w:p>
    <w:p w14:paraId="0013ED3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34.5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投标无效。中标人就采购项目和分包项目向采购人负责，分包供应商就分包项目承担责任。政府采购合同不能转包。</w:t>
      </w:r>
    </w:p>
    <w:p w14:paraId="158DEAFF">
      <w:pPr>
        <w:spacing w:line="400" w:lineRule="atLeast"/>
        <w:ind w:left="480" w:hanging="480"/>
        <w:rPr>
          <w:rFonts w:hint="eastAsia" w:ascii="仿宋" w:hAnsi="仿宋" w:eastAsia="仿宋" w:cs="仿宋"/>
          <w:bCs/>
          <w:color w:val="auto"/>
          <w:sz w:val="24"/>
          <w:highlight w:val="none"/>
          <w:lang w:val="en-US" w:eastAsia="en-US"/>
        </w:rPr>
      </w:pPr>
      <w:r>
        <w:rPr>
          <w:rFonts w:hint="eastAsia" w:ascii="仿宋" w:hAnsi="仿宋" w:eastAsia="仿宋" w:cs="仿宋"/>
          <w:bCs/>
          <w:color w:val="auto"/>
          <w:sz w:val="24"/>
          <w:highlight w:val="none"/>
          <w:lang w:val="en-US" w:eastAsia="en-US"/>
        </w:rPr>
        <w:t>34.6采购合同履行中，采购人需追加与合同标的相同的货物、工程或者服 务的，在不改变合同其他条款的前提下，可以与中标人协商签订补充合同，但所 有补充合同的采购金额不得超过原合同采购金额的百分之十。</w:t>
      </w:r>
    </w:p>
    <w:p w14:paraId="05D438D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34.7采购人应于签订合同之日起 2 个工作日内在政采云平台备案公示。</w:t>
      </w:r>
    </w:p>
    <w:p w14:paraId="36758B7C">
      <w:pPr>
        <w:pStyle w:val="3"/>
        <w:spacing w:before="100" w:beforeAutospacing="1" w:after="100" w:afterAutospacing="1" w:line="400" w:lineRule="atLeast"/>
        <w:jc w:val="center"/>
        <w:rPr>
          <w:rFonts w:hint="eastAsia" w:ascii="仿宋" w:hAnsi="仿宋" w:eastAsia="仿宋" w:cs="仿宋"/>
          <w:b w:val="0"/>
          <w:bCs/>
          <w:color w:val="auto"/>
          <w:sz w:val="28"/>
          <w:szCs w:val="28"/>
          <w:highlight w:val="none"/>
          <w:lang w:val="en-US" w:eastAsia="zh-CN"/>
        </w:rPr>
      </w:pPr>
      <w:bookmarkStart w:id="81" w:name="_Toc6270"/>
      <w:r>
        <w:rPr>
          <w:rFonts w:hint="eastAsia" w:ascii="仿宋" w:hAnsi="仿宋" w:eastAsia="仿宋" w:cs="仿宋"/>
          <w:b w:val="0"/>
          <w:bCs/>
          <w:color w:val="auto"/>
          <w:sz w:val="28"/>
          <w:szCs w:val="28"/>
          <w:highlight w:val="none"/>
          <w:lang w:val="en-US" w:eastAsia="zh-CN"/>
        </w:rPr>
        <w:t xml:space="preserve">H  </w:t>
      </w:r>
      <w:r>
        <w:rPr>
          <w:rFonts w:hint="eastAsia" w:ascii="仿宋" w:hAnsi="仿宋" w:eastAsia="仿宋" w:cs="仿宋"/>
          <w:b w:val="0"/>
          <w:bCs/>
          <w:color w:val="auto"/>
          <w:sz w:val="28"/>
          <w:szCs w:val="28"/>
          <w:highlight w:val="none"/>
        </w:rPr>
        <w:t>质疑和投诉</w:t>
      </w:r>
      <w:bookmarkEnd w:id="81"/>
    </w:p>
    <w:p w14:paraId="2095C7D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35.质疑</w:t>
      </w:r>
    </w:p>
    <w:p w14:paraId="05E7424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35.1供应商认为采购文件、采购过程、中标结果使自己的权益受到损害的，可以在知道或者应知其权益受到损害之日起 7 个工作日内，以书面形式向采购人、采购代理机构提出质疑，详见“投标人须知前附表”。供应商在法定质疑期内一次性提出针对同一采购程序环节的质疑。</w:t>
      </w:r>
    </w:p>
    <w:p w14:paraId="215F832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35.2提出质疑的供应商（以下简称质疑供应商）应当是参与所质疑项目采购活动的供应商。</w:t>
      </w:r>
    </w:p>
    <w:p w14:paraId="1043437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35.3潜在供应商已依法获取其可质疑的采购文件的，可以对该文件提出质疑。对采购文件提出质疑的，应当在获取采购文件或者采购文件公告期限届满之日起 7 个工作日内提出。</w:t>
      </w:r>
    </w:p>
    <w:p w14:paraId="24DD25F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35.4供应商提出质疑应当提交质疑函和必要的证明材料。质疑函应当包括下列内容：</w:t>
      </w:r>
    </w:p>
    <w:p w14:paraId="57E1F4D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（1）供应商的姓名或者名称、地址、邮编、联系人及联系电话；</w:t>
      </w:r>
    </w:p>
    <w:p w14:paraId="01C024C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（2）质疑项目的名称、项目编号/包号；</w:t>
      </w:r>
    </w:p>
    <w:p w14:paraId="2D46B8D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（3）具体、明确的质疑事项和与质疑事项相关的请求；</w:t>
      </w:r>
    </w:p>
    <w:p w14:paraId="1845114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（4）事实依据；</w:t>
      </w:r>
    </w:p>
    <w:p w14:paraId="65C0D3D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（5）必要的法律依据；</w:t>
      </w:r>
    </w:p>
    <w:p w14:paraId="17BD5A7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（6）提出质疑的日期。</w:t>
      </w:r>
    </w:p>
    <w:p w14:paraId="5624243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供应商为自然人的，应当由本人签字；供应商为法人或者其他组织的，应当由法定代表人、主要负责人，或者其授权代表签字或者盖章，并加盖公章。</w:t>
      </w:r>
    </w:p>
    <w:p w14:paraId="260D0F3D">
      <w:pPr>
        <w:keepNext w:val="0"/>
        <w:keepLines w:val="0"/>
        <w:pageBreakBefore w:val="0"/>
        <w:widowControl w:val="0"/>
        <w:kinsoku/>
        <w:wordWrap/>
        <w:overflowPunct/>
        <w:topLinePunct w:val="0"/>
        <w:autoSpaceDE/>
        <w:autoSpaceDN/>
        <w:bidi w:val="0"/>
        <w:adjustRightInd/>
        <w:snapToGrid/>
        <w:spacing w:line="400" w:lineRule="atLeast"/>
        <w:ind w:left="482" w:hanging="482"/>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35.5质疑函不符合上述要求的，采购人或代理机构应书面告知具体事项，质疑人应当按要求进行修改或补充，并在质疑有效期限内提交。</w:t>
      </w:r>
    </w:p>
    <w:p w14:paraId="058E8D4E">
      <w:pPr>
        <w:keepNext w:val="0"/>
        <w:keepLines w:val="0"/>
        <w:pageBreakBefore w:val="0"/>
        <w:widowControl w:val="0"/>
        <w:kinsoku/>
        <w:wordWrap/>
        <w:overflowPunct/>
        <w:topLinePunct w:val="0"/>
        <w:autoSpaceDE/>
        <w:autoSpaceDN/>
        <w:bidi w:val="0"/>
        <w:adjustRightInd/>
        <w:snapToGrid/>
        <w:spacing w:line="400" w:lineRule="atLeast"/>
        <w:ind w:left="482" w:hanging="482"/>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35.6投标人进行虚假和恶意质疑投诉的，采购代理机构将提请有关部门将其列入不良记录名单，在一至三年内禁止参加政府采购活动，并将处理决定在相关政府采购媒体上公布。</w:t>
      </w:r>
    </w:p>
    <w:p w14:paraId="646D367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35.7质疑函应当使用中文，并采用财政部门制定的范本。</w:t>
      </w:r>
    </w:p>
    <w:p w14:paraId="13FADD6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36.质疑答复</w:t>
      </w:r>
    </w:p>
    <w:p w14:paraId="7802BE4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36.1采购人、采购代理机构不得拒收质疑供应商在法定质疑期内发出的质疑函，应当在收到质疑函后 7 个工作日内作出答复，并以书面形式通知质疑供应商和其他有关供应商。</w:t>
      </w:r>
    </w:p>
    <w:p w14:paraId="14802AC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36.2供应商对评审过程、中标结果提出质疑的，采购人、采购代理机构可以组织原评标委员会协助答复质疑。</w:t>
      </w:r>
    </w:p>
    <w:p w14:paraId="346E572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质疑答复应当包括下列内容：</w:t>
      </w:r>
    </w:p>
    <w:p w14:paraId="28C1746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（1）质疑供应商的姓名或者名称；</w:t>
      </w:r>
    </w:p>
    <w:p w14:paraId="59E5FFF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（2）收到质疑函的日期、质疑项目名称及项目编号/包号；</w:t>
      </w:r>
    </w:p>
    <w:p w14:paraId="4230D40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（3）质疑事项、质疑答复的具体内容、事实依据和法律依据；</w:t>
      </w:r>
    </w:p>
    <w:p w14:paraId="43367D4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（4）告知质疑供应商依法投诉的权利；</w:t>
      </w:r>
    </w:p>
    <w:p w14:paraId="5628F43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（5）质疑答复人名称；</w:t>
      </w:r>
    </w:p>
    <w:p w14:paraId="08BF93D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（6）答复质疑的日期。</w:t>
      </w:r>
    </w:p>
    <w:p w14:paraId="288EF32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质疑答复的内容不得涉及商业秘密。</w:t>
      </w:r>
    </w:p>
    <w:p w14:paraId="1045EC0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37.投诉</w:t>
      </w:r>
    </w:p>
    <w:p w14:paraId="75172E0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37.1质疑供应商对采购人、采购代理机构的答复不满意，或者采购人、采购代理机构未在规定时间内作出答复的，可以在答复期满后 15 个工作日内向同级政府采购监督管理部门提起投诉。</w:t>
      </w:r>
    </w:p>
    <w:p w14:paraId="1300B21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37.2投诉人投诉时,应当提交投诉书和必要的证明材料，并按照被投诉采购人、采购代理机构（以下简称被投诉人）和与投诉事项有关的供应商数量提供投诉书的副本。投诉书应当包括下列内容：</w:t>
      </w:r>
    </w:p>
    <w:p w14:paraId="4F38E06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（1）投诉人和被投诉人的姓名或者名称、通讯地址、邮编、联系人及联系电话；</w:t>
      </w:r>
    </w:p>
    <w:p w14:paraId="7664CFB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（2）质疑和质疑答复情况说明及相关证明材料；</w:t>
      </w:r>
    </w:p>
    <w:p w14:paraId="7BCEB39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（3）具体、明确的投诉事项和与投诉事项相关的投诉请求；</w:t>
      </w:r>
    </w:p>
    <w:p w14:paraId="1958A64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（4）事实依据；</w:t>
      </w:r>
    </w:p>
    <w:p w14:paraId="42A5268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（5）法律依据；</w:t>
      </w:r>
    </w:p>
    <w:p w14:paraId="759478A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（6）提起投诉的日期。</w:t>
      </w:r>
    </w:p>
    <w:p w14:paraId="1736404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投诉人为自然人的，应当由本人签字；投诉人为法人或者其他组织的，应当由法定代表人、主要负责人，或者其授权代表签字或者盖章，并加盖公章。</w:t>
      </w:r>
    </w:p>
    <w:p w14:paraId="168682F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37.3供应商质疑、投诉应当有明确的请求和必要的证明材料。供应商投诉的事项不得超出已质疑事项的范围，但基于质疑答复内容提出的投诉事项除外。</w:t>
      </w:r>
    </w:p>
    <w:p w14:paraId="5AE74BB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37.4投诉书应当使用中文，并采用财政部门制定的范本。</w:t>
      </w:r>
    </w:p>
    <w:p w14:paraId="7F71527D">
      <w:pPr>
        <w:pStyle w:val="46"/>
        <w:rPr>
          <w:rFonts w:hint="eastAsia" w:ascii="仿宋" w:hAnsi="仿宋" w:eastAsia="仿宋" w:cs="仿宋"/>
          <w:color w:val="auto"/>
          <w:highlight w:val="none"/>
        </w:rPr>
      </w:pPr>
    </w:p>
    <w:p w14:paraId="079FC63A">
      <w:pPr>
        <w:pStyle w:val="3"/>
        <w:spacing w:before="100" w:beforeAutospacing="1" w:after="100" w:afterAutospacing="1" w:line="400" w:lineRule="atLeast"/>
        <w:jc w:val="center"/>
        <w:rPr>
          <w:rFonts w:hint="eastAsia" w:ascii="仿宋" w:hAnsi="仿宋" w:eastAsia="仿宋" w:cs="仿宋"/>
          <w:b w:val="0"/>
          <w:bCs/>
          <w:color w:val="auto"/>
          <w:sz w:val="28"/>
          <w:szCs w:val="28"/>
          <w:highlight w:val="none"/>
          <w:lang w:val="en-US" w:eastAsia="zh-CN"/>
        </w:rPr>
      </w:pPr>
      <w:bookmarkStart w:id="82" w:name="_Toc15603"/>
      <w:bookmarkStart w:id="83" w:name="_Toc298240411"/>
      <w:bookmarkStart w:id="84" w:name="_Toc349637926"/>
      <w:bookmarkStart w:id="85" w:name="_Toc349573127"/>
      <w:r>
        <w:rPr>
          <w:rFonts w:hint="eastAsia" w:ascii="仿宋" w:hAnsi="仿宋" w:eastAsia="仿宋" w:cs="仿宋"/>
          <w:b w:val="0"/>
          <w:bCs/>
          <w:color w:val="auto"/>
          <w:sz w:val="28"/>
          <w:szCs w:val="28"/>
          <w:highlight w:val="none"/>
          <w:lang w:val="en-US" w:eastAsia="zh-CN"/>
        </w:rPr>
        <w:t>I  落实政府采购政策</w:t>
      </w:r>
      <w:bookmarkEnd w:id="82"/>
    </w:p>
    <w:p w14:paraId="6C9A3FE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38.支持国产和进口产品审批</w:t>
      </w:r>
    </w:p>
    <w:p w14:paraId="1F01E35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38.1除“投标人须知前附表”另有规定外，政府采购应当采购本国货物、工程和服务，确需采购进口产品的，采购人应当按照《政府采购进口产品管理办法》（财库〔2007〕119 号文）、《关于政府采购进口产品管理有关问题的通知》（财办库〔2008〕248号）规定执行（进口产品审批制，科研院所监管部门另有规定的从其规定）。项目若涉及采购进口产品的，具体要求详见“第三部分采购需求”。</w:t>
      </w:r>
    </w:p>
    <w:p w14:paraId="033220C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38.2进口产品指通过中国海关报关验放进入中国境内且产自关境外的产品，包括已经进入中国境内的进口产品。</w:t>
      </w:r>
    </w:p>
    <w:p w14:paraId="57B2BD6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38.3若采购需求中写明允许采购进口产品，投标人应保证所投产品可履行合法报通关手续进入中国关境内。</w:t>
      </w:r>
    </w:p>
    <w:p w14:paraId="53695D0D">
      <w:pPr>
        <w:spacing w:line="400" w:lineRule="atLeast"/>
        <w:ind w:left="480" w:hanging="48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lang w:val="en-US" w:eastAsia="zh-CN"/>
        </w:rPr>
        <w:t>38.4若采购需求中未写明允许采购进口产品，如投标人所投产品为进口产品，其投标将被认定为投标无效。</w:t>
      </w:r>
    </w:p>
    <w:p w14:paraId="489067D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39.中小企业、监狱企业及残疾人福利性单位</w:t>
      </w:r>
    </w:p>
    <w:p w14:paraId="4E5E9F8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w:t>
      </w:r>
    </w:p>
    <w:p w14:paraId="41BFB7B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39.2为促进中小企业发展，依据《关于印发&lt;政府采购促进中小企业发展管理办法&gt;的通知》（财库〔2020〕46 号）、《财政部 司法部关于政府采购支持监狱企业发展有关问题的通知》（财库〔2014〕68 号）、《关于促进残疾人就业政府采购政策的通知》（财库〔2017〕141 号）的规定，本项目供应商如需享受中小企业相关政策的，且符合上述文件规定的，应按本招标文件规定格式提供“ 中小企业声明函 ”或“监狱企业证明文件”或“残疾人福利性单位声明函”，评审时，评标委员会将依据本招标文件规定的报价扣除比例，对供应商报价进行价格扣除，用扣除后的价格参与评审；招标公告中明确项目专门面向中小企业采购的，“中小企业声明函 ”为资格要求文件，供应商参与投标须按本招标文件规定格式提供“ 中小企业声明函 ”或“监狱企业证明文件”或“残疾人福利性单位声明函”等作为资格证明文件。</w:t>
      </w:r>
    </w:p>
    <w:p w14:paraId="2A0A888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39.3投标人提供的货物、工程或者服务符合下列情形的，享受中小企业扶持政策：</w:t>
      </w:r>
    </w:p>
    <w:p w14:paraId="62D3B16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（1）在货物采购项目中，货物由中小企业制造，即货物由中小企业生产且使用该中小企业商号或者注册商标；</w:t>
      </w:r>
    </w:p>
    <w:p w14:paraId="34F5555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（2）在工程采购项目中，工程由中小企业承建，即工程施工单位为中小企业；</w:t>
      </w:r>
    </w:p>
    <w:p w14:paraId="24E59D7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（3）在服务采购项目中，服务由中小企业承接，即提供服务的人员为中小企业依照《中华人民共和国劳动合同法》订立劳动合同的从业人员。</w:t>
      </w:r>
    </w:p>
    <w:p w14:paraId="6667B3A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39.4在货物采购项目中，投标人提供的货物既有中小企业制造货物，也有大型企业制造货物的，不享受中小企业扶持政策。</w:t>
      </w:r>
    </w:p>
    <w:p w14:paraId="61C7F24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39.5以联合体形式参加政府采购活动，联合体各方均为中小企业的，联合体视同中小企业。其中，联合体各方均为小微企业的，联合体视同小微企业。</w:t>
      </w:r>
    </w:p>
    <w:p w14:paraId="722DDA3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39.6在政府采购活动中，监狱企业视同小型、微型企业，享受预留份额、评审中价格扣除等政府采购促进中小企业发展的政府采购政策。</w:t>
      </w:r>
    </w:p>
    <w:p w14:paraId="0D51015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39.7在政府采购活动中，残疾人福利性单位视同小型、微型企业，享受预留份额、评审中价格扣除等促进中小企业发展的政府采购政策。</w:t>
      </w:r>
    </w:p>
    <w:p w14:paraId="7E82B7F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40.政府采购节能产品、环境标志产品</w:t>
      </w:r>
    </w:p>
    <w:p w14:paraId="106D429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 号）、《关于印发节能产品政府采购品目清单的通知》（财库〔2019〕19 号）的规定。</w:t>
      </w:r>
    </w:p>
    <w:p w14:paraId="4AD7F93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40.2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77ED2FC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40.3如本项目采购产品属于实施政府强制采购品目清单范围的节能产品，则投标人所报产品必须获得国家确定的认证机构出具的、处于有效期之内的节能产品认证证书，否则投标无效。</w:t>
      </w:r>
    </w:p>
    <w:p w14:paraId="38AFDFD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40.4非政府强制采购的节能产品或环境标志产品，依据品目清单和认证证书实施政府优先采购。优先采购的具体规定见“评标方法及标准”（如涉及）。</w:t>
      </w:r>
    </w:p>
    <w:p w14:paraId="158CC6E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40.5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已作为投标时强制性要求不再给予价格评审优惠，未提供认证证书的视为投标无效。属于优先采购节能产品政府采购品目清单、环境标志产品政府采购品目清单、创新产品范围的，按照“ 评标方法及标准 ”中相关规定在评审时给予价格评审优惠。</w:t>
      </w:r>
    </w:p>
    <w:p w14:paraId="66CE24B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41.适用法律</w:t>
      </w:r>
    </w:p>
    <w:p w14:paraId="157C8B9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41.1采购人、采购代理机构及投标人的一切采购活动均适用《中华人民共和国政府采购法》《中华人民共和国政府采购法实施条例》《政府采购货物和服务招标投标管理办法》（财政部令第87 号）及相关法律法规。</w:t>
      </w:r>
    </w:p>
    <w:p w14:paraId="014FDF3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41.2政府采购合同的履行、违约责任和解决争议的方法等适用《中华人民共和国民法典》。</w:t>
      </w:r>
    </w:p>
    <w:p w14:paraId="7E8BF51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42.解释权</w:t>
      </w:r>
    </w:p>
    <w:p w14:paraId="16EA0A8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52.1 本招标文件最终解释权归采购人或采购代理机构所有。</w:t>
      </w:r>
    </w:p>
    <w:p w14:paraId="02CB4264">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52ED626C">
      <w:pPr>
        <w:spacing w:line="400" w:lineRule="atLeast"/>
        <w:ind w:left="480" w:hanging="480"/>
        <w:rPr>
          <w:rFonts w:hint="eastAsia" w:ascii="仿宋" w:hAnsi="仿宋" w:eastAsia="仿宋" w:cs="仿宋"/>
          <w:bCs/>
          <w:color w:val="auto"/>
          <w:sz w:val="24"/>
          <w:highlight w:val="none"/>
          <w:lang w:val="en-US" w:eastAsia="zh-CN"/>
        </w:rPr>
        <w:sectPr>
          <w:footerReference r:id="rId8" w:type="default"/>
          <w:pgSz w:w="11905" w:h="16838"/>
          <w:pgMar w:top="720" w:right="1417" w:bottom="720" w:left="1417" w:header="567" w:footer="567" w:gutter="0"/>
          <w:pgNumType w:fmt="decimal"/>
          <w:cols w:space="720" w:num="1"/>
          <w:docGrid w:type="lines" w:linePitch="416" w:charSpace="0"/>
        </w:sectPr>
      </w:pPr>
    </w:p>
    <w:p w14:paraId="01788363">
      <w:pPr>
        <w:numPr>
          <w:ilvl w:val="0"/>
          <w:numId w:val="4"/>
        </w:numPr>
        <w:tabs>
          <w:tab w:val="left" w:pos="-2160"/>
          <w:tab w:val="left" w:pos="2160"/>
        </w:tabs>
        <w:adjustRightInd w:val="0"/>
        <w:snapToGrid w:val="0"/>
        <w:spacing w:line="500" w:lineRule="exact"/>
        <w:jc w:val="center"/>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bookmarkStart w:id="86" w:name="_Toc10536"/>
      <w:r>
        <w:rPr>
          <w:rFonts w:hint="eastAsia" w:ascii="仿宋" w:hAnsi="仿宋" w:eastAsia="仿宋" w:cs="仿宋"/>
          <w:bCs/>
          <w:color w:val="auto"/>
          <w:sz w:val="32"/>
          <w:szCs w:val="32"/>
          <w:highlight w:val="none"/>
        </w:rPr>
        <w:t>货物及技术要求</w:t>
      </w:r>
      <w:bookmarkEnd w:id="80"/>
      <w:bookmarkEnd w:id="83"/>
      <w:bookmarkEnd w:id="84"/>
      <w:bookmarkEnd w:id="85"/>
      <w:bookmarkEnd w:id="86"/>
      <w:bookmarkStart w:id="87" w:name="_Toc349573137"/>
      <w:bookmarkStart w:id="88" w:name="_Toc298240422"/>
      <w:bookmarkStart w:id="89" w:name="_Toc267301295"/>
      <w:bookmarkStart w:id="90" w:name="_Toc349637936"/>
    </w:p>
    <w:bookmarkEnd w:id="87"/>
    <w:bookmarkEnd w:id="88"/>
    <w:bookmarkEnd w:id="89"/>
    <w:bookmarkEnd w:id="90"/>
    <w:p w14:paraId="328E98E8">
      <w:pPr>
        <w:rPr>
          <w:rFonts w:hint="default" w:ascii="仿宋" w:hAnsi="仿宋" w:eastAsia="仿宋" w:cs="仿宋"/>
          <w:b/>
          <w:bCs/>
          <w:highlight w:val="none"/>
          <w:lang w:val="en-US" w:eastAsia="zh-CN"/>
        </w:rPr>
      </w:pPr>
      <w:bookmarkStart w:id="91" w:name="_Toc298240426"/>
      <w:bookmarkStart w:id="92" w:name="_Toc349573141"/>
      <w:bookmarkStart w:id="93" w:name="_Toc349637940"/>
      <w:bookmarkStart w:id="94" w:name="_Toc248299891"/>
      <w:bookmarkStart w:id="95" w:name="_Toc255566102"/>
      <w:bookmarkStart w:id="96" w:name="_Toc267301301"/>
    </w:p>
    <w:p w14:paraId="6690E4EF">
      <w:pPr>
        <w:outlineLvl w:val="1"/>
        <w:rPr>
          <w:rFonts w:hint="eastAsia" w:ascii="仿宋" w:hAnsi="仿宋" w:eastAsia="仿宋" w:cs="仿宋"/>
          <w:b/>
          <w:bCs/>
          <w:highlight w:val="none"/>
          <w:lang w:val="en-US" w:eastAsia="zh-CN"/>
        </w:rPr>
      </w:pPr>
    </w:p>
    <w:tbl>
      <w:tblPr>
        <w:tblStyle w:val="36"/>
        <w:tblW w:w="10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713"/>
        <w:gridCol w:w="6665"/>
        <w:gridCol w:w="648"/>
        <w:gridCol w:w="647"/>
        <w:gridCol w:w="831"/>
      </w:tblGrid>
      <w:tr w14:paraId="6273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384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编号</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F3F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产品名称</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4B4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规格参数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5F4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D57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FBC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3DE84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9E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w:t>
            </w:r>
          </w:p>
        </w:tc>
        <w:tc>
          <w:tcPr>
            <w:tcW w:w="7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741CC">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配电系统</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5B1E">
            <w:pPr>
              <w:jc w:val="center"/>
              <w:rPr>
                <w:rFonts w:hint="eastAsia" w:ascii="宋体" w:hAnsi="宋体" w:eastAsia="宋体" w:cs="宋体"/>
                <w:i w:val="0"/>
                <w:iCs w:val="0"/>
                <w:color w:val="000000"/>
                <w:sz w:val="21"/>
                <w:szCs w:val="21"/>
                <w:highlight w:val="none"/>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F128">
            <w:pPr>
              <w:jc w:val="center"/>
              <w:rPr>
                <w:rFonts w:hint="eastAsia" w:ascii="宋体" w:hAnsi="宋体" w:eastAsia="宋体" w:cs="宋体"/>
                <w:i w:val="0"/>
                <w:iCs w:val="0"/>
                <w:color w:val="000000"/>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685F">
            <w:pPr>
              <w:jc w:val="center"/>
              <w:rPr>
                <w:rFonts w:hint="eastAsia" w:ascii="宋体" w:hAnsi="宋体" w:eastAsia="宋体" w:cs="宋体"/>
                <w:i w:val="0"/>
                <w:iCs w:val="0"/>
                <w:color w:val="000000"/>
                <w:sz w:val="21"/>
                <w:szCs w:val="21"/>
                <w:highlight w:val="none"/>
                <w:u w:val="none"/>
              </w:rPr>
            </w:pPr>
          </w:p>
        </w:tc>
      </w:tr>
      <w:tr w14:paraId="40E1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EB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F7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配电单元</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CA4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1、指示灯，监测仪表，单路市电，总输入开关1*100A/3P，C级防雷，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2、含UPS输入开关320A/3P，输出开关250A/3P，维护旁路开关320A/3P，空调开关2*32A/3P;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3、UPS输出支路开关5*16A/1P；监控开关1*10A/1P；市电输出支路开关5*16A/1P；4、RS485通讯；机架式安装；</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49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5B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98FE">
            <w:pPr>
              <w:jc w:val="center"/>
              <w:rPr>
                <w:rFonts w:hint="eastAsia" w:ascii="宋体" w:hAnsi="宋体" w:eastAsia="宋体" w:cs="宋体"/>
                <w:i w:val="0"/>
                <w:iCs w:val="0"/>
                <w:color w:val="000000"/>
                <w:sz w:val="21"/>
                <w:szCs w:val="21"/>
                <w:highlight w:val="none"/>
                <w:u w:val="none"/>
              </w:rPr>
            </w:pPr>
          </w:p>
        </w:tc>
      </w:tr>
      <w:tr w14:paraId="47E6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19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B65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UPS主机</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7424">
            <w:pPr>
              <w:keepNext w:val="0"/>
              <w:keepLines w:val="0"/>
              <w:widowControl/>
              <w:numPr>
                <w:ilvl w:val="0"/>
                <w:numId w:val="5"/>
              </w:numPr>
              <w:suppressLineNumbers w:val="0"/>
              <w:spacing w:after="220" w:afterAutospacing="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UPS主机要求：三进三出，双变换纯在线高频模块化UPS；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2）▲系统采用19英寸机架式设计，容量为180kVA/150kVA，机架式安装尺寸482.6mm宽*850mm深*711mm高，采用3插框设计，极大满足了当今中小型数据中心的需求。需提供尺寸结构图证明，并现场验证。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3）▲功率模块容量为50kVA/60kVA，高度≤3U。</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UPS功率模块并联均流采用分散控制技术，各模块间自主均流，不得采用集中控制模块（包括主备“1+1”控制模块）进行集中控制，以避免因控制模块故障而影响供电可靠性（如导致UPS切换至旁路输出）；功率模块需要采用独立的数字化双 DSP处理器，模块独立自主控制，避免单点故障风险。请提供详细说明所用控制方式为集中或分散控制。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5）系统采用：LED+LCD彩色液晶触摸屏管理，LCD触摸屏尺寸不小于5英寸，全图形化视窗管理操作界面，简洁直观，能够同时提供图形显示和数字显示，适合使用者查看状态、数据和进行操作控制。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功率模块设计独立的液晶显示屏LCD+LED显示+按键，液晶显示屏需显示单个功率模块的输入电压、输入频率、输入电流、逆变电压、逆变电流、逆变频率、电池电压、电池电流、负载百分比等各种状态参数，方便操作人员观察模块运行状态。提供实物照片并加盖厂商公章（请注意60K的功率模块没有小显示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7）为了避免分散旁路存在的转旁路不同步、旁路容量减小、旁路电流不均衡等风险，要求采用更可靠、更稳定、过载能力更强的集中旁路。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8）▲功率模块采用独特的风道设计，PCB板件设计与功率模块中散热元件分离，使风道更为通畅，减少关键部件积灰，延长主机寿命，极大提高环境适应性。需提供相关的功率模块3D效果图证明文件。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9）▲功率模块整流和逆变的功率部分，整流或逆变的三相采用独立的一块板件，便于生产且增强板件的一致性，提高产品的可靠性。需提供3D效果图证明证明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11）具备无假负载自动老化测试功能，在现场无假负载的情况下，UPS能自动进行老化测试，节省验收时间及费用。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12）▲输出功率因数：1.0。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13））标配铅酸蓄电池，可兼容铁锂电池应用，同时具备UPS与锂电池BMS实时交互通信技术，提高锂电池使用寿命和可靠性，请提供体现此功能的设置界面截图。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14）每个功率模块均配置电子机械双开关，使得安装或者拆除模块的时候，模块处于非带载状态，避免了模块与系统的接插件带电插拔带来的拉弧损害，提高模块的可靠性；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15）功率模块具有休眠设置功能；当负载低于冗余模块的容量时，可设置进入休眠功能。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16）高可靠性双母线功能：UPS支持双母线系统，提高了供电系统的可靠性。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17）触摸屏显示提供简体中文、繁体中文、英文等语言显示。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18）EPO紧急电源关闭装置，如遇紧急情况，UPS可立即停止运行,提供远程和近端EPO装置，远程EPO可选常开和常闭两种方案。。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19）▲自动监测功能；UPS能够自动监测功率模块的工作状态,可监测输入输出的所有电压和电流的模拟量，还有模块内部的温度，母线电压等。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20）UPS需具备市电输入软启动功能，减少对电网的冲击；无市电输入时，具备电池冷启动功能，可在带载情况下，直接由电池启动。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21）▲标配RS232和RS485通信接口，可选配两个智能通信卡槽，并可热插拔；卡槽可任意安装SNMP（网络协议和MODBUS协议）网络适配器、干接点接口卡等，提供免费的通信协议。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为保障UPS投标产品为可靠、先进的成熟产品，需提供UPS相关核心技术权威证明文件，包含但不限于：UPS并机环流控制技术、UPS输入相序检测、母线电压采样技术、IGBT驱动隔离技术等。（根据项目把握情况，酌情提出此要求）（根据项目把握情况，酌情提出此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23）模块地址无需拨码，机器可自动给模块分配地址，避免人工拨码带来的失误。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24）UPS具有来电延时启动功能，在UPS电池放电EOD保护后，市电恢复时，UPS来时启动延时输出时间可能过软件设置，实现延时启动，保障用电安全，请提供相关证明文件。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25）▲为维护方便，配套蓄电池需与UPS主机同品牌。</w:t>
            </w:r>
          </w:p>
          <w:p w14:paraId="4D29670F">
            <w:pPr>
              <w:keepNext w:val="0"/>
              <w:keepLines w:val="0"/>
              <w:widowControl/>
              <w:numPr>
                <w:ilvl w:val="0"/>
                <w:numId w:val="0"/>
              </w:numPr>
              <w:suppressLineNumbers w:val="0"/>
              <w:spacing w:after="220" w:afterAutospacing="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2、技术指标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 UPS主机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1）输入指标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输入配线：3相+N线+地线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额定输入电压：380/400/415VAC (线电压)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额定频率：50/60Hz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输入频率范围：40Hz～70Hz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输入功率因数：&gt;0.99</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输入总谐波失真（THDi）：≤5%（100%非线性负载）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2）旁路指标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旁路额定电压：380/400/415VAC(线电压)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旁路额定频率：50/60Hz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旁路电压范围：-15%～+10%；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3）输出指标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额定输出电压：380/400/415VAC  (线电压)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额定输出频率：50/60Hz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输出功率因数：1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电压精度：≤±1%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输出动态响应：≤5%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动态恢复时间：≤40ms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输出总谐波失真（THDV）：≤2%（100%线性负载）；≤4%（100%非线性负载）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逆变器过载：＜105％，长期;＜110％，60分钟;110～125％，10分钟;＞125～150％，1分钟;＞150％，200ms（注意：60kVA功率模块超110%过载实际仅能1分钟）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频率精度：50/60Hz±0.02%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4）电池系统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默认±240Vdc（384～528Vdc；32～44节电池可调，默认40节）（注意：我们实际能满载的是36～44节电池可调）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最大充电功率：15%×电源功率模块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5）效率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效率：额定满载≥95%。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6）整机系统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显示LED +LCD彩色触摸屏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防护等级：IP20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工作温度：0～40℃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存储温度：-40℃～70℃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相对湿度：0～95%无凝露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海拔高度：＜1000m</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F0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9A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3BB7">
            <w:pPr>
              <w:jc w:val="center"/>
              <w:rPr>
                <w:rFonts w:hint="eastAsia" w:ascii="宋体" w:hAnsi="宋体" w:eastAsia="宋体" w:cs="宋体"/>
                <w:i w:val="0"/>
                <w:iCs w:val="0"/>
                <w:color w:val="000000"/>
                <w:sz w:val="21"/>
                <w:szCs w:val="21"/>
                <w:highlight w:val="none"/>
                <w:u w:val="none"/>
              </w:rPr>
            </w:pPr>
          </w:p>
        </w:tc>
      </w:tr>
      <w:tr w14:paraId="4F24C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D6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E48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40K模块</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E02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40kVA 功率模块，高度 3U</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52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63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1AB5">
            <w:pPr>
              <w:jc w:val="center"/>
              <w:rPr>
                <w:rFonts w:hint="eastAsia" w:ascii="宋体" w:hAnsi="宋体" w:eastAsia="宋体" w:cs="宋体"/>
                <w:i w:val="0"/>
                <w:iCs w:val="0"/>
                <w:color w:val="000000"/>
                <w:sz w:val="21"/>
                <w:szCs w:val="21"/>
                <w:highlight w:val="none"/>
                <w:u w:val="none"/>
              </w:rPr>
            </w:pPr>
          </w:p>
        </w:tc>
      </w:tr>
      <w:tr w14:paraId="5046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09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D29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电池</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6D6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铅酸电池，100AH/12V</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00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节</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C9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C0C1">
            <w:pPr>
              <w:jc w:val="center"/>
              <w:rPr>
                <w:rFonts w:hint="eastAsia" w:ascii="宋体" w:hAnsi="宋体" w:eastAsia="宋体" w:cs="宋体"/>
                <w:i w:val="0"/>
                <w:iCs w:val="0"/>
                <w:color w:val="000000"/>
                <w:sz w:val="21"/>
                <w:szCs w:val="21"/>
                <w:highlight w:val="none"/>
                <w:u w:val="none"/>
              </w:rPr>
            </w:pPr>
          </w:p>
        </w:tc>
      </w:tr>
      <w:tr w14:paraId="6FB7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A7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301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电池箱</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489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可安装32节/100AH/12V电池，含电池内部连接线一套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0E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9B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22C8">
            <w:pPr>
              <w:jc w:val="left"/>
              <w:rPr>
                <w:rFonts w:hint="eastAsia" w:ascii="宋体" w:hAnsi="宋体" w:eastAsia="宋体" w:cs="宋体"/>
                <w:i w:val="0"/>
                <w:iCs w:val="0"/>
                <w:color w:val="000000"/>
                <w:sz w:val="21"/>
                <w:szCs w:val="21"/>
                <w:highlight w:val="none"/>
                <w:u w:val="none"/>
              </w:rPr>
            </w:pPr>
          </w:p>
        </w:tc>
      </w:tr>
      <w:tr w14:paraId="3B72F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D2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1839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PDU</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8AE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额定电流16A，12位，接线盒输入（无线缆），8位10A国标插座输出+4位16A国标插座输出，垂直左侧安装，电源指示灯；防雷可选；</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BE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97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DF92">
            <w:pPr>
              <w:jc w:val="center"/>
              <w:rPr>
                <w:rFonts w:hint="eastAsia" w:ascii="宋体" w:hAnsi="宋体" w:eastAsia="宋体" w:cs="宋体"/>
                <w:i w:val="0"/>
                <w:iCs w:val="0"/>
                <w:color w:val="000000"/>
                <w:sz w:val="21"/>
                <w:szCs w:val="21"/>
                <w:highlight w:val="none"/>
                <w:u w:val="none"/>
              </w:rPr>
            </w:pPr>
          </w:p>
        </w:tc>
      </w:tr>
      <w:tr w14:paraId="14B9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09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A0D27">
            <w:pPr>
              <w:jc w:val="left"/>
              <w:rPr>
                <w:rFonts w:hint="eastAsia" w:ascii="宋体" w:hAnsi="宋体" w:eastAsia="宋体" w:cs="宋体"/>
                <w:i w:val="0"/>
                <w:iCs w:val="0"/>
                <w:color w:val="000000"/>
                <w:sz w:val="21"/>
                <w:szCs w:val="21"/>
                <w:highlight w:val="none"/>
                <w:u w:val="none"/>
              </w:rPr>
            </w:pP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222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额定电流16A，12位，接线盒输入（无线缆），8位10A国标插座输出+4位16A国标插座输出，垂直右侧安装，电源指示灯；防雷可选；</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EA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3E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D950">
            <w:pPr>
              <w:jc w:val="left"/>
              <w:rPr>
                <w:rFonts w:hint="eastAsia" w:ascii="宋体" w:hAnsi="宋体" w:eastAsia="宋体" w:cs="宋体"/>
                <w:i w:val="0"/>
                <w:iCs w:val="0"/>
                <w:color w:val="FF0000"/>
                <w:sz w:val="21"/>
                <w:szCs w:val="21"/>
                <w:highlight w:val="none"/>
                <w:u w:val="none"/>
              </w:rPr>
            </w:pPr>
          </w:p>
        </w:tc>
      </w:tr>
      <w:tr w14:paraId="35B41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2E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978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强电电缆等</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08A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机柜内部强电电缆连接线等</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F7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E1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125A">
            <w:pPr>
              <w:rPr>
                <w:rFonts w:hint="eastAsia" w:ascii="宋体" w:hAnsi="宋体" w:eastAsia="宋体" w:cs="宋体"/>
                <w:i w:val="0"/>
                <w:iCs w:val="0"/>
                <w:color w:val="FF0000"/>
                <w:sz w:val="21"/>
                <w:szCs w:val="21"/>
                <w:highlight w:val="none"/>
                <w:u w:val="none"/>
              </w:rPr>
            </w:pPr>
          </w:p>
        </w:tc>
      </w:tr>
      <w:tr w14:paraId="112E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01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w:t>
            </w:r>
          </w:p>
        </w:tc>
        <w:tc>
          <w:tcPr>
            <w:tcW w:w="7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3D82E">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机柜系统</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27FC">
            <w:pPr>
              <w:jc w:val="left"/>
              <w:rPr>
                <w:rFonts w:hint="eastAsia" w:ascii="宋体" w:hAnsi="宋体" w:eastAsia="宋体" w:cs="宋体"/>
                <w:i w:val="0"/>
                <w:iCs w:val="0"/>
                <w:color w:val="000000"/>
                <w:sz w:val="21"/>
                <w:szCs w:val="21"/>
                <w:highlight w:val="none"/>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39E7">
            <w:pPr>
              <w:jc w:val="left"/>
              <w:rPr>
                <w:rFonts w:hint="eastAsia" w:ascii="宋体" w:hAnsi="宋体" w:eastAsia="宋体" w:cs="宋体"/>
                <w:i w:val="0"/>
                <w:iCs w:val="0"/>
                <w:color w:val="000000"/>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1532">
            <w:pPr>
              <w:jc w:val="left"/>
              <w:rPr>
                <w:rFonts w:hint="eastAsia" w:ascii="宋体" w:hAnsi="宋体" w:eastAsia="宋体" w:cs="宋体"/>
                <w:i w:val="0"/>
                <w:iCs w:val="0"/>
                <w:color w:val="000000"/>
                <w:sz w:val="21"/>
                <w:szCs w:val="21"/>
                <w:highlight w:val="none"/>
                <w:u w:val="none"/>
              </w:rPr>
            </w:pPr>
          </w:p>
        </w:tc>
      </w:tr>
      <w:tr w14:paraId="5EAE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2"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A5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2CD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综合机柜</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1E9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1、尺寸：600*1200*2000（42U），标准19吋机柜；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2、前门为钢化玻璃单开门，预留显示屏安装孔位，后门为双开钣金门，前后门标配磁力锁（带信号反馈）+弹开装置；可选配智能锁；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3、标配机柜左右侧密封件；上下封堵板，PDU安装板；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4、顶部标配前照明，开门即亮；两侧配置三色氛围灯，根据不同告警点亮对应颜色灯；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5、含顶底部封板、角规，底部空调出管孔，顶板走线孔毛刷、密封条、保温棉、并柜件、螺丝等；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6、标配支撑脚 4个；前后门接地线；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7、表面处理，环保纳米陶瓷技术和静电粉末喷涂，颜色黑色RAL9005；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8C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32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CA24">
            <w:pPr>
              <w:jc w:val="left"/>
              <w:rPr>
                <w:rFonts w:hint="eastAsia" w:ascii="宋体" w:hAnsi="宋体" w:eastAsia="宋体" w:cs="宋体"/>
                <w:i w:val="0"/>
                <w:iCs w:val="0"/>
                <w:color w:val="FF0000"/>
                <w:sz w:val="21"/>
                <w:szCs w:val="21"/>
                <w:highlight w:val="none"/>
                <w:u w:val="none"/>
              </w:rPr>
            </w:pPr>
          </w:p>
        </w:tc>
      </w:tr>
      <w:tr w14:paraId="4213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2"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8E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066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服务器机柜</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E75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1、尺寸：600*1200*2000（42U），标准19吋机柜；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2、前门为钢化玻璃单开门，后门为双开钣金门，前后门标配磁力锁（带信号反馈）+弹开装置；可选配智能锁；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3、标配机柜左右侧密封件；上下封堵板，PDU安装板；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4、顶部标配前照明，开门即亮；两侧配置三色氛围灯，根据不同告警点亮对应颜色灯；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5、含顶底部封板、角规，底部空调出管孔，顶板走线孔毛刷、密封条、保温棉、并柜件、螺丝等；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6、标配支撑脚 4个；前后门接地线；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7、表面处理，环保纳米陶瓷技术和静电粉末喷涂，颜色黑色RAL9005；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1A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83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4B81">
            <w:pPr>
              <w:jc w:val="left"/>
              <w:rPr>
                <w:rFonts w:hint="eastAsia" w:ascii="宋体" w:hAnsi="宋体" w:eastAsia="宋体" w:cs="宋体"/>
                <w:i w:val="0"/>
                <w:iCs w:val="0"/>
                <w:color w:val="FF0000"/>
                <w:sz w:val="21"/>
                <w:szCs w:val="21"/>
                <w:highlight w:val="none"/>
                <w:u w:val="none"/>
              </w:rPr>
            </w:pPr>
          </w:p>
        </w:tc>
      </w:tr>
      <w:tr w14:paraId="53A79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A4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670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机柜侧板</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55E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适用于1200深*2000高机柜，颜色与柜体一致；配套单体柜/多联柜</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FD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侧</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E0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2D5D">
            <w:pPr>
              <w:jc w:val="left"/>
              <w:rPr>
                <w:rFonts w:hint="eastAsia" w:ascii="宋体" w:hAnsi="宋体" w:eastAsia="宋体" w:cs="宋体"/>
                <w:i w:val="0"/>
                <w:iCs w:val="0"/>
                <w:color w:val="FF0000"/>
                <w:sz w:val="21"/>
                <w:szCs w:val="21"/>
                <w:highlight w:val="none"/>
                <w:u w:val="none"/>
              </w:rPr>
            </w:pPr>
          </w:p>
        </w:tc>
      </w:tr>
      <w:tr w14:paraId="0528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3E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B1D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层板</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DEF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层板，优质冷轧板＞1.5mm，适用1200mm深机柜；</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8A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A8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7918">
            <w:pPr>
              <w:jc w:val="left"/>
              <w:rPr>
                <w:rFonts w:hint="eastAsia" w:ascii="宋体" w:hAnsi="宋体" w:eastAsia="宋体" w:cs="宋体"/>
                <w:i w:val="0"/>
                <w:iCs w:val="0"/>
                <w:color w:val="FF0000"/>
                <w:sz w:val="21"/>
                <w:szCs w:val="21"/>
                <w:highlight w:val="none"/>
                <w:u w:val="none"/>
              </w:rPr>
            </w:pPr>
          </w:p>
        </w:tc>
      </w:tr>
      <w:tr w14:paraId="2C5C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BF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A6D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L型导轨</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12E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承重≥50KG，SPCC≥2.0mm，黑色，适用1200深机柜，成对使用，1对2个；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5F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88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628E">
            <w:pPr>
              <w:jc w:val="left"/>
              <w:rPr>
                <w:rFonts w:hint="eastAsia" w:ascii="宋体" w:hAnsi="宋体" w:eastAsia="宋体" w:cs="宋体"/>
                <w:i w:val="0"/>
                <w:iCs w:val="0"/>
                <w:color w:val="FF0000"/>
                <w:sz w:val="21"/>
                <w:szCs w:val="21"/>
                <w:highlight w:val="none"/>
                <w:u w:val="none"/>
              </w:rPr>
            </w:pPr>
          </w:p>
        </w:tc>
      </w:tr>
      <w:tr w14:paraId="7052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77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34F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盲板</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771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1U盲板，钣金，快装，免工具安装</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9A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66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4197">
            <w:pPr>
              <w:jc w:val="left"/>
              <w:rPr>
                <w:rFonts w:hint="eastAsia" w:ascii="宋体" w:hAnsi="宋体" w:eastAsia="宋体" w:cs="宋体"/>
                <w:i w:val="0"/>
                <w:iCs w:val="0"/>
                <w:color w:val="FF0000"/>
                <w:sz w:val="21"/>
                <w:szCs w:val="21"/>
                <w:highlight w:val="none"/>
                <w:u w:val="none"/>
              </w:rPr>
            </w:pPr>
          </w:p>
        </w:tc>
      </w:tr>
      <w:tr w14:paraId="7C47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36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821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安装组件</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3FC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紧固螺丝，密封条等</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BA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2E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61C">
            <w:pPr>
              <w:jc w:val="left"/>
              <w:rPr>
                <w:rFonts w:hint="eastAsia" w:ascii="宋体" w:hAnsi="宋体" w:eastAsia="宋体" w:cs="宋体"/>
                <w:i w:val="0"/>
                <w:iCs w:val="0"/>
                <w:color w:val="FF0000"/>
                <w:sz w:val="21"/>
                <w:szCs w:val="21"/>
                <w:highlight w:val="none"/>
                <w:u w:val="none"/>
              </w:rPr>
            </w:pPr>
          </w:p>
        </w:tc>
      </w:tr>
      <w:tr w14:paraId="504D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58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w:t>
            </w:r>
          </w:p>
        </w:tc>
        <w:tc>
          <w:tcPr>
            <w:tcW w:w="7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512D5">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制冷系统</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22DF">
            <w:pPr>
              <w:jc w:val="center"/>
              <w:rPr>
                <w:rFonts w:hint="eastAsia" w:ascii="宋体" w:hAnsi="宋体" w:eastAsia="宋体" w:cs="宋体"/>
                <w:i w:val="0"/>
                <w:iCs w:val="0"/>
                <w:color w:val="000000"/>
                <w:sz w:val="21"/>
                <w:szCs w:val="21"/>
                <w:highlight w:val="none"/>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9638">
            <w:pPr>
              <w:jc w:val="center"/>
              <w:rPr>
                <w:rFonts w:hint="eastAsia" w:ascii="宋体" w:hAnsi="宋体" w:eastAsia="宋体" w:cs="宋体"/>
                <w:i w:val="0"/>
                <w:iCs w:val="0"/>
                <w:color w:val="000000"/>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2396">
            <w:pPr>
              <w:jc w:val="center"/>
              <w:rPr>
                <w:rFonts w:hint="eastAsia" w:ascii="宋体" w:hAnsi="宋体" w:eastAsia="宋体" w:cs="宋体"/>
                <w:i w:val="0"/>
                <w:iCs w:val="0"/>
                <w:color w:val="000000"/>
                <w:sz w:val="21"/>
                <w:szCs w:val="21"/>
                <w:highlight w:val="none"/>
                <w:u w:val="none"/>
              </w:rPr>
            </w:pPr>
          </w:p>
        </w:tc>
      </w:tr>
      <w:tr w14:paraId="6C19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10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AB2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机架式空调室内机</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86C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机架式，风冷型，制冷量7.5KW，风量1650m³/h，恒温恒湿，AC220V/50Hz，R410A，EC风机,变频压缩机，标配排水泵，陶瓷式PTC电加热+湿膜加湿；尺寸 (W×D×H)(mm)：443*715*351（8U）；</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A8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AD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65A2A">
            <w:pPr>
              <w:jc w:val="left"/>
              <w:rPr>
                <w:rFonts w:hint="eastAsia" w:ascii="宋体" w:hAnsi="宋体" w:eastAsia="宋体" w:cs="宋体"/>
                <w:i w:val="0"/>
                <w:iCs w:val="0"/>
                <w:color w:val="FF0000"/>
                <w:sz w:val="21"/>
                <w:szCs w:val="21"/>
                <w:highlight w:val="none"/>
                <w:u w:val="none"/>
              </w:rPr>
            </w:pPr>
          </w:p>
        </w:tc>
      </w:tr>
      <w:tr w14:paraId="6514B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84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60A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机架式空调室外机</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BAA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配套室内主机，尺寸 (W×D×H)(mm)：1027*405*733；重量：60KG；</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94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22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20F89">
            <w:pPr>
              <w:jc w:val="left"/>
              <w:rPr>
                <w:rFonts w:hint="eastAsia" w:ascii="宋体" w:hAnsi="宋体" w:eastAsia="宋体" w:cs="宋体"/>
                <w:i w:val="0"/>
                <w:iCs w:val="0"/>
                <w:color w:val="FF0000"/>
                <w:sz w:val="21"/>
                <w:szCs w:val="21"/>
                <w:highlight w:val="none"/>
                <w:u w:val="none"/>
              </w:rPr>
            </w:pPr>
          </w:p>
        </w:tc>
      </w:tr>
      <w:tr w14:paraId="18A3A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99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四、</w:t>
            </w:r>
          </w:p>
        </w:tc>
        <w:tc>
          <w:tcPr>
            <w:tcW w:w="7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E6AA9">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动环系统</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7764">
            <w:pPr>
              <w:jc w:val="center"/>
              <w:rPr>
                <w:rFonts w:hint="eastAsia" w:ascii="宋体" w:hAnsi="宋体" w:eastAsia="宋体" w:cs="宋体"/>
                <w:i w:val="0"/>
                <w:iCs w:val="0"/>
                <w:color w:val="000000"/>
                <w:sz w:val="21"/>
                <w:szCs w:val="21"/>
                <w:highlight w:val="none"/>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BC7E">
            <w:pPr>
              <w:jc w:val="center"/>
              <w:rPr>
                <w:rFonts w:hint="eastAsia" w:ascii="宋体" w:hAnsi="宋体" w:eastAsia="宋体" w:cs="宋体"/>
                <w:i w:val="0"/>
                <w:iCs w:val="0"/>
                <w:color w:val="000000"/>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8F3D">
            <w:pPr>
              <w:jc w:val="center"/>
              <w:rPr>
                <w:rFonts w:hint="eastAsia" w:ascii="宋体" w:hAnsi="宋体" w:eastAsia="宋体" w:cs="宋体"/>
                <w:i w:val="0"/>
                <w:iCs w:val="0"/>
                <w:color w:val="000000"/>
                <w:sz w:val="21"/>
                <w:szCs w:val="21"/>
                <w:highlight w:val="none"/>
                <w:u w:val="none"/>
              </w:rPr>
            </w:pPr>
          </w:p>
        </w:tc>
      </w:tr>
      <w:tr w14:paraId="62FE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4B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908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监控一体机</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232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监控主机具备10寸触摸屏及采集器为一体，性能优越，32位ARM处理器，256M内存；功能强劲，接口丰富，1个RS232, 7个RS485串口，并具备7个DI量和7个DO量，专口专用；可接入漏水，防雷，红外，烟感等传感器。</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3E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AD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B6FF">
            <w:pPr>
              <w:jc w:val="center"/>
              <w:rPr>
                <w:rFonts w:hint="eastAsia" w:ascii="宋体" w:hAnsi="宋体" w:eastAsia="宋体" w:cs="宋体"/>
                <w:i w:val="0"/>
                <w:iCs w:val="0"/>
                <w:color w:val="000000"/>
                <w:sz w:val="21"/>
                <w:szCs w:val="21"/>
                <w:highlight w:val="none"/>
                <w:u w:val="none"/>
              </w:rPr>
            </w:pPr>
          </w:p>
        </w:tc>
      </w:tr>
      <w:tr w14:paraId="5F03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C8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4D7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监控系统软件</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936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系统软件，配套监控主机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8D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25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C406">
            <w:pPr>
              <w:jc w:val="center"/>
              <w:rPr>
                <w:rFonts w:hint="eastAsia" w:ascii="宋体" w:hAnsi="宋体" w:eastAsia="宋体" w:cs="宋体"/>
                <w:i w:val="0"/>
                <w:iCs w:val="0"/>
                <w:color w:val="000000"/>
                <w:sz w:val="21"/>
                <w:szCs w:val="21"/>
                <w:highlight w:val="none"/>
                <w:u w:val="none"/>
              </w:rPr>
            </w:pPr>
          </w:p>
        </w:tc>
      </w:tr>
      <w:tr w14:paraId="0DEA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4D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9A6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终端触摸显示屏</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512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10.1寸电容触膜屏，标配环形灯与告警联动；可实现人脸识别+NFC门禁管理功能；配套DV-MG1000监控主机；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66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B0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EFB7">
            <w:pPr>
              <w:jc w:val="center"/>
              <w:rPr>
                <w:rFonts w:hint="eastAsia" w:ascii="宋体" w:hAnsi="宋体" w:eastAsia="宋体" w:cs="宋体"/>
                <w:i w:val="0"/>
                <w:iCs w:val="0"/>
                <w:color w:val="000000"/>
                <w:sz w:val="21"/>
                <w:szCs w:val="21"/>
                <w:highlight w:val="none"/>
                <w:u w:val="none"/>
              </w:rPr>
            </w:pPr>
          </w:p>
        </w:tc>
      </w:tr>
      <w:tr w14:paraId="0B56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3"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AB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1DF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温湿度传感器</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E23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LCD显示，无按键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湿度测量范围：0~100%RH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温度测量范围：-10~70℃，温度测量误差：±0.3℃（25℃）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湿度测量误差：±3%（25℃）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供电电源：12VDC（9V～15VDC）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通信接口：RS-485，RJ45接口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外形尺寸：72mm*42mm*25mm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安装方式：磁铁安装或墙挂安装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 工作环境：-20℃~+80℃，10%~90%无结露</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06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5D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E40D">
            <w:pPr>
              <w:jc w:val="left"/>
              <w:rPr>
                <w:rFonts w:hint="eastAsia" w:ascii="宋体" w:hAnsi="宋体" w:eastAsia="宋体" w:cs="宋体"/>
                <w:i w:val="0"/>
                <w:iCs w:val="0"/>
                <w:color w:val="FF0000"/>
                <w:sz w:val="21"/>
                <w:szCs w:val="21"/>
                <w:highlight w:val="none"/>
                <w:u w:val="none"/>
              </w:rPr>
            </w:pPr>
          </w:p>
        </w:tc>
      </w:tr>
      <w:tr w14:paraId="394E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2"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32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B9E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烟雾报警器</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4CB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供电电压：DC12/24V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监控电流：＜1mA(12V)    火警电流：＜30mA(12V)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输出形式：继电器干接点常闭输出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工作环境温度： -10～+65℃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工作环境相对湿度：＜95%（40℃、无凝结）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7. 外形尺寸：方形75mm×51.8mm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壳体材料、颜色：ABS   白色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 通讯接口：开关量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 安装方式：吸顶安装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光电式探测方式，数字智能程序分析技术，人性化设计接线方便</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D1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EB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89C0">
            <w:pPr>
              <w:jc w:val="left"/>
              <w:rPr>
                <w:rFonts w:hint="eastAsia" w:ascii="宋体" w:hAnsi="宋体" w:eastAsia="宋体" w:cs="宋体"/>
                <w:i w:val="0"/>
                <w:iCs w:val="0"/>
                <w:color w:val="FF0000"/>
                <w:sz w:val="21"/>
                <w:szCs w:val="21"/>
                <w:highlight w:val="none"/>
                <w:u w:val="none"/>
              </w:rPr>
            </w:pPr>
          </w:p>
        </w:tc>
      </w:tr>
      <w:tr w14:paraId="039D4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33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636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声光报警器</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E93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1.工作电压：12VDC；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2.工作电流：≤70mA；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3.声压指数：108dB</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01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11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7612">
            <w:pPr>
              <w:jc w:val="left"/>
              <w:rPr>
                <w:rFonts w:hint="eastAsia" w:ascii="宋体" w:hAnsi="宋体" w:eastAsia="宋体" w:cs="宋体"/>
                <w:i w:val="0"/>
                <w:iCs w:val="0"/>
                <w:color w:val="FF0000"/>
                <w:sz w:val="21"/>
                <w:szCs w:val="21"/>
                <w:highlight w:val="none"/>
                <w:u w:val="none"/>
              </w:rPr>
            </w:pPr>
          </w:p>
        </w:tc>
      </w:tr>
      <w:tr w14:paraId="0A8D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1"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AE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3D2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漏水检测器</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469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检测通道数: 1路，非定位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线缆长度: 200m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检测灵敏度: 可设定8种灵敏度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响应时间: &lt;3s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继电器输出: 1路，触点容量 30VDC 1A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检测水质: 普通自来水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电源输入: 9～15VDC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工作电流: ≤0.1A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 外形尺寸（长*宽*高）: 88*37*59 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 安装方式：DIN35mm导轨安装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工作环境: -10℃～50℃，10%～90%RH无结露</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93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85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6678">
            <w:pPr>
              <w:jc w:val="left"/>
              <w:rPr>
                <w:rFonts w:hint="eastAsia" w:ascii="宋体" w:hAnsi="宋体" w:eastAsia="宋体" w:cs="宋体"/>
                <w:i w:val="0"/>
                <w:iCs w:val="0"/>
                <w:color w:val="FF0000"/>
                <w:sz w:val="21"/>
                <w:szCs w:val="21"/>
                <w:highlight w:val="none"/>
                <w:u w:val="none"/>
              </w:rPr>
            </w:pPr>
          </w:p>
        </w:tc>
      </w:tr>
      <w:tr w14:paraId="51197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46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EBA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漏水绳</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029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配套漏水传感器使用，5米</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49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1F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5FF8">
            <w:pPr>
              <w:jc w:val="center"/>
              <w:rPr>
                <w:rFonts w:hint="eastAsia" w:ascii="宋体" w:hAnsi="宋体" w:eastAsia="宋体" w:cs="宋体"/>
                <w:i w:val="0"/>
                <w:iCs w:val="0"/>
                <w:color w:val="000000"/>
                <w:sz w:val="21"/>
                <w:szCs w:val="21"/>
                <w:highlight w:val="none"/>
                <w:u w:val="none"/>
              </w:rPr>
            </w:pPr>
          </w:p>
        </w:tc>
      </w:tr>
      <w:tr w14:paraId="0CFBC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CD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E69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弱电材料</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CE1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网线，水晶头等安装辅材</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9F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4B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E2CA">
            <w:pPr>
              <w:jc w:val="left"/>
              <w:rPr>
                <w:rFonts w:hint="eastAsia" w:ascii="宋体" w:hAnsi="宋体" w:eastAsia="宋体" w:cs="宋体"/>
                <w:i w:val="0"/>
                <w:iCs w:val="0"/>
                <w:color w:val="FF0000"/>
                <w:sz w:val="21"/>
                <w:szCs w:val="21"/>
                <w:highlight w:val="none"/>
                <w:u w:val="none"/>
              </w:rPr>
            </w:pPr>
          </w:p>
        </w:tc>
      </w:tr>
      <w:tr w14:paraId="11F6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3B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五、</w:t>
            </w:r>
          </w:p>
        </w:tc>
        <w:tc>
          <w:tcPr>
            <w:tcW w:w="73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3804">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消防设备</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9C70">
            <w:pPr>
              <w:jc w:val="center"/>
              <w:rPr>
                <w:rFonts w:hint="eastAsia" w:ascii="宋体" w:hAnsi="宋体" w:eastAsia="宋体" w:cs="宋体"/>
                <w:i w:val="0"/>
                <w:iCs w:val="0"/>
                <w:color w:val="000000"/>
                <w:sz w:val="21"/>
                <w:szCs w:val="21"/>
                <w:highlight w:val="none"/>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964A">
            <w:pPr>
              <w:jc w:val="center"/>
              <w:rPr>
                <w:rFonts w:hint="eastAsia" w:ascii="宋体" w:hAnsi="宋体" w:eastAsia="宋体" w:cs="宋体"/>
                <w:i w:val="0"/>
                <w:iCs w:val="0"/>
                <w:color w:val="000000"/>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D4B8">
            <w:pPr>
              <w:jc w:val="center"/>
              <w:rPr>
                <w:rFonts w:hint="eastAsia" w:ascii="宋体" w:hAnsi="宋体" w:eastAsia="宋体" w:cs="宋体"/>
                <w:i w:val="0"/>
                <w:iCs w:val="0"/>
                <w:color w:val="000000"/>
                <w:sz w:val="21"/>
                <w:szCs w:val="21"/>
                <w:highlight w:val="none"/>
                <w:u w:val="none"/>
              </w:rPr>
            </w:pPr>
          </w:p>
        </w:tc>
      </w:tr>
      <w:tr w14:paraId="0758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AF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437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70L七氟丙烷灭火装置</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5B9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灭火剂瓶组容积（L） 40 70 90 100 120 150 180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灭火剂贮存压力 2.5 MPa（20℃）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最大工作压力 4.2 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灭火剂充装密度 ≤1.12 kg/L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工作启动电源 DC24V/1A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灭火技术方式 全淹没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灭火剂喷射时间 ≤10 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启动方式 自动、手动、机械应急操作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驱动气体 氮气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使用环境温度 0 ℃ ～ 50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1.柜式七氟丙烷灭火装置型号表示：如GQQ70×2/2.5ZD。</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GQ——柜式气体灭火装置；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Q——灭火剂类型为七氟丙烷（第二个Q）；</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70——灭火剂瓶组容积为70L；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2——储瓶数量为2；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2.5——贮存压力为2.5Mpa；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ZD——正德。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2.柜式七氟丙烷灭火装置型号表示：如GQQ70/2.5ZD。</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GQ——柜式气体灭火装置；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Q——灭火剂类型为七氟丙烷（第二个Q）；</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70——灭火剂瓶组容积为70L；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2.5——贮存压力为2.5Mpa；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ZD——正德；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储瓶数量为1，在型号上不表示。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3.采用多装置联合保护时，应尽量在保护区内均衡摆放。</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C7A3">
            <w:pPr>
              <w:jc w:val="center"/>
              <w:rPr>
                <w:rFonts w:hint="eastAsia" w:ascii="宋体" w:hAnsi="宋体" w:eastAsia="宋体" w:cs="宋体"/>
                <w:i w:val="0"/>
                <w:iCs w:val="0"/>
                <w:color w:val="000000"/>
                <w:sz w:val="21"/>
                <w:szCs w:val="21"/>
                <w:highlight w:val="none"/>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3C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C90C">
            <w:pPr>
              <w:jc w:val="center"/>
              <w:rPr>
                <w:rFonts w:hint="eastAsia" w:ascii="宋体" w:hAnsi="宋体" w:eastAsia="宋体" w:cs="宋体"/>
                <w:i w:val="0"/>
                <w:iCs w:val="0"/>
                <w:color w:val="000000"/>
                <w:sz w:val="21"/>
                <w:szCs w:val="21"/>
                <w:highlight w:val="none"/>
                <w:u w:val="none"/>
              </w:rPr>
            </w:pPr>
          </w:p>
        </w:tc>
      </w:tr>
      <w:tr w14:paraId="78C4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63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3897">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装修</w:t>
            </w:r>
          </w:p>
        </w:tc>
        <w:tc>
          <w:tcPr>
            <w:tcW w:w="6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1104">
            <w:pPr>
              <w:jc w:val="left"/>
              <w:rPr>
                <w:rFonts w:hint="eastAsia" w:ascii="宋体" w:hAnsi="宋体" w:eastAsia="宋体" w:cs="宋体"/>
                <w:i w:val="0"/>
                <w:iCs w:val="0"/>
                <w:color w:val="000000"/>
                <w:sz w:val="21"/>
                <w:szCs w:val="21"/>
                <w:highlight w:val="none"/>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09D4">
            <w:pPr>
              <w:jc w:val="center"/>
              <w:rPr>
                <w:rFonts w:hint="eastAsia" w:ascii="宋体" w:hAnsi="宋体" w:eastAsia="宋体" w:cs="宋体"/>
                <w:i w:val="0"/>
                <w:iCs w:val="0"/>
                <w:color w:val="000000"/>
                <w:sz w:val="21"/>
                <w:szCs w:val="21"/>
                <w:highlight w:val="none"/>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A3F9">
            <w:pPr>
              <w:jc w:val="center"/>
              <w:rPr>
                <w:rFonts w:hint="eastAsia" w:ascii="宋体" w:hAnsi="宋体" w:eastAsia="宋体" w:cs="宋体"/>
                <w:i w:val="0"/>
                <w:iCs w:val="0"/>
                <w:color w:val="000000"/>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9F7D">
            <w:pPr>
              <w:jc w:val="center"/>
              <w:rPr>
                <w:rFonts w:hint="eastAsia" w:ascii="宋体" w:hAnsi="宋体" w:eastAsia="宋体" w:cs="宋体"/>
                <w:i w:val="0"/>
                <w:iCs w:val="0"/>
                <w:color w:val="000000"/>
                <w:sz w:val="21"/>
                <w:szCs w:val="21"/>
                <w:highlight w:val="none"/>
                <w:u w:val="none"/>
              </w:rPr>
            </w:pPr>
          </w:p>
        </w:tc>
      </w:tr>
      <w:tr w14:paraId="0CEA0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2"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92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FF2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防静电地板</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52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81"/>
                <w:rFonts w:hint="eastAsia" w:ascii="宋体" w:hAnsi="宋体" w:eastAsia="宋体" w:cs="宋体"/>
                <w:sz w:val="21"/>
                <w:szCs w:val="21"/>
                <w:highlight w:val="none"/>
                <w:lang w:val="en-US" w:eastAsia="zh-CN" w:bidi="ar"/>
              </w:rPr>
              <w:t>地板材质及规格：600mmx600mm</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 xml:space="preserve"> 地板厚度：35mm</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 xml:space="preserve"> 基本要求：地板表面颜色基本一致，无划痕、不起鼓、不起皮。</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 xml:space="preserve"> 地板贴面：采用防静电、高耐磨、防潮耐酸的HPL、PVC贴面，贴面厚度≥1.2mm，表面电阻：1.0×106～1.0×109</w:t>
            </w:r>
            <w:r>
              <w:rPr>
                <w:rStyle w:val="166"/>
                <w:rFonts w:hint="eastAsia" w:ascii="宋体" w:hAnsi="宋体" w:eastAsia="宋体" w:cs="宋体"/>
                <w:sz w:val="21"/>
                <w:szCs w:val="21"/>
                <w:highlight w:val="none"/>
                <w:lang w:val="en-US" w:eastAsia="zh-CN" w:bidi="ar"/>
              </w:rPr>
              <w:t>Ω</w:t>
            </w:r>
            <w:r>
              <w:rPr>
                <w:rStyle w:val="81"/>
                <w:rFonts w:hint="eastAsia" w:ascii="宋体" w:hAnsi="宋体" w:eastAsia="宋体" w:cs="宋体"/>
                <w:sz w:val="21"/>
                <w:szCs w:val="21"/>
                <w:highlight w:val="none"/>
                <w:lang w:val="en-US" w:eastAsia="zh-CN" w:bidi="ar"/>
              </w:rPr>
              <w:t>，体积电阻：1.0×106～1.0×109</w:t>
            </w:r>
            <w:r>
              <w:rPr>
                <w:rStyle w:val="166"/>
                <w:rFonts w:hint="eastAsia" w:ascii="宋体" w:hAnsi="宋体" w:eastAsia="宋体" w:cs="宋体"/>
                <w:sz w:val="21"/>
                <w:szCs w:val="21"/>
                <w:highlight w:val="none"/>
                <w:lang w:val="en-US" w:eastAsia="zh-CN" w:bidi="ar"/>
              </w:rPr>
              <w:t>Ω</w:t>
            </w:r>
            <w:r>
              <w:rPr>
                <w:rStyle w:val="81"/>
                <w:rFonts w:hint="eastAsia" w:ascii="宋体" w:hAnsi="宋体" w:eastAsia="宋体" w:cs="宋体"/>
                <w:sz w:val="21"/>
                <w:szCs w:val="21"/>
                <w:highlight w:val="none"/>
                <w:lang w:val="en-US" w:eastAsia="zh-CN" w:bidi="ar"/>
              </w:rPr>
              <w:t>，耐磨性能：普通耐磨∶≥400r，高耐磨∶≥1000r，超耐磨∶≥3000r，抗拉强度：≥60Mpa，磨耗性能≤0.080g/㎝2(100r时)，耐磨性能≥3000r。</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 xml:space="preserve"> 全钢外壳：采用全钢外壳</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 xml:space="preserve"> 地板板芯：优质高强度发泡水泥基材</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 xml:space="preserve"> 边位处理：地板的四周边位采用导电胶条封边，平整牢固</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电气性能 静电耗散型：R=1.0×106～1.0×109</w:t>
            </w:r>
            <w:r>
              <w:rPr>
                <w:rStyle w:val="166"/>
                <w:rFonts w:hint="eastAsia" w:ascii="宋体" w:hAnsi="宋体" w:eastAsia="宋体" w:cs="宋体"/>
                <w:sz w:val="21"/>
                <w:szCs w:val="21"/>
                <w:highlight w:val="none"/>
                <w:lang w:val="en-US" w:eastAsia="zh-CN" w:bidi="ar"/>
              </w:rPr>
              <w:t>Ω</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机械性能 承重类型：Q型</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 xml:space="preserve"> 集中载荷≥2950N (挠度≤2㎜、永久变形≤0.25㎜)</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 xml:space="preserve"> 均布载荷≥12500N /m2 (挠度≤2㎜)</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 xml:space="preserve"> 极限集中载荷≥8850N</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 xml:space="preserve"> 耐冲击性能试验区没有任何塌陷，地板永久变形≤1.5mm，无破损</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燃烧性能 防火等级A级</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外观 地板边长极限公差0~-0.40mm</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 xml:space="preserve"> 地板厚度极限公差≤±0.30mm</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 xml:space="preserve"> 表面平面度≤0.60mm</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 xml:space="preserve"> 邻边垂直度≤0.30mm</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 xml:space="preserve"> 质量无破损、不开胶、无明显色差</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配套支撑 支撑配件支撑系统满足架空地板相应高度的安装稳安性。</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eastAsia="宋体" w:cs="宋体"/>
                <w:sz w:val="21"/>
                <w:szCs w:val="21"/>
                <w:highlight w:val="none"/>
                <w:lang w:val="en-US" w:eastAsia="zh-CN" w:bidi="ar"/>
              </w:rPr>
              <w:t>支撑系统主要由支架、横梁等部分组成。支架采用专用钢材，具有钢性好、承载能力强等特点。所采用的支架、横梁等金属部件表面均采用镀锌处理，美观、防腐；金属部件应保证10年以上防腐防锈。</w:t>
            </w:r>
            <w:r>
              <w:rPr>
                <w:rStyle w:val="81"/>
                <w:rFonts w:hint="eastAsia" w:ascii="宋体" w:hAnsi="宋体" w:eastAsia="宋体" w:cs="宋体"/>
                <w:sz w:val="21"/>
                <w:szCs w:val="21"/>
                <w:highlight w:val="none"/>
                <w:lang w:val="en-US" w:eastAsia="zh-CN" w:bidi="ar"/>
              </w:rPr>
              <w:br w:type="textWrapping"/>
            </w:r>
            <w:r>
              <w:rPr>
                <w:rStyle w:val="81"/>
                <w:rFonts w:hint="eastAsia" w:ascii="宋体" w:hAnsi="宋体" w:cs="宋体"/>
                <w:sz w:val="21"/>
                <w:szCs w:val="21"/>
                <w:highlight w:val="none"/>
                <w:lang w:val="en-US" w:eastAsia="zh-CN" w:bidi="ar"/>
              </w:rPr>
              <w:t xml:space="preserve"> </w:t>
            </w:r>
            <w:r>
              <w:rPr>
                <w:rStyle w:val="81"/>
                <w:rFonts w:hint="eastAsia" w:ascii="宋体" w:hAnsi="宋体" w:eastAsia="宋体" w:cs="宋体"/>
                <w:sz w:val="21"/>
                <w:szCs w:val="21"/>
                <w:highlight w:val="none"/>
                <w:lang w:val="en-US" w:eastAsia="zh-CN" w:bidi="ar"/>
              </w:rPr>
              <w:t>支撑承重20KN力保持2分钟支架完好如初</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B3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5B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9EBA">
            <w:pPr>
              <w:jc w:val="center"/>
              <w:rPr>
                <w:rFonts w:hint="eastAsia" w:ascii="宋体" w:hAnsi="宋体" w:eastAsia="宋体" w:cs="宋体"/>
                <w:i w:val="0"/>
                <w:iCs w:val="0"/>
                <w:color w:val="000000"/>
                <w:sz w:val="21"/>
                <w:szCs w:val="21"/>
                <w:highlight w:val="none"/>
                <w:u w:val="none"/>
              </w:rPr>
            </w:pPr>
          </w:p>
        </w:tc>
      </w:tr>
      <w:tr w14:paraId="7672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A1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18C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吊顶</w:t>
            </w:r>
          </w:p>
        </w:tc>
        <w:tc>
          <w:tcPr>
            <w:tcW w:w="6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621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铝塑板60*60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BC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35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9D2E">
            <w:pPr>
              <w:jc w:val="center"/>
              <w:rPr>
                <w:rFonts w:hint="eastAsia" w:ascii="宋体" w:hAnsi="宋体" w:eastAsia="宋体" w:cs="宋体"/>
                <w:i w:val="0"/>
                <w:iCs w:val="0"/>
                <w:color w:val="000000"/>
                <w:sz w:val="21"/>
                <w:szCs w:val="21"/>
                <w:highlight w:val="none"/>
                <w:u w:val="none"/>
              </w:rPr>
            </w:pPr>
          </w:p>
        </w:tc>
      </w:tr>
      <w:tr w14:paraId="71D62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C0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627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w:t>
            </w:r>
          </w:p>
        </w:tc>
        <w:tc>
          <w:tcPr>
            <w:tcW w:w="6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4FB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根据现场尺寸定制</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4A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DB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FBE1">
            <w:pPr>
              <w:jc w:val="center"/>
              <w:rPr>
                <w:rFonts w:hint="eastAsia" w:ascii="宋体" w:hAnsi="宋体" w:eastAsia="宋体" w:cs="宋体"/>
                <w:i w:val="0"/>
                <w:iCs w:val="0"/>
                <w:color w:val="000000"/>
                <w:sz w:val="21"/>
                <w:szCs w:val="21"/>
                <w:highlight w:val="none"/>
                <w:u w:val="none"/>
              </w:rPr>
            </w:pPr>
          </w:p>
        </w:tc>
      </w:tr>
      <w:tr w14:paraId="546A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31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701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辅材、施工</w:t>
            </w:r>
          </w:p>
        </w:tc>
        <w:tc>
          <w:tcPr>
            <w:tcW w:w="6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7C8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电源线、线槽、开孔、紧固件</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32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间</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71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9D5B">
            <w:pPr>
              <w:jc w:val="center"/>
              <w:rPr>
                <w:rFonts w:hint="eastAsia" w:ascii="宋体" w:hAnsi="宋体" w:eastAsia="宋体" w:cs="宋体"/>
                <w:i w:val="0"/>
                <w:iCs w:val="0"/>
                <w:color w:val="000000"/>
                <w:sz w:val="21"/>
                <w:szCs w:val="21"/>
                <w:highlight w:val="none"/>
                <w:u w:val="none"/>
              </w:rPr>
            </w:pPr>
          </w:p>
        </w:tc>
      </w:tr>
      <w:tr w14:paraId="52FB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1E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七、</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F958">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校园广播布线</w:t>
            </w:r>
          </w:p>
        </w:tc>
        <w:tc>
          <w:tcPr>
            <w:tcW w:w="6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7837">
            <w:pPr>
              <w:jc w:val="left"/>
              <w:rPr>
                <w:rFonts w:hint="eastAsia" w:ascii="宋体" w:hAnsi="宋体" w:eastAsia="宋体" w:cs="宋体"/>
                <w:i w:val="0"/>
                <w:iCs w:val="0"/>
                <w:color w:val="000000"/>
                <w:sz w:val="21"/>
                <w:szCs w:val="21"/>
                <w:highlight w:val="none"/>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9ACF">
            <w:pPr>
              <w:jc w:val="left"/>
              <w:rPr>
                <w:rFonts w:hint="eastAsia" w:ascii="宋体" w:hAnsi="宋体" w:eastAsia="宋体" w:cs="宋体"/>
                <w:i w:val="0"/>
                <w:iCs w:val="0"/>
                <w:color w:val="000000"/>
                <w:sz w:val="21"/>
                <w:szCs w:val="21"/>
                <w:highlight w:val="none"/>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DEE2">
            <w:pPr>
              <w:jc w:val="center"/>
              <w:rPr>
                <w:rFonts w:hint="eastAsia" w:ascii="宋体" w:hAnsi="宋体" w:eastAsia="宋体" w:cs="宋体"/>
                <w:i w:val="0"/>
                <w:iCs w:val="0"/>
                <w:color w:val="000000"/>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1049">
            <w:pPr>
              <w:jc w:val="center"/>
              <w:rPr>
                <w:rFonts w:hint="eastAsia" w:ascii="宋体" w:hAnsi="宋体" w:eastAsia="宋体" w:cs="宋体"/>
                <w:i w:val="0"/>
                <w:iCs w:val="0"/>
                <w:color w:val="000000"/>
                <w:sz w:val="21"/>
                <w:szCs w:val="21"/>
                <w:highlight w:val="none"/>
                <w:u w:val="none"/>
              </w:rPr>
            </w:pPr>
          </w:p>
        </w:tc>
      </w:tr>
      <w:tr w14:paraId="3EF0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D9C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2FE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音频连接线</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2EE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1.8米音频连接线：莲花（RCA）*2,线径：0.3mm</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5B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92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D3F4">
            <w:pPr>
              <w:jc w:val="center"/>
              <w:rPr>
                <w:rFonts w:hint="eastAsia" w:ascii="宋体" w:hAnsi="宋体" w:eastAsia="宋体" w:cs="宋体"/>
                <w:i w:val="0"/>
                <w:iCs w:val="0"/>
                <w:color w:val="000000"/>
                <w:sz w:val="21"/>
                <w:szCs w:val="21"/>
                <w:highlight w:val="none"/>
                <w:u w:val="none"/>
              </w:rPr>
            </w:pPr>
          </w:p>
        </w:tc>
      </w:tr>
      <w:tr w14:paraId="0F21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A63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11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铜芯护套线</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329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铜芯护套线RVV2*1.5，200米/卷</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F6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1B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AC77">
            <w:pPr>
              <w:jc w:val="center"/>
              <w:rPr>
                <w:rFonts w:hint="eastAsia" w:ascii="宋体" w:hAnsi="宋体" w:eastAsia="宋体" w:cs="宋体"/>
                <w:i w:val="0"/>
                <w:iCs w:val="0"/>
                <w:color w:val="000000"/>
                <w:sz w:val="21"/>
                <w:szCs w:val="21"/>
                <w:highlight w:val="none"/>
                <w:u w:val="none"/>
              </w:rPr>
            </w:pPr>
          </w:p>
        </w:tc>
      </w:tr>
      <w:tr w14:paraId="092A5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E9B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F8A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铜芯护套线</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D2C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铜芯护套线RVV2*2.5，200米/卷</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6F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50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BCF6">
            <w:pPr>
              <w:jc w:val="center"/>
              <w:rPr>
                <w:rFonts w:hint="eastAsia" w:ascii="宋体" w:hAnsi="宋体" w:eastAsia="宋体" w:cs="宋体"/>
                <w:i w:val="0"/>
                <w:iCs w:val="0"/>
                <w:color w:val="000000"/>
                <w:sz w:val="21"/>
                <w:szCs w:val="21"/>
                <w:highlight w:val="none"/>
                <w:u w:val="none"/>
              </w:rPr>
            </w:pPr>
          </w:p>
        </w:tc>
      </w:tr>
      <w:tr w14:paraId="0FE3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E5D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6A5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铜芯护套线</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A3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铜芯护套线RVV3*1.5，200米/卷</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61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3D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39C3">
            <w:pPr>
              <w:jc w:val="center"/>
              <w:rPr>
                <w:rFonts w:hint="eastAsia" w:ascii="宋体" w:hAnsi="宋体" w:eastAsia="宋体" w:cs="宋体"/>
                <w:i w:val="0"/>
                <w:iCs w:val="0"/>
                <w:color w:val="000000"/>
                <w:sz w:val="21"/>
                <w:szCs w:val="21"/>
                <w:highlight w:val="none"/>
                <w:u w:val="none"/>
              </w:rPr>
            </w:pPr>
          </w:p>
        </w:tc>
      </w:tr>
      <w:tr w14:paraId="088B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A1C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135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六类网线</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C8C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国标线缆对数：4对，导体材料：无氧圆铜，线规：23AWG ，常规颜色：灰色，305米/箱</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70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5C7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90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C2FE">
            <w:pPr>
              <w:jc w:val="center"/>
              <w:rPr>
                <w:rFonts w:hint="eastAsia" w:ascii="宋体" w:hAnsi="宋体" w:eastAsia="宋体" w:cs="宋体"/>
                <w:i w:val="0"/>
                <w:iCs w:val="0"/>
                <w:color w:val="000000"/>
                <w:sz w:val="21"/>
                <w:szCs w:val="21"/>
                <w:highlight w:val="none"/>
                <w:u w:val="none"/>
              </w:rPr>
            </w:pPr>
          </w:p>
        </w:tc>
      </w:tr>
      <w:tr w14:paraId="0437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87D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F3E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水晶头</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81F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芯片类型：三叉芯片材质：PVC料孔槽内径；1.15mm芯片工艺；铜镀金接口：RJ45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65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盒</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A5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5AA0">
            <w:pPr>
              <w:jc w:val="center"/>
              <w:rPr>
                <w:rFonts w:hint="eastAsia" w:ascii="宋体" w:hAnsi="宋体" w:eastAsia="宋体" w:cs="宋体"/>
                <w:i w:val="0"/>
                <w:iCs w:val="0"/>
                <w:color w:val="000000"/>
                <w:sz w:val="21"/>
                <w:szCs w:val="21"/>
                <w:highlight w:val="none"/>
                <w:u w:val="none"/>
              </w:rPr>
            </w:pPr>
          </w:p>
        </w:tc>
      </w:tr>
      <w:tr w14:paraId="7FB6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C9A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931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线材</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1F2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直径7.2mm，馈线50-5-1，200/卷</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C8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02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75E8">
            <w:pPr>
              <w:jc w:val="center"/>
              <w:rPr>
                <w:rFonts w:hint="eastAsia" w:ascii="宋体" w:hAnsi="宋体" w:eastAsia="宋体" w:cs="宋体"/>
                <w:i w:val="0"/>
                <w:iCs w:val="0"/>
                <w:color w:val="000000"/>
                <w:sz w:val="21"/>
                <w:szCs w:val="21"/>
                <w:highlight w:val="none"/>
                <w:u w:val="none"/>
              </w:rPr>
            </w:pPr>
          </w:p>
        </w:tc>
      </w:tr>
      <w:tr w14:paraId="2294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2E4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E43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PVC管</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DB4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白色线管A管DN32，每根长度4米</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B8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95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1F6A">
            <w:pPr>
              <w:jc w:val="center"/>
              <w:rPr>
                <w:rFonts w:hint="eastAsia" w:ascii="宋体" w:hAnsi="宋体" w:eastAsia="宋体" w:cs="宋体"/>
                <w:i w:val="0"/>
                <w:iCs w:val="0"/>
                <w:color w:val="000000"/>
                <w:sz w:val="21"/>
                <w:szCs w:val="21"/>
                <w:highlight w:val="none"/>
                <w:u w:val="none"/>
              </w:rPr>
            </w:pPr>
          </w:p>
        </w:tc>
      </w:tr>
      <w:tr w14:paraId="63CD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687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3E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镀锌钢管</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C00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DN=32mm，厚度：2.5mm，每支钢管通常定尺长度为6米。</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DE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6A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3CC8">
            <w:pPr>
              <w:jc w:val="center"/>
              <w:rPr>
                <w:rFonts w:hint="eastAsia" w:ascii="宋体" w:hAnsi="宋体" w:eastAsia="宋体" w:cs="宋体"/>
                <w:i w:val="0"/>
                <w:iCs w:val="0"/>
                <w:color w:val="000000"/>
                <w:sz w:val="21"/>
                <w:szCs w:val="21"/>
                <w:highlight w:val="none"/>
                <w:u w:val="none"/>
              </w:rPr>
            </w:pPr>
          </w:p>
        </w:tc>
      </w:tr>
      <w:tr w14:paraId="0664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B3A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6F7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金属桥架</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EE3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桥架100*20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DB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D72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160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DFDF">
            <w:pPr>
              <w:jc w:val="center"/>
              <w:rPr>
                <w:rFonts w:hint="eastAsia" w:ascii="宋体" w:hAnsi="宋体" w:eastAsia="宋体" w:cs="宋体"/>
                <w:i w:val="0"/>
                <w:iCs w:val="0"/>
                <w:color w:val="000000"/>
                <w:sz w:val="21"/>
                <w:szCs w:val="21"/>
                <w:highlight w:val="none"/>
                <w:u w:val="none"/>
              </w:rPr>
            </w:pPr>
          </w:p>
        </w:tc>
      </w:tr>
      <w:tr w14:paraId="69028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EDC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125DFBC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其它辅助材料</w:t>
            </w:r>
          </w:p>
        </w:tc>
        <w:tc>
          <w:tcPr>
            <w:tcW w:w="6665" w:type="dxa"/>
            <w:tcBorders>
              <w:top w:val="single" w:color="000000" w:sz="4" w:space="0"/>
              <w:left w:val="single" w:color="000000" w:sz="4" w:space="0"/>
              <w:bottom w:val="nil"/>
              <w:right w:val="single" w:color="000000" w:sz="4" w:space="0"/>
            </w:tcBorders>
            <w:shd w:val="clear" w:color="auto" w:fill="auto"/>
            <w:vAlign w:val="center"/>
          </w:tcPr>
          <w:p w14:paraId="37F5497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钢筋、角铁、安装用螺丝钉、涨塞、固定件、线路护套、绑扎带、绝缘胶布、自攻丝、卡扣件等、音柱立杆地面开槽、水泥、沙子、石籽等。电焊等</w:t>
            </w:r>
          </w:p>
        </w:tc>
        <w:tc>
          <w:tcPr>
            <w:tcW w:w="648" w:type="dxa"/>
            <w:tcBorders>
              <w:top w:val="single" w:color="000000" w:sz="4" w:space="0"/>
              <w:left w:val="single" w:color="000000" w:sz="4" w:space="0"/>
              <w:bottom w:val="nil"/>
              <w:right w:val="single" w:color="000000" w:sz="4" w:space="0"/>
            </w:tcBorders>
            <w:shd w:val="clear" w:color="auto" w:fill="auto"/>
            <w:vAlign w:val="center"/>
          </w:tcPr>
          <w:p w14:paraId="404ED9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647" w:type="dxa"/>
            <w:tcBorders>
              <w:top w:val="single" w:color="000000" w:sz="4" w:space="0"/>
              <w:left w:val="single" w:color="000000" w:sz="4" w:space="0"/>
              <w:bottom w:val="nil"/>
              <w:right w:val="single" w:color="000000" w:sz="4" w:space="0"/>
            </w:tcBorders>
            <w:shd w:val="clear" w:color="auto" w:fill="auto"/>
            <w:noWrap/>
            <w:vAlign w:val="center"/>
          </w:tcPr>
          <w:p w14:paraId="27B8D3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2821">
            <w:pPr>
              <w:jc w:val="center"/>
              <w:rPr>
                <w:rFonts w:hint="eastAsia" w:ascii="宋体" w:hAnsi="宋体" w:eastAsia="宋体" w:cs="宋体"/>
                <w:i w:val="0"/>
                <w:iCs w:val="0"/>
                <w:color w:val="000000"/>
                <w:sz w:val="21"/>
                <w:szCs w:val="21"/>
                <w:highlight w:val="none"/>
                <w:u w:val="none"/>
              </w:rPr>
            </w:pPr>
          </w:p>
        </w:tc>
      </w:tr>
      <w:tr w14:paraId="2108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404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797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施工费</w:t>
            </w:r>
          </w:p>
        </w:tc>
        <w:tc>
          <w:tcPr>
            <w:tcW w:w="6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199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包含前级广播设备安装调试、墙面开口、打眼。室外40点位布线，地面挖槽安装立杆40个。开孔打眼处恢复。</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F9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点位</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80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9F91">
            <w:pPr>
              <w:jc w:val="center"/>
              <w:rPr>
                <w:rFonts w:hint="eastAsia" w:ascii="宋体" w:hAnsi="宋体" w:eastAsia="宋体" w:cs="宋体"/>
                <w:i w:val="0"/>
                <w:iCs w:val="0"/>
                <w:color w:val="000000"/>
                <w:sz w:val="21"/>
                <w:szCs w:val="21"/>
                <w:highlight w:val="none"/>
                <w:u w:val="none"/>
              </w:rPr>
            </w:pPr>
          </w:p>
        </w:tc>
      </w:tr>
    </w:tbl>
    <w:p w14:paraId="2757BEC6">
      <w:pPr>
        <w:rPr>
          <w:rFonts w:hint="default" w:ascii="仿宋" w:hAnsi="仿宋" w:eastAsia="仿宋" w:cs="仿宋"/>
          <w:b/>
          <w:bCs/>
          <w:highlight w:val="none"/>
          <w:lang w:val="en-US" w:eastAsia="zh-CN"/>
        </w:rPr>
      </w:pPr>
    </w:p>
    <w:p w14:paraId="37F1EFAE">
      <w:pPr>
        <w:rPr>
          <w:rFonts w:hint="default" w:ascii="仿宋" w:hAnsi="仿宋" w:eastAsia="仿宋" w:cs="仿宋"/>
          <w:b/>
          <w:bCs/>
          <w:highlight w:val="none"/>
          <w:lang w:val="en-US" w:eastAsia="zh-CN"/>
        </w:rPr>
      </w:pPr>
    </w:p>
    <w:p w14:paraId="6A9FA299">
      <w:pPr>
        <w:rPr>
          <w:rFonts w:hint="default" w:ascii="仿宋" w:hAnsi="仿宋" w:eastAsia="仿宋" w:cs="仿宋"/>
          <w:b/>
          <w:bCs/>
          <w:highlight w:val="none"/>
          <w:lang w:val="en-US" w:eastAsia="zh-CN"/>
        </w:rPr>
      </w:pPr>
    </w:p>
    <w:p w14:paraId="173E8929">
      <w:pPr>
        <w:rPr>
          <w:rFonts w:hint="default" w:ascii="仿宋" w:hAnsi="仿宋" w:eastAsia="仿宋" w:cs="仿宋"/>
          <w:b/>
          <w:bCs/>
          <w:highlight w:val="none"/>
          <w:lang w:val="en-US" w:eastAsia="zh-CN"/>
        </w:rPr>
      </w:pPr>
    </w:p>
    <w:p w14:paraId="063D372A">
      <w:pPr>
        <w:rPr>
          <w:rFonts w:hint="default" w:ascii="仿宋" w:hAnsi="仿宋" w:eastAsia="仿宋" w:cs="仿宋"/>
          <w:b/>
          <w:bCs/>
          <w:highlight w:val="none"/>
          <w:lang w:val="en-US" w:eastAsia="zh-CN"/>
        </w:rPr>
      </w:pPr>
    </w:p>
    <w:p w14:paraId="092851EA">
      <w:pPr>
        <w:rPr>
          <w:rFonts w:hint="default" w:ascii="仿宋" w:hAnsi="仿宋" w:eastAsia="仿宋" w:cs="仿宋"/>
          <w:b/>
          <w:bCs/>
          <w:highlight w:val="none"/>
          <w:lang w:val="en-US" w:eastAsia="zh-CN"/>
        </w:rPr>
      </w:pPr>
      <w:r>
        <w:rPr>
          <w:rFonts w:hint="default" w:ascii="仿宋" w:hAnsi="仿宋" w:eastAsia="仿宋" w:cs="仿宋"/>
          <w:b/>
          <w:bCs/>
          <w:highlight w:val="none"/>
          <w:lang w:val="en-US" w:eastAsia="zh-CN"/>
        </w:rPr>
        <w:br w:type="page"/>
      </w:r>
    </w:p>
    <w:p w14:paraId="694D4298">
      <w:pPr>
        <w:spacing w:line="520" w:lineRule="exact"/>
        <w:jc w:val="center"/>
        <w:outlineLvl w:val="0"/>
        <w:rPr>
          <w:rFonts w:hint="eastAsia" w:ascii="仿宋" w:hAnsi="仿宋" w:eastAsia="仿宋" w:cs="仿宋"/>
          <w:bCs/>
          <w:color w:val="auto"/>
          <w:sz w:val="28"/>
          <w:szCs w:val="28"/>
          <w:highlight w:val="none"/>
        </w:rPr>
      </w:pPr>
      <w:bookmarkStart w:id="97" w:name="_Toc28925"/>
      <w:r>
        <w:rPr>
          <w:rFonts w:hint="eastAsia" w:ascii="仿宋" w:hAnsi="仿宋" w:eastAsia="仿宋" w:cs="仿宋"/>
          <w:bCs/>
          <w:color w:val="auto"/>
          <w:sz w:val="32"/>
          <w:szCs w:val="32"/>
          <w:highlight w:val="none"/>
        </w:rPr>
        <w:t>第四部分</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合同主要条款</w:t>
      </w:r>
      <w:bookmarkEnd w:id="97"/>
    </w:p>
    <w:p w14:paraId="29F8577E">
      <w:pPr>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28"/>
          <w:highlight w:val="none"/>
        </w:rPr>
        <w:t>（具体以实际签订合同为</w:t>
      </w:r>
      <w:r>
        <w:rPr>
          <w:rFonts w:hint="eastAsia" w:ascii="仿宋" w:hAnsi="仿宋" w:eastAsia="仿宋" w:cs="仿宋"/>
          <w:bCs/>
          <w:color w:val="auto"/>
          <w:sz w:val="28"/>
          <w:highlight w:val="none"/>
          <w:lang w:eastAsia="zh-CN"/>
        </w:rPr>
        <w:t>准</w:t>
      </w:r>
      <w:r>
        <w:rPr>
          <w:rFonts w:hint="eastAsia" w:ascii="仿宋" w:hAnsi="仿宋" w:eastAsia="仿宋" w:cs="仿宋"/>
          <w:bCs/>
          <w:color w:val="auto"/>
          <w:sz w:val="28"/>
          <w:highlight w:val="none"/>
        </w:rPr>
        <w:t>）</w:t>
      </w:r>
    </w:p>
    <w:bookmarkEnd w:id="91"/>
    <w:bookmarkEnd w:id="92"/>
    <w:bookmarkEnd w:id="93"/>
    <w:bookmarkEnd w:id="94"/>
    <w:bookmarkEnd w:id="95"/>
    <w:bookmarkEnd w:id="96"/>
    <w:p w14:paraId="65A4B0D7">
      <w:pPr>
        <w:spacing w:before="139" w:line="226" w:lineRule="auto"/>
        <w:rPr>
          <w:rFonts w:hint="eastAsia" w:ascii="仿宋" w:hAnsi="仿宋" w:eastAsia="仿宋" w:cs="仿宋"/>
          <w:b/>
          <w:bCs/>
          <w:color w:val="auto"/>
          <w:spacing w:val="4"/>
          <w:sz w:val="43"/>
          <w:szCs w:val="43"/>
          <w:highlight w:val="none"/>
        </w:rPr>
      </w:pPr>
      <w:bookmarkStart w:id="98" w:name="_Toc349573144"/>
      <w:bookmarkStart w:id="99" w:name="_Toc298240429"/>
      <w:bookmarkStart w:id="100" w:name="_Toc349637943"/>
    </w:p>
    <w:p w14:paraId="499B3FB5">
      <w:pPr>
        <w:pStyle w:val="15"/>
        <w:spacing w:after="0"/>
        <w:jc w:val="center"/>
        <w:rPr>
          <w:rFonts w:hint="eastAsia" w:ascii="仿宋" w:hAnsi="仿宋" w:eastAsia="仿宋" w:cs="仿宋"/>
          <w:b/>
          <w:bCs/>
          <w:color w:val="auto"/>
          <w:spacing w:val="-20"/>
          <w:kern w:val="44"/>
          <w:sz w:val="24"/>
          <w:szCs w:val="24"/>
          <w:highlight w:val="none"/>
        </w:rPr>
      </w:pPr>
      <w:bookmarkStart w:id="101" w:name="_Toc3995"/>
    </w:p>
    <w:p w14:paraId="12C59DBA">
      <w:pPr>
        <w:pStyle w:val="15"/>
        <w:spacing w:after="0"/>
        <w:jc w:val="center"/>
        <w:rPr>
          <w:rFonts w:hint="eastAsia" w:ascii="仿宋" w:hAnsi="仿宋" w:eastAsia="仿宋" w:cs="仿宋"/>
          <w:b/>
          <w:bCs/>
          <w:color w:val="auto"/>
          <w:spacing w:val="-20"/>
          <w:kern w:val="44"/>
          <w:sz w:val="24"/>
          <w:szCs w:val="24"/>
          <w:highlight w:val="none"/>
        </w:rPr>
      </w:pPr>
    </w:p>
    <w:p w14:paraId="26CB9CCF">
      <w:pPr>
        <w:pStyle w:val="15"/>
        <w:spacing w:after="0"/>
        <w:jc w:val="center"/>
        <w:rPr>
          <w:rFonts w:hint="eastAsia" w:ascii="仿宋" w:hAnsi="仿宋" w:eastAsia="仿宋" w:cs="仿宋"/>
          <w:b/>
          <w:bCs/>
          <w:color w:val="auto"/>
          <w:spacing w:val="-20"/>
          <w:kern w:val="44"/>
          <w:sz w:val="24"/>
          <w:szCs w:val="24"/>
          <w:highlight w:val="none"/>
        </w:rPr>
      </w:pPr>
    </w:p>
    <w:p w14:paraId="638BAB0B">
      <w:pPr>
        <w:pStyle w:val="15"/>
        <w:spacing w:after="0"/>
        <w:jc w:val="center"/>
        <w:rPr>
          <w:rFonts w:hint="eastAsia" w:ascii="仿宋" w:hAnsi="仿宋" w:eastAsia="仿宋" w:cs="仿宋"/>
          <w:b/>
          <w:bCs/>
          <w:color w:val="auto"/>
          <w:spacing w:val="-20"/>
          <w:kern w:val="44"/>
          <w:sz w:val="24"/>
          <w:szCs w:val="24"/>
          <w:highlight w:val="none"/>
        </w:rPr>
      </w:pPr>
    </w:p>
    <w:p w14:paraId="43DF9D3F">
      <w:pPr>
        <w:pStyle w:val="15"/>
        <w:spacing w:after="0"/>
        <w:jc w:val="center"/>
        <w:rPr>
          <w:rFonts w:hint="eastAsia" w:ascii="仿宋" w:hAnsi="仿宋" w:eastAsia="仿宋" w:cs="仿宋"/>
          <w:b/>
          <w:bCs/>
          <w:color w:val="auto"/>
          <w:spacing w:val="-20"/>
          <w:kern w:val="44"/>
          <w:sz w:val="24"/>
          <w:szCs w:val="24"/>
          <w:highlight w:val="none"/>
        </w:rPr>
      </w:pPr>
    </w:p>
    <w:p w14:paraId="70B49292">
      <w:pPr>
        <w:pStyle w:val="15"/>
        <w:spacing w:after="0"/>
        <w:jc w:val="center"/>
        <w:rPr>
          <w:rFonts w:hint="eastAsia" w:ascii="仿宋" w:hAnsi="仿宋" w:eastAsia="仿宋" w:cs="仿宋"/>
          <w:b/>
          <w:bCs/>
          <w:color w:val="auto"/>
          <w:spacing w:val="-20"/>
          <w:kern w:val="44"/>
          <w:sz w:val="24"/>
          <w:szCs w:val="24"/>
          <w:highlight w:val="none"/>
        </w:rPr>
      </w:pPr>
      <w:r>
        <w:rPr>
          <w:rFonts w:hint="eastAsia" w:ascii="仿宋" w:hAnsi="仿宋" w:eastAsia="仿宋" w:cs="仿宋"/>
          <w:b/>
          <w:bCs/>
          <w:color w:val="auto"/>
          <w:spacing w:val="-20"/>
          <w:kern w:val="44"/>
          <w:sz w:val="24"/>
          <w:szCs w:val="24"/>
          <w:highlight w:val="none"/>
        </w:rPr>
        <w:t>政府采购</w:t>
      </w:r>
      <w:r>
        <w:rPr>
          <w:rFonts w:hint="eastAsia" w:ascii="仿宋" w:hAnsi="仿宋" w:eastAsia="仿宋" w:cs="仿宋"/>
          <w:b/>
          <w:bCs/>
          <w:color w:val="auto"/>
          <w:spacing w:val="-20"/>
          <w:kern w:val="44"/>
          <w:sz w:val="24"/>
          <w:szCs w:val="24"/>
          <w:highlight w:val="none"/>
          <w:lang w:eastAsia="zh-CN"/>
        </w:rPr>
        <w:t>货物买卖</w:t>
      </w:r>
      <w:r>
        <w:rPr>
          <w:rFonts w:hint="eastAsia" w:ascii="仿宋" w:hAnsi="仿宋" w:eastAsia="仿宋" w:cs="仿宋"/>
          <w:b/>
          <w:bCs/>
          <w:color w:val="auto"/>
          <w:spacing w:val="-20"/>
          <w:kern w:val="44"/>
          <w:sz w:val="24"/>
          <w:szCs w:val="24"/>
          <w:highlight w:val="none"/>
        </w:rPr>
        <w:t>合同</w:t>
      </w:r>
    </w:p>
    <w:p w14:paraId="67DA05C0">
      <w:pPr>
        <w:pStyle w:val="15"/>
        <w:spacing w:after="0"/>
        <w:jc w:val="center"/>
        <w:rPr>
          <w:rFonts w:hint="eastAsia" w:ascii="仿宋" w:hAnsi="仿宋" w:eastAsia="仿宋" w:cs="仿宋"/>
          <w:b/>
          <w:bCs/>
          <w:color w:val="auto"/>
          <w:spacing w:val="-20"/>
          <w:kern w:val="44"/>
          <w:sz w:val="24"/>
          <w:szCs w:val="24"/>
          <w:highlight w:val="none"/>
          <w:lang w:eastAsia="zh-CN"/>
        </w:rPr>
      </w:pPr>
      <w:r>
        <w:rPr>
          <w:rFonts w:hint="eastAsia" w:ascii="仿宋" w:hAnsi="仿宋" w:eastAsia="仿宋" w:cs="仿宋"/>
          <w:b/>
          <w:bCs/>
          <w:color w:val="auto"/>
          <w:spacing w:val="-20"/>
          <w:kern w:val="44"/>
          <w:sz w:val="24"/>
          <w:szCs w:val="24"/>
          <w:highlight w:val="none"/>
          <w:lang w:eastAsia="zh-CN"/>
        </w:rPr>
        <w:t>（试行）</w:t>
      </w:r>
    </w:p>
    <w:p w14:paraId="068DFF24">
      <w:pPr>
        <w:rPr>
          <w:rFonts w:hint="eastAsia" w:ascii="仿宋" w:hAnsi="仿宋" w:eastAsia="仿宋" w:cs="仿宋"/>
          <w:b/>
          <w:bCs/>
          <w:color w:val="auto"/>
          <w:spacing w:val="-20"/>
          <w:kern w:val="44"/>
          <w:sz w:val="24"/>
          <w:szCs w:val="24"/>
          <w:highlight w:val="none"/>
        </w:rPr>
      </w:pPr>
    </w:p>
    <w:p w14:paraId="62CC3782">
      <w:pPr>
        <w:rPr>
          <w:rFonts w:hint="eastAsia" w:ascii="仿宋" w:hAnsi="仿宋" w:eastAsia="仿宋" w:cs="仿宋"/>
          <w:b/>
          <w:bCs/>
          <w:color w:val="auto"/>
          <w:spacing w:val="-20"/>
          <w:kern w:val="44"/>
          <w:sz w:val="24"/>
          <w:szCs w:val="24"/>
          <w:highlight w:val="none"/>
        </w:rPr>
      </w:pPr>
    </w:p>
    <w:p w14:paraId="7FFC5A90">
      <w:pPr>
        <w:rPr>
          <w:rFonts w:hint="eastAsia" w:ascii="仿宋" w:hAnsi="仿宋" w:eastAsia="仿宋" w:cs="仿宋"/>
          <w:b/>
          <w:bCs/>
          <w:color w:val="auto"/>
          <w:spacing w:val="-20"/>
          <w:kern w:val="44"/>
          <w:sz w:val="24"/>
          <w:szCs w:val="24"/>
          <w:highlight w:val="none"/>
        </w:rPr>
      </w:pPr>
    </w:p>
    <w:p w14:paraId="69DA2131">
      <w:pPr>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sz w:val="24"/>
          <w:szCs w:val="24"/>
          <w:highlight w:val="none"/>
          <w:u w:val="single"/>
        </w:rPr>
        <w:t xml:space="preserve">                             </w:t>
      </w:r>
    </w:p>
    <w:p w14:paraId="005FD712">
      <w:pPr>
        <w:spacing w:line="360" w:lineRule="auto"/>
        <w:ind w:left="420" w:left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合同编号：</w:t>
      </w:r>
      <w:r>
        <w:rPr>
          <w:rFonts w:hint="eastAsia" w:ascii="仿宋" w:hAnsi="仿宋" w:eastAsia="仿宋" w:cs="仿宋"/>
          <w:color w:val="auto"/>
          <w:sz w:val="24"/>
          <w:szCs w:val="24"/>
          <w:highlight w:val="none"/>
          <w:u w:val="single"/>
        </w:rPr>
        <w:t xml:space="preserve">                             </w:t>
      </w:r>
    </w:p>
    <w:p w14:paraId="7DA91963">
      <w:pPr>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r>
        <w:rPr>
          <w:rFonts w:hint="eastAsia" w:ascii="仿宋" w:hAnsi="仿宋" w:eastAsia="仿宋" w:cs="仿宋"/>
          <w:color w:val="auto"/>
          <w:sz w:val="24"/>
          <w:szCs w:val="24"/>
          <w:highlight w:val="none"/>
          <w:u w:val="single"/>
        </w:rPr>
        <w:t xml:space="preserve">                             </w:t>
      </w:r>
    </w:p>
    <w:p w14:paraId="30219FFE">
      <w:pPr>
        <w:spacing w:line="360" w:lineRule="auto"/>
        <w:ind w:left="420" w:left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    方：</w:t>
      </w:r>
      <w:r>
        <w:rPr>
          <w:rFonts w:hint="eastAsia" w:ascii="仿宋" w:hAnsi="仿宋" w:eastAsia="仿宋" w:cs="仿宋"/>
          <w:color w:val="auto"/>
          <w:sz w:val="24"/>
          <w:szCs w:val="24"/>
          <w:highlight w:val="none"/>
          <w:u w:val="single"/>
        </w:rPr>
        <w:t xml:space="preserve">                             </w:t>
      </w:r>
    </w:p>
    <w:p w14:paraId="66CAA701">
      <w:pPr>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w:t>
      </w:r>
      <w:r>
        <w:rPr>
          <w:rFonts w:hint="eastAsia" w:ascii="仿宋" w:hAnsi="仿宋" w:eastAsia="仿宋" w:cs="仿宋"/>
          <w:color w:val="auto"/>
          <w:sz w:val="24"/>
          <w:szCs w:val="24"/>
          <w:highlight w:val="none"/>
          <w:u w:val="single"/>
        </w:rPr>
        <w:t xml:space="preserve">                             </w:t>
      </w:r>
    </w:p>
    <w:p w14:paraId="7D6EE2BF">
      <w:pPr>
        <w:rPr>
          <w:rFonts w:hint="eastAsia" w:ascii="仿宋" w:hAnsi="仿宋" w:eastAsia="仿宋" w:cs="仿宋"/>
          <w:color w:val="auto"/>
          <w:sz w:val="24"/>
          <w:szCs w:val="24"/>
          <w:highlight w:val="none"/>
        </w:rPr>
      </w:pPr>
    </w:p>
    <w:p w14:paraId="5A78729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1860A9B">
      <w:pPr>
        <w:rPr>
          <w:rFonts w:hint="eastAsia" w:ascii="仿宋" w:hAnsi="仿宋" w:eastAsia="仿宋" w:cs="仿宋"/>
          <w:color w:val="auto"/>
          <w:sz w:val="24"/>
          <w:szCs w:val="24"/>
          <w:highlight w:val="none"/>
        </w:rPr>
      </w:pPr>
    </w:p>
    <w:p w14:paraId="2CC873E0">
      <w:pPr>
        <w:rPr>
          <w:rFonts w:hint="eastAsia" w:ascii="仿宋" w:hAnsi="仿宋" w:eastAsia="仿宋" w:cs="仿宋"/>
          <w:color w:val="auto"/>
          <w:sz w:val="24"/>
          <w:szCs w:val="24"/>
          <w:highlight w:val="none"/>
        </w:rPr>
      </w:pPr>
    </w:p>
    <w:p w14:paraId="316D545C">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使</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明</w:t>
      </w:r>
    </w:p>
    <w:p w14:paraId="5E8F110F">
      <w:pPr>
        <w:ind w:firstLine="480" w:firstLineChars="200"/>
        <w:rPr>
          <w:rFonts w:hint="eastAsia" w:ascii="仿宋" w:hAnsi="仿宋" w:eastAsia="仿宋" w:cs="仿宋"/>
          <w:color w:val="auto"/>
          <w:sz w:val="24"/>
          <w:szCs w:val="24"/>
          <w:highlight w:val="none"/>
          <w:lang w:val="en-US" w:eastAsia="zh-CN"/>
        </w:rPr>
      </w:pPr>
    </w:p>
    <w:p w14:paraId="141BFC70">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1.本合同标准文本适用于购买现成货物的采购项目，不包括需要供应商定制开发、创新研发的货物采购项目。</w:t>
      </w:r>
    </w:p>
    <w:p w14:paraId="7259507E">
      <w:pPr>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2.本合同标准文本为政府采购货物买卖合同编制提供参考，可以结合采购项目具体情况，对文本作必要的调整修订后使用。</w:t>
      </w:r>
    </w:p>
    <w:p w14:paraId="332B29F3">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3.本合同标准文本各条款中，如涉及填写多家供应商、制造商，多种采购标的、分包主要内容等信息的，可根据采购项目具体情况添加信息项。</w:t>
      </w:r>
    </w:p>
    <w:p w14:paraId="21EDB2FC">
      <w:pPr>
        <w:ind w:firstLine="480" w:firstLineChars="200"/>
        <w:jc w:val="both"/>
        <w:rPr>
          <w:rFonts w:hint="eastAsia" w:ascii="仿宋" w:hAnsi="仿宋" w:eastAsia="仿宋" w:cs="仿宋"/>
          <w:color w:val="auto"/>
          <w:sz w:val="24"/>
          <w:szCs w:val="24"/>
          <w:highlight w:val="none"/>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01"/>
    <w:p w14:paraId="466CFE79">
      <w:pPr>
        <w:pStyle w:val="3"/>
        <w:adjustRightInd w:val="0"/>
        <w:snapToGrid w:val="0"/>
        <w:spacing w:beforeLines="0" w:line="400" w:lineRule="exact"/>
        <w:jc w:val="center"/>
        <w:rPr>
          <w:rFonts w:hint="eastAsia" w:ascii="仿宋" w:hAnsi="仿宋" w:eastAsia="仿宋" w:cs="仿宋"/>
          <w:b w:val="0"/>
          <w:bCs w:val="0"/>
          <w:color w:val="auto"/>
          <w:sz w:val="24"/>
          <w:szCs w:val="24"/>
          <w:highlight w:val="none"/>
        </w:rPr>
      </w:pPr>
      <w:bookmarkStart w:id="102" w:name="_Toc22209"/>
      <w:bookmarkStart w:id="103" w:name="_Toc26774"/>
      <w:r>
        <w:rPr>
          <w:rFonts w:hint="eastAsia" w:ascii="仿宋" w:hAnsi="仿宋" w:eastAsia="仿宋" w:cs="仿宋"/>
          <w:b w:val="0"/>
          <w:bCs w:val="0"/>
          <w:color w:val="auto"/>
          <w:sz w:val="24"/>
          <w:szCs w:val="24"/>
          <w:highlight w:val="none"/>
        </w:rPr>
        <w:t>第一节 政府采购合同协议书</w:t>
      </w:r>
      <w:bookmarkEnd w:id="102"/>
      <w:bookmarkEnd w:id="103"/>
    </w:p>
    <w:p w14:paraId="5EEDA0C0">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文件约定的合同甲方）</w:t>
      </w:r>
    </w:p>
    <w:p w14:paraId="4F1BBBC4">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w:t>
      </w:r>
    </w:p>
    <w:p w14:paraId="78EA8E3E">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乙方2（全称）：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74BD3996">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CN"/>
        </w:rPr>
        <w:t>3（全称）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0120019B">
      <w:pPr>
        <w:spacing w:beforeLines="0" w:line="400" w:lineRule="exact"/>
        <w:rPr>
          <w:rFonts w:hint="eastAsia" w:ascii="仿宋" w:hAnsi="仿宋" w:eastAsia="仿宋" w:cs="仿宋"/>
          <w:color w:val="auto"/>
          <w:sz w:val="24"/>
          <w:szCs w:val="24"/>
          <w:highlight w:val="none"/>
          <w:lang w:val="en-US" w:eastAsia="zh-CN"/>
        </w:rPr>
      </w:pPr>
    </w:p>
    <w:p w14:paraId="7B3EB247">
      <w:pPr>
        <w:pStyle w:val="16"/>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依据《中华人民共和国民法典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中华人民共和国政府采购法》等有关的法律法规，以及</w:t>
      </w:r>
      <w:r>
        <w:rPr>
          <w:rFonts w:hint="eastAsia" w:ascii="仿宋" w:hAnsi="仿宋" w:eastAsia="仿宋" w:cs="仿宋"/>
          <w:i w:val="0"/>
          <w:iCs w:val="0"/>
          <w:color w:val="auto"/>
          <w:sz w:val="24"/>
          <w:szCs w:val="24"/>
          <w:highlight w:val="none"/>
          <w:u w:val="none"/>
          <w:lang w:eastAsia="zh-CN"/>
        </w:rPr>
        <w:t>本采购项目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文件等</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乙方的《投标（响应）文件》及《中标（成交）通知书》，甲乙双方同意签订本合同。具体情况及要求如下：     </w:t>
      </w:r>
    </w:p>
    <w:p w14:paraId="64DBBF88">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项目信息</w:t>
      </w:r>
    </w:p>
    <w:p w14:paraId="0591ED1D">
      <w:pPr>
        <w:pStyle w:val="16"/>
        <w:numPr>
          <w:ilvl w:val="0"/>
          <w:numId w:val="7"/>
        </w:numPr>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single"/>
          <w:lang w:val="en-US" w:eastAsia="zh-CN"/>
        </w:rPr>
        <w:t xml:space="preserve">                                        </w:t>
      </w:r>
    </w:p>
    <w:p w14:paraId="6A8802A3">
      <w:pPr>
        <w:pStyle w:val="16"/>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         采购项目编号：</w:t>
      </w:r>
      <w:r>
        <w:rPr>
          <w:rFonts w:hint="eastAsia" w:ascii="仿宋" w:hAnsi="仿宋" w:eastAsia="仿宋" w:cs="仿宋"/>
          <w:color w:val="auto"/>
          <w:sz w:val="24"/>
          <w:szCs w:val="24"/>
          <w:highlight w:val="none"/>
          <w:u w:val="single"/>
        </w:rPr>
        <w:t xml:space="preserve">                                          </w:t>
      </w:r>
    </w:p>
    <w:p w14:paraId="7AC34241">
      <w:pPr>
        <w:pStyle w:val="16"/>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（2）采购计划编号：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4981AB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（3）项目内容：</w:t>
      </w:r>
    </w:p>
    <w:p w14:paraId="2BEE9E1C">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采购标的及数量</w:t>
      </w:r>
      <w:r>
        <w:rPr>
          <w:rFonts w:hint="eastAsia" w:ascii="仿宋" w:hAnsi="仿宋" w:eastAsia="仿宋" w:cs="仿宋"/>
          <w:color w:val="auto"/>
          <w:sz w:val="24"/>
          <w:szCs w:val="24"/>
          <w:highlight w:val="none"/>
          <w:lang w:val="en-US" w:eastAsia="zh-CN"/>
        </w:rPr>
        <w:t>（台/套</w:t>
      </w:r>
      <w:r>
        <w:rPr>
          <w:rFonts w:hint="eastAsia" w:ascii="仿宋" w:hAnsi="仿宋" w:eastAsia="仿宋" w:cs="仿宋"/>
          <w:color w:val="auto"/>
          <w:sz w:val="24"/>
          <w:szCs w:val="24"/>
          <w:highlight w:val="none"/>
          <w:lang w:val="en" w:eastAsia="zh-CN"/>
        </w:rPr>
        <w:t>/个/架/组等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p>
    <w:p w14:paraId="691586EA">
      <w:pPr>
        <w:adjustRightInd w:val="0"/>
        <w:snapToGrid w:val="0"/>
        <w:spacing w:before="0" w:beforeLines="0" w:line="400" w:lineRule="exact"/>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采购标的的技术要求、商务要求具体见附件。</w:t>
      </w:r>
    </w:p>
    <w:p w14:paraId="0AA96762">
      <w:pPr>
        <w:numPr>
          <w:ilvl w:val="-1"/>
          <w:numId w:val="0"/>
        </w:numPr>
        <w:adjustRightInd w:val="0"/>
        <w:snapToGrid w:val="0"/>
        <w:spacing w:before="0" w:beforeLines="0" w:line="400" w:lineRule="exact"/>
        <w:ind w:firstLine="1080" w:firstLineChars="4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①涉及信息类产品，请填写该产品关键部件的品牌、型号：</w:t>
      </w:r>
    </w:p>
    <w:p w14:paraId="3BEBB8BE">
      <w:pPr>
        <w:numPr>
          <w:ilvl w:val="-1"/>
          <w:numId w:val="0"/>
        </w:numPr>
        <w:adjustRightInd w:val="0"/>
        <w:snapToGrid w:val="0"/>
        <w:spacing w:before="0" w:beforeLines="0" w:line="400" w:lineRule="exact"/>
        <w:ind w:firstLine="480" w:firstLineChars="2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标的名称：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val="en" w:eastAsia="zh-CN"/>
        </w:rPr>
        <w:t xml:space="preserve">               </w:t>
      </w:r>
      <w:r>
        <w:rPr>
          <w:rFonts w:hint="eastAsia" w:ascii="仿宋" w:hAnsi="仿宋" w:eastAsia="仿宋" w:cs="仿宋"/>
          <w:color w:val="auto"/>
          <w:kern w:val="0"/>
          <w:sz w:val="24"/>
          <w:szCs w:val="24"/>
          <w:highlight w:val="none"/>
          <w:u w:val="single"/>
          <w:lang w:val="en-US" w:eastAsia="zh-CN"/>
        </w:rPr>
        <w:t xml:space="preserve">    </w:t>
      </w:r>
    </w:p>
    <w:p w14:paraId="3DEAC035">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6DD01CD3">
      <w:pPr>
        <w:pStyle w:val="46"/>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2"/>
          <w:sz w:val="24"/>
          <w:szCs w:val="24"/>
          <w:highlight w:val="none"/>
          <w:lang w:val="en-US" w:eastAsia="zh-CN"/>
        </w:rPr>
        <w:t>关键部件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6CAEAA19">
      <w:pPr>
        <w:pStyle w:val="46"/>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p>
    <w:p w14:paraId="639114FC">
      <w:pPr>
        <w:pStyle w:val="46"/>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4E4E713">
      <w:pPr>
        <w:pStyle w:val="46"/>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②涉及车辆采购，请填写是否属于新能源汽车：</w:t>
      </w:r>
    </w:p>
    <w:p w14:paraId="3D23723C">
      <w:pPr>
        <w:pStyle w:val="46"/>
        <w:numPr>
          <w:ilvl w:val="-1"/>
          <w:numId w:val="0"/>
        </w:numPr>
        <w:adjustRightInd w:val="0"/>
        <w:snapToGrid w:val="0"/>
        <w:spacing w:before="0" w:beforeLines="0" w:line="400" w:lineRule="exact"/>
        <w:ind w:left="1200" w:hanging="1200" w:hangingChars="500"/>
        <w:rPr>
          <w:rFonts w:hint="eastAsia" w:ascii="仿宋" w:hAnsi="仿宋" w:eastAsia="仿宋" w:cs="仿宋"/>
          <w:iCs w:val="0"/>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数量：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5DA02078">
      <w:pPr>
        <w:pStyle w:val="46"/>
        <w:numPr>
          <w:ilvl w:val="-1"/>
          <w:numId w:val="0"/>
        </w:numPr>
        <w:adjustRightInd w:val="0"/>
        <w:snapToGrid w:val="0"/>
        <w:spacing w:before="0" w:beforeLines="0" w:line="400" w:lineRule="exact"/>
        <w:ind w:left="0"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lang w:val="en" w:eastAsia="zh-CN"/>
        </w:rPr>
        <w:t>4</w:t>
      </w:r>
      <w:r>
        <w:rPr>
          <w:rFonts w:hint="eastAsia" w:ascii="仿宋" w:hAnsi="仿宋" w:eastAsia="仿宋" w:cs="仿宋"/>
          <w:iCs w:val="0"/>
          <w:color w:val="auto"/>
          <w:sz w:val="24"/>
          <w:szCs w:val="24"/>
          <w:highlight w:val="none"/>
          <w:lang w:val="en-US" w:eastAsia="zh-CN"/>
        </w:rPr>
        <w:t>）政府采购组织形式：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政府集中采购</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 xml:space="preserve">部门集中采购  </w:t>
      </w:r>
      <w:r>
        <w:rPr>
          <w:rFonts w:hint="eastAsia" w:ascii="仿宋" w:hAnsi="仿宋" w:eastAsia="仿宋" w:cs="仿宋"/>
          <w:iCs w:val="0"/>
          <w:color w:val="auto"/>
          <w:sz w:val="24"/>
          <w:szCs w:val="24"/>
          <w:highlight w:val="none"/>
        </w:rPr>
        <w:sym w:font="Wingdings" w:char="00FE"/>
      </w:r>
      <w:r>
        <w:rPr>
          <w:rFonts w:hint="eastAsia" w:ascii="仿宋" w:hAnsi="仿宋" w:eastAsia="仿宋" w:cs="仿宋"/>
          <w:iCs w:val="0"/>
          <w:color w:val="auto"/>
          <w:sz w:val="24"/>
          <w:szCs w:val="24"/>
          <w:highlight w:val="none"/>
          <w:lang w:val="en-US" w:eastAsia="zh-CN"/>
        </w:rPr>
        <w:t>分散采购</w:t>
      </w:r>
    </w:p>
    <w:p w14:paraId="7BFF6551">
      <w:pPr>
        <w:pStyle w:val="46"/>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w:t>
      </w:r>
      <w:r>
        <w:rPr>
          <w:rFonts w:hint="eastAsia" w:ascii="仿宋" w:hAnsi="仿宋" w:eastAsia="仿宋" w:cs="仿宋"/>
          <w:iCs w:val="0"/>
          <w:color w:val="auto"/>
          <w:sz w:val="24"/>
          <w:szCs w:val="24"/>
          <w:highlight w:val="none"/>
          <w:lang w:val="en" w:eastAsia="zh-CN"/>
        </w:rPr>
        <w:t>5</w:t>
      </w:r>
      <w:r>
        <w:rPr>
          <w:rFonts w:hint="eastAsia" w:ascii="仿宋" w:hAnsi="仿宋" w:eastAsia="仿宋" w:cs="仿宋"/>
          <w:iCs w:val="0"/>
          <w:color w:val="auto"/>
          <w:sz w:val="24"/>
          <w:szCs w:val="24"/>
          <w:highlight w:val="none"/>
          <w:lang w:val="en-US" w:eastAsia="zh-CN"/>
        </w:rPr>
        <w:t>）政府采购方式：</w:t>
      </w:r>
      <w:r>
        <w:rPr>
          <w:rFonts w:hint="eastAsia" w:ascii="仿宋" w:hAnsi="仿宋" w:eastAsia="仿宋" w:cs="仿宋"/>
          <w:iCs w:val="0"/>
          <w:color w:val="auto"/>
          <w:sz w:val="24"/>
          <w:szCs w:val="24"/>
          <w:highlight w:val="none"/>
        </w:rPr>
        <w:sym w:font="Wingdings" w:char="00FE"/>
      </w:r>
      <w:r>
        <w:rPr>
          <w:rFonts w:hint="eastAsia" w:ascii="仿宋" w:hAnsi="仿宋" w:eastAsia="仿宋" w:cs="仿宋"/>
          <w:iCs w:val="0"/>
          <w:color w:val="auto"/>
          <w:sz w:val="24"/>
          <w:szCs w:val="24"/>
          <w:highlight w:val="none"/>
          <w:lang w:eastAsia="zh-CN"/>
        </w:rPr>
        <w:t>公开招标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邀请招标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竞争性谈判</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竞争性磋商</w:t>
      </w:r>
    </w:p>
    <w:p w14:paraId="5570E5FD">
      <w:pPr>
        <w:pStyle w:val="46"/>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询价</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单一来源</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框架协议</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其他：</w:t>
      </w:r>
      <w:r>
        <w:rPr>
          <w:rFonts w:hint="eastAsia" w:ascii="仿宋" w:hAnsi="仿宋" w:eastAsia="仿宋" w:cs="仿宋"/>
          <w:iCs w:val="0"/>
          <w:color w:val="auto"/>
          <w:sz w:val="24"/>
          <w:szCs w:val="24"/>
          <w:highlight w:val="none"/>
          <w:u w:val="single"/>
          <w:lang w:val="en-US" w:eastAsia="zh-CN"/>
        </w:rPr>
        <w:t xml:space="preserve">          </w:t>
      </w:r>
    </w:p>
    <w:p w14:paraId="71891416">
      <w:pPr>
        <w:pStyle w:val="46"/>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none"/>
          <w:lang w:val="en-US" w:eastAsia="zh-CN"/>
        </w:rPr>
      </w:pPr>
      <w:r>
        <w:rPr>
          <w:rFonts w:hint="eastAsia" w:ascii="仿宋" w:hAnsi="仿宋" w:eastAsia="仿宋" w:cs="仿宋"/>
          <w:iCs w:val="0"/>
          <w:color w:val="auto"/>
          <w:sz w:val="24"/>
          <w:szCs w:val="24"/>
          <w:highlight w:val="none"/>
          <w:u w:val="none"/>
          <w:lang w:val="en-US" w:eastAsia="zh-CN"/>
        </w:rPr>
        <w:t>（注：在框架协议采购的第二阶段，可选择使用该合同文本）</w:t>
      </w:r>
    </w:p>
    <w:p w14:paraId="711A0C6A">
      <w:pPr>
        <w:pStyle w:val="46"/>
        <w:numPr>
          <w:ilvl w:val="-1"/>
          <w:numId w:val="0"/>
        </w:numPr>
        <w:adjustRightInd w:val="0"/>
        <w:snapToGrid w:val="0"/>
        <w:spacing w:before="0" w:beforeLines="0" w:line="400" w:lineRule="exact"/>
        <w:ind w:firstLine="240" w:firstLineChars="100"/>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w w:val="100"/>
          <w:kern w:val="2"/>
          <w:sz w:val="24"/>
          <w:szCs w:val="24"/>
          <w:highlight w:val="none"/>
          <w:lang w:val="en-US" w:eastAsia="zh-CN" w:bidi="ar-SA"/>
        </w:rPr>
        <w:t>中标（成交）采购标的制造商是否为中小企业：</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 xml:space="preserve">是      </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否</w:t>
      </w:r>
    </w:p>
    <w:p w14:paraId="6DE59FD1">
      <w:pPr>
        <w:numPr>
          <w:ilvl w:val="-1"/>
          <w:numId w:val="0"/>
        </w:numPr>
        <w:adjustRightInd w:val="0"/>
        <w:snapToGrid w:val="0"/>
        <w:spacing w:before="0" w:beforeLines="0" w:line="400" w:lineRule="exact"/>
        <w:ind w:left="0" w:leftChars="0" w:firstLine="0" w:firstLineChars="0"/>
        <w:rPr>
          <w:rFonts w:hint="eastAsia" w:ascii="仿宋" w:hAnsi="仿宋" w:eastAsia="仿宋" w:cs="仿宋"/>
          <w:color w:val="auto"/>
          <w:sz w:val="24"/>
          <w:szCs w:val="24"/>
          <w:highlight w:val="none"/>
          <w:shd w:val="clear"/>
        </w:rPr>
      </w:pPr>
      <w:r>
        <w:rPr>
          <w:rFonts w:hint="eastAsia" w:ascii="仿宋" w:hAnsi="仿宋" w:eastAsia="仿宋" w:cs="仿宋"/>
          <w:color w:val="auto"/>
          <w:w w:val="100"/>
          <w:sz w:val="24"/>
          <w:szCs w:val="24"/>
          <w:highlight w:val="none"/>
          <w:lang w:val="en-US" w:eastAsia="zh-CN"/>
        </w:rPr>
        <w:t xml:space="preserve">         本合同</w:t>
      </w:r>
      <w:r>
        <w:rPr>
          <w:rFonts w:hint="eastAsia" w:ascii="仿宋" w:hAnsi="仿宋" w:eastAsia="仿宋" w:cs="仿宋"/>
          <w:color w:val="auto"/>
          <w:w w:val="100"/>
          <w:sz w:val="24"/>
          <w:szCs w:val="24"/>
          <w:highlight w:val="none"/>
        </w:rPr>
        <w:t>是否</w:t>
      </w:r>
      <w:r>
        <w:rPr>
          <w:rFonts w:hint="eastAsia" w:ascii="仿宋" w:hAnsi="仿宋" w:eastAsia="仿宋" w:cs="仿宋"/>
          <w:color w:val="auto"/>
          <w:w w:val="100"/>
          <w:sz w:val="24"/>
          <w:szCs w:val="24"/>
          <w:highlight w:val="none"/>
          <w:lang w:eastAsia="zh-CN"/>
        </w:rPr>
        <w:t>为专门面向</w:t>
      </w:r>
      <w:r>
        <w:rPr>
          <w:rFonts w:hint="eastAsia" w:ascii="仿宋" w:hAnsi="仿宋" w:eastAsia="仿宋" w:cs="仿宋"/>
          <w:color w:val="auto"/>
          <w:w w:val="100"/>
          <w:sz w:val="24"/>
          <w:szCs w:val="24"/>
          <w:highlight w:val="none"/>
        </w:rPr>
        <w:t>中小企业</w:t>
      </w:r>
      <w:r>
        <w:rPr>
          <w:rFonts w:hint="eastAsia" w:ascii="仿宋" w:hAnsi="仿宋" w:eastAsia="仿宋" w:cs="仿宋"/>
          <w:color w:val="auto"/>
          <w:w w:val="100"/>
          <w:sz w:val="24"/>
          <w:szCs w:val="24"/>
          <w:highlight w:val="none"/>
          <w:lang w:eastAsia="zh-CN"/>
        </w:rPr>
        <w:t>的采</w:t>
      </w:r>
      <w:r>
        <w:rPr>
          <w:rFonts w:hint="eastAsia" w:ascii="仿宋" w:hAnsi="仿宋" w:eastAsia="仿宋" w:cs="仿宋"/>
          <w:color w:val="auto"/>
          <w:w w:val="100"/>
          <w:sz w:val="24"/>
          <w:szCs w:val="24"/>
          <w:highlight w:val="none"/>
          <w:shd w:val="clear"/>
          <w:lang w:eastAsia="zh-CN"/>
        </w:rPr>
        <w:t>购</w:t>
      </w:r>
      <w:r>
        <w:rPr>
          <w:rFonts w:hint="eastAsia" w:ascii="仿宋" w:hAnsi="仿宋" w:eastAsia="仿宋" w:cs="仿宋"/>
          <w:color w:val="auto"/>
          <w:w w:val="100"/>
          <w:sz w:val="24"/>
          <w:szCs w:val="24"/>
          <w:highlight w:val="none"/>
          <w:shd w:val="clear"/>
        </w:rPr>
        <w:t>合同</w:t>
      </w:r>
      <w:r>
        <w:rPr>
          <w:rFonts w:hint="eastAsia" w:ascii="仿宋" w:hAnsi="仿宋" w:eastAsia="仿宋" w:cs="仿宋"/>
          <w:color w:val="auto"/>
          <w:w w:val="100"/>
          <w:sz w:val="24"/>
          <w:szCs w:val="24"/>
          <w:highlight w:val="none"/>
          <w:shd w:val="clear"/>
          <w:lang w:eastAsia="zh-CN"/>
        </w:rPr>
        <w:t>（中小企业预留合同）</w:t>
      </w:r>
      <w:r>
        <w:rPr>
          <w:rFonts w:hint="eastAsia" w:ascii="仿宋" w:hAnsi="仿宋" w:eastAsia="仿宋" w:cs="仿宋"/>
          <w:color w:val="auto"/>
          <w:sz w:val="24"/>
          <w:szCs w:val="24"/>
          <w:highlight w:val="none"/>
          <w:shd w:val="clear"/>
        </w:rPr>
        <w:t>：</w:t>
      </w:r>
    </w:p>
    <w:p w14:paraId="6D5530A9">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5E7EDD7D">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若本项目不专门面向中小企业采购，是否给予小微企业评审优惠：</w:t>
      </w:r>
    </w:p>
    <w:p w14:paraId="6126A918">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0FF7BF4D">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中标（成交）采购标的制造商是否为残疾人福利性单位：</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2732DAC6">
      <w:pPr>
        <w:numPr>
          <w:ilvl w:val="0"/>
          <w:numId w:val="0"/>
        </w:numPr>
        <w:snapToGrid w:val="0"/>
        <w:spacing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中标（成交）采购标的制造商是否为监狱企业：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6D36C9C6">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eastAsia="zh-CN"/>
        </w:rPr>
        <w:t>7</w:t>
      </w:r>
      <w:r>
        <w:rPr>
          <w:rFonts w:hint="eastAsia" w:ascii="仿宋" w:hAnsi="仿宋" w:eastAsia="仿宋" w:cs="仿宋"/>
          <w:color w:val="auto"/>
          <w:sz w:val="24"/>
          <w:szCs w:val="24"/>
          <w:highlight w:val="none"/>
        </w:rPr>
        <w:t>）合同是否分包：</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7E6EAA82">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分包主要内容：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98ECF5A">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（如供应商和制造商不同，请分别填写）</w:t>
      </w:r>
      <w:r>
        <w:rPr>
          <w:rFonts w:hint="eastAsia" w:ascii="仿宋" w:hAnsi="仿宋" w:eastAsia="仿宋" w:cs="仿宋"/>
          <w:color w:val="auto"/>
          <w:sz w:val="24"/>
          <w:szCs w:val="24"/>
          <w:highlight w:val="none"/>
        </w:rPr>
        <w:t>：</w:t>
      </w:r>
    </w:p>
    <w:p w14:paraId="70070BC3">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26723647">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类型</w:t>
      </w:r>
      <w:r>
        <w:rPr>
          <w:rFonts w:hint="eastAsia" w:ascii="仿宋" w:hAnsi="仿宋" w:eastAsia="仿宋" w:cs="仿宋"/>
          <w:color w:val="auto"/>
          <w:sz w:val="24"/>
          <w:szCs w:val="24"/>
          <w:highlight w:val="none"/>
          <w:lang w:eastAsia="zh-CN"/>
        </w:rPr>
        <w:t>（如果供应商和制造商不同，只填写制造商类型）</w:t>
      </w:r>
      <w:r>
        <w:rPr>
          <w:rFonts w:hint="eastAsia" w:ascii="仿宋" w:hAnsi="仿宋" w:eastAsia="仿宋" w:cs="仿宋"/>
          <w:color w:val="auto"/>
          <w:sz w:val="24"/>
          <w:szCs w:val="24"/>
          <w:highlight w:val="none"/>
        </w:rPr>
        <w:t>：</w:t>
      </w:r>
    </w:p>
    <w:p w14:paraId="311C1FD5">
      <w:pPr>
        <w:adjustRightInd w:val="0"/>
        <w:snapToGrid w:val="0"/>
        <w:spacing w:beforeLines="0" w:line="400" w:lineRule="exact"/>
        <w:ind w:firstLine="960" w:firstLineChars="40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大型企业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中型企业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小微型企业</w:t>
      </w:r>
      <w:r>
        <w:rPr>
          <w:rFonts w:hint="eastAsia" w:ascii="仿宋" w:hAnsi="仿宋" w:eastAsia="仿宋" w:cs="仿宋"/>
          <w:iCs/>
          <w:color w:val="auto"/>
          <w:sz w:val="24"/>
          <w:szCs w:val="24"/>
          <w:highlight w:val="none"/>
          <w:lang w:val="en-US" w:eastAsia="zh-CN"/>
        </w:rPr>
        <w:t xml:space="preserve">  </w:t>
      </w:r>
    </w:p>
    <w:p w14:paraId="75DCDFC1">
      <w:pPr>
        <w:adjustRightInd w:val="0"/>
        <w:snapToGrid w:val="0"/>
        <w:spacing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残疾人福利性单位</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监狱</w:t>
      </w:r>
      <w:r>
        <w:rPr>
          <w:rFonts w:hint="eastAsia" w:ascii="仿宋" w:hAnsi="仿宋" w:eastAsia="仿宋" w:cs="仿宋"/>
          <w:iCs/>
          <w:color w:val="auto"/>
          <w:sz w:val="24"/>
          <w:szCs w:val="24"/>
          <w:highlight w:val="none"/>
        </w:rPr>
        <w:t>企业</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p>
    <w:p w14:paraId="289BF5E1">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val="en" w:eastAsia="zh-CN"/>
        </w:rPr>
        <w:t>8</w:t>
      </w:r>
      <w:r>
        <w:rPr>
          <w:rFonts w:hint="eastAsia" w:ascii="仿宋" w:hAnsi="仿宋" w:eastAsia="仿宋" w:cs="仿宋"/>
          <w:color w:val="auto"/>
          <w:sz w:val="24"/>
          <w:szCs w:val="24"/>
          <w:highlight w:val="none"/>
          <w:u w:val="none"/>
          <w:lang w:val="en-US" w:eastAsia="zh-CN"/>
        </w:rPr>
        <w:t>）中标（成交）供应商是否为外商投资企业：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7F4867B2">
      <w:pPr>
        <w:pStyle w:val="46"/>
        <w:tabs>
          <w:tab w:val="left" w:pos="1340"/>
        </w:tabs>
        <w:spacing w:beforeLine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 xml:space="preserve">     外商投资企业类型：</w:t>
      </w:r>
      <w:r>
        <w:rPr>
          <w:rFonts w:hint="eastAsia" w:ascii="仿宋" w:hAnsi="仿宋" w:eastAsia="仿宋" w:cs="仿宋"/>
          <w:iCs/>
          <w:color w:val="auto"/>
          <w:sz w:val="24"/>
          <w:szCs w:val="24"/>
          <w:highlight w:val="none"/>
        </w:rPr>
        <w:sym w:font="Wingdings" w:char="00A8"/>
      </w:r>
      <w:r>
        <w:rPr>
          <w:rFonts w:hint="eastAsia" w:ascii="仿宋" w:hAnsi="仿宋" w:eastAsia="仿宋" w:cs="仿宋"/>
          <w:color w:val="auto"/>
          <w:sz w:val="24"/>
          <w:szCs w:val="24"/>
          <w:highlight w:val="none"/>
          <w:u w:val="none"/>
          <w:lang w:val="en-US" w:eastAsia="zh-CN"/>
        </w:rPr>
        <w:t xml:space="preserve">全部由外国投资者投资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val="en-US" w:eastAsia="zh-CN"/>
        </w:rPr>
        <w:t>部分由外国投资者投资</w:t>
      </w:r>
    </w:p>
    <w:p w14:paraId="6A32E231">
      <w:pPr>
        <w:numPr>
          <w:ilvl w:val="-1"/>
          <w:numId w:val="0"/>
        </w:numPr>
        <w:adjustRightInd w:val="0"/>
        <w:snapToGrid w:val="0"/>
        <w:spacing w:before="0" w:beforeLines="0" w:line="400" w:lineRule="exact"/>
        <w:ind w:firstLine="480" w:firstLineChars="20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 w:eastAsia="zh-CN"/>
        </w:rPr>
        <w:t>9</w:t>
      </w:r>
      <w:r>
        <w:rPr>
          <w:rFonts w:hint="eastAsia" w:ascii="仿宋" w:hAnsi="仿宋" w:eastAsia="仿宋" w:cs="仿宋"/>
          <w:b w:val="0"/>
          <w:bCs w:val="0"/>
          <w:color w:val="auto"/>
          <w:sz w:val="24"/>
          <w:szCs w:val="24"/>
          <w:highlight w:val="none"/>
          <w:u w:val="none"/>
          <w:lang w:val="en-US" w:eastAsia="zh-CN"/>
        </w:rPr>
        <w:t>）是否涉及进口产品：</w:t>
      </w:r>
    </w:p>
    <w:p w14:paraId="7FB3C13D">
      <w:pPr>
        <w:numPr>
          <w:ilvl w:val="-1"/>
          <w:numId w:val="0"/>
        </w:num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p>
    <w:p w14:paraId="47C038A9">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rPr>
      </w:pPr>
      <w:r>
        <w:rPr>
          <w:rFonts w:hint="eastAsia" w:ascii="仿宋" w:hAnsi="仿宋" w:eastAsia="仿宋" w:cs="仿宋"/>
          <w:color w:val="auto"/>
          <w:sz w:val="24"/>
          <w:szCs w:val="24"/>
          <w:highlight w:val="none"/>
          <w:lang w:val="en-US" w:eastAsia="zh-CN"/>
        </w:rPr>
        <w:t xml:space="preserve">        国别：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rPr>
        <w:t xml:space="preserve">      </w:t>
      </w:r>
    </w:p>
    <w:p w14:paraId="102EEF02">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062D1DFF">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（1</w:t>
      </w:r>
      <w:r>
        <w:rPr>
          <w:rFonts w:hint="eastAsia" w:ascii="仿宋" w:hAnsi="仿宋" w:eastAsia="仿宋" w:cs="仿宋"/>
          <w:b w:val="0"/>
          <w:bCs w:val="0"/>
          <w:color w:val="auto"/>
          <w:sz w:val="24"/>
          <w:szCs w:val="24"/>
          <w:highlight w:val="none"/>
          <w:u w:val="none"/>
          <w:lang w:val="en" w:eastAsia="zh-CN"/>
        </w:rPr>
        <w:t>0</w:t>
      </w:r>
      <w:r>
        <w:rPr>
          <w:rFonts w:hint="eastAsia" w:ascii="仿宋" w:hAnsi="仿宋" w:eastAsia="仿宋" w:cs="仿宋"/>
          <w:b w:val="0"/>
          <w:bCs w:val="0"/>
          <w:color w:val="auto"/>
          <w:sz w:val="24"/>
          <w:szCs w:val="24"/>
          <w:highlight w:val="none"/>
          <w:u w:val="none"/>
          <w:lang w:val="en-US" w:eastAsia="zh-CN"/>
        </w:rPr>
        <w:t>）是否涉及节能产品：</w:t>
      </w:r>
    </w:p>
    <w:p w14:paraId="5DE7127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，《节能产品政府采购品目清单》的底级品目名称：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2A18A1D4">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5D272B82">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0F229F95">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是否涉及环境标志产品：</w:t>
      </w:r>
    </w:p>
    <w:p w14:paraId="348A19F2">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，《环境标志产品政府采购品目清单》的底级品目名称：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7ACE83B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18EFC34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350D4366">
      <w:pPr>
        <w:pStyle w:val="46"/>
        <w:numPr>
          <w:ilvl w:val="-1"/>
          <w:numId w:val="0"/>
        </w:numPr>
        <w:adjustRightInd w:val="0"/>
        <w:snapToGrid w:val="0"/>
        <w:spacing w:before="0" w:beforeLines="0" w:line="400" w:lineRule="exact"/>
        <w:ind w:firstLine="0" w:firstLineChars="0"/>
        <w:rPr>
          <w:rFonts w:hint="eastAsia" w:ascii="仿宋" w:hAnsi="仿宋" w:eastAsia="仿宋" w:cs="仿宋"/>
          <w:iCs w:val="0"/>
          <w:color w:val="auto"/>
          <w:kern w:val="2"/>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kern w:val="2"/>
          <w:sz w:val="24"/>
          <w:szCs w:val="24"/>
          <w:highlight w:val="none"/>
          <w:u w:val="none"/>
          <w:lang w:val="en-US" w:eastAsia="zh-CN"/>
        </w:rPr>
        <w:t>是否涉及绿色产品：</w:t>
      </w:r>
      <w:r>
        <w:rPr>
          <w:rFonts w:hint="eastAsia" w:ascii="仿宋" w:hAnsi="仿宋" w:eastAsia="仿宋" w:cs="仿宋"/>
          <w:iCs w:val="0"/>
          <w:color w:val="auto"/>
          <w:kern w:val="2"/>
          <w:sz w:val="24"/>
          <w:szCs w:val="24"/>
          <w:highlight w:val="none"/>
          <w:u w:val="none"/>
          <w:lang w:val="en-US" w:eastAsia="zh-CN"/>
        </w:rPr>
        <w:t xml:space="preserve"> </w:t>
      </w:r>
    </w:p>
    <w:p w14:paraId="08B874F8">
      <w:pPr>
        <w:pStyle w:val="46"/>
        <w:spacing w:beforeLines="0"/>
        <w:ind w:firstLine="42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是</w:t>
      </w:r>
      <w:r>
        <w:rPr>
          <w:rFonts w:hint="eastAsia" w:ascii="仿宋" w:hAnsi="仿宋" w:eastAsia="仿宋" w:cs="仿宋"/>
          <w:iCs w:val="0"/>
          <w:color w:val="auto"/>
          <w:kern w:val="2"/>
          <w:sz w:val="24"/>
          <w:szCs w:val="24"/>
          <w:highlight w:val="none"/>
          <w:u w:val="none"/>
          <w:lang w:eastAsia="zh-CN"/>
        </w:rPr>
        <w:t>，绿色产品政府采购相关政策确定的底级品目名称：</w:t>
      </w:r>
      <w:r>
        <w:rPr>
          <w:rFonts w:hint="eastAsia" w:ascii="仿宋" w:hAnsi="仿宋" w:eastAsia="仿宋" w:cs="仿宋"/>
          <w:color w:val="auto"/>
          <w:sz w:val="24"/>
          <w:szCs w:val="24"/>
          <w:highlight w:val="none"/>
          <w:u w:val="single"/>
          <w:lang w:val="en-US" w:eastAsia="zh-CN"/>
        </w:rPr>
        <w:t xml:space="preserve">         </w:t>
      </w:r>
    </w:p>
    <w:p w14:paraId="2E86DBC5">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73607932">
      <w:pPr>
        <w:pStyle w:val="46"/>
        <w:spacing w:beforeLines="0"/>
        <w:ind w:firstLine="42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否</w:t>
      </w:r>
    </w:p>
    <w:p w14:paraId="3482E42F">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w:t>
      </w:r>
      <w:r>
        <w:rPr>
          <w:rFonts w:hint="eastAsia" w:ascii="仿宋" w:hAnsi="仿宋" w:eastAsia="仿宋" w:cs="仿宋"/>
          <w:color w:val="auto"/>
          <w:sz w:val="24"/>
          <w:szCs w:val="24"/>
          <w:highlight w:val="none"/>
          <w:lang w:val="en" w:eastAsia="zh-CN"/>
        </w:rPr>
        <w:t>1</w:t>
      </w:r>
      <w:r>
        <w:rPr>
          <w:rFonts w:hint="eastAsia" w:ascii="仿宋" w:hAnsi="仿宋" w:eastAsia="仿宋" w:cs="仿宋"/>
          <w:color w:val="auto"/>
          <w:sz w:val="24"/>
          <w:szCs w:val="24"/>
          <w:highlight w:val="none"/>
          <w:lang w:val="en-US" w:eastAsia="zh-CN"/>
        </w:rPr>
        <w:t>）涉及商品包装和快递包装的，是否参考</w:t>
      </w:r>
      <w:r>
        <w:rPr>
          <w:rFonts w:hint="eastAsia" w:ascii="仿宋" w:hAnsi="仿宋" w:eastAsia="仿宋" w:cs="仿宋"/>
          <w:color w:val="auto"/>
          <w:sz w:val="24"/>
          <w:szCs w:val="24"/>
          <w:highlight w:val="none"/>
        </w:rPr>
        <w:t>《商品包装政府采购需求标准（试行）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r>
        <w:rPr>
          <w:rFonts w:hint="eastAsia" w:ascii="仿宋" w:hAnsi="仿宋" w:eastAsia="仿宋" w:cs="仿宋"/>
          <w:color w:val="auto"/>
          <w:sz w:val="24"/>
          <w:szCs w:val="24"/>
          <w:highlight w:val="none"/>
          <w:lang w:eastAsia="zh-CN"/>
        </w:rPr>
        <w:t>明确产品及相关快递服务的具体包装要求：</w:t>
      </w:r>
    </w:p>
    <w:p w14:paraId="124A6227">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 xml:space="preserve">是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不涉及</w:t>
      </w:r>
    </w:p>
    <w:p w14:paraId="4385D5E8">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14:paraId="01D3BD55">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E779D7">
      <w:pPr>
        <w:adjustRightInd w:val="0"/>
        <w:snapToGrid w:val="0"/>
        <w:spacing w:before="0" w:beforeLines="0" w:line="400" w:lineRule="exact"/>
        <w:ind w:left="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87A5241">
      <w:p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分包金额</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p>
    <w:p w14:paraId="674F7E7C">
      <w:pPr>
        <w:adjustRightInd w:val="0"/>
        <w:snapToGrid w:val="0"/>
        <w:spacing w:before="0" w:beforeLines="0" w:line="400" w:lineRule="exact"/>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DB8D7B2">
      <w:p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（注：固定单价合同应填写单价和最高限价）</w:t>
      </w:r>
    </w:p>
    <w:p w14:paraId="7D72D2F5">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合同定价方式</w:t>
      </w:r>
      <w:r>
        <w:rPr>
          <w:rFonts w:hint="eastAsia" w:ascii="仿宋" w:hAnsi="仿宋" w:eastAsia="仿宋" w:cs="仿宋"/>
          <w:color w:val="auto"/>
          <w:sz w:val="24"/>
          <w:szCs w:val="24"/>
          <w:highlight w:val="none"/>
          <w:lang w:eastAsia="zh-CN"/>
        </w:rPr>
        <w:t>（采用组合定价方式的，可以勾选多项）</w:t>
      </w:r>
      <w:r>
        <w:rPr>
          <w:rFonts w:hint="eastAsia" w:ascii="仿宋" w:hAnsi="仿宋" w:eastAsia="仿宋" w:cs="仿宋"/>
          <w:color w:val="auto"/>
          <w:sz w:val="24"/>
          <w:szCs w:val="24"/>
          <w:highlight w:val="none"/>
        </w:rPr>
        <w:t>：</w:t>
      </w:r>
    </w:p>
    <w:p w14:paraId="3D19AE4D">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固定总价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固定单价</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固定费率</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成本补偿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绩效激励</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r>
        <w:rPr>
          <w:rFonts w:hint="eastAsia" w:ascii="仿宋" w:hAnsi="仿宋" w:eastAsia="仿宋" w:cs="仿宋"/>
          <w:color w:val="auto"/>
          <w:sz w:val="24"/>
          <w:szCs w:val="24"/>
          <w:highlight w:val="none"/>
          <w:u w:val="single"/>
        </w:rPr>
        <w:t xml:space="preserve">    </w:t>
      </w:r>
    </w:p>
    <w:p w14:paraId="79953183">
      <w:pPr>
        <w:pStyle w:val="126"/>
        <w:spacing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）付款方式（按项目实际勾选填写）：</w:t>
      </w:r>
    </w:p>
    <w:p w14:paraId="34705DDE">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全额付款：</w:t>
      </w:r>
      <w:r>
        <w:rPr>
          <w:rFonts w:hint="eastAsia" w:ascii="仿宋" w:hAnsi="仿宋" w:eastAsia="仿宋" w:cs="仿宋"/>
          <w:color w:val="auto"/>
          <w:sz w:val="24"/>
          <w:szCs w:val="24"/>
          <w:highlight w:val="none"/>
          <w:u w:val="single"/>
        </w:rPr>
        <w:t xml:space="preserve">     （应</w:t>
      </w:r>
      <w:r>
        <w:rPr>
          <w:rFonts w:hint="eastAsia" w:ascii="仿宋" w:hAnsi="仿宋" w:eastAsia="仿宋" w:cs="仿宋"/>
          <w:color w:val="auto"/>
          <w:sz w:val="24"/>
          <w:szCs w:val="24"/>
          <w:highlight w:val="none"/>
          <w:u w:val="single"/>
          <w:lang w:eastAsia="zh-CN"/>
        </w:rPr>
        <w:t>明确</w:t>
      </w:r>
      <w:r>
        <w:rPr>
          <w:rFonts w:hint="eastAsia" w:ascii="仿宋" w:hAnsi="仿宋" w:eastAsia="仿宋" w:cs="仿宋"/>
          <w:color w:val="auto"/>
          <w:sz w:val="24"/>
          <w:szCs w:val="24"/>
          <w:highlight w:val="none"/>
          <w:u w:val="single"/>
        </w:rPr>
        <w:t>一次性支付合同款项</w:t>
      </w:r>
      <w:r>
        <w:rPr>
          <w:rFonts w:hint="eastAsia" w:ascii="仿宋" w:hAnsi="仿宋" w:eastAsia="仿宋" w:cs="仿宋"/>
          <w:color w:val="auto"/>
          <w:sz w:val="24"/>
          <w:szCs w:val="24"/>
          <w:highlight w:val="none"/>
          <w:u w:val="single"/>
          <w:lang w:eastAsia="zh-CN"/>
        </w:rPr>
        <w:t>的条件</w:t>
      </w:r>
      <w:r>
        <w:rPr>
          <w:rFonts w:hint="eastAsia" w:ascii="仿宋" w:hAnsi="仿宋" w:eastAsia="仿宋" w:cs="仿宋"/>
          <w:color w:val="auto"/>
          <w:sz w:val="24"/>
          <w:szCs w:val="24"/>
          <w:highlight w:val="none"/>
          <w:u w:val="single"/>
        </w:rPr>
        <w:t xml:space="preserve">）             </w:t>
      </w:r>
    </w:p>
    <w:p w14:paraId="2EFBD488">
      <w:pPr>
        <w:snapToGrid w:val="0"/>
        <w:spacing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u w:val="single"/>
        </w:rPr>
        <w:t xml:space="preserve">  （应明确分期支付合同款项的各期比例和支付条件</w:t>
      </w:r>
      <w:r>
        <w:rPr>
          <w:rFonts w:hint="eastAsia" w:ascii="仿宋" w:hAnsi="仿宋" w:eastAsia="仿宋" w:cs="仿宋"/>
          <w:color w:val="auto"/>
          <w:sz w:val="24"/>
          <w:szCs w:val="24"/>
          <w:highlight w:val="none"/>
          <w:u w:val="single"/>
          <w:lang w:eastAsia="zh-CN"/>
        </w:rPr>
        <w:t>，各期支付条件应与分期履约验收情况挂钩</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其中涉及预付款的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（应明确预付款的支付比例和支付条件） </w:t>
      </w:r>
    </w:p>
    <w:p w14:paraId="6C7F6BE8">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成本补偿：</w:t>
      </w:r>
      <w:r>
        <w:rPr>
          <w:rFonts w:hint="eastAsia" w:ascii="仿宋" w:hAnsi="仿宋" w:eastAsia="仿宋" w:cs="仿宋"/>
          <w:color w:val="auto"/>
          <w:sz w:val="24"/>
          <w:szCs w:val="24"/>
          <w:highlight w:val="none"/>
          <w:u w:val="single"/>
        </w:rPr>
        <w:t xml:space="preserve">      （应明确按照成本补偿方式的支付方式和支付条件）</w:t>
      </w:r>
    </w:p>
    <w:p w14:paraId="61CC9C46">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绩效激励：</w:t>
      </w:r>
      <w:r>
        <w:rPr>
          <w:rFonts w:hint="eastAsia" w:ascii="仿宋" w:hAnsi="仿宋" w:eastAsia="仿宋" w:cs="仿宋"/>
          <w:color w:val="auto"/>
          <w:sz w:val="24"/>
          <w:szCs w:val="24"/>
          <w:highlight w:val="none"/>
          <w:u w:val="single"/>
        </w:rPr>
        <w:t xml:space="preserve">      （应明确按照绩效激励方式的支付方式和支付条件）</w:t>
      </w:r>
    </w:p>
    <w:p w14:paraId="565845DE">
      <w:pPr>
        <w:numPr>
          <w:ilvl w:val="0"/>
          <w:numId w:val="6"/>
        </w:numPr>
        <w:adjustRightInd w:val="0"/>
        <w:snapToGrid w:val="0"/>
        <w:spacing w:before="0" w:beforeLines="0" w:line="400" w:lineRule="exact"/>
        <w:ind w:firstLine="482"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合同履行</w:t>
      </w:r>
    </w:p>
    <w:p w14:paraId="79347A4D">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（1）起始日期：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日，完成日期：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E807A40">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地点</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65EBB2E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（3）履约担保：</w:t>
      </w:r>
      <w:r>
        <w:rPr>
          <w:rFonts w:hint="eastAsia" w:ascii="仿宋" w:hAnsi="仿宋" w:eastAsia="仿宋" w:cs="仿宋"/>
          <w:color w:val="auto"/>
          <w:sz w:val="24"/>
          <w:szCs w:val="24"/>
          <w:highlight w:val="none"/>
          <w:lang w:val="en-US" w:eastAsia="zh-CN"/>
        </w:rPr>
        <w:t>是否收取履约保证金：</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是</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否</w:t>
      </w:r>
    </w:p>
    <w:p w14:paraId="3B7C7D11">
      <w:pPr>
        <w:pStyle w:val="46"/>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 xml:space="preserve">  收取履约保证金形式：</w:t>
      </w:r>
      <w:r>
        <w:rPr>
          <w:rFonts w:hint="eastAsia" w:ascii="仿宋" w:hAnsi="仿宋" w:eastAsia="仿宋" w:cs="仿宋"/>
          <w:bCs/>
          <w:color w:val="auto"/>
          <w:sz w:val="24"/>
          <w:szCs w:val="24"/>
          <w:highlight w:val="none"/>
          <w:u w:val="single"/>
        </w:rPr>
        <w:t xml:space="preserve">                            </w:t>
      </w:r>
    </w:p>
    <w:p w14:paraId="0A357BDB">
      <w:pPr>
        <w:pStyle w:val="46"/>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收取履约保证金金额：</w:t>
      </w:r>
      <w:r>
        <w:rPr>
          <w:rFonts w:hint="eastAsia" w:ascii="仿宋" w:hAnsi="仿宋" w:eastAsia="仿宋" w:cs="仿宋"/>
          <w:bCs/>
          <w:color w:val="auto"/>
          <w:sz w:val="24"/>
          <w:szCs w:val="24"/>
          <w:highlight w:val="none"/>
          <w:u w:val="single"/>
        </w:rPr>
        <w:t xml:space="preserve">                            </w:t>
      </w:r>
    </w:p>
    <w:p w14:paraId="2B6E7581">
      <w:pPr>
        <w:snapToGrid w:val="0"/>
        <w:spacing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履约担保期限</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094A0747">
      <w:pPr>
        <w:adjustRightInd w:val="0"/>
        <w:snapToGrid w:val="0"/>
        <w:spacing w:before="0" w:beforeLines="0" w:line="400" w:lineRule="exact"/>
        <w:ind w:left="479" w:leftChars="228"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（4）分期履行要求：</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eastAsia="zh-CN"/>
        </w:rPr>
        <w:t>风险处置措施和替代方案</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62587C66">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合同验收</w:t>
      </w:r>
    </w:p>
    <w:p w14:paraId="5362A8E3">
      <w:pPr>
        <w:numPr>
          <w:ilvl w:val="0"/>
          <w:numId w:val="8"/>
        </w:num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验收组织方式：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自行组织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委托第三方组织</w:t>
      </w:r>
    </w:p>
    <w:p w14:paraId="0E698F41">
      <w:pPr>
        <w:numPr>
          <w:ilvl w:val="0"/>
          <w:numId w:val="0"/>
        </w:numPr>
        <w:adjustRightInd w:val="0"/>
        <w:snapToGrid w:val="0"/>
        <w:spacing w:before="0" w:beforeLines="0"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验收主体：</w:t>
      </w:r>
      <w:r>
        <w:rPr>
          <w:rFonts w:hint="eastAsia" w:ascii="仿宋" w:hAnsi="仿宋" w:eastAsia="仿宋" w:cs="仿宋"/>
          <w:bCs/>
          <w:color w:val="auto"/>
          <w:sz w:val="24"/>
          <w:szCs w:val="24"/>
          <w:highlight w:val="none"/>
          <w:u w:val="single"/>
        </w:rPr>
        <w:t xml:space="preserve">                  </w:t>
      </w:r>
    </w:p>
    <w:p w14:paraId="4CED375F">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是否邀请本项目的其他供应商</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768D5C3B">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是否邀请专家</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0B25EC2F">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是否邀请服务对象</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08651592">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是否邀请第三方检测机构</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79E501EC">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是否进行抽查检测：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，抽查比例：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00638994">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lang w:eastAsia="zh-CN"/>
        </w:rPr>
      </w:pPr>
      <w:r>
        <w:rPr>
          <w:rFonts w:hint="eastAsia" w:ascii="仿宋" w:hAnsi="仿宋" w:eastAsia="仿宋" w:cs="仿宋"/>
          <w:bCs/>
          <w:color w:val="auto"/>
          <w:sz w:val="24"/>
          <w:szCs w:val="24"/>
          <w:highlight w:val="none"/>
          <w:lang w:val="en-US" w:eastAsia="zh-CN"/>
        </w:rPr>
        <w:t>是否存在破坏性检测：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lang w:eastAsia="zh-CN"/>
        </w:rPr>
        <w:t>（应明确对被破坏的检测产品的处理方式）</w:t>
      </w:r>
    </w:p>
    <w:p w14:paraId="6D1F41FD">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BDF2F5B">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验收组织的其他事项：</w:t>
      </w:r>
      <w:r>
        <w:rPr>
          <w:rFonts w:hint="eastAsia" w:ascii="仿宋" w:hAnsi="仿宋" w:eastAsia="仿宋" w:cs="仿宋"/>
          <w:bCs/>
          <w:color w:val="auto"/>
          <w:sz w:val="24"/>
          <w:szCs w:val="24"/>
          <w:highlight w:val="none"/>
          <w:u w:val="single"/>
        </w:rPr>
        <w:t xml:space="preserve">                </w:t>
      </w:r>
    </w:p>
    <w:p w14:paraId="4EB49508">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（2）履约验收时间：</w:t>
      </w:r>
      <w:r>
        <w:rPr>
          <w:rFonts w:hint="eastAsia" w:ascii="仿宋" w:hAnsi="仿宋" w:eastAsia="仿宋" w:cs="仿宋"/>
          <w:bCs/>
          <w:color w:val="auto"/>
          <w:sz w:val="24"/>
          <w:szCs w:val="24"/>
          <w:highlight w:val="none"/>
          <w:u w:val="single"/>
        </w:rPr>
        <w:t>（计划于何时验收/供应商提出验收申请之日起   日内组织验收）</w:t>
      </w:r>
      <w:r>
        <w:rPr>
          <w:rFonts w:hint="eastAsia" w:ascii="仿宋" w:hAnsi="仿宋" w:eastAsia="仿宋" w:cs="仿宋"/>
          <w:bCs/>
          <w:color w:val="auto"/>
          <w:sz w:val="24"/>
          <w:szCs w:val="24"/>
          <w:highlight w:val="none"/>
          <w:u w:val="single"/>
          <w:lang w:val="en-US" w:eastAsia="zh-CN"/>
        </w:rPr>
        <w:t xml:space="preserve"> </w:t>
      </w:r>
    </w:p>
    <w:p w14:paraId="644DA2BF">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（3）履约验收方式：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一次性验收         </w:t>
      </w:r>
    </w:p>
    <w:p w14:paraId="5ACE5754">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分期/分项验收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（应明确分期</w:t>
      </w:r>
      <w:r>
        <w:rPr>
          <w:rFonts w:hint="eastAsia" w:ascii="仿宋" w:hAnsi="仿宋" w:eastAsia="仿宋" w:cs="仿宋"/>
          <w:bCs/>
          <w:color w:val="auto"/>
          <w:sz w:val="24"/>
          <w:szCs w:val="24"/>
          <w:highlight w:val="none"/>
          <w:u w:val="single"/>
          <w:lang w:val="en" w:eastAsia="zh-CN"/>
        </w:rPr>
        <w:t>/分项验收的工作安排</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p>
    <w:p w14:paraId="1B529A29">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（4）履约验收程序：</w:t>
      </w:r>
      <w:r>
        <w:rPr>
          <w:rFonts w:hint="eastAsia" w:ascii="仿宋" w:hAnsi="仿宋" w:eastAsia="仿宋" w:cs="仿宋"/>
          <w:bCs/>
          <w:color w:val="auto"/>
          <w:sz w:val="24"/>
          <w:szCs w:val="24"/>
          <w:highlight w:val="none"/>
          <w:u w:val="single"/>
        </w:rPr>
        <w:t xml:space="preserve">                                         </w:t>
      </w:r>
    </w:p>
    <w:p w14:paraId="49B09E09">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（5）履约验收的内容：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 w:val="24"/>
          <w:szCs w:val="24"/>
          <w:highlight w:val="none"/>
          <w:u w:val="single"/>
        </w:rPr>
        <w:t xml:space="preserve">      </w:t>
      </w:r>
    </w:p>
    <w:p w14:paraId="1622B445">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（6）履约验收标准：</w:t>
      </w:r>
      <w:r>
        <w:rPr>
          <w:rFonts w:hint="eastAsia" w:ascii="仿宋" w:hAnsi="仿宋" w:eastAsia="仿宋" w:cs="仿宋"/>
          <w:bCs/>
          <w:color w:val="auto"/>
          <w:sz w:val="24"/>
          <w:szCs w:val="24"/>
          <w:highlight w:val="none"/>
          <w:u w:val="single"/>
        </w:rPr>
        <w:t xml:space="preserve">                                         </w:t>
      </w:r>
    </w:p>
    <w:p w14:paraId="2BFC94E3">
      <w:pPr>
        <w:pStyle w:val="46"/>
        <w:spacing w:beforeLines="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lang w:eastAsia="zh-CN"/>
        </w:rPr>
        <w:t>）是否以采购活动中供应商提供的样品作为参考：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606EB216">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（8）履约验收其他事项：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single"/>
        </w:rPr>
        <w:t>（产权过户登记等）</w:t>
      </w:r>
      <w:r>
        <w:rPr>
          <w:rFonts w:hint="eastAsia" w:ascii="仿宋" w:hAnsi="仿宋" w:eastAsia="仿宋" w:cs="仿宋"/>
          <w:bCs/>
          <w:color w:val="auto"/>
          <w:sz w:val="24"/>
          <w:szCs w:val="24"/>
          <w:highlight w:val="none"/>
          <w:u w:val="single"/>
        </w:rPr>
        <w:t xml:space="preserve">          </w:t>
      </w:r>
    </w:p>
    <w:p w14:paraId="4D0F1489">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组成合同的文件</w:t>
      </w:r>
    </w:p>
    <w:p w14:paraId="16B83638">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本协议书与下列文件一起构成合同文件，如下述文件之间有任何抵触、矛盾或歧义，应按以下顺序解释：</w:t>
      </w:r>
    </w:p>
    <w:p w14:paraId="719F2726">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p>
    <w:p w14:paraId="21F1E78E">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）政府采购合同专用条款</w:t>
      </w:r>
    </w:p>
    <w:p w14:paraId="0523CCD7">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）政府采购合同通用条款</w:t>
      </w:r>
    </w:p>
    <w:p w14:paraId="29EDB06A">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p>
    <w:p w14:paraId="36DD6CAE">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）投标（响应）文件</w:t>
      </w:r>
    </w:p>
    <w:p w14:paraId="7113EE51">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w:t>
      </w:r>
    </w:p>
    <w:p w14:paraId="4D230481">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（7）有关技术文件，图纸</w:t>
      </w:r>
    </w:p>
    <w:p w14:paraId="0C5C851F">
      <w:pPr>
        <w:pStyle w:val="46"/>
        <w:spacing w:beforeLine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p>
    <w:p w14:paraId="6B9F9948">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w:t>
      </w:r>
    </w:p>
    <w:p w14:paraId="149F9DF0">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生效。</w:t>
      </w:r>
    </w:p>
    <w:p w14:paraId="3B04A570">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合同份数</w:t>
      </w:r>
    </w:p>
    <w:p w14:paraId="5A0EC590">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份，均具有同等法律效力。</w:t>
      </w:r>
    </w:p>
    <w:p w14:paraId="4F48B4FA">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360953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合同订立地点：</w:t>
      </w:r>
      <w:r>
        <w:rPr>
          <w:rFonts w:hint="eastAsia" w:ascii="仿宋" w:hAnsi="仿宋" w:eastAsia="仿宋" w:cs="仿宋"/>
          <w:color w:val="auto"/>
          <w:sz w:val="24"/>
          <w:szCs w:val="24"/>
          <w:highlight w:val="none"/>
          <w:u w:val="single"/>
        </w:rPr>
        <w:t xml:space="preserve">                           </w:t>
      </w:r>
    </w:p>
    <w:p w14:paraId="17CFFB1A">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附件：具体标</w:t>
      </w:r>
      <w:r>
        <w:rPr>
          <w:rFonts w:hint="eastAsia" w:ascii="仿宋" w:hAnsi="仿宋" w:eastAsia="仿宋" w:cs="仿宋"/>
          <w:color w:val="auto"/>
          <w:sz w:val="24"/>
          <w:szCs w:val="24"/>
          <w:highlight w:val="none"/>
          <w:lang w:eastAsia="zh-CN"/>
        </w:rPr>
        <w:t>的及其</w:t>
      </w:r>
      <w:r>
        <w:rPr>
          <w:rFonts w:hint="eastAsia" w:ascii="仿宋" w:hAnsi="仿宋" w:eastAsia="仿宋" w:cs="仿宋"/>
          <w:color w:val="auto"/>
          <w:sz w:val="24"/>
          <w:szCs w:val="24"/>
          <w:highlight w:val="none"/>
          <w:u w:val="none"/>
          <w:lang w:val="en-US" w:eastAsia="zh-CN"/>
        </w:rPr>
        <w:t>技术要求和商务要求</w:t>
      </w:r>
      <w:r>
        <w:rPr>
          <w:rFonts w:hint="eastAsia" w:ascii="仿宋" w:hAnsi="仿宋" w:eastAsia="仿宋" w:cs="仿宋"/>
          <w:color w:val="auto"/>
          <w:sz w:val="24"/>
          <w:szCs w:val="24"/>
          <w:highlight w:val="none"/>
        </w:rPr>
        <w:t>、联合协议、分包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协议等。</w:t>
      </w:r>
    </w:p>
    <w:p w14:paraId="4E3085CB">
      <w:pPr>
        <w:pStyle w:val="126"/>
        <w:spacing w:beforeLines="0" w:line="400" w:lineRule="exact"/>
        <w:rPr>
          <w:rFonts w:hint="eastAsia" w:ascii="仿宋" w:hAnsi="仿宋" w:eastAsia="仿宋" w:cs="仿宋"/>
          <w:color w:val="auto"/>
          <w:sz w:val="24"/>
          <w:szCs w:val="24"/>
          <w:highlight w:val="none"/>
        </w:rPr>
      </w:pPr>
    </w:p>
    <w:p w14:paraId="629DBB1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892E4DB">
      <w:pPr>
        <w:pStyle w:val="126"/>
        <w:rPr>
          <w:rFonts w:hint="eastAsia" w:ascii="仿宋" w:hAnsi="仿宋" w:eastAsia="仿宋" w:cs="仿宋"/>
          <w:color w:val="auto"/>
          <w:sz w:val="24"/>
          <w:szCs w:val="24"/>
          <w:highlight w:val="none"/>
        </w:rPr>
      </w:pPr>
    </w:p>
    <w:tbl>
      <w:tblPr>
        <w:tblStyle w:val="3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8"/>
        <w:gridCol w:w="2420"/>
        <w:gridCol w:w="1985"/>
        <w:gridCol w:w="2124"/>
      </w:tblGrid>
      <w:tr w14:paraId="47C9E3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6B983C9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或采购文件约定的合同甲方）</w:t>
            </w:r>
          </w:p>
        </w:tc>
        <w:tc>
          <w:tcPr>
            <w:tcW w:w="2437" w:type="pct"/>
            <w:gridSpan w:val="2"/>
            <w:tcBorders>
              <w:left w:val="single" w:color="auto" w:sz="2" w:space="0"/>
              <w:bottom w:val="single" w:color="auto" w:sz="2" w:space="0"/>
            </w:tcBorders>
            <w:vAlign w:val="center"/>
          </w:tcPr>
          <w:p w14:paraId="43CB12CD">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乙方（供应商）</w:t>
            </w:r>
          </w:p>
        </w:tc>
      </w:tr>
      <w:tr w14:paraId="4160BD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7D1A0B0">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0817C7A3">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226DD46">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1259" w:type="pct"/>
            <w:tcBorders>
              <w:top w:val="single" w:color="auto" w:sz="2" w:space="0"/>
              <w:left w:val="single" w:color="auto" w:sz="2" w:space="0"/>
              <w:bottom w:val="single" w:color="auto" w:sz="2" w:space="0"/>
            </w:tcBorders>
            <w:vAlign w:val="center"/>
          </w:tcPr>
          <w:p w14:paraId="633599A7">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EE978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98B1EE4">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151B3105">
            <w:pPr>
              <w:adjustRightInd w:val="0"/>
              <w:snapToGrid w:val="0"/>
              <w:spacing w:line="300" w:lineRule="exact"/>
              <w:ind w:firstLine="115" w:firstLineChars="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0BA97093">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795DA4DD">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5CF67C58">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04651449">
            <w:pPr>
              <w:adjustRightInd w:val="0"/>
              <w:snapToGrid w:val="0"/>
              <w:spacing w:line="300" w:lineRule="exact"/>
              <w:jc w:val="center"/>
              <w:rPr>
                <w:rFonts w:hint="eastAsia" w:ascii="仿宋" w:hAnsi="仿宋" w:eastAsia="仿宋" w:cs="仿宋"/>
                <w:color w:val="auto"/>
                <w:sz w:val="24"/>
                <w:szCs w:val="24"/>
                <w:highlight w:val="none"/>
              </w:rPr>
            </w:pPr>
          </w:p>
        </w:tc>
      </w:tr>
      <w:tr w14:paraId="7F38F4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D813545">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1BA101E5">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3194AA">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6A4C5DAD">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42FDF6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3832BC5">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B6C5FC3">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FB12D4">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14:paraId="667E243A">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564565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FF264C">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F2E2816">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C111B6F">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12186805">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51F69B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0039D6">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B566799">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7DF9CDD">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675575B1">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41DB14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00C4C8F">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AE6DEE5">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2BFA34F">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5FAECC3C">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E0037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7D4A9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5AE5A12">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8161CE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23273BB6">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477EED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503132">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2E1F05B">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730CA5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6195BD9B">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CD956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D60A1C">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CFBD9C8">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F7ADE8">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9D91F0F">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64AFFB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2910DC1">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448F595">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006581F">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21E79F51">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62080C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7D0D9B">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384E1C1">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D4D3921">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683068DB">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78DF19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D90440">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B7DE5ED">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52D3A1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67463DF3">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39C540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0567395">
            <w:pPr>
              <w:pStyle w:val="16"/>
              <w:adjustRightInd w:val="0"/>
              <w:snapToGrid w:val="0"/>
              <w:spacing w:before="156" w:beforeLines="50" w:after="0" w:line="360" w:lineRule="auto"/>
              <w:ind w:left="0" w:leftChars="0"/>
              <w:jc w:val="left"/>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注：涉及联合体或其他合同主体的信息应按上表格式加列。</w:t>
            </w:r>
          </w:p>
        </w:tc>
      </w:tr>
    </w:tbl>
    <w:p w14:paraId="342D6435">
      <w:pPr>
        <w:pStyle w:val="3"/>
        <w:adjustRightInd w:val="0"/>
        <w:snapToGrid w:val="0"/>
        <w:spacing w:before="156"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br w:type="page"/>
      </w:r>
      <w:bookmarkStart w:id="104" w:name="_Toc30512"/>
      <w:bookmarkStart w:id="105" w:name="_Toc27624"/>
      <w:r>
        <w:rPr>
          <w:rFonts w:hint="eastAsia" w:ascii="仿宋" w:hAnsi="仿宋" w:eastAsia="仿宋" w:cs="仿宋"/>
          <w:b w:val="0"/>
          <w:bCs w:val="0"/>
          <w:color w:val="auto"/>
          <w:sz w:val="24"/>
          <w:szCs w:val="24"/>
          <w:highlight w:val="none"/>
        </w:rPr>
        <w:t>第二节 政府采购合同通用条款</w:t>
      </w:r>
      <w:bookmarkEnd w:id="104"/>
      <w:bookmarkEnd w:id="105"/>
    </w:p>
    <w:p w14:paraId="39FC7702">
      <w:pPr>
        <w:tabs>
          <w:tab w:val="left" w:pos="8820"/>
          <w:tab w:val="left" w:pos="9345"/>
          <w:tab w:val="left" w:pos="9765"/>
        </w:tabs>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bCs/>
          <w:color w:val="auto"/>
          <w:sz w:val="24"/>
          <w:szCs w:val="24"/>
          <w:highlight w:val="none"/>
        </w:rPr>
        <w:t>定义</w:t>
      </w:r>
    </w:p>
    <w:p w14:paraId="73F8E96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1.1合同当事人</w:t>
      </w:r>
    </w:p>
    <w:p w14:paraId="17D54C9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14:paraId="771B867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14:paraId="56E9DBE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auto"/>
          <w:sz w:val="24"/>
          <w:szCs w:val="24"/>
          <w:highlight w:val="none"/>
        </w:rPr>
        <w:t>依法参与合同缔结或履行，享有权利、承担义务的合同当事人</w:t>
      </w:r>
      <w:r>
        <w:rPr>
          <w:rFonts w:hint="eastAsia" w:ascii="仿宋" w:hAnsi="仿宋" w:eastAsia="仿宋" w:cs="仿宋"/>
          <w:color w:val="auto"/>
          <w:sz w:val="24"/>
          <w:szCs w:val="24"/>
          <w:highlight w:val="none"/>
        </w:rPr>
        <w:t>。</w:t>
      </w:r>
    </w:p>
    <w:p w14:paraId="087D6249">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18E3B170">
      <w:pPr>
        <w:adjustRightInd w:val="0"/>
        <w:snapToGrid w:val="0"/>
        <w:spacing w:before="0" w:beforeLines="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auto"/>
          <w:sz w:val="24"/>
          <w:szCs w:val="24"/>
          <w:highlight w:val="none"/>
        </w:rPr>
        <w:t>合同当事人意思表示达成一致的任何协议，包括签署的</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r>
        <w:rPr>
          <w:rFonts w:hint="eastAsia" w:ascii="仿宋" w:hAnsi="仿宋" w:eastAsia="仿宋" w:cs="仿宋"/>
          <w:color w:val="auto"/>
          <w:sz w:val="24"/>
          <w:szCs w:val="24"/>
          <w:highlight w:val="none"/>
        </w:rPr>
        <w:t>政府采购合同专用条款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政府采购合同通用条款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投标（响应）文件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有关技术文件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图纸</w:t>
      </w:r>
      <w:r>
        <w:rPr>
          <w:rFonts w:hint="eastAsia" w:ascii="仿宋" w:hAnsi="仿宋" w:eastAsia="仿宋" w:cs="仿宋"/>
          <w:color w:val="auto"/>
          <w:sz w:val="24"/>
          <w:szCs w:val="24"/>
          <w:highlight w:val="none"/>
          <w:lang w:eastAsia="zh-CN"/>
        </w:rPr>
        <w:t>，以及</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r>
        <w:rPr>
          <w:rFonts w:hint="eastAsia" w:ascii="仿宋" w:hAnsi="仿宋" w:eastAsia="仿宋" w:cs="仿宋"/>
          <w:color w:val="auto"/>
          <w:sz w:val="24"/>
          <w:szCs w:val="24"/>
          <w:highlight w:val="none"/>
        </w:rPr>
        <w:t>。</w:t>
      </w:r>
    </w:p>
    <w:p w14:paraId="50BED575">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14:paraId="146CC055">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技术资料和材料</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p>
    <w:p w14:paraId="657290CA">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服务”系指根据合同规定，乙方应提供的</w:t>
      </w:r>
      <w:r>
        <w:rPr>
          <w:rFonts w:hint="eastAsia" w:ascii="仿宋" w:hAnsi="仿宋" w:eastAsia="仿宋" w:cs="仿宋"/>
          <w:color w:val="auto"/>
          <w:sz w:val="24"/>
          <w:szCs w:val="24"/>
          <w:highlight w:val="none"/>
          <w:lang w:val="en-US" w:eastAsia="zh-CN"/>
        </w:rPr>
        <w:t>与货物有关的</w:t>
      </w:r>
      <w:r>
        <w:rPr>
          <w:rFonts w:hint="eastAsia" w:ascii="仿宋" w:hAnsi="仿宋" w:eastAsia="仿宋" w:cs="仿宋"/>
          <w:color w:val="auto"/>
          <w:sz w:val="24"/>
          <w:szCs w:val="24"/>
          <w:highlight w:val="none"/>
        </w:rPr>
        <w:t>技术、管理和</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服务，包括但不限于：管理和质量保证、运输、保险、检验、现场准备、安装、集成、调试、培训、维修、</w:t>
      </w:r>
      <w:r>
        <w:rPr>
          <w:rFonts w:hint="eastAsia" w:ascii="仿宋" w:hAnsi="仿宋" w:eastAsia="仿宋" w:cs="仿宋"/>
          <w:color w:val="auto"/>
          <w:sz w:val="24"/>
          <w:szCs w:val="24"/>
          <w:highlight w:val="none"/>
          <w:lang w:eastAsia="zh-CN"/>
        </w:rPr>
        <w:t>废弃处置、</w:t>
      </w:r>
      <w:r>
        <w:rPr>
          <w:rFonts w:hint="eastAsia" w:ascii="仿宋" w:hAnsi="仿宋" w:eastAsia="仿宋" w:cs="仿宋"/>
          <w:color w:val="auto"/>
          <w:sz w:val="24"/>
          <w:szCs w:val="24"/>
          <w:highlight w:val="none"/>
        </w:rPr>
        <w:t>技术支持等以及合同中规定乙方应承担的</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义务。</w:t>
      </w:r>
    </w:p>
    <w:p w14:paraId="04AACDAE">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）“分包”系指中标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供应商按采购文件、投标（响应）文件的规定，根据分包意向协议，将中标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项目中的部分履约内容，分给具有相应资质条件的供应商履行合同的行为。</w:t>
      </w:r>
    </w:p>
    <w:p w14:paraId="0863C8D2">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）“联合体”系指</w:t>
      </w:r>
      <w:r>
        <w:rPr>
          <w:rFonts w:hint="eastAsia" w:ascii="仿宋" w:hAnsi="仿宋" w:eastAsia="仿宋" w:cs="仿宋"/>
          <w:color w:val="auto"/>
          <w:sz w:val="24"/>
          <w:szCs w:val="24"/>
          <w:highlight w:val="none"/>
          <w:lang w:eastAsia="zh-CN"/>
        </w:rPr>
        <w:t>由</w:t>
      </w:r>
      <w:r>
        <w:rPr>
          <w:rFonts w:hint="eastAsia" w:ascii="仿宋" w:hAnsi="仿宋" w:eastAsia="仿宋" w:cs="仿宋"/>
          <w:color w:val="auto"/>
          <w:sz w:val="24"/>
          <w:szCs w:val="24"/>
          <w:highlight w:val="none"/>
        </w:rPr>
        <w:t>两个以上的自然人、法人或者</w:t>
      </w:r>
      <w:r>
        <w:rPr>
          <w:rFonts w:hint="eastAsia" w:ascii="仿宋" w:hAnsi="仿宋" w:eastAsia="仿宋" w:cs="仿宋"/>
          <w:color w:val="auto"/>
          <w:sz w:val="24"/>
          <w:szCs w:val="24"/>
          <w:highlight w:val="none"/>
          <w:lang w:val="en-US" w:eastAsia="zh-CN"/>
        </w:rPr>
        <w:t>非法人</w:t>
      </w:r>
      <w:r>
        <w:rPr>
          <w:rFonts w:hint="eastAsia" w:ascii="仿宋" w:hAnsi="仿宋" w:eastAsia="仿宋" w:cs="仿宋"/>
          <w:color w:val="auto"/>
          <w:sz w:val="24"/>
          <w:szCs w:val="24"/>
          <w:highlight w:val="none"/>
        </w:rPr>
        <w:t>组织组成，</w:t>
      </w:r>
      <w:r>
        <w:rPr>
          <w:rFonts w:hint="eastAsia" w:ascii="仿宋" w:hAnsi="仿宋" w:eastAsia="仿宋" w:cs="仿宋"/>
          <w:color w:val="auto"/>
          <w:sz w:val="24"/>
          <w:szCs w:val="24"/>
          <w:highlight w:val="none"/>
          <w:lang w:eastAsia="zh-CN"/>
        </w:rPr>
        <w:t>以一个供应商的身份共同参加政府采购的主体。</w:t>
      </w:r>
      <w:r>
        <w:rPr>
          <w:rFonts w:hint="eastAsia" w:ascii="仿宋" w:hAnsi="仿宋" w:eastAsia="仿宋" w:cs="仿宋"/>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承担连带责任。联合体具体要求见【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4B58249A">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）其他术语解释，见【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5503C61D">
      <w:pPr>
        <w:adjustRightInd w:val="0"/>
        <w:snapToGrid w:val="0"/>
        <w:spacing w:before="0" w:line="400" w:lineRule="exact"/>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eastAsia="zh-CN"/>
        </w:rPr>
        <w:t>合同标的及金额</w:t>
      </w:r>
    </w:p>
    <w:p w14:paraId="2BC1FB4C">
      <w:pPr>
        <w:autoSpaceDE w:val="0"/>
        <w:autoSpaceDN w:val="0"/>
        <w:adjustRightInd w:val="0"/>
        <w:snapToGrid w:val="0"/>
        <w:spacing w:before="0" w:line="400" w:lineRule="exact"/>
        <w:ind w:firstLine="480" w:firstLineChars="200"/>
        <w:jc w:val="left"/>
        <w:rPr>
          <w:rFonts w:hint="eastAsia" w:ascii="仿宋" w:hAnsi="仿宋" w:eastAsia="仿宋" w:cs="仿宋"/>
          <w:b/>
          <w:bCs/>
          <w:i/>
          <w:iCs/>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.1合同标的及金额应与中标（成交）结果一致。乙方为履行本合同而发生的所有费用均应包含在合同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中，甲方不再另行支付</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任何费用。</w:t>
      </w:r>
    </w:p>
    <w:p w14:paraId="145A8E22">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履行合同的时间、地点和方式</w:t>
      </w:r>
    </w:p>
    <w:p w14:paraId="232EF6F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.1乙方应当在约定的时间、地点</w:t>
      </w:r>
      <w:r>
        <w:rPr>
          <w:rFonts w:hint="eastAsia" w:ascii="仿宋" w:hAnsi="仿宋" w:eastAsia="仿宋" w:cs="仿宋"/>
          <w:color w:val="auto"/>
          <w:sz w:val="24"/>
          <w:szCs w:val="24"/>
          <w:highlight w:val="none"/>
          <w:lang w:eastAsia="zh-CN"/>
        </w:rPr>
        <w:t>，按照约定</w:t>
      </w:r>
      <w:r>
        <w:rPr>
          <w:rFonts w:hint="eastAsia" w:ascii="仿宋" w:hAnsi="仿宋" w:eastAsia="仿宋" w:cs="仿宋"/>
          <w:color w:val="auto"/>
          <w:sz w:val="24"/>
          <w:szCs w:val="24"/>
          <w:highlight w:val="none"/>
        </w:rPr>
        <w:t>方式履行合同。</w:t>
      </w:r>
    </w:p>
    <w:p w14:paraId="6533AE25">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甲方的权利和义务</w:t>
      </w:r>
    </w:p>
    <w:p w14:paraId="3F647E5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.1签署合同后，甲方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，负责与本合同有关的事务。甲方有权对乙方的履约行为进行检查，并及时确认乙方提交的事项。甲方应当配合乙方完成相关项目实施工作。</w:t>
      </w:r>
    </w:p>
    <w:p w14:paraId="79451D6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.2甲方有权要求乙方按时提交各阶段有关安排计划，并有权定期核对乙方提供货物数量、规格、质量等内容。甲方有权督促乙方工作并要求乙方更换不符合要求的货物。</w:t>
      </w:r>
    </w:p>
    <w:p w14:paraId="4FC0CA1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.3甲方有权要求乙方对缺陷部分予以修复，并按合同约定享有货物保修及其他合同约定的权利。</w:t>
      </w:r>
    </w:p>
    <w:p w14:paraId="6FA0261C">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4.4甲方应当按照合同约定及时对交付的货物进行验收，</w:t>
      </w:r>
      <w:r>
        <w:rPr>
          <w:rFonts w:hint="eastAsia" w:ascii="仿宋" w:hAnsi="仿宋" w:eastAsia="仿宋" w:cs="仿宋"/>
          <w:b w:val="0"/>
          <w:bCs w:val="0"/>
          <w:color w:val="auto"/>
          <w:sz w:val="24"/>
          <w:szCs w:val="24"/>
          <w:highlight w:val="none"/>
          <w:lang w:eastAsia="zh-CN"/>
        </w:rPr>
        <w:t>未</w:t>
      </w:r>
      <w:r>
        <w:rPr>
          <w:rFonts w:hint="eastAsia" w:ascii="仿宋" w:hAnsi="仿宋" w:eastAsia="仿宋" w:cs="仿宋"/>
          <w:color w:val="auto"/>
          <w:sz w:val="24"/>
          <w:szCs w:val="24"/>
          <w:highlight w:val="none"/>
          <w:lang w:val="en-US" w:eastAsia="zh-CN"/>
        </w:rPr>
        <w:t>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约定的期限内对乙方履约提出任何异议或者向乙方作出任何说明的，</w:t>
      </w:r>
      <w:r>
        <w:rPr>
          <w:rFonts w:hint="eastAsia" w:ascii="仿宋" w:hAnsi="仿宋" w:eastAsia="仿宋" w:cs="仿宋"/>
          <w:color w:val="auto"/>
          <w:sz w:val="24"/>
          <w:szCs w:val="24"/>
          <w:highlight w:val="none"/>
          <w:lang w:val="en-US" w:eastAsia="zh-CN"/>
        </w:rPr>
        <w:t>视为验收通过。</w:t>
      </w:r>
    </w:p>
    <w:p w14:paraId="37EE7D2E">
      <w:pPr>
        <w:autoSpaceDE w:val="0"/>
        <w:autoSpaceDN w:val="0"/>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甲方应当根据合同约定</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时向乙方支付</w:t>
      </w:r>
      <w:r>
        <w:rPr>
          <w:rFonts w:hint="eastAsia" w:ascii="仿宋" w:hAnsi="仿宋" w:eastAsia="仿宋" w:cs="仿宋"/>
          <w:color w:val="auto"/>
          <w:sz w:val="24"/>
          <w:szCs w:val="24"/>
          <w:highlight w:val="none"/>
          <w:lang w:eastAsia="zh-CN"/>
        </w:rPr>
        <w:t>合同价款，不得以内部人员变更、履行内部付款流程等为由，拒绝或迟延支付。</w:t>
      </w:r>
    </w:p>
    <w:p w14:paraId="4801D67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约定应</w:t>
      </w:r>
      <w:r>
        <w:rPr>
          <w:rFonts w:hint="eastAsia" w:ascii="仿宋" w:hAnsi="仿宋" w:eastAsia="仿宋" w:cs="仿宋"/>
          <w:color w:val="auto"/>
          <w:sz w:val="24"/>
          <w:szCs w:val="24"/>
          <w:highlight w:val="none"/>
        </w:rPr>
        <w:t>由甲方承担的其他义务和责任。</w:t>
      </w:r>
    </w:p>
    <w:p w14:paraId="2EFE947D">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乙方的权利和义务</w:t>
      </w:r>
    </w:p>
    <w:p w14:paraId="63FA887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.1签署合同后，乙方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w:t>
      </w:r>
    </w:p>
    <w:p w14:paraId="67A82E3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.2乙方应按照合同要求履约，充分合理安排，确保提供的货物</w:t>
      </w:r>
      <w:r>
        <w:rPr>
          <w:rFonts w:hint="eastAsia" w:ascii="仿宋" w:hAnsi="仿宋" w:eastAsia="仿宋" w:cs="仿宋"/>
          <w:color w:val="auto"/>
          <w:sz w:val="24"/>
          <w:szCs w:val="24"/>
          <w:highlight w:val="none"/>
          <w:lang w:eastAsia="zh-CN"/>
        </w:rPr>
        <w:t>及相关</w:t>
      </w:r>
      <w:r>
        <w:rPr>
          <w:rFonts w:hint="eastAsia" w:ascii="仿宋" w:hAnsi="仿宋" w:eastAsia="仿宋" w:cs="仿宋"/>
          <w:color w:val="auto"/>
          <w:sz w:val="24"/>
          <w:szCs w:val="24"/>
          <w:highlight w:val="none"/>
        </w:rPr>
        <w:t>服务符合合同</w:t>
      </w:r>
      <w:r>
        <w:rPr>
          <w:rFonts w:hint="eastAsia" w:ascii="仿宋" w:hAnsi="仿宋" w:eastAsia="仿宋" w:cs="仿宋"/>
          <w:color w:val="auto"/>
          <w:sz w:val="24"/>
          <w:szCs w:val="24"/>
          <w:highlight w:val="none"/>
          <w:lang w:eastAsia="zh-CN"/>
        </w:rPr>
        <w:t>有关</w:t>
      </w:r>
      <w:r>
        <w:rPr>
          <w:rFonts w:hint="eastAsia" w:ascii="仿宋" w:hAnsi="仿宋" w:eastAsia="仿宋" w:cs="仿宋"/>
          <w:color w:val="auto"/>
          <w:sz w:val="24"/>
          <w:szCs w:val="24"/>
          <w:highlight w:val="none"/>
        </w:rPr>
        <w:t>要求。接受项目行业管理部门及政府有关部门的指导，配合甲方的履约检查</w:t>
      </w:r>
      <w:r>
        <w:rPr>
          <w:rFonts w:hint="eastAsia" w:ascii="仿宋" w:hAnsi="仿宋" w:eastAsia="仿宋" w:cs="仿宋"/>
          <w:color w:val="auto"/>
          <w:sz w:val="24"/>
          <w:szCs w:val="24"/>
          <w:highlight w:val="none"/>
          <w:lang w:eastAsia="zh-CN"/>
        </w:rPr>
        <w:t>及验收</w:t>
      </w:r>
      <w:r>
        <w:rPr>
          <w:rFonts w:hint="eastAsia" w:ascii="仿宋" w:hAnsi="仿宋" w:eastAsia="仿宋" w:cs="仿宋"/>
          <w:color w:val="auto"/>
          <w:sz w:val="24"/>
          <w:szCs w:val="24"/>
          <w:highlight w:val="none"/>
        </w:rPr>
        <w:t>，并负责项目实施过程中的所有协调工作。</w:t>
      </w:r>
    </w:p>
    <w:p w14:paraId="3DE71276">
      <w:pPr>
        <w:pStyle w:val="15"/>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.3乙方有权根据合同约定向甲方收取</w:t>
      </w:r>
      <w:r>
        <w:rPr>
          <w:rFonts w:hint="eastAsia" w:ascii="仿宋" w:hAnsi="仿宋" w:eastAsia="仿宋" w:cs="仿宋"/>
          <w:color w:val="auto"/>
          <w:sz w:val="24"/>
          <w:szCs w:val="24"/>
          <w:highlight w:val="none"/>
          <w:lang w:eastAsia="zh-CN"/>
        </w:rPr>
        <w:t>合同价款</w:t>
      </w:r>
      <w:r>
        <w:rPr>
          <w:rFonts w:hint="eastAsia" w:ascii="仿宋" w:hAnsi="仿宋" w:eastAsia="仿宋" w:cs="仿宋"/>
          <w:color w:val="auto"/>
          <w:sz w:val="24"/>
          <w:szCs w:val="24"/>
          <w:highlight w:val="none"/>
        </w:rPr>
        <w:t>。</w:t>
      </w:r>
    </w:p>
    <w:p w14:paraId="2D58B4ED">
      <w:pPr>
        <w:pStyle w:val="15"/>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.4国家法律法规规定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约定应</w:t>
      </w:r>
      <w:r>
        <w:rPr>
          <w:rFonts w:hint="eastAsia" w:ascii="仿宋" w:hAnsi="仿宋" w:eastAsia="仿宋" w:cs="仿宋"/>
          <w:color w:val="auto"/>
          <w:sz w:val="24"/>
          <w:szCs w:val="24"/>
          <w:highlight w:val="none"/>
        </w:rPr>
        <w:t>由乙方承担的其他义务和责任。</w:t>
      </w:r>
    </w:p>
    <w:p w14:paraId="42ADA1DF">
      <w:pPr>
        <w:numPr>
          <w:ilvl w:val="0"/>
          <w:numId w:val="0"/>
        </w:num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合同履</w:t>
      </w:r>
      <w:r>
        <w:rPr>
          <w:rFonts w:hint="eastAsia" w:ascii="仿宋" w:hAnsi="仿宋" w:eastAsia="仿宋" w:cs="仿宋"/>
          <w:b/>
          <w:bCs/>
          <w:color w:val="auto"/>
          <w:sz w:val="24"/>
          <w:szCs w:val="24"/>
          <w:highlight w:val="none"/>
          <w:lang w:val="en-US" w:eastAsia="zh-CN"/>
        </w:rPr>
        <w:t>行</w:t>
      </w:r>
    </w:p>
    <w:p w14:paraId="7DFE4CF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.1甲乙双方应当按照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约定顺序履行合同义务；如果没有先后顺序的，应当同时履行。</w:t>
      </w:r>
    </w:p>
    <w:p w14:paraId="0694447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.2甲乙双方按照合同约定顺序履行合同义务时，应当先履行一方未履行的，后履行一方有权拒绝其履行请求。先履行一方履行不符合约定的，后履行一方有权拒绝其相应的履行请求。</w:t>
      </w:r>
    </w:p>
    <w:p w14:paraId="63940E01">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7</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货物包装、运输</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保险</w:t>
      </w:r>
      <w:r>
        <w:rPr>
          <w:rFonts w:hint="eastAsia" w:ascii="仿宋" w:hAnsi="仿宋" w:eastAsia="仿宋" w:cs="仿宋"/>
          <w:b/>
          <w:bCs/>
          <w:color w:val="auto"/>
          <w:sz w:val="24"/>
          <w:szCs w:val="24"/>
          <w:highlight w:val="none"/>
          <w:lang w:eastAsia="zh-CN"/>
        </w:rPr>
        <w:t>和交付</w:t>
      </w:r>
      <w:r>
        <w:rPr>
          <w:rFonts w:hint="eastAsia" w:ascii="仿宋" w:hAnsi="仿宋" w:eastAsia="仿宋" w:cs="仿宋"/>
          <w:b/>
          <w:bCs/>
          <w:color w:val="auto"/>
          <w:sz w:val="24"/>
          <w:szCs w:val="24"/>
          <w:highlight w:val="none"/>
        </w:rPr>
        <w:t>要求</w:t>
      </w:r>
    </w:p>
    <w:p w14:paraId="54615F8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.1本合同</w:t>
      </w:r>
      <w:r>
        <w:rPr>
          <w:rFonts w:hint="eastAsia" w:ascii="仿宋" w:hAnsi="仿宋" w:eastAsia="仿宋" w:cs="仿宋"/>
          <w:bCs/>
          <w:color w:val="auto"/>
          <w:sz w:val="24"/>
          <w:szCs w:val="24"/>
          <w:highlight w:val="none"/>
        </w:rPr>
        <w:t>涉及商品包装</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快递包装的，</w:t>
      </w:r>
      <w:r>
        <w:rPr>
          <w:rFonts w:hint="eastAsia" w:ascii="仿宋" w:hAnsi="仿宋" w:eastAsia="仿宋" w:cs="仿宋"/>
          <w:color w:val="auto"/>
          <w:sz w:val="24"/>
          <w:szCs w:val="24"/>
          <w:highlight w:val="none"/>
        </w:rPr>
        <w:t>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包装应适应远距离运输、防潮、防震、防锈和防野蛮装卸等要求，确保货物安全无损地运抵</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约定的</w:t>
      </w:r>
      <w:r>
        <w:rPr>
          <w:rFonts w:hint="eastAsia" w:ascii="仿宋" w:hAnsi="仿宋" w:eastAsia="仿宋" w:cs="仿宋"/>
          <w:color w:val="auto"/>
          <w:sz w:val="24"/>
          <w:szCs w:val="24"/>
          <w:highlight w:val="none"/>
        </w:rPr>
        <w:t>指定现场。</w:t>
      </w:r>
    </w:p>
    <w:p w14:paraId="21B0788A">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.2除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乙方负责办理将货物运抵本合同规定的交货地点</w:t>
      </w:r>
      <w:r>
        <w:rPr>
          <w:rFonts w:hint="eastAsia" w:ascii="仿宋" w:hAnsi="仿宋" w:eastAsia="仿宋" w:cs="仿宋"/>
          <w:color w:val="auto"/>
          <w:sz w:val="24"/>
          <w:szCs w:val="24"/>
          <w:highlight w:val="none"/>
          <w:lang w:eastAsia="zh-CN"/>
        </w:rPr>
        <w:t>，并装卸、交付至甲方</w:t>
      </w:r>
      <w:r>
        <w:rPr>
          <w:rFonts w:hint="eastAsia" w:ascii="仿宋" w:hAnsi="仿宋" w:eastAsia="仿宋" w:cs="仿宋"/>
          <w:color w:val="auto"/>
          <w:sz w:val="24"/>
          <w:szCs w:val="24"/>
          <w:highlight w:val="none"/>
        </w:rPr>
        <w:t>的一切运输事项，相关费用应</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w:t>
      </w:r>
    </w:p>
    <w:p w14:paraId="62ADE495">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.3货物保险要求按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规定执行</w:t>
      </w:r>
      <w:r>
        <w:rPr>
          <w:rFonts w:hint="eastAsia" w:ascii="仿宋" w:hAnsi="仿宋" w:eastAsia="仿宋" w:cs="仿宋"/>
          <w:color w:val="auto"/>
          <w:sz w:val="24"/>
          <w:szCs w:val="24"/>
          <w:highlight w:val="none"/>
        </w:rPr>
        <w:t>。</w:t>
      </w:r>
    </w:p>
    <w:p w14:paraId="28277B9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除采购活动</w:t>
      </w:r>
      <w:r>
        <w:rPr>
          <w:rFonts w:hint="eastAsia" w:ascii="仿宋" w:hAnsi="仿宋" w:eastAsia="仿宋" w:cs="仿宋"/>
          <w:color w:val="auto"/>
          <w:sz w:val="24"/>
          <w:szCs w:val="24"/>
          <w:highlight w:val="none"/>
        </w:rPr>
        <w:t>对商品包装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w:t>
      </w:r>
      <w:r>
        <w:rPr>
          <w:rFonts w:hint="eastAsia" w:ascii="仿宋" w:hAnsi="仿宋" w:eastAsia="仿宋" w:cs="仿宋"/>
          <w:color w:val="auto"/>
          <w:sz w:val="24"/>
          <w:szCs w:val="24"/>
          <w:highlight w:val="none"/>
          <w:lang w:val="en-US" w:eastAsia="zh-CN"/>
        </w:rPr>
        <w:t>达成具体约定外</w:t>
      </w:r>
      <w:r>
        <w:rPr>
          <w:rFonts w:hint="eastAsia" w:ascii="仿宋" w:hAnsi="仿宋" w:eastAsia="仿宋" w:cs="仿宋"/>
          <w:color w:val="auto"/>
          <w:sz w:val="24"/>
          <w:szCs w:val="24"/>
          <w:highlight w:val="none"/>
        </w:rPr>
        <w:t>，乙方提供产品及相关快递服务</w:t>
      </w:r>
      <w:r>
        <w:rPr>
          <w:rFonts w:hint="eastAsia" w:ascii="仿宋" w:hAnsi="仿宋" w:eastAsia="仿宋" w:cs="仿宋"/>
          <w:color w:val="auto"/>
          <w:sz w:val="24"/>
          <w:szCs w:val="24"/>
          <w:highlight w:val="none"/>
          <w:lang w:val="en-US" w:eastAsia="zh-CN"/>
        </w:rPr>
        <w:t>涉及到</w:t>
      </w:r>
      <w:r>
        <w:rPr>
          <w:rFonts w:hint="eastAsia" w:ascii="仿宋" w:hAnsi="仿宋" w:eastAsia="仿宋" w:cs="仿宋"/>
          <w:color w:val="auto"/>
          <w:sz w:val="24"/>
          <w:szCs w:val="24"/>
          <w:highlight w:val="none"/>
        </w:rPr>
        <w:t>具体包装要求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不低于</w:t>
      </w:r>
      <w:r>
        <w:rPr>
          <w:rFonts w:hint="eastAsia" w:ascii="仿宋" w:hAnsi="仿宋" w:eastAsia="仿宋" w:cs="仿宋"/>
          <w:color w:val="auto"/>
          <w:sz w:val="24"/>
          <w:szCs w:val="24"/>
          <w:highlight w:val="none"/>
        </w:rPr>
        <w:t>《商品包装政府采购需求标准（试行）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rPr>
        <w:t>，并作为履约验收的内容，必要时甲方可以要求乙方在履约验收环节出具检测报告。</w:t>
      </w:r>
    </w:p>
    <w:p w14:paraId="3F02047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rPr>
        <w:t>乙方在运输到达之前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提前通知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，并提示货物运输装卸的注意事项</w:t>
      </w:r>
      <w:r>
        <w:rPr>
          <w:rFonts w:hint="eastAsia" w:ascii="仿宋" w:hAnsi="仿宋" w:eastAsia="仿宋" w:cs="仿宋"/>
          <w:color w:val="auto"/>
          <w:sz w:val="24"/>
          <w:szCs w:val="24"/>
          <w:highlight w:val="none"/>
          <w:lang w:eastAsia="zh-CN"/>
        </w:rPr>
        <w:t>，甲方配合乙方做好货物的接收工作。</w:t>
      </w:r>
    </w:p>
    <w:p w14:paraId="512FB701">
      <w:pPr>
        <w:pStyle w:val="46"/>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7.6</w:t>
      </w:r>
      <w:r>
        <w:rPr>
          <w:rFonts w:hint="eastAsia" w:ascii="仿宋" w:hAnsi="仿宋" w:eastAsia="仿宋" w:cs="仿宋"/>
          <w:color w:val="auto"/>
          <w:kern w:val="2"/>
          <w:sz w:val="24"/>
          <w:szCs w:val="24"/>
          <w:highlight w:val="none"/>
        </w:rPr>
        <w:t>如因包装</w:t>
      </w:r>
      <w:r>
        <w:rPr>
          <w:rFonts w:hint="eastAsia" w:ascii="仿宋" w:hAnsi="仿宋" w:eastAsia="仿宋" w:cs="仿宋"/>
          <w:color w:val="auto"/>
          <w:kern w:val="2"/>
          <w:sz w:val="24"/>
          <w:szCs w:val="24"/>
          <w:highlight w:val="none"/>
          <w:lang w:eastAsia="zh-CN"/>
        </w:rPr>
        <w:t>、运输</w:t>
      </w:r>
      <w:r>
        <w:rPr>
          <w:rFonts w:hint="eastAsia" w:ascii="仿宋" w:hAnsi="仿宋" w:eastAsia="仿宋" w:cs="仿宋"/>
          <w:color w:val="auto"/>
          <w:kern w:val="2"/>
          <w:sz w:val="24"/>
          <w:szCs w:val="24"/>
          <w:highlight w:val="none"/>
        </w:rPr>
        <w:t>问题导致货物</w:t>
      </w:r>
      <w:r>
        <w:rPr>
          <w:rFonts w:hint="eastAsia" w:ascii="仿宋" w:hAnsi="仿宋" w:eastAsia="仿宋" w:cs="仿宋"/>
          <w:color w:val="auto"/>
          <w:kern w:val="2"/>
          <w:sz w:val="24"/>
          <w:szCs w:val="24"/>
          <w:highlight w:val="none"/>
          <w:lang w:eastAsia="zh-CN"/>
        </w:rPr>
        <w:t>损毁、丢失</w:t>
      </w:r>
      <w:r>
        <w:rPr>
          <w:rFonts w:hint="eastAsia" w:ascii="仿宋" w:hAnsi="仿宋" w:eastAsia="仿宋" w:cs="仿宋"/>
          <w:color w:val="auto"/>
          <w:kern w:val="2"/>
          <w:sz w:val="24"/>
          <w:szCs w:val="24"/>
          <w:highlight w:val="none"/>
        </w:rPr>
        <w:t>或者品质下降，</w:t>
      </w:r>
      <w:r>
        <w:rPr>
          <w:rFonts w:hint="eastAsia" w:ascii="仿宋" w:hAnsi="仿宋" w:eastAsia="仿宋" w:cs="仿宋"/>
          <w:color w:val="auto"/>
          <w:kern w:val="2"/>
          <w:sz w:val="24"/>
          <w:szCs w:val="24"/>
          <w:highlight w:val="none"/>
          <w:lang w:eastAsia="zh-CN"/>
        </w:rPr>
        <w:t>甲方</w:t>
      </w:r>
      <w:r>
        <w:rPr>
          <w:rFonts w:hint="eastAsia" w:ascii="仿宋" w:hAnsi="仿宋" w:eastAsia="仿宋" w:cs="仿宋"/>
          <w:color w:val="auto"/>
          <w:kern w:val="2"/>
          <w:sz w:val="24"/>
          <w:szCs w:val="24"/>
          <w:highlight w:val="none"/>
        </w:rPr>
        <w:t>有权要求降价、换货、拒收部分或整批货物，由此</w:t>
      </w:r>
      <w:r>
        <w:rPr>
          <w:rFonts w:hint="eastAsia" w:ascii="仿宋" w:hAnsi="仿宋" w:eastAsia="仿宋" w:cs="仿宋"/>
          <w:color w:val="auto"/>
          <w:kern w:val="2"/>
          <w:sz w:val="24"/>
          <w:szCs w:val="24"/>
          <w:highlight w:val="none"/>
          <w:lang w:eastAsia="zh-CN"/>
        </w:rPr>
        <w:t>产生</w:t>
      </w:r>
      <w:r>
        <w:rPr>
          <w:rFonts w:hint="eastAsia" w:ascii="仿宋" w:hAnsi="仿宋" w:eastAsia="仿宋" w:cs="仿宋"/>
          <w:color w:val="auto"/>
          <w:kern w:val="2"/>
          <w:sz w:val="24"/>
          <w:szCs w:val="24"/>
          <w:highlight w:val="none"/>
        </w:rPr>
        <w:t>的费用和损失，均由</w:t>
      </w:r>
      <w:r>
        <w:rPr>
          <w:rFonts w:hint="eastAsia" w:ascii="仿宋" w:hAnsi="仿宋" w:eastAsia="仿宋" w:cs="仿宋"/>
          <w:color w:val="auto"/>
          <w:kern w:val="2"/>
          <w:sz w:val="24"/>
          <w:szCs w:val="24"/>
          <w:highlight w:val="none"/>
          <w:lang w:eastAsia="zh-CN"/>
        </w:rPr>
        <w:t>乙方</w:t>
      </w:r>
      <w:r>
        <w:rPr>
          <w:rFonts w:hint="eastAsia" w:ascii="仿宋" w:hAnsi="仿宋" w:eastAsia="仿宋" w:cs="仿宋"/>
          <w:color w:val="auto"/>
          <w:kern w:val="2"/>
          <w:sz w:val="24"/>
          <w:szCs w:val="24"/>
          <w:highlight w:val="none"/>
        </w:rPr>
        <w:t>承担。</w:t>
      </w:r>
    </w:p>
    <w:p w14:paraId="2BD3607E">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8</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质量标准和保证</w:t>
      </w:r>
    </w:p>
    <w:p w14:paraId="0C99C2BE">
      <w:pPr>
        <w:pStyle w:val="18"/>
        <w:adjustRightInd w:val="0"/>
        <w:snapToGrid w:val="0"/>
        <w:spacing w:before="0"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.1质量标准</w:t>
      </w:r>
    </w:p>
    <w:p w14:paraId="775FA97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合同约</w:t>
      </w:r>
      <w:r>
        <w:rPr>
          <w:rFonts w:hint="eastAsia" w:ascii="仿宋" w:hAnsi="仿宋" w:eastAsia="仿宋" w:cs="仿宋"/>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14:paraId="7C9A6EC0">
      <w:pPr>
        <w:pStyle w:val="18"/>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7463609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14:paraId="7D2A66F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14:paraId="4FEE4D9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.2保证</w:t>
      </w:r>
    </w:p>
    <w:p w14:paraId="1D0E30B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 w:val="24"/>
          <w:szCs w:val="24"/>
          <w:highlight w:val="none"/>
          <w:lang w:eastAsia="zh-CN"/>
        </w:rPr>
        <w:t>备合同约定</w:t>
      </w:r>
      <w:r>
        <w:rPr>
          <w:rFonts w:hint="eastAsia" w:ascii="仿宋" w:hAnsi="仿宋" w:eastAsia="仿宋" w:cs="仿宋"/>
          <w:color w:val="auto"/>
          <w:sz w:val="24"/>
          <w:szCs w:val="24"/>
          <w:highlight w:val="none"/>
        </w:rPr>
        <w:t>的性能。</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14:paraId="4AFFF36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2A24CD7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4AD7B97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auto"/>
          <w:sz w:val="24"/>
          <w:szCs w:val="24"/>
          <w:highlight w:val="none"/>
          <w:lang w:eastAsia="zh-CN"/>
        </w:rPr>
        <w:t>追究</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的违约责任</w:t>
      </w:r>
      <w:r>
        <w:rPr>
          <w:rFonts w:hint="eastAsia" w:ascii="仿宋" w:hAnsi="仿宋" w:eastAsia="仿宋" w:cs="仿宋"/>
          <w:color w:val="auto"/>
          <w:sz w:val="24"/>
          <w:szCs w:val="24"/>
          <w:highlight w:val="none"/>
        </w:rPr>
        <w:t>。</w:t>
      </w:r>
    </w:p>
    <w:p w14:paraId="0F2F672F">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14:paraId="69B1C841">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9</w:t>
      </w:r>
      <w:r>
        <w:rPr>
          <w:rFonts w:hint="eastAsia" w:ascii="仿宋" w:hAnsi="仿宋" w:eastAsia="仿宋" w:cs="仿宋"/>
          <w:b/>
          <w:bCs/>
          <w:color w:val="auto"/>
          <w:sz w:val="24"/>
          <w:szCs w:val="24"/>
          <w:highlight w:val="none"/>
        </w:rPr>
        <w:t>.权利瑕疵担保</w:t>
      </w:r>
    </w:p>
    <w:p w14:paraId="3F62DF7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.1乙方保证对其出售的货物享有合法的权利。</w:t>
      </w:r>
    </w:p>
    <w:p w14:paraId="27A75A8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.2乙方保证在交付的货物上不存在抵押权等担保物权。</w:t>
      </w:r>
    </w:p>
    <w:p w14:paraId="2BBDB32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.3如甲方使用</w:t>
      </w:r>
      <w:r>
        <w:rPr>
          <w:rFonts w:hint="eastAsia" w:ascii="仿宋" w:hAnsi="仿宋" w:eastAsia="仿宋" w:cs="仿宋"/>
          <w:color w:val="auto"/>
          <w:sz w:val="24"/>
          <w:szCs w:val="24"/>
          <w:highlight w:val="none"/>
          <w:lang w:val="en-US" w:eastAsia="zh-CN"/>
        </w:rPr>
        <w:t>上述</w:t>
      </w:r>
      <w:r>
        <w:rPr>
          <w:rFonts w:hint="eastAsia" w:ascii="仿宋" w:hAnsi="仿宋" w:eastAsia="仿宋" w:cs="仿宋"/>
          <w:color w:val="auto"/>
          <w:sz w:val="24"/>
          <w:szCs w:val="24"/>
          <w:highlight w:val="none"/>
        </w:rPr>
        <w:t>货物构成</w:t>
      </w:r>
      <w:r>
        <w:rPr>
          <w:rFonts w:hint="eastAsia" w:ascii="仿宋" w:hAnsi="仿宋" w:eastAsia="仿宋" w:cs="仿宋"/>
          <w:color w:val="auto"/>
          <w:sz w:val="24"/>
          <w:szCs w:val="24"/>
          <w:highlight w:val="none"/>
          <w:lang w:val="en-US" w:eastAsia="zh-CN"/>
        </w:rPr>
        <w:t>对第三人</w:t>
      </w:r>
      <w:r>
        <w:rPr>
          <w:rFonts w:hint="eastAsia" w:ascii="仿宋" w:hAnsi="仿宋" w:eastAsia="仿宋" w:cs="仿宋"/>
          <w:color w:val="auto"/>
          <w:sz w:val="24"/>
          <w:szCs w:val="24"/>
          <w:highlight w:val="none"/>
        </w:rPr>
        <w:t>侵权的，则由乙方承担全部责任。</w:t>
      </w:r>
    </w:p>
    <w:p w14:paraId="5E6DE6ED">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0</w:t>
      </w:r>
      <w:r>
        <w:rPr>
          <w:rFonts w:hint="eastAsia" w:ascii="仿宋" w:hAnsi="仿宋" w:eastAsia="仿宋" w:cs="仿宋"/>
          <w:b/>
          <w:bCs/>
          <w:color w:val="auto"/>
          <w:sz w:val="24"/>
          <w:szCs w:val="24"/>
          <w:highlight w:val="none"/>
        </w:rPr>
        <w:t>.知识产权保护</w:t>
      </w:r>
    </w:p>
    <w:p w14:paraId="7558287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.1乙方对其所销售的货物应当享有知识产权或经权利人合法授权，保证没有侵犯任何第三人的知识产权等权利。</w:t>
      </w:r>
      <w:bookmarkStart w:id="106" w:name="_Hlk163047038"/>
      <w:r>
        <w:rPr>
          <w:rFonts w:hint="eastAsia" w:ascii="仿宋" w:hAnsi="仿宋" w:eastAsia="仿宋" w:cs="仿宋"/>
          <w:color w:val="auto"/>
          <w:sz w:val="24"/>
          <w:szCs w:val="24"/>
          <w:highlight w:val="none"/>
        </w:rPr>
        <w:t>因违反前述约定对第三人构成侵权的，应当由乙方向第三人承担法律责任；甲方依法向第三人赔偿后，有权向乙方追偿。甲方有其他损失的，乙方应当赔偿</w:t>
      </w:r>
      <w:bookmarkEnd w:id="106"/>
      <w:r>
        <w:rPr>
          <w:rFonts w:hint="eastAsia" w:ascii="仿宋" w:hAnsi="仿宋" w:eastAsia="仿宋" w:cs="仿宋"/>
          <w:color w:val="auto"/>
          <w:sz w:val="24"/>
          <w:szCs w:val="24"/>
          <w:highlight w:val="none"/>
        </w:rPr>
        <w:t>。</w:t>
      </w:r>
    </w:p>
    <w:p w14:paraId="42B8664A">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14:paraId="5EDE4D6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甲、乙双方</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rPr>
        <w:t>采购和合同履行过程中所获悉的</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商业秘密或者其他应当保密的信息，均有保密义务</w:t>
      </w:r>
      <w:r>
        <w:rPr>
          <w:rFonts w:hint="eastAsia" w:ascii="仿宋" w:hAnsi="仿宋" w:eastAsia="仿宋" w:cs="仿宋"/>
          <w:color w:val="auto"/>
          <w:sz w:val="24"/>
          <w:szCs w:val="24"/>
          <w:highlight w:val="none"/>
          <w:lang w:eastAsia="zh-CN"/>
        </w:rPr>
        <w:t>且不受合同有效期所限，直至该信息成为公开信息</w:t>
      </w:r>
      <w:r>
        <w:rPr>
          <w:rFonts w:hint="eastAsia" w:ascii="仿宋" w:hAnsi="仿宋" w:eastAsia="仿宋" w:cs="仿宋"/>
          <w:color w:val="auto"/>
          <w:sz w:val="24"/>
          <w:szCs w:val="24"/>
          <w:highlight w:val="none"/>
        </w:rPr>
        <w:t>。泄露、不正当地使用</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w:t>
      </w:r>
      <w:r>
        <w:rPr>
          <w:rFonts w:hint="eastAsia" w:ascii="仿宋" w:hAnsi="仿宋" w:eastAsia="仿宋" w:cs="仿宋"/>
          <w:color w:val="auto"/>
          <w:sz w:val="24"/>
          <w:szCs w:val="24"/>
          <w:highlight w:val="none"/>
          <w:lang w:eastAsia="zh-CN"/>
        </w:rPr>
        <w:t>其他应当保密的</w:t>
      </w:r>
      <w:r>
        <w:rPr>
          <w:rFonts w:hint="eastAsia" w:ascii="仿宋" w:hAnsi="仿宋" w:eastAsia="仿宋" w:cs="仿宋"/>
          <w:color w:val="auto"/>
          <w:sz w:val="24"/>
          <w:szCs w:val="24"/>
          <w:highlight w:val="none"/>
        </w:rPr>
        <w:t>信息，应当承担</w:t>
      </w:r>
      <w:r>
        <w:rPr>
          <w:rFonts w:hint="eastAsia" w:ascii="仿宋" w:hAnsi="仿宋" w:eastAsia="仿宋" w:cs="仿宋"/>
          <w:color w:val="auto"/>
          <w:sz w:val="24"/>
          <w:szCs w:val="24"/>
          <w:highlight w:val="none"/>
          <w:lang w:eastAsia="zh-CN"/>
        </w:rPr>
        <w:t>相应</w:t>
      </w:r>
      <w:r>
        <w:rPr>
          <w:rFonts w:hint="eastAsia" w:ascii="仿宋" w:hAnsi="仿宋" w:eastAsia="仿宋" w:cs="仿宋"/>
          <w:color w:val="auto"/>
          <w:sz w:val="24"/>
          <w:szCs w:val="24"/>
          <w:highlight w:val="none"/>
        </w:rPr>
        <w:t>责任。其他应当保密的信息由双方在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2C19A78F">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.合同价款支付</w:t>
      </w:r>
    </w:p>
    <w:p w14:paraId="2647D06D">
      <w:pPr>
        <w:autoSpaceDE/>
        <w:autoSpaceDN/>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14:paraId="4E80CF57">
      <w:pPr>
        <w:bidi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12.2对于满足合同约定支付条件的，甲方原则上应当自收到发票后10个工作日内将资金支付到合同约定的乙方账户，不得以机构变动、人员更替、政策调整等为由迟延付款，不得将采购文件和合同中未规定的</w:t>
      </w:r>
      <w:r>
        <w:rPr>
          <w:rFonts w:hint="eastAsia" w:ascii="仿宋" w:hAnsi="仿宋" w:eastAsia="仿宋" w:cs="仿宋"/>
          <w:color w:val="auto"/>
          <w:sz w:val="24"/>
          <w:szCs w:val="24"/>
          <w:highlight w:val="none"/>
        </w:rPr>
        <w:t>义务作为向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付款的条件。具体合同价款支付时间在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eastAsia="zh-CN"/>
        </w:rPr>
        <w:t>约</w:t>
      </w:r>
      <w:r>
        <w:rPr>
          <w:rFonts w:hint="eastAsia" w:ascii="仿宋" w:hAnsi="仿宋" w:eastAsia="仿宋" w:cs="仿宋"/>
          <w:color w:val="auto"/>
          <w:sz w:val="24"/>
          <w:szCs w:val="24"/>
          <w:highlight w:val="none"/>
        </w:rPr>
        <w:t>定</w:t>
      </w:r>
      <w:r>
        <w:rPr>
          <w:rFonts w:hint="eastAsia" w:ascii="仿宋" w:hAnsi="仿宋" w:eastAsia="仿宋" w:cs="仿宋"/>
          <w:b w:val="0"/>
          <w:bCs w:val="0"/>
          <w:color w:val="auto"/>
          <w:kern w:val="2"/>
          <w:sz w:val="24"/>
          <w:szCs w:val="24"/>
          <w:highlight w:val="none"/>
        </w:rPr>
        <w:t>。</w:t>
      </w:r>
    </w:p>
    <w:p w14:paraId="0F7A1818">
      <w:pPr>
        <w:pStyle w:val="15"/>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.履约保证金</w:t>
      </w:r>
    </w:p>
    <w:p w14:paraId="09D0DA37">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.1乙方应当以支票、汇票、本票或者金融机构、担保机构出具的保函等非现金形式提交。</w:t>
      </w:r>
    </w:p>
    <w:p w14:paraId="1C6B65B9">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14:paraId="0E1707DF">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249E1CEF">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14:paraId="033785F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.1除项目不涉及或采购活动中明确约定无须承担外，乙方还应提供下列服务：</w:t>
      </w:r>
    </w:p>
    <w:p w14:paraId="234CF8D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6F16D21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606AF79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14:paraId="6A11E23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color w:val="auto"/>
          <w:sz w:val="24"/>
          <w:szCs w:val="24"/>
          <w:highlight w:val="none"/>
          <w:lang w:eastAsia="zh-CN"/>
        </w:rPr>
        <w:t>；</w:t>
      </w:r>
    </w:p>
    <w:p w14:paraId="5DB16896">
      <w:pPr>
        <w:pStyle w:val="4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125A9FE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0449905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14:paraId="372F60E1">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.违约责任</w:t>
      </w:r>
    </w:p>
    <w:p w14:paraId="2C1AF057">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14:paraId="17CEB1E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14:paraId="1F8FCDD3">
      <w:pPr>
        <w:autoSpaceDE w:val="0"/>
        <w:autoSpaceDN w:val="0"/>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.2迟延交货的违约责任</w:t>
      </w:r>
    </w:p>
    <w:p w14:paraId="6311101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14:paraId="2A78E90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14:paraId="358716F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.3迟延支付的违约责任</w:t>
      </w:r>
    </w:p>
    <w:p w14:paraId="21E0CD3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3D1754CC">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614902E9">
      <w:pPr>
        <w:numPr>
          <w:ilvl w:val="0"/>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14:paraId="7E326B80">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14:paraId="2AA44FF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14:paraId="7B0BFE1B">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14:paraId="69E6721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14:paraId="1A49204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14:paraId="175BF559">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w:t>
      </w:r>
      <w:r>
        <w:rPr>
          <w:rFonts w:hint="eastAsia" w:ascii="仿宋" w:hAnsi="仿宋" w:eastAsia="仿宋" w:cs="仿宋"/>
          <w:color w:val="auto"/>
          <w:sz w:val="24"/>
          <w:szCs w:val="24"/>
          <w:highlight w:val="none"/>
          <w:lang w:eastAsia="zh-CN"/>
        </w:rPr>
        <w:t>及时告知</w:t>
      </w:r>
      <w:r>
        <w:rPr>
          <w:rFonts w:hint="eastAsia" w:ascii="仿宋" w:hAnsi="仿宋" w:eastAsia="仿宋" w:cs="仿宋"/>
          <w:color w:val="auto"/>
          <w:sz w:val="24"/>
          <w:szCs w:val="24"/>
          <w:highlight w:val="none"/>
        </w:rPr>
        <w:t>甲方，致使</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履行发生困难的，甲方可以中止合同履行并要求乙方承担由此给甲方造成的损失。</w:t>
      </w:r>
    </w:p>
    <w:p w14:paraId="3910CEC8">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14:paraId="5FE3813A">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14:paraId="0A654EF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3DFADA02">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并追究乙方的违约责</w:t>
      </w:r>
      <w:r>
        <w:rPr>
          <w:rFonts w:hint="eastAsia" w:ascii="仿宋" w:hAnsi="仿宋" w:eastAsia="仿宋" w:cs="仿宋"/>
          <w:color w:val="auto"/>
          <w:sz w:val="24"/>
          <w:szCs w:val="24"/>
          <w:highlight w:val="none"/>
          <w:lang w:val="en-US" w:eastAsia="zh-CN"/>
        </w:rPr>
        <w:t>任</w:t>
      </w:r>
      <w:r>
        <w:rPr>
          <w:rFonts w:hint="eastAsia" w:ascii="仿宋" w:hAnsi="仿宋" w:eastAsia="仿宋" w:cs="仿宋"/>
          <w:color w:val="auto"/>
          <w:sz w:val="24"/>
          <w:szCs w:val="24"/>
          <w:highlight w:val="none"/>
        </w:rPr>
        <w:t>。</w:t>
      </w:r>
    </w:p>
    <w:p w14:paraId="0498BFD4">
      <w:pPr>
        <w:pStyle w:val="4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16.4</w:t>
      </w:r>
      <w:r>
        <w:rPr>
          <w:rFonts w:hint="eastAsia" w:ascii="仿宋" w:hAnsi="仿宋" w:eastAsia="仿宋" w:cs="仿宋"/>
          <w:color w:val="auto"/>
          <w:kern w:val="2"/>
          <w:sz w:val="24"/>
          <w:szCs w:val="24"/>
          <w:highlight w:val="none"/>
          <w:lang w:val="en-US" w:eastAsia="zh-CN"/>
        </w:rPr>
        <w:t>涉及国家利益、社会公共利益的情形</w:t>
      </w:r>
    </w:p>
    <w:p w14:paraId="26DF9E65">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w:t>
      </w:r>
      <w:r>
        <w:rPr>
          <w:rFonts w:hint="eastAsia" w:ascii="仿宋" w:hAnsi="仿宋" w:eastAsia="仿宋" w:cs="仿宋"/>
          <w:color w:val="auto"/>
          <w:sz w:val="24"/>
          <w:szCs w:val="24"/>
          <w:highlight w:val="none"/>
          <w:lang w:val="en-US" w:eastAsia="zh-CN"/>
        </w:rPr>
        <w:t>应当变更、</w:t>
      </w:r>
      <w:r>
        <w:rPr>
          <w:rFonts w:hint="eastAsia" w:ascii="仿宋" w:hAnsi="仿宋" w:eastAsia="仿宋" w:cs="仿宋"/>
          <w:color w:val="auto"/>
          <w:sz w:val="24"/>
          <w:szCs w:val="24"/>
          <w:highlight w:val="none"/>
        </w:rPr>
        <w:t>中止</w:t>
      </w:r>
      <w:r>
        <w:rPr>
          <w:rFonts w:hint="eastAsia" w:ascii="仿宋" w:hAnsi="仿宋" w:eastAsia="仿宋" w:cs="仿宋"/>
          <w:color w:val="auto"/>
          <w:sz w:val="24"/>
          <w:szCs w:val="24"/>
          <w:highlight w:val="none"/>
          <w:lang w:eastAsia="zh-CN"/>
        </w:rPr>
        <w:t>或者终止</w:t>
      </w:r>
      <w:r>
        <w:rPr>
          <w:rFonts w:hint="eastAsia" w:ascii="仿宋" w:hAnsi="仿宋" w:eastAsia="仿宋" w:cs="仿宋"/>
          <w:color w:val="auto"/>
          <w:sz w:val="24"/>
          <w:szCs w:val="24"/>
          <w:highlight w:val="none"/>
        </w:rPr>
        <w:t>合同。有过错的一方应当承担赔偿责任，双方都有过错的，各自承担相应的责任。</w:t>
      </w:r>
    </w:p>
    <w:p w14:paraId="4ECA9503">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.合同分包</w:t>
      </w:r>
    </w:p>
    <w:p w14:paraId="2E9FB25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14:paraId="632565A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14:paraId="66C73F6D">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.不可抗力</w:t>
      </w:r>
    </w:p>
    <w:p w14:paraId="2993E07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.1不可抗力是指合同双方不能预见、不能避免且不能克服的客观情况。</w:t>
      </w:r>
    </w:p>
    <w:p w14:paraId="5C96228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.2任何一方对由于不可抗力造成的部分或全部不能履行合同不承担违约责任。但迟延履行后发生不可抗力的，不能免除责任。</w:t>
      </w:r>
    </w:p>
    <w:p w14:paraId="2F75646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14:paraId="39853D53">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.解决争议的方法</w:t>
      </w:r>
    </w:p>
    <w:p w14:paraId="1602496E">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.1因本合同及合同有关事项发生的争议，由</w:t>
      </w:r>
      <w:r>
        <w:rPr>
          <w:rFonts w:hint="eastAsia" w:ascii="仿宋" w:hAnsi="仿宋" w:eastAsia="仿宋" w:cs="仿宋"/>
          <w:color w:val="auto"/>
          <w:sz w:val="24"/>
          <w:szCs w:val="24"/>
          <w:highlight w:val="none"/>
          <w:lang w:eastAsia="zh-CN"/>
        </w:rPr>
        <w:t>甲乙双</w:t>
      </w:r>
      <w:r>
        <w:rPr>
          <w:rFonts w:hint="eastAsia" w:ascii="仿宋" w:hAnsi="仿宋" w:eastAsia="仿宋" w:cs="仿宋"/>
          <w:color w:val="auto"/>
          <w:sz w:val="24"/>
          <w:szCs w:val="24"/>
          <w:highlight w:val="none"/>
        </w:rPr>
        <w:t>方友好协商解决。协商不成时，可以</w:t>
      </w:r>
      <w:r>
        <w:rPr>
          <w:rFonts w:hint="eastAsia" w:ascii="仿宋" w:hAnsi="仿宋" w:eastAsia="仿宋" w:cs="仿宋"/>
          <w:color w:val="auto"/>
          <w:sz w:val="24"/>
          <w:szCs w:val="24"/>
          <w:highlight w:val="none"/>
          <w:lang w:eastAsia="zh-CN"/>
        </w:rPr>
        <w:t>向有关组织申请</w:t>
      </w:r>
      <w:r>
        <w:rPr>
          <w:rFonts w:hint="eastAsia" w:ascii="仿宋" w:hAnsi="仿宋" w:eastAsia="仿宋" w:cs="仿宋"/>
          <w:color w:val="auto"/>
          <w:sz w:val="24"/>
          <w:szCs w:val="24"/>
          <w:highlight w:val="none"/>
        </w:rPr>
        <w:t>调解。合同一方或</w:t>
      </w:r>
      <w:r>
        <w:rPr>
          <w:rFonts w:hint="eastAsia" w:ascii="仿宋" w:hAnsi="仿宋" w:eastAsia="仿宋" w:cs="仿宋"/>
          <w:color w:val="auto"/>
          <w:sz w:val="24"/>
          <w:szCs w:val="24"/>
          <w:highlight w:val="none"/>
          <w:lang w:eastAsia="zh-CN"/>
        </w:rPr>
        <w:t>双</w:t>
      </w:r>
      <w:r>
        <w:rPr>
          <w:rFonts w:hint="eastAsia" w:ascii="仿宋" w:hAnsi="仿宋" w:eastAsia="仿宋" w:cs="仿宋"/>
          <w:color w:val="auto"/>
          <w:sz w:val="24"/>
          <w:szCs w:val="24"/>
          <w:highlight w:val="none"/>
        </w:rPr>
        <w:t>方不愿调解或调解不成的，可以通过仲裁或诉讼的方式解决争议。</w:t>
      </w:r>
    </w:p>
    <w:p w14:paraId="05BFFFF2">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28BD3774">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.3如</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rPr>
        <w:t>有争议的事项不影响合同其他部分的履行，在争议解决期间，合同其他部分应</w:t>
      </w:r>
      <w:r>
        <w:rPr>
          <w:rFonts w:hint="eastAsia" w:ascii="仿宋" w:hAnsi="仿宋" w:eastAsia="仿宋" w:cs="仿宋"/>
          <w:color w:val="auto"/>
          <w:sz w:val="24"/>
          <w:szCs w:val="24"/>
          <w:highlight w:val="none"/>
          <w:lang w:eastAsia="zh-CN"/>
        </w:rPr>
        <w:t>当</w:t>
      </w:r>
      <w:r>
        <w:rPr>
          <w:rFonts w:hint="eastAsia" w:ascii="仿宋" w:hAnsi="仿宋" w:eastAsia="仿宋" w:cs="仿宋"/>
          <w:color w:val="auto"/>
          <w:sz w:val="24"/>
          <w:szCs w:val="24"/>
          <w:highlight w:val="none"/>
        </w:rPr>
        <w:t>继续履行。</w:t>
      </w:r>
    </w:p>
    <w:p w14:paraId="4BA244C8">
      <w:pPr>
        <w:autoSpaceDE w:val="0"/>
        <w:autoSpaceDN w:val="0"/>
        <w:adjustRightInd w:val="0"/>
        <w:snapToGrid w:val="0"/>
        <w:spacing w:before="0" w:line="40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.政府采购政策</w:t>
      </w:r>
    </w:p>
    <w:p w14:paraId="27A3F4B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20.1</w:t>
      </w:r>
      <w:r>
        <w:rPr>
          <w:rFonts w:hint="eastAsia" w:ascii="仿宋" w:hAnsi="仿宋" w:eastAsia="仿宋" w:cs="仿宋"/>
          <w:color w:val="auto"/>
          <w:sz w:val="24"/>
          <w:szCs w:val="24"/>
          <w:highlight w:val="none"/>
          <w:lang w:val="en-GB"/>
        </w:rPr>
        <w:t>本合同应当按照规定执行政府采购政策。</w:t>
      </w:r>
    </w:p>
    <w:p w14:paraId="674811E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本合同依法执行政府采购政策的方式和内容，属于合同履约验收的范围。</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7FA9E181">
      <w:pPr>
        <w:pStyle w:val="15"/>
        <w:spacing w:after="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54ABCB6">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14:paraId="1F678E03">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.1本合同的订立、生效、解释、履行及与本合同有关的争议解决，均适用法律、行政法规。</w:t>
      </w:r>
    </w:p>
    <w:p w14:paraId="6420A18B">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.2本合同条款与法律、行政法规的强制性规定不一致的，双方当事人应按照法律、行政法规的强制性规定修改本合同的相关条款。</w:t>
      </w:r>
    </w:p>
    <w:p w14:paraId="10A006C9">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22.</w:t>
      </w:r>
      <w:r>
        <w:rPr>
          <w:rFonts w:hint="eastAsia" w:ascii="仿宋" w:hAnsi="仿宋" w:eastAsia="仿宋" w:cs="仿宋"/>
          <w:b/>
          <w:color w:val="auto"/>
          <w:sz w:val="24"/>
          <w:szCs w:val="24"/>
          <w:highlight w:val="none"/>
        </w:rPr>
        <w:t>通知</w:t>
      </w:r>
    </w:p>
    <w:p w14:paraId="43C0429F">
      <w:pPr>
        <w:pStyle w:val="46"/>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22.1本合同任何一方向对方发出的通知、信件、数据电文等，应当发送至本合同第一部分《政府采购合同协议书》所约定的通讯地址、联系人、联系电话或电子邮箱。</w:t>
      </w:r>
    </w:p>
    <w:p w14:paraId="5BFB06B5">
      <w:pPr>
        <w:pStyle w:val="46"/>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 一方当事人变更名称、住所、联系人、联系电话或电子邮箱等信息的，应当在变更后3日内及时书面通知对方，对方实际收到变更通知前的送达仍为有效送达。</w:t>
      </w:r>
    </w:p>
    <w:p w14:paraId="603CAFFE">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14:paraId="37D82A9B">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14:paraId="0A3D1E64">
      <w:pPr>
        <w:numPr>
          <w:ilvl w:val="0"/>
          <w:numId w:val="0"/>
        </w:num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23.</w:t>
      </w:r>
      <w:r>
        <w:rPr>
          <w:rFonts w:hint="eastAsia" w:ascii="仿宋" w:hAnsi="仿宋" w:eastAsia="仿宋" w:cs="仿宋"/>
          <w:b/>
          <w:bCs/>
          <w:color w:val="auto"/>
          <w:sz w:val="24"/>
          <w:szCs w:val="24"/>
          <w:highlight w:val="none"/>
        </w:rPr>
        <w:t>合同未尽事项</w:t>
      </w:r>
    </w:p>
    <w:p w14:paraId="1E579C9A">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4FE49296">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23.2合同附件与合同正文具有同等的法律效力。</w:t>
      </w:r>
      <w:bookmarkStart w:id="107" w:name="_Toc20313"/>
    </w:p>
    <w:p w14:paraId="05BE569F">
      <w:pPr>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14:paraId="55A4AEFC">
      <w:pPr>
        <w:pStyle w:val="3"/>
        <w:adjustRightInd w:val="0"/>
        <w:snapToGrid w:val="0"/>
        <w:jc w:val="center"/>
        <w:rPr>
          <w:rFonts w:hint="eastAsia" w:ascii="仿宋" w:hAnsi="仿宋" w:eastAsia="仿宋" w:cs="仿宋"/>
          <w:b w:val="0"/>
          <w:bCs w:val="0"/>
          <w:color w:val="auto"/>
          <w:sz w:val="24"/>
          <w:szCs w:val="24"/>
          <w:highlight w:val="none"/>
        </w:rPr>
      </w:pPr>
      <w:bookmarkStart w:id="108" w:name="_Toc803"/>
      <w:r>
        <w:rPr>
          <w:rFonts w:hint="eastAsia" w:ascii="仿宋" w:hAnsi="仿宋" w:eastAsia="仿宋" w:cs="仿宋"/>
          <w:b w:val="0"/>
          <w:bCs w:val="0"/>
          <w:color w:val="auto"/>
          <w:sz w:val="24"/>
          <w:szCs w:val="24"/>
          <w:highlight w:val="none"/>
        </w:rPr>
        <w:t>第三节 政府采购合同专用条款</w:t>
      </w:r>
      <w:bookmarkEnd w:id="107"/>
      <w:bookmarkEnd w:id="108"/>
    </w:p>
    <w:tbl>
      <w:tblPr>
        <w:tblStyle w:val="36"/>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5DF5B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EE9E80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E6306D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33DA21C8">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联合体具体要求</w:t>
            </w:r>
          </w:p>
        </w:tc>
        <w:tc>
          <w:tcPr>
            <w:tcW w:w="5170" w:type="dxa"/>
            <w:vAlign w:val="center"/>
          </w:tcPr>
          <w:p w14:paraId="274659E5">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不接受</w:t>
            </w:r>
          </w:p>
        </w:tc>
      </w:tr>
      <w:tr w14:paraId="2247F3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6590D3D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2322A92">
            <w:pPr>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w:t>
            </w:r>
          </w:p>
        </w:tc>
        <w:tc>
          <w:tcPr>
            <w:tcW w:w="1742" w:type="dxa"/>
            <w:vAlign w:val="center"/>
          </w:tcPr>
          <w:p w14:paraId="500A893E">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其他术语解释</w:t>
            </w:r>
          </w:p>
        </w:tc>
        <w:tc>
          <w:tcPr>
            <w:tcW w:w="5170" w:type="dxa"/>
            <w:vAlign w:val="center"/>
          </w:tcPr>
          <w:p w14:paraId="572255C6">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中文</w:t>
            </w:r>
          </w:p>
        </w:tc>
      </w:tr>
      <w:tr w14:paraId="712AE1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01663F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D0230F3">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4.4款</w:t>
            </w:r>
          </w:p>
        </w:tc>
        <w:tc>
          <w:tcPr>
            <w:tcW w:w="1742" w:type="dxa"/>
            <w:vAlign w:val="center"/>
          </w:tcPr>
          <w:p w14:paraId="32228887">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履约验收中甲方提出异议或作出说明的期限</w:t>
            </w:r>
          </w:p>
        </w:tc>
        <w:tc>
          <w:tcPr>
            <w:tcW w:w="5170" w:type="dxa"/>
            <w:vAlign w:val="center"/>
          </w:tcPr>
          <w:p w14:paraId="45C4137A">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验收后‌5个工作日内‌提出书面异议。</w:t>
            </w:r>
          </w:p>
        </w:tc>
      </w:tr>
      <w:tr w14:paraId="06AFE2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5CAFA0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43BF00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4.6款</w:t>
            </w:r>
          </w:p>
        </w:tc>
        <w:tc>
          <w:tcPr>
            <w:tcW w:w="1742" w:type="dxa"/>
            <w:vAlign w:val="center"/>
          </w:tcPr>
          <w:p w14:paraId="46521634">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约定甲方承担的其他义务和责任</w:t>
            </w:r>
          </w:p>
        </w:tc>
        <w:tc>
          <w:tcPr>
            <w:tcW w:w="5170" w:type="dxa"/>
            <w:vAlign w:val="center"/>
          </w:tcPr>
          <w:p w14:paraId="45E08AD4">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7BB83D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33E6CC9">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78F1E68A">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5.4款</w:t>
            </w:r>
          </w:p>
        </w:tc>
        <w:tc>
          <w:tcPr>
            <w:tcW w:w="1742" w:type="dxa"/>
            <w:vAlign w:val="center"/>
          </w:tcPr>
          <w:p w14:paraId="678179D9">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约定乙方承担的其他义务和责任</w:t>
            </w:r>
          </w:p>
        </w:tc>
        <w:tc>
          <w:tcPr>
            <w:tcW w:w="5170" w:type="dxa"/>
            <w:vAlign w:val="center"/>
          </w:tcPr>
          <w:p w14:paraId="2E3DADF1">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1、即使货物/服务已通过验收，乙方仍需在合同约定的保修期内承担质量修复义务。若因施工或材料问题导致损坏，需无偿修复或赔偿。</w:t>
            </w:r>
          </w:p>
          <w:p w14:paraId="460C197F">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2、未经甲方书面同意，不得将合同义务转包或分包给第三方。</w:t>
            </w:r>
          </w:p>
        </w:tc>
      </w:tr>
      <w:tr w14:paraId="05A006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3D7E5D1">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285B6639">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6.1款</w:t>
            </w:r>
          </w:p>
        </w:tc>
        <w:tc>
          <w:tcPr>
            <w:tcW w:w="1742" w:type="dxa"/>
            <w:vAlign w:val="center"/>
          </w:tcPr>
          <w:p w14:paraId="4839D0F4">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履行合同义务的顺序</w:t>
            </w:r>
          </w:p>
        </w:tc>
        <w:tc>
          <w:tcPr>
            <w:tcW w:w="5170" w:type="dxa"/>
            <w:vAlign w:val="center"/>
          </w:tcPr>
          <w:p w14:paraId="1360D6FB">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46E27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75E45FC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A29DE0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款</w:t>
            </w:r>
          </w:p>
        </w:tc>
        <w:tc>
          <w:tcPr>
            <w:tcW w:w="1742" w:type="dxa"/>
            <w:vAlign w:val="center"/>
          </w:tcPr>
          <w:p w14:paraId="7BFFD166">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w:t>
            </w:r>
            <w:r>
              <w:rPr>
                <w:rFonts w:hint="eastAsia" w:ascii="仿宋" w:hAnsi="仿宋" w:eastAsia="仿宋" w:cs="仿宋"/>
                <w:color w:val="auto"/>
                <w:sz w:val="24"/>
                <w:szCs w:val="24"/>
                <w:highlight w:val="none"/>
                <w:lang w:eastAsia="zh-CN"/>
              </w:rPr>
              <w:t>特殊要求</w:t>
            </w:r>
          </w:p>
        </w:tc>
        <w:tc>
          <w:tcPr>
            <w:tcW w:w="5170" w:type="dxa"/>
            <w:vAlign w:val="center"/>
          </w:tcPr>
          <w:p w14:paraId="673B5F80">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包装应适应远距离运输、防潮、防震、防锈和防野蛮装卸等要求，确保货物安全无损地运抵约定的指定现场。</w:t>
            </w:r>
          </w:p>
        </w:tc>
      </w:tr>
      <w:tr w14:paraId="1D054E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24ABE7F7">
            <w:pPr>
              <w:adjustRightInd w:val="0"/>
              <w:snapToGrid w:val="0"/>
              <w:jc w:val="center"/>
              <w:rPr>
                <w:rFonts w:hint="eastAsia" w:ascii="仿宋" w:hAnsi="仿宋" w:eastAsia="仿宋" w:cs="仿宋"/>
                <w:color w:val="auto"/>
                <w:sz w:val="24"/>
                <w:szCs w:val="24"/>
                <w:highlight w:val="none"/>
              </w:rPr>
            </w:pPr>
          </w:p>
        </w:tc>
        <w:tc>
          <w:tcPr>
            <w:tcW w:w="1742" w:type="dxa"/>
            <w:vAlign w:val="center"/>
          </w:tcPr>
          <w:p w14:paraId="098FF6D0">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指定现场</w:t>
            </w:r>
          </w:p>
        </w:tc>
        <w:tc>
          <w:tcPr>
            <w:tcW w:w="5170" w:type="dxa"/>
            <w:vAlign w:val="center"/>
          </w:tcPr>
          <w:p w14:paraId="4EECDC4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甲方指定地点</w:t>
            </w:r>
          </w:p>
        </w:tc>
      </w:tr>
      <w:tr w14:paraId="31A326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78FF452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E63273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vAlign w:val="center"/>
          </w:tcPr>
          <w:p w14:paraId="0F00A1CA">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运输特殊要求</w:t>
            </w:r>
          </w:p>
        </w:tc>
        <w:tc>
          <w:tcPr>
            <w:tcW w:w="5170" w:type="dxa"/>
            <w:vAlign w:val="center"/>
          </w:tcPr>
          <w:p w14:paraId="180839C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乙方负责办理将货物运抵本合同规定的交货地点</w:t>
            </w:r>
            <w:r>
              <w:rPr>
                <w:rFonts w:hint="eastAsia" w:ascii="仿宋" w:hAnsi="仿宋" w:eastAsia="仿宋" w:cs="仿宋"/>
                <w:color w:val="auto"/>
                <w:sz w:val="24"/>
                <w:szCs w:val="24"/>
                <w:highlight w:val="none"/>
                <w:lang w:eastAsia="zh-CN"/>
              </w:rPr>
              <w:t>，并装卸、交付至甲方</w:t>
            </w:r>
            <w:r>
              <w:rPr>
                <w:rFonts w:hint="eastAsia" w:ascii="仿宋" w:hAnsi="仿宋" w:eastAsia="仿宋" w:cs="仿宋"/>
                <w:color w:val="auto"/>
                <w:sz w:val="24"/>
                <w:szCs w:val="24"/>
                <w:highlight w:val="none"/>
              </w:rPr>
              <w:t>的一切运输事项，相关费用应</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w:t>
            </w:r>
          </w:p>
        </w:tc>
      </w:tr>
      <w:tr w14:paraId="24DE07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5628052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4852B8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款</w:t>
            </w:r>
          </w:p>
        </w:tc>
        <w:tc>
          <w:tcPr>
            <w:tcW w:w="1742" w:type="dxa"/>
            <w:vAlign w:val="center"/>
          </w:tcPr>
          <w:p w14:paraId="244FC0BB">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保险要求</w:t>
            </w:r>
          </w:p>
        </w:tc>
        <w:tc>
          <w:tcPr>
            <w:tcW w:w="5170" w:type="dxa"/>
            <w:vAlign w:val="center"/>
          </w:tcPr>
          <w:p w14:paraId="27E4EFB2">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所有产生得费用由乙方承担</w:t>
            </w:r>
          </w:p>
        </w:tc>
      </w:tr>
      <w:tr w14:paraId="4487CF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365C77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ABEE6C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.2（1）项</w:t>
            </w:r>
          </w:p>
        </w:tc>
        <w:tc>
          <w:tcPr>
            <w:tcW w:w="1742" w:type="dxa"/>
            <w:vAlign w:val="center"/>
          </w:tcPr>
          <w:p w14:paraId="3BFA7A8C">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质量保证期</w:t>
            </w:r>
          </w:p>
        </w:tc>
        <w:tc>
          <w:tcPr>
            <w:tcW w:w="5170" w:type="dxa"/>
            <w:vAlign w:val="center"/>
          </w:tcPr>
          <w:p w14:paraId="1FC01962">
            <w:pPr>
              <w:autoSpaceDE w:val="0"/>
              <w:autoSpaceDN w:val="0"/>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五年，质保期自甲方签署验收合格起算</w:t>
            </w:r>
          </w:p>
        </w:tc>
      </w:tr>
      <w:tr w14:paraId="2BF922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BD7D83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3D8C78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.2（3）项</w:t>
            </w:r>
          </w:p>
        </w:tc>
        <w:tc>
          <w:tcPr>
            <w:tcW w:w="1742" w:type="dxa"/>
            <w:vAlign w:val="center"/>
          </w:tcPr>
          <w:p w14:paraId="62DB0E82">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货物质量缺陷</w:t>
            </w:r>
          </w:p>
          <w:p w14:paraId="5C67BF14">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p>
        </w:tc>
        <w:tc>
          <w:tcPr>
            <w:tcW w:w="5170" w:type="dxa"/>
            <w:vAlign w:val="center"/>
          </w:tcPr>
          <w:p w14:paraId="3A2A1DAE">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乙方收到通知后，应在</w:t>
            </w:r>
            <w:r>
              <w:rPr>
                <w:rFonts w:hint="eastAsia" w:ascii="仿宋" w:hAnsi="仿宋" w:eastAsia="仿宋" w:cs="仿宋"/>
                <w:color w:val="auto"/>
                <w:sz w:val="24"/>
                <w:szCs w:val="24"/>
                <w:highlight w:val="none"/>
                <w:lang w:val="en-US" w:eastAsia="zh-CN"/>
              </w:rPr>
              <w:t>2小时</w:t>
            </w:r>
            <w:r>
              <w:rPr>
                <w:rFonts w:hint="eastAsia" w:ascii="仿宋" w:hAnsi="仿宋" w:eastAsia="仿宋" w:cs="仿宋"/>
                <w:color w:val="auto"/>
                <w:sz w:val="24"/>
                <w:szCs w:val="24"/>
                <w:highlight w:val="none"/>
                <w:lang w:eastAsia="zh-CN"/>
              </w:rPr>
              <w:t>内以合理的速度免费维修或更换有缺陷的货物或部件</w:t>
            </w:r>
          </w:p>
        </w:tc>
      </w:tr>
      <w:tr w14:paraId="5B45BF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563CA47">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第二节</w:t>
            </w:r>
          </w:p>
          <w:p w14:paraId="0C8C30E6">
            <w:pPr>
              <w:pStyle w:val="46"/>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第11.1款</w:t>
            </w:r>
          </w:p>
        </w:tc>
        <w:tc>
          <w:tcPr>
            <w:tcW w:w="1742" w:type="dxa"/>
            <w:vAlign w:val="center"/>
          </w:tcPr>
          <w:p w14:paraId="4096616E">
            <w:pPr>
              <w:adjustRightInd w:val="0"/>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其他应当保密的信息</w:t>
            </w:r>
          </w:p>
        </w:tc>
        <w:tc>
          <w:tcPr>
            <w:tcW w:w="5170" w:type="dxa"/>
            <w:vAlign w:val="center"/>
          </w:tcPr>
          <w:p w14:paraId="7EDBB0E4">
            <w:pPr>
              <w:adjustRightInd w:val="0"/>
              <w:snapToGrid w:val="0"/>
              <w:jc w:val="left"/>
              <w:rPr>
                <w:rFonts w:hint="eastAsia" w:ascii="仿宋" w:hAnsi="仿宋" w:eastAsia="仿宋" w:cs="仿宋"/>
                <w:color w:val="auto"/>
                <w:sz w:val="24"/>
                <w:szCs w:val="24"/>
                <w:highlight w:val="none"/>
              </w:rPr>
            </w:pPr>
          </w:p>
        </w:tc>
      </w:tr>
      <w:tr w14:paraId="214063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6ADC2B5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10685E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.2款</w:t>
            </w:r>
          </w:p>
        </w:tc>
        <w:tc>
          <w:tcPr>
            <w:tcW w:w="1742" w:type="dxa"/>
            <w:vAlign w:val="center"/>
          </w:tcPr>
          <w:p w14:paraId="1BA07E9C">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合同价款支付</w:t>
            </w:r>
            <w:r>
              <w:rPr>
                <w:rFonts w:hint="eastAsia" w:ascii="仿宋" w:hAnsi="仿宋" w:eastAsia="仿宋" w:cs="仿宋"/>
                <w:color w:val="auto"/>
                <w:sz w:val="24"/>
                <w:szCs w:val="24"/>
                <w:highlight w:val="none"/>
                <w:lang w:eastAsia="zh-CN"/>
              </w:rPr>
              <w:t>时间</w:t>
            </w:r>
          </w:p>
        </w:tc>
        <w:tc>
          <w:tcPr>
            <w:tcW w:w="5170" w:type="dxa"/>
            <w:vAlign w:val="center"/>
          </w:tcPr>
          <w:p w14:paraId="3E979146">
            <w:pPr>
              <w:adjustRightInd w:val="0"/>
              <w:snapToGrid w:val="0"/>
              <w:jc w:val="left"/>
              <w:rPr>
                <w:rFonts w:hint="eastAsia" w:ascii="仿宋" w:hAnsi="仿宋" w:eastAsia="仿宋" w:cs="仿宋"/>
                <w:color w:val="auto"/>
                <w:sz w:val="24"/>
                <w:szCs w:val="24"/>
                <w:highlight w:val="none"/>
              </w:rPr>
            </w:pPr>
          </w:p>
        </w:tc>
      </w:tr>
      <w:tr w14:paraId="004273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1F33760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9CC25B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款</w:t>
            </w:r>
          </w:p>
        </w:tc>
        <w:tc>
          <w:tcPr>
            <w:tcW w:w="1742" w:type="dxa"/>
            <w:vAlign w:val="center"/>
          </w:tcPr>
          <w:p w14:paraId="289F4ED0">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履约保证金不予退还的情形</w:t>
            </w:r>
          </w:p>
        </w:tc>
        <w:tc>
          <w:tcPr>
            <w:tcW w:w="5170" w:type="dxa"/>
            <w:vAlign w:val="center"/>
          </w:tcPr>
          <w:p w14:paraId="4B973AE1">
            <w:pPr>
              <w:adjustRightInd w:val="0"/>
              <w:snapToGrid w:val="0"/>
              <w:jc w:val="left"/>
              <w:rPr>
                <w:rFonts w:hint="eastAsia" w:ascii="仿宋" w:hAnsi="仿宋" w:eastAsia="仿宋" w:cs="仿宋"/>
                <w:color w:val="auto"/>
                <w:sz w:val="24"/>
                <w:szCs w:val="24"/>
                <w:highlight w:val="none"/>
              </w:rPr>
            </w:pPr>
          </w:p>
        </w:tc>
      </w:tr>
      <w:tr w14:paraId="655A98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07" w:type="dxa"/>
            <w:vAlign w:val="center"/>
          </w:tcPr>
          <w:p w14:paraId="260E64C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FF07B2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13.3</w:t>
            </w:r>
            <w:r>
              <w:rPr>
                <w:rFonts w:hint="eastAsia" w:ascii="仿宋" w:hAnsi="仿宋" w:eastAsia="仿宋" w:cs="仿宋"/>
                <w:color w:val="auto"/>
                <w:sz w:val="24"/>
                <w:szCs w:val="24"/>
                <w:highlight w:val="none"/>
              </w:rPr>
              <w:t>款</w:t>
            </w:r>
          </w:p>
        </w:tc>
        <w:tc>
          <w:tcPr>
            <w:tcW w:w="1742" w:type="dxa"/>
            <w:vAlign w:val="center"/>
          </w:tcPr>
          <w:p w14:paraId="646D2331">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履约保证金退还时间及</w:t>
            </w:r>
            <w:r>
              <w:rPr>
                <w:rFonts w:hint="eastAsia" w:ascii="仿宋" w:hAnsi="仿宋" w:eastAsia="仿宋" w:cs="仿宋"/>
                <w:color w:val="auto"/>
                <w:sz w:val="24"/>
                <w:szCs w:val="24"/>
                <w:highlight w:val="none"/>
                <w:lang w:eastAsia="zh-CN"/>
              </w:rPr>
              <w:t>逾期退还的</w:t>
            </w:r>
            <w:r>
              <w:rPr>
                <w:rFonts w:hint="eastAsia" w:ascii="仿宋" w:hAnsi="仿宋" w:eastAsia="仿宋" w:cs="仿宋"/>
                <w:color w:val="auto"/>
                <w:sz w:val="24"/>
                <w:szCs w:val="24"/>
                <w:highlight w:val="none"/>
              </w:rPr>
              <w:t>违约金</w:t>
            </w:r>
          </w:p>
        </w:tc>
        <w:tc>
          <w:tcPr>
            <w:tcW w:w="5170" w:type="dxa"/>
            <w:vAlign w:val="center"/>
          </w:tcPr>
          <w:p w14:paraId="6DECEB0B">
            <w:pPr>
              <w:adjustRightInd w:val="0"/>
              <w:snapToGrid w:val="0"/>
              <w:jc w:val="left"/>
              <w:rPr>
                <w:rFonts w:hint="eastAsia" w:ascii="仿宋" w:hAnsi="仿宋" w:eastAsia="仿宋" w:cs="仿宋"/>
                <w:color w:val="auto"/>
                <w:sz w:val="24"/>
                <w:szCs w:val="24"/>
                <w:highlight w:val="none"/>
              </w:rPr>
            </w:pPr>
          </w:p>
        </w:tc>
      </w:tr>
      <w:tr w14:paraId="3B5311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4386C82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59DD93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w:t>
            </w:r>
          </w:p>
        </w:tc>
        <w:tc>
          <w:tcPr>
            <w:tcW w:w="1742" w:type="dxa"/>
            <w:vAlign w:val="center"/>
          </w:tcPr>
          <w:p w14:paraId="679834B5">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运行监督、维修期限</w:t>
            </w:r>
          </w:p>
        </w:tc>
        <w:tc>
          <w:tcPr>
            <w:tcW w:w="5170" w:type="dxa"/>
            <w:vAlign w:val="center"/>
          </w:tcPr>
          <w:p w14:paraId="4996F31B">
            <w:pPr>
              <w:adjustRightInd w:val="0"/>
              <w:snapToGrid w:val="0"/>
              <w:jc w:val="left"/>
              <w:rPr>
                <w:rFonts w:hint="eastAsia" w:ascii="仿宋" w:hAnsi="仿宋" w:eastAsia="仿宋" w:cs="仿宋"/>
                <w:color w:val="auto"/>
                <w:sz w:val="24"/>
                <w:szCs w:val="24"/>
                <w:highlight w:val="none"/>
              </w:rPr>
            </w:pPr>
          </w:p>
        </w:tc>
      </w:tr>
      <w:tr w14:paraId="3E90E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0300574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1F6E0C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w:t>
            </w:r>
          </w:p>
        </w:tc>
        <w:tc>
          <w:tcPr>
            <w:tcW w:w="1742" w:type="dxa"/>
            <w:vAlign w:val="center"/>
          </w:tcPr>
          <w:p w14:paraId="634FC547">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货物回收的约定</w:t>
            </w:r>
          </w:p>
        </w:tc>
        <w:tc>
          <w:tcPr>
            <w:tcW w:w="5170" w:type="dxa"/>
            <w:vAlign w:val="center"/>
          </w:tcPr>
          <w:p w14:paraId="2B3750D8">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国家及相关监督部门</w:t>
            </w:r>
          </w:p>
        </w:tc>
      </w:tr>
      <w:tr w14:paraId="0336BB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00ADCE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EF6B93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360C4825">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乙方提供的其他服务</w:t>
            </w:r>
          </w:p>
        </w:tc>
        <w:tc>
          <w:tcPr>
            <w:tcW w:w="5170" w:type="dxa"/>
            <w:vAlign w:val="center"/>
          </w:tcPr>
          <w:p w14:paraId="124D9AD1">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负责设备使用等相关培训，直至使用人员熟练操作为止，</w:t>
            </w:r>
          </w:p>
        </w:tc>
      </w:tr>
      <w:tr w14:paraId="456414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C69AFC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4BF2E56">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1款</w:t>
            </w:r>
          </w:p>
        </w:tc>
        <w:tc>
          <w:tcPr>
            <w:tcW w:w="1742" w:type="dxa"/>
            <w:vAlign w:val="center"/>
          </w:tcPr>
          <w:p w14:paraId="322DB090">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修理、重作、更换相关具体规定</w:t>
            </w:r>
          </w:p>
        </w:tc>
        <w:tc>
          <w:tcPr>
            <w:tcW w:w="5170" w:type="dxa"/>
            <w:vAlign w:val="center"/>
          </w:tcPr>
          <w:p w14:paraId="3B6133B6">
            <w:pPr>
              <w:adjustRightInd w:val="0"/>
              <w:snapToGrid w:val="0"/>
              <w:jc w:val="left"/>
              <w:rPr>
                <w:rFonts w:hint="eastAsia" w:ascii="仿宋" w:hAnsi="仿宋" w:eastAsia="仿宋" w:cs="仿宋"/>
                <w:color w:val="auto"/>
                <w:sz w:val="24"/>
                <w:szCs w:val="24"/>
                <w:highlight w:val="none"/>
              </w:rPr>
            </w:pPr>
          </w:p>
        </w:tc>
      </w:tr>
      <w:tr w14:paraId="0A685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17D990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F4EACA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.2（2）项</w:t>
            </w:r>
          </w:p>
        </w:tc>
        <w:tc>
          <w:tcPr>
            <w:tcW w:w="1742" w:type="dxa"/>
            <w:vAlign w:val="center"/>
          </w:tcPr>
          <w:p w14:paraId="705EE79E">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迟延交货赔偿费</w:t>
            </w:r>
          </w:p>
        </w:tc>
        <w:tc>
          <w:tcPr>
            <w:tcW w:w="5170" w:type="dxa"/>
            <w:vAlign w:val="center"/>
          </w:tcPr>
          <w:p w14:paraId="6080D2F4">
            <w:pPr>
              <w:adjustRightInd w:val="0"/>
              <w:snapToGrid w:val="0"/>
              <w:jc w:val="left"/>
              <w:rPr>
                <w:rFonts w:hint="eastAsia" w:ascii="仿宋" w:hAnsi="仿宋" w:eastAsia="仿宋" w:cs="仿宋"/>
                <w:color w:val="auto"/>
                <w:sz w:val="24"/>
                <w:szCs w:val="24"/>
                <w:highlight w:val="none"/>
                <w:u w:val="single"/>
              </w:rPr>
            </w:pPr>
          </w:p>
        </w:tc>
      </w:tr>
      <w:tr w14:paraId="54CF36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F5BA21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A67C78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3款</w:t>
            </w:r>
          </w:p>
        </w:tc>
        <w:tc>
          <w:tcPr>
            <w:tcW w:w="1742" w:type="dxa"/>
            <w:vAlign w:val="center"/>
          </w:tcPr>
          <w:p w14:paraId="0DCA268B">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逾期付款利息</w:t>
            </w:r>
          </w:p>
        </w:tc>
        <w:tc>
          <w:tcPr>
            <w:tcW w:w="5170" w:type="dxa"/>
            <w:vAlign w:val="center"/>
          </w:tcPr>
          <w:p w14:paraId="656EFF6D">
            <w:pPr>
              <w:adjustRightInd w:val="0"/>
              <w:snapToGrid w:val="0"/>
              <w:jc w:val="left"/>
              <w:rPr>
                <w:rFonts w:hint="eastAsia" w:ascii="仿宋" w:hAnsi="仿宋" w:eastAsia="仿宋" w:cs="仿宋"/>
                <w:color w:val="auto"/>
                <w:sz w:val="24"/>
                <w:szCs w:val="24"/>
                <w:highlight w:val="none"/>
                <w:u w:val="single"/>
              </w:rPr>
            </w:pPr>
          </w:p>
        </w:tc>
      </w:tr>
      <w:tr w14:paraId="12E958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5613604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FA59D0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72CAA574">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其他违约责任</w:t>
            </w:r>
          </w:p>
        </w:tc>
        <w:tc>
          <w:tcPr>
            <w:tcW w:w="5170" w:type="dxa"/>
            <w:tcBorders>
              <w:left w:val="single" w:color="auto" w:sz="2" w:space="0"/>
              <w:bottom w:val="single" w:color="auto" w:sz="2" w:space="0"/>
            </w:tcBorders>
            <w:vAlign w:val="center"/>
          </w:tcPr>
          <w:p w14:paraId="781E532F">
            <w:pPr>
              <w:adjustRightInd w:val="0"/>
              <w:snapToGrid w:val="0"/>
              <w:jc w:val="left"/>
              <w:rPr>
                <w:rFonts w:hint="eastAsia" w:ascii="仿宋" w:hAnsi="仿宋" w:eastAsia="仿宋" w:cs="仿宋"/>
                <w:color w:val="auto"/>
                <w:sz w:val="24"/>
                <w:szCs w:val="24"/>
                <w:highlight w:val="none"/>
                <w:u w:val="single"/>
              </w:rPr>
            </w:pPr>
          </w:p>
        </w:tc>
      </w:tr>
      <w:tr w14:paraId="46BC37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2164AE3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BFCB83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3BA25398">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02AEE37B">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因本合同及合同有关事项发生的争议，按下列第</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种方式解决：</w:t>
            </w:r>
          </w:p>
          <w:p w14:paraId="50CE4E12">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（1）向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val="en-US" w:eastAsia="zh-CN"/>
              </w:rPr>
              <w:t>项目所在地</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仲裁委员会申请仲裁，仲裁地点为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w:t>
            </w:r>
          </w:p>
          <w:p w14:paraId="6D1B5CF5">
            <w:pPr>
              <w:adjustRightInd w:val="0"/>
              <w:snapToGrid w:val="0"/>
              <w:ind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b w:val="0"/>
                <w:bCs w:val="0"/>
                <w:iCs/>
                <w:color w:val="auto"/>
                <w:sz w:val="24"/>
                <w:szCs w:val="24"/>
                <w:highlight w:val="none"/>
              </w:rPr>
              <w:t>（2）向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val="en-US" w:eastAsia="zh-CN"/>
              </w:rPr>
              <w:t>项目所在地</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人民法院起诉。</w:t>
            </w:r>
          </w:p>
        </w:tc>
      </w:tr>
      <w:tr w14:paraId="5C3653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19BC4EB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B61F54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款</w:t>
            </w:r>
          </w:p>
        </w:tc>
        <w:tc>
          <w:tcPr>
            <w:tcW w:w="1742" w:type="dxa"/>
            <w:vAlign w:val="center"/>
          </w:tcPr>
          <w:p w14:paraId="69464859">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其他专用条款</w:t>
            </w:r>
          </w:p>
        </w:tc>
        <w:tc>
          <w:tcPr>
            <w:tcW w:w="5170" w:type="dxa"/>
            <w:vAlign w:val="center"/>
          </w:tcPr>
          <w:p w14:paraId="6D7E3526">
            <w:pPr>
              <w:adjustRightInd w:val="0"/>
              <w:snapToGrid w:val="0"/>
              <w:jc w:val="left"/>
              <w:rPr>
                <w:rFonts w:hint="eastAsia" w:ascii="仿宋" w:hAnsi="仿宋" w:eastAsia="仿宋" w:cs="仿宋"/>
                <w:color w:val="auto"/>
                <w:sz w:val="24"/>
                <w:szCs w:val="24"/>
                <w:highlight w:val="none"/>
                <w:lang w:val="en-US" w:eastAsia="zh-CN"/>
              </w:rPr>
            </w:pPr>
          </w:p>
        </w:tc>
      </w:tr>
    </w:tbl>
    <w:p w14:paraId="5BBAC44C">
      <w:pPr>
        <w:rPr>
          <w:rFonts w:hint="eastAsia" w:ascii="仿宋" w:hAnsi="仿宋" w:eastAsia="仿宋" w:cs="仿宋"/>
          <w:color w:val="auto"/>
          <w:sz w:val="24"/>
          <w:szCs w:val="24"/>
          <w:highlight w:val="none"/>
        </w:rPr>
      </w:pPr>
    </w:p>
    <w:p w14:paraId="5694F17F">
      <w:pPr>
        <w:rPr>
          <w:rFonts w:hint="eastAsia" w:ascii="仿宋" w:hAnsi="仿宋" w:eastAsia="仿宋" w:cs="仿宋"/>
          <w:color w:val="auto"/>
          <w:sz w:val="24"/>
          <w:szCs w:val="24"/>
          <w:highlight w:val="none"/>
        </w:rPr>
      </w:pPr>
    </w:p>
    <w:p w14:paraId="6B98E439">
      <w:pPr>
        <w:spacing w:line="560" w:lineRule="exact"/>
        <w:ind w:firstLine="601"/>
        <w:jc w:val="center"/>
        <w:rPr>
          <w:rFonts w:hint="eastAsia" w:ascii="仿宋" w:hAnsi="仿宋" w:eastAsia="仿宋" w:cs="仿宋"/>
          <w:b/>
          <w:color w:val="auto"/>
          <w:sz w:val="44"/>
          <w:szCs w:val="44"/>
          <w:highlight w:val="none"/>
        </w:rPr>
      </w:pPr>
    </w:p>
    <w:p w14:paraId="4CBF36E5">
      <w:pPr>
        <w:spacing w:line="560" w:lineRule="exact"/>
        <w:ind w:firstLine="601"/>
        <w:jc w:val="center"/>
        <w:rPr>
          <w:rFonts w:hint="eastAsia" w:ascii="仿宋" w:hAnsi="仿宋" w:eastAsia="仿宋" w:cs="仿宋"/>
          <w:b/>
          <w:color w:val="auto"/>
          <w:sz w:val="44"/>
          <w:szCs w:val="44"/>
          <w:highlight w:val="none"/>
        </w:rPr>
      </w:pPr>
    </w:p>
    <w:p w14:paraId="5BB9C7A1">
      <w:pPr>
        <w:spacing w:line="560" w:lineRule="exact"/>
        <w:ind w:firstLine="601"/>
        <w:jc w:val="center"/>
        <w:rPr>
          <w:rFonts w:hint="eastAsia" w:ascii="仿宋" w:hAnsi="仿宋" w:eastAsia="仿宋" w:cs="仿宋"/>
          <w:b/>
          <w:color w:val="auto"/>
          <w:sz w:val="44"/>
          <w:szCs w:val="44"/>
          <w:highlight w:val="none"/>
        </w:rPr>
      </w:pPr>
    </w:p>
    <w:p w14:paraId="3C884B31">
      <w:pPr>
        <w:spacing w:line="560" w:lineRule="exact"/>
        <w:ind w:firstLine="601"/>
        <w:jc w:val="center"/>
        <w:rPr>
          <w:rFonts w:hint="eastAsia" w:ascii="仿宋" w:hAnsi="仿宋" w:eastAsia="仿宋" w:cs="仿宋"/>
          <w:b/>
          <w:color w:val="auto"/>
          <w:sz w:val="44"/>
          <w:szCs w:val="44"/>
          <w:highlight w:val="none"/>
        </w:rPr>
      </w:pPr>
    </w:p>
    <w:p w14:paraId="11AD0202">
      <w:pPr>
        <w:rPr>
          <w:rFonts w:hint="eastAsia" w:ascii="仿宋" w:hAnsi="仿宋" w:eastAsia="仿宋" w:cs="仿宋"/>
          <w:color w:val="auto"/>
          <w:highlight w:val="none"/>
          <w:lang w:val="en-US" w:eastAsia="zh-CN"/>
        </w:rPr>
      </w:pPr>
    </w:p>
    <w:p w14:paraId="14D0DCC5">
      <w:pPr>
        <w:jc w:val="center"/>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br w:type="page"/>
      </w:r>
      <w:bookmarkStart w:id="109" w:name="_Toc12343"/>
      <w:r>
        <w:rPr>
          <w:rFonts w:hint="eastAsia" w:ascii="仿宋" w:hAnsi="仿宋" w:eastAsia="仿宋" w:cs="仿宋"/>
          <w:bCs/>
          <w:color w:val="auto"/>
          <w:sz w:val="32"/>
          <w:szCs w:val="32"/>
          <w:highlight w:val="none"/>
        </w:rPr>
        <w:t>第五部分  范本格式</w:t>
      </w:r>
      <w:bookmarkEnd w:id="98"/>
      <w:bookmarkEnd w:id="99"/>
      <w:bookmarkEnd w:id="100"/>
      <w:bookmarkEnd w:id="109"/>
    </w:p>
    <w:p w14:paraId="30616EB7">
      <w:pPr>
        <w:autoSpaceDE w:val="0"/>
        <w:autoSpaceDN w:val="0"/>
        <w:adjustRightInd w:val="0"/>
        <w:jc w:val="center"/>
        <w:rPr>
          <w:rFonts w:hint="eastAsia" w:ascii="仿宋" w:hAnsi="仿宋" w:eastAsia="仿宋" w:cs="仿宋"/>
          <w:bCs/>
          <w:color w:val="auto"/>
          <w:sz w:val="84"/>
          <w:szCs w:val="84"/>
          <w:highlight w:val="none"/>
          <w:lang w:val="en-US" w:eastAsia="zh-CN"/>
        </w:rPr>
      </w:pPr>
    </w:p>
    <w:p w14:paraId="189C1621">
      <w:pPr>
        <w:autoSpaceDE w:val="0"/>
        <w:autoSpaceDN w:val="0"/>
        <w:adjustRightInd w:val="0"/>
        <w:jc w:val="center"/>
        <w:rPr>
          <w:rFonts w:hint="eastAsia" w:ascii="仿宋" w:hAnsi="仿宋" w:eastAsia="仿宋" w:cs="仿宋"/>
          <w:bCs/>
          <w:color w:val="auto"/>
          <w:sz w:val="84"/>
          <w:szCs w:val="84"/>
          <w:highlight w:val="none"/>
        </w:rPr>
      </w:pPr>
    </w:p>
    <w:p w14:paraId="33DF1E35">
      <w:pPr>
        <w:autoSpaceDE w:val="0"/>
        <w:autoSpaceDN w:val="0"/>
        <w:adjustRightInd w:val="0"/>
        <w:jc w:val="center"/>
        <w:rPr>
          <w:rFonts w:hint="eastAsia" w:ascii="仿宋" w:hAnsi="仿宋" w:eastAsia="仿宋" w:cs="仿宋"/>
          <w:bCs/>
          <w:color w:val="auto"/>
          <w:kern w:val="0"/>
          <w:sz w:val="84"/>
          <w:szCs w:val="84"/>
          <w:highlight w:val="none"/>
        </w:rPr>
      </w:pPr>
      <w:r>
        <w:rPr>
          <w:rFonts w:hint="eastAsia" w:ascii="仿宋" w:hAnsi="仿宋" w:eastAsia="仿宋" w:cs="仿宋"/>
          <w:bCs/>
          <w:color w:val="auto"/>
          <w:sz w:val="84"/>
          <w:szCs w:val="84"/>
          <w:highlight w:val="none"/>
        </w:rPr>
        <w:t>投标文件</w:t>
      </w:r>
    </w:p>
    <w:p w14:paraId="536D63B8">
      <w:pPr>
        <w:autoSpaceDE w:val="0"/>
        <w:autoSpaceDN w:val="0"/>
        <w:adjustRightInd w:val="0"/>
        <w:spacing w:line="520" w:lineRule="exact"/>
        <w:rPr>
          <w:rFonts w:hint="eastAsia" w:ascii="仿宋" w:hAnsi="仿宋" w:eastAsia="仿宋" w:cs="仿宋"/>
          <w:bCs/>
          <w:color w:val="auto"/>
          <w:kern w:val="0"/>
          <w:sz w:val="24"/>
          <w:highlight w:val="none"/>
        </w:rPr>
      </w:pPr>
    </w:p>
    <w:p w14:paraId="3376554B">
      <w:pPr>
        <w:pStyle w:val="115"/>
        <w:rPr>
          <w:rFonts w:hint="eastAsia" w:ascii="仿宋" w:hAnsi="仿宋" w:eastAsia="仿宋" w:cs="仿宋"/>
          <w:bCs/>
          <w:color w:val="auto"/>
          <w:kern w:val="0"/>
          <w:highlight w:val="none"/>
        </w:rPr>
      </w:pPr>
    </w:p>
    <w:p w14:paraId="6F02F3B0">
      <w:pPr>
        <w:pStyle w:val="115"/>
        <w:rPr>
          <w:rFonts w:hint="eastAsia" w:ascii="仿宋" w:hAnsi="仿宋" w:eastAsia="仿宋" w:cs="仿宋"/>
          <w:bCs/>
          <w:color w:val="auto"/>
          <w:kern w:val="0"/>
          <w:highlight w:val="none"/>
        </w:rPr>
      </w:pPr>
    </w:p>
    <w:p w14:paraId="6C92A7EC">
      <w:pPr>
        <w:pStyle w:val="115"/>
        <w:rPr>
          <w:rFonts w:hint="eastAsia" w:ascii="仿宋" w:hAnsi="仿宋" w:eastAsia="仿宋" w:cs="仿宋"/>
          <w:bCs/>
          <w:color w:val="auto"/>
          <w:kern w:val="0"/>
          <w:highlight w:val="none"/>
        </w:rPr>
      </w:pPr>
    </w:p>
    <w:p w14:paraId="48613A1E">
      <w:pPr>
        <w:pStyle w:val="115"/>
        <w:rPr>
          <w:rFonts w:hint="eastAsia" w:ascii="仿宋" w:hAnsi="仿宋" w:eastAsia="仿宋" w:cs="仿宋"/>
          <w:bCs/>
          <w:color w:val="auto"/>
          <w:kern w:val="0"/>
          <w:highlight w:val="none"/>
        </w:rPr>
      </w:pPr>
    </w:p>
    <w:p w14:paraId="06E14964">
      <w:pPr>
        <w:pStyle w:val="115"/>
        <w:rPr>
          <w:rFonts w:hint="eastAsia" w:ascii="仿宋" w:hAnsi="仿宋" w:eastAsia="仿宋" w:cs="仿宋"/>
          <w:bCs/>
          <w:color w:val="auto"/>
          <w:kern w:val="0"/>
          <w:highlight w:val="none"/>
        </w:rPr>
      </w:pPr>
    </w:p>
    <w:p w14:paraId="4251F6CB">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 目 编 号：</w:t>
      </w:r>
    </w:p>
    <w:p w14:paraId="5DAE3403">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 目 名 称：</w:t>
      </w:r>
    </w:p>
    <w:p w14:paraId="5104CCB7">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投标人名称（公章）：</w:t>
      </w:r>
    </w:p>
    <w:p w14:paraId="74B1D63B">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投标人详细地址：</w:t>
      </w:r>
    </w:p>
    <w:p w14:paraId="1CC5EE2B">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联系人（签字或盖章）：</w:t>
      </w:r>
    </w:p>
    <w:p w14:paraId="56CAE046">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联系电话：</w:t>
      </w:r>
    </w:p>
    <w:p w14:paraId="06368C4C">
      <w:pPr>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037C3054">
      <w:pPr>
        <w:numPr>
          <w:ilvl w:val="0"/>
          <w:numId w:val="0"/>
        </w:numPr>
        <w:outlineLvl w:val="9"/>
        <w:rPr>
          <w:rFonts w:hint="eastAsia" w:ascii="仿宋" w:hAnsi="仿宋" w:eastAsia="仿宋" w:cs="仿宋"/>
          <w:bCs w:val="0"/>
          <w:color w:val="auto"/>
          <w:sz w:val="24"/>
          <w:szCs w:val="24"/>
          <w:highlight w:val="none"/>
        </w:rPr>
      </w:pPr>
      <w:bookmarkStart w:id="110" w:name="_Toc14893"/>
      <w:bookmarkStart w:id="111" w:name="_Toc10398"/>
      <w:bookmarkStart w:id="112" w:name="_Toc772"/>
      <w:bookmarkStart w:id="113" w:name="_Toc13572"/>
      <w:r>
        <w:rPr>
          <w:rFonts w:hint="eastAsia" w:ascii="仿宋" w:hAnsi="仿宋" w:eastAsia="仿宋" w:cs="仿宋"/>
          <w:bCs w:val="0"/>
          <w:color w:val="auto"/>
          <w:sz w:val="24"/>
          <w:szCs w:val="24"/>
          <w:highlight w:val="none"/>
        </w:rPr>
        <w:t>（注：1.请供应商按照以下要求的格式、内容、顺序及要求制作投标文件，并编制目录及页码，否则可能影响评审专家对投标文件的评价。2. 投标文件提供格式的，按格式填写；未提供格式的，供应商自拟格式。）</w:t>
      </w:r>
      <w:bookmarkEnd w:id="110"/>
    </w:p>
    <w:p w14:paraId="4BF2A673">
      <w:pPr>
        <w:autoSpaceDE w:val="0"/>
        <w:autoSpaceDN w:val="0"/>
        <w:adjustRightInd w:val="0"/>
        <w:spacing w:before="156" w:beforeLines="50" w:after="156" w:afterLines="50"/>
        <w:jc w:val="center"/>
        <w:rPr>
          <w:rStyle w:val="39"/>
          <w:rFonts w:hint="eastAsia" w:ascii="仿宋" w:hAnsi="仿宋" w:eastAsia="仿宋" w:cs="仿宋"/>
          <w:bCs w:val="0"/>
          <w:color w:val="auto"/>
          <w:kern w:val="0"/>
          <w:sz w:val="36"/>
          <w:szCs w:val="36"/>
          <w:highlight w:val="none"/>
        </w:rPr>
      </w:pPr>
      <w:r>
        <w:rPr>
          <w:rStyle w:val="39"/>
          <w:rFonts w:hint="eastAsia" w:ascii="仿宋" w:hAnsi="仿宋" w:eastAsia="仿宋" w:cs="仿宋"/>
          <w:bCs w:val="0"/>
          <w:color w:val="auto"/>
          <w:kern w:val="0"/>
          <w:sz w:val="36"/>
          <w:szCs w:val="36"/>
          <w:highlight w:val="none"/>
        </w:rPr>
        <w:t>评审因素索引表</w:t>
      </w:r>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040"/>
        <w:gridCol w:w="4080"/>
        <w:gridCol w:w="2198"/>
      </w:tblGrid>
      <w:tr w14:paraId="62C9E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41" w:type="dxa"/>
            <w:noWrap w:val="0"/>
            <w:vAlign w:val="center"/>
          </w:tcPr>
          <w:p w14:paraId="45D2A68F">
            <w:pPr>
              <w:autoSpaceDE w:val="0"/>
              <w:autoSpaceDN w:val="0"/>
              <w:adjustRightIn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序号</w:t>
            </w:r>
          </w:p>
        </w:tc>
        <w:tc>
          <w:tcPr>
            <w:tcW w:w="2040" w:type="dxa"/>
            <w:noWrap w:val="0"/>
            <w:vAlign w:val="center"/>
          </w:tcPr>
          <w:p w14:paraId="4C6051FB">
            <w:pPr>
              <w:autoSpaceDE w:val="0"/>
              <w:autoSpaceDN w:val="0"/>
              <w:adjustRightIn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评审因素</w:t>
            </w:r>
          </w:p>
        </w:tc>
        <w:tc>
          <w:tcPr>
            <w:tcW w:w="4080" w:type="dxa"/>
            <w:noWrap w:val="0"/>
            <w:vAlign w:val="center"/>
          </w:tcPr>
          <w:p w14:paraId="5F9DE487">
            <w:pPr>
              <w:autoSpaceDE w:val="0"/>
              <w:autoSpaceDN w:val="0"/>
              <w:adjustRightIn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评审因素对应的内容</w:t>
            </w:r>
          </w:p>
        </w:tc>
        <w:tc>
          <w:tcPr>
            <w:tcW w:w="2198" w:type="dxa"/>
            <w:noWrap w:val="0"/>
            <w:vAlign w:val="center"/>
          </w:tcPr>
          <w:p w14:paraId="7077E80D">
            <w:pPr>
              <w:autoSpaceDE w:val="0"/>
              <w:autoSpaceDN w:val="0"/>
              <w:adjustRightIn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评审因素对应内容所在页码</w:t>
            </w:r>
          </w:p>
        </w:tc>
      </w:tr>
      <w:tr w14:paraId="3EF3D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259" w:type="dxa"/>
            <w:gridSpan w:val="4"/>
            <w:noWrap w:val="0"/>
            <w:vAlign w:val="center"/>
          </w:tcPr>
          <w:p w14:paraId="62925C36">
            <w:pPr>
              <w:autoSpaceDE w:val="0"/>
              <w:autoSpaceDN w:val="0"/>
              <w:adjustRightInd w:val="0"/>
              <w:rPr>
                <w:rFonts w:hint="eastAsia" w:ascii="仿宋" w:hAnsi="仿宋" w:eastAsia="仿宋" w:cs="仿宋"/>
                <w:color w:val="auto"/>
                <w:sz w:val="24"/>
                <w:highlight w:val="none"/>
              </w:rPr>
            </w:pPr>
          </w:p>
        </w:tc>
      </w:tr>
      <w:tr w14:paraId="509D77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4FACF3C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40" w:type="dxa"/>
            <w:noWrap w:val="0"/>
            <w:vAlign w:val="center"/>
          </w:tcPr>
          <w:p w14:paraId="01D04AC1">
            <w:pPr>
              <w:jc w:val="center"/>
              <w:rPr>
                <w:rFonts w:hint="eastAsia" w:ascii="仿宋" w:hAnsi="仿宋" w:eastAsia="仿宋" w:cs="仿宋"/>
                <w:color w:val="auto"/>
                <w:sz w:val="24"/>
                <w:highlight w:val="none"/>
              </w:rPr>
            </w:pPr>
          </w:p>
        </w:tc>
        <w:tc>
          <w:tcPr>
            <w:tcW w:w="4080" w:type="dxa"/>
            <w:noWrap w:val="0"/>
            <w:vAlign w:val="center"/>
          </w:tcPr>
          <w:p w14:paraId="1BB4CBAE">
            <w:pPr>
              <w:jc w:val="center"/>
              <w:rPr>
                <w:rFonts w:hint="eastAsia" w:ascii="仿宋" w:hAnsi="仿宋" w:eastAsia="仿宋" w:cs="仿宋"/>
                <w:color w:val="auto"/>
                <w:sz w:val="24"/>
                <w:highlight w:val="none"/>
              </w:rPr>
            </w:pPr>
          </w:p>
        </w:tc>
        <w:tc>
          <w:tcPr>
            <w:tcW w:w="2198" w:type="dxa"/>
            <w:noWrap w:val="0"/>
            <w:vAlign w:val="top"/>
          </w:tcPr>
          <w:p w14:paraId="73B0FD23">
            <w:pPr>
              <w:jc w:val="center"/>
              <w:rPr>
                <w:rFonts w:hint="eastAsia" w:ascii="仿宋" w:hAnsi="仿宋" w:eastAsia="仿宋" w:cs="仿宋"/>
                <w:color w:val="auto"/>
                <w:sz w:val="24"/>
                <w:highlight w:val="none"/>
              </w:rPr>
            </w:pPr>
          </w:p>
        </w:tc>
      </w:tr>
      <w:tr w14:paraId="7A705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25275B04">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2040" w:type="dxa"/>
            <w:noWrap w:val="0"/>
            <w:vAlign w:val="center"/>
          </w:tcPr>
          <w:p w14:paraId="14C320E5">
            <w:pPr>
              <w:jc w:val="center"/>
              <w:rPr>
                <w:rFonts w:hint="eastAsia" w:ascii="仿宋" w:hAnsi="仿宋" w:eastAsia="仿宋" w:cs="仿宋"/>
                <w:color w:val="auto"/>
                <w:sz w:val="24"/>
                <w:highlight w:val="none"/>
              </w:rPr>
            </w:pPr>
          </w:p>
        </w:tc>
        <w:tc>
          <w:tcPr>
            <w:tcW w:w="4080" w:type="dxa"/>
            <w:noWrap w:val="0"/>
            <w:vAlign w:val="center"/>
          </w:tcPr>
          <w:p w14:paraId="0DED5E0B">
            <w:pPr>
              <w:jc w:val="center"/>
              <w:rPr>
                <w:rFonts w:hint="eastAsia" w:ascii="仿宋" w:hAnsi="仿宋" w:eastAsia="仿宋" w:cs="仿宋"/>
                <w:color w:val="auto"/>
                <w:sz w:val="24"/>
                <w:highlight w:val="none"/>
              </w:rPr>
            </w:pPr>
          </w:p>
        </w:tc>
        <w:tc>
          <w:tcPr>
            <w:tcW w:w="2198" w:type="dxa"/>
            <w:noWrap w:val="0"/>
            <w:vAlign w:val="top"/>
          </w:tcPr>
          <w:p w14:paraId="49FC5589">
            <w:pPr>
              <w:jc w:val="center"/>
              <w:rPr>
                <w:rFonts w:hint="eastAsia" w:ascii="仿宋" w:hAnsi="仿宋" w:eastAsia="仿宋" w:cs="仿宋"/>
                <w:color w:val="auto"/>
                <w:sz w:val="24"/>
                <w:highlight w:val="none"/>
              </w:rPr>
            </w:pPr>
          </w:p>
        </w:tc>
      </w:tr>
      <w:tr w14:paraId="33DB5C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679FC7C2">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2040" w:type="dxa"/>
            <w:noWrap w:val="0"/>
            <w:vAlign w:val="center"/>
          </w:tcPr>
          <w:p w14:paraId="1D983098">
            <w:pPr>
              <w:jc w:val="center"/>
              <w:rPr>
                <w:rFonts w:hint="eastAsia" w:ascii="仿宋" w:hAnsi="仿宋" w:eastAsia="仿宋" w:cs="仿宋"/>
                <w:color w:val="auto"/>
                <w:sz w:val="24"/>
                <w:highlight w:val="none"/>
              </w:rPr>
            </w:pPr>
          </w:p>
        </w:tc>
        <w:tc>
          <w:tcPr>
            <w:tcW w:w="4080" w:type="dxa"/>
            <w:noWrap w:val="0"/>
            <w:vAlign w:val="center"/>
          </w:tcPr>
          <w:p w14:paraId="594E977F">
            <w:pPr>
              <w:jc w:val="center"/>
              <w:rPr>
                <w:rFonts w:hint="eastAsia" w:ascii="仿宋" w:hAnsi="仿宋" w:eastAsia="仿宋" w:cs="仿宋"/>
                <w:color w:val="auto"/>
                <w:sz w:val="24"/>
                <w:highlight w:val="none"/>
              </w:rPr>
            </w:pPr>
          </w:p>
        </w:tc>
        <w:tc>
          <w:tcPr>
            <w:tcW w:w="2198" w:type="dxa"/>
            <w:noWrap w:val="0"/>
            <w:vAlign w:val="top"/>
          </w:tcPr>
          <w:p w14:paraId="6229C0BE">
            <w:pPr>
              <w:jc w:val="center"/>
              <w:rPr>
                <w:rFonts w:hint="eastAsia" w:ascii="仿宋" w:hAnsi="仿宋" w:eastAsia="仿宋" w:cs="仿宋"/>
                <w:color w:val="auto"/>
                <w:sz w:val="24"/>
                <w:highlight w:val="none"/>
              </w:rPr>
            </w:pPr>
          </w:p>
        </w:tc>
      </w:tr>
      <w:tr w14:paraId="5C3D9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67BC1E63">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040" w:type="dxa"/>
            <w:noWrap w:val="0"/>
            <w:vAlign w:val="center"/>
          </w:tcPr>
          <w:p w14:paraId="5FD244B4">
            <w:pPr>
              <w:jc w:val="center"/>
              <w:rPr>
                <w:rFonts w:hint="eastAsia" w:ascii="仿宋" w:hAnsi="仿宋" w:eastAsia="仿宋" w:cs="仿宋"/>
                <w:color w:val="auto"/>
                <w:sz w:val="24"/>
                <w:highlight w:val="none"/>
              </w:rPr>
            </w:pPr>
          </w:p>
        </w:tc>
        <w:tc>
          <w:tcPr>
            <w:tcW w:w="4080" w:type="dxa"/>
            <w:noWrap w:val="0"/>
            <w:vAlign w:val="center"/>
          </w:tcPr>
          <w:p w14:paraId="3752478C">
            <w:pPr>
              <w:jc w:val="center"/>
              <w:rPr>
                <w:rFonts w:hint="eastAsia" w:ascii="仿宋" w:hAnsi="仿宋" w:eastAsia="仿宋" w:cs="仿宋"/>
                <w:color w:val="auto"/>
                <w:sz w:val="24"/>
                <w:highlight w:val="none"/>
              </w:rPr>
            </w:pPr>
          </w:p>
        </w:tc>
        <w:tc>
          <w:tcPr>
            <w:tcW w:w="2198" w:type="dxa"/>
            <w:noWrap w:val="0"/>
            <w:vAlign w:val="top"/>
          </w:tcPr>
          <w:p w14:paraId="558EDC42">
            <w:pPr>
              <w:jc w:val="center"/>
              <w:rPr>
                <w:rFonts w:hint="eastAsia" w:ascii="仿宋" w:hAnsi="仿宋" w:eastAsia="仿宋" w:cs="仿宋"/>
                <w:color w:val="auto"/>
                <w:sz w:val="24"/>
                <w:highlight w:val="none"/>
              </w:rPr>
            </w:pPr>
          </w:p>
        </w:tc>
      </w:tr>
      <w:tr w14:paraId="0E7456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50604332">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2040" w:type="dxa"/>
            <w:noWrap w:val="0"/>
            <w:vAlign w:val="center"/>
          </w:tcPr>
          <w:p w14:paraId="037FC672">
            <w:pPr>
              <w:jc w:val="center"/>
              <w:rPr>
                <w:rFonts w:hint="eastAsia" w:ascii="仿宋" w:hAnsi="仿宋" w:eastAsia="仿宋" w:cs="仿宋"/>
                <w:color w:val="auto"/>
                <w:sz w:val="24"/>
                <w:highlight w:val="none"/>
              </w:rPr>
            </w:pPr>
          </w:p>
        </w:tc>
        <w:tc>
          <w:tcPr>
            <w:tcW w:w="4080" w:type="dxa"/>
            <w:noWrap w:val="0"/>
            <w:vAlign w:val="center"/>
          </w:tcPr>
          <w:p w14:paraId="7C8E5567">
            <w:pPr>
              <w:jc w:val="center"/>
              <w:rPr>
                <w:rFonts w:hint="eastAsia" w:ascii="仿宋" w:hAnsi="仿宋" w:eastAsia="仿宋" w:cs="仿宋"/>
                <w:color w:val="auto"/>
                <w:sz w:val="24"/>
                <w:highlight w:val="none"/>
              </w:rPr>
            </w:pPr>
          </w:p>
        </w:tc>
        <w:tc>
          <w:tcPr>
            <w:tcW w:w="2198" w:type="dxa"/>
            <w:noWrap w:val="0"/>
            <w:vAlign w:val="top"/>
          </w:tcPr>
          <w:p w14:paraId="384C31AE">
            <w:pPr>
              <w:jc w:val="center"/>
              <w:rPr>
                <w:rFonts w:hint="eastAsia" w:ascii="仿宋" w:hAnsi="仿宋" w:eastAsia="仿宋" w:cs="仿宋"/>
                <w:color w:val="auto"/>
                <w:sz w:val="24"/>
                <w:highlight w:val="none"/>
              </w:rPr>
            </w:pPr>
          </w:p>
        </w:tc>
      </w:tr>
      <w:tr w14:paraId="0D5ED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7674490F">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2040" w:type="dxa"/>
            <w:noWrap w:val="0"/>
            <w:vAlign w:val="center"/>
          </w:tcPr>
          <w:p w14:paraId="7DB6CFF2">
            <w:pPr>
              <w:jc w:val="center"/>
              <w:rPr>
                <w:rFonts w:hint="eastAsia" w:ascii="仿宋" w:hAnsi="仿宋" w:eastAsia="仿宋" w:cs="仿宋"/>
                <w:color w:val="auto"/>
                <w:sz w:val="24"/>
                <w:highlight w:val="none"/>
              </w:rPr>
            </w:pPr>
          </w:p>
        </w:tc>
        <w:tc>
          <w:tcPr>
            <w:tcW w:w="4080" w:type="dxa"/>
            <w:noWrap w:val="0"/>
            <w:vAlign w:val="center"/>
          </w:tcPr>
          <w:p w14:paraId="2A96BF9A">
            <w:pPr>
              <w:jc w:val="center"/>
              <w:rPr>
                <w:rFonts w:hint="eastAsia" w:ascii="仿宋" w:hAnsi="仿宋" w:eastAsia="仿宋" w:cs="仿宋"/>
                <w:color w:val="auto"/>
                <w:sz w:val="24"/>
                <w:highlight w:val="none"/>
              </w:rPr>
            </w:pPr>
          </w:p>
        </w:tc>
        <w:tc>
          <w:tcPr>
            <w:tcW w:w="2198" w:type="dxa"/>
            <w:noWrap w:val="0"/>
            <w:vAlign w:val="top"/>
          </w:tcPr>
          <w:p w14:paraId="0FDEFFE3">
            <w:pPr>
              <w:jc w:val="center"/>
              <w:rPr>
                <w:rFonts w:hint="eastAsia" w:ascii="仿宋" w:hAnsi="仿宋" w:eastAsia="仿宋" w:cs="仿宋"/>
                <w:color w:val="auto"/>
                <w:sz w:val="24"/>
                <w:highlight w:val="none"/>
              </w:rPr>
            </w:pPr>
          </w:p>
        </w:tc>
      </w:tr>
      <w:tr w14:paraId="334D5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54CFBF22">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2040" w:type="dxa"/>
            <w:noWrap w:val="0"/>
            <w:vAlign w:val="center"/>
          </w:tcPr>
          <w:p w14:paraId="0D980B86">
            <w:pPr>
              <w:jc w:val="center"/>
              <w:rPr>
                <w:rFonts w:hint="eastAsia" w:ascii="仿宋" w:hAnsi="仿宋" w:eastAsia="仿宋" w:cs="仿宋"/>
                <w:color w:val="auto"/>
                <w:sz w:val="24"/>
                <w:highlight w:val="none"/>
              </w:rPr>
            </w:pPr>
          </w:p>
        </w:tc>
        <w:tc>
          <w:tcPr>
            <w:tcW w:w="4080" w:type="dxa"/>
            <w:noWrap w:val="0"/>
            <w:vAlign w:val="center"/>
          </w:tcPr>
          <w:p w14:paraId="07C2CFBE">
            <w:pPr>
              <w:jc w:val="center"/>
              <w:rPr>
                <w:rFonts w:hint="eastAsia" w:ascii="仿宋" w:hAnsi="仿宋" w:eastAsia="仿宋" w:cs="仿宋"/>
                <w:color w:val="auto"/>
                <w:sz w:val="24"/>
                <w:highlight w:val="none"/>
              </w:rPr>
            </w:pPr>
          </w:p>
        </w:tc>
        <w:tc>
          <w:tcPr>
            <w:tcW w:w="2198" w:type="dxa"/>
            <w:noWrap w:val="0"/>
            <w:vAlign w:val="top"/>
          </w:tcPr>
          <w:p w14:paraId="512D88D9">
            <w:pPr>
              <w:jc w:val="center"/>
              <w:rPr>
                <w:rFonts w:hint="eastAsia" w:ascii="仿宋" w:hAnsi="仿宋" w:eastAsia="仿宋" w:cs="仿宋"/>
                <w:color w:val="auto"/>
                <w:sz w:val="24"/>
                <w:highlight w:val="none"/>
              </w:rPr>
            </w:pPr>
          </w:p>
        </w:tc>
      </w:tr>
      <w:tr w14:paraId="49894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6FD661BA">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2040" w:type="dxa"/>
            <w:noWrap w:val="0"/>
            <w:vAlign w:val="center"/>
          </w:tcPr>
          <w:p w14:paraId="3DA599DA">
            <w:pPr>
              <w:jc w:val="center"/>
              <w:rPr>
                <w:rFonts w:hint="eastAsia" w:ascii="仿宋" w:hAnsi="仿宋" w:eastAsia="仿宋" w:cs="仿宋"/>
                <w:color w:val="auto"/>
                <w:sz w:val="24"/>
                <w:highlight w:val="none"/>
              </w:rPr>
            </w:pPr>
          </w:p>
        </w:tc>
        <w:tc>
          <w:tcPr>
            <w:tcW w:w="4080" w:type="dxa"/>
            <w:noWrap w:val="0"/>
            <w:vAlign w:val="center"/>
          </w:tcPr>
          <w:p w14:paraId="53A0D5A1">
            <w:pPr>
              <w:jc w:val="center"/>
              <w:rPr>
                <w:rFonts w:hint="eastAsia" w:ascii="仿宋" w:hAnsi="仿宋" w:eastAsia="仿宋" w:cs="仿宋"/>
                <w:color w:val="auto"/>
                <w:sz w:val="24"/>
                <w:highlight w:val="none"/>
              </w:rPr>
            </w:pPr>
          </w:p>
        </w:tc>
        <w:tc>
          <w:tcPr>
            <w:tcW w:w="2198" w:type="dxa"/>
            <w:noWrap w:val="0"/>
            <w:vAlign w:val="top"/>
          </w:tcPr>
          <w:p w14:paraId="65B64149">
            <w:pPr>
              <w:jc w:val="center"/>
              <w:rPr>
                <w:rFonts w:hint="eastAsia" w:ascii="仿宋" w:hAnsi="仿宋" w:eastAsia="仿宋" w:cs="仿宋"/>
                <w:color w:val="auto"/>
                <w:sz w:val="24"/>
                <w:highlight w:val="none"/>
              </w:rPr>
            </w:pPr>
          </w:p>
        </w:tc>
      </w:tr>
      <w:tr w14:paraId="06178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1" w:type="dxa"/>
            <w:noWrap w:val="0"/>
            <w:vAlign w:val="center"/>
          </w:tcPr>
          <w:p w14:paraId="070BE75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040" w:type="dxa"/>
            <w:noWrap w:val="0"/>
            <w:vAlign w:val="center"/>
          </w:tcPr>
          <w:p w14:paraId="639F6B0E">
            <w:pPr>
              <w:jc w:val="center"/>
              <w:rPr>
                <w:rFonts w:hint="eastAsia" w:ascii="仿宋" w:hAnsi="仿宋" w:eastAsia="仿宋" w:cs="仿宋"/>
                <w:color w:val="auto"/>
                <w:sz w:val="24"/>
                <w:highlight w:val="none"/>
              </w:rPr>
            </w:pPr>
          </w:p>
        </w:tc>
        <w:tc>
          <w:tcPr>
            <w:tcW w:w="4080" w:type="dxa"/>
            <w:noWrap w:val="0"/>
            <w:vAlign w:val="center"/>
          </w:tcPr>
          <w:p w14:paraId="16250D2B">
            <w:pPr>
              <w:jc w:val="center"/>
              <w:rPr>
                <w:rFonts w:hint="eastAsia" w:ascii="仿宋" w:hAnsi="仿宋" w:eastAsia="仿宋" w:cs="仿宋"/>
                <w:color w:val="auto"/>
                <w:sz w:val="24"/>
                <w:highlight w:val="none"/>
              </w:rPr>
            </w:pPr>
          </w:p>
        </w:tc>
        <w:tc>
          <w:tcPr>
            <w:tcW w:w="2198" w:type="dxa"/>
            <w:noWrap w:val="0"/>
            <w:vAlign w:val="top"/>
          </w:tcPr>
          <w:p w14:paraId="10934816">
            <w:pPr>
              <w:jc w:val="center"/>
              <w:rPr>
                <w:rFonts w:hint="eastAsia" w:ascii="仿宋" w:hAnsi="仿宋" w:eastAsia="仿宋" w:cs="仿宋"/>
                <w:color w:val="auto"/>
                <w:sz w:val="24"/>
                <w:highlight w:val="none"/>
              </w:rPr>
            </w:pPr>
          </w:p>
        </w:tc>
      </w:tr>
    </w:tbl>
    <w:p w14:paraId="31CCF7F6">
      <w:pPr>
        <w:pStyle w:val="16"/>
        <w:adjustRightInd w:val="0"/>
        <w:snapToGrid w:val="0"/>
        <w:ind w:firstLine="422" w:firstLineChars="200"/>
        <w:rPr>
          <w:rFonts w:hint="eastAsia" w:ascii="仿宋" w:hAnsi="仿宋" w:eastAsia="仿宋" w:cs="仿宋"/>
          <w:b/>
          <w:snapToGrid w:val="0"/>
          <w:color w:val="auto"/>
          <w:sz w:val="21"/>
          <w:szCs w:val="21"/>
          <w:highlight w:val="none"/>
        </w:rPr>
      </w:pPr>
      <w:r>
        <w:rPr>
          <w:rFonts w:hint="eastAsia" w:ascii="仿宋" w:hAnsi="仿宋" w:eastAsia="仿宋" w:cs="仿宋"/>
          <w:b/>
          <w:snapToGrid w:val="0"/>
          <w:color w:val="auto"/>
          <w:sz w:val="21"/>
          <w:szCs w:val="21"/>
          <w:highlight w:val="none"/>
        </w:rPr>
        <w:t>说明：</w:t>
      </w:r>
    </w:p>
    <w:p w14:paraId="2299DFA3">
      <w:pPr>
        <w:pStyle w:val="16"/>
        <w:adjustRightInd w:val="0"/>
        <w:snapToGrid w:val="0"/>
        <w:ind w:firstLine="422" w:firstLineChars="200"/>
        <w:rPr>
          <w:rFonts w:hint="eastAsia" w:ascii="仿宋" w:hAnsi="仿宋" w:eastAsia="仿宋" w:cs="仿宋"/>
          <w:b/>
          <w:snapToGrid w:val="0"/>
          <w:color w:val="auto"/>
          <w:sz w:val="21"/>
          <w:szCs w:val="21"/>
          <w:highlight w:val="none"/>
        </w:rPr>
      </w:pPr>
      <w:r>
        <w:rPr>
          <w:rFonts w:hint="eastAsia" w:ascii="仿宋" w:hAnsi="仿宋" w:eastAsia="仿宋" w:cs="仿宋"/>
          <w:b/>
          <w:snapToGrid w:val="0"/>
          <w:color w:val="auto"/>
          <w:sz w:val="21"/>
          <w:szCs w:val="21"/>
          <w:highlight w:val="none"/>
        </w:rPr>
        <w:t>1.本表是为便于评标委员会评审打分所设的索引表，请投标人完整、明确地填写相关内容。如投标人未按要求填写，导致评标委员会对投标方案做出不利的评审结果，是投标人的风险。</w:t>
      </w:r>
    </w:p>
    <w:p w14:paraId="3C04F287">
      <w:pPr>
        <w:pStyle w:val="16"/>
        <w:adjustRightInd w:val="0"/>
        <w:snapToGrid w:val="0"/>
        <w:ind w:firstLine="422" w:firstLineChars="200"/>
        <w:rPr>
          <w:rFonts w:hint="eastAsia" w:ascii="仿宋" w:hAnsi="仿宋" w:eastAsia="仿宋" w:cs="仿宋"/>
          <w:b/>
          <w:snapToGrid w:val="0"/>
          <w:color w:val="auto"/>
          <w:sz w:val="21"/>
          <w:szCs w:val="21"/>
          <w:highlight w:val="none"/>
        </w:rPr>
      </w:pPr>
      <w:r>
        <w:rPr>
          <w:rFonts w:hint="eastAsia" w:ascii="仿宋" w:hAnsi="仿宋" w:eastAsia="仿宋" w:cs="仿宋"/>
          <w:b/>
          <w:snapToGrid w:val="0"/>
          <w:color w:val="auto"/>
          <w:sz w:val="21"/>
          <w:szCs w:val="21"/>
          <w:highlight w:val="none"/>
        </w:rPr>
        <w:t>2.本表中，“评审因素”请按照</w:t>
      </w:r>
      <w:r>
        <w:rPr>
          <w:rFonts w:hint="eastAsia" w:ascii="仿宋" w:hAnsi="仿宋" w:eastAsia="仿宋" w:cs="仿宋"/>
          <w:b/>
          <w:snapToGrid w:val="0"/>
          <w:color w:val="auto"/>
          <w:sz w:val="21"/>
          <w:szCs w:val="21"/>
          <w:highlight w:val="none"/>
          <w:lang w:val="en-US" w:eastAsia="zh-CN"/>
        </w:rPr>
        <w:t>《评审因素及标准》</w:t>
      </w:r>
      <w:r>
        <w:rPr>
          <w:rFonts w:hint="eastAsia" w:ascii="仿宋" w:hAnsi="仿宋" w:eastAsia="仿宋" w:cs="仿宋"/>
          <w:b/>
          <w:snapToGrid w:val="0"/>
          <w:color w:val="auto"/>
          <w:sz w:val="21"/>
          <w:szCs w:val="21"/>
          <w:highlight w:val="none"/>
        </w:rPr>
        <w:t>所列内容逐项填写。</w:t>
      </w:r>
    </w:p>
    <w:p w14:paraId="438AB25F">
      <w:pPr>
        <w:pStyle w:val="16"/>
        <w:adjustRightInd w:val="0"/>
        <w:snapToGrid w:val="0"/>
        <w:ind w:firstLine="422" w:firstLineChars="200"/>
        <w:rPr>
          <w:rFonts w:hint="eastAsia" w:ascii="仿宋" w:hAnsi="仿宋" w:eastAsia="仿宋" w:cs="仿宋"/>
          <w:b/>
          <w:snapToGrid w:val="0"/>
          <w:color w:val="auto"/>
          <w:sz w:val="21"/>
          <w:szCs w:val="21"/>
          <w:highlight w:val="none"/>
        </w:rPr>
      </w:pPr>
      <w:r>
        <w:rPr>
          <w:rFonts w:hint="eastAsia" w:ascii="仿宋" w:hAnsi="仿宋" w:eastAsia="仿宋" w:cs="仿宋"/>
          <w:b/>
          <w:snapToGrid w:val="0"/>
          <w:color w:val="auto"/>
          <w:sz w:val="21"/>
          <w:szCs w:val="21"/>
          <w:highlight w:val="none"/>
        </w:rPr>
        <w:t>3.本表中，“评审因素对应的内容”请按照</w:t>
      </w:r>
      <w:r>
        <w:rPr>
          <w:rFonts w:hint="eastAsia" w:ascii="仿宋" w:hAnsi="仿宋" w:eastAsia="仿宋" w:cs="仿宋"/>
          <w:b/>
          <w:snapToGrid w:val="0"/>
          <w:color w:val="auto"/>
          <w:sz w:val="21"/>
          <w:szCs w:val="21"/>
          <w:highlight w:val="none"/>
          <w:lang w:val="en-US" w:eastAsia="zh-CN"/>
        </w:rPr>
        <w:t>《评审因素及标准》</w:t>
      </w:r>
      <w:r>
        <w:rPr>
          <w:rFonts w:hint="eastAsia" w:ascii="仿宋" w:hAnsi="仿宋" w:eastAsia="仿宋" w:cs="仿宋"/>
          <w:b/>
          <w:snapToGrid w:val="0"/>
          <w:color w:val="auto"/>
          <w:sz w:val="21"/>
          <w:szCs w:val="21"/>
          <w:highlight w:val="none"/>
        </w:rPr>
        <w:t>中评分标准的要求填写投标人所提供材料名称，并在“评审因素对应内容所在页码”栏内填写所提供材料在投标文件中的对应页码。</w:t>
      </w:r>
    </w:p>
    <w:p w14:paraId="4A158C8E">
      <w:pPr>
        <w:pStyle w:val="15"/>
        <w:keepNext w:val="0"/>
        <w:keepLines w:val="0"/>
        <w:pageBreakBefore w:val="0"/>
        <w:widowControl/>
        <w:kinsoku w:val="0"/>
        <w:wordWrap/>
        <w:overflowPunct/>
        <w:topLinePunct w:val="0"/>
        <w:autoSpaceDE w:val="0"/>
        <w:autoSpaceDN w:val="0"/>
        <w:bidi w:val="0"/>
        <w:adjustRightInd w:val="0"/>
        <w:snapToGrid w:val="0"/>
        <w:spacing w:before="78" w:line="222" w:lineRule="auto"/>
        <w:ind w:left="0" w:leftChars="0" w:right="0" w:firstLine="56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Cs/>
          <w:color w:val="auto"/>
          <w:sz w:val="28"/>
          <w:szCs w:val="28"/>
          <w:highlight w:val="none"/>
        </w:rPr>
        <w:br w:type="page"/>
      </w:r>
      <w:r>
        <w:rPr>
          <w:rFonts w:hint="eastAsia" w:ascii="仿宋" w:hAnsi="仿宋" w:eastAsia="仿宋" w:cs="仿宋"/>
          <w:color w:val="auto"/>
          <w:spacing w:val="-3"/>
          <w:sz w:val="24"/>
          <w:szCs w:val="24"/>
          <w:highlight w:val="none"/>
        </w:rPr>
        <w:t>封面：</w:t>
      </w:r>
    </w:p>
    <w:p w14:paraId="79D0BEFD">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firstLine="480" w:firstLineChars="200"/>
        <w:textAlignment w:val="baseline"/>
        <w:rPr>
          <w:rFonts w:hint="eastAsia" w:ascii="仿宋" w:hAnsi="仿宋" w:eastAsia="仿宋" w:cs="仿宋"/>
          <w:color w:val="auto"/>
          <w:sz w:val="24"/>
          <w:szCs w:val="24"/>
          <w:highlight w:val="none"/>
        </w:rPr>
      </w:pPr>
    </w:p>
    <w:p w14:paraId="02A9666D">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firstLine="480" w:firstLineChars="200"/>
        <w:textAlignment w:val="baseline"/>
        <w:rPr>
          <w:rFonts w:hint="eastAsia" w:ascii="仿宋" w:hAnsi="仿宋" w:eastAsia="仿宋" w:cs="仿宋"/>
          <w:color w:val="auto"/>
          <w:sz w:val="24"/>
          <w:szCs w:val="24"/>
          <w:highlight w:val="none"/>
        </w:rPr>
      </w:pPr>
    </w:p>
    <w:p w14:paraId="741D6F17">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firstLine="480" w:firstLineChars="200"/>
        <w:textAlignment w:val="baseline"/>
        <w:rPr>
          <w:rFonts w:hint="eastAsia" w:ascii="仿宋" w:hAnsi="仿宋" w:eastAsia="仿宋" w:cs="仿宋"/>
          <w:color w:val="auto"/>
          <w:sz w:val="24"/>
          <w:szCs w:val="24"/>
          <w:highlight w:val="none"/>
        </w:rPr>
      </w:pPr>
    </w:p>
    <w:p w14:paraId="3672CE7A">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firstLine="480" w:firstLineChars="200"/>
        <w:textAlignment w:val="baseline"/>
        <w:rPr>
          <w:rFonts w:hint="eastAsia" w:ascii="仿宋" w:hAnsi="仿宋" w:eastAsia="仿宋" w:cs="仿宋"/>
          <w:color w:val="auto"/>
          <w:sz w:val="24"/>
          <w:szCs w:val="24"/>
          <w:highlight w:val="none"/>
        </w:rPr>
      </w:pPr>
    </w:p>
    <w:p w14:paraId="040ABD9C">
      <w:pPr>
        <w:keepNext w:val="0"/>
        <w:keepLines w:val="0"/>
        <w:pageBreakBefore w:val="0"/>
        <w:widowControl/>
        <w:kinsoku w:val="0"/>
        <w:wordWrap/>
        <w:overflowPunct/>
        <w:topLinePunct w:val="0"/>
        <w:autoSpaceDE w:val="0"/>
        <w:autoSpaceDN w:val="0"/>
        <w:bidi w:val="0"/>
        <w:adjustRightInd w:val="0"/>
        <w:snapToGrid w:val="0"/>
        <w:spacing w:line="277" w:lineRule="auto"/>
        <w:ind w:left="0" w:leftChars="0" w:right="0" w:firstLine="480" w:firstLineChars="200"/>
        <w:textAlignment w:val="baseline"/>
        <w:rPr>
          <w:rFonts w:hint="eastAsia" w:ascii="仿宋" w:hAnsi="仿宋" w:eastAsia="仿宋" w:cs="仿宋"/>
          <w:color w:val="auto"/>
          <w:sz w:val="24"/>
          <w:szCs w:val="24"/>
          <w:highlight w:val="none"/>
        </w:rPr>
      </w:pPr>
    </w:p>
    <w:p w14:paraId="4E57874D">
      <w:pPr>
        <w:keepNext w:val="0"/>
        <w:keepLines w:val="0"/>
        <w:pageBreakBefore w:val="0"/>
        <w:widowControl/>
        <w:kinsoku w:val="0"/>
        <w:wordWrap/>
        <w:overflowPunct/>
        <w:topLinePunct w:val="0"/>
        <w:autoSpaceDE w:val="0"/>
        <w:autoSpaceDN w:val="0"/>
        <w:bidi w:val="0"/>
        <w:adjustRightInd w:val="0"/>
        <w:snapToGrid w:val="0"/>
        <w:spacing w:line="277" w:lineRule="auto"/>
        <w:ind w:left="0" w:leftChars="0" w:right="0" w:firstLine="480" w:firstLineChars="200"/>
        <w:textAlignment w:val="baseline"/>
        <w:rPr>
          <w:rFonts w:hint="eastAsia" w:ascii="仿宋" w:hAnsi="仿宋" w:eastAsia="仿宋" w:cs="仿宋"/>
          <w:color w:val="auto"/>
          <w:sz w:val="24"/>
          <w:szCs w:val="24"/>
          <w:highlight w:val="none"/>
        </w:rPr>
      </w:pPr>
    </w:p>
    <w:p w14:paraId="5E61B651">
      <w:pPr>
        <w:pStyle w:val="15"/>
        <w:keepNext w:val="0"/>
        <w:keepLines w:val="0"/>
        <w:pageBreakBefore w:val="0"/>
        <w:widowControl/>
        <w:kinsoku w:val="0"/>
        <w:wordWrap/>
        <w:overflowPunct/>
        <w:topLinePunct w:val="0"/>
        <w:autoSpaceDE w:val="0"/>
        <w:autoSpaceDN w:val="0"/>
        <w:bidi w:val="0"/>
        <w:adjustRightInd w:val="0"/>
        <w:snapToGrid w:val="0"/>
        <w:spacing w:before="269" w:line="291" w:lineRule="auto"/>
        <w:ind w:left="0" w:leftChars="0" w:right="0" w:firstLine="599" w:firstLineChars="200"/>
        <w:jc w:val="center"/>
        <w:textAlignment w:val="baseline"/>
        <w:outlineLvl w:val="1"/>
        <w:rPr>
          <w:rFonts w:hint="eastAsia" w:ascii="仿宋" w:hAnsi="仿宋" w:eastAsia="仿宋" w:cs="仿宋"/>
          <w:color w:val="auto"/>
          <w:sz w:val="32"/>
          <w:szCs w:val="32"/>
          <w:highlight w:val="none"/>
        </w:rPr>
      </w:pPr>
      <w:bookmarkStart w:id="114" w:name="bookmark35"/>
      <w:bookmarkEnd w:id="114"/>
      <w:bookmarkStart w:id="115" w:name="bookmark35"/>
      <w:bookmarkEnd w:id="115"/>
      <w:bookmarkStart w:id="116" w:name="bookmark34"/>
      <w:bookmarkEnd w:id="116"/>
      <w:bookmarkStart w:id="117" w:name="_Toc3487"/>
      <w:bookmarkStart w:id="118" w:name="_Toc20404"/>
      <w:r>
        <w:rPr>
          <w:rFonts w:hint="eastAsia" w:ascii="仿宋" w:hAnsi="仿宋" w:eastAsia="仿宋" w:cs="仿宋"/>
          <w:b/>
          <w:bCs/>
          <w:color w:val="auto"/>
          <w:spacing w:val="-11"/>
          <w:sz w:val="32"/>
          <w:szCs w:val="32"/>
          <w:highlight w:val="none"/>
        </w:rPr>
        <w:t>资</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格</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证</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明</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文</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件</w:t>
      </w:r>
      <w:bookmarkEnd w:id="117"/>
      <w:bookmarkEnd w:id="118"/>
    </w:p>
    <w:p w14:paraId="06CA76FF">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firstLine="480" w:firstLineChars="200"/>
        <w:textAlignment w:val="baseline"/>
        <w:rPr>
          <w:rFonts w:hint="eastAsia" w:ascii="仿宋" w:hAnsi="仿宋" w:eastAsia="仿宋" w:cs="仿宋"/>
          <w:color w:val="auto"/>
          <w:sz w:val="24"/>
          <w:szCs w:val="24"/>
          <w:highlight w:val="none"/>
        </w:rPr>
      </w:pPr>
    </w:p>
    <w:p w14:paraId="108BE114">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firstLine="480" w:firstLineChars="200"/>
        <w:textAlignment w:val="baseline"/>
        <w:rPr>
          <w:rFonts w:hint="eastAsia" w:ascii="仿宋" w:hAnsi="仿宋" w:eastAsia="仿宋" w:cs="仿宋"/>
          <w:color w:val="auto"/>
          <w:sz w:val="24"/>
          <w:szCs w:val="24"/>
          <w:highlight w:val="none"/>
        </w:rPr>
      </w:pPr>
    </w:p>
    <w:p w14:paraId="431BF9F6">
      <w:pPr>
        <w:keepNext w:val="0"/>
        <w:keepLines w:val="0"/>
        <w:pageBreakBefore w:val="0"/>
        <w:widowControl/>
        <w:kinsoku w:val="0"/>
        <w:wordWrap/>
        <w:overflowPunct/>
        <w:topLinePunct w:val="0"/>
        <w:autoSpaceDE w:val="0"/>
        <w:autoSpaceDN w:val="0"/>
        <w:bidi w:val="0"/>
        <w:adjustRightInd w:val="0"/>
        <w:snapToGrid w:val="0"/>
        <w:spacing w:line="283" w:lineRule="auto"/>
        <w:ind w:left="0" w:leftChars="0" w:right="0" w:firstLine="480" w:firstLineChars="200"/>
        <w:textAlignment w:val="baseline"/>
        <w:rPr>
          <w:rFonts w:hint="eastAsia" w:ascii="仿宋" w:hAnsi="仿宋" w:eastAsia="仿宋" w:cs="仿宋"/>
          <w:color w:val="auto"/>
          <w:sz w:val="24"/>
          <w:szCs w:val="24"/>
          <w:highlight w:val="none"/>
        </w:rPr>
      </w:pPr>
    </w:p>
    <w:p w14:paraId="052B9AC3">
      <w:pPr>
        <w:keepNext w:val="0"/>
        <w:keepLines w:val="0"/>
        <w:pageBreakBefore w:val="0"/>
        <w:widowControl/>
        <w:kinsoku w:val="0"/>
        <w:wordWrap/>
        <w:overflowPunct/>
        <w:topLinePunct w:val="0"/>
        <w:autoSpaceDE w:val="0"/>
        <w:autoSpaceDN w:val="0"/>
        <w:bidi w:val="0"/>
        <w:adjustRightInd w:val="0"/>
        <w:snapToGrid w:val="0"/>
        <w:spacing w:line="261" w:lineRule="auto"/>
        <w:ind w:left="0" w:leftChars="0" w:right="0" w:firstLine="480" w:firstLineChars="200"/>
        <w:textAlignment w:val="baseline"/>
        <w:rPr>
          <w:rFonts w:hint="eastAsia" w:ascii="仿宋" w:hAnsi="仿宋" w:eastAsia="仿宋" w:cs="仿宋"/>
          <w:color w:val="auto"/>
          <w:sz w:val="24"/>
          <w:szCs w:val="24"/>
          <w:highlight w:val="none"/>
        </w:rPr>
      </w:pPr>
    </w:p>
    <w:p w14:paraId="49DB5646">
      <w:pPr>
        <w:keepNext w:val="0"/>
        <w:keepLines w:val="0"/>
        <w:pageBreakBefore w:val="0"/>
        <w:widowControl/>
        <w:kinsoku w:val="0"/>
        <w:wordWrap/>
        <w:overflowPunct/>
        <w:topLinePunct w:val="0"/>
        <w:autoSpaceDE w:val="0"/>
        <w:autoSpaceDN w:val="0"/>
        <w:bidi w:val="0"/>
        <w:adjustRightInd w:val="0"/>
        <w:snapToGrid w:val="0"/>
        <w:spacing w:line="261" w:lineRule="auto"/>
        <w:ind w:left="0" w:leftChars="0" w:right="0" w:firstLine="480" w:firstLineChars="200"/>
        <w:textAlignment w:val="baseline"/>
        <w:rPr>
          <w:rFonts w:hint="eastAsia" w:ascii="仿宋" w:hAnsi="仿宋" w:eastAsia="仿宋" w:cs="仿宋"/>
          <w:color w:val="auto"/>
          <w:sz w:val="24"/>
          <w:szCs w:val="24"/>
          <w:highlight w:val="none"/>
        </w:rPr>
      </w:pPr>
    </w:p>
    <w:p w14:paraId="5B388262">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5915CF21">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369BB2CC">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41F9D387">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433BC668">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30EDCC52">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6FF25794">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57D28CA1">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项目编号/包号：                            </w:t>
      </w:r>
    </w:p>
    <w:p w14:paraId="63867BB8">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7F9FD60A">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投 标 人 （公章）：                         </w:t>
      </w:r>
    </w:p>
    <w:p w14:paraId="35745ECA">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3DA72A21">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6C0C75AD">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5AB73300">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0496EC77">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26C7EA3F">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604CFF69">
      <w:pPr>
        <w:keepNext w:val="0"/>
        <w:keepLines w:val="0"/>
        <w:pageBreakBefore w:val="0"/>
        <w:widowControl/>
        <w:kinsoku w:val="0"/>
        <w:wordWrap/>
        <w:overflowPunct/>
        <w:topLinePunct w:val="0"/>
        <w:autoSpaceDE w:val="0"/>
        <w:autoSpaceDN w:val="0"/>
        <w:bidi w:val="0"/>
        <w:adjustRightInd w:val="0"/>
        <w:snapToGrid w:val="0"/>
        <w:spacing w:line="248" w:lineRule="auto"/>
        <w:ind w:left="0" w:leftChars="0" w:right="0" w:firstLine="480" w:firstLineChars="200"/>
        <w:textAlignment w:val="baseline"/>
        <w:rPr>
          <w:rFonts w:hint="eastAsia" w:ascii="仿宋" w:hAnsi="仿宋" w:eastAsia="仿宋" w:cs="仿宋"/>
          <w:color w:val="auto"/>
          <w:sz w:val="24"/>
          <w:szCs w:val="24"/>
          <w:highlight w:val="none"/>
        </w:rPr>
      </w:pPr>
    </w:p>
    <w:p w14:paraId="11B1AD6C">
      <w:pPr>
        <w:keepNext w:val="0"/>
        <w:keepLines w:val="0"/>
        <w:pageBreakBefore w:val="0"/>
        <w:widowControl/>
        <w:kinsoku w:val="0"/>
        <w:wordWrap/>
        <w:overflowPunct/>
        <w:topLinePunct w:val="0"/>
        <w:autoSpaceDE w:val="0"/>
        <w:autoSpaceDN w:val="0"/>
        <w:bidi w:val="0"/>
        <w:adjustRightInd w:val="0"/>
        <w:snapToGrid w:val="0"/>
        <w:spacing w:line="248" w:lineRule="auto"/>
        <w:ind w:left="0" w:leftChars="0" w:right="0" w:firstLine="480" w:firstLineChars="200"/>
        <w:textAlignment w:val="baseline"/>
        <w:rPr>
          <w:rFonts w:hint="eastAsia" w:ascii="仿宋" w:hAnsi="仿宋" w:eastAsia="仿宋" w:cs="仿宋"/>
          <w:color w:val="auto"/>
          <w:sz w:val="24"/>
          <w:szCs w:val="24"/>
          <w:highlight w:val="none"/>
        </w:rPr>
      </w:pPr>
    </w:p>
    <w:p w14:paraId="2B0D03CF">
      <w:pPr>
        <w:pStyle w:val="15"/>
        <w:keepNext w:val="0"/>
        <w:keepLines w:val="0"/>
        <w:pageBreakBefore w:val="0"/>
        <w:widowControl/>
        <w:kinsoku w:val="0"/>
        <w:wordWrap/>
        <w:overflowPunct/>
        <w:topLinePunct w:val="0"/>
        <w:autoSpaceDE w:val="0"/>
        <w:autoSpaceDN w:val="0"/>
        <w:bidi w:val="0"/>
        <w:adjustRightInd w:val="0"/>
        <w:snapToGrid w:val="0"/>
        <w:spacing w:before="102" w:line="225" w:lineRule="auto"/>
        <w:ind w:left="0" w:leftChars="0" w:right="0" w:firstLine="456" w:firstLineChars="20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日</w:t>
      </w:r>
    </w:p>
    <w:p w14:paraId="51C56AC6">
      <w:pPr>
        <w:keepNext w:val="0"/>
        <w:keepLines w:val="0"/>
        <w:pageBreakBefore w:val="0"/>
        <w:widowControl/>
        <w:kinsoku w:val="0"/>
        <w:wordWrap/>
        <w:overflowPunct/>
        <w:topLinePunct w:val="0"/>
        <w:autoSpaceDE w:val="0"/>
        <w:autoSpaceDN w:val="0"/>
        <w:bidi w:val="0"/>
        <w:adjustRightInd w:val="0"/>
        <w:snapToGrid w:val="0"/>
        <w:spacing w:line="225" w:lineRule="auto"/>
        <w:ind w:left="0" w:leftChars="0" w:right="0" w:firstLine="480" w:firstLineChars="200"/>
        <w:textAlignment w:val="baseline"/>
        <w:rPr>
          <w:rFonts w:hint="eastAsia" w:ascii="仿宋" w:hAnsi="仿宋" w:eastAsia="仿宋" w:cs="仿宋"/>
          <w:color w:val="auto"/>
          <w:sz w:val="24"/>
          <w:szCs w:val="24"/>
          <w:highlight w:val="none"/>
        </w:rPr>
        <w:sectPr>
          <w:footerReference r:id="rId11" w:type="default"/>
          <w:pgSz w:w="11906" w:h="16839"/>
          <w:pgMar w:top="1166" w:right="1785" w:bottom="1423" w:left="1785" w:header="830" w:footer="1154" w:gutter="0"/>
          <w:pgNumType w:fmt="decimal"/>
          <w:cols w:space="720" w:num="1"/>
        </w:sectPr>
      </w:pPr>
    </w:p>
    <w:p w14:paraId="3542C153">
      <w:pPr>
        <w:pStyle w:val="15"/>
        <w:keepNext w:val="0"/>
        <w:keepLines w:val="0"/>
        <w:pageBreakBefore w:val="0"/>
        <w:widowControl/>
        <w:kinsoku w:val="0"/>
        <w:wordWrap/>
        <w:overflowPunct/>
        <w:topLinePunct w:val="0"/>
        <w:autoSpaceDE w:val="0"/>
        <w:autoSpaceDN w:val="0"/>
        <w:bidi w:val="0"/>
        <w:adjustRightInd w:val="0"/>
        <w:snapToGrid w:val="0"/>
        <w:spacing w:before="100" w:line="225" w:lineRule="auto"/>
        <w:ind w:left="0" w:leftChars="0" w:right="0" w:firstLine="510" w:firstLineChars="200"/>
        <w:textAlignment w:val="baseline"/>
        <w:outlineLvl w:val="1"/>
        <w:rPr>
          <w:rFonts w:hint="eastAsia" w:ascii="仿宋" w:hAnsi="仿宋" w:eastAsia="仿宋" w:cs="仿宋"/>
          <w:color w:val="auto"/>
          <w:sz w:val="24"/>
          <w:szCs w:val="24"/>
          <w:highlight w:val="none"/>
        </w:rPr>
      </w:pPr>
      <w:bookmarkStart w:id="119" w:name="_Toc303"/>
      <w:bookmarkStart w:id="120" w:name="_Toc19915"/>
      <w:r>
        <w:rPr>
          <w:rFonts w:hint="eastAsia" w:ascii="仿宋" w:hAnsi="仿宋" w:eastAsia="仿宋" w:cs="仿宋"/>
          <w:b/>
          <w:bCs/>
          <w:color w:val="auto"/>
          <w:spacing w:val="7"/>
          <w:sz w:val="24"/>
          <w:szCs w:val="24"/>
          <w:highlight w:val="none"/>
          <w:lang w:eastAsia="zh-CN"/>
        </w:rPr>
        <w:t>（</w:t>
      </w:r>
      <w:r>
        <w:rPr>
          <w:rFonts w:hint="eastAsia" w:ascii="仿宋" w:hAnsi="仿宋" w:eastAsia="仿宋" w:cs="仿宋"/>
          <w:b/>
          <w:bCs/>
          <w:color w:val="auto"/>
          <w:spacing w:val="7"/>
          <w:sz w:val="24"/>
          <w:szCs w:val="24"/>
          <w:highlight w:val="none"/>
          <w:lang w:val="en-US" w:eastAsia="zh-CN"/>
        </w:rPr>
        <w:t>一</w:t>
      </w:r>
      <w:r>
        <w:rPr>
          <w:rFonts w:hint="eastAsia" w:ascii="仿宋" w:hAnsi="仿宋" w:eastAsia="仿宋" w:cs="仿宋"/>
          <w:b/>
          <w:bCs/>
          <w:color w:val="auto"/>
          <w:spacing w:val="7"/>
          <w:sz w:val="24"/>
          <w:szCs w:val="24"/>
          <w:highlight w:val="none"/>
          <w:lang w:eastAsia="zh-CN"/>
        </w:rPr>
        <w:t>）</w:t>
      </w:r>
      <w:r>
        <w:rPr>
          <w:rFonts w:hint="eastAsia" w:ascii="仿宋" w:hAnsi="仿宋" w:eastAsia="仿宋" w:cs="仿宋"/>
          <w:b/>
          <w:bCs/>
          <w:color w:val="auto"/>
          <w:spacing w:val="7"/>
          <w:sz w:val="24"/>
          <w:szCs w:val="24"/>
          <w:highlight w:val="none"/>
        </w:rPr>
        <w:t>、满足《中华人民共和国政府采购法》第二十二条规定</w:t>
      </w:r>
      <w:bookmarkEnd w:id="119"/>
      <w:bookmarkEnd w:id="120"/>
    </w:p>
    <w:p w14:paraId="4C383ABB">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具有独立承担民事责任的能力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提供法人营业执照或事业单位法人证书或民办非企业单位登记证书或个体工商户营业执照或其他组织的执业许可证副本扫描件；供应商为自然人的提供身份证明扫描件。</w:t>
      </w:r>
    </w:p>
    <w:p w14:paraId="26C4AF41">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具有良好的商业信誉和健全的财务会计制度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六个月内出具的资信证明扫描件（银行出具的存款证明不能替代银行资信证明）。</w:t>
      </w:r>
    </w:p>
    <w:p w14:paraId="1C4CF92C">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具有履行合同所必需的设备和专业技术能力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提供具备履行合同所必需的设备和专业技术能力的承诺函。</w:t>
      </w:r>
    </w:p>
    <w:p w14:paraId="760B6FB2">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有依法缴纳税收和社会保障资金的良好记录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提供投标截止日前一年内任一月份的缴税凭据或完税证明等扫描件；依法免税的，应提供相应文件（扫描件）证明其依法免税。(2)提供投标截止日前一年内任意一个月社保缴纳的证明材料（注：缴纳的银行电子回单或社保部门出具的相关证明材料)。</w:t>
      </w:r>
    </w:p>
    <w:p w14:paraId="3763E82B">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参加政府采购活动前三年内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提供《三年内在经营活动中没有重大违法记录的声明》。</w:t>
      </w:r>
    </w:p>
    <w:p w14:paraId="7736BA90">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其他要求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投标保证金缴纳证明材料（收据或汇款凭证等）</w:t>
      </w:r>
    </w:p>
    <w:p w14:paraId="2585A950">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其他要求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要求的其他资格要求</w:t>
      </w:r>
    </w:p>
    <w:p w14:paraId="162A2EAC">
      <w:pPr>
        <w:rPr>
          <w:rFonts w:hint="eastAsia" w:ascii="仿宋" w:hAnsi="仿宋" w:eastAsia="仿宋" w:cs="仿宋"/>
          <w:b/>
          <w:bCs/>
          <w:color w:val="auto"/>
          <w:spacing w:val="-3"/>
          <w:sz w:val="24"/>
          <w:szCs w:val="24"/>
          <w:highlight w:val="none"/>
        </w:rPr>
      </w:pPr>
    </w:p>
    <w:p w14:paraId="559BECA3">
      <w:pPr>
        <w:rPr>
          <w:rFonts w:hint="eastAsia" w:ascii="仿宋" w:hAnsi="仿宋" w:eastAsia="仿宋" w:cs="仿宋"/>
          <w:b/>
          <w:bCs/>
          <w:color w:val="auto"/>
          <w:spacing w:val="-3"/>
          <w:sz w:val="24"/>
          <w:szCs w:val="24"/>
          <w:highlight w:val="none"/>
        </w:rPr>
      </w:pPr>
      <w:r>
        <w:rPr>
          <w:rFonts w:hint="eastAsia" w:ascii="仿宋" w:hAnsi="仿宋" w:eastAsia="仿宋" w:cs="仿宋"/>
          <w:b/>
          <w:bCs/>
          <w:color w:val="auto"/>
          <w:spacing w:val="-3"/>
          <w:sz w:val="24"/>
          <w:szCs w:val="24"/>
          <w:highlight w:val="none"/>
        </w:rPr>
        <w:br w:type="page"/>
      </w:r>
    </w:p>
    <w:p w14:paraId="197861EE">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0" w:firstLineChars="200"/>
        <w:jc w:val="center"/>
        <w:textAlignment w:val="baseline"/>
        <w:outlineLvl w:val="1"/>
        <w:rPr>
          <w:rFonts w:hint="eastAsia" w:ascii="仿宋" w:hAnsi="仿宋" w:eastAsia="仿宋" w:cs="仿宋"/>
          <w:color w:val="auto"/>
          <w:sz w:val="24"/>
          <w:szCs w:val="24"/>
          <w:highlight w:val="none"/>
        </w:rPr>
      </w:pPr>
      <w:bookmarkStart w:id="121" w:name="_Toc5655"/>
      <w:r>
        <w:rPr>
          <w:rFonts w:hint="eastAsia" w:ascii="仿宋" w:hAnsi="仿宋" w:eastAsia="仿宋" w:cs="仿宋"/>
          <w:b/>
          <w:bCs/>
          <w:color w:val="auto"/>
          <w:spacing w:val="-3"/>
          <w:sz w:val="24"/>
          <w:szCs w:val="24"/>
          <w:highlight w:val="none"/>
        </w:rPr>
        <w:t>（</w:t>
      </w:r>
      <w:r>
        <w:rPr>
          <w:rFonts w:hint="eastAsia" w:ascii="仿宋" w:hAnsi="仿宋" w:eastAsia="仿宋" w:cs="仿宋"/>
          <w:b/>
          <w:bCs/>
          <w:color w:val="auto"/>
          <w:spacing w:val="-3"/>
          <w:sz w:val="24"/>
          <w:szCs w:val="24"/>
          <w:highlight w:val="none"/>
          <w:lang w:val="en-US" w:eastAsia="zh-CN"/>
        </w:rPr>
        <w:t>二</w:t>
      </w:r>
      <w:r>
        <w:rPr>
          <w:rFonts w:hint="eastAsia" w:ascii="仿宋" w:hAnsi="仿宋" w:eastAsia="仿宋" w:cs="仿宋"/>
          <w:b/>
          <w:bCs/>
          <w:color w:val="auto"/>
          <w:spacing w:val="-3"/>
          <w:sz w:val="24"/>
          <w:szCs w:val="24"/>
          <w:highlight w:val="none"/>
        </w:rPr>
        <w:t>）供应商信用承诺函</w:t>
      </w:r>
      <w:bookmarkEnd w:id="121"/>
    </w:p>
    <w:p w14:paraId="69DA391F">
      <w:pPr>
        <w:pStyle w:val="15"/>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单位名称（自然人姓名</w:t>
      </w:r>
      <w:r>
        <w:rPr>
          <w:rFonts w:hint="eastAsia" w:ascii="仿宋" w:hAnsi="仿宋" w:eastAsia="仿宋" w:cs="仿宋"/>
          <w:color w:val="auto"/>
          <w:spacing w:val="3"/>
          <w:sz w:val="24"/>
          <w:szCs w:val="24"/>
          <w:highlight w:val="none"/>
        </w:rPr>
        <w:t>）：</w:t>
      </w:r>
    </w:p>
    <w:p w14:paraId="456F8F25">
      <w:pPr>
        <w:pStyle w:val="15"/>
        <w:keepNext w:val="0"/>
        <w:keepLines w:val="0"/>
        <w:pageBreakBefore w:val="0"/>
        <w:widowControl/>
        <w:kinsoku w:val="0"/>
        <w:wordWrap/>
        <w:overflowPunct/>
        <w:topLinePunct w:val="0"/>
        <w:autoSpaceDE w:val="0"/>
        <w:autoSpaceDN w:val="0"/>
        <w:bidi w:val="0"/>
        <w:adjustRightInd w:val="0"/>
        <w:snapToGrid w:val="0"/>
        <w:spacing w:before="275"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统一社会信用代码（身份证号码</w:t>
      </w:r>
      <w:r>
        <w:rPr>
          <w:rFonts w:hint="eastAsia" w:ascii="仿宋" w:hAnsi="仿宋" w:eastAsia="仿宋" w:cs="仿宋"/>
          <w:color w:val="auto"/>
          <w:spacing w:val="5"/>
          <w:sz w:val="24"/>
          <w:szCs w:val="24"/>
          <w:highlight w:val="none"/>
        </w:rPr>
        <w:t>）：</w:t>
      </w:r>
    </w:p>
    <w:p w14:paraId="05766DFC">
      <w:pPr>
        <w:pStyle w:val="15"/>
        <w:keepNext w:val="0"/>
        <w:keepLines w:val="0"/>
        <w:pageBreakBefore w:val="0"/>
        <w:widowControl/>
        <w:kinsoku w:val="0"/>
        <w:wordWrap/>
        <w:overflowPunct/>
        <w:topLinePunct w:val="0"/>
        <w:autoSpaceDE w:val="0"/>
        <w:autoSpaceDN w:val="0"/>
        <w:bidi w:val="0"/>
        <w:adjustRightInd w:val="0"/>
        <w:snapToGrid w:val="0"/>
        <w:spacing w:before="275"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法定代表人（负责人</w:t>
      </w:r>
      <w:r>
        <w:rPr>
          <w:rFonts w:hint="eastAsia" w:ascii="仿宋" w:hAnsi="仿宋" w:eastAsia="仿宋" w:cs="仿宋"/>
          <w:color w:val="auto"/>
          <w:spacing w:val="3"/>
          <w:sz w:val="24"/>
          <w:szCs w:val="24"/>
          <w:highlight w:val="none"/>
        </w:rPr>
        <w:t>）：</w:t>
      </w:r>
    </w:p>
    <w:p w14:paraId="0B9F52B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仿宋" w:hAnsi="仿宋" w:eastAsia="仿宋" w:cs="仿宋"/>
          <w:color w:val="auto"/>
          <w:sz w:val="24"/>
          <w:szCs w:val="24"/>
          <w:highlight w:val="none"/>
        </w:rPr>
      </w:pPr>
    </w:p>
    <w:p w14:paraId="3D57E600">
      <w:pPr>
        <w:pStyle w:val="15"/>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right="0" w:firstLine="468"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我单位（本人）自愿参加本次政府采购活动，严格遵守《中</w:t>
      </w:r>
      <w:r>
        <w:rPr>
          <w:rFonts w:hint="eastAsia" w:ascii="仿宋" w:hAnsi="仿宋" w:eastAsia="仿宋" w:cs="仿宋"/>
          <w:color w:val="auto"/>
          <w:spacing w:val="-4"/>
          <w:sz w:val="24"/>
          <w:szCs w:val="24"/>
          <w:highlight w:val="none"/>
        </w:rPr>
        <w:t>华人民共和国政</w:t>
      </w:r>
      <w:r>
        <w:rPr>
          <w:rFonts w:hint="eastAsia" w:ascii="仿宋" w:hAnsi="仿宋" w:eastAsia="仿宋" w:cs="仿宋"/>
          <w:color w:val="auto"/>
          <w:spacing w:val="-3"/>
          <w:sz w:val="24"/>
          <w:szCs w:val="24"/>
          <w:highlight w:val="none"/>
        </w:rPr>
        <w:t>府采购法》及相关法律法规，坚守公开、公平、公正和诚实信用等原则，依法诚</w:t>
      </w:r>
      <w:r>
        <w:rPr>
          <w:rFonts w:hint="eastAsia" w:ascii="仿宋" w:hAnsi="仿宋" w:eastAsia="仿宋" w:cs="仿宋"/>
          <w:color w:val="auto"/>
          <w:spacing w:val="-1"/>
          <w:sz w:val="24"/>
          <w:szCs w:val="24"/>
          <w:highlight w:val="none"/>
        </w:rPr>
        <w:t>信经营，并郑重承诺：</w:t>
      </w:r>
    </w:p>
    <w:p w14:paraId="1684D8D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一、我单位（本人）符合《中华人民共和国政府采购法》第二十二条规定：</w:t>
      </w:r>
    </w:p>
    <w:p w14:paraId="48D667DD">
      <w:pPr>
        <w:pStyle w:val="15"/>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（一）具有独立承担民事责任的能力;</w:t>
      </w:r>
    </w:p>
    <w:p w14:paraId="06BFF6FD">
      <w:pPr>
        <w:pStyle w:val="15"/>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（二）具有良好的商业信誉和健全的财务会计制度;</w:t>
      </w:r>
    </w:p>
    <w:p w14:paraId="6666014E">
      <w:pPr>
        <w:pStyle w:val="15"/>
        <w:keepNext w:val="0"/>
        <w:keepLines w:val="0"/>
        <w:pageBreakBefore w:val="0"/>
        <w:widowControl/>
        <w:kinsoku w:val="0"/>
        <w:wordWrap/>
        <w:overflowPunct/>
        <w:topLinePunct w:val="0"/>
        <w:autoSpaceDE w:val="0"/>
        <w:autoSpaceDN w:val="0"/>
        <w:bidi w:val="0"/>
        <w:adjustRightInd w:val="0"/>
        <w:snapToGrid w:val="0"/>
        <w:spacing w:before="276"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（三）具有履行合同所必需的设备和专业技术能力;</w:t>
      </w:r>
    </w:p>
    <w:p w14:paraId="0FCBACE1">
      <w:pPr>
        <w:pStyle w:val="15"/>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（四）有依法缴纳税收和社会保障资金的良好记录;</w:t>
      </w:r>
    </w:p>
    <w:p w14:paraId="27FC74E5">
      <w:pPr>
        <w:pStyle w:val="15"/>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（五）参加政府采购活动前三年内，在经营活动中没有重</w:t>
      </w:r>
      <w:r>
        <w:rPr>
          <w:rFonts w:hint="eastAsia" w:ascii="仿宋" w:hAnsi="仿宋" w:eastAsia="仿宋" w:cs="仿宋"/>
          <w:color w:val="auto"/>
          <w:sz w:val="24"/>
          <w:szCs w:val="24"/>
          <w:highlight w:val="none"/>
        </w:rPr>
        <w:t>大违法记录;</w:t>
      </w:r>
    </w:p>
    <w:p w14:paraId="66B8E58C">
      <w:pPr>
        <w:pStyle w:val="15"/>
        <w:keepNext w:val="0"/>
        <w:keepLines w:val="0"/>
        <w:pageBreakBefore w:val="0"/>
        <w:widowControl/>
        <w:kinsoku w:val="0"/>
        <w:wordWrap/>
        <w:overflowPunct/>
        <w:topLinePunct w:val="0"/>
        <w:autoSpaceDE w:val="0"/>
        <w:autoSpaceDN w:val="0"/>
        <w:bidi w:val="0"/>
        <w:adjustRightInd w:val="0"/>
        <w:snapToGrid w:val="0"/>
        <w:spacing w:before="277"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（六）符合法律、行政法规规定的其他条件。</w:t>
      </w:r>
    </w:p>
    <w:p w14:paraId="1ABE87D4">
      <w:pPr>
        <w:pStyle w:val="15"/>
        <w:keepNext w:val="0"/>
        <w:keepLines w:val="0"/>
        <w:pageBreakBefore w:val="0"/>
        <w:widowControl/>
        <w:kinsoku w:val="0"/>
        <w:wordWrap/>
        <w:overflowPunct/>
        <w:topLinePunct w:val="0"/>
        <w:autoSpaceDE w:val="0"/>
        <w:autoSpaceDN w:val="0"/>
        <w:bidi w:val="0"/>
        <w:adjustRightInd w:val="0"/>
        <w:snapToGrid w:val="0"/>
        <w:spacing w:before="272" w:line="36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二、我单位（本人）未被列入严重违法失信名单、失信</w:t>
      </w:r>
      <w:r>
        <w:rPr>
          <w:rFonts w:hint="eastAsia" w:ascii="仿宋" w:hAnsi="仿宋" w:eastAsia="仿宋" w:cs="仿宋"/>
          <w:color w:val="auto"/>
          <w:spacing w:val="-4"/>
          <w:sz w:val="24"/>
          <w:szCs w:val="24"/>
          <w:highlight w:val="none"/>
        </w:rPr>
        <w:t>被执行人名单、重大</w:t>
      </w:r>
      <w:r>
        <w:rPr>
          <w:rFonts w:hint="eastAsia" w:ascii="仿宋" w:hAnsi="仿宋" w:eastAsia="仿宋" w:cs="仿宋"/>
          <w:color w:val="auto"/>
          <w:spacing w:val="-1"/>
          <w:sz w:val="24"/>
          <w:szCs w:val="24"/>
          <w:highlight w:val="none"/>
        </w:rPr>
        <w:t>税收违法失信主体、政府采购严重违法失信行为记录名单。</w:t>
      </w:r>
    </w:p>
    <w:p w14:paraId="6C9C13FA">
      <w:pPr>
        <w:pStyle w:val="15"/>
        <w:keepNext w:val="0"/>
        <w:keepLines w:val="0"/>
        <w:pageBreakBefore w:val="0"/>
        <w:widowControl/>
        <w:kinsoku w:val="0"/>
        <w:wordWrap/>
        <w:overflowPunct/>
        <w:topLinePunct w:val="0"/>
        <w:autoSpaceDE w:val="0"/>
        <w:autoSpaceDN w:val="0"/>
        <w:bidi w:val="0"/>
        <w:adjustRightInd w:val="0"/>
        <w:snapToGrid w:val="0"/>
        <w:spacing w:before="276" w:line="36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三、如果本公司（本人）有幸中标（成交</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3"/>
          <w:sz w:val="24"/>
          <w:szCs w:val="24"/>
          <w:highlight w:val="none"/>
        </w:rPr>
        <w:t>在合同签订之前，采购单位有</w:t>
      </w:r>
      <w:r>
        <w:rPr>
          <w:rFonts w:hint="eastAsia" w:ascii="仿宋" w:hAnsi="仿宋" w:eastAsia="仿宋" w:cs="仿宋"/>
          <w:color w:val="auto"/>
          <w:spacing w:val="-1"/>
          <w:sz w:val="24"/>
          <w:szCs w:val="24"/>
          <w:highlight w:val="none"/>
        </w:rPr>
        <w:t>权要求本公司（本人）提供资格证明材料原件进行核验。</w:t>
      </w:r>
    </w:p>
    <w:p w14:paraId="26D4301D">
      <w:pPr>
        <w:pStyle w:val="15"/>
        <w:keepNext w:val="0"/>
        <w:keepLines w:val="0"/>
        <w:pageBreakBefore w:val="0"/>
        <w:widowControl/>
        <w:kinsoku w:val="0"/>
        <w:wordWrap/>
        <w:overflowPunct/>
        <w:topLinePunct w:val="0"/>
        <w:autoSpaceDE w:val="0"/>
        <w:autoSpaceDN w:val="0"/>
        <w:bidi w:val="0"/>
        <w:adjustRightInd w:val="0"/>
        <w:snapToGrid w:val="0"/>
        <w:spacing w:before="272" w:line="360" w:lineRule="auto"/>
        <w:ind w:left="0" w:leftChars="0" w:right="0" w:firstLine="46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四、我单位（本人）保证上述承诺事项的真实性。如有弄虚作假或其他违法违规行为，自愿按照规定将违背承诺行为作</w:t>
      </w:r>
      <w:r>
        <w:rPr>
          <w:rFonts w:hint="eastAsia" w:ascii="仿宋" w:hAnsi="仿宋" w:eastAsia="仿宋" w:cs="仿宋"/>
          <w:color w:val="auto"/>
          <w:spacing w:val="-5"/>
          <w:sz w:val="24"/>
          <w:szCs w:val="24"/>
          <w:highlight w:val="none"/>
        </w:rPr>
        <w:t>为失信行为记录到社会信用信息平台，</w:t>
      </w:r>
      <w:r>
        <w:rPr>
          <w:rFonts w:hint="eastAsia" w:ascii="仿宋" w:hAnsi="仿宋" w:eastAsia="仿宋" w:cs="仿宋"/>
          <w:color w:val="auto"/>
          <w:spacing w:val="-1"/>
          <w:sz w:val="24"/>
          <w:szCs w:val="24"/>
          <w:highlight w:val="none"/>
        </w:rPr>
        <w:t>并视同为“提供虚假材料谋取中标、成交</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1"/>
          <w:sz w:val="24"/>
          <w:szCs w:val="24"/>
          <w:highlight w:val="none"/>
        </w:rPr>
        <w:t>”按照《中华人民共</w:t>
      </w:r>
      <w:r>
        <w:rPr>
          <w:rFonts w:hint="eastAsia" w:ascii="仿宋" w:hAnsi="仿宋" w:eastAsia="仿宋" w:cs="仿宋"/>
          <w:color w:val="auto"/>
          <w:spacing w:val="-2"/>
          <w:sz w:val="24"/>
          <w:szCs w:val="24"/>
          <w:highlight w:val="none"/>
        </w:rPr>
        <w:t>和国政府采购法》</w:t>
      </w:r>
    </w:p>
    <w:p w14:paraId="3AE40CAC">
      <w:pPr>
        <w:pStyle w:val="15"/>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68" w:firstLineChars="200"/>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3"/>
          <w:sz w:val="24"/>
          <w:szCs w:val="24"/>
          <w:highlight w:val="none"/>
        </w:rPr>
        <w:t>第七十七、七十九条规定，处以采购金额千分之五以上千分之十以下的罚款，列入不良行为记录名单，在一至三年内禁止参加政府采购活动，有违法所得的，</w:t>
      </w:r>
      <w:r>
        <w:rPr>
          <w:rFonts w:hint="eastAsia" w:ascii="仿宋" w:hAnsi="仿宋" w:eastAsia="仿宋" w:cs="仿宋"/>
          <w:color w:val="auto"/>
          <w:spacing w:val="-1"/>
          <w:sz w:val="24"/>
          <w:szCs w:val="24"/>
          <w:highlight w:val="none"/>
        </w:rPr>
        <w:t>处没收违法所得，情节严重的，由市场监管部门吊销营业执照；构成犯罪的，依法追究刑事责任；给他人造成损失的，并应依照有关民事法律规定承担民事责任。</w:t>
      </w:r>
    </w:p>
    <w:p w14:paraId="4E75AF7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4"/>
          <w:szCs w:val="24"/>
          <w:highlight w:val="none"/>
        </w:rPr>
      </w:pPr>
    </w:p>
    <w:p w14:paraId="00616277">
      <w:pPr>
        <w:pStyle w:val="15"/>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供应商名称（公章</w:t>
      </w:r>
      <w:r>
        <w:rPr>
          <w:rFonts w:hint="eastAsia" w:ascii="仿宋" w:hAnsi="仿宋" w:eastAsia="仿宋" w:cs="仿宋"/>
          <w:color w:val="auto"/>
          <w:spacing w:val="2"/>
          <w:sz w:val="24"/>
          <w:szCs w:val="24"/>
          <w:highlight w:val="none"/>
        </w:rPr>
        <w:t>）：</w:t>
      </w:r>
    </w:p>
    <w:p w14:paraId="3BAD7304">
      <w:pPr>
        <w:pStyle w:val="15"/>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法定代表人（签字或盖章</w:t>
      </w:r>
      <w:r>
        <w:rPr>
          <w:rFonts w:hint="eastAsia" w:ascii="仿宋" w:hAnsi="仿宋" w:eastAsia="仿宋" w:cs="仿宋"/>
          <w:color w:val="auto"/>
          <w:spacing w:val="6"/>
          <w:sz w:val="24"/>
          <w:szCs w:val="24"/>
          <w:highlight w:val="none"/>
        </w:rPr>
        <w:t>）：</w:t>
      </w:r>
    </w:p>
    <w:p w14:paraId="7DDAB75E">
      <w:pPr>
        <w:pStyle w:val="15"/>
        <w:keepNext w:val="0"/>
        <w:keepLines w:val="0"/>
        <w:pageBreakBefore w:val="0"/>
        <w:widowControl/>
        <w:kinsoku w:val="0"/>
        <w:wordWrap/>
        <w:overflowPunct/>
        <w:topLinePunct w:val="0"/>
        <w:autoSpaceDE w:val="0"/>
        <w:autoSpaceDN w:val="0"/>
        <w:bidi w:val="0"/>
        <w:adjustRightInd w:val="0"/>
        <w:snapToGrid w:val="0"/>
        <w:spacing w:before="276" w:line="360" w:lineRule="auto"/>
        <w:ind w:left="0" w:leftChars="0" w:right="0" w:firstLine="42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日期：</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3"/>
          <w:sz w:val="24"/>
          <w:szCs w:val="24"/>
          <w:highlight w:val="none"/>
        </w:rPr>
        <w:t>年</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3"/>
          <w:sz w:val="24"/>
          <w:szCs w:val="24"/>
          <w:highlight w:val="none"/>
        </w:rPr>
        <w:t>月</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3"/>
          <w:sz w:val="24"/>
          <w:szCs w:val="24"/>
          <w:highlight w:val="none"/>
        </w:rPr>
        <w:t>日</w:t>
      </w:r>
    </w:p>
    <w:p w14:paraId="53C43D76">
      <w:pPr>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firstLine="480" w:firstLineChars="200"/>
        <w:textAlignment w:val="baseline"/>
        <w:rPr>
          <w:rFonts w:hint="eastAsia" w:ascii="仿宋" w:hAnsi="仿宋" w:eastAsia="仿宋" w:cs="仿宋"/>
          <w:color w:val="auto"/>
          <w:sz w:val="24"/>
          <w:szCs w:val="24"/>
          <w:highlight w:val="none"/>
        </w:rPr>
        <w:sectPr>
          <w:headerReference r:id="rId12" w:type="default"/>
          <w:footerReference r:id="rId13" w:type="default"/>
          <w:pgSz w:w="11906" w:h="16839"/>
          <w:pgMar w:top="1166" w:right="1718" w:bottom="1423" w:left="1785" w:header="830" w:footer="1154" w:gutter="0"/>
          <w:pgNumType w:fmt="decimal"/>
          <w:cols w:space="720" w:num="1"/>
        </w:sectPr>
      </w:pPr>
    </w:p>
    <w:p w14:paraId="4AA41D00">
      <w:pPr>
        <w:numPr>
          <w:ilvl w:val="0"/>
          <w:numId w:val="9"/>
        </w:numPr>
        <w:spacing w:line="360" w:lineRule="auto"/>
        <w:jc w:val="center"/>
        <w:outlineLvl w:val="1"/>
        <w:rPr>
          <w:rFonts w:hint="eastAsia" w:ascii="仿宋" w:hAnsi="仿宋" w:eastAsia="仿宋" w:cs="仿宋"/>
          <w:b/>
          <w:bCs/>
          <w:color w:val="auto"/>
          <w:spacing w:val="7"/>
          <w:kern w:val="2"/>
          <w:sz w:val="24"/>
          <w:szCs w:val="24"/>
          <w:highlight w:val="none"/>
          <w:lang w:val="en-US" w:eastAsia="zh-CN" w:bidi="ar-SA"/>
        </w:rPr>
      </w:pPr>
      <w:bookmarkStart w:id="122" w:name="_Toc4039"/>
      <w:r>
        <w:rPr>
          <w:rFonts w:hint="eastAsia" w:ascii="仿宋" w:hAnsi="仿宋" w:eastAsia="仿宋" w:cs="仿宋"/>
          <w:b/>
          <w:bCs/>
          <w:color w:val="auto"/>
          <w:spacing w:val="7"/>
          <w:kern w:val="2"/>
          <w:sz w:val="24"/>
          <w:szCs w:val="24"/>
          <w:highlight w:val="none"/>
          <w:lang w:val="en-US" w:eastAsia="zh-CN" w:bidi="ar-SA"/>
        </w:rPr>
        <w:t>中小微企业声明函</w:t>
      </w:r>
      <w:bookmarkEnd w:id="122"/>
    </w:p>
    <w:p w14:paraId="661646AA">
      <w:pPr>
        <w:numPr>
          <w:ilvl w:val="0"/>
          <w:numId w:val="0"/>
        </w:numPr>
        <w:spacing w:line="360" w:lineRule="auto"/>
        <w:jc w:val="center"/>
        <w:outlineLvl w:val="9"/>
        <w:rPr>
          <w:rFonts w:hint="eastAsia" w:ascii="仿宋" w:hAnsi="仿宋" w:eastAsia="仿宋" w:cs="仿宋"/>
          <w:b/>
          <w:bCs/>
          <w:color w:val="auto"/>
          <w:spacing w:val="7"/>
          <w:kern w:val="2"/>
          <w:sz w:val="24"/>
          <w:szCs w:val="24"/>
          <w:highlight w:val="none"/>
          <w:lang w:val="en-US" w:eastAsia="zh-CN" w:bidi="ar-SA"/>
        </w:rPr>
      </w:pPr>
      <w:r>
        <w:rPr>
          <w:rFonts w:hint="eastAsia" w:ascii="仿宋" w:hAnsi="仿宋" w:eastAsia="仿宋" w:cs="仿宋"/>
          <w:color w:val="auto"/>
          <w:spacing w:val="-4"/>
          <w:sz w:val="24"/>
          <w:szCs w:val="24"/>
          <w:highlight w:val="none"/>
        </w:rPr>
        <w:t>【如专门面向中小企业采购的项目，此函可放于此处，否</w:t>
      </w:r>
      <w:r>
        <w:rPr>
          <w:rFonts w:hint="eastAsia" w:ascii="仿宋" w:hAnsi="仿宋" w:eastAsia="仿宋" w:cs="仿宋"/>
          <w:color w:val="auto"/>
          <w:spacing w:val="-1"/>
          <w:sz w:val="24"/>
          <w:szCs w:val="24"/>
          <w:highlight w:val="none"/>
        </w:rPr>
        <w:t>则，应后置于“其他资格证明文件”】</w:t>
      </w:r>
    </w:p>
    <w:p w14:paraId="763EB1D0">
      <w:pPr>
        <w:widowControl/>
        <w:ind w:firstLine="480" w:firstLineChars="20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中小企业声明函（货物）</w:t>
      </w:r>
    </w:p>
    <w:p w14:paraId="7CE5D6AB">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本公司（联合体） 郑重声明， 根据《政府采购促进中小企业发展管理办法》（财库﹝2020﹞ 46号）的规定，本公司（联合体）参加</w:t>
      </w:r>
      <w:r>
        <w:rPr>
          <w:rFonts w:hint="eastAsia" w:ascii="仿宋" w:hAnsi="仿宋" w:eastAsia="仿宋" w:cs="仿宋"/>
          <w:bCs/>
          <w:color w:val="auto"/>
          <w:kern w:val="0"/>
          <w:sz w:val="24"/>
          <w:szCs w:val="24"/>
          <w:highlight w:val="none"/>
          <w:u w:val="single"/>
        </w:rPr>
        <w:t>（单位名称）</w:t>
      </w:r>
      <w:r>
        <w:rPr>
          <w:rFonts w:hint="eastAsia" w:ascii="仿宋" w:hAnsi="仿宋" w:eastAsia="仿宋" w:cs="仿宋"/>
          <w:bCs/>
          <w:color w:val="auto"/>
          <w:kern w:val="0"/>
          <w:sz w:val="24"/>
          <w:szCs w:val="24"/>
          <w:highlight w:val="none"/>
        </w:rPr>
        <w:t xml:space="preserve"> 的</w:t>
      </w:r>
      <w:r>
        <w:rPr>
          <w:rFonts w:hint="eastAsia" w:ascii="仿宋" w:hAnsi="仿宋" w:eastAsia="仿宋" w:cs="仿宋"/>
          <w:bCs/>
          <w:color w:val="auto"/>
          <w:kern w:val="0"/>
          <w:sz w:val="24"/>
          <w:szCs w:val="24"/>
          <w:highlight w:val="none"/>
          <w:u w:val="single"/>
        </w:rPr>
        <w:t>（项目名称）</w:t>
      </w:r>
      <w:r>
        <w:rPr>
          <w:rFonts w:hint="eastAsia" w:ascii="仿宋" w:hAnsi="仿宋" w:eastAsia="仿宋" w:cs="仿宋"/>
          <w:bCs/>
          <w:color w:val="auto"/>
          <w:kern w:val="0"/>
          <w:sz w:val="24"/>
          <w:szCs w:val="24"/>
          <w:highlight w:val="none"/>
        </w:rPr>
        <w:t>采购活动，提供的货物全部由符合政策要求的中小企业制造。相关企业（含联合体中的中小企业、 签订分包意向协议的中小企业）的具体情况如下：</w:t>
      </w:r>
    </w:p>
    <w:p w14:paraId="773D8001">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1. </w:t>
      </w:r>
      <w:r>
        <w:rPr>
          <w:rFonts w:hint="eastAsia" w:ascii="仿宋" w:hAnsi="仿宋" w:eastAsia="仿宋" w:cs="仿宋"/>
          <w:bCs/>
          <w:color w:val="auto"/>
          <w:kern w:val="0"/>
          <w:sz w:val="24"/>
          <w:szCs w:val="24"/>
          <w:highlight w:val="none"/>
          <w:u w:val="single"/>
        </w:rPr>
        <w:t>（标的名称）</w:t>
      </w:r>
      <w:r>
        <w:rPr>
          <w:rFonts w:hint="eastAsia" w:ascii="仿宋" w:hAnsi="仿宋" w:eastAsia="仿宋" w:cs="仿宋"/>
          <w:bCs/>
          <w:color w:val="auto"/>
          <w:kern w:val="0"/>
          <w:sz w:val="24"/>
          <w:szCs w:val="24"/>
          <w:highlight w:val="none"/>
        </w:rPr>
        <w:t xml:space="preserve"> ， 属于</w:t>
      </w:r>
      <w:r>
        <w:rPr>
          <w:rFonts w:hint="eastAsia" w:ascii="仿宋" w:hAnsi="仿宋" w:eastAsia="仿宋" w:cs="仿宋"/>
          <w:bCs/>
          <w:color w:val="auto"/>
          <w:kern w:val="0"/>
          <w:sz w:val="24"/>
          <w:szCs w:val="24"/>
          <w:highlight w:val="none"/>
          <w:u w:val="single"/>
        </w:rPr>
        <w:t>（采购文件中明确的所属行业）行业</w:t>
      </w:r>
      <w:r>
        <w:rPr>
          <w:rFonts w:hint="eastAsia" w:ascii="仿宋" w:hAnsi="仿宋" w:eastAsia="仿宋" w:cs="仿宋"/>
          <w:bCs/>
          <w:color w:val="auto"/>
          <w:kern w:val="0"/>
          <w:sz w:val="24"/>
          <w:szCs w:val="24"/>
          <w:highlight w:val="none"/>
        </w:rPr>
        <w:t>； 制造商为</w:t>
      </w:r>
      <w:r>
        <w:rPr>
          <w:rFonts w:hint="eastAsia" w:ascii="仿宋" w:hAnsi="仿宋" w:eastAsia="仿宋" w:cs="仿宋"/>
          <w:bCs/>
          <w:color w:val="auto"/>
          <w:kern w:val="0"/>
          <w:sz w:val="24"/>
          <w:szCs w:val="24"/>
          <w:highlight w:val="none"/>
          <w:u w:val="single"/>
        </w:rPr>
        <w:t>（ 企业名称）</w:t>
      </w:r>
      <w:r>
        <w:rPr>
          <w:rFonts w:hint="eastAsia" w:ascii="仿宋" w:hAnsi="仿宋" w:eastAsia="仿宋" w:cs="仿宋"/>
          <w:bCs/>
          <w:color w:val="auto"/>
          <w:kern w:val="0"/>
          <w:sz w:val="24"/>
          <w:szCs w:val="24"/>
          <w:highlight w:val="none"/>
        </w:rPr>
        <w:t>， 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 营业收入为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万元，属于（</w:t>
      </w:r>
      <w:r>
        <w:rPr>
          <w:rFonts w:hint="eastAsia" w:ascii="仿宋" w:hAnsi="仿宋" w:eastAsia="仿宋" w:cs="仿宋"/>
          <w:bCs/>
          <w:color w:val="auto"/>
          <w:kern w:val="0"/>
          <w:sz w:val="24"/>
          <w:szCs w:val="24"/>
          <w:highlight w:val="none"/>
          <w:u w:val="single"/>
        </w:rPr>
        <w:t>中型企业、 小型企业、 微型企业</w:t>
      </w:r>
      <w:r>
        <w:rPr>
          <w:rFonts w:hint="eastAsia" w:ascii="仿宋" w:hAnsi="仿宋" w:eastAsia="仿宋" w:cs="仿宋"/>
          <w:bCs/>
          <w:color w:val="auto"/>
          <w:kern w:val="0"/>
          <w:sz w:val="24"/>
          <w:szCs w:val="24"/>
          <w:highlight w:val="none"/>
        </w:rPr>
        <w:t>）；</w:t>
      </w:r>
    </w:p>
    <w:p w14:paraId="0DAAC09A">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2. </w:t>
      </w:r>
      <w:r>
        <w:rPr>
          <w:rFonts w:hint="eastAsia" w:ascii="仿宋" w:hAnsi="仿宋" w:eastAsia="仿宋" w:cs="仿宋"/>
          <w:bCs/>
          <w:color w:val="auto"/>
          <w:kern w:val="0"/>
          <w:sz w:val="24"/>
          <w:szCs w:val="24"/>
          <w:highlight w:val="none"/>
          <w:u w:val="single"/>
        </w:rPr>
        <w:t>（标的名称）</w:t>
      </w:r>
      <w:r>
        <w:rPr>
          <w:rFonts w:hint="eastAsia" w:ascii="仿宋" w:hAnsi="仿宋" w:eastAsia="仿宋" w:cs="仿宋"/>
          <w:bCs/>
          <w:color w:val="auto"/>
          <w:kern w:val="0"/>
          <w:sz w:val="24"/>
          <w:szCs w:val="24"/>
          <w:highlight w:val="none"/>
        </w:rPr>
        <w:t xml:space="preserve"> ， 属于</w:t>
      </w:r>
      <w:r>
        <w:rPr>
          <w:rFonts w:hint="eastAsia" w:ascii="仿宋" w:hAnsi="仿宋" w:eastAsia="仿宋" w:cs="仿宋"/>
          <w:bCs/>
          <w:color w:val="auto"/>
          <w:kern w:val="0"/>
          <w:sz w:val="24"/>
          <w:szCs w:val="24"/>
          <w:highlight w:val="none"/>
          <w:u w:val="single"/>
        </w:rPr>
        <w:t>（采购文件中明确的所属行业）</w:t>
      </w:r>
      <w:r>
        <w:rPr>
          <w:rFonts w:hint="eastAsia" w:ascii="仿宋" w:hAnsi="仿宋" w:eastAsia="仿宋" w:cs="仿宋"/>
          <w:bCs/>
          <w:color w:val="auto"/>
          <w:kern w:val="0"/>
          <w:sz w:val="24"/>
          <w:szCs w:val="24"/>
          <w:highlight w:val="none"/>
        </w:rPr>
        <w:t>行业； 制造商为</w:t>
      </w:r>
      <w:r>
        <w:rPr>
          <w:rFonts w:hint="eastAsia" w:ascii="仿宋" w:hAnsi="仿宋" w:eastAsia="仿宋" w:cs="仿宋"/>
          <w:bCs/>
          <w:color w:val="auto"/>
          <w:kern w:val="0"/>
          <w:sz w:val="24"/>
          <w:szCs w:val="24"/>
          <w:highlight w:val="none"/>
          <w:u w:val="single"/>
        </w:rPr>
        <w:t>（ 企业名称）</w:t>
      </w:r>
      <w:r>
        <w:rPr>
          <w:rFonts w:hint="eastAsia" w:ascii="仿宋" w:hAnsi="仿宋" w:eastAsia="仿宋" w:cs="仿宋"/>
          <w:bCs/>
          <w:color w:val="auto"/>
          <w:kern w:val="0"/>
          <w:sz w:val="24"/>
          <w:szCs w:val="24"/>
          <w:highlight w:val="none"/>
        </w:rPr>
        <w:t>， 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 营业收入为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属于</w:t>
      </w:r>
      <w:r>
        <w:rPr>
          <w:rFonts w:hint="eastAsia" w:ascii="仿宋" w:hAnsi="仿宋" w:eastAsia="仿宋" w:cs="仿宋"/>
          <w:bCs/>
          <w:color w:val="auto"/>
          <w:kern w:val="0"/>
          <w:sz w:val="24"/>
          <w:szCs w:val="24"/>
          <w:highlight w:val="none"/>
          <w:u w:val="single"/>
        </w:rPr>
        <w:t>（中型企业、 小型企业、 微型企业）</w:t>
      </w:r>
      <w:r>
        <w:rPr>
          <w:rFonts w:hint="eastAsia" w:ascii="仿宋" w:hAnsi="仿宋" w:eastAsia="仿宋" w:cs="仿宋"/>
          <w:bCs/>
          <w:color w:val="auto"/>
          <w:kern w:val="0"/>
          <w:sz w:val="24"/>
          <w:szCs w:val="24"/>
          <w:highlight w:val="none"/>
        </w:rPr>
        <w:t>；</w:t>
      </w:r>
    </w:p>
    <w:p w14:paraId="1D51241F">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w:t>
      </w:r>
    </w:p>
    <w:p w14:paraId="607BF542">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以上企业， 不属于大企业的分支机构， 不存在控股股东为大企业的情形， 也不存在与大企业的负责人为同一人的情形。</w:t>
      </w:r>
    </w:p>
    <w:p w14:paraId="222405C9">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本企业对上述声明内容的真实性负责。 如有虚假， 将依法承担相应责任。</w:t>
      </w:r>
    </w:p>
    <w:p w14:paraId="64BD473D">
      <w:pPr>
        <w:widowControl/>
        <w:wordWrap w:val="0"/>
        <w:spacing w:line="360" w:lineRule="auto"/>
        <w:ind w:firstLine="480" w:firstLineChars="200"/>
        <w:jc w:val="right"/>
        <w:rPr>
          <w:rFonts w:hint="eastAsia" w:ascii="仿宋" w:hAnsi="仿宋" w:eastAsia="仿宋" w:cs="仿宋"/>
          <w:bCs/>
          <w:color w:val="auto"/>
          <w:kern w:val="0"/>
          <w:sz w:val="24"/>
          <w:szCs w:val="24"/>
          <w:highlight w:val="none"/>
        </w:rPr>
      </w:pPr>
    </w:p>
    <w:p w14:paraId="54379E73">
      <w:pPr>
        <w:widowControl/>
        <w:wordWrap w:val="0"/>
        <w:spacing w:line="360" w:lineRule="auto"/>
        <w:ind w:firstLine="480" w:firstLineChars="200"/>
        <w:jc w:val="righ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企业名称（盖章）：        </w:t>
      </w:r>
    </w:p>
    <w:p w14:paraId="0EB1650C">
      <w:pPr>
        <w:widowControl/>
        <w:wordWrap w:val="0"/>
        <w:spacing w:line="360" w:lineRule="auto"/>
        <w:ind w:right="480" w:firstLine="480" w:firstLineChars="200"/>
        <w:jc w:val="righ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日 期：</w:t>
      </w:r>
    </w:p>
    <w:p w14:paraId="7D127FE2">
      <w:pPr>
        <w:widowControl/>
        <w:wordWrap w:val="0"/>
        <w:spacing w:line="360" w:lineRule="auto"/>
        <w:ind w:right="480" w:firstLine="480" w:firstLineChars="200"/>
        <w:jc w:val="right"/>
        <w:rPr>
          <w:rFonts w:hint="eastAsia" w:ascii="仿宋" w:hAnsi="仿宋" w:eastAsia="仿宋" w:cs="仿宋"/>
          <w:bCs/>
          <w:color w:val="auto"/>
          <w:kern w:val="0"/>
          <w:sz w:val="24"/>
          <w:szCs w:val="24"/>
          <w:highlight w:val="none"/>
        </w:rPr>
      </w:pPr>
    </w:p>
    <w:p w14:paraId="00710EB0">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注：</w:t>
      </w:r>
      <w:r>
        <w:rPr>
          <w:rFonts w:hint="eastAsia" w:ascii="仿宋" w:hAnsi="仿宋" w:eastAsia="仿宋" w:cs="仿宋"/>
          <w:bCs/>
          <w:color w:val="auto"/>
          <w:kern w:val="0"/>
          <w:sz w:val="22"/>
          <w:szCs w:val="22"/>
          <w:highlight w:val="none"/>
        </w:rPr>
        <w:t>从业人员、 营业收入、 资产总额填报上一年度数据， 无上一年度数据的新成立企业可不填报。（若响应文件中无上述文件，则在评审时不考虑对该小、微企业的相关优惠。）</w:t>
      </w:r>
      <w:r>
        <w:rPr>
          <w:rFonts w:hint="eastAsia" w:ascii="仿宋" w:hAnsi="仿宋" w:eastAsia="仿宋" w:cs="仿宋"/>
          <w:bCs/>
          <w:color w:val="auto"/>
          <w:kern w:val="0"/>
          <w:sz w:val="24"/>
          <w:szCs w:val="24"/>
          <w:highlight w:val="none"/>
        </w:rPr>
        <w:t xml:space="preserve"> </w:t>
      </w:r>
    </w:p>
    <w:p w14:paraId="23A10428">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7F5C0AC">
      <w:pPr>
        <w:kinsoku/>
        <w:bidi w:val="0"/>
        <w:adjustRightInd w:val="0"/>
        <w:snapToGrid w:val="0"/>
        <w:spacing w:line="336"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关于印发中小企业划型标准规定的通知</w:t>
      </w:r>
    </w:p>
    <w:p w14:paraId="4C557B03">
      <w:pPr>
        <w:kinsoku/>
        <w:bidi w:val="0"/>
        <w:adjustRightInd w:val="0"/>
        <w:snapToGrid w:val="0"/>
        <w:spacing w:line="336"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工信部联企业〔2011〕300号</w:t>
      </w:r>
    </w:p>
    <w:p w14:paraId="2FB62A14">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各省、自治区、直辖市人民政府，国务院各部委、各直属机构及有关单位：</w:t>
      </w:r>
    </w:p>
    <w:p w14:paraId="160D850A">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914CA0B">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工业和信息化部　国家统计局</w:t>
      </w:r>
    </w:p>
    <w:p w14:paraId="2895CFE3">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国家发展和改革委员会　财政部</w:t>
      </w:r>
    </w:p>
    <w:p w14:paraId="08DE847B">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eastAsia="zh-CN"/>
        </w:rPr>
        <w:t>二〇一一</w:t>
      </w:r>
      <w:r>
        <w:rPr>
          <w:rFonts w:hint="eastAsia" w:ascii="仿宋" w:hAnsi="仿宋" w:eastAsia="仿宋" w:cs="仿宋"/>
          <w:color w:val="auto"/>
          <w:sz w:val="24"/>
          <w:highlight w:val="none"/>
        </w:rPr>
        <w:t>年六月十八日</w:t>
      </w:r>
    </w:p>
    <w:p w14:paraId="67D0C855">
      <w:pPr>
        <w:kinsoku/>
        <w:bidi w:val="0"/>
        <w:adjustRightInd w:val="0"/>
        <w:snapToGrid w:val="0"/>
        <w:spacing w:line="276"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中小企业划型标准规定</w:t>
      </w:r>
    </w:p>
    <w:p w14:paraId="565464FA">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一、根据《中华人民共和国中小企业促进法》和《国务院关于进一步促进中小企业发展的若干意见》(国发〔2009〕36号)，制定本规定。</w:t>
      </w:r>
    </w:p>
    <w:p w14:paraId="77C65A84">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二、中小企业划分为中型、小型、微型三种类型，具体标准根据企业从业人员、营业收入、资产总额等指标，结合行业特点制定。</w:t>
      </w:r>
    </w:p>
    <w:p w14:paraId="20E78D89">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851BE39">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四、各行业划型标准为：</w:t>
      </w:r>
    </w:p>
    <w:p w14:paraId="3CDC910C">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76CD78A7">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B01704">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275535">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8CE2C54">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7484BB3">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9611444">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0636BC">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BD3277D">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F5C521">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23DF9B">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8BC252">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6D1A215">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1BA55D7">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AD26F75">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34D1E0">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37E12E38">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五、企业类型的划分以统计部门的统计数据为依据。</w:t>
      </w:r>
    </w:p>
    <w:p w14:paraId="1193266D">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六、本规定适用于在中华人民共和国境内依法设立的各类所有制和各种组织形式的企业。个体工商户和本规定以外的行业，参照本规定进行划型。</w:t>
      </w:r>
    </w:p>
    <w:p w14:paraId="625F1E1C">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507A050">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八、本规定由工业和信息化部、国家统计局会同有关部门根据《国民经济行业分类》修订情况和企业发展变化情况适时修订。</w:t>
      </w:r>
    </w:p>
    <w:p w14:paraId="790DC728">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九、本规定由工业和信息化部、国家统计局会同有关部门负责解释。</w:t>
      </w:r>
    </w:p>
    <w:p w14:paraId="63DCF5C6">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十、本规定自发布之日起执行，原国家经贸委、原国家计委、财政部和国家统计局2003年颁布的《中小企业标准暂行规定》同时废止。</w:t>
      </w:r>
    </w:p>
    <w:p w14:paraId="6B9C4A81">
      <w:pPr>
        <w:tabs>
          <w:tab w:val="left" w:pos="3777"/>
          <w:tab w:val="center" w:pos="4819"/>
        </w:tabs>
        <w:spacing w:line="440" w:lineRule="exact"/>
        <w:jc w:val="center"/>
        <w:outlineLvl w:val="1"/>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br w:type="page"/>
      </w:r>
      <w:bookmarkStart w:id="123" w:name="_Toc9199"/>
      <w:r>
        <w:rPr>
          <w:rFonts w:hint="eastAsia" w:ascii="仿宋" w:hAnsi="仿宋" w:eastAsia="仿宋" w:cs="仿宋"/>
          <w:b/>
          <w:bCs/>
          <w:color w:val="auto"/>
          <w:spacing w:val="7"/>
          <w:kern w:val="2"/>
          <w:sz w:val="24"/>
          <w:szCs w:val="24"/>
          <w:highlight w:val="none"/>
          <w:lang w:val="en-US" w:eastAsia="zh-CN" w:bidi="ar-SA"/>
        </w:rPr>
        <w:t>（四）监狱企业声明函</w:t>
      </w:r>
      <w:bookmarkEnd w:id="123"/>
    </w:p>
    <w:p w14:paraId="7607E8B4">
      <w:pPr>
        <w:pStyle w:val="15"/>
        <w:keepNext w:val="0"/>
        <w:keepLines w:val="0"/>
        <w:pageBreakBefore w:val="0"/>
        <w:widowControl/>
        <w:kinsoku w:val="0"/>
        <w:wordWrap/>
        <w:overflowPunct/>
        <w:topLinePunct w:val="0"/>
        <w:autoSpaceDE w:val="0"/>
        <w:autoSpaceDN w:val="0"/>
        <w:bidi w:val="0"/>
        <w:adjustRightInd w:val="0"/>
        <w:snapToGrid w:val="0"/>
        <w:spacing w:before="78" w:line="220" w:lineRule="auto"/>
        <w:ind w:left="0" w:leftChars="0" w:right="0" w:firstLine="468" w:firstLineChars="200"/>
        <w:jc w:val="center"/>
        <w:textAlignment w:val="baseline"/>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pacing w:val="-3"/>
          <w:sz w:val="24"/>
          <w:szCs w:val="24"/>
          <w:highlight w:val="none"/>
        </w:rPr>
        <w:t>【如适用】</w:t>
      </w:r>
    </w:p>
    <w:p w14:paraId="7C6B4552">
      <w:pPr>
        <w:spacing w:line="360" w:lineRule="auto"/>
        <w:ind w:firstLine="540" w:firstLineChars="225"/>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本公司郑重声明，根据《关于政府采购支持监狱企业发展有关问题的通知》（财库</w:t>
      </w:r>
      <w:r>
        <w:rPr>
          <w:rFonts w:hint="eastAsia" w:ascii="仿宋" w:hAnsi="仿宋" w:eastAsia="仿宋" w:cs="仿宋"/>
          <w:bCs/>
          <w:color w:val="auto"/>
          <w:kern w:val="0"/>
          <w:sz w:val="24"/>
          <w:szCs w:val="24"/>
          <w:highlight w:val="none"/>
          <w:lang w:eastAsia="zh-CN"/>
        </w:rPr>
        <w:t>〔2014〕68号</w:t>
      </w:r>
      <w:r>
        <w:rPr>
          <w:rFonts w:hint="eastAsia" w:ascii="仿宋" w:hAnsi="仿宋" w:eastAsia="仿宋" w:cs="仿宋"/>
          <w:bCs/>
          <w:color w:val="auto"/>
          <w:kern w:val="0"/>
          <w:sz w:val="24"/>
          <w:szCs w:val="24"/>
          <w:highlight w:val="none"/>
        </w:rPr>
        <w:t>）的规定，本公司为监狱企业。</w:t>
      </w:r>
    </w:p>
    <w:p w14:paraId="639D7370">
      <w:pPr>
        <w:spacing w:line="360" w:lineRule="auto"/>
        <w:ind w:firstLine="540" w:firstLineChars="225"/>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本公司参加______单位的______项目采购活动，采购活动提供本企业（填写制造的货物，由本企业承担工程、提供服务）。</w:t>
      </w:r>
    </w:p>
    <w:p w14:paraId="7108B50B">
      <w:pPr>
        <w:spacing w:line="360" w:lineRule="auto"/>
        <w:ind w:firstLine="540" w:firstLineChars="225"/>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本条所称货物不包括使用大型企业注册商标的货物和服务。</w:t>
      </w:r>
    </w:p>
    <w:p w14:paraId="77999DB6">
      <w:pPr>
        <w:spacing w:line="360" w:lineRule="auto"/>
        <w:ind w:firstLine="540" w:firstLineChars="225"/>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本公司对上述声明的真实性负责。如有虚假，将依法承担相应责任。</w:t>
      </w:r>
    </w:p>
    <w:p w14:paraId="3FC79D2A">
      <w:pPr>
        <w:spacing w:line="360" w:lineRule="auto"/>
        <w:ind w:firstLine="4860" w:firstLineChars="2025"/>
        <w:rPr>
          <w:rFonts w:hint="eastAsia" w:ascii="仿宋" w:hAnsi="仿宋" w:eastAsia="仿宋" w:cs="仿宋"/>
          <w:bCs/>
          <w:color w:val="auto"/>
          <w:kern w:val="0"/>
          <w:sz w:val="24"/>
          <w:szCs w:val="24"/>
          <w:highlight w:val="none"/>
        </w:rPr>
      </w:pPr>
    </w:p>
    <w:p w14:paraId="7DD47F9B">
      <w:pPr>
        <w:spacing w:line="360" w:lineRule="auto"/>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企业名称（盖公章）：</w:t>
      </w:r>
    </w:p>
    <w:p w14:paraId="47B10D26">
      <w:pPr>
        <w:spacing w:line="360" w:lineRule="auto"/>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法定代表人（负责人）或其授权代表</w:t>
      </w:r>
      <w:r>
        <w:rPr>
          <w:rFonts w:hint="eastAsia" w:ascii="仿宋" w:hAnsi="仿宋" w:eastAsia="仿宋" w:cs="仿宋"/>
          <w:bCs/>
          <w:color w:val="auto"/>
          <w:sz w:val="24"/>
          <w:highlight w:val="none"/>
        </w:rPr>
        <w:t>（签字或盖章）</w:t>
      </w:r>
      <w:r>
        <w:rPr>
          <w:rFonts w:hint="eastAsia" w:ascii="仿宋" w:hAnsi="仿宋" w:eastAsia="仿宋" w:cs="仿宋"/>
          <w:bCs/>
          <w:color w:val="auto"/>
          <w:kern w:val="0"/>
          <w:sz w:val="24"/>
          <w:szCs w:val="24"/>
          <w:highlight w:val="none"/>
        </w:rPr>
        <w:t>：</w:t>
      </w:r>
    </w:p>
    <w:p w14:paraId="5635DAFE">
      <w:pPr>
        <w:tabs>
          <w:tab w:val="left" w:pos="2880"/>
        </w:tabs>
        <w:spacing w:line="460" w:lineRule="atLeast"/>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日期：</w:t>
      </w:r>
    </w:p>
    <w:p w14:paraId="5BD73A0A">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注：后附监狱企业资格证明文件</w:t>
      </w:r>
    </w:p>
    <w:p w14:paraId="06F4AE81">
      <w:pPr>
        <w:spacing w:line="440" w:lineRule="exact"/>
        <w:ind w:firstLine="56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省级以上监狱管理局、戒毒管理局（含新疆生产建设兵团）出具的属于监狱企业的证明文件；</w:t>
      </w:r>
    </w:p>
    <w:p w14:paraId="3085DE68">
      <w:pPr>
        <w:tabs>
          <w:tab w:val="left" w:pos="2880"/>
        </w:tabs>
        <w:spacing w:line="460" w:lineRule="atLeast"/>
        <w:ind w:firstLine="566" w:firstLineChars="236"/>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2.证明材料加盖投标人公章。</w:t>
      </w:r>
    </w:p>
    <w:p w14:paraId="1A0F7E2C">
      <w:pPr>
        <w:spacing w:line="36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（若响应性文件中无上述证明文件，则在评审时不考虑对该监狱企业的相关优惠。） </w:t>
      </w:r>
    </w:p>
    <w:p w14:paraId="5AFAA3E2">
      <w:pPr>
        <w:tabs>
          <w:tab w:val="left" w:pos="3600"/>
        </w:tabs>
        <w:adjustRightInd w:val="0"/>
        <w:snapToGrid w:val="0"/>
        <w:spacing w:line="440" w:lineRule="exact"/>
        <w:jc w:val="center"/>
        <w:rPr>
          <w:rFonts w:hint="eastAsia" w:ascii="仿宋" w:hAnsi="仿宋" w:eastAsia="仿宋" w:cs="仿宋"/>
          <w:bCs/>
          <w:color w:val="auto"/>
          <w:sz w:val="24"/>
          <w:szCs w:val="24"/>
          <w:highlight w:val="none"/>
        </w:rPr>
      </w:pPr>
    </w:p>
    <w:p w14:paraId="1EEE14E2">
      <w:pPr>
        <w:tabs>
          <w:tab w:val="left" w:pos="3600"/>
        </w:tabs>
        <w:adjustRightInd w:val="0"/>
        <w:snapToGrid w:val="0"/>
        <w:spacing w:line="440" w:lineRule="exact"/>
        <w:jc w:val="center"/>
        <w:rPr>
          <w:rFonts w:hint="eastAsia" w:ascii="仿宋" w:hAnsi="仿宋" w:eastAsia="仿宋" w:cs="仿宋"/>
          <w:bCs/>
          <w:color w:val="auto"/>
          <w:sz w:val="24"/>
          <w:szCs w:val="24"/>
          <w:highlight w:val="none"/>
        </w:rPr>
        <w:sectPr>
          <w:pgSz w:w="11905" w:h="16838"/>
          <w:pgMar w:top="720" w:right="1417" w:bottom="720" w:left="1417" w:header="680" w:footer="680" w:gutter="0"/>
          <w:pgNumType w:fmt="decimal"/>
          <w:cols w:space="720" w:num="1"/>
          <w:docGrid w:type="lines" w:linePitch="416" w:charSpace="0"/>
        </w:sectPr>
      </w:pPr>
    </w:p>
    <w:p w14:paraId="06F46E8B">
      <w:pPr>
        <w:numPr>
          <w:ilvl w:val="0"/>
          <w:numId w:val="10"/>
        </w:numPr>
        <w:spacing w:line="360" w:lineRule="auto"/>
        <w:jc w:val="center"/>
        <w:outlineLvl w:val="1"/>
        <w:rPr>
          <w:rFonts w:hint="eastAsia" w:ascii="仿宋" w:hAnsi="仿宋" w:eastAsia="仿宋" w:cs="仿宋"/>
          <w:b/>
          <w:bCs/>
          <w:color w:val="auto"/>
          <w:spacing w:val="7"/>
          <w:kern w:val="2"/>
          <w:sz w:val="24"/>
          <w:szCs w:val="24"/>
          <w:highlight w:val="none"/>
          <w:lang w:val="en-US" w:eastAsia="zh-CN" w:bidi="ar-SA"/>
        </w:rPr>
      </w:pPr>
      <w:bookmarkStart w:id="124" w:name="_Toc9342"/>
      <w:r>
        <w:rPr>
          <w:rFonts w:hint="eastAsia" w:ascii="仿宋" w:hAnsi="仿宋" w:eastAsia="仿宋" w:cs="仿宋"/>
          <w:b/>
          <w:bCs/>
          <w:color w:val="auto"/>
          <w:spacing w:val="7"/>
          <w:kern w:val="2"/>
          <w:sz w:val="24"/>
          <w:szCs w:val="24"/>
          <w:highlight w:val="none"/>
          <w:lang w:val="en-US" w:eastAsia="zh-CN" w:bidi="ar-SA"/>
        </w:rPr>
        <w:t>残疾人福利性单位声明函</w:t>
      </w:r>
      <w:bookmarkEnd w:id="124"/>
    </w:p>
    <w:p w14:paraId="4D5F20F7">
      <w:pPr>
        <w:numPr>
          <w:ilvl w:val="0"/>
          <w:numId w:val="0"/>
        </w:numPr>
        <w:spacing w:line="360" w:lineRule="auto"/>
        <w:jc w:val="center"/>
        <w:outlineLvl w:val="9"/>
        <w:rPr>
          <w:rFonts w:hint="eastAsia" w:ascii="仿宋" w:hAnsi="仿宋" w:eastAsia="仿宋" w:cs="仿宋"/>
          <w:b w:val="0"/>
          <w:bCs w:val="0"/>
          <w:color w:val="auto"/>
          <w:spacing w:val="7"/>
          <w:kern w:val="2"/>
          <w:sz w:val="24"/>
          <w:szCs w:val="24"/>
          <w:highlight w:val="none"/>
          <w:lang w:val="en-US" w:eastAsia="zh-CN" w:bidi="ar-SA"/>
        </w:rPr>
      </w:pPr>
      <w:r>
        <w:rPr>
          <w:rFonts w:hint="eastAsia" w:ascii="仿宋" w:hAnsi="仿宋" w:eastAsia="仿宋" w:cs="仿宋"/>
          <w:b w:val="0"/>
          <w:bCs w:val="0"/>
          <w:color w:val="auto"/>
          <w:spacing w:val="7"/>
          <w:kern w:val="2"/>
          <w:sz w:val="24"/>
          <w:szCs w:val="24"/>
          <w:highlight w:val="none"/>
          <w:lang w:val="en-US" w:eastAsia="zh-CN" w:bidi="ar-SA"/>
        </w:rPr>
        <w:t>【如适用】</w:t>
      </w:r>
    </w:p>
    <w:p w14:paraId="2003EA55">
      <w:pPr>
        <w:autoSpaceDE w:val="0"/>
        <w:autoSpaceDN w:val="0"/>
        <w:adjustRightInd w:val="0"/>
        <w:spacing w:line="440" w:lineRule="exact"/>
        <w:rPr>
          <w:rFonts w:hint="eastAsia" w:ascii="仿宋" w:hAnsi="仿宋" w:eastAsia="仿宋" w:cs="仿宋"/>
          <w:bCs/>
          <w:color w:val="auto"/>
          <w:spacing w:val="6"/>
          <w:kern w:val="0"/>
          <w:sz w:val="24"/>
          <w:szCs w:val="24"/>
          <w:highlight w:val="none"/>
        </w:rPr>
      </w:pPr>
    </w:p>
    <w:p w14:paraId="77910BE6">
      <w:pPr>
        <w:widowControl/>
        <w:adjustRightInd w:val="0"/>
        <w:snapToGrid w:val="0"/>
        <w:spacing w:line="440" w:lineRule="exact"/>
        <w:ind w:firstLine="504" w:firstLineChars="200"/>
        <w:jc w:val="left"/>
        <w:rPr>
          <w:rFonts w:hint="eastAsia" w:ascii="仿宋" w:hAnsi="仿宋" w:eastAsia="仿宋" w:cs="仿宋"/>
          <w:bCs/>
          <w:color w:val="auto"/>
          <w:spacing w:val="6"/>
          <w:kern w:val="0"/>
          <w:sz w:val="24"/>
          <w:szCs w:val="24"/>
          <w:highlight w:val="none"/>
        </w:rPr>
      </w:pPr>
      <w:r>
        <w:rPr>
          <w:rFonts w:hint="eastAsia" w:ascii="仿宋" w:hAnsi="仿宋" w:eastAsia="仿宋" w:cs="仿宋"/>
          <w:bCs/>
          <w:color w:val="auto"/>
          <w:spacing w:val="6"/>
          <w:kern w:val="0"/>
          <w:sz w:val="24"/>
          <w:szCs w:val="24"/>
          <w:highlight w:val="none"/>
        </w:rPr>
        <w:t>本单位郑重声明，根据《财政部 民政部 中国残疾人联合会关于促进残疾人就业政府采购政策的通知》（财库</w:t>
      </w:r>
      <w:r>
        <w:rPr>
          <w:rFonts w:hint="eastAsia" w:ascii="仿宋" w:hAnsi="仿宋" w:eastAsia="仿宋" w:cs="仿宋"/>
          <w:bCs/>
          <w:color w:val="auto"/>
          <w:spacing w:val="6"/>
          <w:kern w:val="0"/>
          <w:sz w:val="24"/>
          <w:szCs w:val="24"/>
          <w:highlight w:val="none"/>
          <w:lang w:eastAsia="zh-CN"/>
        </w:rPr>
        <w:t>〔2017〕141号</w:t>
      </w:r>
      <w:r>
        <w:rPr>
          <w:rFonts w:hint="eastAsia" w:ascii="仿宋" w:hAnsi="仿宋" w:eastAsia="仿宋" w:cs="仿宋"/>
          <w:bCs/>
          <w:color w:val="auto"/>
          <w:spacing w:val="6"/>
          <w:kern w:val="0"/>
          <w:sz w:val="24"/>
          <w:szCs w:val="24"/>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9A3A86">
      <w:pPr>
        <w:widowControl/>
        <w:adjustRightInd w:val="0"/>
        <w:snapToGrid w:val="0"/>
        <w:spacing w:line="440" w:lineRule="exact"/>
        <w:ind w:firstLine="504" w:firstLineChars="200"/>
        <w:jc w:val="left"/>
        <w:rPr>
          <w:rFonts w:hint="eastAsia" w:ascii="仿宋" w:hAnsi="仿宋" w:eastAsia="仿宋" w:cs="仿宋"/>
          <w:bCs/>
          <w:color w:val="auto"/>
          <w:spacing w:val="6"/>
          <w:kern w:val="0"/>
          <w:sz w:val="24"/>
          <w:szCs w:val="24"/>
          <w:highlight w:val="none"/>
        </w:rPr>
      </w:pPr>
      <w:r>
        <w:rPr>
          <w:rFonts w:hint="eastAsia" w:ascii="仿宋" w:hAnsi="仿宋" w:eastAsia="仿宋" w:cs="仿宋"/>
          <w:bCs/>
          <w:color w:val="auto"/>
          <w:spacing w:val="6"/>
          <w:kern w:val="0"/>
          <w:sz w:val="24"/>
          <w:szCs w:val="24"/>
          <w:highlight w:val="none"/>
        </w:rPr>
        <w:t xml:space="preserve">本单位对上述声明的真实性负责。如有虚假，将依法承担相应责任。 </w:t>
      </w:r>
    </w:p>
    <w:p w14:paraId="5C66A0AC">
      <w:pPr>
        <w:widowControl/>
        <w:adjustRightInd w:val="0"/>
        <w:snapToGrid w:val="0"/>
        <w:spacing w:line="440" w:lineRule="exact"/>
        <w:ind w:firstLine="504" w:firstLineChars="200"/>
        <w:jc w:val="left"/>
        <w:rPr>
          <w:rFonts w:hint="eastAsia" w:ascii="仿宋" w:hAnsi="仿宋" w:eastAsia="仿宋" w:cs="仿宋"/>
          <w:bCs/>
          <w:color w:val="auto"/>
          <w:spacing w:val="6"/>
          <w:kern w:val="0"/>
          <w:sz w:val="24"/>
          <w:szCs w:val="24"/>
          <w:highlight w:val="none"/>
        </w:rPr>
      </w:pPr>
    </w:p>
    <w:p w14:paraId="1C475030">
      <w:pPr>
        <w:widowControl/>
        <w:adjustRightInd w:val="0"/>
        <w:snapToGrid w:val="0"/>
        <w:spacing w:line="440" w:lineRule="exact"/>
        <w:ind w:firstLine="5544" w:firstLineChars="2200"/>
        <w:jc w:val="left"/>
        <w:rPr>
          <w:rFonts w:hint="eastAsia" w:ascii="仿宋" w:hAnsi="仿宋" w:eastAsia="仿宋" w:cs="仿宋"/>
          <w:bCs/>
          <w:color w:val="auto"/>
          <w:spacing w:val="6"/>
          <w:kern w:val="0"/>
          <w:sz w:val="24"/>
          <w:szCs w:val="24"/>
          <w:highlight w:val="none"/>
        </w:rPr>
      </w:pPr>
      <w:r>
        <w:rPr>
          <w:rFonts w:hint="eastAsia" w:ascii="仿宋" w:hAnsi="仿宋" w:eastAsia="仿宋" w:cs="仿宋"/>
          <w:bCs/>
          <w:color w:val="auto"/>
          <w:spacing w:val="6"/>
          <w:kern w:val="0"/>
          <w:sz w:val="24"/>
          <w:szCs w:val="24"/>
          <w:highlight w:val="none"/>
        </w:rPr>
        <w:t>单位名称（盖章）：</w:t>
      </w:r>
    </w:p>
    <w:p w14:paraId="3FE5EE62">
      <w:pPr>
        <w:widowControl/>
        <w:adjustRightInd w:val="0"/>
        <w:snapToGrid w:val="0"/>
        <w:spacing w:line="440" w:lineRule="exact"/>
        <w:ind w:firstLine="504" w:firstLineChars="200"/>
        <w:jc w:val="left"/>
        <w:rPr>
          <w:rFonts w:hint="eastAsia" w:ascii="仿宋" w:hAnsi="仿宋" w:eastAsia="仿宋" w:cs="仿宋"/>
          <w:bCs/>
          <w:color w:val="auto"/>
          <w:highlight w:val="none"/>
        </w:rPr>
      </w:pPr>
      <w:r>
        <w:rPr>
          <w:rFonts w:hint="eastAsia" w:ascii="仿宋" w:hAnsi="仿宋" w:eastAsia="仿宋" w:cs="仿宋"/>
          <w:bCs/>
          <w:color w:val="auto"/>
          <w:spacing w:val="6"/>
          <w:kern w:val="0"/>
          <w:sz w:val="24"/>
          <w:szCs w:val="24"/>
          <w:highlight w:val="none"/>
        </w:rPr>
        <w:t xml:space="preserve">                                      日  期：</w:t>
      </w:r>
    </w:p>
    <w:p w14:paraId="3B2A67BD">
      <w:pPr>
        <w:widowControl/>
        <w:adjustRightInd w:val="0"/>
        <w:snapToGrid w:val="0"/>
        <w:spacing w:line="440" w:lineRule="exact"/>
        <w:ind w:firstLine="420" w:firstLineChars="200"/>
        <w:jc w:val="left"/>
        <w:rPr>
          <w:rFonts w:hint="eastAsia" w:ascii="仿宋" w:hAnsi="仿宋" w:eastAsia="仿宋" w:cs="仿宋"/>
          <w:bCs/>
          <w:color w:val="auto"/>
          <w:highlight w:val="none"/>
        </w:rPr>
      </w:pPr>
    </w:p>
    <w:p w14:paraId="75465FE1">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0" w:firstLineChars="200"/>
        <w:jc w:val="center"/>
        <w:textAlignment w:val="baseline"/>
        <w:outlineLvl w:val="1"/>
        <w:rPr>
          <w:rFonts w:hint="eastAsia" w:ascii="仿宋" w:hAnsi="仿宋" w:eastAsia="仿宋" w:cs="仿宋"/>
          <w:b/>
          <w:bCs/>
          <w:color w:val="auto"/>
          <w:spacing w:val="-3"/>
          <w:sz w:val="24"/>
          <w:szCs w:val="24"/>
          <w:highlight w:val="none"/>
          <w:lang w:val="en-US" w:eastAsia="zh-CN"/>
        </w:rPr>
        <w:sectPr>
          <w:headerReference r:id="rId14" w:type="default"/>
          <w:footerReference r:id="rId15" w:type="default"/>
          <w:pgSz w:w="11906" w:h="16839"/>
          <w:pgMar w:top="1166" w:right="1710" w:bottom="1423" w:left="1785" w:header="830" w:footer="1154" w:gutter="0"/>
          <w:pgNumType w:fmt="decimal"/>
          <w:cols w:space="720" w:num="1"/>
        </w:sectPr>
      </w:pPr>
    </w:p>
    <w:p w14:paraId="5EBD35F4">
      <w:pPr>
        <w:numPr>
          <w:ilvl w:val="0"/>
          <w:numId w:val="10"/>
        </w:numPr>
        <w:spacing w:line="360" w:lineRule="auto"/>
        <w:jc w:val="center"/>
        <w:outlineLvl w:val="1"/>
        <w:rPr>
          <w:rFonts w:hint="eastAsia" w:ascii="仿宋" w:hAnsi="仿宋" w:eastAsia="仿宋" w:cs="仿宋"/>
          <w:b/>
          <w:bCs/>
          <w:color w:val="auto"/>
          <w:spacing w:val="7"/>
          <w:kern w:val="2"/>
          <w:sz w:val="24"/>
          <w:szCs w:val="24"/>
          <w:highlight w:val="none"/>
          <w:lang w:val="en-US" w:eastAsia="zh-CN" w:bidi="ar-SA"/>
        </w:rPr>
      </w:pPr>
      <w:bookmarkStart w:id="125" w:name="_Toc27052"/>
      <w:bookmarkStart w:id="126" w:name="_Toc21399"/>
      <w:r>
        <w:rPr>
          <w:rFonts w:hint="eastAsia" w:ascii="仿宋" w:hAnsi="仿宋" w:eastAsia="仿宋" w:cs="仿宋"/>
          <w:b/>
          <w:bCs/>
          <w:color w:val="auto"/>
          <w:spacing w:val="7"/>
          <w:kern w:val="2"/>
          <w:sz w:val="24"/>
          <w:szCs w:val="24"/>
          <w:highlight w:val="none"/>
          <w:lang w:val="en-US" w:eastAsia="zh-CN" w:bidi="ar-SA"/>
        </w:rPr>
        <w:t>不参与围标串标承诺书</w:t>
      </w:r>
      <w:bookmarkEnd w:id="125"/>
      <w:bookmarkEnd w:id="126"/>
    </w:p>
    <w:p w14:paraId="5DC448AD">
      <w:pPr>
        <w:keepNext w:val="0"/>
        <w:keepLines w:val="0"/>
        <w:pageBreakBefore w:val="0"/>
        <w:widowControl/>
        <w:kinsoku w:val="0"/>
        <w:wordWrap/>
        <w:overflowPunct/>
        <w:topLinePunct w:val="0"/>
        <w:autoSpaceDE w:val="0"/>
        <w:autoSpaceDN w:val="0"/>
        <w:bidi w:val="0"/>
        <w:adjustRightInd w:val="0"/>
        <w:snapToGrid w:val="0"/>
        <w:spacing w:line="280" w:lineRule="auto"/>
        <w:ind w:left="0" w:leftChars="0" w:right="0" w:firstLine="480" w:firstLineChars="200"/>
        <w:textAlignment w:val="baseline"/>
        <w:rPr>
          <w:rFonts w:hint="eastAsia" w:ascii="仿宋" w:hAnsi="仿宋" w:eastAsia="仿宋" w:cs="仿宋"/>
          <w:color w:val="auto"/>
          <w:sz w:val="24"/>
          <w:szCs w:val="24"/>
          <w:highlight w:val="none"/>
        </w:rPr>
      </w:pPr>
    </w:p>
    <w:p w14:paraId="41A40CA7">
      <w:pPr>
        <w:keepNext w:val="0"/>
        <w:keepLines w:val="0"/>
        <w:pageBreakBefore w:val="0"/>
        <w:widowControl/>
        <w:kinsoku w:val="0"/>
        <w:wordWrap/>
        <w:overflowPunct/>
        <w:topLinePunct w:val="0"/>
        <w:autoSpaceDE w:val="0"/>
        <w:autoSpaceDN w:val="0"/>
        <w:bidi w:val="0"/>
        <w:adjustRightInd w:val="0"/>
        <w:snapToGrid w:val="0"/>
        <w:spacing w:line="281" w:lineRule="auto"/>
        <w:ind w:left="0" w:leftChars="0" w:right="0" w:firstLine="480" w:firstLineChars="200"/>
        <w:textAlignment w:val="baseline"/>
        <w:rPr>
          <w:rFonts w:hint="eastAsia" w:ascii="仿宋" w:hAnsi="仿宋" w:eastAsia="仿宋" w:cs="仿宋"/>
          <w:color w:val="auto"/>
          <w:sz w:val="24"/>
          <w:szCs w:val="24"/>
          <w:highlight w:val="none"/>
        </w:rPr>
      </w:pPr>
    </w:p>
    <w:p w14:paraId="057E8172">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506" w:firstLineChars="20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不参与围标串标承诺书</w:t>
      </w:r>
    </w:p>
    <w:p w14:paraId="6C315FC0">
      <w:pPr>
        <w:keepNext w:val="0"/>
        <w:keepLines w:val="0"/>
        <w:pageBreakBefore w:val="0"/>
        <w:widowControl/>
        <w:kinsoku w:val="0"/>
        <w:wordWrap/>
        <w:overflowPunct/>
        <w:topLinePunct w:val="0"/>
        <w:autoSpaceDE w:val="0"/>
        <w:autoSpaceDN w:val="0"/>
        <w:bidi w:val="0"/>
        <w:adjustRightInd w:val="0"/>
        <w:snapToGrid w:val="0"/>
        <w:spacing w:line="297" w:lineRule="auto"/>
        <w:ind w:left="0" w:leftChars="0" w:right="0" w:firstLine="480" w:firstLineChars="200"/>
        <w:textAlignment w:val="baseline"/>
        <w:rPr>
          <w:rFonts w:hint="eastAsia" w:ascii="仿宋" w:hAnsi="仿宋" w:eastAsia="仿宋" w:cs="仿宋"/>
          <w:color w:val="auto"/>
          <w:sz w:val="24"/>
          <w:szCs w:val="24"/>
          <w:highlight w:val="none"/>
        </w:rPr>
      </w:pPr>
    </w:p>
    <w:p w14:paraId="33BE514D">
      <w:pPr>
        <w:keepNext w:val="0"/>
        <w:keepLines w:val="0"/>
        <w:pageBreakBefore w:val="0"/>
        <w:widowControl/>
        <w:kinsoku w:val="0"/>
        <w:wordWrap/>
        <w:overflowPunct/>
        <w:topLinePunct w:val="0"/>
        <w:autoSpaceDE w:val="0"/>
        <w:autoSpaceDN w:val="0"/>
        <w:bidi w:val="0"/>
        <w:adjustRightInd w:val="0"/>
        <w:snapToGrid w:val="0"/>
        <w:spacing w:line="298" w:lineRule="auto"/>
        <w:ind w:left="0" w:leftChars="0" w:right="0" w:firstLine="480" w:firstLineChars="200"/>
        <w:textAlignment w:val="baseline"/>
        <w:rPr>
          <w:rFonts w:hint="eastAsia" w:ascii="仿宋" w:hAnsi="仿宋" w:eastAsia="仿宋" w:cs="仿宋"/>
          <w:color w:val="auto"/>
          <w:sz w:val="24"/>
          <w:szCs w:val="24"/>
          <w:highlight w:val="none"/>
        </w:rPr>
      </w:pPr>
    </w:p>
    <w:p w14:paraId="03FE01CB">
      <w:pPr>
        <w:pStyle w:val="15"/>
        <w:keepNext w:val="0"/>
        <w:keepLines w:val="0"/>
        <w:pageBreakBefore w:val="0"/>
        <w:widowControl/>
        <w:kinsoku w:val="0"/>
        <w:wordWrap/>
        <w:overflowPunct/>
        <w:topLinePunct w:val="0"/>
        <w:autoSpaceDE w:val="0"/>
        <w:autoSpaceDN w:val="0"/>
        <w:bidi w:val="0"/>
        <w:adjustRightInd w:val="0"/>
        <w:snapToGrid w:val="0"/>
        <w:spacing w:before="78" w:line="362"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本人作为经授权的投标人代表,清楚知晓我单位</w:t>
      </w:r>
      <w:r>
        <w:rPr>
          <w:rFonts w:hint="eastAsia" w:ascii="仿宋" w:hAnsi="仿宋" w:eastAsia="仿宋" w:cs="仿宋"/>
          <w:color w:val="auto"/>
          <w:spacing w:val="-1"/>
          <w:sz w:val="24"/>
          <w:szCs w:val="24"/>
          <w:highlight w:val="none"/>
        </w:rPr>
        <w:t>本项目投标活动,对以下事</w:t>
      </w:r>
      <w:r>
        <w:rPr>
          <w:rFonts w:hint="eastAsia" w:ascii="仿宋" w:hAnsi="仿宋" w:eastAsia="仿宋" w:cs="仿宋"/>
          <w:color w:val="auto"/>
          <w:spacing w:val="-3"/>
          <w:sz w:val="24"/>
          <w:szCs w:val="24"/>
          <w:highlight w:val="none"/>
        </w:rPr>
        <w:t>项作出承诺：</w:t>
      </w:r>
    </w:p>
    <w:p w14:paraId="636628F7">
      <w:pPr>
        <w:keepNext w:val="0"/>
        <w:keepLines w:val="0"/>
        <w:pageBreakBefore w:val="0"/>
        <w:widowControl/>
        <w:kinsoku w:val="0"/>
        <w:wordWrap/>
        <w:overflowPunct/>
        <w:topLinePunct w:val="0"/>
        <w:autoSpaceDE w:val="0"/>
        <w:autoSpaceDN w:val="0"/>
        <w:bidi w:val="0"/>
        <w:adjustRightInd w:val="0"/>
        <w:snapToGrid w:val="0"/>
        <w:spacing w:line="381" w:lineRule="auto"/>
        <w:ind w:left="0" w:leftChars="0" w:right="0" w:firstLine="480" w:firstLineChars="200"/>
        <w:textAlignment w:val="baseline"/>
        <w:rPr>
          <w:rFonts w:hint="eastAsia" w:ascii="仿宋" w:hAnsi="仿宋" w:eastAsia="仿宋" w:cs="仿宋"/>
          <w:color w:val="auto"/>
          <w:sz w:val="24"/>
          <w:szCs w:val="24"/>
          <w:highlight w:val="none"/>
        </w:rPr>
      </w:pPr>
    </w:p>
    <w:p w14:paraId="47D916AA">
      <w:pPr>
        <w:pStyle w:val="15"/>
        <w:keepNext w:val="0"/>
        <w:keepLines w:val="0"/>
        <w:pageBreakBefore w:val="0"/>
        <w:widowControl/>
        <w:kinsoku w:val="0"/>
        <w:wordWrap/>
        <w:overflowPunct/>
        <w:topLinePunct w:val="0"/>
        <w:autoSpaceDE w:val="0"/>
        <w:autoSpaceDN w:val="0"/>
        <w:bidi w:val="0"/>
        <w:adjustRightInd w:val="0"/>
        <w:snapToGrid w:val="0"/>
        <w:spacing w:before="78" w:line="29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一、我单位和我本人遵循公开透明、公平竞争、公正和诚实信用的原则,依法依规参与本项目竞标。</w:t>
      </w:r>
    </w:p>
    <w:p w14:paraId="72786A9D">
      <w:pPr>
        <w:pStyle w:val="15"/>
        <w:keepNext w:val="0"/>
        <w:keepLines w:val="0"/>
        <w:pageBreakBefore w:val="0"/>
        <w:widowControl/>
        <w:kinsoku w:val="0"/>
        <w:wordWrap/>
        <w:overflowPunct/>
        <w:topLinePunct w:val="0"/>
        <w:autoSpaceDE w:val="0"/>
        <w:autoSpaceDN w:val="0"/>
        <w:bidi w:val="0"/>
        <w:adjustRightInd w:val="0"/>
        <w:snapToGrid w:val="0"/>
        <w:spacing w:before="183" w:line="217"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二、我单位和我本人在本项目政府采购投标活动中,未参与围标串标。</w:t>
      </w:r>
    </w:p>
    <w:p w14:paraId="28EFD9D7">
      <w:pPr>
        <w:pStyle w:val="15"/>
        <w:keepNext w:val="0"/>
        <w:keepLines w:val="0"/>
        <w:pageBreakBefore w:val="0"/>
        <w:widowControl/>
        <w:kinsoku w:val="0"/>
        <w:wordWrap/>
        <w:overflowPunct/>
        <w:topLinePunct w:val="0"/>
        <w:autoSpaceDE w:val="0"/>
        <w:autoSpaceDN w:val="0"/>
        <w:bidi w:val="0"/>
        <w:adjustRightInd w:val="0"/>
        <w:snapToGrid w:val="0"/>
        <w:spacing w:before="187" w:line="313"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三、我单位如被查实在本项目政府采购投标活动中存在围标串标</w:t>
      </w:r>
      <w:r>
        <w:rPr>
          <w:rFonts w:hint="eastAsia" w:ascii="仿宋" w:hAnsi="仿宋" w:eastAsia="仿宋" w:cs="仿宋"/>
          <w:color w:val="auto"/>
          <w:spacing w:val="-4"/>
          <w:sz w:val="24"/>
          <w:szCs w:val="24"/>
          <w:highlight w:val="none"/>
        </w:rPr>
        <w:t>的，递交投</w:t>
      </w:r>
      <w:r>
        <w:rPr>
          <w:rFonts w:hint="eastAsia" w:ascii="仿宋" w:hAnsi="仿宋" w:eastAsia="仿宋" w:cs="仿宋"/>
          <w:color w:val="auto"/>
          <w:sz w:val="24"/>
          <w:szCs w:val="24"/>
          <w:highlight w:val="none"/>
        </w:rPr>
        <w:t>标文件行为作为实施串通投标违法行为的关键环节,由</w:t>
      </w:r>
      <w:r>
        <w:rPr>
          <w:rFonts w:hint="eastAsia" w:ascii="仿宋" w:hAnsi="仿宋" w:eastAsia="仿宋" w:cs="仿宋"/>
          <w:color w:val="auto"/>
          <w:spacing w:val="-1"/>
          <w:sz w:val="24"/>
          <w:szCs w:val="24"/>
          <w:highlight w:val="none"/>
        </w:rPr>
        <w:t>我单位及法定代表人承担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相应的法律责任，接受相应行政处罚和失信惩戒。</w:t>
      </w:r>
    </w:p>
    <w:p w14:paraId="066ACB0D">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5DBCFDF9">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273DC78C">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78CA6074">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160FEA31">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58573DA3">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1B67E674">
      <w:pPr>
        <w:pStyle w:val="15"/>
        <w:keepNext w:val="0"/>
        <w:keepLines w:val="0"/>
        <w:pageBreakBefore w:val="0"/>
        <w:widowControl/>
        <w:kinsoku w:val="0"/>
        <w:wordWrap/>
        <w:overflowPunct/>
        <w:topLinePunct w:val="0"/>
        <w:autoSpaceDE w:val="0"/>
        <w:autoSpaceDN w:val="0"/>
        <w:bidi w:val="0"/>
        <w:adjustRightInd w:val="0"/>
        <w:snapToGrid w:val="0"/>
        <w:spacing w:before="277" w:line="219"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法定代表人（签字或盖章</w:t>
      </w:r>
      <w:r>
        <w:rPr>
          <w:rFonts w:hint="eastAsia" w:ascii="仿宋" w:hAnsi="仿宋" w:eastAsia="仿宋" w:cs="仿宋"/>
          <w:color w:val="auto"/>
          <w:spacing w:val="6"/>
          <w:sz w:val="24"/>
          <w:szCs w:val="24"/>
          <w:highlight w:val="none"/>
        </w:rPr>
        <w:t>）：</w:t>
      </w:r>
    </w:p>
    <w:p w14:paraId="3771A7F7">
      <w:pPr>
        <w:pStyle w:val="15"/>
        <w:keepNext w:val="0"/>
        <w:keepLines w:val="0"/>
        <w:pageBreakBefore w:val="0"/>
        <w:widowControl/>
        <w:kinsoku w:val="0"/>
        <w:wordWrap/>
        <w:overflowPunct/>
        <w:topLinePunct w:val="0"/>
        <w:autoSpaceDE w:val="0"/>
        <w:autoSpaceDN w:val="0"/>
        <w:bidi w:val="0"/>
        <w:adjustRightInd w:val="0"/>
        <w:snapToGrid w:val="0"/>
        <w:spacing w:before="274" w:line="220" w:lineRule="auto"/>
        <w:ind w:left="0" w:leftChars="0" w:right="0" w:firstLine="42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日期：</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3"/>
          <w:sz w:val="24"/>
          <w:szCs w:val="24"/>
          <w:highlight w:val="none"/>
        </w:rPr>
        <w:t>年</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3"/>
          <w:sz w:val="24"/>
          <w:szCs w:val="24"/>
          <w:highlight w:val="none"/>
        </w:rPr>
        <w:t>月</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3"/>
          <w:sz w:val="24"/>
          <w:szCs w:val="24"/>
          <w:highlight w:val="none"/>
        </w:rPr>
        <w:t>日</w:t>
      </w:r>
    </w:p>
    <w:p w14:paraId="66C54109">
      <w:pPr>
        <w:numPr>
          <w:ilvl w:val="0"/>
          <w:numId w:val="10"/>
        </w:numPr>
        <w:spacing w:line="360" w:lineRule="auto"/>
        <w:jc w:val="center"/>
        <w:outlineLvl w:val="1"/>
        <w:rPr>
          <w:rFonts w:hint="eastAsia" w:ascii="仿宋" w:hAnsi="仿宋" w:eastAsia="仿宋" w:cs="仿宋"/>
          <w:b/>
          <w:bCs/>
          <w:color w:val="auto"/>
          <w:spacing w:val="7"/>
          <w:kern w:val="2"/>
          <w:sz w:val="24"/>
          <w:szCs w:val="24"/>
          <w:highlight w:val="none"/>
          <w:lang w:val="en-US" w:eastAsia="zh-CN" w:bidi="ar-SA"/>
        </w:rPr>
      </w:pPr>
      <w:bookmarkStart w:id="127" w:name="_Toc3009"/>
      <w:bookmarkStart w:id="128" w:name="_Toc465"/>
      <w:r>
        <w:rPr>
          <w:rFonts w:hint="eastAsia" w:ascii="仿宋" w:hAnsi="仿宋" w:eastAsia="仿宋" w:cs="仿宋"/>
          <w:b/>
          <w:bCs/>
          <w:color w:val="auto"/>
          <w:spacing w:val="7"/>
          <w:kern w:val="2"/>
          <w:sz w:val="24"/>
          <w:szCs w:val="24"/>
          <w:highlight w:val="none"/>
          <w:lang w:val="en-US" w:eastAsia="zh-CN" w:bidi="ar-SA"/>
        </w:rPr>
        <w:t>其他资格证明文件</w:t>
      </w:r>
      <w:bookmarkEnd w:id="127"/>
      <w:bookmarkEnd w:id="128"/>
    </w:p>
    <w:p w14:paraId="1D961250">
      <w:pPr>
        <w:numPr>
          <w:ilvl w:val="0"/>
          <w:numId w:val="0"/>
        </w:numPr>
        <w:spacing w:line="360" w:lineRule="auto"/>
        <w:jc w:val="both"/>
        <w:outlineLvl w:val="9"/>
        <w:rPr>
          <w:rFonts w:hint="eastAsia" w:ascii="仿宋" w:hAnsi="仿宋" w:eastAsia="仿宋" w:cs="仿宋"/>
          <w:b/>
          <w:bCs/>
          <w:color w:val="auto"/>
          <w:spacing w:val="7"/>
          <w:kern w:val="2"/>
          <w:sz w:val="24"/>
          <w:szCs w:val="24"/>
          <w:highlight w:val="none"/>
          <w:lang w:val="en-US" w:eastAsia="zh-CN" w:bidi="ar-SA"/>
        </w:rPr>
      </w:pPr>
    </w:p>
    <w:p w14:paraId="2A77A050">
      <w:pPr>
        <w:outlineLvl w:val="9"/>
        <w:rPr>
          <w:rFonts w:hint="eastAsia" w:ascii="仿宋" w:hAnsi="仿宋" w:eastAsia="仿宋" w:cs="仿宋"/>
          <w:bCs/>
          <w:color w:val="auto"/>
          <w:sz w:val="28"/>
          <w:szCs w:val="28"/>
          <w:highlight w:val="none"/>
          <w:lang w:val="en-US" w:eastAsia="zh-CN"/>
        </w:rPr>
      </w:pPr>
      <w:r>
        <w:rPr>
          <w:rFonts w:hint="eastAsia" w:ascii="仿宋" w:hAnsi="仿宋" w:eastAsia="仿宋" w:cs="仿宋"/>
          <w:b/>
          <w:bCs/>
          <w:snapToGrid/>
          <w:color w:val="auto"/>
          <w:spacing w:val="7"/>
          <w:kern w:val="2"/>
          <w:sz w:val="24"/>
          <w:szCs w:val="24"/>
          <w:highlight w:val="none"/>
          <w:lang w:val="en-US" w:eastAsia="zh-CN" w:bidi="ar-SA"/>
        </w:rPr>
        <w:t>投标人认为需提供的其它相关资格证明材料</w:t>
      </w:r>
    </w:p>
    <w:p w14:paraId="16CA3573">
      <w:pPr>
        <w:pStyle w:val="15"/>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color w:val="auto"/>
          <w:sz w:val="24"/>
          <w:szCs w:val="24"/>
          <w:highlight w:val="none"/>
        </w:rPr>
      </w:pPr>
      <w:bookmarkStart w:id="129" w:name="_Toc4747"/>
      <w:r>
        <w:rPr>
          <w:rFonts w:hint="eastAsia" w:ascii="仿宋" w:hAnsi="仿宋" w:eastAsia="仿宋" w:cs="仿宋"/>
          <w:bCs/>
          <w:color w:val="auto"/>
          <w:sz w:val="28"/>
          <w:szCs w:val="28"/>
          <w:highlight w:val="none"/>
        </w:rPr>
        <w:br w:type="page"/>
      </w:r>
    </w:p>
    <w:p w14:paraId="2F28B24B">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firstLine="480" w:firstLineChars="200"/>
        <w:textAlignment w:val="baseline"/>
        <w:rPr>
          <w:rFonts w:hint="eastAsia" w:ascii="仿宋" w:hAnsi="仿宋" w:eastAsia="仿宋" w:cs="仿宋"/>
          <w:color w:val="auto"/>
          <w:sz w:val="24"/>
          <w:szCs w:val="24"/>
          <w:highlight w:val="none"/>
        </w:rPr>
      </w:pPr>
    </w:p>
    <w:p w14:paraId="64B9FC6A">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firstLine="480" w:firstLineChars="200"/>
        <w:textAlignment w:val="baseline"/>
        <w:rPr>
          <w:rFonts w:hint="eastAsia" w:ascii="仿宋" w:hAnsi="仿宋" w:eastAsia="仿宋" w:cs="仿宋"/>
          <w:color w:val="auto"/>
          <w:sz w:val="24"/>
          <w:szCs w:val="24"/>
          <w:highlight w:val="none"/>
        </w:rPr>
      </w:pPr>
    </w:p>
    <w:p w14:paraId="29ACB471">
      <w:pPr>
        <w:keepNext w:val="0"/>
        <w:keepLines w:val="0"/>
        <w:pageBreakBefore w:val="0"/>
        <w:widowControl/>
        <w:kinsoku w:val="0"/>
        <w:wordWrap/>
        <w:overflowPunct/>
        <w:topLinePunct w:val="0"/>
        <w:autoSpaceDE w:val="0"/>
        <w:autoSpaceDN w:val="0"/>
        <w:bidi w:val="0"/>
        <w:adjustRightInd w:val="0"/>
        <w:snapToGrid w:val="0"/>
        <w:spacing w:line="283" w:lineRule="auto"/>
        <w:ind w:left="0" w:leftChars="0" w:right="0" w:firstLine="480" w:firstLineChars="200"/>
        <w:textAlignment w:val="baseline"/>
        <w:rPr>
          <w:rFonts w:hint="eastAsia" w:ascii="仿宋" w:hAnsi="仿宋" w:eastAsia="仿宋" w:cs="仿宋"/>
          <w:color w:val="auto"/>
          <w:sz w:val="24"/>
          <w:szCs w:val="24"/>
          <w:highlight w:val="none"/>
        </w:rPr>
      </w:pPr>
    </w:p>
    <w:p w14:paraId="11E49AF7">
      <w:pPr>
        <w:keepNext w:val="0"/>
        <w:keepLines w:val="0"/>
        <w:pageBreakBefore w:val="0"/>
        <w:widowControl/>
        <w:kinsoku w:val="0"/>
        <w:wordWrap/>
        <w:overflowPunct/>
        <w:topLinePunct w:val="0"/>
        <w:autoSpaceDE w:val="0"/>
        <w:autoSpaceDN w:val="0"/>
        <w:bidi w:val="0"/>
        <w:adjustRightInd w:val="0"/>
        <w:snapToGrid w:val="0"/>
        <w:spacing w:line="261" w:lineRule="auto"/>
        <w:ind w:left="0" w:leftChars="0" w:right="0" w:firstLine="480" w:firstLineChars="200"/>
        <w:textAlignment w:val="baseline"/>
        <w:rPr>
          <w:rFonts w:hint="eastAsia" w:ascii="仿宋" w:hAnsi="仿宋" w:eastAsia="仿宋" w:cs="仿宋"/>
          <w:color w:val="auto"/>
          <w:sz w:val="24"/>
          <w:szCs w:val="24"/>
          <w:highlight w:val="none"/>
        </w:rPr>
      </w:pPr>
    </w:p>
    <w:p w14:paraId="75DB5C7B">
      <w:pPr>
        <w:keepNext w:val="0"/>
        <w:keepLines w:val="0"/>
        <w:pageBreakBefore w:val="0"/>
        <w:widowControl/>
        <w:kinsoku w:val="0"/>
        <w:wordWrap/>
        <w:overflowPunct/>
        <w:topLinePunct w:val="0"/>
        <w:autoSpaceDE w:val="0"/>
        <w:autoSpaceDN w:val="0"/>
        <w:bidi w:val="0"/>
        <w:adjustRightInd w:val="0"/>
        <w:snapToGrid w:val="0"/>
        <w:spacing w:line="261" w:lineRule="auto"/>
        <w:ind w:left="0" w:leftChars="0" w:right="0" w:firstLine="480" w:firstLineChars="200"/>
        <w:textAlignment w:val="baseline"/>
        <w:rPr>
          <w:rFonts w:hint="eastAsia" w:ascii="仿宋" w:hAnsi="仿宋" w:eastAsia="仿宋" w:cs="仿宋"/>
          <w:color w:val="auto"/>
          <w:sz w:val="24"/>
          <w:szCs w:val="24"/>
          <w:highlight w:val="none"/>
        </w:rPr>
      </w:pPr>
    </w:p>
    <w:p w14:paraId="08D90EFB">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670BC348">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253512E7">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6849B66B">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53D29A41">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1E5E1EFF">
      <w:pPr>
        <w:pStyle w:val="15"/>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1"/>
        <w:rPr>
          <w:rFonts w:hint="eastAsia" w:ascii="仿宋" w:hAnsi="仿宋" w:eastAsia="仿宋" w:cs="仿宋"/>
          <w:color w:val="auto"/>
          <w:sz w:val="32"/>
          <w:szCs w:val="32"/>
          <w:highlight w:val="none"/>
        </w:rPr>
      </w:pPr>
      <w:bookmarkStart w:id="130" w:name="_Toc15899"/>
      <w:r>
        <w:rPr>
          <w:rFonts w:hint="eastAsia" w:ascii="仿宋" w:hAnsi="仿宋" w:eastAsia="仿宋" w:cs="仿宋"/>
          <w:b/>
          <w:bCs/>
          <w:color w:val="auto"/>
          <w:spacing w:val="-11"/>
          <w:sz w:val="32"/>
          <w:szCs w:val="32"/>
          <w:highlight w:val="none"/>
          <w:lang w:val="en-US" w:eastAsia="zh-CN"/>
        </w:rPr>
        <w:t xml:space="preserve">报 价 </w:t>
      </w:r>
      <w:r>
        <w:rPr>
          <w:rFonts w:hint="eastAsia" w:ascii="仿宋" w:hAnsi="仿宋" w:eastAsia="仿宋" w:cs="仿宋"/>
          <w:b/>
          <w:bCs/>
          <w:color w:val="auto"/>
          <w:spacing w:val="-11"/>
          <w:sz w:val="32"/>
          <w:szCs w:val="32"/>
          <w:highlight w:val="none"/>
        </w:rPr>
        <w:t>文</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件</w:t>
      </w:r>
      <w:bookmarkEnd w:id="130"/>
    </w:p>
    <w:p w14:paraId="24B74FFB">
      <w:pPr>
        <w:keepNext w:val="0"/>
        <w:keepLines w:val="0"/>
        <w:pageBreakBefore w:val="0"/>
        <w:widowControl/>
        <w:kinsoku w:val="0"/>
        <w:wordWrap/>
        <w:overflowPunct/>
        <w:topLinePunct w:val="0"/>
        <w:autoSpaceDE w:val="0"/>
        <w:autoSpaceDN w:val="0"/>
        <w:bidi w:val="0"/>
        <w:adjustRightInd w:val="0"/>
        <w:snapToGrid w:val="0"/>
        <w:spacing w:line="262" w:lineRule="auto"/>
        <w:ind w:right="0"/>
        <w:jc w:val="center"/>
        <w:textAlignment w:val="baseline"/>
        <w:rPr>
          <w:rFonts w:hint="eastAsia" w:ascii="仿宋" w:hAnsi="仿宋" w:eastAsia="仿宋" w:cs="仿宋"/>
          <w:color w:val="auto"/>
          <w:sz w:val="24"/>
          <w:szCs w:val="24"/>
          <w:highlight w:val="none"/>
        </w:rPr>
      </w:pPr>
    </w:p>
    <w:p w14:paraId="37731798">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719FDEB8">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6BD3D63E">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734F3264">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44012355">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18EC7585">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6942E3DA">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项目编号/包号：                            </w:t>
      </w:r>
    </w:p>
    <w:p w14:paraId="62EE6BC1">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1736B92E">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投 标 人 （公章）：                         </w:t>
      </w:r>
    </w:p>
    <w:p w14:paraId="05F88442">
      <w:pPr>
        <w:outlineLvl w:val="9"/>
        <w:rPr>
          <w:rFonts w:hint="eastAsia" w:ascii="仿宋" w:hAnsi="仿宋" w:eastAsia="仿宋" w:cs="仿宋"/>
          <w:bCs/>
          <w:color w:val="auto"/>
          <w:sz w:val="28"/>
          <w:szCs w:val="28"/>
          <w:highlight w:val="none"/>
        </w:rPr>
      </w:pPr>
    </w:p>
    <w:p w14:paraId="3767FEDB">
      <w:pPr>
        <w:pStyle w:val="15"/>
        <w:keepNext w:val="0"/>
        <w:keepLines w:val="0"/>
        <w:pageBreakBefore w:val="0"/>
        <w:widowControl/>
        <w:kinsoku w:val="0"/>
        <w:wordWrap/>
        <w:overflowPunct/>
        <w:topLinePunct w:val="0"/>
        <w:autoSpaceDE w:val="0"/>
        <w:autoSpaceDN w:val="0"/>
        <w:bidi w:val="0"/>
        <w:adjustRightInd w:val="0"/>
        <w:snapToGrid w:val="0"/>
        <w:spacing w:before="101" w:line="226" w:lineRule="auto"/>
        <w:ind w:left="0" w:leftChars="0" w:right="0" w:firstLine="560" w:firstLineChars="200"/>
        <w:jc w:val="center"/>
        <w:textAlignment w:val="baseline"/>
        <w:outlineLvl w:val="9"/>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br w:type="page"/>
      </w:r>
      <w:bookmarkStart w:id="131" w:name="_Toc23163"/>
    </w:p>
    <w:p w14:paraId="44476B6E">
      <w:pPr>
        <w:pStyle w:val="15"/>
        <w:keepNext w:val="0"/>
        <w:keepLines w:val="0"/>
        <w:pageBreakBefore w:val="0"/>
        <w:widowControl/>
        <w:kinsoku w:val="0"/>
        <w:wordWrap/>
        <w:overflowPunct/>
        <w:topLinePunct w:val="0"/>
        <w:autoSpaceDE w:val="0"/>
        <w:autoSpaceDN w:val="0"/>
        <w:bidi w:val="0"/>
        <w:adjustRightInd w:val="0"/>
        <w:snapToGrid w:val="0"/>
        <w:spacing w:before="101" w:line="226" w:lineRule="auto"/>
        <w:ind w:left="0" w:leftChars="0" w:right="0" w:firstLine="560" w:firstLineChars="200"/>
        <w:jc w:val="center"/>
        <w:textAlignment w:val="baseline"/>
        <w:outlineLvl w:val="9"/>
        <w:rPr>
          <w:rFonts w:hint="eastAsia" w:ascii="仿宋" w:hAnsi="仿宋" w:eastAsia="仿宋" w:cs="仿宋"/>
          <w:bCs/>
          <w:color w:val="auto"/>
          <w:sz w:val="28"/>
          <w:szCs w:val="28"/>
          <w:highlight w:val="none"/>
        </w:rPr>
      </w:pPr>
    </w:p>
    <w:p w14:paraId="72F30AF0">
      <w:pPr>
        <w:pStyle w:val="15"/>
        <w:keepNext w:val="0"/>
        <w:keepLines w:val="0"/>
        <w:pageBreakBefore w:val="0"/>
        <w:widowControl/>
        <w:kinsoku w:val="0"/>
        <w:wordWrap/>
        <w:overflowPunct/>
        <w:topLinePunct w:val="0"/>
        <w:autoSpaceDE w:val="0"/>
        <w:autoSpaceDN w:val="0"/>
        <w:bidi w:val="0"/>
        <w:adjustRightInd w:val="0"/>
        <w:snapToGrid w:val="0"/>
        <w:spacing w:before="101" w:line="226" w:lineRule="auto"/>
        <w:ind w:right="0"/>
        <w:jc w:val="center"/>
        <w:textAlignment w:val="baseline"/>
        <w:outlineLvl w:val="1"/>
        <w:rPr>
          <w:rFonts w:hint="eastAsia" w:ascii="仿宋" w:hAnsi="仿宋" w:eastAsia="仿宋" w:cs="仿宋"/>
          <w:color w:val="auto"/>
          <w:sz w:val="24"/>
          <w:szCs w:val="24"/>
          <w:highlight w:val="none"/>
        </w:rPr>
      </w:pPr>
      <w:bookmarkStart w:id="132" w:name="_Toc21741"/>
      <w:r>
        <w:rPr>
          <w:rFonts w:hint="eastAsia" w:ascii="仿宋" w:hAnsi="仿宋" w:eastAsia="仿宋" w:cs="仿宋"/>
          <w:b/>
          <w:bCs/>
          <w:color w:val="auto"/>
          <w:spacing w:val="5"/>
          <w:sz w:val="24"/>
          <w:szCs w:val="24"/>
          <w:highlight w:val="none"/>
        </w:rPr>
        <w:t>一、开标一览表</w:t>
      </w:r>
      <w:bookmarkEnd w:id="131"/>
      <w:bookmarkEnd w:id="132"/>
    </w:p>
    <w:p w14:paraId="3E75AFF8">
      <w:pPr>
        <w:keepNext w:val="0"/>
        <w:keepLines w:val="0"/>
        <w:pageBreakBefore w:val="0"/>
        <w:widowControl/>
        <w:kinsoku w:val="0"/>
        <w:wordWrap/>
        <w:overflowPunct/>
        <w:topLinePunct w:val="0"/>
        <w:autoSpaceDE w:val="0"/>
        <w:autoSpaceDN w:val="0"/>
        <w:bidi w:val="0"/>
        <w:adjustRightInd w:val="0"/>
        <w:snapToGrid w:val="0"/>
        <w:spacing w:line="257" w:lineRule="auto"/>
        <w:ind w:left="0" w:leftChars="0" w:right="0" w:firstLine="480" w:firstLineChars="200"/>
        <w:textAlignment w:val="baseline"/>
        <w:rPr>
          <w:rFonts w:hint="eastAsia" w:ascii="仿宋" w:hAnsi="仿宋" w:eastAsia="仿宋" w:cs="仿宋"/>
          <w:color w:val="auto"/>
          <w:sz w:val="24"/>
          <w:szCs w:val="24"/>
          <w:highlight w:val="none"/>
        </w:rPr>
      </w:pPr>
    </w:p>
    <w:p w14:paraId="3CB2AAB7">
      <w:pPr>
        <w:keepNext w:val="0"/>
        <w:keepLines w:val="0"/>
        <w:pageBreakBefore w:val="0"/>
        <w:widowControl/>
        <w:kinsoku w:val="0"/>
        <w:wordWrap/>
        <w:overflowPunct/>
        <w:topLinePunct w:val="0"/>
        <w:autoSpaceDE w:val="0"/>
        <w:autoSpaceDN w:val="0"/>
        <w:bidi w:val="0"/>
        <w:adjustRightInd w:val="0"/>
        <w:snapToGrid w:val="0"/>
        <w:spacing w:line="257" w:lineRule="auto"/>
        <w:ind w:left="0" w:leftChars="0" w:right="0" w:firstLine="480" w:firstLineChars="200"/>
        <w:textAlignment w:val="baseline"/>
        <w:rPr>
          <w:rFonts w:hint="eastAsia" w:ascii="仿宋" w:hAnsi="仿宋" w:eastAsia="仿宋" w:cs="仿宋"/>
          <w:color w:val="auto"/>
          <w:sz w:val="24"/>
          <w:szCs w:val="24"/>
          <w:highlight w:val="none"/>
        </w:rPr>
      </w:pPr>
    </w:p>
    <w:p w14:paraId="1707BC05">
      <w:pPr>
        <w:keepNext w:val="0"/>
        <w:keepLines w:val="0"/>
        <w:pageBreakBefore w:val="0"/>
        <w:widowControl/>
        <w:kinsoku w:val="0"/>
        <w:wordWrap/>
        <w:overflowPunct/>
        <w:topLinePunct w:val="0"/>
        <w:autoSpaceDE w:val="0"/>
        <w:autoSpaceDN w:val="0"/>
        <w:bidi w:val="0"/>
        <w:adjustRightInd w:val="0"/>
        <w:snapToGrid w:val="0"/>
        <w:spacing w:line="257" w:lineRule="auto"/>
        <w:ind w:left="0" w:leftChars="0" w:right="0" w:firstLine="480" w:firstLineChars="200"/>
        <w:textAlignment w:val="baseline"/>
        <w:rPr>
          <w:rFonts w:hint="eastAsia" w:ascii="仿宋" w:hAnsi="仿宋" w:eastAsia="仿宋" w:cs="仿宋"/>
          <w:color w:val="auto"/>
          <w:sz w:val="24"/>
          <w:szCs w:val="24"/>
          <w:highlight w:val="none"/>
        </w:rPr>
      </w:pPr>
    </w:p>
    <w:p w14:paraId="006D177E">
      <w:pPr>
        <w:pStyle w:val="15"/>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r>
        <w:rPr>
          <w:rFonts w:hint="eastAsia" w:ascii="仿宋" w:hAnsi="仿宋" w:eastAsia="仿宋" w:cs="仿宋"/>
          <w:color w:val="auto"/>
          <w:sz w:val="24"/>
          <w:szCs w:val="24"/>
          <w:highlight w:val="none"/>
          <w:u w:val="single" w:color="auto"/>
        </w:rPr>
        <w:t xml:space="preserve">                     </w:t>
      </w:r>
    </w:p>
    <w:p w14:paraId="21A6E5C9">
      <w:pPr>
        <w:pStyle w:val="15"/>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u w:val="single" w:color="auto"/>
        </w:rPr>
      </w:pPr>
      <w:r>
        <w:rPr>
          <w:rFonts w:hint="eastAsia" w:ascii="仿宋" w:hAnsi="仿宋" w:eastAsia="仿宋" w:cs="仿宋"/>
          <w:color w:val="auto"/>
          <w:spacing w:val="-2"/>
          <w:sz w:val="24"/>
          <w:szCs w:val="24"/>
          <w:highlight w:val="none"/>
        </w:rPr>
        <w:t>项目编号/包号：</w:t>
      </w:r>
      <w:r>
        <w:rPr>
          <w:rFonts w:hint="eastAsia" w:ascii="仿宋" w:hAnsi="仿宋" w:eastAsia="仿宋" w:cs="仿宋"/>
          <w:color w:val="auto"/>
          <w:sz w:val="24"/>
          <w:szCs w:val="24"/>
          <w:highlight w:val="none"/>
          <w:u w:val="single" w:color="auto"/>
        </w:rPr>
        <w:t xml:space="preserve">                </w:t>
      </w:r>
    </w:p>
    <w:p w14:paraId="5D18E112">
      <w:pPr>
        <w:pStyle w:val="15"/>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80" w:firstLineChars="200"/>
        <w:textAlignment w:val="baseline"/>
        <w:rPr>
          <w:rFonts w:hint="eastAsia" w:ascii="仿宋" w:hAnsi="仿宋" w:eastAsia="仿宋" w:cs="仿宋"/>
          <w:color w:val="auto"/>
          <w:sz w:val="24"/>
          <w:szCs w:val="24"/>
          <w:highlight w:val="none"/>
          <w:u w:val="single" w:color="auto"/>
        </w:rPr>
      </w:pPr>
    </w:p>
    <w:p w14:paraId="23D648D4">
      <w:pPr>
        <w:keepNext w:val="0"/>
        <w:keepLines w:val="0"/>
        <w:pageBreakBefore w:val="0"/>
        <w:widowControl/>
        <w:kinsoku w:val="0"/>
        <w:wordWrap/>
        <w:overflowPunct/>
        <w:topLinePunct w:val="0"/>
        <w:autoSpaceDE w:val="0"/>
        <w:autoSpaceDN w:val="0"/>
        <w:bidi w:val="0"/>
        <w:adjustRightInd w:val="0"/>
        <w:snapToGrid w:val="0"/>
        <w:spacing w:line="68" w:lineRule="exact"/>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88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2463"/>
        <w:gridCol w:w="1761"/>
        <w:gridCol w:w="1908"/>
        <w:gridCol w:w="1729"/>
      </w:tblGrid>
      <w:tr w14:paraId="765D0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977" w:type="dxa"/>
            <w:vAlign w:val="top"/>
          </w:tcPr>
          <w:p w14:paraId="248BB087">
            <w:pPr>
              <w:pStyle w:val="163"/>
              <w:keepNext w:val="0"/>
              <w:keepLines w:val="0"/>
              <w:pageBreakBefore w:val="0"/>
              <w:widowControl/>
              <w:kinsoku w:val="0"/>
              <w:wordWrap/>
              <w:overflowPunct/>
              <w:topLinePunct w:val="0"/>
              <w:autoSpaceDE w:val="0"/>
              <w:autoSpaceDN w:val="0"/>
              <w:bidi w:val="0"/>
              <w:adjustRightInd w:val="0"/>
              <w:snapToGrid w:val="0"/>
              <w:spacing w:before="297" w:line="222"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2463" w:type="dxa"/>
            <w:vAlign w:val="top"/>
          </w:tcPr>
          <w:p w14:paraId="2AFB1213">
            <w:pPr>
              <w:pStyle w:val="163"/>
              <w:keepNext w:val="0"/>
              <w:keepLines w:val="0"/>
              <w:pageBreakBefore w:val="0"/>
              <w:widowControl/>
              <w:kinsoku w:val="0"/>
              <w:wordWrap/>
              <w:overflowPunct/>
              <w:topLinePunct w:val="0"/>
              <w:autoSpaceDE w:val="0"/>
              <w:autoSpaceDN w:val="0"/>
              <w:bidi w:val="0"/>
              <w:adjustRightInd w:val="0"/>
              <w:snapToGrid w:val="0"/>
              <w:spacing w:before="297" w:line="21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投标报价</w:t>
            </w:r>
          </w:p>
        </w:tc>
        <w:tc>
          <w:tcPr>
            <w:tcW w:w="1761" w:type="dxa"/>
            <w:vAlign w:val="top"/>
          </w:tcPr>
          <w:p w14:paraId="5F045673">
            <w:pPr>
              <w:pStyle w:val="163"/>
              <w:keepNext w:val="0"/>
              <w:keepLines w:val="0"/>
              <w:pageBreakBefore w:val="0"/>
              <w:widowControl/>
              <w:kinsoku w:val="0"/>
              <w:wordWrap/>
              <w:overflowPunct/>
              <w:topLinePunct w:val="0"/>
              <w:autoSpaceDE w:val="0"/>
              <w:autoSpaceDN w:val="0"/>
              <w:bidi w:val="0"/>
              <w:adjustRightInd w:val="0"/>
              <w:snapToGrid w:val="0"/>
              <w:spacing w:before="298" w:line="219" w:lineRule="auto"/>
              <w:ind w:right="0"/>
              <w:jc w:val="center"/>
              <w:textAlignment w:val="baseline"/>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交货期</w:t>
            </w:r>
          </w:p>
        </w:tc>
        <w:tc>
          <w:tcPr>
            <w:tcW w:w="1908" w:type="dxa"/>
            <w:vAlign w:val="top"/>
          </w:tcPr>
          <w:p w14:paraId="725FF97D">
            <w:pPr>
              <w:pStyle w:val="163"/>
              <w:keepNext w:val="0"/>
              <w:keepLines w:val="0"/>
              <w:pageBreakBefore w:val="0"/>
              <w:widowControl/>
              <w:kinsoku w:val="0"/>
              <w:wordWrap/>
              <w:overflowPunct/>
              <w:topLinePunct w:val="0"/>
              <w:autoSpaceDE w:val="0"/>
              <w:autoSpaceDN w:val="0"/>
              <w:bidi w:val="0"/>
              <w:adjustRightInd w:val="0"/>
              <w:snapToGrid w:val="0"/>
              <w:spacing w:before="298" w:line="219" w:lineRule="auto"/>
              <w:ind w:right="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1729" w:type="dxa"/>
            <w:vAlign w:val="top"/>
          </w:tcPr>
          <w:p w14:paraId="1927D3FB">
            <w:pPr>
              <w:pStyle w:val="163"/>
              <w:keepNext w:val="0"/>
              <w:keepLines w:val="0"/>
              <w:pageBreakBefore w:val="0"/>
              <w:widowControl/>
              <w:kinsoku w:val="0"/>
              <w:wordWrap/>
              <w:overflowPunct/>
              <w:topLinePunct w:val="0"/>
              <w:autoSpaceDE w:val="0"/>
              <w:autoSpaceDN w:val="0"/>
              <w:bidi w:val="0"/>
              <w:adjustRightInd w:val="0"/>
              <w:snapToGrid w:val="0"/>
              <w:spacing w:before="297" w:line="221"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备注（如有）</w:t>
            </w:r>
          </w:p>
        </w:tc>
      </w:tr>
      <w:tr w14:paraId="5713A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jc w:val="center"/>
        </w:trPr>
        <w:tc>
          <w:tcPr>
            <w:tcW w:w="977" w:type="dxa"/>
            <w:vAlign w:val="top"/>
          </w:tcPr>
          <w:p w14:paraId="139D106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63" w:type="dxa"/>
            <w:vAlign w:val="top"/>
          </w:tcPr>
          <w:p w14:paraId="7C1C91A5">
            <w:pPr>
              <w:pStyle w:val="163"/>
              <w:keepNext w:val="0"/>
              <w:keepLines w:val="0"/>
              <w:pageBreakBefore w:val="0"/>
              <w:widowControl/>
              <w:kinsoku w:val="0"/>
              <w:wordWrap/>
              <w:overflowPunct/>
              <w:topLinePunct w:val="0"/>
              <w:autoSpaceDE w:val="0"/>
              <w:autoSpaceDN w:val="0"/>
              <w:bidi w:val="0"/>
              <w:adjustRightInd w:val="0"/>
              <w:snapToGrid w:val="0"/>
              <w:spacing w:before="290" w:line="222" w:lineRule="auto"/>
              <w:ind w:left="0" w:leftChars="0" w:right="0" w:firstLine="45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小写：</w:t>
            </w:r>
          </w:p>
          <w:p w14:paraId="29DF5C6B">
            <w:pPr>
              <w:pStyle w:val="163"/>
              <w:keepNext w:val="0"/>
              <w:keepLines w:val="0"/>
              <w:pageBreakBefore w:val="0"/>
              <w:widowControl/>
              <w:kinsoku w:val="0"/>
              <w:wordWrap/>
              <w:overflowPunct/>
              <w:topLinePunct w:val="0"/>
              <w:autoSpaceDE w:val="0"/>
              <w:autoSpaceDN w:val="0"/>
              <w:bidi w:val="0"/>
              <w:adjustRightInd w:val="0"/>
              <w:snapToGrid w:val="0"/>
              <w:spacing w:before="22" w:line="221" w:lineRule="auto"/>
              <w:ind w:left="0" w:leftChars="0" w:right="0" w:firstLine="46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大写：</w:t>
            </w:r>
          </w:p>
        </w:tc>
        <w:tc>
          <w:tcPr>
            <w:tcW w:w="1761" w:type="dxa"/>
            <w:vAlign w:val="top"/>
          </w:tcPr>
          <w:p w14:paraId="378CE6E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08" w:type="dxa"/>
            <w:vAlign w:val="top"/>
          </w:tcPr>
          <w:p w14:paraId="52F1699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29" w:type="dxa"/>
            <w:vAlign w:val="top"/>
          </w:tcPr>
          <w:p w14:paraId="516C41A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75D9D36F">
      <w:pPr>
        <w:keepNext w:val="0"/>
        <w:keepLines w:val="0"/>
        <w:pageBreakBefore w:val="0"/>
        <w:widowControl/>
        <w:kinsoku w:val="0"/>
        <w:wordWrap/>
        <w:overflowPunct/>
        <w:topLinePunct w:val="0"/>
        <w:autoSpaceDE w:val="0"/>
        <w:autoSpaceDN w:val="0"/>
        <w:bidi w:val="0"/>
        <w:adjustRightInd w:val="0"/>
        <w:snapToGrid w:val="0"/>
        <w:spacing w:line="385" w:lineRule="auto"/>
        <w:ind w:left="0" w:leftChars="0" w:right="0" w:firstLine="480" w:firstLineChars="200"/>
        <w:textAlignment w:val="baseline"/>
        <w:rPr>
          <w:rFonts w:hint="eastAsia" w:ascii="仿宋" w:hAnsi="仿宋" w:eastAsia="仿宋" w:cs="仿宋"/>
          <w:color w:val="auto"/>
          <w:sz w:val="24"/>
          <w:szCs w:val="24"/>
          <w:highlight w:val="none"/>
        </w:rPr>
      </w:pPr>
    </w:p>
    <w:p w14:paraId="7DE0716C">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p>
    <w:p w14:paraId="779849C9">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p>
    <w:p w14:paraId="12A403B7">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7F80AB26">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p>
    <w:p w14:paraId="63FE2725">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日</w:t>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rPr>
        <w:t>期：</w:t>
      </w:r>
    </w:p>
    <w:p w14:paraId="004493BC">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6F04A744">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6CEEA2B2">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3DE35A1C">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5BF41204">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60152859">
      <w:pPr>
        <w:keepNext w:val="0"/>
        <w:keepLines w:val="0"/>
        <w:pageBreakBefore w:val="0"/>
        <w:widowControl/>
        <w:kinsoku w:val="0"/>
        <w:wordWrap/>
        <w:overflowPunct/>
        <w:topLinePunct w:val="0"/>
        <w:autoSpaceDE w:val="0"/>
        <w:autoSpaceDN w:val="0"/>
        <w:bidi w:val="0"/>
        <w:adjustRightInd w:val="0"/>
        <w:snapToGrid w:val="0"/>
        <w:spacing w:line="253" w:lineRule="auto"/>
        <w:ind w:left="0" w:leftChars="0" w:right="0" w:firstLine="480" w:firstLineChars="200"/>
        <w:textAlignment w:val="baseline"/>
        <w:rPr>
          <w:rFonts w:hint="eastAsia" w:ascii="仿宋" w:hAnsi="仿宋" w:eastAsia="仿宋" w:cs="仿宋"/>
          <w:color w:val="auto"/>
          <w:sz w:val="24"/>
          <w:szCs w:val="24"/>
          <w:highlight w:val="none"/>
        </w:rPr>
      </w:pPr>
    </w:p>
    <w:p w14:paraId="2CAC2CCF">
      <w:pPr>
        <w:pStyle w:val="46"/>
        <w:rPr>
          <w:rFonts w:hint="eastAsia" w:ascii="仿宋" w:hAnsi="仿宋" w:eastAsia="仿宋" w:cs="仿宋"/>
          <w:color w:val="auto"/>
          <w:highlight w:val="none"/>
        </w:rPr>
      </w:pPr>
    </w:p>
    <w:p w14:paraId="145533B7">
      <w:pPr>
        <w:pStyle w:val="15"/>
        <w:keepNext w:val="0"/>
        <w:keepLines w:val="0"/>
        <w:pageBreakBefore w:val="0"/>
        <w:widowControl/>
        <w:kinsoku w:val="0"/>
        <w:wordWrap/>
        <w:overflowPunct/>
        <w:topLinePunct w:val="0"/>
        <w:autoSpaceDE w:val="0"/>
        <w:autoSpaceDN w:val="0"/>
        <w:bidi w:val="0"/>
        <w:adjustRightInd w:val="0"/>
        <w:snapToGrid w:val="0"/>
        <w:spacing w:before="66" w:line="233" w:lineRule="auto"/>
        <w:ind w:left="0" w:leftChars="0" w:right="0" w:firstLine="47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注：</w:t>
      </w:r>
    </w:p>
    <w:p w14:paraId="5D46E086">
      <w:pPr>
        <w:pStyle w:val="15"/>
        <w:keepNext w:val="0"/>
        <w:keepLines w:val="0"/>
        <w:pageBreakBefore w:val="0"/>
        <w:widowControl/>
        <w:kinsoku w:val="0"/>
        <w:wordWrap/>
        <w:overflowPunct/>
        <w:topLinePunct w:val="0"/>
        <w:autoSpaceDE w:val="0"/>
        <w:autoSpaceDN w:val="0"/>
        <w:bidi w:val="0"/>
        <w:adjustRightInd w:val="0"/>
        <w:snapToGrid w:val="0"/>
        <w:spacing w:before="216" w:line="229" w:lineRule="auto"/>
        <w:ind w:left="0" w:leftChars="0" w:right="0" w:firstLine="504" w:firstLineChars="200"/>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1.此表用于开标唱标之用。</w:t>
      </w:r>
    </w:p>
    <w:p w14:paraId="3265AAC6">
      <w:pPr>
        <w:pStyle w:val="15"/>
        <w:keepNext w:val="0"/>
        <w:keepLines w:val="0"/>
        <w:pageBreakBefore w:val="0"/>
        <w:widowControl/>
        <w:kinsoku w:val="0"/>
        <w:wordWrap/>
        <w:overflowPunct/>
        <w:topLinePunct w:val="0"/>
        <w:autoSpaceDE w:val="0"/>
        <w:autoSpaceDN w:val="0"/>
        <w:bidi w:val="0"/>
        <w:adjustRightInd w:val="0"/>
        <w:snapToGrid w:val="0"/>
        <w:spacing w:before="216" w:line="229" w:lineRule="auto"/>
        <w:ind w:left="0" w:leftChars="0" w:right="0" w:firstLine="504" w:firstLineChars="200"/>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2.表中投标报价即为优惠后报价，并作为评审及定标依据。任何有选择或有条件的投标报价，或者表中某一包填写多个报价，均为无效报价。</w:t>
      </w:r>
    </w:p>
    <w:p w14:paraId="47443645">
      <w:pPr>
        <w:pStyle w:val="15"/>
        <w:keepNext w:val="0"/>
        <w:keepLines w:val="0"/>
        <w:pageBreakBefore w:val="0"/>
        <w:widowControl/>
        <w:kinsoku w:val="0"/>
        <w:wordWrap/>
        <w:overflowPunct/>
        <w:topLinePunct w:val="0"/>
        <w:autoSpaceDE w:val="0"/>
        <w:autoSpaceDN w:val="0"/>
        <w:bidi w:val="0"/>
        <w:adjustRightInd w:val="0"/>
        <w:snapToGrid w:val="0"/>
        <w:spacing w:before="216" w:line="229" w:lineRule="auto"/>
        <w:ind w:left="0" w:leftChars="0" w:right="0" w:firstLine="504" w:firstLineChars="200"/>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3.表中大写与小写不一致的，以大写为准。</w:t>
      </w:r>
    </w:p>
    <w:p w14:paraId="2A94EAB5">
      <w:pPr>
        <w:rPr>
          <w:rFonts w:hint="eastAsia" w:ascii="仿宋" w:hAnsi="仿宋" w:eastAsia="仿宋" w:cs="仿宋"/>
          <w:bCs/>
          <w:color w:val="auto"/>
          <w:sz w:val="28"/>
          <w:szCs w:val="28"/>
          <w:highlight w:val="none"/>
        </w:rPr>
      </w:pPr>
    </w:p>
    <w:p w14:paraId="35675761">
      <w:pPr>
        <w:pStyle w:val="46"/>
        <w:ind w:left="0" w:leftChars="0" w:firstLine="0" w:firstLineChars="0"/>
        <w:rPr>
          <w:rFonts w:hint="eastAsia" w:ascii="仿宋" w:hAnsi="仿宋" w:eastAsia="仿宋" w:cs="仿宋"/>
          <w:color w:val="auto"/>
          <w:highlight w:val="none"/>
        </w:rPr>
        <w:sectPr>
          <w:headerReference r:id="rId16" w:type="default"/>
          <w:footerReference r:id="rId17" w:type="default"/>
          <w:pgSz w:w="11905" w:h="16838"/>
          <w:pgMar w:top="720" w:right="1417" w:bottom="720" w:left="1417" w:header="850" w:footer="992" w:gutter="0"/>
          <w:pgNumType w:fmt="decimal"/>
          <w:cols w:space="720" w:num="1"/>
          <w:docGrid w:type="lines" w:linePitch="416" w:charSpace="0"/>
        </w:sectPr>
      </w:pPr>
    </w:p>
    <w:p w14:paraId="21B88F87">
      <w:pPr>
        <w:spacing w:line="360" w:lineRule="auto"/>
        <w:jc w:val="center"/>
        <w:outlineLvl w:val="1"/>
        <w:rPr>
          <w:rFonts w:hint="eastAsia" w:ascii="仿宋" w:hAnsi="仿宋" w:eastAsia="仿宋" w:cs="仿宋"/>
          <w:bCs/>
          <w:color w:val="auto"/>
          <w:sz w:val="28"/>
          <w:szCs w:val="28"/>
          <w:highlight w:val="none"/>
        </w:rPr>
      </w:pPr>
      <w:bookmarkStart w:id="133" w:name="_Toc24516"/>
      <w:r>
        <w:rPr>
          <w:rFonts w:hint="eastAsia" w:ascii="仿宋" w:hAnsi="仿宋" w:eastAsia="仿宋" w:cs="仿宋"/>
          <w:bCs/>
          <w:color w:val="auto"/>
          <w:sz w:val="28"/>
          <w:szCs w:val="28"/>
          <w:highlight w:val="none"/>
          <w:lang w:val="en-US" w:eastAsia="zh-CN"/>
        </w:rPr>
        <w:t>二、</w:t>
      </w:r>
      <w:r>
        <w:rPr>
          <w:rFonts w:hint="eastAsia" w:ascii="仿宋" w:hAnsi="仿宋" w:eastAsia="仿宋" w:cs="仿宋"/>
          <w:bCs/>
          <w:color w:val="auto"/>
          <w:sz w:val="28"/>
          <w:szCs w:val="28"/>
          <w:highlight w:val="none"/>
        </w:rPr>
        <w:t>分项报价表</w:t>
      </w:r>
      <w:bookmarkEnd w:id="133"/>
    </w:p>
    <w:p w14:paraId="08578143">
      <w:pPr>
        <w:spacing w:line="400" w:lineRule="atLeas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　　　　　　　　　　</w:t>
      </w:r>
    </w:p>
    <w:p w14:paraId="5E6F9E04">
      <w:pPr>
        <w:spacing w:line="400" w:lineRule="atLeas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　　　　　　　　　　</w:t>
      </w:r>
    </w:p>
    <w:p w14:paraId="0EEECB96">
      <w:pPr>
        <w:spacing w:line="400" w:lineRule="atLeas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    位：元</w:t>
      </w:r>
    </w:p>
    <w:tbl>
      <w:tblPr>
        <w:tblStyle w:val="36"/>
        <w:tblW w:w="14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355"/>
        <w:gridCol w:w="1476"/>
        <w:gridCol w:w="1476"/>
        <w:gridCol w:w="1476"/>
        <w:gridCol w:w="1476"/>
        <w:gridCol w:w="1476"/>
        <w:gridCol w:w="1476"/>
        <w:gridCol w:w="1476"/>
        <w:gridCol w:w="1482"/>
      </w:tblGrid>
      <w:tr w14:paraId="2BF8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23" w:type="dxa"/>
            <w:noWrap w:val="0"/>
            <w:vAlign w:val="center"/>
          </w:tcPr>
          <w:p w14:paraId="03494F88">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2355" w:type="dxa"/>
            <w:noWrap w:val="0"/>
            <w:vAlign w:val="center"/>
          </w:tcPr>
          <w:p w14:paraId="0752FE21">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476" w:type="dxa"/>
            <w:noWrap w:val="0"/>
            <w:vAlign w:val="center"/>
          </w:tcPr>
          <w:p w14:paraId="667A4A3F">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规格型号</w:t>
            </w:r>
          </w:p>
        </w:tc>
        <w:tc>
          <w:tcPr>
            <w:tcW w:w="1476" w:type="dxa"/>
            <w:noWrap w:val="0"/>
            <w:vAlign w:val="center"/>
          </w:tcPr>
          <w:p w14:paraId="423039B6">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原产地</w:t>
            </w:r>
          </w:p>
        </w:tc>
        <w:tc>
          <w:tcPr>
            <w:tcW w:w="1476" w:type="dxa"/>
            <w:noWrap w:val="0"/>
            <w:vAlign w:val="center"/>
          </w:tcPr>
          <w:p w14:paraId="6721B960">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制造商</w:t>
            </w:r>
          </w:p>
        </w:tc>
        <w:tc>
          <w:tcPr>
            <w:tcW w:w="1476" w:type="dxa"/>
            <w:noWrap w:val="0"/>
            <w:vAlign w:val="center"/>
          </w:tcPr>
          <w:p w14:paraId="3769FAA3">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品牌</w:t>
            </w:r>
          </w:p>
        </w:tc>
        <w:tc>
          <w:tcPr>
            <w:tcW w:w="1476" w:type="dxa"/>
            <w:noWrap w:val="0"/>
            <w:vAlign w:val="center"/>
          </w:tcPr>
          <w:p w14:paraId="767A4E39">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476" w:type="dxa"/>
            <w:noWrap w:val="0"/>
            <w:vAlign w:val="center"/>
          </w:tcPr>
          <w:p w14:paraId="6EB02CA6">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1476" w:type="dxa"/>
            <w:noWrap w:val="0"/>
            <w:vAlign w:val="center"/>
          </w:tcPr>
          <w:p w14:paraId="120B16E8">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单价</w:t>
            </w:r>
          </w:p>
        </w:tc>
        <w:tc>
          <w:tcPr>
            <w:tcW w:w="1482" w:type="dxa"/>
            <w:noWrap w:val="0"/>
            <w:vAlign w:val="center"/>
          </w:tcPr>
          <w:p w14:paraId="12EAE65E">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36CB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27E5D7EB">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355" w:type="dxa"/>
            <w:noWrap w:val="0"/>
            <w:vAlign w:val="center"/>
          </w:tcPr>
          <w:p w14:paraId="2DF3264F">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0D908A3E">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782281C7">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9041CA9">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6E4BB4E">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3A4B60A">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AFBE92A">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FB94F77">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0290A6DC">
            <w:pPr>
              <w:spacing w:line="400" w:lineRule="atLeast"/>
              <w:jc w:val="center"/>
              <w:rPr>
                <w:rFonts w:hint="eastAsia" w:ascii="仿宋" w:hAnsi="仿宋" w:eastAsia="仿宋" w:cs="仿宋"/>
                <w:bCs/>
                <w:color w:val="auto"/>
                <w:sz w:val="24"/>
                <w:highlight w:val="none"/>
              </w:rPr>
            </w:pPr>
          </w:p>
        </w:tc>
      </w:tr>
      <w:tr w14:paraId="43AA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69414556">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2355" w:type="dxa"/>
            <w:noWrap w:val="0"/>
            <w:vAlign w:val="center"/>
          </w:tcPr>
          <w:p w14:paraId="6B133457">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2627E5B">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49DD3C7">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2D829C3">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260637C">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E317700">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423D263">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22E7222">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1787564F">
            <w:pPr>
              <w:spacing w:line="400" w:lineRule="atLeast"/>
              <w:jc w:val="center"/>
              <w:rPr>
                <w:rFonts w:hint="eastAsia" w:ascii="仿宋" w:hAnsi="仿宋" w:eastAsia="仿宋" w:cs="仿宋"/>
                <w:bCs/>
                <w:color w:val="auto"/>
                <w:sz w:val="24"/>
                <w:highlight w:val="none"/>
              </w:rPr>
            </w:pPr>
          </w:p>
        </w:tc>
      </w:tr>
      <w:tr w14:paraId="1473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387889CB">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2355" w:type="dxa"/>
            <w:noWrap w:val="0"/>
            <w:vAlign w:val="center"/>
          </w:tcPr>
          <w:p w14:paraId="7284BB68">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24947B13">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7B07FE1">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27E1DF9">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0AB71375">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74EDC7D">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7193C59">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203C103">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373EB8F9">
            <w:pPr>
              <w:spacing w:line="400" w:lineRule="atLeast"/>
              <w:jc w:val="center"/>
              <w:rPr>
                <w:rFonts w:hint="eastAsia" w:ascii="仿宋" w:hAnsi="仿宋" w:eastAsia="仿宋" w:cs="仿宋"/>
                <w:bCs/>
                <w:color w:val="auto"/>
                <w:sz w:val="24"/>
                <w:highlight w:val="none"/>
              </w:rPr>
            </w:pPr>
          </w:p>
        </w:tc>
      </w:tr>
      <w:tr w14:paraId="3779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2F4EA76B">
            <w:pPr>
              <w:spacing w:line="400" w:lineRule="atLeast"/>
              <w:jc w:val="center"/>
              <w:rPr>
                <w:rFonts w:hint="eastAsia" w:ascii="仿宋" w:hAnsi="仿宋" w:eastAsia="仿宋" w:cs="仿宋"/>
                <w:bCs/>
                <w:color w:val="auto"/>
                <w:sz w:val="24"/>
                <w:highlight w:val="none"/>
              </w:rPr>
            </w:pPr>
          </w:p>
        </w:tc>
        <w:tc>
          <w:tcPr>
            <w:tcW w:w="2355" w:type="dxa"/>
            <w:noWrap w:val="0"/>
            <w:vAlign w:val="center"/>
          </w:tcPr>
          <w:p w14:paraId="54BCD755">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8CC8329">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A5F4CCE">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6117539">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33E1C49">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06E94A3">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18504CF">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2DD0989E">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41FC4D34">
            <w:pPr>
              <w:spacing w:line="400" w:lineRule="atLeast"/>
              <w:jc w:val="center"/>
              <w:rPr>
                <w:rFonts w:hint="eastAsia" w:ascii="仿宋" w:hAnsi="仿宋" w:eastAsia="仿宋" w:cs="仿宋"/>
                <w:bCs/>
                <w:color w:val="auto"/>
                <w:sz w:val="24"/>
                <w:highlight w:val="none"/>
              </w:rPr>
            </w:pPr>
          </w:p>
        </w:tc>
      </w:tr>
      <w:tr w14:paraId="47EB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79A56DAA">
            <w:pPr>
              <w:spacing w:line="400" w:lineRule="atLeast"/>
              <w:jc w:val="center"/>
              <w:rPr>
                <w:rFonts w:hint="eastAsia" w:ascii="仿宋" w:hAnsi="仿宋" w:eastAsia="仿宋" w:cs="仿宋"/>
                <w:bCs/>
                <w:color w:val="auto"/>
                <w:sz w:val="24"/>
                <w:highlight w:val="none"/>
              </w:rPr>
            </w:pPr>
          </w:p>
        </w:tc>
        <w:tc>
          <w:tcPr>
            <w:tcW w:w="2355" w:type="dxa"/>
            <w:noWrap w:val="0"/>
            <w:vAlign w:val="center"/>
          </w:tcPr>
          <w:p w14:paraId="5A1F39BC">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29A14431">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2CC698C">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14FC122">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59C2514">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E797B01">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25B3D6F">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BBCAA86">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134D86B4">
            <w:pPr>
              <w:spacing w:line="400" w:lineRule="atLeast"/>
              <w:jc w:val="center"/>
              <w:rPr>
                <w:rFonts w:hint="eastAsia" w:ascii="仿宋" w:hAnsi="仿宋" w:eastAsia="仿宋" w:cs="仿宋"/>
                <w:bCs/>
                <w:color w:val="auto"/>
                <w:sz w:val="24"/>
                <w:highlight w:val="none"/>
              </w:rPr>
            </w:pPr>
          </w:p>
        </w:tc>
      </w:tr>
      <w:tr w14:paraId="2DAC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4892" w:type="dxa"/>
            <w:gridSpan w:val="10"/>
            <w:noWrap w:val="0"/>
            <w:vAlign w:val="center"/>
          </w:tcPr>
          <w:p w14:paraId="572236D1">
            <w:pPr>
              <w:spacing w:line="400" w:lineRule="atLeast"/>
              <w:jc w:val="left"/>
              <w:rPr>
                <w:rFonts w:hint="eastAsia" w:ascii="仿宋" w:hAnsi="仿宋" w:eastAsia="仿宋" w:cs="仿宋"/>
                <w:bCs/>
                <w:color w:val="auto"/>
                <w:sz w:val="24"/>
                <w:highlight w:val="none"/>
                <w:lang w:eastAsia="zh-CN"/>
              </w:rPr>
            </w:pPr>
            <w:r>
              <w:rPr>
                <w:rFonts w:hint="eastAsia" w:ascii="仿宋" w:hAnsi="仿宋" w:eastAsia="仿宋" w:cs="仿宋"/>
                <w:color w:val="auto"/>
                <w:spacing w:val="5"/>
                <w:sz w:val="24"/>
                <w:szCs w:val="24"/>
                <w:highlight w:val="none"/>
              </w:rPr>
              <w:t>总价（元）</w:t>
            </w:r>
            <w:r>
              <w:rPr>
                <w:rFonts w:hint="eastAsia" w:ascii="仿宋" w:hAnsi="仿宋" w:eastAsia="仿宋" w:cs="仿宋"/>
                <w:color w:val="auto"/>
                <w:spacing w:val="5"/>
                <w:sz w:val="24"/>
                <w:szCs w:val="24"/>
                <w:highlight w:val="none"/>
                <w:lang w:eastAsia="zh-CN"/>
              </w:rPr>
              <w:t>：</w:t>
            </w:r>
          </w:p>
        </w:tc>
      </w:tr>
    </w:tbl>
    <w:p w14:paraId="5ACE8E9C">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注：1.按照本表填写的总价填写到“开标一览表 ”中对应的“投标报价 ”栏中。</w:t>
      </w:r>
    </w:p>
    <w:p w14:paraId="3B092F2F">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2.表中所列货物为对应本项目需求的全部货物及所需附件购置费、包装费、运输费、人工费、保险费、安装调试费、各种税费、资料费、售后服务 费及完成项目应有的全部费用。如有漏项或缺项，投标人承担全部责任。</w:t>
      </w:r>
    </w:p>
    <w:p w14:paraId="480FB373">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3.表中须明确列出所投产品的分项名称、制造商、产地、品牌、规格、型号、单价、数量、合价等，否则可能导致响应无效。</w:t>
      </w:r>
    </w:p>
    <w:p w14:paraId="5F65F086">
      <w:pPr>
        <w:ind w:firstLine="4320" w:firstLineChars="1800"/>
        <w:jc w:val="center"/>
        <w:rPr>
          <w:rFonts w:hint="eastAsia" w:ascii="仿宋" w:hAnsi="仿宋" w:eastAsia="仿宋" w:cs="仿宋"/>
          <w:bCs/>
          <w:color w:val="auto"/>
          <w:sz w:val="24"/>
          <w:szCs w:val="24"/>
          <w:highlight w:val="none"/>
        </w:rPr>
      </w:pPr>
    </w:p>
    <w:p w14:paraId="01041D5C">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投标人名称（盖章）：</w:t>
      </w:r>
    </w:p>
    <w:p w14:paraId="42401605">
      <w:pPr>
        <w:ind w:firstLine="4320" w:firstLineChars="1800"/>
        <w:jc w:val="center"/>
        <w:rPr>
          <w:rFonts w:hint="eastAsia" w:ascii="仿宋" w:hAnsi="仿宋" w:eastAsia="仿宋" w:cs="仿宋"/>
          <w:bCs/>
          <w:color w:val="auto"/>
          <w:sz w:val="24"/>
          <w:szCs w:val="24"/>
          <w:highlight w:val="none"/>
        </w:rPr>
      </w:pPr>
    </w:p>
    <w:p w14:paraId="779AC2B0">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投标人代表</w:t>
      </w:r>
      <w:r>
        <w:rPr>
          <w:rFonts w:hint="eastAsia" w:ascii="仿宋" w:hAnsi="仿宋" w:eastAsia="仿宋" w:cs="仿宋"/>
          <w:bCs/>
          <w:color w:val="auto"/>
          <w:sz w:val="24"/>
          <w:highlight w:val="none"/>
        </w:rPr>
        <w:t>（签字或盖章）</w:t>
      </w:r>
      <w:r>
        <w:rPr>
          <w:rFonts w:hint="eastAsia" w:ascii="仿宋" w:hAnsi="仿宋" w:eastAsia="仿宋" w:cs="仿宋"/>
          <w:bCs/>
          <w:color w:val="auto"/>
          <w:sz w:val="24"/>
          <w:szCs w:val="24"/>
          <w:highlight w:val="none"/>
        </w:rPr>
        <w:t xml:space="preserve"> ：</w:t>
      </w:r>
    </w:p>
    <w:p w14:paraId="728E65CB">
      <w:pPr>
        <w:ind w:firstLine="4320" w:firstLineChars="1800"/>
        <w:jc w:val="center"/>
        <w:rPr>
          <w:rFonts w:hint="eastAsia" w:ascii="仿宋" w:hAnsi="仿宋" w:eastAsia="仿宋" w:cs="仿宋"/>
          <w:bCs/>
          <w:color w:val="auto"/>
          <w:sz w:val="24"/>
          <w:szCs w:val="24"/>
          <w:highlight w:val="none"/>
        </w:rPr>
      </w:pPr>
    </w:p>
    <w:p w14:paraId="3F4EF8A9">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 年 月  日</w:t>
      </w:r>
    </w:p>
    <w:p w14:paraId="2EE51227">
      <w:pPr>
        <w:pStyle w:val="46"/>
        <w:rPr>
          <w:rFonts w:hint="eastAsia" w:ascii="仿宋" w:hAnsi="仿宋" w:eastAsia="仿宋" w:cs="仿宋"/>
          <w:color w:val="auto"/>
          <w:highlight w:val="none"/>
        </w:rPr>
        <w:sectPr>
          <w:pgSz w:w="16838" w:h="11905" w:orient="landscape"/>
          <w:pgMar w:top="1134" w:right="720" w:bottom="1134" w:left="720" w:header="850" w:footer="992" w:gutter="0"/>
          <w:pgNumType w:fmt="decimal"/>
          <w:cols w:space="720" w:num="1"/>
          <w:docGrid w:type="lines" w:linePitch="416" w:charSpace="0"/>
        </w:sectPr>
      </w:pPr>
    </w:p>
    <w:p w14:paraId="3DCE557E">
      <w:pPr>
        <w:pStyle w:val="15"/>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b/>
          <w:bCs/>
          <w:color w:val="auto"/>
          <w:spacing w:val="-11"/>
          <w:sz w:val="32"/>
          <w:szCs w:val="32"/>
          <w:highlight w:val="none"/>
          <w:lang w:val="en-US" w:eastAsia="zh-CN"/>
        </w:rPr>
      </w:pPr>
    </w:p>
    <w:p w14:paraId="135503F8">
      <w:pPr>
        <w:pStyle w:val="15"/>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b/>
          <w:bCs/>
          <w:color w:val="auto"/>
          <w:spacing w:val="-11"/>
          <w:sz w:val="32"/>
          <w:szCs w:val="32"/>
          <w:highlight w:val="none"/>
          <w:lang w:val="en-US" w:eastAsia="zh-CN"/>
        </w:rPr>
      </w:pPr>
    </w:p>
    <w:p w14:paraId="3398FD94">
      <w:pPr>
        <w:pStyle w:val="15"/>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b/>
          <w:bCs/>
          <w:color w:val="auto"/>
          <w:spacing w:val="-11"/>
          <w:sz w:val="32"/>
          <w:szCs w:val="32"/>
          <w:highlight w:val="none"/>
          <w:lang w:val="en-US" w:eastAsia="zh-CN"/>
        </w:rPr>
      </w:pPr>
    </w:p>
    <w:p w14:paraId="4AA51A5C">
      <w:pPr>
        <w:pStyle w:val="15"/>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b/>
          <w:bCs/>
          <w:color w:val="auto"/>
          <w:spacing w:val="-11"/>
          <w:sz w:val="32"/>
          <w:szCs w:val="32"/>
          <w:highlight w:val="none"/>
          <w:lang w:val="en-US" w:eastAsia="zh-CN"/>
        </w:rPr>
      </w:pPr>
    </w:p>
    <w:p w14:paraId="3E305186">
      <w:pPr>
        <w:pStyle w:val="15"/>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1"/>
        <w:rPr>
          <w:rFonts w:hint="eastAsia" w:ascii="仿宋" w:hAnsi="仿宋" w:eastAsia="仿宋" w:cs="仿宋"/>
          <w:color w:val="auto"/>
          <w:sz w:val="32"/>
          <w:szCs w:val="32"/>
          <w:highlight w:val="none"/>
        </w:rPr>
      </w:pPr>
      <w:bookmarkStart w:id="134" w:name="_Toc1675"/>
      <w:r>
        <w:rPr>
          <w:rFonts w:hint="eastAsia" w:ascii="仿宋" w:hAnsi="仿宋" w:eastAsia="仿宋" w:cs="仿宋"/>
          <w:b/>
          <w:bCs/>
          <w:color w:val="auto"/>
          <w:spacing w:val="-11"/>
          <w:sz w:val="32"/>
          <w:szCs w:val="32"/>
          <w:highlight w:val="none"/>
          <w:lang w:val="en-US" w:eastAsia="zh-CN"/>
        </w:rPr>
        <w:t xml:space="preserve">商 务 技 术 </w:t>
      </w:r>
      <w:r>
        <w:rPr>
          <w:rFonts w:hint="eastAsia" w:ascii="仿宋" w:hAnsi="仿宋" w:eastAsia="仿宋" w:cs="仿宋"/>
          <w:b/>
          <w:bCs/>
          <w:color w:val="auto"/>
          <w:spacing w:val="-11"/>
          <w:sz w:val="32"/>
          <w:szCs w:val="32"/>
          <w:highlight w:val="none"/>
        </w:rPr>
        <w:t>文</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件</w:t>
      </w:r>
      <w:bookmarkEnd w:id="134"/>
    </w:p>
    <w:p w14:paraId="7B95F0B6">
      <w:pPr>
        <w:keepNext w:val="0"/>
        <w:keepLines w:val="0"/>
        <w:pageBreakBefore w:val="0"/>
        <w:widowControl/>
        <w:kinsoku w:val="0"/>
        <w:wordWrap/>
        <w:overflowPunct/>
        <w:topLinePunct w:val="0"/>
        <w:autoSpaceDE w:val="0"/>
        <w:autoSpaceDN w:val="0"/>
        <w:bidi w:val="0"/>
        <w:adjustRightInd w:val="0"/>
        <w:snapToGrid w:val="0"/>
        <w:spacing w:line="262" w:lineRule="auto"/>
        <w:ind w:right="0"/>
        <w:jc w:val="center"/>
        <w:textAlignment w:val="baseline"/>
        <w:rPr>
          <w:rFonts w:hint="eastAsia" w:ascii="仿宋" w:hAnsi="仿宋" w:eastAsia="仿宋" w:cs="仿宋"/>
          <w:color w:val="auto"/>
          <w:sz w:val="24"/>
          <w:szCs w:val="24"/>
          <w:highlight w:val="none"/>
        </w:rPr>
      </w:pPr>
    </w:p>
    <w:p w14:paraId="38509045">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4FF4CFC3">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2936437C">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46036C8C">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5F574800">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5540F64B">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30F936C0">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项目编号/包号：                            </w:t>
      </w:r>
    </w:p>
    <w:p w14:paraId="736F751D">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3FE6468C">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投 标 人 （公章）：                         </w:t>
      </w:r>
    </w:p>
    <w:p w14:paraId="427E4CDC">
      <w:pPr>
        <w:outlineLvl w:val="9"/>
        <w:rPr>
          <w:rFonts w:hint="eastAsia" w:ascii="仿宋" w:hAnsi="仿宋" w:eastAsia="仿宋" w:cs="仿宋"/>
          <w:bCs/>
          <w:color w:val="auto"/>
          <w:sz w:val="28"/>
          <w:szCs w:val="28"/>
          <w:highlight w:val="none"/>
        </w:rPr>
      </w:pPr>
    </w:p>
    <w:p w14:paraId="6A9153C7">
      <w:pPr>
        <w:pStyle w:val="46"/>
        <w:rPr>
          <w:rFonts w:hint="eastAsia" w:ascii="仿宋" w:hAnsi="仿宋" w:eastAsia="仿宋" w:cs="仿宋"/>
          <w:color w:val="auto"/>
          <w:highlight w:val="none"/>
        </w:rPr>
      </w:pPr>
      <w:r>
        <w:rPr>
          <w:rFonts w:hint="eastAsia" w:ascii="仿宋" w:hAnsi="仿宋" w:eastAsia="仿宋" w:cs="仿宋"/>
          <w:bCs/>
          <w:color w:val="auto"/>
          <w:sz w:val="28"/>
          <w:szCs w:val="28"/>
          <w:highlight w:val="none"/>
        </w:rPr>
        <w:br w:type="page"/>
      </w:r>
    </w:p>
    <w:bookmarkEnd w:id="111"/>
    <w:bookmarkEnd w:id="112"/>
    <w:bookmarkEnd w:id="113"/>
    <w:bookmarkEnd w:id="129"/>
    <w:p w14:paraId="0F2BBBB9">
      <w:pPr>
        <w:pStyle w:val="15"/>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94" w:firstLineChars="200"/>
        <w:jc w:val="center"/>
        <w:textAlignment w:val="baseline"/>
        <w:outlineLvl w:val="1"/>
        <w:rPr>
          <w:rFonts w:hint="eastAsia" w:ascii="仿宋" w:hAnsi="仿宋" w:eastAsia="仿宋" w:cs="仿宋"/>
          <w:color w:val="auto"/>
          <w:sz w:val="24"/>
          <w:szCs w:val="24"/>
          <w:highlight w:val="none"/>
        </w:rPr>
      </w:pPr>
      <w:bookmarkStart w:id="135" w:name="_Toc23741"/>
      <w:bookmarkStart w:id="136" w:name="_Toc26591"/>
      <w:bookmarkStart w:id="137" w:name="_Toc10457"/>
      <w:bookmarkStart w:id="138" w:name="_Toc24332"/>
      <w:bookmarkStart w:id="139" w:name="_Toc9694"/>
      <w:bookmarkStart w:id="140" w:name="_Toc5527"/>
      <w:r>
        <w:rPr>
          <w:rFonts w:hint="eastAsia" w:ascii="仿宋" w:hAnsi="仿宋" w:eastAsia="仿宋" w:cs="仿宋"/>
          <w:b/>
          <w:bCs/>
          <w:color w:val="auto"/>
          <w:spacing w:val="3"/>
          <w:sz w:val="24"/>
          <w:szCs w:val="24"/>
          <w:highlight w:val="none"/>
        </w:rPr>
        <w:t>一、投标函</w:t>
      </w:r>
      <w:bookmarkEnd w:id="135"/>
      <w:bookmarkEnd w:id="136"/>
    </w:p>
    <w:p w14:paraId="0433394C">
      <w:pPr>
        <w:pStyle w:val="15"/>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80" w:firstLineChars="200"/>
        <w:jc w:val="center"/>
        <w:textAlignment w:val="baseline"/>
        <w:outlineLvl w:val="9"/>
        <w:rPr>
          <w:rFonts w:hint="eastAsia" w:ascii="仿宋" w:hAnsi="仿宋" w:eastAsia="仿宋" w:cs="仿宋"/>
          <w:color w:val="auto"/>
          <w:sz w:val="24"/>
          <w:szCs w:val="24"/>
          <w:highlight w:val="none"/>
        </w:rPr>
      </w:pPr>
    </w:p>
    <w:p w14:paraId="79780FE6">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52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致</w:t>
      </w:r>
      <w:r>
        <w:rPr>
          <w:rFonts w:hint="eastAsia" w:ascii="仿宋" w:hAnsi="仿宋" w:eastAsia="仿宋" w:cs="仿宋"/>
          <w:color w:val="auto"/>
          <w:spacing w:val="-33"/>
          <w:sz w:val="24"/>
          <w:szCs w:val="24"/>
          <w:highlight w:val="none"/>
        </w:rPr>
        <w:t>：（</w:t>
      </w:r>
      <w:r>
        <w:rPr>
          <w:rFonts w:hint="eastAsia" w:ascii="仿宋" w:hAnsi="仿宋" w:eastAsia="仿宋" w:cs="仿宋"/>
          <w:color w:val="auto"/>
          <w:spacing w:val="11"/>
          <w:sz w:val="24"/>
          <w:szCs w:val="24"/>
          <w:highlight w:val="none"/>
        </w:rPr>
        <w:t>采购人）</w:t>
      </w:r>
    </w:p>
    <w:p w14:paraId="040AAD23">
      <w:pPr>
        <w:pStyle w:val="15"/>
        <w:keepNext w:val="0"/>
        <w:keepLines w:val="0"/>
        <w:pageBreakBefore w:val="0"/>
        <w:widowControl/>
        <w:kinsoku w:val="0"/>
        <w:wordWrap/>
        <w:overflowPunct/>
        <w:topLinePunct w:val="0"/>
        <w:autoSpaceDE w:val="0"/>
        <w:autoSpaceDN w:val="0"/>
        <w:bidi w:val="0"/>
        <w:adjustRightInd w:val="0"/>
        <w:snapToGrid w:val="0"/>
        <w:spacing w:before="182" w:line="351"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根据贵方</w:t>
      </w:r>
      <w:r>
        <w:rPr>
          <w:rFonts w:hint="eastAsia" w:ascii="仿宋" w:hAnsi="仿宋" w:eastAsia="仿宋" w:cs="仿宋"/>
          <w:color w:val="auto"/>
          <w:spacing w:val="1"/>
          <w:sz w:val="24"/>
          <w:szCs w:val="24"/>
          <w:highlight w:val="none"/>
          <w:u w:val="single" w:color="auto"/>
        </w:rPr>
        <w:t>（项目名称</w:t>
      </w:r>
      <w:r>
        <w:rPr>
          <w:rFonts w:hint="eastAsia" w:ascii="仿宋" w:hAnsi="仿宋" w:eastAsia="仿宋" w:cs="仿宋"/>
          <w:color w:val="auto"/>
          <w:spacing w:val="-18"/>
          <w:sz w:val="24"/>
          <w:szCs w:val="24"/>
          <w:highlight w:val="none"/>
          <w:u w:val="single" w:color="auto"/>
        </w:rPr>
        <w:t>）（</w:t>
      </w:r>
      <w:r>
        <w:rPr>
          <w:rFonts w:hint="eastAsia" w:ascii="仿宋" w:hAnsi="仿宋" w:eastAsia="仿宋" w:cs="仿宋"/>
          <w:color w:val="auto"/>
          <w:spacing w:val="1"/>
          <w:sz w:val="24"/>
          <w:szCs w:val="24"/>
          <w:highlight w:val="none"/>
          <w:u w:val="single" w:color="auto"/>
        </w:rPr>
        <w:t>项目编号/包号）</w:t>
      </w:r>
      <w:r>
        <w:rPr>
          <w:rFonts w:hint="eastAsia" w:ascii="仿宋" w:hAnsi="仿宋" w:eastAsia="仿宋" w:cs="仿宋"/>
          <w:color w:val="auto"/>
          <w:spacing w:val="1"/>
          <w:sz w:val="24"/>
          <w:szCs w:val="24"/>
          <w:highlight w:val="none"/>
        </w:rPr>
        <w:t>项目的招标公告</w:t>
      </w:r>
      <w:r>
        <w:rPr>
          <w:rFonts w:hint="eastAsia" w:ascii="仿宋" w:hAnsi="仿宋" w:eastAsia="仿宋" w:cs="仿宋"/>
          <w:color w:val="auto"/>
          <w:sz w:val="24"/>
          <w:szCs w:val="24"/>
          <w:highlight w:val="none"/>
        </w:rPr>
        <w:t>，签字代表</w:t>
      </w:r>
      <w:r>
        <w:rPr>
          <w:rFonts w:hint="eastAsia" w:ascii="仿宋" w:hAnsi="仿宋" w:eastAsia="仿宋" w:cs="仿宋"/>
          <w:color w:val="auto"/>
          <w:sz w:val="24"/>
          <w:szCs w:val="24"/>
          <w:highlight w:val="none"/>
          <w:u w:val="single" w:color="auto"/>
        </w:rPr>
        <w:t>（姓</w:t>
      </w:r>
      <w:r>
        <w:rPr>
          <w:rFonts w:hint="eastAsia" w:ascii="仿宋" w:hAnsi="仿宋" w:eastAsia="仿宋" w:cs="仿宋"/>
          <w:color w:val="auto"/>
          <w:spacing w:val="-1"/>
          <w:sz w:val="24"/>
          <w:szCs w:val="24"/>
          <w:highlight w:val="none"/>
          <w:u w:val="single" w:color="auto"/>
        </w:rPr>
        <w:t>名、职务）</w:t>
      </w:r>
      <w:r>
        <w:rPr>
          <w:rFonts w:hint="eastAsia" w:ascii="仿宋" w:hAnsi="仿宋" w:eastAsia="仿宋" w:cs="仿宋"/>
          <w:color w:val="auto"/>
          <w:spacing w:val="-1"/>
          <w:sz w:val="24"/>
          <w:szCs w:val="24"/>
          <w:highlight w:val="none"/>
        </w:rPr>
        <w:t>经正式授权并代表投标人</w:t>
      </w:r>
      <w:r>
        <w:rPr>
          <w:rFonts w:hint="eastAsia" w:ascii="仿宋" w:hAnsi="仿宋" w:eastAsia="仿宋" w:cs="仿宋"/>
          <w:color w:val="auto"/>
          <w:spacing w:val="-1"/>
          <w:sz w:val="24"/>
          <w:szCs w:val="24"/>
          <w:highlight w:val="none"/>
          <w:u w:val="single" w:color="auto"/>
        </w:rPr>
        <w:t>（投标人名称、地址）</w:t>
      </w:r>
      <w:r>
        <w:rPr>
          <w:rFonts w:hint="eastAsia" w:ascii="仿宋" w:hAnsi="仿宋" w:eastAsia="仿宋" w:cs="仿宋"/>
          <w:color w:val="auto"/>
          <w:spacing w:val="-1"/>
          <w:sz w:val="24"/>
          <w:szCs w:val="24"/>
          <w:highlight w:val="none"/>
        </w:rPr>
        <w:t>提交下述文件</w:t>
      </w:r>
      <w:r>
        <w:rPr>
          <w:rFonts w:hint="eastAsia" w:ascii="仿宋" w:hAnsi="仿宋" w:eastAsia="仿宋" w:cs="仿宋"/>
          <w:b/>
          <w:bCs/>
          <w:color w:val="auto"/>
          <w:spacing w:val="-1"/>
          <w:sz w:val="24"/>
          <w:szCs w:val="24"/>
          <w:highlight w:val="none"/>
        </w:rPr>
        <w:t>：</w:t>
      </w:r>
    </w:p>
    <w:p w14:paraId="703F0B66">
      <w:pPr>
        <w:pStyle w:val="15"/>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firstLine="46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1.资格证明文件；</w:t>
      </w:r>
    </w:p>
    <w:p w14:paraId="5307D9F2">
      <w:pPr>
        <w:pStyle w:val="15"/>
        <w:keepNext w:val="0"/>
        <w:keepLines w:val="0"/>
        <w:pageBreakBefore w:val="0"/>
        <w:widowControl/>
        <w:kinsoku w:val="0"/>
        <w:wordWrap/>
        <w:overflowPunct/>
        <w:topLinePunct w:val="0"/>
        <w:autoSpaceDE w:val="0"/>
        <w:autoSpaceDN w:val="0"/>
        <w:bidi w:val="0"/>
        <w:adjustRightInd w:val="0"/>
        <w:snapToGrid w:val="0"/>
        <w:spacing w:before="133"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2.投标报价文件；</w:t>
      </w:r>
    </w:p>
    <w:p w14:paraId="3F80BE70">
      <w:pPr>
        <w:pStyle w:val="15"/>
        <w:keepNext w:val="0"/>
        <w:keepLines w:val="0"/>
        <w:pageBreakBefore w:val="0"/>
        <w:widowControl/>
        <w:kinsoku w:val="0"/>
        <w:wordWrap/>
        <w:overflowPunct/>
        <w:topLinePunct w:val="0"/>
        <w:autoSpaceDE w:val="0"/>
        <w:autoSpaceDN w:val="0"/>
        <w:bidi w:val="0"/>
        <w:adjustRightInd w:val="0"/>
        <w:snapToGrid w:val="0"/>
        <w:spacing w:before="136"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3.商务技术文件。</w:t>
      </w:r>
    </w:p>
    <w:p w14:paraId="0342BB9F">
      <w:pPr>
        <w:pStyle w:val="15"/>
        <w:keepNext w:val="0"/>
        <w:keepLines w:val="0"/>
        <w:pageBreakBefore w:val="0"/>
        <w:widowControl/>
        <w:kinsoku w:val="0"/>
        <w:wordWrap/>
        <w:overflowPunct/>
        <w:topLinePunct w:val="0"/>
        <w:autoSpaceDE w:val="0"/>
        <w:autoSpaceDN w:val="0"/>
        <w:bidi w:val="0"/>
        <w:adjustRightInd w:val="0"/>
        <w:snapToGrid w:val="0"/>
        <w:spacing w:before="137" w:line="219"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根据此函，签字代表宣布同意如下：</w:t>
      </w:r>
    </w:p>
    <w:p w14:paraId="3882D4D0">
      <w:pPr>
        <w:pStyle w:val="15"/>
        <w:keepNext w:val="0"/>
        <w:keepLines w:val="0"/>
        <w:pageBreakBefore w:val="0"/>
        <w:widowControl/>
        <w:kinsoku w:val="0"/>
        <w:wordWrap/>
        <w:overflowPunct/>
        <w:topLinePunct w:val="0"/>
        <w:autoSpaceDE w:val="0"/>
        <w:autoSpaceDN w:val="0"/>
        <w:bidi w:val="0"/>
        <w:adjustRightInd w:val="0"/>
        <w:snapToGrid w:val="0"/>
        <w:spacing w:before="134" w:line="272" w:lineRule="auto"/>
        <w:ind w:left="0" w:leftChars="0" w:right="0" w:firstLine="46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1.所附投标价格表中规定的应提交和交付的货物和相关服务（如有）的投标</w:t>
      </w:r>
      <w:r>
        <w:rPr>
          <w:rFonts w:hint="eastAsia" w:ascii="仿宋" w:hAnsi="仿宋" w:eastAsia="仿宋" w:cs="仿宋"/>
          <w:color w:val="auto"/>
          <w:spacing w:val="-1"/>
          <w:sz w:val="24"/>
          <w:szCs w:val="24"/>
          <w:highlight w:val="none"/>
        </w:rPr>
        <w:t xml:space="preserve">报价为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4754AFCD">
      <w:pPr>
        <w:pStyle w:val="15"/>
        <w:keepNext w:val="0"/>
        <w:keepLines w:val="0"/>
        <w:pageBreakBefore w:val="0"/>
        <w:widowControl/>
        <w:kinsoku w:val="0"/>
        <w:wordWrap/>
        <w:overflowPunct/>
        <w:topLinePunct w:val="0"/>
        <w:autoSpaceDE w:val="0"/>
        <w:autoSpaceDN w:val="0"/>
        <w:bidi w:val="0"/>
        <w:adjustRightInd w:val="0"/>
        <w:snapToGrid w:val="0"/>
        <w:spacing w:before="138" w:line="22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2.我方将按招标文件的规定履行合同责任和义务。</w:t>
      </w:r>
    </w:p>
    <w:p w14:paraId="21082CE0">
      <w:pPr>
        <w:pStyle w:val="15"/>
        <w:keepNext w:val="0"/>
        <w:keepLines w:val="0"/>
        <w:pageBreakBefore w:val="0"/>
        <w:widowControl/>
        <w:kinsoku w:val="0"/>
        <w:wordWrap/>
        <w:overflowPunct/>
        <w:topLinePunct w:val="0"/>
        <w:autoSpaceDE w:val="0"/>
        <w:autoSpaceDN w:val="0"/>
        <w:bidi w:val="0"/>
        <w:adjustRightInd w:val="0"/>
        <w:snapToGrid w:val="0"/>
        <w:spacing w:before="133" w:line="272" w:lineRule="auto"/>
        <w:ind w:left="0" w:leftChars="0" w:right="0" w:firstLine="45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3.我方已详细审查全部招标文件，包括第</w:t>
      </w:r>
      <w:r>
        <w:rPr>
          <w:rFonts w:hint="eastAsia" w:ascii="仿宋" w:hAnsi="仿宋" w:eastAsia="仿宋" w:cs="仿宋"/>
          <w:color w:val="auto"/>
          <w:spacing w:val="-6"/>
          <w:sz w:val="24"/>
          <w:szCs w:val="24"/>
          <w:highlight w:val="none"/>
          <w:u w:val="single" w:color="auto"/>
        </w:rPr>
        <w:t>（编号、补遗书</w:t>
      </w:r>
      <w:r>
        <w:rPr>
          <w:rFonts w:hint="eastAsia" w:ascii="仿宋" w:hAnsi="仿宋" w:eastAsia="仿宋" w:cs="仿宋"/>
          <w:color w:val="auto"/>
          <w:spacing w:val="-35"/>
          <w:sz w:val="24"/>
          <w:szCs w:val="24"/>
          <w:highlight w:val="none"/>
          <w:u w:val="single" w:color="auto"/>
        </w:rPr>
        <w:t>）（</w:t>
      </w:r>
      <w:r>
        <w:rPr>
          <w:rFonts w:hint="eastAsia" w:ascii="仿宋" w:hAnsi="仿宋" w:eastAsia="仿宋" w:cs="仿宋"/>
          <w:color w:val="auto"/>
          <w:spacing w:val="-6"/>
          <w:sz w:val="24"/>
          <w:szCs w:val="24"/>
          <w:highlight w:val="none"/>
          <w:u w:val="single" w:color="auto"/>
        </w:rPr>
        <w:t>如果有的话）</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1"/>
          <w:sz w:val="24"/>
          <w:szCs w:val="24"/>
          <w:highlight w:val="none"/>
        </w:rPr>
        <w:t>我方完全理解并同意放弃对这方面有不明及误解的权力。</w:t>
      </w:r>
    </w:p>
    <w:p w14:paraId="28A6DE2A">
      <w:pPr>
        <w:pStyle w:val="15"/>
        <w:keepNext w:val="0"/>
        <w:keepLines w:val="0"/>
        <w:pageBreakBefore w:val="0"/>
        <w:widowControl/>
        <w:kinsoku w:val="0"/>
        <w:wordWrap/>
        <w:overflowPunct/>
        <w:topLinePunct w:val="0"/>
        <w:autoSpaceDE w:val="0"/>
        <w:autoSpaceDN w:val="0"/>
        <w:bidi w:val="0"/>
        <w:adjustRightInd w:val="0"/>
        <w:snapToGrid w:val="0"/>
        <w:spacing w:before="136" w:line="220" w:lineRule="auto"/>
        <w:ind w:left="0" w:leftChars="0" w:right="0" w:firstLine="468" w:firstLineChars="200"/>
        <w:jc w:val="right"/>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4.投标有效期为自提交投标文件的截止之日起</w:t>
      </w:r>
      <w:r>
        <w:rPr>
          <w:rFonts w:hint="eastAsia" w:ascii="仿宋" w:hAnsi="仿宋" w:eastAsia="仿宋" w:cs="仿宋"/>
          <w:color w:val="auto"/>
          <w:spacing w:val="-40"/>
          <w:sz w:val="24"/>
          <w:szCs w:val="24"/>
          <w:highlight w:val="none"/>
          <w:u w:val="single" w:color="auto"/>
        </w:rPr>
        <w:t xml:space="preserve"> </w:t>
      </w:r>
      <w:r>
        <w:rPr>
          <w:rFonts w:hint="eastAsia" w:ascii="仿宋" w:hAnsi="仿宋" w:eastAsia="仿宋" w:cs="仿宋"/>
          <w:color w:val="auto"/>
          <w:spacing w:val="-3"/>
          <w:sz w:val="24"/>
          <w:szCs w:val="24"/>
          <w:highlight w:val="none"/>
          <w:u w:val="single" w:color="auto"/>
        </w:rPr>
        <w:t>（由投标人填写）</w:t>
      </w:r>
      <w:r>
        <w:rPr>
          <w:rFonts w:hint="eastAsia" w:ascii="仿宋" w:hAnsi="仿宋" w:eastAsia="仿宋" w:cs="仿宋"/>
          <w:color w:val="auto"/>
          <w:spacing w:val="-3"/>
          <w:sz w:val="24"/>
          <w:szCs w:val="24"/>
          <w:highlight w:val="none"/>
        </w:rPr>
        <w:t>个日历天。</w:t>
      </w:r>
    </w:p>
    <w:p w14:paraId="52B668D7">
      <w:pPr>
        <w:pStyle w:val="15"/>
        <w:keepNext w:val="0"/>
        <w:keepLines w:val="0"/>
        <w:pageBreakBefore w:val="0"/>
        <w:widowControl/>
        <w:kinsoku w:val="0"/>
        <w:wordWrap/>
        <w:overflowPunct/>
        <w:topLinePunct w:val="0"/>
        <w:autoSpaceDE w:val="0"/>
        <w:autoSpaceDN w:val="0"/>
        <w:bidi w:val="0"/>
        <w:adjustRightInd w:val="0"/>
        <w:snapToGrid w:val="0"/>
        <w:spacing w:before="136" w:line="27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5.我方同意提供按照贵方招标文件要求的与投标有关的一切</w:t>
      </w:r>
      <w:r>
        <w:rPr>
          <w:rFonts w:hint="eastAsia" w:ascii="仿宋" w:hAnsi="仿宋" w:eastAsia="仿宋" w:cs="仿宋"/>
          <w:color w:val="auto"/>
          <w:spacing w:val="-4"/>
          <w:sz w:val="24"/>
          <w:szCs w:val="24"/>
          <w:highlight w:val="none"/>
        </w:rPr>
        <w:t>数据或资料，采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用综合评分法时，我方完全理解贵方不一定接受最低价的投标。</w:t>
      </w:r>
    </w:p>
    <w:p w14:paraId="089BB1EF">
      <w:pPr>
        <w:pStyle w:val="15"/>
        <w:keepNext w:val="0"/>
        <w:keepLines w:val="0"/>
        <w:pageBreakBefore w:val="0"/>
        <w:widowControl/>
        <w:kinsoku w:val="0"/>
        <w:wordWrap/>
        <w:overflowPunct/>
        <w:topLinePunct w:val="0"/>
        <w:autoSpaceDE w:val="0"/>
        <w:autoSpaceDN w:val="0"/>
        <w:bidi w:val="0"/>
        <w:adjustRightInd w:val="0"/>
        <w:snapToGrid w:val="0"/>
        <w:spacing w:before="136" w:line="272"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6.本项目如由中标人支付采购代理服务费，我方同意按投标人须知</w:t>
      </w:r>
      <w:r>
        <w:rPr>
          <w:rFonts w:hint="eastAsia" w:ascii="仿宋" w:hAnsi="仿宋" w:eastAsia="仿宋" w:cs="仿宋"/>
          <w:color w:val="auto"/>
          <w:spacing w:val="-4"/>
          <w:sz w:val="24"/>
          <w:szCs w:val="24"/>
          <w:highlight w:val="none"/>
        </w:rPr>
        <w:t>前附表中</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规定向采购代理机构支付采购代理服务费。</w:t>
      </w:r>
    </w:p>
    <w:p w14:paraId="786F95BC">
      <w:pPr>
        <w:pStyle w:val="15"/>
        <w:keepNext w:val="0"/>
        <w:keepLines w:val="0"/>
        <w:pageBreakBefore w:val="0"/>
        <w:widowControl/>
        <w:kinsoku w:val="0"/>
        <w:wordWrap/>
        <w:overflowPunct/>
        <w:topLinePunct w:val="0"/>
        <w:autoSpaceDE w:val="0"/>
        <w:autoSpaceDN w:val="0"/>
        <w:bidi w:val="0"/>
        <w:adjustRightInd w:val="0"/>
        <w:snapToGrid w:val="0"/>
        <w:spacing w:before="80" w:line="22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7.重要声明：</w:t>
      </w:r>
    </w:p>
    <w:p w14:paraId="33F72D08">
      <w:pPr>
        <w:pStyle w:val="15"/>
        <w:keepNext w:val="0"/>
        <w:keepLines w:val="0"/>
        <w:pageBreakBefore w:val="0"/>
        <w:widowControl/>
        <w:kinsoku w:val="0"/>
        <w:wordWrap/>
        <w:overflowPunct/>
        <w:topLinePunct w:val="0"/>
        <w:autoSpaceDE w:val="0"/>
        <w:autoSpaceDN w:val="0"/>
        <w:bidi w:val="0"/>
        <w:adjustRightInd w:val="0"/>
        <w:snapToGrid w:val="0"/>
        <w:spacing w:before="134"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1）与我方单位负责人为同一人的其他单位名称：</w:t>
      </w:r>
    </w:p>
    <w:p w14:paraId="11ADD525">
      <w:pPr>
        <w:pStyle w:val="15"/>
        <w:keepNext w:val="0"/>
        <w:keepLines w:val="0"/>
        <w:pageBreakBefore w:val="0"/>
        <w:widowControl/>
        <w:kinsoku w:val="0"/>
        <w:wordWrap/>
        <w:overflowPunct/>
        <w:topLinePunct w:val="0"/>
        <w:autoSpaceDE w:val="0"/>
        <w:autoSpaceDN w:val="0"/>
        <w:bidi w:val="0"/>
        <w:adjustRightInd w:val="0"/>
        <w:snapToGrid w:val="0"/>
        <w:spacing w:before="136" w:line="221"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□无；</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有，具体单位名称为</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12"/>
          <w:sz w:val="24"/>
          <w:szCs w:val="24"/>
          <w:highlight w:val="none"/>
          <w:u w:val="single" w:color="auto"/>
        </w:rPr>
        <w:t>（</w:t>
      </w:r>
      <w:r>
        <w:rPr>
          <w:rFonts w:hint="eastAsia" w:ascii="仿宋" w:hAnsi="仿宋" w:eastAsia="仿宋" w:cs="仿宋"/>
          <w:color w:val="auto"/>
          <w:spacing w:val="-2"/>
          <w:sz w:val="24"/>
          <w:szCs w:val="24"/>
          <w:highlight w:val="none"/>
          <w:u w:val="single" w:color="auto"/>
        </w:rPr>
        <w:t>由投标人如实填写）</w:t>
      </w:r>
      <w:r>
        <w:rPr>
          <w:rFonts w:hint="eastAsia" w:ascii="仿宋" w:hAnsi="仿宋" w:eastAsia="仿宋" w:cs="仿宋"/>
          <w:color w:val="auto"/>
          <w:spacing w:val="-2"/>
          <w:sz w:val="24"/>
          <w:szCs w:val="24"/>
          <w:highlight w:val="none"/>
        </w:rPr>
        <w:t>。</w:t>
      </w:r>
    </w:p>
    <w:p w14:paraId="51128A20">
      <w:pPr>
        <w:pStyle w:val="15"/>
        <w:keepNext w:val="0"/>
        <w:keepLines w:val="0"/>
        <w:pageBreakBefore w:val="0"/>
        <w:widowControl/>
        <w:kinsoku w:val="0"/>
        <w:wordWrap/>
        <w:overflowPunct/>
        <w:topLinePunct w:val="0"/>
        <w:autoSpaceDE w:val="0"/>
        <w:autoSpaceDN w:val="0"/>
        <w:bidi w:val="0"/>
        <w:adjustRightInd w:val="0"/>
        <w:snapToGrid w:val="0"/>
        <w:spacing w:before="133" w:line="22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2）与我方存在控股、管理关系的其他单位的名称：</w:t>
      </w:r>
    </w:p>
    <w:p w14:paraId="0B838C48">
      <w:pPr>
        <w:pStyle w:val="15"/>
        <w:keepNext w:val="0"/>
        <w:keepLines w:val="0"/>
        <w:pageBreakBefore w:val="0"/>
        <w:widowControl/>
        <w:kinsoku w:val="0"/>
        <w:wordWrap/>
        <w:overflowPunct/>
        <w:topLinePunct w:val="0"/>
        <w:autoSpaceDE w:val="0"/>
        <w:autoSpaceDN w:val="0"/>
        <w:bidi w:val="0"/>
        <w:adjustRightInd w:val="0"/>
        <w:snapToGrid w:val="0"/>
        <w:spacing w:before="134" w:line="221"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□无；</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pacing w:val="-2"/>
          <w:sz w:val="24"/>
          <w:szCs w:val="24"/>
          <w:highlight w:val="none"/>
        </w:rPr>
        <w:t>□有，具体单位名称为</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2"/>
          <w:sz w:val="24"/>
          <w:szCs w:val="24"/>
          <w:highlight w:val="none"/>
          <w:u w:val="single" w:color="auto"/>
        </w:rPr>
        <w:t>（</w:t>
      </w:r>
      <w:r>
        <w:rPr>
          <w:rFonts w:hint="eastAsia" w:ascii="仿宋" w:hAnsi="仿宋" w:eastAsia="仿宋" w:cs="仿宋"/>
          <w:color w:val="auto"/>
          <w:spacing w:val="-2"/>
          <w:sz w:val="24"/>
          <w:szCs w:val="24"/>
          <w:highlight w:val="none"/>
          <w:u w:val="single" w:color="auto"/>
        </w:rPr>
        <w:t>由投标人如实填写）</w:t>
      </w:r>
      <w:r>
        <w:rPr>
          <w:rFonts w:hint="eastAsia" w:ascii="仿宋" w:hAnsi="仿宋" w:eastAsia="仿宋" w:cs="仿宋"/>
          <w:color w:val="auto"/>
          <w:spacing w:val="-2"/>
          <w:sz w:val="24"/>
          <w:szCs w:val="24"/>
          <w:highlight w:val="none"/>
        </w:rPr>
        <w:t>。</w:t>
      </w:r>
    </w:p>
    <w:p w14:paraId="7B66DA7C">
      <w:pPr>
        <w:pStyle w:val="15"/>
        <w:keepNext w:val="0"/>
        <w:keepLines w:val="0"/>
        <w:pageBreakBefore w:val="0"/>
        <w:widowControl/>
        <w:kinsoku w:val="0"/>
        <w:wordWrap/>
        <w:overflowPunct/>
        <w:topLinePunct w:val="0"/>
        <w:autoSpaceDE w:val="0"/>
        <w:autoSpaceDN w:val="0"/>
        <w:bidi w:val="0"/>
        <w:adjustRightInd w:val="0"/>
        <w:snapToGrid w:val="0"/>
        <w:spacing w:before="133" w:line="323"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3）参与本项目采购活动前，是否为本项目前期准备提供过整体设计、规范编制或者项目管理、监理、检测等服务：</w:t>
      </w:r>
    </w:p>
    <w:p w14:paraId="4BB7DD6E">
      <w:pPr>
        <w:pStyle w:val="15"/>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□无；</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pacing w:val="-1"/>
          <w:sz w:val="24"/>
          <w:szCs w:val="24"/>
          <w:highlight w:val="none"/>
        </w:rPr>
        <w:t>□有，已提供的具体服务内容为</w:t>
      </w:r>
      <w:r>
        <w:rPr>
          <w:rFonts w:hint="eastAsia" w:ascii="仿宋" w:hAnsi="仿宋" w:eastAsia="仿宋" w:cs="仿宋"/>
          <w:color w:val="auto"/>
          <w:spacing w:val="-18"/>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8"/>
          <w:sz w:val="24"/>
          <w:szCs w:val="24"/>
          <w:highlight w:val="none"/>
          <w:u w:val="single" w:color="auto"/>
        </w:rPr>
        <w:t>（</w:t>
      </w:r>
      <w:r>
        <w:rPr>
          <w:rFonts w:hint="eastAsia" w:ascii="仿宋" w:hAnsi="仿宋" w:eastAsia="仿宋" w:cs="仿宋"/>
          <w:color w:val="auto"/>
          <w:spacing w:val="-1"/>
          <w:sz w:val="24"/>
          <w:szCs w:val="24"/>
          <w:highlight w:val="none"/>
          <w:u w:val="single" w:color="auto"/>
        </w:rPr>
        <w:t>由投标</w:t>
      </w:r>
      <w:r>
        <w:rPr>
          <w:rFonts w:hint="eastAsia" w:ascii="仿宋" w:hAnsi="仿宋" w:eastAsia="仿宋" w:cs="仿宋"/>
          <w:color w:val="auto"/>
          <w:spacing w:val="-2"/>
          <w:sz w:val="24"/>
          <w:szCs w:val="24"/>
          <w:highlight w:val="none"/>
          <w:u w:val="single" w:color="auto"/>
        </w:rPr>
        <w:t>人如实填写）</w:t>
      </w:r>
      <w:r>
        <w:rPr>
          <w:rFonts w:hint="eastAsia" w:ascii="仿宋" w:hAnsi="仿宋" w:eastAsia="仿宋" w:cs="仿宋"/>
          <w:color w:val="auto"/>
          <w:spacing w:val="-2"/>
          <w:sz w:val="24"/>
          <w:szCs w:val="24"/>
          <w:highlight w:val="none"/>
        </w:rPr>
        <w:t>。</w:t>
      </w:r>
    </w:p>
    <w:p w14:paraId="67E951DC">
      <w:pPr>
        <w:pStyle w:val="15"/>
        <w:keepNext w:val="0"/>
        <w:keepLines w:val="0"/>
        <w:pageBreakBefore w:val="0"/>
        <w:widowControl/>
        <w:kinsoku w:val="0"/>
        <w:wordWrap/>
        <w:overflowPunct/>
        <w:topLinePunct w:val="0"/>
        <w:autoSpaceDE w:val="0"/>
        <w:autoSpaceDN w:val="0"/>
        <w:bidi w:val="0"/>
        <w:adjustRightInd w:val="0"/>
        <w:snapToGrid w:val="0"/>
        <w:spacing w:before="188" w:line="325" w:lineRule="auto"/>
        <w:ind w:left="0" w:leftChars="0" w:right="0" w:firstLine="464"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（备注：以上</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4"/>
          <w:sz w:val="24"/>
          <w:szCs w:val="24"/>
          <w:highlight w:val="none"/>
        </w:rPr>
        <w:t>3项声明，必须如实选择，选中项用</w:t>
      </w:r>
      <w:r>
        <w:rPr>
          <w:rFonts w:hint="eastAsia" w:ascii="仿宋" w:hAnsi="仿宋" w:eastAsia="仿宋" w:cs="仿宋"/>
          <w:color w:val="auto"/>
          <w:spacing w:val="-5"/>
          <w:sz w:val="24"/>
          <w:szCs w:val="24"/>
          <w:highlight w:val="none"/>
        </w:rPr>
        <w:t>☑表示，未选中项用□表</w:t>
      </w:r>
      <w:r>
        <w:rPr>
          <w:rFonts w:hint="eastAsia" w:ascii="仿宋" w:hAnsi="仿宋" w:eastAsia="仿宋" w:cs="仿宋"/>
          <w:color w:val="auto"/>
          <w:spacing w:val="-4"/>
          <w:sz w:val="24"/>
          <w:szCs w:val="24"/>
          <w:highlight w:val="none"/>
        </w:rPr>
        <w:t>示。①“单位负责人</w:t>
      </w:r>
      <w:r>
        <w:rPr>
          <w:rFonts w:hint="eastAsia" w:ascii="仿宋" w:hAnsi="仿宋" w:eastAsia="仿宋" w:cs="仿宋"/>
          <w:color w:val="auto"/>
          <w:spacing w:val="-84"/>
          <w:sz w:val="24"/>
          <w:szCs w:val="24"/>
          <w:highlight w:val="none"/>
        </w:rPr>
        <w:t xml:space="preserve"> </w:t>
      </w:r>
      <w:r>
        <w:rPr>
          <w:rFonts w:hint="eastAsia" w:ascii="仿宋" w:hAnsi="仿宋" w:eastAsia="仿宋" w:cs="仿宋"/>
          <w:color w:val="auto"/>
          <w:spacing w:val="-4"/>
          <w:sz w:val="24"/>
          <w:szCs w:val="24"/>
          <w:highlight w:val="none"/>
        </w:rPr>
        <w:t>”是指单位法定代表人或者法律、行政法规规定代表单位行</w:t>
      </w:r>
      <w:r>
        <w:rPr>
          <w:rFonts w:hint="eastAsia" w:ascii="仿宋" w:hAnsi="仿宋" w:eastAsia="仿宋" w:cs="仿宋"/>
          <w:color w:val="auto"/>
          <w:spacing w:val="-3"/>
          <w:sz w:val="24"/>
          <w:szCs w:val="24"/>
          <w:highlight w:val="none"/>
        </w:rPr>
        <w:t>使职权的主要负责人。②本条所规定的控股、管理关系仅限于直接控股、直接管理关系，不包括间接的控股或管理关系。③供应商如未如实填报，视为提供虚假</w:t>
      </w:r>
      <w:r>
        <w:rPr>
          <w:rFonts w:hint="eastAsia" w:ascii="仿宋" w:hAnsi="仿宋" w:eastAsia="仿宋" w:cs="仿宋"/>
          <w:color w:val="auto"/>
          <w:spacing w:val="-1"/>
          <w:sz w:val="24"/>
          <w:szCs w:val="24"/>
          <w:highlight w:val="none"/>
        </w:rPr>
        <w:t>材料谋取中标，应承担相应法律责任。）</w:t>
      </w:r>
    </w:p>
    <w:p w14:paraId="7D1903EF">
      <w:pPr>
        <w:keepNext w:val="0"/>
        <w:keepLines w:val="0"/>
        <w:pageBreakBefore w:val="0"/>
        <w:widowControl/>
        <w:kinsoku w:val="0"/>
        <w:wordWrap/>
        <w:overflowPunct/>
        <w:topLinePunct w:val="0"/>
        <w:autoSpaceDE w:val="0"/>
        <w:autoSpaceDN w:val="0"/>
        <w:bidi w:val="0"/>
        <w:adjustRightInd w:val="0"/>
        <w:snapToGrid w:val="0"/>
        <w:spacing w:line="325" w:lineRule="auto"/>
        <w:ind w:left="0" w:leftChars="0" w:right="0" w:firstLine="480" w:firstLineChars="200"/>
        <w:textAlignment w:val="baseline"/>
        <w:rPr>
          <w:rFonts w:hint="eastAsia" w:ascii="仿宋" w:hAnsi="仿宋" w:eastAsia="仿宋" w:cs="仿宋"/>
          <w:color w:val="auto"/>
          <w:sz w:val="24"/>
          <w:szCs w:val="24"/>
          <w:highlight w:val="none"/>
        </w:rPr>
        <w:sectPr>
          <w:headerReference r:id="rId18" w:type="default"/>
          <w:footerReference r:id="rId19" w:type="default"/>
          <w:pgSz w:w="11906" w:h="16839"/>
          <w:pgMar w:top="1166" w:right="1718" w:bottom="1423" w:left="1785" w:header="830" w:footer="1154" w:gutter="0"/>
          <w:pgNumType w:fmt="decimal"/>
          <w:cols w:space="720" w:num="1"/>
        </w:sectPr>
      </w:pPr>
    </w:p>
    <w:p w14:paraId="0001CCDA">
      <w:pPr>
        <w:pStyle w:val="15"/>
        <w:keepNext w:val="0"/>
        <w:keepLines w:val="0"/>
        <w:pageBreakBefore w:val="0"/>
        <w:widowControl/>
        <w:kinsoku w:val="0"/>
        <w:wordWrap/>
        <w:overflowPunct/>
        <w:topLinePunct w:val="0"/>
        <w:autoSpaceDE w:val="0"/>
        <w:autoSpaceDN w:val="0"/>
        <w:bidi w:val="0"/>
        <w:adjustRightInd w:val="0"/>
        <w:snapToGrid w:val="0"/>
        <w:spacing w:before="307" w:line="272"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4）我方在本投标文件中所提供的全部资料均真实有</w:t>
      </w:r>
      <w:r>
        <w:rPr>
          <w:rFonts w:hint="eastAsia" w:ascii="仿宋" w:hAnsi="仿宋" w:eastAsia="仿宋" w:cs="仿宋"/>
          <w:color w:val="auto"/>
          <w:spacing w:val="-1"/>
          <w:sz w:val="24"/>
          <w:szCs w:val="24"/>
          <w:highlight w:val="none"/>
        </w:rPr>
        <w:t>效，我方承诺对其真实性负责并承担相应后果。</w:t>
      </w:r>
    </w:p>
    <w:p w14:paraId="4FB07759">
      <w:pPr>
        <w:pStyle w:val="15"/>
        <w:keepNext w:val="0"/>
        <w:keepLines w:val="0"/>
        <w:pageBreakBefore w:val="0"/>
        <w:widowControl/>
        <w:kinsoku w:val="0"/>
        <w:wordWrap/>
        <w:overflowPunct/>
        <w:topLinePunct w:val="0"/>
        <w:autoSpaceDE w:val="0"/>
        <w:autoSpaceDN w:val="0"/>
        <w:bidi w:val="0"/>
        <w:adjustRightInd w:val="0"/>
        <w:snapToGrid w:val="0"/>
        <w:spacing w:before="132" w:line="272"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5）我方承诺本《投标函》的签章对本投标文件全部内容具有约束力并承担</w:t>
      </w:r>
      <w:r>
        <w:rPr>
          <w:rFonts w:hint="eastAsia" w:ascii="仿宋" w:hAnsi="仿宋" w:eastAsia="仿宋" w:cs="仿宋"/>
          <w:color w:val="auto"/>
          <w:spacing w:val="-3"/>
          <w:sz w:val="24"/>
          <w:szCs w:val="24"/>
          <w:highlight w:val="none"/>
        </w:rPr>
        <w:t>法律责任。</w:t>
      </w:r>
    </w:p>
    <w:p w14:paraId="241014E4">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67BE394A">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7471DE38">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03C344C1">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2A2C501D">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30366870">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投标人名称（公章)：</w:t>
      </w:r>
    </w:p>
    <w:p w14:paraId="1C61F1D3">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通  讯  地  址：</w:t>
      </w:r>
    </w:p>
    <w:p w14:paraId="0F41E09E">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传          真：</w:t>
      </w:r>
    </w:p>
    <w:p w14:paraId="2F4CB1B1">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电          话：</w:t>
      </w:r>
    </w:p>
    <w:p w14:paraId="0EF803F9">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授  权  代  表：</w:t>
      </w:r>
    </w:p>
    <w:p w14:paraId="0C16845E">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sectPr>
          <w:headerReference r:id="rId20" w:type="default"/>
          <w:pgSz w:w="11905" w:h="16838"/>
          <w:pgMar w:top="720" w:right="1417" w:bottom="720" w:left="1417" w:header="850" w:footer="992" w:gutter="0"/>
          <w:pgNumType w:fmt="decimal"/>
          <w:cols w:space="720" w:num="1"/>
          <w:docGrid w:type="lines" w:linePitch="416" w:charSpace="0"/>
        </w:sectPr>
      </w:pPr>
      <w:r>
        <w:rPr>
          <w:rFonts w:hint="eastAsia" w:ascii="仿宋" w:hAnsi="仿宋" w:eastAsia="仿宋" w:cs="仿宋"/>
          <w:color w:val="auto"/>
          <w:spacing w:val="-2"/>
          <w:sz w:val="24"/>
          <w:szCs w:val="24"/>
          <w:highlight w:val="none"/>
        </w:rPr>
        <w:t>日            期：。</w:t>
      </w:r>
    </w:p>
    <w:p w14:paraId="533D94EA">
      <w:pPr>
        <w:spacing w:line="360" w:lineRule="auto"/>
        <w:jc w:val="center"/>
        <w:outlineLvl w:val="9"/>
        <w:rPr>
          <w:rFonts w:hint="eastAsia" w:ascii="仿宋" w:hAnsi="仿宋" w:eastAsia="仿宋" w:cs="仿宋"/>
          <w:bCs/>
          <w:color w:val="auto"/>
          <w:sz w:val="28"/>
          <w:szCs w:val="28"/>
          <w:highlight w:val="none"/>
        </w:rPr>
      </w:pPr>
    </w:p>
    <w:p w14:paraId="14008CBA">
      <w:pPr>
        <w:pStyle w:val="15"/>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94" w:firstLineChars="200"/>
        <w:jc w:val="center"/>
        <w:textAlignment w:val="baseline"/>
        <w:outlineLvl w:val="1"/>
        <w:rPr>
          <w:rFonts w:hint="eastAsia" w:ascii="仿宋" w:hAnsi="仿宋" w:eastAsia="仿宋" w:cs="仿宋"/>
          <w:b/>
          <w:bCs/>
          <w:color w:val="auto"/>
          <w:spacing w:val="3"/>
          <w:sz w:val="24"/>
          <w:szCs w:val="24"/>
          <w:highlight w:val="none"/>
        </w:rPr>
      </w:pPr>
      <w:bookmarkStart w:id="141" w:name="_Toc22848"/>
      <w:r>
        <w:rPr>
          <w:rFonts w:hint="eastAsia" w:ascii="仿宋" w:hAnsi="仿宋" w:eastAsia="仿宋" w:cs="仿宋"/>
          <w:b/>
          <w:bCs/>
          <w:color w:val="auto"/>
          <w:spacing w:val="3"/>
          <w:sz w:val="24"/>
          <w:szCs w:val="24"/>
          <w:highlight w:val="none"/>
          <w:lang w:val="en-US" w:eastAsia="zh-CN"/>
        </w:rPr>
        <w:t>二、</w:t>
      </w:r>
      <w:r>
        <w:rPr>
          <w:rFonts w:hint="eastAsia" w:ascii="仿宋" w:hAnsi="仿宋" w:eastAsia="仿宋" w:cs="仿宋"/>
          <w:b/>
          <w:bCs/>
          <w:color w:val="auto"/>
          <w:spacing w:val="3"/>
          <w:sz w:val="24"/>
          <w:szCs w:val="24"/>
          <w:highlight w:val="none"/>
        </w:rPr>
        <w:t>法人代表授权书格式</w:t>
      </w:r>
      <w:bookmarkEnd w:id="141"/>
    </w:p>
    <w:p w14:paraId="5C3D61E1">
      <w:pPr>
        <w:pStyle w:val="15"/>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94" w:firstLineChars="200"/>
        <w:jc w:val="center"/>
        <w:textAlignment w:val="baseline"/>
        <w:outlineLvl w:val="9"/>
        <w:rPr>
          <w:rFonts w:hint="eastAsia" w:ascii="仿宋" w:hAnsi="仿宋" w:eastAsia="仿宋" w:cs="仿宋"/>
          <w:b/>
          <w:bCs/>
          <w:color w:val="auto"/>
          <w:spacing w:val="3"/>
          <w:sz w:val="24"/>
          <w:szCs w:val="24"/>
          <w:highlight w:val="none"/>
        </w:rPr>
      </w:pPr>
    </w:p>
    <w:p w14:paraId="23C81C95">
      <w:pPr>
        <w:pStyle w:val="16"/>
        <w:spacing w:line="360" w:lineRule="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本授权书声明：注册于</w:t>
      </w:r>
      <w:r>
        <w:rPr>
          <w:rFonts w:hint="eastAsia" w:ascii="仿宋" w:hAnsi="仿宋" w:eastAsia="仿宋" w:cs="仿宋"/>
          <w:bCs/>
          <w:color w:val="auto"/>
          <w:szCs w:val="24"/>
          <w:highlight w:val="none"/>
          <w:u w:val="single"/>
        </w:rPr>
        <w:t>（地区的名称）</w:t>
      </w:r>
      <w:r>
        <w:rPr>
          <w:rFonts w:hint="eastAsia" w:ascii="仿宋" w:hAnsi="仿宋" w:eastAsia="仿宋" w:cs="仿宋"/>
          <w:bCs/>
          <w:color w:val="auto"/>
          <w:szCs w:val="24"/>
          <w:highlight w:val="none"/>
        </w:rPr>
        <w:t>的</w:t>
      </w:r>
      <w:r>
        <w:rPr>
          <w:rFonts w:hint="eastAsia" w:ascii="仿宋" w:hAnsi="仿宋" w:eastAsia="仿宋" w:cs="仿宋"/>
          <w:bCs/>
          <w:color w:val="auto"/>
          <w:szCs w:val="24"/>
          <w:highlight w:val="none"/>
          <w:u w:val="single"/>
        </w:rPr>
        <w:t>（公司名称）</w:t>
      </w:r>
      <w:r>
        <w:rPr>
          <w:rFonts w:hint="eastAsia" w:ascii="仿宋" w:hAnsi="仿宋" w:eastAsia="仿宋" w:cs="仿宋"/>
          <w:bCs/>
          <w:color w:val="auto"/>
          <w:szCs w:val="24"/>
          <w:highlight w:val="none"/>
        </w:rPr>
        <w:t>的在下面签字</w:t>
      </w:r>
      <w:r>
        <w:rPr>
          <w:rFonts w:hint="eastAsia" w:ascii="仿宋" w:hAnsi="仿宋" w:eastAsia="仿宋" w:cs="仿宋"/>
          <w:bCs/>
          <w:color w:val="auto"/>
          <w:szCs w:val="24"/>
          <w:highlight w:val="none"/>
          <w:lang w:eastAsia="zh-CN"/>
        </w:rPr>
        <w:t>、</w:t>
      </w:r>
      <w:r>
        <w:rPr>
          <w:rFonts w:hint="eastAsia" w:ascii="仿宋" w:hAnsi="仿宋" w:eastAsia="仿宋" w:cs="仿宋"/>
          <w:bCs/>
          <w:color w:val="auto"/>
          <w:szCs w:val="24"/>
          <w:highlight w:val="none"/>
        </w:rPr>
        <w:t>盖章的</w:t>
      </w:r>
      <w:r>
        <w:rPr>
          <w:rFonts w:hint="eastAsia" w:ascii="仿宋" w:hAnsi="仿宋" w:eastAsia="仿宋" w:cs="仿宋"/>
          <w:bCs/>
          <w:color w:val="auto"/>
          <w:szCs w:val="24"/>
          <w:highlight w:val="none"/>
          <w:u w:val="single"/>
        </w:rPr>
        <w:t>（法人代表姓名、职务）</w:t>
      </w:r>
      <w:r>
        <w:rPr>
          <w:rFonts w:hint="eastAsia" w:ascii="仿宋" w:hAnsi="仿宋" w:eastAsia="仿宋" w:cs="仿宋"/>
          <w:bCs/>
          <w:color w:val="auto"/>
          <w:szCs w:val="24"/>
          <w:highlight w:val="none"/>
        </w:rPr>
        <w:t>代表本公司授权</w:t>
      </w:r>
      <w:r>
        <w:rPr>
          <w:rFonts w:hint="eastAsia" w:ascii="仿宋" w:hAnsi="仿宋" w:eastAsia="仿宋" w:cs="仿宋"/>
          <w:bCs/>
          <w:color w:val="auto"/>
          <w:szCs w:val="24"/>
          <w:highlight w:val="none"/>
          <w:u w:val="single"/>
        </w:rPr>
        <w:t>（单位名称）</w:t>
      </w:r>
      <w:r>
        <w:rPr>
          <w:rFonts w:hint="eastAsia" w:ascii="仿宋" w:hAnsi="仿宋" w:eastAsia="仿宋" w:cs="仿宋"/>
          <w:bCs/>
          <w:color w:val="auto"/>
          <w:szCs w:val="24"/>
          <w:highlight w:val="none"/>
        </w:rPr>
        <w:t>的</w:t>
      </w:r>
      <w:r>
        <w:rPr>
          <w:rFonts w:hint="eastAsia" w:ascii="仿宋" w:hAnsi="仿宋" w:eastAsia="仿宋" w:cs="仿宋"/>
          <w:bCs/>
          <w:color w:val="auto"/>
          <w:szCs w:val="24"/>
          <w:highlight w:val="none"/>
          <w:u w:val="single"/>
        </w:rPr>
        <w:t>（被授权人的姓名、职务）</w:t>
      </w:r>
      <w:r>
        <w:rPr>
          <w:rFonts w:hint="eastAsia" w:ascii="仿宋" w:hAnsi="仿宋" w:eastAsia="仿宋" w:cs="仿宋"/>
          <w:bCs/>
          <w:color w:val="auto"/>
          <w:szCs w:val="24"/>
          <w:highlight w:val="none"/>
        </w:rPr>
        <w:t>为本公司的合法代理人，就</w:t>
      </w:r>
      <w:r>
        <w:rPr>
          <w:rFonts w:hint="eastAsia" w:ascii="仿宋" w:hAnsi="仿宋" w:eastAsia="仿宋" w:cs="仿宋"/>
          <w:bCs/>
          <w:color w:val="auto"/>
          <w:szCs w:val="24"/>
          <w:highlight w:val="none"/>
          <w:u w:val="single"/>
        </w:rPr>
        <w:t>（项目名称、项目编号、）</w:t>
      </w:r>
      <w:r>
        <w:rPr>
          <w:rFonts w:hint="eastAsia" w:ascii="仿宋" w:hAnsi="仿宋" w:eastAsia="仿宋" w:cs="仿宋"/>
          <w:bCs/>
          <w:color w:val="auto"/>
          <w:szCs w:val="24"/>
          <w:highlight w:val="none"/>
        </w:rPr>
        <w:t>的投标，以本公司的名义处理一切与之有关的事务。</w:t>
      </w:r>
    </w:p>
    <w:p w14:paraId="17CC3C28">
      <w:pPr>
        <w:spacing w:line="360" w:lineRule="auto"/>
        <w:ind w:firstLine="480"/>
        <w:rPr>
          <w:rFonts w:hint="eastAsia" w:ascii="仿宋" w:hAnsi="仿宋" w:eastAsia="仿宋" w:cs="仿宋"/>
          <w:bCs/>
          <w:color w:val="auto"/>
          <w:sz w:val="24"/>
          <w:szCs w:val="24"/>
          <w:highlight w:val="none"/>
        </w:rPr>
      </w:pPr>
    </w:p>
    <w:p w14:paraId="46953C47">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自本授权委托书签署之日起至投标有效期届满之日止，特此声明。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0"/>
        <w:gridCol w:w="4630"/>
      </w:tblGrid>
      <w:tr w14:paraId="617C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4630" w:type="dxa"/>
            <w:noWrap w:val="0"/>
            <w:vAlign w:val="top"/>
          </w:tcPr>
          <w:p w14:paraId="664D837A">
            <w:pPr>
              <w:pStyle w:val="13"/>
              <w:jc w:val="center"/>
              <w:rPr>
                <w:rFonts w:hint="eastAsia" w:ascii="仿宋" w:hAnsi="仿宋" w:eastAsia="仿宋" w:cs="仿宋"/>
                <w:bCs/>
                <w:color w:val="auto"/>
                <w:sz w:val="24"/>
                <w:szCs w:val="24"/>
                <w:highlight w:val="none"/>
              </w:rPr>
            </w:pPr>
          </w:p>
          <w:p w14:paraId="458C435D">
            <w:pPr>
              <w:pStyle w:val="13"/>
              <w:jc w:val="center"/>
              <w:rPr>
                <w:rFonts w:hint="eastAsia" w:ascii="仿宋" w:hAnsi="仿宋" w:eastAsia="仿宋" w:cs="仿宋"/>
                <w:bCs/>
                <w:color w:val="auto"/>
                <w:sz w:val="24"/>
                <w:szCs w:val="24"/>
                <w:highlight w:val="none"/>
              </w:rPr>
            </w:pPr>
          </w:p>
          <w:p w14:paraId="10DD4304">
            <w:pPr>
              <w:pStyle w:val="13"/>
              <w:ind w:left="0"/>
              <w:jc w:val="center"/>
              <w:rPr>
                <w:rFonts w:hint="eastAsia" w:ascii="仿宋" w:hAnsi="仿宋" w:eastAsia="仿宋" w:cs="仿宋"/>
                <w:bCs/>
                <w:color w:val="auto"/>
                <w:sz w:val="24"/>
                <w:szCs w:val="24"/>
                <w:highlight w:val="none"/>
              </w:rPr>
            </w:pPr>
          </w:p>
          <w:p w14:paraId="651FAB05">
            <w:pPr>
              <w:pStyle w:val="13"/>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授权人身份证正面</w:t>
            </w:r>
          </w:p>
        </w:tc>
        <w:tc>
          <w:tcPr>
            <w:tcW w:w="4630" w:type="dxa"/>
            <w:noWrap w:val="0"/>
            <w:vAlign w:val="top"/>
          </w:tcPr>
          <w:p w14:paraId="4E1C5F7B">
            <w:pPr>
              <w:pStyle w:val="13"/>
              <w:jc w:val="center"/>
              <w:rPr>
                <w:rFonts w:hint="eastAsia" w:ascii="仿宋" w:hAnsi="仿宋" w:eastAsia="仿宋" w:cs="仿宋"/>
                <w:bCs/>
                <w:color w:val="auto"/>
                <w:sz w:val="24"/>
                <w:szCs w:val="24"/>
                <w:highlight w:val="none"/>
              </w:rPr>
            </w:pPr>
          </w:p>
          <w:p w14:paraId="7F5F429C">
            <w:pPr>
              <w:pStyle w:val="13"/>
              <w:jc w:val="center"/>
              <w:rPr>
                <w:rFonts w:hint="eastAsia" w:ascii="仿宋" w:hAnsi="仿宋" w:eastAsia="仿宋" w:cs="仿宋"/>
                <w:bCs/>
                <w:color w:val="auto"/>
                <w:sz w:val="24"/>
                <w:szCs w:val="24"/>
                <w:highlight w:val="none"/>
              </w:rPr>
            </w:pPr>
          </w:p>
          <w:p w14:paraId="78183A8C">
            <w:pPr>
              <w:pStyle w:val="13"/>
              <w:ind w:left="0"/>
              <w:jc w:val="center"/>
              <w:rPr>
                <w:rFonts w:hint="eastAsia" w:ascii="仿宋" w:hAnsi="仿宋" w:eastAsia="仿宋" w:cs="仿宋"/>
                <w:bCs/>
                <w:color w:val="auto"/>
                <w:sz w:val="24"/>
                <w:szCs w:val="24"/>
                <w:highlight w:val="none"/>
              </w:rPr>
            </w:pPr>
          </w:p>
          <w:p w14:paraId="7EA3C90F">
            <w:pPr>
              <w:pStyle w:val="13"/>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被授权人身份证正面</w:t>
            </w:r>
          </w:p>
        </w:tc>
      </w:tr>
      <w:tr w14:paraId="19BC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4630" w:type="dxa"/>
            <w:noWrap w:val="0"/>
            <w:vAlign w:val="top"/>
          </w:tcPr>
          <w:p w14:paraId="4C1D7EDA">
            <w:pPr>
              <w:pStyle w:val="13"/>
              <w:jc w:val="center"/>
              <w:rPr>
                <w:rFonts w:hint="eastAsia" w:ascii="仿宋" w:hAnsi="仿宋" w:eastAsia="仿宋" w:cs="仿宋"/>
                <w:bCs/>
                <w:color w:val="auto"/>
                <w:sz w:val="24"/>
                <w:szCs w:val="24"/>
                <w:highlight w:val="none"/>
              </w:rPr>
            </w:pPr>
          </w:p>
          <w:p w14:paraId="7D63B774">
            <w:pPr>
              <w:pStyle w:val="13"/>
              <w:jc w:val="center"/>
              <w:rPr>
                <w:rFonts w:hint="eastAsia" w:ascii="仿宋" w:hAnsi="仿宋" w:eastAsia="仿宋" w:cs="仿宋"/>
                <w:bCs/>
                <w:color w:val="auto"/>
                <w:sz w:val="24"/>
                <w:szCs w:val="24"/>
                <w:highlight w:val="none"/>
              </w:rPr>
            </w:pPr>
          </w:p>
          <w:p w14:paraId="5A919F9D">
            <w:pPr>
              <w:pStyle w:val="13"/>
              <w:ind w:left="0"/>
              <w:jc w:val="center"/>
              <w:rPr>
                <w:rFonts w:hint="eastAsia" w:ascii="仿宋" w:hAnsi="仿宋" w:eastAsia="仿宋" w:cs="仿宋"/>
                <w:bCs/>
                <w:color w:val="auto"/>
                <w:sz w:val="24"/>
                <w:szCs w:val="24"/>
                <w:highlight w:val="none"/>
              </w:rPr>
            </w:pPr>
          </w:p>
          <w:p w14:paraId="3733D04E">
            <w:pPr>
              <w:pStyle w:val="13"/>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授权人身份证反面</w:t>
            </w:r>
          </w:p>
        </w:tc>
        <w:tc>
          <w:tcPr>
            <w:tcW w:w="4630" w:type="dxa"/>
            <w:noWrap w:val="0"/>
            <w:vAlign w:val="top"/>
          </w:tcPr>
          <w:p w14:paraId="0EAEC9F0">
            <w:pPr>
              <w:pStyle w:val="13"/>
              <w:jc w:val="center"/>
              <w:rPr>
                <w:rFonts w:hint="eastAsia" w:ascii="仿宋" w:hAnsi="仿宋" w:eastAsia="仿宋" w:cs="仿宋"/>
                <w:bCs/>
                <w:color w:val="auto"/>
                <w:sz w:val="24"/>
                <w:szCs w:val="24"/>
                <w:highlight w:val="none"/>
              </w:rPr>
            </w:pPr>
          </w:p>
          <w:p w14:paraId="2C2CF94F">
            <w:pPr>
              <w:pStyle w:val="13"/>
              <w:jc w:val="center"/>
              <w:rPr>
                <w:rFonts w:hint="eastAsia" w:ascii="仿宋" w:hAnsi="仿宋" w:eastAsia="仿宋" w:cs="仿宋"/>
                <w:bCs/>
                <w:color w:val="auto"/>
                <w:sz w:val="24"/>
                <w:szCs w:val="24"/>
                <w:highlight w:val="none"/>
              </w:rPr>
            </w:pPr>
          </w:p>
          <w:p w14:paraId="633DF2B9">
            <w:pPr>
              <w:pStyle w:val="13"/>
              <w:ind w:left="0"/>
              <w:jc w:val="center"/>
              <w:rPr>
                <w:rFonts w:hint="eastAsia" w:ascii="仿宋" w:hAnsi="仿宋" w:eastAsia="仿宋" w:cs="仿宋"/>
                <w:bCs/>
                <w:color w:val="auto"/>
                <w:sz w:val="24"/>
                <w:szCs w:val="24"/>
                <w:highlight w:val="none"/>
              </w:rPr>
            </w:pPr>
          </w:p>
          <w:p w14:paraId="5D2C4635">
            <w:pPr>
              <w:pStyle w:val="13"/>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被授权人身份证反面</w:t>
            </w:r>
          </w:p>
        </w:tc>
      </w:tr>
    </w:tbl>
    <w:p w14:paraId="0F056B3E">
      <w:pPr>
        <w:spacing w:line="360" w:lineRule="auto"/>
        <w:ind w:firstLine="480"/>
        <w:rPr>
          <w:rFonts w:hint="eastAsia" w:ascii="仿宋" w:hAnsi="仿宋" w:eastAsia="仿宋" w:cs="仿宋"/>
          <w:bCs/>
          <w:color w:val="auto"/>
          <w:sz w:val="24"/>
          <w:szCs w:val="24"/>
          <w:highlight w:val="none"/>
        </w:rPr>
      </w:pPr>
    </w:p>
    <w:p w14:paraId="6AFE3755">
      <w:pPr>
        <w:spacing w:line="360" w:lineRule="auto"/>
        <w:jc w:val="left"/>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法定代表人</w:t>
      </w:r>
      <w:r>
        <w:rPr>
          <w:rFonts w:hint="eastAsia" w:ascii="仿宋" w:hAnsi="仿宋" w:eastAsia="仿宋" w:cs="仿宋"/>
          <w:bCs/>
          <w:color w:val="auto"/>
          <w:sz w:val="24"/>
          <w:highlight w:val="none"/>
        </w:rPr>
        <w:t>（签字</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盖章）</w:t>
      </w:r>
      <w:r>
        <w:rPr>
          <w:rFonts w:hint="eastAsia" w:ascii="仿宋" w:hAnsi="仿宋" w:eastAsia="仿宋" w:cs="仿宋"/>
          <w:bCs/>
          <w:color w:val="auto"/>
          <w:sz w:val="24"/>
          <w:szCs w:val="24"/>
          <w:highlight w:val="none"/>
          <w:u w:val="single"/>
        </w:rPr>
        <w:t>　　　　　　　　　　　　　</w:t>
      </w:r>
    </w:p>
    <w:p w14:paraId="2A791A72">
      <w:pPr>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被授权人</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　　　　　　　　　　　　　　</w:t>
      </w:r>
    </w:p>
    <w:p w14:paraId="071EA7BC">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公   章：</w:t>
      </w:r>
    </w:p>
    <w:p w14:paraId="547C6B63">
      <w:pPr>
        <w:pStyle w:val="34"/>
        <w:spacing w:line="360" w:lineRule="auto"/>
        <w:ind w:firstLine="240"/>
        <w:rPr>
          <w:rFonts w:hint="eastAsia" w:ascii="仿宋" w:hAnsi="仿宋" w:eastAsia="仿宋" w:cs="仿宋"/>
          <w:bCs/>
          <w:color w:val="auto"/>
          <w:szCs w:val="24"/>
          <w:highlight w:val="none"/>
        </w:rPr>
      </w:pPr>
    </w:p>
    <w:p w14:paraId="6E502199">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注：1、凡公司法人前来参加投标的投标人，可以不提供此项证明文件。</w:t>
      </w:r>
    </w:p>
    <w:p w14:paraId="5BE104CE">
      <w:pPr>
        <w:spacing w:line="400" w:lineRule="atLeast"/>
        <w:rPr>
          <w:rFonts w:hint="eastAsia" w:ascii="仿宋" w:hAnsi="仿宋" w:eastAsia="仿宋" w:cs="仿宋"/>
          <w:bCs/>
          <w:color w:val="auto"/>
          <w:sz w:val="24"/>
          <w:szCs w:val="24"/>
          <w:highlight w:val="none"/>
        </w:rPr>
      </w:pPr>
    </w:p>
    <w:p w14:paraId="3A02CDE8">
      <w:pPr>
        <w:pStyle w:val="34"/>
        <w:ind w:firstLine="240"/>
        <w:rPr>
          <w:rFonts w:hint="eastAsia" w:ascii="仿宋" w:hAnsi="仿宋" w:eastAsia="仿宋" w:cs="仿宋"/>
          <w:bCs/>
          <w:color w:val="auto"/>
          <w:highlight w:val="none"/>
        </w:rPr>
      </w:pPr>
    </w:p>
    <w:p w14:paraId="0A81D44C">
      <w:pPr>
        <w:spacing w:line="360" w:lineRule="auto"/>
        <w:ind w:left="-1039" w:leftChars="-495"/>
        <w:jc w:val="center"/>
        <w:rPr>
          <w:rFonts w:hint="eastAsia" w:ascii="仿宋" w:hAnsi="仿宋" w:eastAsia="仿宋" w:cs="仿宋"/>
          <w:bCs/>
          <w:color w:val="auto"/>
          <w:sz w:val="24"/>
          <w:szCs w:val="24"/>
          <w:highlight w:val="none"/>
        </w:rPr>
        <w:sectPr>
          <w:pgSz w:w="11905" w:h="16838"/>
          <w:pgMar w:top="720" w:right="1417" w:bottom="720" w:left="1417" w:header="680" w:footer="680" w:gutter="0"/>
          <w:pgNumType w:fmt="decimal"/>
          <w:cols w:space="720" w:num="1"/>
          <w:docGrid w:type="lines" w:linePitch="416" w:charSpace="0"/>
        </w:sectPr>
      </w:pPr>
    </w:p>
    <w:p w14:paraId="200A1E42">
      <w:pPr>
        <w:pStyle w:val="15"/>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94" w:firstLineChars="200"/>
        <w:jc w:val="center"/>
        <w:textAlignment w:val="baseline"/>
        <w:outlineLvl w:val="1"/>
        <w:rPr>
          <w:rFonts w:hint="eastAsia" w:ascii="仿宋" w:hAnsi="仿宋" w:eastAsia="仿宋" w:cs="仿宋"/>
          <w:b/>
          <w:bCs/>
          <w:color w:val="auto"/>
          <w:spacing w:val="3"/>
          <w:sz w:val="24"/>
          <w:szCs w:val="24"/>
          <w:highlight w:val="none"/>
          <w:lang w:val="en-US" w:eastAsia="zh-CN"/>
        </w:rPr>
      </w:pPr>
      <w:bookmarkStart w:id="142" w:name="_Toc2657"/>
      <w:r>
        <w:rPr>
          <w:rFonts w:hint="eastAsia" w:ascii="仿宋" w:hAnsi="仿宋" w:eastAsia="仿宋" w:cs="仿宋"/>
          <w:b/>
          <w:bCs/>
          <w:color w:val="auto"/>
          <w:spacing w:val="3"/>
          <w:sz w:val="24"/>
          <w:szCs w:val="24"/>
          <w:highlight w:val="none"/>
          <w:lang w:val="en-US" w:eastAsia="zh-CN"/>
        </w:rPr>
        <w:t>三、法定代表人身份证明书</w:t>
      </w:r>
      <w:bookmarkEnd w:id="142"/>
    </w:p>
    <w:p w14:paraId="5C93C0A7">
      <w:pPr>
        <w:pStyle w:val="13"/>
        <w:ind w:left="1210" w:hanging="1209" w:hangingChars="504"/>
        <w:rPr>
          <w:rFonts w:hint="eastAsia" w:ascii="仿宋" w:hAnsi="仿宋" w:eastAsia="仿宋" w:cs="仿宋"/>
          <w:bCs/>
          <w:color w:val="auto"/>
          <w:sz w:val="24"/>
          <w:szCs w:val="24"/>
          <w:highlight w:val="none"/>
        </w:rPr>
      </w:pPr>
    </w:p>
    <w:p w14:paraId="65F07275">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企业名称：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1BB8E5F0">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企业类型：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29DFA017">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    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5A0E2F61">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营业期限：</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4BEABB95">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成立时间：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1918ABBB">
      <w:pPr>
        <w:pStyle w:val="13"/>
        <w:ind w:left="1207" w:hanging="1207" w:hangingChars="503"/>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姓名：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性别：</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年龄：</w:t>
      </w:r>
      <w:r>
        <w:rPr>
          <w:rFonts w:hint="eastAsia" w:ascii="仿宋" w:hAnsi="仿宋" w:eastAsia="仿宋" w:cs="仿宋"/>
          <w:bCs/>
          <w:color w:val="auto"/>
          <w:sz w:val="24"/>
          <w:szCs w:val="24"/>
          <w:highlight w:val="none"/>
          <w:u w:val="single"/>
        </w:rPr>
        <w:t xml:space="preserve">               </w:t>
      </w:r>
    </w:p>
    <w:p w14:paraId="1D2F662E">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职务：</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4AD252C2">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系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（投标人企业名称）的法定代表人。</w:t>
      </w:r>
    </w:p>
    <w:p w14:paraId="1AC7D7E7">
      <w:pPr>
        <w:pStyle w:val="13"/>
        <w:ind w:left="1207" w:hanging="1207" w:hangingChars="503"/>
        <w:rPr>
          <w:rFonts w:hint="eastAsia" w:ascii="仿宋" w:hAnsi="仿宋" w:eastAsia="仿宋" w:cs="仿宋"/>
          <w:bCs/>
          <w:color w:val="auto"/>
          <w:sz w:val="24"/>
          <w:szCs w:val="24"/>
          <w:highlight w:val="none"/>
        </w:rPr>
      </w:pPr>
    </w:p>
    <w:p w14:paraId="47D92F8E">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特此证明。</w:t>
      </w:r>
    </w:p>
    <w:p w14:paraId="3922EC81">
      <w:pPr>
        <w:rPr>
          <w:rFonts w:hint="eastAsia" w:ascii="仿宋" w:hAnsi="仿宋" w:eastAsia="仿宋" w:cs="仿宋"/>
          <w:bCs/>
          <w:color w:val="auto"/>
          <w:sz w:val="24"/>
          <w:szCs w:val="24"/>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3099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4470" w:type="dxa"/>
            <w:noWrap w:val="0"/>
            <w:vAlign w:val="top"/>
          </w:tcPr>
          <w:p w14:paraId="003911EF">
            <w:pPr>
              <w:pStyle w:val="13"/>
              <w:jc w:val="center"/>
              <w:rPr>
                <w:rFonts w:hint="eastAsia" w:ascii="仿宋" w:hAnsi="仿宋" w:eastAsia="仿宋" w:cs="仿宋"/>
                <w:bCs/>
                <w:color w:val="auto"/>
                <w:sz w:val="24"/>
                <w:szCs w:val="24"/>
                <w:highlight w:val="none"/>
              </w:rPr>
            </w:pPr>
          </w:p>
          <w:p w14:paraId="721B5955">
            <w:pPr>
              <w:pStyle w:val="13"/>
              <w:ind w:left="0"/>
              <w:jc w:val="center"/>
              <w:rPr>
                <w:rFonts w:hint="eastAsia" w:ascii="仿宋" w:hAnsi="仿宋" w:eastAsia="仿宋" w:cs="仿宋"/>
                <w:bCs/>
                <w:color w:val="auto"/>
                <w:sz w:val="24"/>
                <w:szCs w:val="24"/>
                <w:highlight w:val="none"/>
              </w:rPr>
            </w:pPr>
          </w:p>
          <w:p w14:paraId="67E2C203">
            <w:pPr>
              <w:pStyle w:val="13"/>
              <w:ind w:left="0"/>
              <w:jc w:val="center"/>
              <w:rPr>
                <w:rFonts w:hint="eastAsia" w:ascii="仿宋" w:hAnsi="仿宋" w:eastAsia="仿宋" w:cs="仿宋"/>
                <w:bCs/>
                <w:color w:val="auto"/>
                <w:sz w:val="24"/>
                <w:szCs w:val="24"/>
                <w:highlight w:val="none"/>
              </w:rPr>
            </w:pPr>
          </w:p>
          <w:p w14:paraId="1FD0E658">
            <w:pPr>
              <w:pStyle w:val="13"/>
              <w:ind w:left="0"/>
              <w:jc w:val="center"/>
              <w:rPr>
                <w:rFonts w:hint="eastAsia" w:ascii="仿宋" w:hAnsi="仿宋" w:eastAsia="仿宋" w:cs="仿宋"/>
                <w:bCs/>
                <w:color w:val="auto"/>
                <w:sz w:val="24"/>
                <w:szCs w:val="24"/>
                <w:highlight w:val="none"/>
              </w:rPr>
            </w:pPr>
          </w:p>
          <w:p w14:paraId="38728B43">
            <w:pPr>
              <w:pStyle w:val="13"/>
              <w:ind w:left="0"/>
              <w:jc w:val="center"/>
              <w:rPr>
                <w:rFonts w:hint="eastAsia" w:ascii="仿宋" w:hAnsi="仿宋" w:eastAsia="仿宋" w:cs="仿宋"/>
                <w:bCs/>
                <w:color w:val="auto"/>
                <w:sz w:val="24"/>
                <w:szCs w:val="24"/>
                <w:highlight w:val="none"/>
              </w:rPr>
            </w:pPr>
          </w:p>
          <w:p w14:paraId="04F0ABFC">
            <w:pPr>
              <w:pStyle w:val="13"/>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法定代表人身份证正面</w:t>
            </w:r>
          </w:p>
        </w:tc>
        <w:tc>
          <w:tcPr>
            <w:tcW w:w="4470" w:type="dxa"/>
            <w:noWrap w:val="0"/>
            <w:vAlign w:val="top"/>
          </w:tcPr>
          <w:p w14:paraId="1B9D006C">
            <w:pPr>
              <w:pStyle w:val="13"/>
              <w:jc w:val="center"/>
              <w:rPr>
                <w:rFonts w:hint="eastAsia" w:ascii="仿宋" w:hAnsi="仿宋" w:eastAsia="仿宋" w:cs="仿宋"/>
                <w:bCs/>
                <w:color w:val="auto"/>
                <w:sz w:val="24"/>
                <w:szCs w:val="24"/>
                <w:highlight w:val="none"/>
              </w:rPr>
            </w:pPr>
          </w:p>
          <w:p w14:paraId="0A43AE33">
            <w:pPr>
              <w:pStyle w:val="13"/>
              <w:jc w:val="center"/>
              <w:rPr>
                <w:rFonts w:hint="eastAsia" w:ascii="仿宋" w:hAnsi="仿宋" w:eastAsia="仿宋" w:cs="仿宋"/>
                <w:bCs/>
                <w:color w:val="auto"/>
                <w:sz w:val="24"/>
                <w:szCs w:val="24"/>
                <w:highlight w:val="none"/>
              </w:rPr>
            </w:pPr>
          </w:p>
          <w:p w14:paraId="5EE25D44">
            <w:pPr>
              <w:pStyle w:val="13"/>
              <w:ind w:left="0"/>
              <w:jc w:val="center"/>
              <w:rPr>
                <w:rFonts w:hint="eastAsia" w:ascii="仿宋" w:hAnsi="仿宋" w:eastAsia="仿宋" w:cs="仿宋"/>
                <w:bCs/>
                <w:color w:val="auto"/>
                <w:sz w:val="24"/>
                <w:szCs w:val="24"/>
                <w:highlight w:val="none"/>
              </w:rPr>
            </w:pPr>
          </w:p>
          <w:p w14:paraId="5570F944">
            <w:pPr>
              <w:pStyle w:val="13"/>
              <w:ind w:left="0"/>
              <w:jc w:val="center"/>
              <w:rPr>
                <w:rFonts w:hint="eastAsia" w:ascii="仿宋" w:hAnsi="仿宋" w:eastAsia="仿宋" w:cs="仿宋"/>
                <w:bCs/>
                <w:color w:val="auto"/>
                <w:sz w:val="24"/>
                <w:szCs w:val="24"/>
                <w:highlight w:val="none"/>
              </w:rPr>
            </w:pPr>
          </w:p>
          <w:p w14:paraId="204B8C0D">
            <w:pPr>
              <w:pStyle w:val="13"/>
              <w:ind w:left="0"/>
              <w:jc w:val="center"/>
              <w:rPr>
                <w:rFonts w:hint="eastAsia" w:ascii="仿宋" w:hAnsi="仿宋" w:eastAsia="仿宋" w:cs="仿宋"/>
                <w:bCs/>
                <w:color w:val="auto"/>
                <w:sz w:val="24"/>
                <w:szCs w:val="24"/>
                <w:highlight w:val="none"/>
              </w:rPr>
            </w:pPr>
          </w:p>
          <w:p w14:paraId="3CAF0ECA">
            <w:pPr>
              <w:pStyle w:val="13"/>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法定代表人身份证反面</w:t>
            </w:r>
          </w:p>
        </w:tc>
      </w:tr>
    </w:tbl>
    <w:p w14:paraId="5BE24908">
      <w:pPr>
        <w:pStyle w:val="13"/>
        <w:ind w:left="1207" w:hanging="1207" w:hangingChars="503"/>
        <w:rPr>
          <w:rFonts w:hint="eastAsia" w:ascii="仿宋" w:hAnsi="仿宋" w:eastAsia="仿宋" w:cs="仿宋"/>
          <w:bCs/>
          <w:color w:val="auto"/>
          <w:sz w:val="24"/>
          <w:szCs w:val="24"/>
          <w:highlight w:val="none"/>
        </w:rPr>
      </w:pPr>
    </w:p>
    <w:p w14:paraId="1354F6E3">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投标人（盖章）： </w:t>
      </w:r>
    </w:p>
    <w:p w14:paraId="69B5ABFA">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p w14:paraId="324FC939">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  期：        年        月        日</w:t>
      </w:r>
    </w:p>
    <w:p w14:paraId="1FAEE48F">
      <w:pPr>
        <w:pStyle w:val="13"/>
        <w:ind w:left="1207" w:hanging="1207" w:hangingChars="503"/>
        <w:rPr>
          <w:rFonts w:hint="eastAsia" w:ascii="仿宋" w:hAnsi="仿宋" w:eastAsia="仿宋" w:cs="仿宋"/>
          <w:bCs/>
          <w:color w:val="auto"/>
          <w:sz w:val="24"/>
          <w:szCs w:val="24"/>
          <w:highlight w:val="none"/>
        </w:rPr>
      </w:pPr>
    </w:p>
    <w:p w14:paraId="0CBFB5D2">
      <w:pPr>
        <w:pStyle w:val="13"/>
        <w:ind w:left="1207" w:hanging="1207" w:hangingChars="503"/>
        <w:rPr>
          <w:rFonts w:hint="eastAsia" w:ascii="仿宋" w:hAnsi="仿宋" w:eastAsia="仿宋" w:cs="仿宋"/>
          <w:bCs/>
          <w:color w:val="auto"/>
          <w:sz w:val="24"/>
          <w:szCs w:val="24"/>
          <w:highlight w:val="none"/>
        </w:rPr>
        <w:sectPr>
          <w:pgSz w:w="11905" w:h="16838"/>
          <w:pgMar w:top="720" w:right="1417" w:bottom="720" w:left="1417" w:header="680" w:footer="680" w:gutter="0"/>
          <w:pgNumType w:fmt="decimal"/>
          <w:cols w:space="720" w:num="1"/>
          <w:docGrid w:type="lines" w:linePitch="416" w:charSpace="0"/>
        </w:sectPr>
      </w:pPr>
      <w:r>
        <w:rPr>
          <w:rFonts w:hint="eastAsia" w:ascii="仿宋" w:hAnsi="仿宋" w:eastAsia="仿宋" w:cs="仿宋"/>
          <w:bCs/>
          <w:color w:val="auto"/>
          <w:sz w:val="24"/>
          <w:szCs w:val="24"/>
          <w:highlight w:val="none"/>
        </w:rPr>
        <w:t>注：1、本证明书为法定代表人本人作为公司代理人参与投标的，提供此项证明书</w:t>
      </w:r>
    </w:p>
    <w:p w14:paraId="7DD647C0">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560" w:firstLineChars="200"/>
        <w:jc w:val="center"/>
        <w:textAlignment w:val="baseline"/>
        <w:outlineLvl w:val="1"/>
        <w:rPr>
          <w:rFonts w:hint="eastAsia" w:ascii="仿宋" w:hAnsi="仿宋" w:eastAsia="仿宋" w:cs="仿宋"/>
          <w:color w:val="auto"/>
          <w:sz w:val="24"/>
          <w:szCs w:val="24"/>
          <w:highlight w:val="none"/>
        </w:rPr>
      </w:pPr>
      <w:bookmarkStart w:id="143" w:name="_Toc22327"/>
      <w:r>
        <w:rPr>
          <w:rFonts w:hint="eastAsia" w:ascii="仿宋" w:hAnsi="仿宋" w:eastAsia="仿宋" w:cs="仿宋"/>
          <w:bCs/>
          <w:color w:val="auto"/>
          <w:sz w:val="28"/>
          <w:szCs w:val="28"/>
          <w:highlight w:val="none"/>
          <w:lang w:val="en-US" w:eastAsia="zh-CN"/>
        </w:rPr>
        <w:t>四、</w:t>
      </w:r>
      <w:r>
        <w:rPr>
          <w:rFonts w:hint="eastAsia" w:ascii="仿宋" w:hAnsi="仿宋" w:eastAsia="仿宋" w:cs="仿宋"/>
          <w:b/>
          <w:bCs/>
          <w:color w:val="auto"/>
          <w:spacing w:val="5"/>
          <w:sz w:val="24"/>
          <w:szCs w:val="24"/>
          <w:highlight w:val="none"/>
        </w:rPr>
        <w:t>政府采购投标人廉洁自律承诺书</w:t>
      </w:r>
      <w:bookmarkEnd w:id="143"/>
    </w:p>
    <w:p w14:paraId="22008818">
      <w:pPr>
        <w:keepNext w:val="0"/>
        <w:keepLines w:val="0"/>
        <w:pageBreakBefore w:val="0"/>
        <w:widowControl/>
        <w:kinsoku w:val="0"/>
        <w:wordWrap/>
        <w:overflowPunct/>
        <w:topLinePunct w:val="0"/>
        <w:autoSpaceDE w:val="0"/>
        <w:autoSpaceDN w:val="0"/>
        <w:bidi w:val="0"/>
        <w:adjustRightInd w:val="0"/>
        <w:snapToGrid w:val="0"/>
        <w:spacing w:line="246" w:lineRule="auto"/>
        <w:ind w:left="0" w:leftChars="0" w:right="0" w:firstLine="480" w:firstLineChars="200"/>
        <w:textAlignment w:val="baseline"/>
        <w:rPr>
          <w:rFonts w:hint="eastAsia" w:ascii="仿宋" w:hAnsi="仿宋" w:eastAsia="仿宋" w:cs="仿宋"/>
          <w:color w:val="auto"/>
          <w:sz w:val="24"/>
          <w:szCs w:val="24"/>
          <w:highlight w:val="none"/>
        </w:rPr>
      </w:pPr>
    </w:p>
    <w:p w14:paraId="2096FB21">
      <w:pPr>
        <w:keepNext w:val="0"/>
        <w:keepLines w:val="0"/>
        <w:pageBreakBefore w:val="0"/>
        <w:widowControl/>
        <w:kinsoku w:val="0"/>
        <w:wordWrap/>
        <w:overflowPunct/>
        <w:topLinePunct w:val="0"/>
        <w:autoSpaceDE w:val="0"/>
        <w:autoSpaceDN w:val="0"/>
        <w:bidi w:val="0"/>
        <w:adjustRightInd w:val="0"/>
        <w:snapToGrid w:val="0"/>
        <w:spacing w:line="246" w:lineRule="auto"/>
        <w:ind w:left="0" w:leftChars="0" w:right="0" w:firstLine="480" w:firstLineChars="200"/>
        <w:textAlignment w:val="baseline"/>
        <w:rPr>
          <w:rFonts w:hint="eastAsia" w:ascii="仿宋" w:hAnsi="仿宋" w:eastAsia="仿宋" w:cs="仿宋"/>
          <w:color w:val="auto"/>
          <w:sz w:val="24"/>
          <w:szCs w:val="24"/>
          <w:highlight w:val="none"/>
        </w:rPr>
      </w:pPr>
    </w:p>
    <w:p w14:paraId="54950BF0">
      <w:pPr>
        <w:keepNext w:val="0"/>
        <w:keepLines w:val="0"/>
        <w:pageBreakBefore w:val="0"/>
        <w:widowControl/>
        <w:kinsoku w:val="0"/>
        <w:wordWrap/>
        <w:overflowPunct/>
        <w:topLinePunct w:val="0"/>
        <w:autoSpaceDE w:val="0"/>
        <w:autoSpaceDN w:val="0"/>
        <w:bidi w:val="0"/>
        <w:adjustRightInd w:val="0"/>
        <w:snapToGrid w:val="0"/>
        <w:spacing w:line="246" w:lineRule="auto"/>
        <w:ind w:left="0" w:leftChars="0" w:right="0" w:firstLine="480" w:firstLineChars="200"/>
        <w:textAlignment w:val="baseline"/>
        <w:rPr>
          <w:rFonts w:hint="eastAsia" w:ascii="仿宋" w:hAnsi="仿宋" w:eastAsia="仿宋" w:cs="仿宋"/>
          <w:color w:val="auto"/>
          <w:sz w:val="24"/>
          <w:szCs w:val="24"/>
          <w:highlight w:val="none"/>
        </w:rPr>
      </w:pPr>
    </w:p>
    <w:p w14:paraId="01D80DC9">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（采购人）、（采购代理机构</w:t>
      </w:r>
      <w:r>
        <w:rPr>
          <w:rFonts w:hint="eastAsia" w:ascii="仿宋" w:hAnsi="仿宋" w:eastAsia="仿宋" w:cs="仿宋"/>
          <w:color w:val="auto"/>
          <w:spacing w:val="2"/>
          <w:sz w:val="24"/>
          <w:szCs w:val="24"/>
          <w:highlight w:val="none"/>
        </w:rPr>
        <w:t>）：</w:t>
      </w:r>
    </w:p>
    <w:p w14:paraId="75BF358D">
      <w:pPr>
        <w:pStyle w:val="15"/>
        <w:keepNext w:val="0"/>
        <w:keepLines w:val="0"/>
        <w:pageBreakBefore w:val="0"/>
        <w:widowControl/>
        <w:kinsoku w:val="0"/>
        <w:wordWrap/>
        <w:overflowPunct/>
        <w:topLinePunct w:val="0"/>
        <w:autoSpaceDE w:val="0"/>
        <w:autoSpaceDN w:val="0"/>
        <w:bidi w:val="0"/>
        <w:adjustRightInd w:val="0"/>
        <w:snapToGrid w:val="0"/>
        <w:spacing w:before="259" w:line="36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我单位响应你单位项目招标要求参加投标。在这次投</w:t>
      </w:r>
      <w:r>
        <w:rPr>
          <w:rFonts w:hint="eastAsia" w:ascii="仿宋" w:hAnsi="仿宋" w:eastAsia="仿宋" w:cs="仿宋"/>
          <w:color w:val="auto"/>
          <w:spacing w:val="-4"/>
          <w:sz w:val="24"/>
          <w:szCs w:val="24"/>
          <w:highlight w:val="none"/>
        </w:rPr>
        <w:t>标过程中和中标后，我</w:t>
      </w:r>
      <w:r>
        <w:rPr>
          <w:rFonts w:hint="eastAsia" w:ascii="仿宋" w:hAnsi="仿宋" w:eastAsia="仿宋" w:cs="仿宋"/>
          <w:color w:val="auto"/>
          <w:spacing w:val="-1"/>
          <w:sz w:val="24"/>
          <w:szCs w:val="24"/>
          <w:highlight w:val="none"/>
        </w:rPr>
        <w:t>们将严格遵守国家法律法规要求，并郑重承诺：</w:t>
      </w:r>
    </w:p>
    <w:p w14:paraId="6DBCF3EB">
      <w:pPr>
        <w:pStyle w:val="15"/>
        <w:keepNext w:val="0"/>
        <w:keepLines w:val="0"/>
        <w:pageBreakBefore w:val="0"/>
        <w:widowControl/>
        <w:kinsoku w:val="0"/>
        <w:wordWrap/>
        <w:overflowPunct/>
        <w:topLinePunct w:val="0"/>
        <w:autoSpaceDE w:val="0"/>
        <w:autoSpaceDN w:val="0"/>
        <w:bidi w:val="0"/>
        <w:adjustRightInd w:val="0"/>
        <w:snapToGrid w:val="0"/>
        <w:spacing w:before="1" w:line="28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一、不向项目有关人员及部门赠送礼金礼物、有价证券、回扣以及中介费、</w:t>
      </w:r>
      <w:r>
        <w:rPr>
          <w:rFonts w:hint="eastAsia" w:ascii="仿宋" w:hAnsi="仿宋" w:eastAsia="仿宋" w:cs="仿宋"/>
          <w:color w:val="auto"/>
          <w:spacing w:val="-1"/>
          <w:sz w:val="24"/>
          <w:szCs w:val="24"/>
          <w:highlight w:val="none"/>
        </w:rPr>
        <w:t>介绍费、咨询费等好处费；</w:t>
      </w:r>
    </w:p>
    <w:p w14:paraId="55631F1D">
      <w:pPr>
        <w:pStyle w:val="15"/>
        <w:keepNext w:val="0"/>
        <w:keepLines w:val="0"/>
        <w:pageBreakBefore w:val="0"/>
        <w:widowControl/>
        <w:kinsoku w:val="0"/>
        <w:wordWrap/>
        <w:overflowPunct/>
        <w:topLinePunct w:val="0"/>
        <w:autoSpaceDE w:val="0"/>
        <w:autoSpaceDN w:val="0"/>
        <w:bidi w:val="0"/>
        <w:adjustRightInd w:val="0"/>
        <w:snapToGrid w:val="0"/>
        <w:spacing w:before="183" w:line="22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二、不为项目有关人员及部门报销应由你方单位或个人支付的费用；</w:t>
      </w:r>
    </w:p>
    <w:p w14:paraId="4533162F">
      <w:pPr>
        <w:pStyle w:val="15"/>
        <w:keepNext w:val="0"/>
        <w:keepLines w:val="0"/>
        <w:pageBreakBefore w:val="0"/>
        <w:widowControl/>
        <w:kinsoku w:val="0"/>
        <w:wordWrap/>
        <w:overflowPunct/>
        <w:topLinePunct w:val="0"/>
        <w:autoSpaceDE w:val="0"/>
        <w:autoSpaceDN w:val="0"/>
        <w:bidi w:val="0"/>
        <w:adjustRightInd w:val="0"/>
        <w:snapToGrid w:val="0"/>
        <w:spacing w:before="182" w:line="219" w:lineRule="auto"/>
        <w:ind w:left="0" w:leftChars="0" w:right="0" w:firstLine="46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三、不向项目有关人员及部门提供有可能影响公正的宴请和健身娱乐等活动；</w:t>
      </w:r>
    </w:p>
    <w:p w14:paraId="39D850ED">
      <w:pPr>
        <w:pStyle w:val="15"/>
        <w:keepNext w:val="0"/>
        <w:keepLines w:val="0"/>
        <w:pageBreakBefore w:val="0"/>
        <w:widowControl/>
        <w:kinsoku w:val="0"/>
        <w:wordWrap/>
        <w:overflowPunct/>
        <w:topLinePunct w:val="0"/>
        <w:autoSpaceDE w:val="0"/>
        <w:autoSpaceDN w:val="0"/>
        <w:bidi w:val="0"/>
        <w:adjustRightInd w:val="0"/>
        <w:snapToGrid w:val="0"/>
        <w:spacing w:before="183" w:line="219"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四、不为项目有关人员及部门出国（境）、旅游</w:t>
      </w:r>
      <w:r>
        <w:rPr>
          <w:rFonts w:hint="eastAsia" w:ascii="仿宋" w:hAnsi="仿宋" w:eastAsia="仿宋" w:cs="仿宋"/>
          <w:color w:val="auto"/>
          <w:spacing w:val="-2"/>
          <w:sz w:val="24"/>
          <w:szCs w:val="24"/>
          <w:highlight w:val="none"/>
        </w:rPr>
        <w:t>等提供方便；</w:t>
      </w:r>
    </w:p>
    <w:p w14:paraId="7249B9D9">
      <w:pPr>
        <w:pStyle w:val="15"/>
        <w:keepNext w:val="0"/>
        <w:keepLines w:val="0"/>
        <w:pageBreakBefore w:val="0"/>
        <w:widowControl/>
        <w:kinsoku w:val="0"/>
        <w:wordWrap/>
        <w:overflowPunct/>
        <w:topLinePunct w:val="0"/>
        <w:autoSpaceDE w:val="0"/>
        <w:autoSpaceDN w:val="0"/>
        <w:bidi w:val="0"/>
        <w:adjustRightInd w:val="0"/>
        <w:snapToGrid w:val="0"/>
        <w:spacing w:before="183" w:line="29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五、不为项目有关人员个人装修住房、婚丧嫁娶</w:t>
      </w:r>
      <w:r>
        <w:rPr>
          <w:rFonts w:hint="eastAsia" w:ascii="仿宋" w:hAnsi="仿宋" w:eastAsia="仿宋" w:cs="仿宋"/>
          <w:color w:val="auto"/>
          <w:spacing w:val="-4"/>
          <w:sz w:val="24"/>
          <w:szCs w:val="24"/>
          <w:highlight w:val="none"/>
        </w:rPr>
        <w:t>、配偶子女工作安排等提供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好处；</w:t>
      </w:r>
    </w:p>
    <w:p w14:paraId="030B30C6">
      <w:pPr>
        <w:pStyle w:val="15"/>
        <w:keepNext w:val="0"/>
        <w:keepLines w:val="0"/>
        <w:pageBreakBefore w:val="0"/>
        <w:widowControl/>
        <w:kinsoku w:val="0"/>
        <w:wordWrap/>
        <w:overflowPunct/>
        <w:topLinePunct w:val="0"/>
        <w:autoSpaceDE w:val="0"/>
        <w:autoSpaceDN w:val="0"/>
        <w:bidi w:val="0"/>
        <w:adjustRightInd w:val="0"/>
        <w:snapToGrid w:val="0"/>
        <w:spacing w:before="181" w:line="314"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六、严格遵守《中华人民共和国政府采购法》《中华</w:t>
      </w:r>
      <w:r>
        <w:rPr>
          <w:rFonts w:hint="eastAsia" w:ascii="仿宋" w:hAnsi="仿宋" w:eastAsia="仿宋" w:cs="仿宋"/>
          <w:color w:val="auto"/>
          <w:spacing w:val="-4"/>
          <w:sz w:val="24"/>
          <w:szCs w:val="24"/>
          <w:highlight w:val="none"/>
        </w:rPr>
        <w:t>人民共和国政府采购法</w:t>
      </w:r>
      <w:r>
        <w:rPr>
          <w:rFonts w:hint="eastAsia" w:ascii="仿宋" w:hAnsi="仿宋" w:eastAsia="仿宋" w:cs="仿宋"/>
          <w:color w:val="auto"/>
          <w:spacing w:val="-3"/>
          <w:sz w:val="24"/>
          <w:szCs w:val="24"/>
          <w:highlight w:val="none"/>
        </w:rPr>
        <w:t>实施条例》《中华人民共和国民法典》等法律法规，诚实守信，合法经营，坚决</w:t>
      </w:r>
      <w:r>
        <w:rPr>
          <w:rFonts w:hint="eastAsia" w:ascii="仿宋" w:hAnsi="仿宋" w:eastAsia="仿宋" w:cs="仿宋"/>
          <w:color w:val="auto"/>
          <w:spacing w:val="-1"/>
          <w:sz w:val="24"/>
          <w:szCs w:val="24"/>
          <w:highlight w:val="none"/>
        </w:rPr>
        <w:t>抵制各种违法违纪行为。</w:t>
      </w:r>
    </w:p>
    <w:p w14:paraId="2542F6F3">
      <w:pPr>
        <w:pStyle w:val="15"/>
        <w:keepNext w:val="0"/>
        <w:keepLines w:val="0"/>
        <w:pageBreakBefore w:val="0"/>
        <w:widowControl/>
        <w:kinsoku w:val="0"/>
        <w:wordWrap/>
        <w:overflowPunct/>
        <w:topLinePunct w:val="0"/>
        <w:autoSpaceDE w:val="0"/>
        <w:autoSpaceDN w:val="0"/>
        <w:bidi w:val="0"/>
        <w:adjustRightInd w:val="0"/>
        <w:snapToGrid w:val="0"/>
        <w:spacing w:before="182" w:line="361" w:lineRule="auto"/>
        <w:ind w:left="0" w:leftChars="0" w:right="0" w:firstLine="468"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如违反上述承诺，你单位有权立即取消我单位投</w:t>
      </w:r>
      <w:r>
        <w:rPr>
          <w:rFonts w:hint="eastAsia" w:ascii="仿宋" w:hAnsi="仿宋" w:eastAsia="仿宋" w:cs="仿宋"/>
          <w:color w:val="auto"/>
          <w:spacing w:val="-4"/>
          <w:sz w:val="24"/>
          <w:szCs w:val="24"/>
          <w:highlight w:val="none"/>
        </w:rPr>
        <w:t>标、中标或在建项目的建设</w:t>
      </w:r>
      <w:r>
        <w:rPr>
          <w:rFonts w:hint="eastAsia" w:ascii="仿宋" w:hAnsi="仿宋" w:eastAsia="仿宋" w:cs="仿宋"/>
          <w:color w:val="auto"/>
          <w:spacing w:val="-2"/>
          <w:sz w:val="24"/>
          <w:szCs w:val="24"/>
          <w:highlight w:val="none"/>
        </w:rPr>
        <w:t>资格，有权拒绝我单位在一定时期内进入你单位进行项目建设或其他经营</w:t>
      </w:r>
      <w:r>
        <w:rPr>
          <w:rFonts w:hint="eastAsia" w:ascii="仿宋" w:hAnsi="仿宋" w:eastAsia="仿宋" w:cs="仿宋"/>
          <w:color w:val="auto"/>
          <w:spacing w:val="-3"/>
          <w:sz w:val="24"/>
          <w:szCs w:val="24"/>
          <w:highlight w:val="none"/>
        </w:rPr>
        <w:t>活动，</w:t>
      </w:r>
      <w:r>
        <w:rPr>
          <w:rFonts w:hint="eastAsia" w:ascii="仿宋" w:hAnsi="仿宋" w:eastAsia="仿宋" w:cs="仿宋"/>
          <w:color w:val="auto"/>
          <w:spacing w:val="-1"/>
          <w:sz w:val="24"/>
          <w:szCs w:val="24"/>
          <w:highlight w:val="none"/>
        </w:rPr>
        <w:t>并通报</w:t>
      </w:r>
      <w:r>
        <w:rPr>
          <w:rFonts w:hint="eastAsia" w:ascii="仿宋" w:hAnsi="仿宋" w:eastAsia="仿宋" w:cs="仿宋"/>
          <w:color w:val="auto"/>
          <w:spacing w:val="-1"/>
          <w:sz w:val="24"/>
          <w:szCs w:val="24"/>
          <w:highlight w:val="none"/>
          <w:lang w:eastAsia="zh-CN"/>
        </w:rPr>
        <w:t>政府采购监管部门</w:t>
      </w:r>
      <w:r>
        <w:rPr>
          <w:rFonts w:hint="eastAsia" w:ascii="仿宋" w:hAnsi="仿宋" w:eastAsia="仿宋" w:cs="仿宋"/>
          <w:color w:val="auto"/>
          <w:spacing w:val="-1"/>
          <w:sz w:val="24"/>
          <w:szCs w:val="24"/>
          <w:highlight w:val="none"/>
        </w:rPr>
        <w:t>。由此引起的相应损失均由我单位承担。</w:t>
      </w:r>
    </w:p>
    <w:p w14:paraId="087150A5">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209D6C9A">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22470125">
      <w:pPr>
        <w:keepNext w:val="0"/>
        <w:keepLines w:val="0"/>
        <w:pageBreakBefore w:val="0"/>
        <w:widowControl/>
        <w:kinsoku w:val="0"/>
        <w:wordWrap/>
        <w:overflowPunct/>
        <w:topLinePunct w:val="0"/>
        <w:autoSpaceDE w:val="0"/>
        <w:autoSpaceDN w:val="0"/>
        <w:bidi w:val="0"/>
        <w:adjustRightInd w:val="0"/>
        <w:snapToGrid w:val="0"/>
        <w:spacing w:line="263" w:lineRule="auto"/>
        <w:ind w:left="0" w:leftChars="0" w:right="0" w:firstLine="480" w:firstLineChars="200"/>
        <w:textAlignment w:val="baseline"/>
        <w:rPr>
          <w:rFonts w:hint="eastAsia" w:ascii="仿宋" w:hAnsi="仿宋" w:eastAsia="仿宋" w:cs="仿宋"/>
          <w:color w:val="auto"/>
          <w:sz w:val="24"/>
          <w:szCs w:val="24"/>
          <w:highlight w:val="none"/>
        </w:rPr>
      </w:pPr>
    </w:p>
    <w:p w14:paraId="0E3ACC15">
      <w:pPr>
        <w:keepNext w:val="0"/>
        <w:keepLines w:val="0"/>
        <w:pageBreakBefore w:val="0"/>
        <w:widowControl/>
        <w:kinsoku w:val="0"/>
        <w:wordWrap/>
        <w:overflowPunct/>
        <w:topLinePunct w:val="0"/>
        <w:autoSpaceDE w:val="0"/>
        <w:autoSpaceDN w:val="0"/>
        <w:bidi w:val="0"/>
        <w:adjustRightInd w:val="0"/>
        <w:snapToGrid w:val="0"/>
        <w:spacing w:line="263" w:lineRule="auto"/>
        <w:ind w:left="0" w:leftChars="0" w:right="0" w:firstLine="480" w:firstLineChars="200"/>
        <w:textAlignment w:val="baseline"/>
        <w:rPr>
          <w:rFonts w:hint="eastAsia" w:ascii="仿宋" w:hAnsi="仿宋" w:eastAsia="仿宋" w:cs="仿宋"/>
          <w:color w:val="auto"/>
          <w:sz w:val="24"/>
          <w:szCs w:val="24"/>
          <w:highlight w:val="none"/>
        </w:rPr>
      </w:pPr>
    </w:p>
    <w:p w14:paraId="1E419018">
      <w:pPr>
        <w:keepNext w:val="0"/>
        <w:keepLines w:val="0"/>
        <w:pageBreakBefore w:val="0"/>
        <w:widowControl/>
        <w:kinsoku w:val="0"/>
        <w:wordWrap/>
        <w:overflowPunct/>
        <w:topLinePunct w:val="0"/>
        <w:autoSpaceDE w:val="0"/>
        <w:autoSpaceDN w:val="0"/>
        <w:bidi w:val="0"/>
        <w:adjustRightInd w:val="0"/>
        <w:snapToGrid w:val="0"/>
        <w:spacing w:line="263" w:lineRule="auto"/>
        <w:ind w:left="0" w:leftChars="0" w:right="0" w:firstLine="480" w:firstLineChars="200"/>
        <w:textAlignment w:val="baseline"/>
        <w:outlineLvl w:val="9"/>
        <w:rPr>
          <w:rFonts w:hint="eastAsia" w:ascii="仿宋" w:hAnsi="仿宋" w:eastAsia="仿宋" w:cs="仿宋"/>
          <w:color w:val="auto"/>
          <w:sz w:val="24"/>
          <w:szCs w:val="24"/>
          <w:highlight w:val="none"/>
        </w:rPr>
      </w:pPr>
    </w:p>
    <w:p w14:paraId="0A114333">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right="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3CFB50BA">
      <w:pPr>
        <w:spacing w:line="360" w:lineRule="auto"/>
        <w:jc w:val="both"/>
        <w:outlineLvl w:val="9"/>
        <w:rPr>
          <w:rFonts w:hint="eastAsia" w:ascii="仿宋" w:hAnsi="仿宋" w:eastAsia="仿宋" w:cs="仿宋"/>
          <w:color w:val="auto"/>
          <w:spacing w:val="-13"/>
          <w:sz w:val="24"/>
          <w:szCs w:val="24"/>
          <w:highlight w:val="none"/>
        </w:rPr>
      </w:pPr>
      <w:r>
        <w:rPr>
          <w:rFonts w:hint="eastAsia" w:ascii="仿宋" w:hAnsi="仿宋" w:eastAsia="仿宋" w:cs="仿宋"/>
          <w:color w:val="auto"/>
          <w:spacing w:val="-13"/>
          <w:sz w:val="24"/>
          <w:szCs w:val="24"/>
          <w:highlight w:val="none"/>
        </w:rPr>
        <w:t>日期：</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13"/>
          <w:sz w:val="24"/>
          <w:szCs w:val="24"/>
          <w:highlight w:val="none"/>
        </w:rPr>
        <w:t>年</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3"/>
          <w:sz w:val="24"/>
          <w:szCs w:val="24"/>
          <w:highlight w:val="none"/>
        </w:rPr>
        <w:t>月</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3"/>
          <w:sz w:val="24"/>
          <w:szCs w:val="24"/>
          <w:highlight w:val="none"/>
        </w:rPr>
        <w:t>日</w:t>
      </w:r>
    </w:p>
    <w:p w14:paraId="0797220D">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428" w:firstLineChars="200"/>
        <w:jc w:val="center"/>
        <w:textAlignment w:val="baseline"/>
        <w:outlineLvl w:val="1"/>
        <w:rPr>
          <w:rFonts w:hint="eastAsia" w:ascii="仿宋" w:hAnsi="仿宋" w:eastAsia="仿宋" w:cs="仿宋"/>
          <w:b/>
          <w:bCs w:val="0"/>
          <w:color w:val="auto"/>
          <w:sz w:val="28"/>
          <w:szCs w:val="28"/>
          <w:highlight w:val="none"/>
          <w:lang w:val="en-US" w:eastAsia="zh-CN"/>
        </w:rPr>
      </w:pPr>
      <w:r>
        <w:rPr>
          <w:rFonts w:hint="eastAsia" w:ascii="仿宋" w:hAnsi="仿宋" w:eastAsia="仿宋" w:cs="仿宋"/>
          <w:color w:val="auto"/>
          <w:spacing w:val="-13"/>
          <w:sz w:val="24"/>
          <w:szCs w:val="24"/>
          <w:highlight w:val="none"/>
        </w:rPr>
        <w:br w:type="page"/>
      </w:r>
      <w:bookmarkStart w:id="144" w:name="_Toc4981"/>
      <w:r>
        <w:rPr>
          <w:rFonts w:hint="eastAsia" w:ascii="仿宋" w:hAnsi="仿宋" w:eastAsia="仿宋" w:cs="仿宋"/>
          <w:b/>
          <w:bCs w:val="0"/>
          <w:color w:val="auto"/>
          <w:sz w:val="28"/>
          <w:szCs w:val="28"/>
          <w:highlight w:val="none"/>
          <w:lang w:val="en-US" w:eastAsia="zh-CN"/>
        </w:rPr>
        <w:t>五、商务响应偏离表</w:t>
      </w:r>
      <w:bookmarkEnd w:id="144"/>
    </w:p>
    <w:p w14:paraId="66D5F0CC">
      <w:pPr>
        <w:keepNext w:val="0"/>
        <w:keepLines w:val="0"/>
        <w:pageBreakBefore w:val="0"/>
        <w:widowControl/>
        <w:kinsoku w:val="0"/>
        <w:wordWrap/>
        <w:overflowPunct/>
        <w:topLinePunct w:val="0"/>
        <w:autoSpaceDE w:val="0"/>
        <w:autoSpaceDN w:val="0"/>
        <w:bidi w:val="0"/>
        <w:adjustRightInd w:val="0"/>
        <w:snapToGrid w:val="0"/>
        <w:spacing w:line="386" w:lineRule="auto"/>
        <w:ind w:left="0" w:leftChars="0" w:right="0" w:firstLine="480" w:firstLineChars="200"/>
        <w:textAlignment w:val="baseline"/>
        <w:rPr>
          <w:rFonts w:hint="eastAsia" w:ascii="仿宋" w:hAnsi="仿宋" w:eastAsia="仿宋" w:cs="仿宋"/>
          <w:color w:val="auto"/>
          <w:sz w:val="24"/>
          <w:szCs w:val="24"/>
          <w:highlight w:val="none"/>
        </w:rPr>
      </w:pPr>
    </w:p>
    <w:p w14:paraId="351D4478">
      <w:pPr>
        <w:pStyle w:val="15"/>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6E8730F5">
      <w:pPr>
        <w:pStyle w:val="15"/>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项目编号/包号：</w:t>
      </w:r>
    </w:p>
    <w:p w14:paraId="56D7B43C">
      <w:pPr>
        <w:keepNext w:val="0"/>
        <w:keepLines w:val="0"/>
        <w:pageBreakBefore w:val="0"/>
        <w:widowControl/>
        <w:kinsoku w:val="0"/>
        <w:wordWrap/>
        <w:overflowPunct/>
        <w:topLinePunct w:val="0"/>
        <w:autoSpaceDE w:val="0"/>
        <w:autoSpaceDN w:val="0"/>
        <w:bidi w:val="0"/>
        <w:adjustRightInd w:val="0"/>
        <w:snapToGrid w:val="0"/>
        <w:spacing w:line="66" w:lineRule="exact"/>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86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2414"/>
        <w:gridCol w:w="1734"/>
        <w:gridCol w:w="1887"/>
        <w:gridCol w:w="1892"/>
      </w:tblGrid>
      <w:tr w14:paraId="10531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jc w:val="center"/>
        </w:trPr>
        <w:tc>
          <w:tcPr>
            <w:tcW w:w="731" w:type="dxa"/>
            <w:vAlign w:val="center"/>
          </w:tcPr>
          <w:p w14:paraId="1B731E03">
            <w:pPr>
              <w:pStyle w:val="163"/>
              <w:keepNext w:val="0"/>
              <w:keepLines w:val="0"/>
              <w:pageBreakBefore w:val="0"/>
              <w:widowControl/>
              <w:kinsoku w:val="0"/>
              <w:wordWrap/>
              <w:overflowPunct/>
              <w:topLinePunct w:val="0"/>
              <w:autoSpaceDE w:val="0"/>
              <w:autoSpaceDN w:val="0"/>
              <w:bidi w:val="0"/>
              <w:adjustRightInd w:val="0"/>
              <w:snapToGrid w:val="0"/>
              <w:spacing w:before="65" w:line="230"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2414" w:type="dxa"/>
            <w:vAlign w:val="center"/>
          </w:tcPr>
          <w:p w14:paraId="131B7899">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招标文件的商务条款</w:t>
            </w:r>
          </w:p>
        </w:tc>
        <w:tc>
          <w:tcPr>
            <w:tcW w:w="1734" w:type="dxa"/>
            <w:vAlign w:val="center"/>
          </w:tcPr>
          <w:p w14:paraId="0873F176">
            <w:pPr>
              <w:pStyle w:val="163"/>
              <w:keepNext w:val="0"/>
              <w:keepLines w:val="0"/>
              <w:pageBreakBefore w:val="0"/>
              <w:widowControl/>
              <w:kinsoku w:val="0"/>
              <w:wordWrap/>
              <w:overflowPunct/>
              <w:topLinePunct w:val="0"/>
              <w:autoSpaceDE w:val="0"/>
              <w:autoSpaceDN w:val="0"/>
              <w:bidi w:val="0"/>
              <w:adjustRightInd w:val="0"/>
              <w:snapToGrid w:val="0"/>
              <w:spacing w:before="164" w:line="28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投标文件的响应</w:t>
            </w:r>
            <w:r>
              <w:rPr>
                <w:rFonts w:hint="eastAsia" w:ascii="仿宋" w:hAnsi="仿宋" w:eastAsia="仿宋" w:cs="仿宋"/>
                <w:color w:val="auto"/>
                <w:spacing w:val="-8"/>
                <w:sz w:val="24"/>
                <w:szCs w:val="24"/>
                <w:highlight w:val="none"/>
              </w:rPr>
              <w:t>内容</w:t>
            </w:r>
          </w:p>
        </w:tc>
        <w:tc>
          <w:tcPr>
            <w:tcW w:w="1887" w:type="dxa"/>
            <w:vAlign w:val="center"/>
          </w:tcPr>
          <w:p w14:paraId="1A558337">
            <w:pPr>
              <w:pStyle w:val="163"/>
              <w:keepNext w:val="0"/>
              <w:keepLines w:val="0"/>
              <w:pageBreakBefore w:val="0"/>
              <w:widowControl/>
              <w:kinsoku w:val="0"/>
              <w:wordWrap/>
              <w:overflowPunct/>
              <w:topLinePunct w:val="0"/>
              <w:autoSpaceDE w:val="0"/>
              <w:autoSpaceDN w:val="0"/>
              <w:bidi w:val="0"/>
              <w:adjustRightInd w:val="0"/>
              <w:snapToGrid w:val="0"/>
              <w:spacing w:before="65" w:line="229" w:lineRule="auto"/>
              <w:ind w:left="0" w:leftChars="0" w:right="0" w:firstLine="496" w:firstLineChars="20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响应情况</w:t>
            </w:r>
          </w:p>
        </w:tc>
        <w:tc>
          <w:tcPr>
            <w:tcW w:w="1892" w:type="dxa"/>
            <w:vAlign w:val="center"/>
          </w:tcPr>
          <w:p w14:paraId="62DD334A">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left="0" w:leftChars="0" w:right="0" w:firstLine="508" w:firstLineChars="20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说明及索引</w:t>
            </w:r>
          </w:p>
        </w:tc>
      </w:tr>
      <w:tr w14:paraId="5B92A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731" w:type="dxa"/>
            <w:vAlign w:val="top"/>
          </w:tcPr>
          <w:p w14:paraId="63CC02AB">
            <w:pPr>
              <w:pStyle w:val="163"/>
              <w:keepNext w:val="0"/>
              <w:keepLines w:val="0"/>
              <w:pageBreakBefore w:val="0"/>
              <w:widowControl/>
              <w:kinsoku w:val="0"/>
              <w:wordWrap/>
              <w:overflowPunct/>
              <w:topLinePunct w:val="0"/>
              <w:autoSpaceDE w:val="0"/>
              <w:autoSpaceDN w:val="0"/>
              <w:bidi w:val="0"/>
              <w:adjustRightInd w:val="0"/>
              <w:snapToGrid w:val="0"/>
              <w:spacing w:before="110"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1</w:t>
            </w:r>
          </w:p>
        </w:tc>
        <w:tc>
          <w:tcPr>
            <w:tcW w:w="2414" w:type="dxa"/>
            <w:vAlign w:val="top"/>
          </w:tcPr>
          <w:p w14:paraId="7DA6AF21">
            <w:pPr>
              <w:pStyle w:val="163"/>
              <w:keepNext w:val="0"/>
              <w:keepLines w:val="0"/>
              <w:pageBreakBefore w:val="0"/>
              <w:widowControl/>
              <w:kinsoku w:val="0"/>
              <w:wordWrap/>
              <w:overflowPunct/>
              <w:topLinePunct w:val="0"/>
              <w:autoSpaceDE w:val="0"/>
              <w:autoSpaceDN w:val="0"/>
              <w:bidi w:val="0"/>
              <w:adjustRightInd w:val="0"/>
              <w:snapToGrid w:val="0"/>
              <w:spacing w:before="110"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34" w:type="dxa"/>
            <w:vAlign w:val="top"/>
          </w:tcPr>
          <w:p w14:paraId="3A322C61">
            <w:pPr>
              <w:pStyle w:val="163"/>
              <w:keepNext w:val="0"/>
              <w:keepLines w:val="0"/>
              <w:pageBreakBefore w:val="0"/>
              <w:widowControl/>
              <w:kinsoku w:val="0"/>
              <w:wordWrap/>
              <w:overflowPunct/>
              <w:topLinePunct w:val="0"/>
              <w:autoSpaceDE w:val="0"/>
              <w:autoSpaceDN w:val="0"/>
              <w:bidi w:val="0"/>
              <w:adjustRightInd w:val="0"/>
              <w:snapToGrid w:val="0"/>
              <w:spacing w:before="110"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887" w:type="dxa"/>
            <w:vAlign w:val="top"/>
          </w:tcPr>
          <w:p w14:paraId="261426EB">
            <w:pPr>
              <w:pStyle w:val="163"/>
              <w:keepNext w:val="0"/>
              <w:keepLines w:val="0"/>
              <w:pageBreakBefore w:val="0"/>
              <w:widowControl/>
              <w:kinsoku w:val="0"/>
              <w:wordWrap/>
              <w:overflowPunct/>
              <w:topLinePunct w:val="0"/>
              <w:autoSpaceDE w:val="0"/>
              <w:autoSpaceDN w:val="0"/>
              <w:bidi w:val="0"/>
              <w:adjustRightInd w:val="0"/>
              <w:snapToGrid w:val="0"/>
              <w:spacing w:before="111" w:line="228" w:lineRule="auto"/>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响应/偏离</w:t>
            </w:r>
          </w:p>
        </w:tc>
        <w:tc>
          <w:tcPr>
            <w:tcW w:w="1892" w:type="dxa"/>
            <w:vAlign w:val="top"/>
          </w:tcPr>
          <w:p w14:paraId="46EEC00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51CF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731" w:type="dxa"/>
            <w:vAlign w:val="top"/>
          </w:tcPr>
          <w:p w14:paraId="378CDFA3">
            <w:pPr>
              <w:pStyle w:val="163"/>
              <w:keepNext w:val="0"/>
              <w:keepLines w:val="0"/>
              <w:pageBreakBefore w:val="0"/>
              <w:widowControl/>
              <w:kinsoku w:val="0"/>
              <w:wordWrap/>
              <w:overflowPunct/>
              <w:topLinePunct w:val="0"/>
              <w:autoSpaceDE w:val="0"/>
              <w:autoSpaceDN w:val="0"/>
              <w:bidi w:val="0"/>
              <w:adjustRightInd w:val="0"/>
              <w:snapToGrid w:val="0"/>
              <w:spacing w:before="112"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2</w:t>
            </w:r>
          </w:p>
        </w:tc>
        <w:tc>
          <w:tcPr>
            <w:tcW w:w="2414" w:type="dxa"/>
            <w:vAlign w:val="top"/>
          </w:tcPr>
          <w:p w14:paraId="1A2AD564">
            <w:pPr>
              <w:pStyle w:val="163"/>
              <w:keepNext w:val="0"/>
              <w:keepLines w:val="0"/>
              <w:pageBreakBefore w:val="0"/>
              <w:widowControl/>
              <w:kinsoku w:val="0"/>
              <w:wordWrap/>
              <w:overflowPunct/>
              <w:topLinePunct w:val="0"/>
              <w:autoSpaceDE w:val="0"/>
              <w:autoSpaceDN w:val="0"/>
              <w:bidi w:val="0"/>
              <w:adjustRightInd w:val="0"/>
              <w:snapToGrid w:val="0"/>
              <w:spacing w:before="112"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34" w:type="dxa"/>
            <w:vAlign w:val="top"/>
          </w:tcPr>
          <w:p w14:paraId="638F2F14">
            <w:pPr>
              <w:pStyle w:val="163"/>
              <w:keepNext w:val="0"/>
              <w:keepLines w:val="0"/>
              <w:pageBreakBefore w:val="0"/>
              <w:widowControl/>
              <w:kinsoku w:val="0"/>
              <w:wordWrap/>
              <w:overflowPunct/>
              <w:topLinePunct w:val="0"/>
              <w:autoSpaceDE w:val="0"/>
              <w:autoSpaceDN w:val="0"/>
              <w:bidi w:val="0"/>
              <w:adjustRightInd w:val="0"/>
              <w:snapToGrid w:val="0"/>
              <w:spacing w:before="112"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887" w:type="dxa"/>
            <w:vAlign w:val="top"/>
          </w:tcPr>
          <w:p w14:paraId="40239F3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7A99698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E53D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03B1A72F">
            <w:pPr>
              <w:pStyle w:val="163"/>
              <w:keepNext w:val="0"/>
              <w:keepLines w:val="0"/>
              <w:pageBreakBefore w:val="0"/>
              <w:widowControl/>
              <w:kinsoku w:val="0"/>
              <w:wordWrap/>
              <w:overflowPunct/>
              <w:topLinePunct w:val="0"/>
              <w:autoSpaceDE w:val="0"/>
              <w:autoSpaceDN w:val="0"/>
              <w:bidi w:val="0"/>
              <w:adjustRightInd w:val="0"/>
              <w:snapToGrid w:val="0"/>
              <w:spacing w:before="114"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3</w:t>
            </w:r>
          </w:p>
        </w:tc>
        <w:tc>
          <w:tcPr>
            <w:tcW w:w="2414" w:type="dxa"/>
            <w:vAlign w:val="top"/>
          </w:tcPr>
          <w:p w14:paraId="5EC8EAC1">
            <w:pPr>
              <w:pStyle w:val="163"/>
              <w:keepNext w:val="0"/>
              <w:keepLines w:val="0"/>
              <w:pageBreakBefore w:val="0"/>
              <w:widowControl/>
              <w:kinsoku w:val="0"/>
              <w:wordWrap/>
              <w:overflowPunct/>
              <w:topLinePunct w:val="0"/>
              <w:autoSpaceDE w:val="0"/>
              <w:autoSpaceDN w:val="0"/>
              <w:bidi w:val="0"/>
              <w:adjustRightInd w:val="0"/>
              <w:snapToGrid w:val="0"/>
              <w:spacing w:before="114" w:line="288"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34" w:type="dxa"/>
            <w:vAlign w:val="top"/>
          </w:tcPr>
          <w:p w14:paraId="4DD416A8">
            <w:pPr>
              <w:pStyle w:val="163"/>
              <w:keepNext w:val="0"/>
              <w:keepLines w:val="0"/>
              <w:pageBreakBefore w:val="0"/>
              <w:widowControl/>
              <w:kinsoku w:val="0"/>
              <w:wordWrap/>
              <w:overflowPunct/>
              <w:topLinePunct w:val="0"/>
              <w:autoSpaceDE w:val="0"/>
              <w:autoSpaceDN w:val="0"/>
              <w:bidi w:val="0"/>
              <w:adjustRightInd w:val="0"/>
              <w:snapToGrid w:val="0"/>
              <w:spacing w:before="114" w:line="288"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887" w:type="dxa"/>
            <w:vAlign w:val="top"/>
          </w:tcPr>
          <w:p w14:paraId="3C03849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18905E9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3AF6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731" w:type="dxa"/>
            <w:vAlign w:val="top"/>
          </w:tcPr>
          <w:p w14:paraId="78BDD24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2414" w:type="dxa"/>
            <w:vAlign w:val="top"/>
          </w:tcPr>
          <w:p w14:paraId="74201C3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375BA31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2DA49B3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7817653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49B8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4F4F6FC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359F258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2D212FC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6838BB6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617B240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FD03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731" w:type="dxa"/>
            <w:vAlign w:val="top"/>
          </w:tcPr>
          <w:p w14:paraId="2545EC0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7FB00EC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4653062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6E54C59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69943F8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FEF5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4DEBE65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7F03ACF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498F31D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78FEE24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3E4585F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2EB7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3876744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34E368B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79430F5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70C02E4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29D3723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97B7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5B493AA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58E1AF3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00F72D8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0F49BC2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5D23FC8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ABE3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3AEE9B2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732F9E0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0A70EAD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0D4C454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62C2C24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143D3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2952373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1DB1AB9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1D97B44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4DE1E75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2CD6084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D454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18C5025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055DFF6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3A3E0D3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5A5BF8B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785A44A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2B03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0AFCA4D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0691416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271E25E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2BA58AC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5E127DB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A745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731" w:type="dxa"/>
            <w:vAlign w:val="top"/>
          </w:tcPr>
          <w:p w14:paraId="35B57B4D">
            <w:pPr>
              <w:pStyle w:val="163"/>
              <w:keepNext w:val="0"/>
              <w:keepLines w:val="0"/>
              <w:pageBreakBefore w:val="0"/>
              <w:widowControl/>
              <w:kinsoku w:val="0"/>
              <w:wordWrap/>
              <w:overflowPunct/>
              <w:topLinePunct w:val="0"/>
              <w:autoSpaceDE w:val="0"/>
              <w:autoSpaceDN w:val="0"/>
              <w:bidi w:val="0"/>
              <w:adjustRightInd w:val="0"/>
              <w:snapToGrid w:val="0"/>
              <w:spacing w:before="127" w:line="325" w:lineRule="exact"/>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position w:val="3"/>
                <w:sz w:val="24"/>
                <w:szCs w:val="24"/>
                <w:highlight w:val="none"/>
              </w:rPr>
              <w:t>……</w:t>
            </w:r>
          </w:p>
        </w:tc>
        <w:tc>
          <w:tcPr>
            <w:tcW w:w="2414" w:type="dxa"/>
            <w:vAlign w:val="top"/>
          </w:tcPr>
          <w:p w14:paraId="4BBCF3A9">
            <w:pPr>
              <w:pStyle w:val="163"/>
              <w:keepNext w:val="0"/>
              <w:keepLines w:val="0"/>
              <w:pageBreakBefore w:val="0"/>
              <w:widowControl/>
              <w:kinsoku w:val="0"/>
              <w:wordWrap/>
              <w:overflowPunct/>
              <w:topLinePunct w:val="0"/>
              <w:autoSpaceDE w:val="0"/>
              <w:autoSpaceDN w:val="0"/>
              <w:bidi w:val="0"/>
              <w:adjustRightInd w:val="0"/>
              <w:snapToGrid w:val="0"/>
              <w:spacing w:before="127" w:line="325"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3"/>
                <w:sz w:val="24"/>
                <w:szCs w:val="24"/>
                <w:highlight w:val="none"/>
              </w:rPr>
              <w:t>…………</w:t>
            </w:r>
          </w:p>
        </w:tc>
        <w:tc>
          <w:tcPr>
            <w:tcW w:w="1734" w:type="dxa"/>
            <w:vAlign w:val="top"/>
          </w:tcPr>
          <w:p w14:paraId="78ADD403">
            <w:pPr>
              <w:pStyle w:val="163"/>
              <w:keepNext w:val="0"/>
              <w:keepLines w:val="0"/>
              <w:pageBreakBefore w:val="0"/>
              <w:widowControl/>
              <w:kinsoku w:val="0"/>
              <w:wordWrap/>
              <w:overflowPunct/>
              <w:topLinePunct w:val="0"/>
              <w:autoSpaceDE w:val="0"/>
              <w:autoSpaceDN w:val="0"/>
              <w:bidi w:val="0"/>
              <w:adjustRightInd w:val="0"/>
              <w:snapToGrid w:val="0"/>
              <w:spacing w:before="127" w:line="325"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3"/>
                <w:sz w:val="24"/>
                <w:szCs w:val="24"/>
                <w:highlight w:val="none"/>
              </w:rPr>
              <w:t>…………</w:t>
            </w:r>
          </w:p>
        </w:tc>
        <w:tc>
          <w:tcPr>
            <w:tcW w:w="1887" w:type="dxa"/>
            <w:vAlign w:val="top"/>
          </w:tcPr>
          <w:p w14:paraId="7EB02B86">
            <w:pPr>
              <w:pStyle w:val="163"/>
              <w:keepNext w:val="0"/>
              <w:keepLines w:val="0"/>
              <w:pageBreakBefore w:val="0"/>
              <w:widowControl/>
              <w:kinsoku w:val="0"/>
              <w:wordWrap/>
              <w:overflowPunct/>
              <w:topLinePunct w:val="0"/>
              <w:autoSpaceDE w:val="0"/>
              <w:autoSpaceDN w:val="0"/>
              <w:bidi w:val="0"/>
              <w:adjustRightInd w:val="0"/>
              <w:snapToGrid w:val="0"/>
              <w:spacing w:before="127" w:line="325" w:lineRule="exact"/>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position w:val="3"/>
                <w:sz w:val="24"/>
                <w:szCs w:val="24"/>
                <w:highlight w:val="none"/>
              </w:rPr>
              <w:t>……</w:t>
            </w:r>
          </w:p>
        </w:tc>
        <w:tc>
          <w:tcPr>
            <w:tcW w:w="1892" w:type="dxa"/>
            <w:vAlign w:val="top"/>
          </w:tcPr>
          <w:p w14:paraId="50F425C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7B11163B">
      <w:pPr>
        <w:keepNext w:val="0"/>
        <w:keepLines w:val="0"/>
        <w:pageBreakBefore w:val="0"/>
        <w:widowControl/>
        <w:kinsoku w:val="0"/>
        <w:wordWrap/>
        <w:overflowPunct/>
        <w:topLinePunct w:val="0"/>
        <w:autoSpaceDE w:val="0"/>
        <w:autoSpaceDN w:val="0"/>
        <w:bidi w:val="0"/>
        <w:adjustRightInd w:val="0"/>
        <w:snapToGrid w:val="0"/>
        <w:spacing w:line="264" w:lineRule="auto"/>
        <w:ind w:left="0" w:leftChars="0" w:right="0" w:firstLine="480" w:firstLineChars="200"/>
        <w:textAlignment w:val="baseline"/>
        <w:rPr>
          <w:rFonts w:hint="eastAsia" w:ascii="仿宋" w:hAnsi="仿宋" w:eastAsia="仿宋" w:cs="仿宋"/>
          <w:color w:val="auto"/>
          <w:sz w:val="24"/>
          <w:szCs w:val="24"/>
          <w:highlight w:val="none"/>
        </w:rPr>
      </w:pPr>
    </w:p>
    <w:p w14:paraId="61ACA768">
      <w:pPr>
        <w:keepNext w:val="0"/>
        <w:keepLines w:val="0"/>
        <w:pageBreakBefore w:val="0"/>
        <w:widowControl/>
        <w:kinsoku w:val="0"/>
        <w:wordWrap/>
        <w:overflowPunct/>
        <w:topLinePunct w:val="0"/>
        <w:autoSpaceDE w:val="0"/>
        <w:autoSpaceDN w:val="0"/>
        <w:bidi w:val="0"/>
        <w:adjustRightInd w:val="0"/>
        <w:snapToGrid w:val="0"/>
        <w:spacing w:line="265" w:lineRule="auto"/>
        <w:ind w:left="0" w:leftChars="0" w:right="0" w:firstLine="480" w:firstLineChars="200"/>
        <w:textAlignment w:val="baseline"/>
        <w:rPr>
          <w:rFonts w:hint="eastAsia" w:ascii="仿宋" w:hAnsi="仿宋" w:eastAsia="仿宋" w:cs="仿宋"/>
          <w:color w:val="auto"/>
          <w:sz w:val="24"/>
          <w:szCs w:val="24"/>
          <w:highlight w:val="none"/>
        </w:rPr>
      </w:pPr>
    </w:p>
    <w:p w14:paraId="1C843087">
      <w:pPr>
        <w:pStyle w:val="15"/>
        <w:keepNext w:val="0"/>
        <w:keepLines w:val="0"/>
        <w:pageBreakBefore w:val="0"/>
        <w:widowControl/>
        <w:kinsoku w:val="0"/>
        <w:wordWrap/>
        <w:overflowPunct/>
        <w:topLinePunct w:val="0"/>
        <w:autoSpaceDE w:val="0"/>
        <w:autoSpaceDN w:val="0"/>
        <w:bidi w:val="0"/>
        <w:adjustRightInd w:val="0"/>
        <w:snapToGrid w:val="0"/>
        <w:spacing w:before="65" w:line="433" w:lineRule="auto"/>
        <w:ind w:left="0" w:leftChars="0" w:right="0" w:firstLine="50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注：投标人应按照招标文件</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须知前附表”和</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eastAsia="zh-CN"/>
        </w:rPr>
        <w:t>第三部分</w:t>
      </w:r>
      <w:r>
        <w:rPr>
          <w:rFonts w:hint="eastAsia" w:ascii="仿宋" w:hAnsi="仿宋" w:eastAsia="仿宋" w:cs="仿宋"/>
          <w:color w:val="auto"/>
          <w:spacing w:val="6"/>
          <w:sz w:val="24"/>
          <w:szCs w:val="24"/>
          <w:highlight w:val="none"/>
        </w:rPr>
        <w:t xml:space="preserve"> 采购需</w:t>
      </w:r>
      <w:r>
        <w:rPr>
          <w:rFonts w:hint="eastAsia" w:ascii="仿宋" w:hAnsi="仿宋" w:eastAsia="仿宋" w:cs="仿宋"/>
          <w:color w:val="auto"/>
          <w:spacing w:val="5"/>
          <w:sz w:val="24"/>
          <w:szCs w:val="24"/>
          <w:highlight w:val="none"/>
        </w:rPr>
        <w:t>求”中的商务要求填写，“响应/偏离”应</w:t>
      </w:r>
      <w:r>
        <w:rPr>
          <w:rFonts w:hint="eastAsia" w:ascii="仿宋" w:hAnsi="仿宋" w:eastAsia="仿宋" w:cs="仿宋"/>
          <w:color w:val="auto"/>
          <w:spacing w:val="6"/>
          <w:sz w:val="24"/>
          <w:szCs w:val="24"/>
          <w:highlight w:val="none"/>
        </w:rPr>
        <w:t>据实填写“响应”、“正偏离</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6"/>
          <w:sz w:val="24"/>
          <w:szCs w:val="24"/>
          <w:highlight w:val="none"/>
        </w:rPr>
        <w:t>”或“负偏离”。</w:t>
      </w:r>
    </w:p>
    <w:p w14:paraId="193A6DC5">
      <w:pPr>
        <w:keepNext w:val="0"/>
        <w:keepLines w:val="0"/>
        <w:pageBreakBefore w:val="0"/>
        <w:widowControl/>
        <w:kinsoku w:val="0"/>
        <w:wordWrap/>
        <w:overflowPunct/>
        <w:topLinePunct w:val="0"/>
        <w:autoSpaceDE w:val="0"/>
        <w:autoSpaceDN w:val="0"/>
        <w:bidi w:val="0"/>
        <w:adjustRightInd w:val="0"/>
        <w:snapToGrid w:val="0"/>
        <w:spacing w:line="278" w:lineRule="auto"/>
        <w:ind w:left="0" w:leftChars="0" w:right="0" w:firstLine="480" w:firstLineChars="200"/>
        <w:textAlignment w:val="baseline"/>
        <w:rPr>
          <w:rFonts w:hint="eastAsia" w:ascii="仿宋" w:hAnsi="仿宋" w:eastAsia="仿宋" w:cs="仿宋"/>
          <w:color w:val="auto"/>
          <w:sz w:val="24"/>
          <w:szCs w:val="24"/>
          <w:highlight w:val="none"/>
        </w:rPr>
      </w:pPr>
    </w:p>
    <w:p w14:paraId="06B81C95">
      <w:pPr>
        <w:keepNext w:val="0"/>
        <w:keepLines w:val="0"/>
        <w:pageBreakBefore w:val="0"/>
        <w:widowControl/>
        <w:kinsoku w:val="0"/>
        <w:wordWrap/>
        <w:overflowPunct/>
        <w:topLinePunct w:val="0"/>
        <w:autoSpaceDE w:val="0"/>
        <w:autoSpaceDN w:val="0"/>
        <w:bidi w:val="0"/>
        <w:adjustRightInd w:val="0"/>
        <w:snapToGrid w:val="0"/>
        <w:spacing w:line="278" w:lineRule="auto"/>
        <w:ind w:left="0" w:leftChars="0" w:right="0" w:firstLine="480" w:firstLineChars="200"/>
        <w:textAlignment w:val="baseline"/>
        <w:rPr>
          <w:rFonts w:hint="eastAsia" w:ascii="仿宋" w:hAnsi="仿宋" w:eastAsia="仿宋" w:cs="仿宋"/>
          <w:color w:val="auto"/>
          <w:sz w:val="24"/>
          <w:szCs w:val="24"/>
          <w:highlight w:val="none"/>
        </w:rPr>
      </w:pPr>
    </w:p>
    <w:p w14:paraId="1BC263B4">
      <w:pPr>
        <w:keepNext w:val="0"/>
        <w:keepLines w:val="0"/>
        <w:pageBreakBefore w:val="0"/>
        <w:widowControl/>
        <w:kinsoku w:val="0"/>
        <w:wordWrap/>
        <w:overflowPunct/>
        <w:topLinePunct w:val="0"/>
        <w:autoSpaceDE w:val="0"/>
        <w:autoSpaceDN w:val="0"/>
        <w:bidi w:val="0"/>
        <w:adjustRightInd w:val="0"/>
        <w:snapToGrid w:val="0"/>
        <w:spacing w:line="279" w:lineRule="auto"/>
        <w:ind w:left="0" w:leftChars="0" w:right="0" w:firstLine="480" w:firstLineChars="200"/>
        <w:textAlignment w:val="baseline"/>
        <w:rPr>
          <w:rFonts w:hint="eastAsia" w:ascii="仿宋" w:hAnsi="仿宋" w:eastAsia="仿宋" w:cs="仿宋"/>
          <w:color w:val="auto"/>
          <w:sz w:val="24"/>
          <w:szCs w:val="24"/>
          <w:highlight w:val="none"/>
        </w:rPr>
      </w:pPr>
    </w:p>
    <w:p w14:paraId="4FCA79A1">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投标人名称（公章)：</w:t>
      </w:r>
    </w:p>
    <w:p w14:paraId="2506D2F4">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日      期：</w:t>
      </w:r>
    </w:p>
    <w:p w14:paraId="1DAAD492">
      <w:pPr>
        <w:rPr>
          <w:rFonts w:hint="eastAsia" w:ascii="仿宋" w:hAnsi="仿宋" w:eastAsia="仿宋" w:cs="仿宋"/>
          <w:color w:val="auto"/>
          <w:spacing w:val="-21"/>
          <w:sz w:val="24"/>
          <w:szCs w:val="24"/>
          <w:highlight w:val="none"/>
        </w:rPr>
      </w:pPr>
      <w:r>
        <w:rPr>
          <w:rFonts w:hint="eastAsia" w:ascii="仿宋" w:hAnsi="仿宋" w:eastAsia="仿宋" w:cs="仿宋"/>
          <w:color w:val="auto"/>
          <w:spacing w:val="-21"/>
          <w:sz w:val="24"/>
          <w:szCs w:val="24"/>
          <w:highlight w:val="none"/>
        </w:rPr>
        <w:br w:type="page"/>
      </w:r>
    </w:p>
    <w:bookmarkEnd w:id="137"/>
    <w:bookmarkEnd w:id="138"/>
    <w:bookmarkEnd w:id="139"/>
    <w:bookmarkEnd w:id="140"/>
    <w:p w14:paraId="2E4FC34E">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color w:val="auto"/>
          <w:sz w:val="24"/>
          <w:szCs w:val="24"/>
          <w:highlight w:val="none"/>
        </w:rPr>
      </w:pPr>
      <w:bookmarkStart w:id="145" w:name="_Toc27686"/>
      <w:bookmarkStart w:id="146" w:name="_Toc27676"/>
      <w:r>
        <w:rPr>
          <w:rFonts w:hint="eastAsia" w:ascii="仿宋" w:hAnsi="仿宋" w:eastAsia="仿宋" w:cs="仿宋"/>
          <w:b/>
          <w:bCs/>
          <w:color w:val="auto"/>
          <w:spacing w:val="6"/>
          <w:sz w:val="24"/>
          <w:szCs w:val="24"/>
          <w:highlight w:val="none"/>
        </w:rPr>
        <w:t>七、业绩证明文件</w:t>
      </w:r>
      <w:bookmarkEnd w:id="145"/>
      <w:bookmarkEnd w:id="146"/>
    </w:p>
    <w:p w14:paraId="4648E617">
      <w:pPr>
        <w:keepNext w:val="0"/>
        <w:keepLines w:val="0"/>
        <w:pageBreakBefore w:val="0"/>
        <w:widowControl/>
        <w:kinsoku w:val="0"/>
        <w:wordWrap/>
        <w:overflowPunct/>
        <w:topLinePunct w:val="0"/>
        <w:autoSpaceDE w:val="0"/>
        <w:autoSpaceDN w:val="0"/>
        <w:bidi w:val="0"/>
        <w:adjustRightInd w:val="0"/>
        <w:snapToGrid w:val="0"/>
        <w:spacing w:line="383" w:lineRule="auto"/>
        <w:ind w:left="0" w:leftChars="0" w:right="0" w:firstLine="480" w:firstLineChars="200"/>
        <w:textAlignment w:val="baseline"/>
        <w:rPr>
          <w:rFonts w:hint="eastAsia" w:ascii="仿宋" w:hAnsi="仿宋" w:eastAsia="仿宋" w:cs="仿宋"/>
          <w:color w:val="auto"/>
          <w:sz w:val="24"/>
          <w:szCs w:val="24"/>
          <w:highlight w:val="none"/>
        </w:rPr>
      </w:pPr>
    </w:p>
    <w:p w14:paraId="21CD7D66">
      <w:pPr>
        <w:pStyle w:val="15"/>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1FDAB987">
      <w:pPr>
        <w:pStyle w:val="15"/>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项目编号/包号：</w:t>
      </w:r>
    </w:p>
    <w:p w14:paraId="38A7973F">
      <w:pPr>
        <w:keepNext w:val="0"/>
        <w:keepLines w:val="0"/>
        <w:pageBreakBefore w:val="0"/>
        <w:widowControl/>
        <w:kinsoku w:val="0"/>
        <w:wordWrap/>
        <w:overflowPunct/>
        <w:topLinePunct w:val="0"/>
        <w:autoSpaceDE w:val="0"/>
        <w:autoSpaceDN w:val="0"/>
        <w:bidi w:val="0"/>
        <w:adjustRightInd w:val="0"/>
        <w:snapToGrid w:val="0"/>
        <w:spacing w:line="67" w:lineRule="exact"/>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89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080"/>
        <w:gridCol w:w="1247"/>
        <w:gridCol w:w="1128"/>
        <w:gridCol w:w="1282"/>
        <w:gridCol w:w="1367"/>
        <w:gridCol w:w="960"/>
        <w:gridCol w:w="1180"/>
      </w:tblGrid>
      <w:tr w14:paraId="20D4A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748" w:type="dxa"/>
            <w:vAlign w:val="center"/>
          </w:tcPr>
          <w:p w14:paraId="16EA31E8">
            <w:pPr>
              <w:pStyle w:val="163"/>
              <w:keepNext w:val="0"/>
              <w:keepLines w:val="0"/>
              <w:pageBreakBefore w:val="0"/>
              <w:widowControl/>
              <w:kinsoku w:val="0"/>
              <w:wordWrap/>
              <w:overflowPunct/>
              <w:topLinePunct w:val="0"/>
              <w:autoSpaceDE w:val="0"/>
              <w:autoSpaceDN w:val="0"/>
              <w:bidi w:val="0"/>
              <w:adjustRightInd w:val="0"/>
              <w:snapToGrid w:val="0"/>
              <w:spacing w:before="65" w:line="230"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080" w:type="dxa"/>
            <w:vAlign w:val="center"/>
          </w:tcPr>
          <w:p w14:paraId="242ACF08">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完成时间</w:t>
            </w:r>
          </w:p>
        </w:tc>
        <w:tc>
          <w:tcPr>
            <w:tcW w:w="1247" w:type="dxa"/>
            <w:vAlign w:val="center"/>
          </w:tcPr>
          <w:p w14:paraId="3620CB76">
            <w:pPr>
              <w:pStyle w:val="163"/>
              <w:keepNext w:val="0"/>
              <w:keepLines w:val="0"/>
              <w:pageBreakBefore w:val="0"/>
              <w:widowControl/>
              <w:kinsoku w:val="0"/>
              <w:wordWrap/>
              <w:overflowPunct/>
              <w:topLinePunct w:val="0"/>
              <w:autoSpaceDE w:val="0"/>
              <w:autoSpaceDN w:val="0"/>
              <w:bidi w:val="0"/>
              <w:adjustRightInd w:val="0"/>
              <w:snapToGrid w:val="0"/>
              <w:spacing w:before="65"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项目名称</w:t>
            </w:r>
          </w:p>
        </w:tc>
        <w:tc>
          <w:tcPr>
            <w:tcW w:w="1128" w:type="dxa"/>
            <w:vAlign w:val="center"/>
          </w:tcPr>
          <w:p w14:paraId="6506A499">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标的内容</w:t>
            </w:r>
          </w:p>
        </w:tc>
        <w:tc>
          <w:tcPr>
            <w:tcW w:w="1282" w:type="dxa"/>
            <w:vAlign w:val="center"/>
          </w:tcPr>
          <w:p w14:paraId="04760B89">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采购人名称</w:t>
            </w:r>
          </w:p>
        </w:tc>
        <w:tc>
          <w:tcPr>
            <w:tcW w:w="1367" w:type="dxa"/>
            <w:vAlign w:val="center"/>
          </w:tcPr>
          <w:p w14:paraId="66AD7F1B">
            <w:pPr>
              <w:pStyle w:val="163"/>
              <w:keepNext w:val="0"/>
              <w:keepLines w:val="0"/>
              <w:pageBreakBefore w:val="0"/>
              <w:widowControl/>
              <w:kinsoku w:val="0"/>
              <w:wordWrap/>
              <w:overflowPunct/>
              <w:topLinePunct w:val="0"/>
              <w:autoSpaceDE w:val="0"/>
              <w:autoSpaceDN w:val="0"/>
              <w:bidi w:val="0"/>
              <w:adjustRightInd w:val="0"/>
              <w:snapToGrid w:val="0"/>
              <w:spacing w:before="133"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中标（成交）金额</w:t>
            </w:r>
          </w:p>
        </w:tc>
        <w:tc>
          <w:tcPr>
            <w:tcW w:w="960" w:type="dxa"/>
            <w:vAlign w:val="center"/>
          </w:tcPr>
          <w:p w14:paraId="405E8AE9">
            <w:pPr>
              <w:pStyle w:val="163"/>
              <w:keepNext w:val="0"/>
              <w:keepLines w:val="0"/>
              <w:pageBreakBefore w:val="0"/>
              <w:widowControl/>
              <w:kinsoku w:val="0"/>
              <w:wordWrap/>
              <w:overflowPunct/>
              <w:topLinePunct w:val="0"/>
              <w:autoSpaceDE w:val="0"/>
              <w:autoSpaceDN w:val="0"/>
              <w:bidi w:val="0"/>
              <w:adjustRightInd w:val="0"/>
              <w:snapToGrid w:val="0"/>
              <w:spacing w:before="65" w:line="231"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联系人</w:t>
            </w:r>
          </w:p>
        </w:tc>
        <w:tc>
          <w:tcPr>
            <w:tcW w:w="1180" w:type="dxa"/>
            <w:vAlign w:val="center"/>
          </w:tcPr>
          <w:p w14:paraId="255B00B2">
            <w:pPr>
              <w:pStyle w:val="163"/>
              <w:keepNext w:val="0"/>
              <w:keepLines w:val="0"/>
              <w:pageBreakBefore w:val="0"/>
              <w:widowControl/>
              <w:kinsoku w:val="0"/>
              <w:wordWrap/>
              <w:overflowPunct/>
              <w:topLinePunct w:val="0"/>
              <w:autoSpaceDE w:val="0"/>
              <w:autoSpaceDN w:val="0"/>
              <w:bidi w:val="0"/>
              <w:adjustRightInd w:val="0"/>
              <w:snapToGrid w:val="0"/>
              <w:spacing w:before="65" w:line="231"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联系电话</w:t>
            </w:r>
          </w:p>
        </w:tc>
      </w:tr>
      <w:tr w14:paraId="56749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8" w:type="dxa"/>
            <w:vAlign w:val="top"/>
          </w:tcPr>
          <w:p w14:paraId="7A8A1AF3">
            <w:pPr>
              <w:pStyle w:val="163"/>
              <w:keepNext w:val="0"/>
              <w:keepLines w:val="0"/>
              <w:pageBreakBefore w:val="0"/>
              <w:widowControl/>
              <w:kinsoku w:val="0"/>
              <w:wordWrap/>
              <w:overflowPunct/>
              <w:topLinePunct w:val="0"/>
              <w:autoSpaceDE w:val="0"/>
              <w:autoSpaceDN w:val="0"/>
              <w:bidi w:val="0"/>
              <w:adjustRightInd w:val="0"/>
              <w:snapToGrid w:val="0"/>
              <w:spacing w:before="232" w:line="270"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1</w:t>
            </w:r>
          </w:p>
        </w:tc>
        <w:tc>
          <w:tcPr>
            <w:tcW w:w="1080" w:type="dxa"/>
            <w:vAlign w:val="top"/>
          </w:tcPr>
          <w:p w14:paraId="3F56C6F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6300DB5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0F9998D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142FD17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1D1D47C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11B270C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1FA9274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05CB2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748" w:type="dxa"/>
            <w:vAlign w:val="top"/>
          </w:tcPr>
          <w:p w14:paraId="7A887A96">
            <w:pPr>
              <w:pStyle w:val="163"/>
              <w:keepNext w:val="0"/>
              <w:keepLines w:val="0"/>
              <w:pageBreakBefore w:val="0"/>
              <w:widowControl/>
              <w:kinsoku w:val="0"/>
              <w:wordWrap/>
              <w:overflowPunct/>
              <w:topLinePunct w:val="0"/>
              <w:autoSpaceDE w:val="0"/>
              <w:autoSpaceDN w:val="0"/>
              <w:bidi w:val="0"/>
              <w:adjustRightInd w:val="0"/>
              <w:snapToGrid w:val="0"/>
              <w:spacing w:before="231"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2</w:t>
            </w:r>
          </w:p>
        </w:tc>
        <w:tc>
          <w:tcPr>
            <w:tcW w:w="1080" w:type="dxa"/>
            <w:vAlign w:val="top"/>
          </w:tcPr>
          <w:p w14:paraId="6D95B01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7486CA1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448775C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6FEE9CC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33AE3D9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1082B3B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63D2533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0AE18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8" w:type="dxa"/>
            <w:vAlign w:val="top"/>
          </w:tcPr>
          <w:p w14:paraId="46369BC4">
            <w:pPr>
              <w:pStyle w:val="163"/>
              <w:keepNext w:val="0"/>
              <w:keepLines w:val="0"/>
              <w:pageBreakBefore w:val="0"/>
              <w:widowControl/>
              <w:kinsoku w:val="0"/>
              <w:wordWrap/>
              <w:overflowPunct/>
              <w:topLinePunct w:val="0"/>
              <w:autoSpaceDE w:val="0"/>
              <w:autoSpaceDN w:val="0"/>
              <w:bidi w:val="0"/>
              <w:adjustRightInd w:val="0"/>
              <w:snapToGrid w:val="0"/>
              <w:spacing w:before="231" w:line="270"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3</w:t>
            </w:r>
          </w:p>
        </w:tc>
        <w:tc>
          <w:tcPr>
            <w:tcW w:w="1080" w:type="dxa"/>
            <w:vAlign w:val="top"/>
          </w:tcPr>
          <w:p w14:paraId="55FD470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242DF27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624C4FD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539923F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763ADE6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1D84615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26025D8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4360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8" w:type="dxa"/>
            <w:vAlign w:val="top"/>
          </w:tcPr>
          <w:p w14:paraId="45B20F40">
            <w:pPr>
              <w:pStyle w:val="163"/>
              <w:keepNext w:val="0"/>
              <w:keepLines w:val="0"/>
              <w:pageBreakBefore w:val="0"/>
              <w:widowControl/>
              <w:kinsoku w:val="0"/>
              <w:wordWrap/>
              <w:overflowPunct/>
              <w:topLinePunct w:val="0"/>
              <w:autoSpaceDE w:val="0"/>
              <w:autoSpaceDN w:val="0"/>
              <w:bidi w:val="0"/>
              <w:adjustRightInd w:val="0"/>
              <w:snapToGrid w:val="0"/>
              <w:spacing w:before="233"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4</w:t>
            </w:r>
          </w:p>
        </w:tc>
        <w:tc>
          <w:tcPr>
            <w:tcW w:w="1080" w:type="dxa"/>
            <w:vAlign w:val="top"/>
          </w:tcPr>
          <w:p w14:paraId="1DEF767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527A998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47677D3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23C9D37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5A7075A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2F5F481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37E2BAD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C9CC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8" w:type="dxa"/>
            <w:vAlign w:val="top"/>
          </w:tcPr>
          <w:p w14:paraId="248F9328">
            <w:pPr>
              <w:pStyle w:val="163"/>
              <w:keepNext w:val="0"/>
              <w:keepLines w:val="0"/>
              <w:pageBreakBefore w:val="0"/>
              <w:widowControl/>
              <w:kinsoku w:val="0"/>
              <w:wordWrap/>
              <w:overflowPunct/>
              <w:topLinePunct w:val="0"/>
              <w:autoSpaceDE w:val="0"/>
              <w:autoSpaceDN w:val="0"/>
              <w:bidi w:val="0"/>
              <w:adjustRightInd w:val="0"/>
              <w:snapToGrid w:val="0"/>
              <w:spacing w:before="235"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5</w:t>
            </w:r>
          </w:p>
        </w:tc>
        <w:tc>
          <w:tcPr>
            <w:tcW w:w="1080" w:type="dxa"/>
            <w:vAlign w:val="top"/>
          </w:tcPr>
          <w:p w14:paraId="03FDF71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572E372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13B2DBC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6A4896D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5C86845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0194766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00868F9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56B7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748" w:type="dxa"/>
            <w:vAlign w:val="top"/>
          </w:tcPr>
          <w:p w14:paraId="38A1A84B">
            <w:pPr>
              <w:pStyle w:val="163"/>
              <w:keepNext w:val="0"/>
              <w:keepLines w:val="0"/>
              <w:pageBreakBefore w:val="0"/>
              <w:widowControl/>
              <w:kinsoku w:val="0"/>
              <w:wordWrap/>
              <w:overflowPunct/>
              <w:topLinePunct w:val="0"/>
              <w:autoSpaceDE w:val="0"/>
              <w:autoSpaceDN w:val="0"/>
              <w:bidi w:val="0"/>
              <w:adjustRightInd w:val="0"/>
              <w:snapToGrid w:val="0"/>
              <w:spacing w:before="241" w:line="325" w:lineRule="exact"/>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w:t>
            </w:r>
          </w:p>
        </w:tc>
        <w:tc>
          <w:tcPr>
            <w:tcW w:w="1080" w:type="dxa"/>
            <w:vAlign w:val="top"/>
          </w:tcPr>
          <w:p w14:paraId="62E67FB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47" w:type="dxa"/>
            <w:vAlign w:val="top"/>
          </w:tcPr>
          <w:p w14:paraId="7FC2A9C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6B9DBA1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543B0D3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2394ECB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5149A3E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45F0290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140559A3">
      <w:pPr>
        <w:keepNext w:val="0"/>
        <w:keepLines w:val="0"/>
        <w:pageBreakBefore w:val="0"/>
        <w:widowControl/>
        <w:kinsoku w:val="0"/>
        <w:wordWrap/>
        <w:overflowPunct/>
        <w:topLinePunct w:val="0"/>
        <w:autoSpaceDE w:val="0"/>
        <w:autoSpaceDN w:val="0"/>
        <w:bidi w:val="0"/>
        <w:adjustRightInd w:val="0"/>
        <w:snapToGrid w:val="0"/>
        <w:spacing w:line="264" w:lineRule="auto"/>
        <w:ind w:left="0" w:leftChars="0" w:right="0" w:firstLine="480" w:firstLineChars="200"/>
        <w:textAlignment w:val="baseline"/>
        <w:rPr>
          <w:rFonts w:hint="eastAsia" w:ascii="仿宋" w:hAnsi="仿宋" w:eastAsia="仿宋" w:cs="仿宋"/>
          <w:color w:val="auto"/>
          <w:sz w:val="24"/>
          <w:szCs w:val="24"/>
          <w:highlight w:val="none"/>
        </w:rPr>
      </w:pPr>
    </w:p>
    <w:p w14:paraId="551F3905">
      <w:pPr>
        <w:keepNext w:val="0"/>
        <w:keepLines w:val="0"/>
        <w:pageBreakBefore w:val="0"/>
        <w:widowControl/>
        <w:kinsoku w:val="0"/>
        <w:wordWrap/>
        <w:overflowPunct/>
        <w:topLinePunct w:val="0"/>
        <w:autoSpaceDE w:val="0"/>
        <w:autoSpaceDN w:val="0"/>
        <w:bidi w:val="0"/>
        <w:adjustRightInd w:val="0"/>
        <w:snapToGrid w:val="0"/>
        <w:spacing w:line="265" w:lineRule="auto"/>
        <w:ind w:left="0" w:leftChars="0" w:right="0" w:firstLine="480" w:firstLineChars="200"/>
        <w:textAlignment w:val="baseline"/>
        <w:rPr>
          <w:rFonts w:hint="eastAsia" w:ascii="仿宋" w:hAnsi="仿宋" w:eastAsia="仿宋" w:cs="仿宋"/>
          <w:color w:val="auto"/>
          <w:sz w:val="24"/>
          <w:szCs w:val="24"/>
          <w:highlight w:val="none"/>
        </w:rPr>
      </w:pPr>
    </w:p>
    <w:p w14:paraId="3D2733F5">
      <w:pPr>
        <w:keepNext w:val="0"/>
        <w:keepLines w:val="0"/>
        <w:pageBreakBefore w:val="0"/>
        <w:widowControl/>
        <w:kinsoku w:val="0"/>
        <w:wordWrap/>
        <w:overflowPunct/>
        <w:topLinePunct w:val="0"/>
        <w:autoSpaceDE w:val="0"/>
        <w:autoSpaceDN w:val="0"/>
        <w:bidi w:val="0"/>
        <w:adjustRightInd w:val="0"/>
        <w:snapToGrid w:val="0"/>
        <w:spacing w:line="287" w:lineRule="auto"/>
        <w:ind w:left="0" w:leftChars="0" w:right="0" w:firstLine="480" w:firstLineChars="200"/>
        <w:textAlignment w:val="baseline"/>
        <w:rPr>
          <w:rFonts w:hint="eastAsia" w:ascii="仿宋" w:hAnsi="仿宋" w:eastAsia="仿宋" w:cs="仿宋"/>
          <w:color w:val="auto"/>
          <w:sz w:val="24"/>
          <w:szCs w:val="24"/>
          <w:highlight w:val="none"/>
        </w:rPr>
      </w:pPr>
    </w:p>
    <w:p w14:paraId="5B032135">
      <w:pPr>
        <w:keepNext w:val="0"/>
        <w:keepLines w:val="0"/>
        <w:pageBreakBefore w:val="0"/>
        <w:widowControl/>
        <w:kinsoku w:val="0"/>
        <w:wordWrap/>
        <w:overflowPunct/>
        <w:topLinePunct w:val="0"/>
        <w:autoSpaceDE w:val="0"/>
        <w:autoSpaceDN w:val="0"/>
        <w:bidi w:val="0"/>
        <w:adjustRightInd w:val="0"/>
        <w:snapToGrid w:val="0"/>
        <w:spacing w:line="287" w:lineRule="auto"/>
        <w:ind w:left="0" w:leftChars="0" w:right="0" w:firstLine="480" w:firstLineChars="200"/>
        <w:textAlignment w:val="baseline"/>
        <w:rPr>
          <w:rFonts w:hint="eastAsia" w:ascii="仿宋" w:hAnsi="仿宋" w:eastAsia="仿宋" w:cs="仿宋"/>
          <w:color w:val="auto"/>
          <w:sz w:val="24"/>
          <w:szCs w:val="24"/>
          <w:highlight w:val="none"/>
        </w:rPr>
      </w:pPr>
    </w:p>
    <w:p w14:paraId="680178D4">
      <w:pPr>
        <w:keepNext w:val="0"/>
        <w:keepLines w:val="0"/>
        <w:pageBreakBefore w:val="0"/>
        <w:widowControl/>
        <w:kinsoku w:val="0"/>
        <w:wordWrap/>
        <w:overflowPunct/>
        <w:topLinePunct w:val="0"/>
        <w:autoSpaceDE w:val="0"/>
        <w:autoSpaceDN w:val="0"/>
        <w:bidi w:val="0"/>
        <w:adjustRightInd w:val="0"/>
        <w:snapToGrid w:val="0"/>
        <w:spacing w:line="287" w:lineRule="auto"/>
        <w:ind w:left="0" w:leftChars="0" w:right="0" w:firstLine="480" w:firstLineChars="200"/>
        <w:textAlignment w:val="baseline"/>
        <w:rPr>
          <w:rFonts w:hint="eastAsia" w:ascii="仿宋" w:hAnsi="仿宋" w:eastAsia="仿宋" w:cs="仿宋"/>
          <w:color w:val="auto"/>
          <w:sz w:val="24"/>
          <w:szCs w:val="24"/>
          <w:highlight w:val="none"/>
        </w:rPr>
      </w:pPr>
    </w:p>
    <w:p w14:paraId="54A35F5D">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480" w:firstLineChars="200"/>
        <w:textAlignment w:val="baseline"/>
        <w:rPr>
          <w:rFonts w:hint="eastAsia" w:ascii="仿宋" w:hAnsi="仿宋" w:eastAsia="仿宋" w:cs="仿宋"/>
          <w:color w:val="auto"/>
          <w:sz w:val="24"/>
          <w:szCs w:val="24"/>
          <w:highlight w:val="none"/>
        </w:rPr>
      </w:pPr>
    </w:p>
    <w:p w14:paraId="3AD862D5">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4DD2CC92">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日      期：</w:t>
      </w:r>
      <w:bookmarkStart w:id="147" w:name="_Toc23964"/>
    </w:p>
    <w:p w14:paraId="66E18EF7">
      <w:pPr>
        <w:rPr>
          <w:rFonts w:hint="eastAsia" w:ascii="仿宋" w:hAnsi="仿宋" w:eastAsia="仿宋" w:cs="仿宋"/>
          <w:color w:val="auto"/>
          <w:spacing w:val="-21"/>
          <w:sz w:val="24"/>
          <w:szCs w:val="24"/>
          <w:highlight w:val="none"/>
        </w:rPr>
      </w:pPr>
      <w:r>
        <w:rPr>
          <w:rFonts w:hint="eastAsia" w:ascii="仿宋" w:hAnsi="仿宋" w:eastAsia="仿宋" w:cs="仿宋"/>
          <w:color w:val="auto"/>
          <w:spacing w:val="-21"/>
          <w:sz w:val="24"/>
          <w:szCs w:val="24"/>
          <w:highlight w:val="none"/>
        </w:rPr>
        <w:br w:type="page"/>
      </w:r>
    </w:p>
    <w:p w14:paraId="6F2C286C">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color w:val="auto"/>
          <w:sz w:val="24"/>
          <w:szCs w:val="24"/>
          <w:highlight w:val="none"/>
        </w:rPr>
      </w:pPr>
      <w:bookmarkStart w:id="148" w:name="_Toc6339"/>
      <w:r>
        <w:rPr>
          <w:rFonts w:hint="eastAsia" w:ascii="仿宋" w:hAnsi="仿宋" w:eastAsia="仿宋" w:cs="仿宋"/>
          <w:b/>
          <w:bCs/>
          <w:color w:val="auto"/>
          <w:spacing w:val="5"/>
          <w:sz w:val="24"/>
          <w:szCs w:val="24"/>
          <w:highlight w:val="none"/>
        </w:rPr>
        <w:t>八、拟派项目团队</w:t>
      </w:r>
      <w:bookmarkEnd w:id="147"/>
      <w:bookmarkEnd w:id="148"/>
    </w:p>
    <w:p w14:paraId="44B1B70F">
      <w:pPr>
        <w:keepNext w:val="0"/>
        <w:keepLines w:val="0"/>
        <w:pageBreakBefore w:val="0"/>
        <w:widowControl/>
        <w:kinsoku w:val="0"/>
        <w:wordWrap/>
        <w:overflowPunct/>
        <w:topLinePunct w:val="0"/>
        <w:autoSpaceDE w:val="0"/>
        <w:autoSpaceDN w:val="0"/>
        <w:bidi w:val="0"/>
        <w:adjustRightInd w:val="0"/>
        <w:snapToGrid w:val="0"/>
        <w:spacing w:before="111"/>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90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44"/>
        <w:gridCol w:w="1273"/>
        <w:gridCol w:w="1061"/>
        <w:gridCol w:w="790"/>
        <w:gridCol w:w="1827"/>
        <w:gridCol w:w="1331"/>
        <w:gridCol w:w="805"/>
      </w:tblGrid>
      <w:tr w14:paraId="3668B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764" w:type="dxa"/>
            <w:vAlign w:val="center"/>
          </w:tcPr>
          <w:p w14:paraId="67A1464A">
            <w:pPr>
              <w:pStyle w:val="163"/>
              <w:keepNext w:val="0"/>
              <w:keepLines w:val="0"/>
              <w:pageBreakBefore w:val="0"/>
              <w:widowControl/>
              <w:kinsoku w:val="0"/>
              <w:wordWrap/>
              <w:overflowPunct/>
              <w:topLinePunct w:val="0"/>
              <w:autoSpaceDE w:val="0"/>
              <w:autoSpaceDN w:val="0"/>
              <w:bidi w:val="0"/>
              <w:adjustRightInd w:val="0"/>
              <w:snapToGrid w:val="0"/>
              <w:spacing w:before="271" w:line="230"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244" w:type="dxa"/>
            <w:vAlign w:val="center"/>
          </w:tcPr>
          <w:p w14:paraId="533AD94E">
            <w:pPr>
              <w:pStyle w:val="163"/>
              <w:keepNext w:val="0"/>
              <w:keepLines w:val="0"/>
              <w:pageBreakBefore w:val="0"/>
              <w:widowControl/>
              <w:kinsoku w:val="0"/>
              <w:wordWrap/>
              <w:overflowPunct/>
              <w:topLinePunct w:val="0"/>
              <w:autoSpaceDE w:val="0"/>
              <w:autoSpaceDN w:val="0"/>
              <w:bidi w:val="0"/>
              <w:adjustRightInd w:val="0"/>
              <w:snapToGrid w:val="0"/>
              <w:spacing w:before="116" w:line="28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团队成</w:t>
            </w:r>
            <w:r>
              <w:rPr>
                <w:rFonts w:hint="eastAsia" w:ascii="仿宋" w:hAnsi="仿宋" w:eastAsia="仿宋" w:cs="仿宋"/>
                <w:color w:val="auto"/>
                <w:spacing w:val="2"/>
                <w:sz w:val="24"/>
                <w:szCs w:val="24"/>
                <w:highlight w:val="none"/>
                <w:lang w:val="en-US" w:eastAsia="zh-CN"/>
              </w:rPr>
              <w:t>员</w:t>
            </w:r>
            <w:r>
              <w:rPr>
                <w:rFonts w:hint="eastAsia" w:ascii="仿宋" w:hAnsi="仿宋" w:eastAsia="仿宋" w:cs="仿宋"/>
                <w:color w:val="auto"/>
                <w:spacing w:val="4"/>
                <w:sz w:val="24"/>
                <w:szCs w:val="24"/>
                <w:highlight w:val="none"/>
              </w:rPr>
              <w:t>姓名</w:t>
            </w:r>
          </w:p>
        </w:tc>
        <w:tc>
          <w:tcPr>
            <w:tcW w:w="1273" w:type="dxa"/>
            <w:vAlign w:val="center"/>
          </w:tcPr>
          <w:p w14:paraId="3DDCA9D6">
            <w:pPr>
              <w:pStyle w:val="163"/>
              <w:keepNext w:val="0"/>
              <w:keepLines w:val="0"/>
              <w:pageBreakBefore w:val="0"/>
              <w:widowControl/>
              <w:kinsoku w:val="0"/>
              <w:wordWrap/>
              <w:overflowPunct/>
              <w:topLinePunct w:val="0"/>
              <w:autoSpaceDE w:val="0"/>
              <w:autoSpaceDN w:val="0"/>
              <w:bidi w:val="0"/>
              <w:adjustRightInd w:val="0"/>
              <w:snapToGrid w:val="0"/>
              <w:spacing w:before="271"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工作单位</w:t>
            </w:r>
          </w:p>
        </w:tc>
        <w:tc>
          <w:tcPr>
            <w:tcW w:w="1061" w:type="dxa"/>
            <w:vAlign w:val="center"/>
          </w:tcPr>
          <w:p w14:paraId="59AEB868">
            <w:pPr>
              <w:pStyle w:val="163"/>
              <w:keepNext w:val="0"/>
              <w:keepLines w:val="0"/>
              <w:pageBreakBefore w:val="0"/>
              <w:widowControl/>
              <w:kinsoku w:val="0"/>
              <w:wordWrap/>
              <w:overflowPunct/>
              <w:topLinePunct w:val="0"/>
              <w:autoSpaceDE w:val="0"/>
              <w:autoSpaceDN w:val="0"/>
              <w:bidi w:val="0"/>
              <w:adjustRightInd w:val="0"/>
              <w:snapToGrid w:val="0"/>
              <w:spacing w:before="272"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身份证号</w:t>
            </w:r>
          </w:p>
        </w:tc>
        <w:tc>
          <w:tcPr>
            <w:tcW w:w="790" w:type="dxa"/>
            <w:vAlign w:val="center"/>
          </w:tcPr>
          <w:p w14:paraId="34BC79DE">
            <w:pPr>
              <w:pStyle w:val="163"/>
              <w:keepNext w:val="0"/>
              <w:keepLines w:val="0"/>
              <w:pageBreakBefore w:val="0"/>
              <w:widowControl/>
              <w:kinsoku w:val="0"/>
              <w:wordWrap/>
              <w:overflowPunct/>
              <w:topLinePunct w:val="0"/>
              <w:autoSpaceDE w:val="0"/>
              <w:autoSpaceDN w:val="0"/>
              <w:bidi w:val="0"/>
              <w:adjustRightInd w:val="0"/>
              <w:snapToGrid w:val="0"/>
              <w:spacing w:before="271" w:line="231"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职称</w:t>
            </w:r>
          </w:p>
        </w:tc>
        <w:tc>
          <w:tcPr>
            <w:tcW w:w="1827" w:type="dxa"/>
            <w:vAlign w:val="center"/>
          </w:tcPr>
          <w:p w14:paraId="7C578C21">
            <w:pPr>
              <w:pStyle w:val="163"/>
              <w:keepNext w:val="0"/>
              <w:keepLines w:val="0"/>
              <w:pageBreakBefore w:val="0"/>
              <w:widowControl/>
              <w:kinsoku w:val="0"/>
              <w:wordWrap/>
              <w:overflowPunct/>
              <w:topLinePunct w:val="0"/>
              <w:autoSpaceDE w:val="0"/>
              <w:autoSpaceDN w:val="0"/>
              <w:bidi w:val="0"/>
              <w:adjustRightInd w:val="0"/>
              <w:snapToGrid w:val="0"/>
              <w:spacing w:before="115" w:line="28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注册证书（岗位证</w:t>
            </w:r>
            <w:r>
              <w:rPr>
                <w:rFonts w:hint="eastAsia" w:ascii="仿宋" w:hAnsi="仿宋" w:eastAsia="仿宋" w:cs="仿宋"/>
                <w:color w:val="auto"/>
                <w:spacing w:val="8"/>
                <w:sz w:val="24"/>
                <w:szCs w:val="24"/>
                <w:highlight w:val="none"/>
              </w:rPr>
              <w:t>书）名称及编号</w:t>
            </w:r>
          </w:p>
        </w:tc>
        <w:tc>
          <w:tcPr>
            <w:tcW w:w="1331" w:type="dxa"/>
            <w:vAlign w:val="center"/>
          </w:tcPr>
          <w:p w14:paraId="02E3E85A">
            <w:pPr>
              <w:pStyle w:val="163"/>
              <w:keepNext w:val="0"/>
              <w:keepLines w:val="0"/>
              <w:pageBreakBefore w:val="0"/>
              <w:widowControl/>
              <w:kinsoku w:val="0"/>
              <w:wordWrap/>
              <w:overflowPunct/>
              <w:topLinePunct w:val="0"/>
              <w:autoSpaceDE w:val="0"/>
              <w:autoSpaceDN w:val="0"/>
              <w:bidi w:val="0"/>
              <w:adjustRightInd w:val="0"/>
              <w:snapToGrid w:val="0"/>
              <w:spacing w:before="115"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在团队中职</w:t>
            </w:r>
          </w:p>
          <w:p w14:paraId="1AF31F5E">
            <w:pPr>
              <w:pStyle w:val="163"/>
              <w:keepNext w:val="0"/>
              <w:keepLines w:val="0"/>
              <w:pageBreakBefore w:val="0"/>
              <w:widowControl/>
              <w:kinsoku w:val="0"/>
              <w:wordWrap/>
              <w:overflowPunct/>
              <w:topLinePunct w:val="0"/>
              <w:autoSpaceDE w:val="0"/>
              <w:autoSpaceDN w:val="0"/>
              <w:bidi w:val="0"/>
              <w:adjustRightInd w:val="0"/>
              <w:snapToGrid w:val="0"/>
              <w:spacing w:before="64"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务（岗位）</w:t>
            </w:r>
          </w:p>
        </w:tc>
        <w:tc>
          <w:tcPr>
            <w:tcW w:w="805" w:type="dxa"/>
            <w:vAlign w:val="center"/>
          </w:tcPr>
          <w:p w14:paraId="7C89AA11">
            <w:pPr>
              <w:pStyle w:val="163"/>
              <w:keepNext w:val="0"/>
              <w:keepLines w:val="0"/>
              <w:pageBreakBefore w:val="0"/>
              <w:widowControl/>
              <w:kinsoku w:val="0"/>
              <w:wordWrap/>
              <w:overflowPunct/>
              <w:topLinePunct w:val="0"/>
              <w:autoSpaceDE w:val="0"/>
              <w:autoSpaceDN w:val="0"/>
              <w:bidi w:val="0"/>
              <w:adjustRightInd w:val="0"/>
              <w:snapToGrid w:val="0"/>
              <w:spacing w:before="114" w:line="290"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自有/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外聘</w:t>
            </w:r>
          </w:p>
        </w:tc>
      </w:tr>
      <w:tr w14:paraId="25F88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4" w:type="dxa"/>
            <w:vAlign w:val="top"/>
          </w:tcPr>
          <w:p w14:paraId="62816ADA">
            <w:pPr>
              <w:pStyle w:val="163"/>
              <w:keepNext w:val="0"/>
              <w:keepLines w:val="0"/>
              <w:pageBreakBefore w:val="0"/>
              <w:widowControl/>
              <w:kinsoku w:val="0"/>
              <w:wordWrap/>
              <w:overflowPunct/>
              <w:topLinePunct w:val="0"/>
              <w:autoSpaceDE w:val="0"/>
              <w:autoSpaceDN w:val="0"/>
              <w:bidi w:val="0"/>
              <w:adjustRightInd w:val="0"/>
              <w:snapToGrid w:val="0"/>
              <w:spacing w:before="233"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1</w:t>
            </w:r>
          </w:p>
        </w:tc>
        <w:tc>
          <w:tcPr>
            <w:tcW w:w="1244" w:type="dxa"/>
            <w:vAlign w:val="top"/>
          </w:tcPr>
          <w:p w14:paraId="05EE805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149BADD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378D5F3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682C34A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3E9B326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4262AC7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342937F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6E70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4" w:type="dxa"/>
            <w:vAlign w:val="top"/>
          </w:tcPr>
          <w:p w14:paraId="3AF9E40B">
            <w:pPr>
              <w:pStyle w:val="163"/>
              <w:keepNext w:val="0"/>
              <w:keepLines w:val="0"/>
              <w:pageBreakBefore w:val="0"/>
              <w:widowControl/>
              <w:kinsoku w:val="0"/>
              <w:wordWrap/>
              <w:overflowPunct/>
              <w:topLinePunct w:val="0"/>
              <w:autoSpaceDE w:val="0"/>
              <w:autoSpaceDN w:val="0"/>
              <w:bidi w:val="0"/>
              <w:adjustRightInd w:val="0"/>
              <w:snapToGrid w:val="0"/>
              <w:spacing w:before="236"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2</w:t>
            </w:r>
          </w:p>
        </w:tc>
        <w:tc>
          <w:tcPr>
            <w:tcW w:w="1244" w:type="dxa"/>
            <w:vAlign w:val="top"/>
          </w:tcPr>
          <w:p w14:paraId="727EAE2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1E2B020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197EEBD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753EE14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5E010A1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1341B6B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1126D14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A321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1BACA271">
            <w:pPr>
              <w:pStyle w:val="163"/>
              <w:keepNext w:val="0"/>
              <w:keepLines w:val="0"/>
              <w:pageBreakBefore w:val="0"/>
              <w:widowControl/>
              <w:kinsoku w:val="0"/>
              <w:wordWrap/>
              <w:overflowPunct/>
              <w:topLinePunct w:val="0"/>
              <w:autoSpaceDE w:val="0"/>
              <w:autoSpaceDN w:val="0"/>
              <w:bidi w:val="0"/>
              <w:adjustRightInd w:val="0"/>
              <w:snapToGrid w:val="0"/>
              <w:spacing w:before="236" w:line="270"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3</w:t>
            </w:r>
          </w:p>
        </w:tc>
        <w:tc>
          <w:tcPr>
            <w:tcW w:w="1244" w:type="dxa"/>
            <w:vAlign w:val="top"/>
          </w:tcPr>
          <w:p w14:paraId="40B327B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79B03F3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67D7CC0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0953B90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37D80A0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312A8F0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4C09641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7909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67CB827C">
            <w:pPr>
              <w:pStyle w:val="163"/>
              <w:keepNext w:val="0"/>
              <w:keepLines w:val="0"/>
              <w:pageBreakBefore w:val="0"/>
              <w:widowControl/>
              <w:kinsoku w:val="0"/>
              <w:wordWrap/>
              <w:overflowPunct/>
              <w:topLinePunct w:val="0"/>
              <w:autoSpaceDE w:val="0"/>
              <w:autoSpaceDN w:val="0"/>
              <w:bidi w:val="0"/>
              <w:adjustRightInd w:val="0"/>
              <w:snapToGrid w:val="0"/>
              <w:spacing w:before="236"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4</w:t>
            </w:r>
          </w:p>
        </w:tc>
        <w:tc>
          <w:tcPr>
            <w:tcW w:w="1244" w:type="dxa"/>
            <w:vAlign w:val="top"/>
          </w:tcPr>
          <w:p w14:paraId="3EA753F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1241A15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56922A0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333E900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7E1DE62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3E75226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4BDE5F3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9F24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4" w:type="dxa"/>
            <w:vAlign w:val="top"/>
          </w:tcPr>
          <w:p w14:paraId="5286B7FB">
            <w:pPr>
              <w:pStyle w:val="163"/>
              <w:keepNext w:val="0"/>
              <w:keepLines w:val="0"/>
              <w:pageBreakBefore w:val="0"/>
              <w:widowControl/>
              <w:kinsoku w:val="0"/>
              <w:wordWrap/>
              <w:overflowPunct/>
              <w:topLinePunct w:val="0"/>
              <w:autoSpaceDE w:val="0"/>
              <w:autoSpaceDN w:val="0"/>
              <w:bidi w:val="0"/>
              <w:adjustRightInd w:val="0"/>
              <w:snapToGrid w:val="0"/>
              <w:spacing w:before="235"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5</w:t>
            </w:r>
          </w:p>
        </w:tc>
        <w:tc>
          <w:tcPr>
            <w:tcW w:w="1244" w:type="dxa"/>
            <w:vAlign w:val="top"/>
          </w:tcPr>
          <w:p w14:paraId="6E44F71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6225BEA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42F4B0F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47D6055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70C5F11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4622489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5B51C68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02B7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1452B705">
            <w:pPr>
              <w:pStyle w:val="163"/>
              <w:keepNext w:val="0"/>
              <w:keepLines w:val="0"/>
              <w:pageBreakBefore w:val="0"/>
              <w:widowControl/>
              <w:kinsoku w:val="0"/>
              <w:wordWrap/>
              <w:overflowPunct/>
              <w:topLinePunct w:val="0"/>
              <w:autoSpaceDE w:val="0"/>
              <w:autoSpaceDN w:val="0"/>
              <w:bidi w:val="0"/>
              <w:adjustRightInd w:val="0"/>
              <w:snapToGrid w:val="0"/>
              <w:spacing w:before="238"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6</w:t>
            </w:r>
          </w:p>
        </w:tc>
        <w:tc>
          <w:tcPr>
            <w:tcW w:w="1244" w:type="dxa"/>
            <w:vAlign w:val="top"/>
          </w:tcPr>
          <w:p w14:paraId="1D98BB8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5C445F5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5E6BA91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3AB5E6D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025E1BC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50C4266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5CAB0AA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EE35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4" w:type="dxa"/>
            <w:vAlign w:val="top"/>
          </w:tcPr>
          <w:p w14:paraId="7CA8D818">
            <w:pPr>
              <w:pStyle w:val="163"/>
              <w:keepNext w:val="0"/>
              <w:keepLines w:val="0"/>
              <w:pageBreakBefore w:val="0"/>
              <w:widowControl/>
              <w:kinsoku w:val="0"/>
              <w:wordWrap/>
              <w:overflowPunct/>
              <w:topLinePunct w:val="0"/>
              <w:autoSpaceDE w:val="0"/>
              <w:autoSpaceDN w:val="0"/>
              <w:bidi w:val="0"/>
              <w:adjustRightInd w:val="0"/>
              <w:snapToGrid w:val="0"/>
              <w:spacing w:before="237" w:line="270"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7</w:t>
            </w:r>
          </w:p>
        </w:tc>
        <w:tc>
          <w:tcPr>
            <w:tcW w:w="1244" w:type="dxa"/>
            <w:vAlign w:val="top"/>
          </w:tcPr>
          <w:p w14:paraId="18063C9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74B9B99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20594D3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5591DD3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5B066E6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5E10C6B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565E823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ED84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0F384D94">
            <w:pPr>
              <w:pStyle w:val="163"/>
              <w:keepNext w:val="0"/>
              <w:keepLines w:val="0"/>
              <w:pageBreakBefore w:val="0"/>
              <w:widowControl/>
              <w:kinsoku w:val="0"/>
              <w:wordWrap/>
              <w:overflowPunct/>
              <w:topLinePunct w:val="0"/>
              <w:autoSpaceDE w:val="0"/>
              <w:autoSpaceDN w:val="0"/>
              <w:bidi w:val="0"/>
              <w:adjustRightInd w:val="0"/>
              <w:snapToGrid w:val="0"/>
              <w:spacing w:before="238"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8</w:t>
            </w:r>
          </w:p>
        </w:tc>
        <w:tc>
          <w:tcPr>
            <w:tcW w:w="1244" w:type="dxa"/>
            <w:vAlign w:val="top"/>
          </w:tcPr>
          <w:p w14:paraId="639D06F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66D1D65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11FD8F0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3C76C16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238384B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76AF6A0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55B374C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17F6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2EC2EA5C">
            <w:pPr>
              <w:pStyle w:val="163"/>
              <w:keepNext w:val="0"/>
              <w:keepLines w:val="0"/>
              <w:pageBreakBefore w:val="0"/>
              <w:widowControl/>
              <w:kinsoku w:val="0"/>
              <w:wordWrap/>
              <w:overflowPunct/>
              <w:topLinePunct w:val="0"/>
              <w:autoSpaceDE w:val="0"/>
              <w:autoSpaceDN w:val="0"/>
              <w:bidi w:val="0"/>
              <w:adjustRightInd w:val="0"/>
              <w:snapToGrid w:val="0"/>
              <w:spacing w:before="237"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9</w:t>
            </w:r>
          </w:p>
        </w:tc>
        <w:tc>
          <w:tcPr>
            <w:tcW w:w="1244" w:type="dxa"/>
            <w:vAlign w:val="top"/>
          </w:tcPr>
          <w:p w14:paraId="22CF1E5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599A9AB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21CE930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3FC2894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6EB1A4E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4C84D23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6029693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0118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64" w:type="dxa"/>
            <w:vAlign w:val="top"/>
          </w:tcPr>
          <w:p w14:paraId="57274EB6">
            <w:pPr>
              <w:pStyle w:val="163"/>
              <w:keepNext w:val="0"/>
              <w:keepLines w:val="0"/>
              <w:pageBreakBefore w:val="0"/>
              <w:widowControl/>
              <w:kinsoku w:val="0"/>
              <w:wordWrap/>
              <w:overflowPunct/>
              <w:topLinePunct w:val="0"/>
              <w:autoSpaceDE w:val="0"/>
              <w:autoSpaceDN w:val="0"/>
              <w:bidi w:val="0"/>
              <w:adjustRightInd w:val="0"/>
              <w:snapToGrid w:val="0"/>
              <w:spacing w:before="244"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position w:val="1"/>
                <w:sz w:val="24"/>
                <w:szCs w:val="24"/>
                <w:highlight w:val="none"/>
              </w:rPr>
              <w:t>10</w:t>
            </w:r>
          </w:p>
        </w:tc>
        <w:tc>
          <w:tcPr>
            <w:tcW w:w="1244" w:type="dxa"/>
            <w:vAlign w:val="top"/>
          </w:tcPr>
          <w:p w14:paraId="0D8CFAB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7C37327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5ED14E7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48D9B81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3A4BDE0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23A0332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3B33242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68B8351F">
      <w:pPr>
        <w:rPr>
          <w:rFonts w:hint="eastAsia" w:ascii="仿宋" w:hAnsi="仿宋" w:eastAsia="仿宋" w:cs="仿宋"/>
          <w:b/>
          <w:bCs/>
          <w:color w:val="auto"/>
          <w:spacing w:val="5"/>
          <w:sz w:val="24"/>
          <w:szCs w:val="24"/>
          <w:highlight w:val="none"/>
        </w:rPr>
      </w:pPr>
      <w:bookmarkStart w:id="149" w:name="_Toc526"/>
      <w:r>
        <w:rPr>
          <w:rFonts w:hint="eastAsia" w:ascii="仿宋" w:hAnsi="仿宋" w:eastAsia="仿宋" w:cs="仿宋"/>
          <w:b/>
          <w:bCs/>
          <w:color w:val="auto"/>
          <w:spacing w:val="5"/>
          <w:sz w:val="24"/>
          <w:szCs w:val="24"/>
          <w:highlight w:val="none"/>
        </w:rPr>
        <w:br w:type="page"/>
      </w:r>
    </w:p>
    <w:p w14:paraId="3B2F8BCF">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502" w:firstLineChars="200"/>
        <w:textAlignment w:val="baseline"/>
        <w:outlineLvl w:val="1"/>
        <w:rPr>
          <w:rFonts w:hint="eastAsia" w:ascii="仿宋" w:hAnsi="仿宋" w:eastAsia="仿宋" w:cs="仿宋"/>
          <w:color w:val="auto"/>
          <w:sz w:val="24"/>
          <w:szCs w:val="24"/>
          <w:highlight w:val="none"/>
        </w:rPr>
      </w:pPr>
      <w:bookmarkStart w:id="150" w:name="_Toc4624"/>
      <w:r>
        <w:rPr>
          <w:rFonts w:hint="eastAsia" w:ascii="仿宋" w:hAnsi="仿宋" w:eastAsia="仿宋" w:cs="仿宋"/>
          <w:b/>
          <w:bCs/>
          <w:color w:val="auto"/>
          <w:spacing w:val="5"/>
          <w:sz w:val="24"/>
          <w:szCs w:val="24"/>
          <w:highlight w:val="none"/>
        </w:rPr>
        <w:t>九、技术响应偏离表</w:t>
      </w:r>
      <w:bookmarkEnd w:id="149"/>
      <w:bookmarkEnd w:id="150"/>
    </w:p>
    <w:p w14:paraId="3E505090">
      <w:pPr>
        <w:keepNext w:val="0"/>
        <w:keepLines w:val="0"/>
        <w:pageBreakBefore w:val="0"/>
        <w:widowControl/>
        <w:kinsoku w:val="0"/>
        <w:wordWrap/>
        <w:overflowPunct/>
        <w:topLinePunct w:val="0"/>
        <w:autoSpaceDE w:val="0"/>
        <w:autoSpaceDN w:val="0"/>
        <w:bidi w:val="0"/>
        <w:adjustRightInd w:val="0"/>
        <w:snapToGrid w:val="0"/>
        <w:spacing w:line="386" w:lineRule="auto"/>
        <w:ind w:left="0" w:leftChars="0" w:right="0" w:firstLine="480" w:firstLineChars="200"/>
        <w:textAlignment w:val="baseline"/>
        <w:rPr>
          <w:rFonts w:hint="eastAsia" w:ascii="仿宋" w:hAnsi="仿宋" w:eastAsia="仿宋" w:cs="仿宋"/>
          <w:color w:val="auto"/>
          <w:sz w:val="24"/>
          <w:szCs w:val="24"/>
          <w:highlight w:val="none"/>
        </w:rPr>
      </w:pPr>
    </w:p>
    <w:p w14:paraId="5DF1D3EE">
      <w:pPr>
        <w:pStyle w:val="15"/>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0586889A">
      <w:pPr>
        <w:pStyle w:val="15"/>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项目编号/包号：</w:t>
      </w:r>
    </w:p>
    <w:p w14:paraId="0810EC3B">
      <w:pPr>
        <w:keepNext w:val="0"/>
        <w:keepLines w:val="0"/>
        <w:pageBreakBefore w:val="0"/>
        <w:widowControl/>
        <w:kinsoku w:val="0"/>
        <w:wordWrap/>
        <w:overflowPunct/>
        <w:topLinePunct w:val="0"/>
        <w:autoSpaceDE w:val="0"/>
        <w:autoSpaceDN w:val="0"/>
        <w:bidi w:val="0"/>
        <w:adjustRightInd w:val="0"/>
        <w:snapToGrid w:val="0"/>
        <w:spacing w:line="66" w:lineRule="exact"/>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85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992"/>
        <w:gridCol w:w="1772"/>
        <w:gridCol w:w="2175"/>
        <w:gridCol w:w="1955"/>
      </w:tblGrid>
      <w:tr w14:paraId="17C94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703" w:type="dxa"/>
            <w:vAlign w:val="top"/>
          </w:tcPr>
          <w:p w14:paraId="442844FE">
            <w:pPr>
              <w:pStyle w:val="163"/>
              <w:keepNext w:val="0"/>
              <w:keepLines w:val="0"/>
              <w:pageBreakBefore w:val="0"/>
              <w:widowControl/>
              <w:kinsoku w:val="0"/>
              <w:wordWrap/>
              <w:overflowPunct/>
              <w:topLinePunct w:val="0"/>
              <w:autoSpaceDE w:val="0"/>
              <w:autoSpaceDN w:val="0"/>
              <w:bidi w:val="0"/>
              <w:adjustRightInd w:val="0"/>
              <w:snapToGrid w:val="0"/>
              <w:spacing w:before="247" w:line="230" w:lineRule="auto"/>
              <w:ind w:left="0" w:leftChars="0" w:right="0" w:firstLine="50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992" w:type="dxa"/>
            <w:vAlign w:val="top"/>
          </w:tcPr>
          <w:p w14:paraId="36153499">
            <w:pPr>
              <w:pStyle w:val="163"/>
              <w:keepNext w:val="0"/>
              <w:keepLines w:val="0"/>
              <w:pageBreakBefore w:val="0"/>
              <w:widowControl/>
              <w:kinsoku w:val="0"/>
              <w:wordWrap/>
              <w:overflowPunct/>
              <w:topLinePunct w:val="0"/>
              <w:autoSpaceDE w:val="0"/>
              <w:autoSpaceDN w:val="0"/>
              <w:bidi w:val="0"/>
              <w:adjustRightInd w:val="0"/>
              <w:snapToGrid w:val="0"/>
              <w:spacing w:before="91" w:line="278" w:lineRule="auto"/>
              <w:ind w:left="0" w:leftChars="0" w:right="0" w:firstLine="51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招标文件技术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要求条款</w:t>
            </w:r>
          </w:p>
        </w:tc>
        <w:tc>
          <w:tcPr>
            <w:tcW w:w="1772" w:type="dxa"/>
            <w:vAlign w:val="top"/>
          </w:tcPr>
          <w:p w14:paraId="0DA0C09D">
            <w:pPr>
              <w:pStyle w:val="163"/>
              <w:keepNext w:val="0"/>
              <w:keepLines w:val="0"/>
              <w:pageBreakBefore w:val="0"/>
              <w:widowControl/>
              <w:kinsoku w:val="0"/>
              <w:wordWrap/>
              <w:overflowPunct/>
              <w:topLinePunct w:val="0"/>
              <w:autoSpaceDE w:val="0"/>
              <w:autoSpaceDN w:val="0"/>
              <w:bidi w:val="0"/>
              <w:adjustRightInd w:val="0"/>
              <w:snapToGrid w:val="0"/>
              <w:spacing w:before="91" w:line="278" w:lineRule="auto"/>
              <w:ind w:left="0" w:leftChars="0" w:right="0" w:firstLine="50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投标文件内容</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7"/>
                <w:sz w:val="24"/>
                <w:szCs w:val="24"/>
                <w:highlight w:val="none"/>
              </w:rPr>
              <w:t>对应简述</w:t>
            </w:r>
          </w:p>
        </w:tc>
        <w:tc>
          <w:tcPr>
            <w:tcW w:w="2175" w:type="dxa"/>
            <w:vAlign w:val="top"/>
          </w:tcPr>
          <w:p w14:paraId="54BD4DBF">
            <w:pPr>
              <w:pStyle w:val="163"/>
              <w:keepNext w:val="0"/>
              <w:keepLines w:val="0"/>
              <w:pageBreakBefore w:val="0"/>
              <w:widowControl/>
              <w:kinsoku w:val="0"/>
              <w:wordWrap/>
              <w:overflowPunct/>
              <w:topLinePunct w:val="0"/>
              <w:autoSpaceDE w:val="0"/>
              <w:autoSpaceDN w:val="0"/>
              <w:bidi w:val="0"/>
              <w:adjustRightInd w:val="0"/>
              <w:snapToGrid w:val="0"/>
              <w:spacing w:before="247" w:line="229" w:lineRule="auto"/>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响应情况</w:t>
            </w:r>
          </w:p>
        </w:tc>
        <w:tc>
          <w:tcPr>
            <w:tcW w:w="1955" w:type="dxa"/>
            <w:vAlign w:val="top"/>
          </w:tcPr>
          <w:p w14:paraId="02D14CCB">
            <w:pPr>
              <w:pStyle w:val="163"/>
              <w:keepNext w:val="0"/>
              <w:keepLines w:val="0"/>
              <w:pageBreakBefore w:val="0"/>
              <w:widowControl/>
              <w:kinsoku w:val="0"/>
              <w:wordWrap/>
              <w:overflowPunct/>
              <w:topLinePunct w:val="0"/>
              <w:autoSpaceDE w:val="0"/>
              <w:autoSpaceDN w:val="0"/>
              <w:bidi w:val="0"/>
              <w:adjustRightInd w:val="0"/>
              <w:snapToGrid w:val="0"/>
              <w:spacing w:before="248" w:line="228" w:lineRule="auto"/>
              <w:ind w:left="0" w:leftChars="0" w:right="0" w:firstLine="51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证明资料及索引</w:t>
            </w:r>
          </w:p>
        </w:tc>
      </w:tr>
      <w:tr w14:paraId="7D952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703" w:type="dxa"/>
            <w:vAlign w:val="top"/>
          </w:tcPr>
          <w:p w14:paraId="4F348140">
            <w:pPr>
              <w:pStyle w:val="163"/>
              <w:keepNext w:val="0"/>
              <w:keepLines w:val="0"/>
              <w:pageBreakBefore w:val="0"/>
              <w:widowControl/>
              <w:kinsoku w:val="0"/>
              <w:wordWrap/>
              <w:overflowPunct/>
              <w:topLinePunct w:val="0"/>
              <w:autoSpaceDE w:val="0"/>
              <w:autoSpaceDN w:val="0"/>
              <w:bidi w:val="0"/>
              <w:adjustRightInd w:val="0"/>
              <w:snapToGrid w:val="0"/>
              <w:spacing w:before="244" w:line="271" w:lineRule="exact"/>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1</w:t>
            </w:r>
          </w:p>
        </w:tc>
        <w:tc>
          <w:tcPr>
            <w:tcW w:w="1992" w:type="dxa"/>
            <w:vAlign w:val="top"/>
          </w:tcPr>
          <w:p w14:paraId="02C83ECD">
            <w:pPr>
              <w:pStyle w:val="163"/>
              <w:keepNext w:val="0"/>
              <w:keepLines w:val="0"/>
              <w:pageBreakBefore w:val="0"/>
              <w:widowControl/>
              <w:kinsoku w:val="0"/>
              <w:wordWrap/>
              <w:overflowPunct/>
              <w:topLinePunct w:val="0"/>
              <w:autoSpaceDE w:val="0"/>
              <w:autoSpaceDN w:val="0"/>
              <w:bidi w:val="0"/>
              <w:adjustRightInd w:val="0"/>
              <w:snapToGrid w:val="0"/>
              <w:spacing w:before="244"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72" w:type="dxa"/>
            <w:vAlign w:val="top"/>
          </w:tcPr>
          <w:p w14:paraId="29A48FB4">
            <w:pPr>
              <w:pStyle w:val="163"/>
              <w:keepNext w:val="0"/>
              <w:keepLines w:val="0"/>
              <w:pageBreakBefore w:val="0"/>
              <w:widowControl/>
              <w:kinsoku w:val="0"/>
              <w:wordWrap/>
              <w:overflowPunct/>
              <w:topLinePunct w:val="0"/>
              <w:autoSpaceDE w:val="0"/>
              <w:autoSpaceDN w:val="0"/>
              <w:bidi w:val="0"/>
              <w:adjustRightInd w:val="0"/>
              <w:snapToGrid w:val="0"/>
              <w:spacing w:before="244" w:line="289" w:lineRule="exact"/>
              <w:ind w:left="0" w:leftChars="0" w:right="0" w:firstLine="49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175" w:type="dxa"/>
            <w:vAlign w:val="top"/>
          </w:tcPr>
          <w:p w14:paraId="1F897410">
            <w:pPr>
              <w:pStyle w:val="163"/>
              <w:keepNext w:val="0"/>
              <w:keepLines w:val="0"/>
              <w:pageBreakBefore w:val="0"/>
              <w:widowControl/>
              <w:kinsoku w:val="0"/>
              <w:wordWrap/>
              <w:overflowPunct/>
              <w:topLinePunct w:val="0"/>
              <w:autoSpaceDE w:val="0"/>
              <w:autoSpaceDN w:val="0"/>
              <w:bidi w:val="0"/>
              <w:adjustRightInd w:val="0"/>
              <w:snapToGrid w:val="0"/>
              <w:spacing w:before="244" w:line="228" w:lineRule="auto"/>
              <w:ind w:left="0" w:leftChars="0" w:right="0" w:firstLine="50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响应/正偏离/负偏离</w:t>
            </w:r>
          </w:p>
        </w:tc>
        <w:tc>
          <w:tcPr>
            <w:tcW w:w="1955" w:type="dxa"/>
            <w:vAlign w:val="top"/>
          </w:tcPr>
          <w:p w14:paraId="26B661C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13EE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703" w:type="dxa"/>
            <w:vAlign w:val="top"/>
          </w:tcPr>
          <w:p w14:paraId="207AB338">
            <w:pPr>
              <w:pStyle w:val="163"/>
              <w:keepNext w:val="0"/>
              <w:keepLines w:val="0"/>
              <w:pageBreakBefore w:val="0"/>
              <w:widowControl/>
              <w:kinsoku w:val="0"/>
              <w:wordWrap/>
              <w:overflowPunct/>
              <w:topLinePunct w:val="0"/>
              <w:autoSpaceDE w:val="0"/>
              <w:autoSpaceDN w:val="0"/>
              <w:bidi w:val="0"/>
              <w:adjustRightInd w:val="0"/>
              <w:snapToGrid w:val="0"/>
              <w:spacing w:before="243" w:line="271" w:lineRule="exact"/>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2</w:t>
            </w:r>
          </w:p>
        </w:tc>
        <w:tc>
          <w:tcPr>
            <w:tcW w:w="1992" w:type="dxa"/>
            <w:vAlign w:val="top"/>
          </w:tcPr>
          <w:p w14:paraId="5DCAC71F">
            <w:pPr>
              <w:pStyle w:val="163"/>
              <w:keepNext w:val="0"/>
              <w:keepLines w:val="0"/>
              <w:pageBreakBefore w:val="0"/>
              <w:widowControl/>
              <w:kinsoku w:val="0"/>
              <w:wordWrap/>
              <w:overflowPunct/>
              <w:topLinePunct w:val="0"/>
              <w:autoSpaceDE w:val="0"/>
              <w:autoSpaceDN w:val="0"/>
              <w:bidi w:val="0"/>
              <w:adjustRightInd w:val="0"/>
              <w:snapToGrid w:val="0"/>
              <w:spacing w:before="243"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72" w:type="dxa"/>
            <w:vAlign w:val="top"/>
          </w:tcPr>
          <w:p w14:paraId="6176E54E">
            <w:pPr>
              <w:pStyle w:val="163"/>
              <w:keepNext w:val="0"/>
              <w:keepLines w:val="0"/>
              <w:pageBreakBefore w:val="0"/>
              <w:widowControl/>
              <w:kinsoku w:val="0"/>
              <w:wordWrap/>
              <w:overflowPunct/>
              <w:topLinePunct w:val="0"/>
              <w:autoSpaceDE w:val="0"/>
              <w:autoSpaceDN w:val="0"/>
              <w:bidi w:val="0"/>
              <w:adjustRightInd w:val="0"/>
              <w:snapToGrid w:val="0"/>
              <w:spacing w:before="243" w:line="289" w:lineRule="exact"/>
              <w:ind w:left="0" w:leftChars="0" w:right="0" w:firstLine="49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175" w:type="dxa"/>
            <w:vAlign w:val="top"/>
          </w:tcPr>
          <w:p w14:paraId="4823F428">
            <w:pPr>
              <w:pStyle w:val="163"/>
              <w:keepNext w:val="0"/>
              <w:keepLines w:val="0"/>
              <w:pageBreakBefore w:val="0"/>
              <w:widowControl/>
              <w:kinsoku w:val="0"/>
              <w:wordWrap/>
              <w:overflowPunct/>
              <w:topLinePunct w:val="0"/>
              <w:autoSpaceDE w:val="0"/>
              <w:autoSpaceDN w:val="0"/>
              <w:bidi w:val="0"/>
              <w:adjustRightInd w:val="0"/>
              <w:snapToGrid w:val="0"/>
              <w:spacing w:before="243" w:line="228" w:lineRule="auto"/>
              <w:ind w:left="0" w:leftChars="0" w:right="0" w:firstLine="50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响应/正偏离/负偏离</w:t>
            </w:r>
          </w:p>
        </w:tc>
        <w:tc>
          <w:tcPr>
            <w:tcW w:w="1955" w:type="dxa"/>
            <w:vAlign w:val="top"/>
          </w:tcPr>
          <w:p w14:paraId="4358DFE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2FE1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1BC5C4F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03C5AE3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3EA22CE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33DCA13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4254E63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21A2F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703" w:type="dxa"/>
            <w:vAlign w:val="top"/>
          </w:tcPr>
          <w:p w14:paraId="1D6CC38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6476226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0A27F9D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41C0D2F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5D48E9F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6ABC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6594B7B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285120F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212805E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773E478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65AAC86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1B0A3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703" w:type="dxa"/>
            <w:vAlign w:val="top"/>
          </w:tcPr>
          <w:p w14:paraId="66B8851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7772937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01F0DA9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1A5FBED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2DC34D5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C3AE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0331E90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4CD74B6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55071E9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63A9A7A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263B227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1489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3C9191F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37BE8CD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28EDF18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331859E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6E666C6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C573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662A170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726C47D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4A276AF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34EA35C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07345F9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081F5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150FF5F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52A0D4F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5EE5106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2E295A7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65BCBB6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1DD10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703" w:type="dxa"/>
            <w:vAlign w:val="top"/>
          </w:tcPr>
          <w:p w14:paraId="72736C4B">
            <w:pPr>
              <w:pStyle w:val="163"/>
              <w:keepNext w:val="0"/>
              <w:keepLines w:val="0"/>
              <w:pageBreakBefore w:val="0"/>
              <w:widowControl/>
              <w:kinsoku w:val="0"/>
              <w:wordWrap/>
              <w:overflowPunct/>
              <w:topLinePunct w:val="0"/>
              <w:autoSpaceDE w:val="0"/>
              <w:autoSpaceDN w:val="0"/>
              <w:bidi w:val="0"/>
              <w:adjustRightInd w:val="0"/>
              <w:snapToGrid w:val="0"/>
              <w:spacing w:before="136" w:line="325" w:lineRule="exact"/>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position w:val="3"/>
                <w:sz w:val="24"/>
                <w:szCs w:val="24"/>
                <w:highlight w:val="none"/>
              </w:rPr>
              <w:t>……</w:t>
            </w:r>
          </w:p>
        </w:tc>
        <w:tc>
          <w:tcPr>
            <w:tcW w:w="1992" w:type="dxa"/>
            <w:vAlign w:val="top"/>
          </w:tcPr>
          <w:p w14:paraId="349DDF04">
            <w:pPr>
              <w:pStyle w:val="163"/>
              <w:keepNext w:val="0"/>
              <w:keepLines w:val="0"/>
              <w:pageBreakBefore w:val="0"/>
              <w:widowControl/>
              <w:kinsoku w:val="0"/>
              <w:wordWrap/>
              <w:overflowPunct/>
              <w:topLinePunct w:val="0"/>
              <w:autoSpaceDE w:val="0"/>
              <w:autoSpaceDN w:val="0"/>
              <w:bidi w:val="0"/>
              <w:adjustRightInd w:val="0"/>
              <w:snapToGrid w:val="0"/>
              <w:spacing w:before="136" w:line="325"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3"/>
                <w:sz w:val="24"/>
                <w:szCs w:val="24"/>
                <w:highlight w:val="none"/>
              </w:rPr>
              <w:t>…………</w:t>
            </w:r>
          </w:p>
        </w:tc>
        <w:tc>
          <w:tcPr>
            <w:tcW w:w="1772" w:type="dxa"/>
            <w:vAlign w:val="top"/>
          </w:tcPr>
          <w:p w14:paraId="5BAB678D">
            <w:pPr>
              <w:pStyle w:val="163"/>
              <w:keepNext w:val="0"/>
              <w:keepLines w:val="0"/>
              <w:pageBreakBefore w:val="0"/>
              <w:widowControl/>
              <w:kinsoku w:val="0"/>
              <w:wordWrap/>
              <w:overflowPunct/>
              <w:topLinePunct w:val="0"/>
              <w:autoSpaceDE w:val="0"/>
              <w:autoSpaceDN w:val="0"/>
              <w:bidi w:val="0"/>
              <w:adjustRightInd w:val="0"/>
              <w:snapToGrid w:val="0"/>
              <w:spacing w:before="136" w:line="325" w:lineRule="exact"/>
              <w:ind w:left="0" w:leftChars="0" w:right="0" w:firstLine="50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position w:val="3"/>
                <w:sz w:val="24"/>
                <w:szCs w:val="24"/>
                <w:highlight w:val="none"/>
              </w:rPr>
              <w:t>………………</w:t>
            </w:r>
          </w:p>
        </w:tc>
        <w:tc>
          <w:tcPr>
            <w:tcW w:w="2175" w:type="dxa"/>
            <w:vAlign w:val="top"/>
          </w:tcPr>
          <w:p w14:paraId="57B086C5">
            <w:pPr>
              <w:pStyle w:val="163"/>
              <w:keepNext w:val="0"/>
              <w:keepLines w:val="0"/>
              <w:pageBreakBefore w:val="0"/>
              <w:widowControl/>
              <w:kinsoku w:val="0"/>
              <w:wordWrap/>
              <w:overflowPunct/>
              <w:topLinePunct w:val="0"/>
              <w:autoSpaceDE w:val="0"/>
              <w:autoSpaceDN w:val="0"/>
              <w:bidi w:val="0"/>
              <w:adjustRightInd w:val="0"/>
              <w:snapToGrid w:val="0"/>
              <w:spacing w:before="136" w:line="325"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3"/>
                <w:sz w:val="24"/>
                <w:szCs w:val="24"/>
                <w:highlight w:val="none"/>
              </w:rPr>
              <w:t>…………</w:t>
            </w:r>
          </w:p>
        </w:tc>
        <w:tc>
          <w:tcPr>
            <w:tcW w:w="1955" w:type="dxa"/>
            <w:vAlign w:val="top"/>
          </w:tcPr>
          <w:p w14:paraId="1FFEEFE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43A1177E">
      <w:pPr>
        <w:keepNext w:val="0"/>
        <w:keepLines w:val="0"/>
        <w:pageBreakBefore w:val="0"/>
        <w:widowControl/>
        <w:kinsoku w:val="0"/>
        <w:wordWrap/>
        <w:overflowPunct/>
        <w:topLinePunct w:val="0"/>
        <w:autoSpaceDE w:val="0"/>
        <w:autoSpaceDN w:val="0"/>
        <w:bidi w:val="0"/>
        <w:adjustRightInd w:val="0"/>
        <w:snapToGrid w:val="0"/>
        <w:spacing w:line="265" w:lineRule="auto"/>
        <w:ind w:left="0" w:leftChars="0" w:right="0" w:firstLine="480" w:firstLineChars="200"/>
        <w:textAlignment w:val="baseline"/>
        <w:rPr>
          <w:rFonts w:hint="eastAsia" w:ascii="仿宋" w:hAnsi="仿宋" w:eastAsia="仿宋" w:cs="仿宋"/>
          <w:color w:val="auto"/>
          <w:sz w:val="24"/>
          <w:szCs w:val="24"/>
          <w:highlight w:val="none"/>
        </w:rPr>
      </w:pPr>
    </w:p>
    <w:p w14:paraId="1A006FCA">
      <w:pPr>
        <w:keepNext w:val="0"/>
        <w:keepLines w:val="0"/>
        <w:pageBreakBefore w:val="0"/>
        <w:widowControl/>
        <w:kinsoku w:val="0"/>
        <w:wordWrap/>
        <w:overflowPunct/>
        <w:topLinePunct w:val="0"/>
        <w:autoSpaceDE w:val="0"/>
        <w:autoSpaceDN w:val="0"/>
        <w:bidi w:val="0"/>
        <w:adjustRightInd w:val="0"/>
        <w:snapToGrid w:val="0"/>
        <w:spacing w:line="265" w:lineRule="auto"/>
        <w:ind w:left="0" w:leftChars="0" w:right="0" w:firstLine="480" w:firstLineChars="200"/>
        <w:textAlignment w:val="baseline"/>
        <w:rPr>
          <w:rFonts w:hint="eastAsia" w:ascii="仿宋" w:hAnsi="仿宋" w:eastAsia="仿宋" w:cs="仿宋"/>
          <w:color w:val="auto"/>
          <w:sz w:val="24"/>
          <w:szCs w:val="24"/>
          <w:highlight w:val="none"/>
        </w:rPr>
      </w:pPr>
    </w:p>
    <w:p w14:paraId="5FCF52C6">
      <w:pPr>
        <w:pStyle w:val="15"/>
        <w:keepNext w:val="0"/>
        <w:keepLines w:val="0"/>
        <w:pageBreakBefore w:val="0"/>
        <w:widowControl/>
        <w:kinsoku w:val="0"/>
        <w:wordWrap/>
        <w:overflowPunct/>
        <w:topLinePunct w:val="0"/>
        <w:autoSpaceDE w:val="0"/>
        <w:autoSpaceDN w:val="0"/>
        <w:bidi w:val="0"/>
        <w:adjustRightInd w:val="0"/>
        <w:snapToGrid w:val="0"/>
        <w:spacing w:before="65" w:line="433" w:lineRule="auto"/>
        <w:ind w:left="0" w:leftChars="0" w:right="0" w:firstLine="50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说明：投标人应按照招标文件“</w:t>
      </w:r>
      <w:r>
        <w:rPr>
          <w:rFonts w:hint="eastAsia" w:ascii="仿宋" w:hAnsi="仿宋" w:eastAsia="仿宋" w:cs="仿宋"/>
          <w:color w:val="auto"/>
          <w:spacing w:val="6"/>
          <w:sz w:val="24"/>
          <w:szCs w:val="24"/>
          <w:highlight w:val="none"/>
          <w:lang w:eastAsia="zh-CN"/>
        </w:rPr>
        <w:t>第三部分</w:t>
      </w:r>
      <w:r>
        <w:rPr>
          <w:rFonts w:hint="eastAsia" w:ascii="仿宋" w:hAnsi="仿宋" w:eastAsia="仿宋" w:cs="仿宋"/>
          <w:color w:val="auto"/>
          <w:spacing w:val="6"/>
          <w:sz w:val="24"/>
          <w:szCs w:val="24"/>
          <w:highlight w:val="none"/>
        </w:rPr>
        <w:t xml:space="preserve"> 采购需求”中的技术要求填写，“响应/正偏离/负偏离</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6"/>
          <w:sz w:val="24"/>
          <w:szCs w:val="24"/>
          <w:highlight w:val="none"/>
        </w:rPr>
        <w:t>”应据实填写“响应”、“正偏离</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6"/>
          <w:sz w:val="24"/>
          <w:szCs w:val="24"/>
          <w:highlight w:val="none"/>
        </w:rPr>
        <w:t>”或“</w:t>
      </w:r>
      <w:r>
        <w:rPr>
          <w:rFonts w:hint="eastAsia" w:ascii="仿宋" w:hAnsi="仿宋" w:eastAsia="仿宋" w:cs="仿宋"/>
          <w:color w:val="auto"/>
          <w:spacing w:val="5"/>
          <w:sz w:val="24"/>
          <w:szCs w:val="24"/>
          <w:highlight w:val="none"/>
        </w:rPr>
        <w:t>负偏离”。</w:t>
      </w:r>
    </w:p>
    <w:p w14:paraId="71B24B97">
      <w:pPr>
        <w:keepNext w:val="0"/>
        <w:keepLines w:val="0"/>
        <w:pageBreakBefore w:val="0"/>
        <w:widowControl/>
        <w:kinsoku w:val="0"/>
        <w:wordWrap/>
        <w:overflowPunct/>
        <w:topLinePunct w:val="0"/>
        <w:autoSpaceDE w:val="0"/>
        <w:autoSpaceDN w:val="0"/>
        <w:bidi w:val="0"/>
        <w:adjustRightInd w:val="0"/>
        <w:snapToGrid w:val="0"/>
        <w:spacing w:line="370" w:lineRule="auto"/>
        <w:ind w:left="0" w:leftChars="0" w:right="0" w:firstLine="480" w:firstLineChars="200"/>
        <w:textAlignment w:val="baseline"/>
        <w:rPr>
          <w:rFonts w:hint="eastAsia" w:ascii="仿宋" w:hAnsi="仿宋" w:eastAsia="仿宋" w:cs="仿宋"/>
          <w:color w:val="auto"/>
          <w:sz w:val="24"/>
          <w:szCs w:val="24"/>
          <w:highlight w:val="none"/>
        </w:rPr>
      </w:pPr>
    </w:p>
    <w:p w14:paraId="4B089321">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43EBC2A2">
      <w:pPr>
        <w:pStyle w:val="15"/>
        <w:keepNext w:val="0"/>
        <w:keepLines w:val="0"/>
        <w:pageBreakBefore w:val="0"/>
        <w:widowControl/>
        <w:kinsoku w:val="0"/>
        <w:wordWrap/>
        <w:overflowPunct/>
        <w:topLinePunct w:val="0"/>
        <w:autoSpaceDE w:val="0"/>
        <w:autoSpaceDN w:val="0"/>
        <w:bidi w:val="0"/>
        <w:adjustRightInd w:val="0"/>
        <w:snapToGrid w:val="0"/>
        <w:spacing w:before="182" w:line="221" w:lineRule="auto"/>
        <w:ind w:left="0" w:leftChars="0" w:right="0" w:firstLine="3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1"/>
          <w:sz w:val="24"/>
          <w:szCs w:val="24"/>
          <w:highlight w:val="none"/>
        </w:rPr>
        <w:t>日</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21"/>
          <w:sz w:val="24"/>
          <w:szCs w:val="24"/>
          <w:highlight w:val="none"/>
        </w:rPr>
        <w:t>期：</w:t>
      </w:r>
    </w:p>
    <w:p w14:paraId="4E4ECA03">
      <w:pPr>
        <w:pStyle w:val="15"/>
        <w:keepNext w:val="0"/>
        <w:keepLines w:val="0"/>
        <w:pageBreakBefore w:val="0"/>
        <w:widowControl/>
        <w:kinsoku w:val="0"/>
        <w:wordWrap/>
        <w:overflowPunct/>
        <w:topLinePunct w:val="0"/>
        <w:autoSpaceDE w:val="0"/>
        <w:autoSpaceDN w:val="0"/>
        <w:bidi w:val="0"/>
        <w:adjustRightInd w:val="0"/>
        <w:snapToGrid w:val="0"/>
        <w:spacing w:before="66" w:line="433" w:lineRule="auto"/>
        <w:ind w:left="0" w:leftChars="0" w:right="0" w:firstLine="50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备注：投标人在本表中须标注产品实际参数数值，照搬照抄采购文件参数、不注明实际</w:t>
      </w:r>
      <w:r>
        <w:rPr>
          <w:rFonts w:hint="eastAsia" w:ascii="仿宋" w:hAnsi="仿宋" w:eastAsia="仿宋" w:cs="仿宋"/>
          <w:color w:val="auto"/>
          <w:spacing w:val="6"/>
          <w:sz w:val="24"/>
          <w:szCs w:val="24"/>
          <w:highlight w:val="none"/>
        </w:rPr>
        <w:t xml:space="preserve"> 数值者</w:t>
      </w:r>
      <w:r>
        <w:rPr>
          <w:rFonts w:hint="eastAsia" w:ascii="仿宋" w:hAnsi="仿宋" w:eastAsia="仿宋" w:cs="仿宋"/>
          <w:b/>
          <w:bCs/>
          <w:color w:val="auto"/>
          <w:spacing w:val="6"/>
          <w:sz w:val="24"/>
          <w:szCs w:val="24"/>
          <w:highlight w:val="none"/>
        </w:rPr>
        <w:t>视为未响应</w:t>
      </w:r>
      <w:r>
        <w:rPr>
          <w:rFonts w:hint="eastAsia" w:ascii="仿宋" w:hAnsi="仿宋" w:eastAsia="仿宋" w:cs="仿宋"/>
          <w:color w:val="auto"/>
          <w:spacing w:val="6"/>
          <w:sz w:val="24"/>
          <w:szCs w:val="24"/>
          <w:highlight w:val="none"/>
        </w:rPr>
        <w:t>。</w:t>
      </w:r>
    </w:p>
    <w:p w14:paraId="1455EB71">
      <w:pPr>
        <w:rPr>
          <w:rFonts w:hint="eastAsia" w:ascii="仿宋" w:hAnsi="仿宋" w:eastAsia="仿宋" w:cs="仿宋"/>
          <w:b/>
          <w:bCs/>
          <w:color w:val="auto"/>
          <w:spacing w:val="5"/>
          <w:sz w:val="24"/>
          <w:szCs w:val="24"/>
          <w:highlight w:val="none"/>
        </w:rPr>
      </w:pPr>
      <w:bookmarkStart w:id="151" w:name="_Toc19794"/>
      <w:r>
        <w:rPr>
          <w:rFonts w:hint="eastAsia" w:ascii="仿宋" w:hAnsi="仿宋" w:eastAsia="仿宋" w:cs="仿宋"/>
          <w:b/>
          <w:bCs/>
          <w:color w:val="auto"/>
          <w:spacing w:val="5"/>
          <w:sz w:val="24"/>
          <w:szCs w:val="24"/>
          <w:highlight w:val="none"/>
        </w:rPr>
        <w:br w:type="page"/>
      </w:r>
    </w:p>
    <w:p w14:paraId="02785B25">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502" w:firstLineChars="200"/>
        <w:jc w:val="center"/>
        <w:textAlignment w:val="baseline"/>
        <w:outlineLvl w:val="1"/>
        <w:rPr>
          <w:rFonts w:hint="eastAsia" w:ascii="仿宋" w:hAnsi="仿宋" w:eastAsia="仿宋" w:cs="仿宋"/>
          <w:color w:val="auto"/>
          <w:sz w:val="24"/>
          <w:szCs w:val="24"/>
          <w:highlight w:val="none"/>
        </w:rPr>
      </w:pPr>
      <w:bookmarkStart w:id="152" w:name="_Toc32558"/>
      <w:r>
        <w:rPr>
          <w:rFonts w:hint="eastAsia" w:ascii="仿宋" w:hAnsi="仿宋" w:eastAsia="仿宋" w:cs="仿宋"/>
          <w:b/>
          <w:bCs/>
          <w:color w:val="auto"/>
          <w:spacing w:val="5"/>
          <w:sz w:val="24"/>
          <w:szCs w:val="24"/>
          <w:highlight w:val="none"/>
        </w:rPr>
        <w:t>十、技术方案</w:t>
      </w:r>
      <w:bookmarkEnd w:id="151"/>
      <w:bookmarkEnd w:id="152"/>
    </w:p>
    <w:p w14:paraId="5B7FB37D">
      <w:pPr>
        <w:keepNext w:val="0"/>
        <w:keepLines w:val="0"/>
        <w:pageBreakBefore w:val="0"/>
        <w:widowControl/>
        <w:kinsoku w:val="0"/>
        <w:wordWrap/>
        <w:overflowPunct/>
        <w:topLinePunct w:val="0"/>
        <w:autoSpaceDE w:val="0"/>
        <w:autoSpaceDN w:val="0"/>
        <w:bidi w:val="0"/>
        <w:adjustRightInd w:val="0"/>
        <w:snapToGrid w:val="0"/>
        <w:spacing w:line="385" w:lineRule="auto"/>
        <w:ind w:left="0" w:leftChars="0" w:right="0" w:firstLine="480" w:firstLineChars="200"/>
        <w:textAlignment w:val="baseline"/>
        <w:rPr>
          <w:rFonts w:hint="eastAsia" w:ascii="仿宋" w:hAnsi="仿宋" w:eastAsia="仿宋" w:cs="仿宋"/>
          <w:color w:val="auto"/>
          <w:sz w:val="24"/>
          <w:szCs w:val="24"/>
          <w:highlight w:val="none"/>
        </w:rPr>
      </w:pPr>
    </w:p>
    <w:p w14:paraId="0749DE54">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468" w:firstLineChars="200"/>
        <w:textAlignment w:val="baseline"/>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3"/>
          <w:sz w:val="24"/>
          <w:szCs w:val="24"/>
          <w:highlight w:val="none"/>
        </w:rPr>
        <w:t>投标人应按照招标文件的要求，提供详细的供货及相关服</w:t>
      </w:r>
      <w:r>
        <w:rPr>
          <w:rFonts w:hint="eastAsia" w:ascii="仿宋" w:hAnsi="仿宋" w:eastAsia="仿宋" w:cs="仿宋"/>
          <w:color w:val="auto"/>
          <w:spacing w:val="-4"/>
          <w:sz w:val="24"/>
          <w:szCs w:val="24"/>
          <w:highlight w:val="none"/>
        </w:rPr>
        <w:t>务方案，包括文字</w:t>
      </w:r>
      <w:r>
        <w:rPr>
          <w:rFonts w:hint="eastAsia" w:ascii="仿宋" w:hAnsi="仿宋" w:eastAsia="仿宋" w:cs="仿宋"/>
          <w:color w:val="auto"/>
          <w:spacing w:val="-1"/>
          <w:sz w:val="24"/>
          <w:szCs w:val="24"/>
          <w:highlight w:val="none"/>
        </w:rPr>
        <w:t>描述或图表显示。格式自拟。</w:t>
      </w:r>
      <w:bookmarkStart w:id="153" w:name="_Toc5995"/>
    </w:p>
    <w:p w14:paraId="221CE802">
      <w:pPr>
        <w:rPr>
          <w:rFonts w:hint="eastAsia" w:ascii="仿宋" w:hAnsi="仿宋" w:eastAsia="仿宋" w:cs="仿宋"/>
          <w:b/>
          <w:bCs/>
          <w:color w:val="auto"/>
          <w:spacing w:val="5"/>
          <w:sz w:val="24"/>
          <w:szCs w:val="24"/>
          <w:highlight w:val="none"/>
        </w:rPr>
      </w:pPr>
      <w:r>
        <w:rPr>
          <w:rFonts w:hint="eastAsia" w:ascii="仿宋" w:hAnsi="仿宋" w:eastAsia="仿宋" w:cs="仿宋"/>
          <w:b/>
          <w:bCs/>
          <w:color w:val="auto"/>
          <w:spacing w:val="5"/>
          <w:sz w:val="24"/>
          <w:szCs w:val="24"/>
          <w:highlight w:val="none"/>
        </w:rPr>
        <w:br w:type="page"/>
      </w:r>
    </w:p>
    <w:bookmarkEnd w:id="153"/>
    <w:p w14:paraId="21CE41F4">
      <w:pPr>
        <w:pStyle w:val="34"/>
        <w:ind w:firstLine="240"/>
        <w:rPr>
          <w:rFonts w:hint="eastAsia" w:ascii="仿宋" w:hAnsi="仿宋" w:eastAsia="仿宋" w:cs="仿宋"/>
          <w:bCs/>
          <w:color w:val="auto"/>
          <w:highlight w:val="none"/>
        </w:rPr>
      </w:pPr>
    </w:p>
    <w:p w14:paraId="1EBCB5AE">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b/>
          <w:bCs/>
          <w:color w:val="auto"/>
          <w:spacing w:val="5"/>
          <w:sz w:val="24"/>
          <w:szCs w:val="24"/>
          <w:highlight w:val="none"/>
        </w:rPr>
      </w:pPr>
      <w:bookmarkStart w:id="154" w:name="_Toc26991"/>
      <w:r>
        <w:rPr>
          <w:rFonts w:hint="eastAsia" w:ascii="仿宋" w:hAnsi="仿宋" w:eastAsia="仿宋" w:cs="仿宋"/>
          <w:b/>
          <w:bCs/>
          <w:color w:val="auto"/>
          <w:spacing w:val="5"/>
          <w:sz w:val="24"/>
          <w:szCs w:val="24"/>
          <w:highlight w:val="none"/>
          <w:lang w:val="en-US" w:eastAsia="zh-CN"/>
        </w:rPr>
        <w:t>十一、</w:t>
      </w:r>
      <w:r>
        <w:rPr>
          <w:rFonts w:hint="eastAsia" w:ascii="仿宋" w:hAnsi="仿宋" w:eastAsia="仿宋" w:cs="仿宋"/>
          <w:b/>
          <w:bCs/>
          <w:color w:val="auto"/>
          <w:spacing w:val="5"/>
          <w:sz w:val="24"/>
          <w:szCs w:val="24"/>
          <w:highlight w:val="none"/>
        </w:rPr>
        <w:t>节能、环境标志产品优惠明细表</w:t>
      </w:r>
      <w:bookmarkEnd w:id="154"/>
    </w:p>
    <w:p w14:paraId="64961A0B">
      <w:pPr>
        <w:pStyle w:val="15"/>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3166CCE4">
      <w:pPr>
        <w:pStyle w:val="15"/>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项目编号/包号：</w:t>
      </w:r>
    </w:p>
    <w:p w14:paraId="583D4807">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（1）节能产品明细清单                        报价货币种类</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金额单位：元</w:t>
      </w:r>
    </w:p>
    <w:tbl>
      <w:tblPr>
        <w:tblStyle w:val="36"/>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718"/>
        <w:gridCol w:w="1850"/>
        <w:gridCol w:w="1376"/>
        <w:gridCol w:w="1924"/>
        <w:gridCol w:w="855"/>
        <w:gridCol w:w="740"/>
        <w:gridCol w:w="898"/>
        <w:gridCol w:w="7"/>
      </w:tblGrid>
      <w:tr w14:paraId="7E47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9" w:type="dxa"/>
            <w:noWrap w:val="0"/>
            <w:vAlign w:val="center"/>
          </w:tcPr>
          <w:p w14:paraId="52310696">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718" w:type="dxa"/>
            <w:noWrap w:val="0"/>
            <w:vAlign w:val="center"/>
          </w:tcPr>
          <w:p w14:paraId="6A6C55B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1850" w:type="dxa"/>
            <w:noWrap w:val="0"/>
            <w:vAlign w:val="center"/>
          </w:tcPr>
          <w:p w14:paraId="27CD1C0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产品名称、规格型号</w:t>
            </w:r>
          </w:p>
        </w:tc>
        <w:tc>
          <w:tcPr>
            <w:tcW w:w="1376" w:type="dxa"/>
            <w:noWrap w:val="0"/>
            <w:vAlign w:val="center"/>
          </w:tcPr>
          <w:p w14:paraId="23F598A6">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节字标志认证证书号</w:t>
            </w:r>
          </w:p>
        </w:tc>
        <w:tc>
          <w:tcPr>
            <w:tcW w:w="1924" w:type="dxa"/>
            <w:noWrap w:val="0"/>
            <w:vAlign w:val="center"/>
          </w:tcPr>
          <w:p w14:paraId="1445B07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节能产品认证证书有效截止日期</w:t>
            </w:r>
          </w:p>
        </w:tc>
        <w:tc>
          <w:tcPr>
            <w:tcW w:w="855" w:type="dxa"/>
            <w:noWrap w:val="0"/>
            <w:vAlign w:val="center"/>
          </w:tcPr>
          <w:p w14:paraId="3FEEE0D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740" w:type="dxa"/>
            <w:noWrap w:val="0"/>
            <w:vAlign w:val="center"/>
          </w:tcPr>
          <w:p w14:paraId="0EE2BD7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905" w:type="dxa"/>
            <w:gridSpan w:val="2"/>
            <w:noWrap w:val="0"/>
            <w:vAlign w:val="center"/>
          </w:tcPr>
          <w:p w14:paraId="70C0936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r>
      <w:tr w14:paraId="6E54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noWrap w:val="0"/>
            <w:vAlign w:val="center"/>
          </w:tcPr>
          <w:p w14:paraId="184EE962">
            <w:pPr>
              <w:spacing w:line="440" w:lineRule="exact"/>
              <w:jc w:val="center"/>
              <w:rPr>
                <w:rFonts w:hint="eastAsia" w:ascii="仿宋" w:hAnsi="仿宋" w:eastAsia="仿宋" w:cs="仿宋"/>
                <w:bCs/>
                <w:color w:val="auto"/>
                <w:sz w:val="24"/>
                <w:szCs w:val="24"/>
                <w:highlight w:val="none"/>
              </w:rPr>
            </w:pPr>
          </w:p>
        </w:tc>
        <w:tc>
          <w:tcPr>
            <w:tcW w:w="718" w:type="dxa"/>
            <w:noWrap w:val="0"/>
            <w:vAlign w:val="center"/>
          </w:tcPr>
          <w:p w14:paraId="673F7578">
            <w:pPr>
              <w:spacing w:line="440" w:lineRule="exact"/>
              <w:jc w:val="center"/>
              <w:rPr>
                <w:rFonts w:hint="eastAsia" w:ascii="仿宋" w:hAnsi="仿宋" w:eastAsia="仿宋" w:cs="仿宋"/>
                <w:bCs/>
                <w:color w:val="auto"/>
                <w:sz w:val="24"/>
                <w:szCs w:val="24"/>
                <w:highlight w:val="none"/>
              </w:rPr>
            </w:pPr>
          </w:p>
        </w:tc>
        <w:tc>
          <w:tcPr>
            <w:tcW w:w="1850" w:type="dxa"/>
            <w:noWrap w:val="0"/>
            <w:vAlign w:val="center"/>
          </w:tcPr>
          <w:p w14:paraId="10F66DDA">
            <w:pPr>
              <w:spacing w:line="440" w:lineRule="exact"/>
              <w:jc w:val="center"/>
              <w:rPr>
                <w:rFonts w:hint="eastAsia" w:ascii="仿宋" w:hAnsi="仿宋" w:eastAsia="仿宋" w:cs="仿宋"/>
                <w:bCs/>
                <w:color w:val="auto"/>
                <w:sz w:val="24"/>
                <w:szCs w:val="24"/>
                <w:highlight w:val="none"/>
              </w:rPr>
            </w:pPr>
          </w:p>
        </w:tc>
        <w:tc>
          <w:tcPr>
            <w:tcW w:w="1376" w:type="dxa"/>
            <w:noWrap w:val="0"/>
            <w:vAlign w:val="center"/>
          </w:tcPr>
          <w:p w14:paraId="453015B1">
            <w:pPr>
              <w:spacing w:line="440" w:lineRule="exact"/>
              <w:jc w:val="center"/>
              <w:rPr>
                <w:rFonts w:hint="eastAsia" w:ascii="仿宋" w:hAnsi="仿宋" w:eastAsia="仿宋" w:cs="仿宋"/>
                <w:bCs/>
                <w:color w:val="auto"/>
                <w:sz w:val="24"/>
                <w:szCs w:val="24"/>
                <w:highlight w:val="none"/>
              </w:rPr>
            </w:pPr>
          </w:p>
        </w:tc>
        <w:tc>
          <w:tcPr>
            <w:tcW w:w="1924" w:type="dxa"/>
            <w:noWrap w:val="0"/>
            <w:vAlign w:val="center"/>
          </w:tcPr>
          <w:p w14:paraId="6ECD20F0">
            <w:pPr>
              <w:spacing w:line="440" w:lineRule="exact"/>
              <w:jc w:val="center"/>
              <w:rPr>
                <w:rFonts w:hint="eastAsia" w:ascii="仿宋" w:hAnsi="仿宋" w:eastAsia="仿宋" w:cs="仿宋"/>
                <w:bCs/>
                <w:color w:val="auto"/>
                <w:sz w:val="24"/>
                <w:szCs w:val="24"/>
                <w:highlight w:val="none"/>
              </w:rPr>
            </w:pPr>
          </w:p>
        </w:tc>
        <w:tc>
          <w:tcPr>
            <w:tcW w:w="855" w:type="dxa"/>
            <w:noWrap w:val="0"/>
            <w:vAlign w:val="center"/>
          </w:tcPr>
          <w:p w14:paraId="7A650F79">
            <w:pPr>
              <w:spacing w:line="440" w:lineRule="exact"/>
              <w:jc w:val="center"/>
              <w:rPr>
                <w:rFonts w:hint="eastAsia" w:ascii="仿宋" w:hAnsi="仿宋" w:eastAsia="仿宋" w:cs="仿宋"/>
                <w:bCs/>
                <w:color w:val="auto"/>
                <w:sz w:val="24"/>
                <w:szCs w:val="24"/>
                <w:highlight w:val="none"/>
              </w:rPr>
            </w:pPr>
          </w:p>
        </w:tc>
        <w:tc>
          <w:tcPr>
            <w:tcW w:w="740" w:type="dxa"/>
            <w:noWrap w:val="0"/>
            <w:vAlign w:val="center"/>
          </w:tcPr>
          <w:p w14:paraId="20F97C93">
            <w:pPr>
              <w:spacing w:line="440" w:lineRule="exact"/>
              <w:jc w:val="center"/>
              <w:rPr>
                <w:rFonts w:hint="eastAsia" w:ascii="仿宋" w:hAnsi="仿宋" w:eastAsia="仿宋" w:cs="仿宋"/>
                <w:bCs/>
                <w:color w:val="auto"/>
                <w:sz w:val="24"/>
                <w:szCs w:val="24"/>
                <w:highlight w:val="none"/>
              </w:rPr>
            </w:pPr>
          </w:p>
        </w:tc>
        <w:tc>
          <w:tcPr>
            <w:tcW w:w="905" w:type="dxa"/>
            <w:gridSpan w:val="2"/>
            <w:noWrap w:val="0"/>
            <w:vAlign w:val="center"/>
          </w:tcPr>
          <w:p w14:paraId="7002DD18">
            <w:pPr>
              <w:spacing w:line="440" w:lineRule="exact"/>
              <w:jc w:val="center"/>
              <w:rPr>
                <w:rFonts w:hint="eastAsia" w:ascii="仿宋" w:hAnsi="仿宋" w:eastAsia="仿宋" w:cs="仿宋"/>
                <w:bCs/>
                <w:color w:val="auto"/>
                <w:sz w:val="24"/>
                <w:szCs w:val="24"/>
                <w:highlight w:val="none"/>
              </w:rPr>
            </w:pPr>
          </w:p>
        </w:tc>
      </w:tr>
      <w:tr w14:paraId="51CB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noWrap w:val="0"/>
            <w:vAlign w:val="center"/>
          </w:tcPr>
          <w:p w14:paraId="14F2B734">
            <w:pPr>
              <w:spacing w:line="440" w:lineRule="exact"/>
              <w:jc w:val="center"/>
              <w:rPr>
                <w:rFonts w:hint="eastAsia" w:ascii="仿宋" w:hAnsi="仿宋" w:eastAsia="仿宋" w:cs="仿宋"/>
                <w:bCs/>
                <w:color w:val="auto"/>
                <w:sz w:val="24"/>
                <w:szCs w:val="24"/>
                <w:highlight w:val="none"/>
              </w:rPr>
            </w:pPr>
          </w:p>
        </w:tc>
        <w:tc>
          <w:tcPr>
            <w:tcW w:w="718" w:type="dxa"/>
            <w:noWrap w:val="0"/>
            <w:vAlign w:val="center"/>
          </w:tcPr>
          <w:p w14:paraId="42AB9B19">
            <w:pPr>
              <w:spacing w:line="440" w:lineRule="exact"/>
              <w:jc w:val="center"/>
              <w:rPr>
                <w:rFonts w:hint="eastAsia" w:ascii="仿宋" w:hAnsi="仿宋" w:eastAsia="仿宋" w:cs="仿宋"/>
                <w:bCs/>
                <w:color w:val="auto"/>
                <w:sz w:val="24"/>
                <w:szCs w:val="24"/>
                <w:highlight w:val="none"/>
              </w:rPr>
            </w:pPr>
          </w:p>
        </w:tc>
        <w:tc>
          <w:tcPr>
            <w:tcW w:w="1850" w:type="dxa"/>
            <w:noWrap w:val="0"/>
            <w:vAlign w:val="center"/>
          </w:tcPr>
          <w:p w14:paraId="08D9F4D7">
            <w:pPr>
              <w:spacing w:line="440" w:lineRule="exact"/>
              <w:jc w:val="center"/>
              <w:rPr>
                <w:rFonts w:hint="eastAsia" w:ascii="仿宋" w:hAnsi="仿宋" w:eastAsia="仿宋" w:cs="仿宋"/>
                <w:bCs/>
                <w:color w:val="auto"/>
                <w:sz w:val="24"/>
                <w:szCs w:val="24"/>
                <w:highlight w:val="none"/>
              </w:rPr>
            </w:pPr>
          </w:p>
        </w:tc>
        <w:tc>
          <w:tcPr>
            <w:tcW w:w="1376" w:type="dxa"/>
            <w:noWrap w:val="0"/>
            <w:vAlign w:val="center"/>
          </w:tcPr>
          <w:p w14:paraId="4069A36C">
            <w:pPr>
              <w:spacing w:line="440" w:lineRule="exact"/>
              <w:jc w:val="center"/>
              <w:rPr>
                <w:rFonts w:hint="eastAsia" w:ascii="仿宋" w:hAnsi="仿宋" w:eastAsia="仿宋" w:cs="仿宋"/>
                <w:bCs/>
                <w:color w:val="auto"/>
                <w:sz w:val="24"/>
                <w:szCs w:val="24"/>
                <w:highlight w:val="none"/>
              </w:rPr>
            </w:pPr>
          </w:p>
        </w:tc>
        <w:tc>
          <w:tcPr>
            <w:tcW w:w="1924" w:type="dxa"/>
            <w:noWrap w:val="0"/>
            <w:vAlign w:val="center"/>
          </w:tcPr>
          <w:p w14:paraId="4D660C7D">
            <w:pPr>
              <w:spacing w:line="440" w:lineRule="exact"/>
              <w:jc w:val="center"/>
              <w:rPr>
                <w:rFonts w:hint="eastAsia" w:ascii="仿宋" w:hAnsi="仿宋" w:eastAsia="仿宋" w:cs="仿宋"/>
                <w:bCs/>
                <w:color w:val="auto"/>
                <w:sz w:val="24"/>
                <w:szCs w:val="24"/>
                <w:highlight w:val="none"/>
              </w:rPr>
            </w:pPr>
          </w:p>
        </w:tc>
        <w:tc>
          <w:tcPr>
            <w:tcW w:w="855" w:type="dxa"/>
            <w:noWrap w:val="0"/>
            <w:vAlign w:val="center"/>
          </w:tcPr>
          <w:p w14:paraId="68867550">
            <w:pPr>
              <w:spacing w:line="440" w:lineRule="exact"/>
              <w:jc w:val="center"/>
              <w:rPr>
                <w:rFonts w:hint="eastAsia" w:ascii="仿宋" w:hAnsi="仿宋" w:eastAsia="仿宋" w:cs="仿宋"/>
                <w:bCs/>
                <w:color w:val="auto"/>
                <w:sz w:val="24"/>
                <w:szCs w:val="24"/>
                <w:highlight w:val="none"/>
              </w:rPr>
            </w:pPr>
          </w:p>
        </w:tc>
        <w:tc>
          <w:tcPr>
            <w:tcW w:w="740" w:type="dxa"/>
            <w:noWrap w:val="0"/>
            <w:vAlign w:val="center"/>
          </w:tcPr>
          <w:p w14:paraId="422C1C66">
            <w:pPr>
              <w:spacing w:line="440" w:lineRule="exact"/>
              <w:jc w:val="center"/>
              <w:rPr>
                <w:rFonts w:hint="eastAsia" w:ascii="仿宋" w:hAnsi="仿宋" w:eastAsia="仿宋" w:cs="仿宋"/>
                <w:bCs/>
                <w:color w:val="auto"/>
                <w:sz w:val="24"/>
                <w:szCs w:val="24"/>
                <w:highlight w:val="none"/>
              </w:rPr>
            </w:pPr>
          </w:p>
        </w:tc>
        <w:tc>
          <w:tcPr>
            <w:tcW w:w="905" w:type="dxa"/>
            <w:gridSpan w:val="2"/>
            <w:noWrap w:val="0"/>
            <w:vAlign w:val="center"/>
          </w:tcPr>
          <w:p w14:paraId="767BDD83">
            <w:pPr>
              <w:spacing w:line="440" w:lineRule="exact"/>
              <w:jc w:val="center"/>
              <w:rPr>
                <w:rFonts w:hint="eastAsia" w:ascii="仿宋" w:hAnsi="仿宋" w:eastAsia="仿宋" w:cs="仿宋"/>
                <w:bCs/>
                <w:color w:val="auto"/>
                <w:sz w:val="24"/>
                <w:szCs w:val="24"/>
                <w:highlight w:val="none"/>
              </w:rPr>
            </w:pPr>
          </w:p>
        </w:tc>
      </w:tr>
      <w:tr w14:paraId="24E0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6897" w:type="dxa"/>
            <w:gridSpan w:val="5"/>
            <w:noWrap w:val="0"/>
            <w:vAlign w:val="center"/>
          </w:tcPr>
          <w:p w14:paraId="19B31D39">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合计金额</w:t>
            </w:r>
          </w:p>
        </w:tc>
        <w:tc>
          <w:tcPr>
            <w:tcW w:w="2493" w:type="dxa"/>
            <w:gridSpan w:val="3"/>
            <w:noWrap w:val="0"/>
            <w:vAlign w:val="center"/>
          </w:tcPr>
          <w:p w14:paraId="6D785605">
            <w:pPr>
              <w:spacing w:line="440" w:lineRule="exact"/>
              <w:rPr>
                <w:rFonts w:hint="eastAsia" w:ascii="仿宋" w:hAnsi="仿宋" w:eastAsia="仿宋" w:cs="仿宋"/>
                <w:bCs/>
                <w:color w:val="auto"/>
                <w:sz w:val="24"/>
                <w:szCs w:val="24"/>
                <w:highlight w:val="none"/>
              </w:rPr>
            </w:pPr>
          </w:p>
        </w:tc>
      </w:tr>
    </w:tbl>
    <w:p w14:paraId="7B203562">
      <w:pPr>
        <w:spacing w:line="440" w:lineRule="exact"/>
        <w:rPr>
          <w:rFonts w:hint="eastAsia" w:ascii="仿宋" w:hAnsi="仿宋" w:eastAsia="仿宋" w:cs="仿宋"/>
          <w:bCs/>
          <w:color w:val="auto"/>
          <w:sz w:val="24"/>
          <w:szCs w:val="24"/>
          <w:highlight w:val="none"/>
        </w:rPr>
      </w:pPr>
    </w:p>
    <w:p w14:paraId="5495B018">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（2）环保产品明细清单                    报价货币种类</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金额单位：元</w:t>
      </w:r>
    </w:p>
    <w:tbl>
      <w:tblPr>
        <w:tblStyle w:val="36"/>
        <w:tblW w:w="943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013"/>
        <w:gridCol w:w="1372"/>
        <w:gridCol w:w="1773"/>
        <w:gridCol w:w="1775"/>
        <w:gridCol w:w="717"/>
        <w:gridCol w:w="804"/>
        <w:gridCol w:w="970"/>
      </w:tblGrid>
      <w:tr w14:paraId="7B4C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12" w:type="dxa"/>
            <w:noWrap w:val="0"/>
            <w:vAlign w:val="center"/>
          </w:tcPr>
          <w:p w14:paraId="5BED305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1013" w:type="dxa"/>
            <w:noWrap w:val="0"/>
            <w:vAlign w:val="center"/>
          </w:tcPr>
          <w:p w14:paraId="5637DC9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1372" w:type="dxa"/>
            <w:noWrap w:val="0"/>
            <w:vAlign w:val="center"/>
          </w:tcPr>
          <w:p w14:paraId="53373EB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产品名称、规格型号</w:t>
            </w:r>
          </w:p>
        </w:tc>
        <w:tc>
          <w:tcPr>
            <w:tcW w:w="1773" w:type="dxa"/>
            <w:noWrap w:val="0"/>
            <w:vAlign w:val="center"/>
          </w:tcPr>
          <w:p w14:paraId="57B776A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中国环境标志认证证书编号</w:t>
            </w:r>
          </w:p>
        </w:tc>
        <w:tc>
          <w:tcPr>
            <w:tcW w:w="1775" w:type="dxa"/>
            <w:noWrap w:val="0"/>
            <w:vAlign w:val="center"/>
          </w:tcPr>
          <w:p w14:paraId="59A44EC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认证证书有效截止日期</w:t>
            </w:r>
          </w:p>
        </w:tc>
        <w:tc>
          <w:tcPr>
            <w:tcW w:w="717" w:type="dxa"/>
            <w:noWrap w:val="0"/>
            <w:vAlign w:val="center"/>
          </w:tcPr>
          <w:p w14:paraId="1D27FB8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804" w:type="dxa"/>
            <w:noWrap w:val="0"/>
            <w:vAlign w:val="center"/>
          </w:tcPr>
          <w:p w14:paraId="67B9DD8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970" w:type="dxa"/>
            <w:noWrap w:val="0"/>
            <w:vAlign w:val="center"/>
          </w:tcPr>
          <w:p w14:paraId="74FF695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r>
      <w:tr w14:paraId="06AC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2" w:type="dxa"/>
            <w:noWrap w:val="0"/>
            <w:vAlign w:val="center"/>
          </w:tcPr>
          <w:p w14:paraId="0D833CBD">
            <w:pPr>
              <w:spacing w:line="440" w:lineRule="exact"/>
              <w:jc w:val="center"/>
              <w:rPr>
                <w:rFonts w:hint="eastAsia" w:ascii="仿宋" w:hAnsi="仿宋" w:eastAsia="仿宋" w:cs="仿宋"/>
                <w:bCs/>
                <w:color w:val="auto"/>
                <w:sz w:val="24"/>
                <w:szCs w:val="24"/>
                <w:highlight w:val="none"/>
              </w:rPr>
            </w:pPr>
          </w:p>
        </w:tc>
        <w:tc>
          <w:tcPr>
            <w:tcW w:w="1013" w:type="dxa"/>
            <w:noWrap w:val="0"/>
            <w:vAlign w:val="center"/>
          </w:tcPr>
          <w:p w14:paraId="34C18A83">
            <w:pPr>
              <w:spacing w:line="440" w:lineRule="exact"/>
              <w:jc w:val="center"/>
              <w:rPr>
                <w:rFonts w:hint="eastAsia" w:ascii="仿宋" w:hAnsi="仿宋" w:eastAsia="仿宋" w:cs="仿宋"/>
                <w:bCs/>
                <w:color w:val="auto"/>
                <w:sz w:val="24"/>
                <w:szCs w:val="24"/>
                <w:highlight w:val="none"/>
              </w:rPr>
            </w:pPr>
          </w:p>
        </w:tc>
        <w:tc>
          <w:tcPr>
            <w:tcW w:w="1372" w:type="dxa"/>
            <w:noWrap w:val="0"/>
            <w:vAlign w:val="center"/>
          </w:tcPr>
          <w:p w14:paraId="07DE4E15">
            <w:pPr>
              <w:spacing w:line="440" w:lineRule="exact"/>
              <w:jc w:val="center"/>
              <w:rPr>
                <w:rFonts w:hint="eastAsia" w:ascii="仿宋" w:hAnsi="仿宋" w:eastAsia="仿宋" w:cs="仿宋"/>
                <w:bCs/>
                <w:color w:val="auto"/>
                <w:sz w:val="24"/>
                <w:szCs w:val="24"/>
                <w:highlight w:val="none"/>
              </w:rPr>
            </w:pPr>
          </w:p>
        </w:tc>
        <w:tc>
          <w:tcPr>
            <w:tcW w:w="1773" w:type="dxa"/>
            <w:noWrap w:val="0"/>
            <w:vAlign w:val="center"/>
          </w:tcPr>
          <w:p w14:paraId="754BD88F">
            <w:pPr>
              <w:spacing w:line="440" w:lineRule="exact"/>
              <w:jc w:val="center"/>
              <w:rPr>
                <w:rFonts w:hint="eastAsia" w:ascii="仿宋" w:hAnsi="仿宋" w:eastAsia="仿宋" w:cs="仿宋"/>
                <w:bCs/>
                <w:color w:val="auto"/>
                <w:sz w:val="24"/>
                <w:szCs w:val="24"/>
                <w:highlight w:val="none"/>
              </w:rPr>
            </w:pPr>
          </w:p>
        </w:tc>
        <w:tc>
          <w:tcPr>
            <w:tcW w:w="1775" w:type="dxa"/>
            <w:noWrap w:val="0"/>
            <w:vAlign w:val="center"/>
          </w:tcPr>
          <w:p w14:paraId="1394F122">
            <w:pPr>
              <w:spacing w:line="440" w:lineRule="exact"/>
              <w:jc w:val="center"/>
              <w:rPr>
                <w:rFonts w:hint="eastAsia" w:ascii="仿宋" w:hAnsi="仿宋" w:eastAsia="仿宋" w:cs="仿宋"/>
                <w:bCs/>
                <w:color w:val="auto"/>
                <w:sz w:val="24"/>
                <w:szCs w:val="24"/>
                <w:highlight w:val="none"/>
              </w:rPr>
            </w:pPr>
          </w:p>
        </w:tc>
        <w:tc>
          <w:tcPr>
            <w:tcW w:w="717" w:type="dxa"/>
            <w:noWrap w:val="0"/>
            <w:vAlign w:val="center"/>
          </w:tcPr>
          <w:p w14:paraId="4B4C8107">
            <w:pPr>
              <w:spacing w:line="440" w:lineRule="exact"/>
              <w:jc w:val="center"/>
              <w:rPr>
                <w:rFonts w:hint="eastAsia" w:ascii="仿宋" w:hAnsi="仿宋" w:eastAsia="仿宋" w:cs="仿宋"/>
                <w:bCs/>
                <w:color w:val="auto"/>
                <w:sz w:val="24"/>
                <w:szCs w:val="24"/>
                <w:highlight w:val="none"/>
              </w:rPr>
            </w:pPr>
          </w:p>
        </w:tc>
        <w:tc>
          <w:tcPr>
            <w:tcW w:w="804" w:type="dxa"/>
            <w:noWrap w:val="0"/>
            <w:vAlign w:val="center"/>
          </w:tcPr>
          <w:p w14:paraId="1751177A">
            <w:pPr>
              <w:spacing w:line="440" w:lineRule="exact"/>
              <w:jc w:val="center"/>
              <w:rPr>
                <w:rFonts w:hint="eastAsia" w:ascii="仿宋" w:hAnsi="仿宋" w:eastAsia="仿宋" w:cs="仿宋"/>
                <w:bCs/>
                <w:color w:val="auto"/>
                <w:sz w:val="24"/>
                <w:szCs w:val="24"/>
                <w:highlight w:val="none"/>
              </w:rPr>
            </w:pPr>
          </w:p>
        </w:tc>
        <w:tc>
          <w:tcPr>
            <w:tcW w:w="970" w:type="dxa"/>
            <w:noWrap w:val="0"/>
            <w:vAlign w:val="center"/>
          </w:tcPr>
          <w:p w14:paraId="5855490C">
            <w:pPr>
              <w:spacing w:line="440" w:lineRule="exact"/>
              <w:jc w:val="center"/>
              <w:rPr>
                <w:rFonts w:hint="eastAsia" w:ascii="仿宋" w:hAnsi="仿宋" w:eastAsia="仿宋" w:cs="仿宋"/>
                <w:bCs/>
                <w:color w:val="auto"/>
                <w:sz w:val="24"/>
                <w:szCs w:val="24"/>
                <w:highlight w:val="none"/>
              </w:rPr>
            </w:pPr>
          </w:p>
        </w:tc>
      </w:tr>
      <w:tr w14:paraId="50AE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2" w:type="dxa"/>
            <w:noWrap w:val="0"/>
            <w:vAlign w:val="center"/>
          </w:tcPr>
          <w:p w14:paraId="6C576A35">
            <w:pPr>
              <w:spacing w:line="440" w:lineRule="exact"/>
              <w:jc w:val="center"/>
              <w:rPr>
                <w:rFonts w:hint="eastAsia" w:ascii="仿宋" w:hAnsi="仿宋" w:eastAsia="仿宋" w:cs="仿宋"/>
                <w:bCs/>
                <w:color w:val="auto"/>
                <w:sz w:val="24"/>
                <w:szCs w:val="24"/>
                <w:highlight w:val="none"/>
              </w:rPr>
            </w:pPr>
          </w:p>
        </w:tc>
        <w:tc>
          <w:tcPr>
            <w:tcW w:w="1013" w:type="dxa"/>
            <w:noWrap w:val="0"/>
            <w:vAlign w:val="center"/>
          </w:tcPr>
          <w:p w14:paraId="128EA16A">
            <w:pPr>
              <w:spacing w:line="440" w:lineRule="exact"/>
              <w:jc w:val="center"/>
              <w:rPr>
                <w:rFonts w:hint="eastAsia" w:ascii="仿宋" w:hAnsi="仿宋" w:eastAsia="仿宋" w:cs="仿宋"/>
                <w:bCs/>
                <w:color w:val="auto"/>
                <w:sz w:val="24"/>
                <w:szCs w:val="24"/>
                <w:highlight w:val="none"/>
              </w:rPr>
            </w:pPr>
          </w:p>
        </w:tc>
        <w:tc>
          <w:tcPr>
            <w:tcW w:w="1372" w:type="dxa"/>
            <w:noWrap w:val="0"/>
            <w:vAlign w:val="center"/>
          </w:tcPr>
          <w:p w14:paraId="0C871239">
            <w:pPr>
              <w:spacing w:line="440" w:lineRule="exact"/>
              <w:jc w:val="center"/>
              <w:rPr>
                <w:rFonts w:hint="eastAsia" w:ascii="仿宋" w:hAnsi="仿宋" w:eastAsia="仿宋" w:cs="仿宋"/>
                <w:bCs/>
                <w:color w:val="auto"/>
                <w:sz w:val="24"/>
                <w:szCs w:val="24"/>
                <w:highlight w:val="none"/>
              </w:rPr>
            </w:pPr>
          </w:p>
        </w:tc>
        <w:tc>
          <w:tcPr>
            <w:tcW w:w="1773" w:type="dxa"/>
            <w:noWrap w:val="0"/>
            <w:vAlign w:val="center"/>
          </w:tcPr>
          <w:p w14:paraId="5CE31350">
            <w:pPr>
              <w:spacing w:line="440" w:lineRule="exact"/>
              <w:jc w:val="center"/>
              <w:rPr>
                <w:rFonts w:hint="eastAsia" w:ascii="仿宋" w:hAnsi="仿宋" w:eastAsia="仿宋" w:cs="仿宋"/>
                <w:bCs/>
                <w:color w:val="auto"/>
                <w:sz w:val="24"/>
                <w:szCs w:val="24"/>
                <w:highlight w:val="none"/>
              </w:rPr>
            </w:pPr>
          </w:p>
        </w:tc>
        <w:tc>
          <w:tcPr>
            <w:tcW w:w="1775" w:type="dxa"/>
            <w:noWrap w:val="0"/>
            <w:vAlign w:val="center"/>
          </w:tcPr>
          <w:p w14:paraId="67F06BEF">
            <w:pPr>
              <w:spacing w:line="440" w:lineRule="exact"/>
              <w:jc w:val="center"/>
              <w:rPr>
                <w:rFonts w:hint="eastAsia" w:ascii="仿宋" w:hAnsi="仿宋" w:eastAsia="仿宋" w:cs="仿宋"/>
                <w:bCs/>
                <w:color w:val="auto"/>
                <w:sz w:val="24"/>
                <w:szCs w:val="24"/>
                <w:highlight w:val="none"/>
              </w:rPr>
            </w:pPr>
          </w:p>
        </w:tc>
        <w:tc>
          <w:tcPr>
            <w:tcW w:w="717" w:type="dxa"/>
            <w:noWrap w:val="0"/>
            <w:vAlign w:val="center"/>
          </w:tcPr>
          <w:p w14:paraId="4A58ED86">
            <w:pPr>
              <w:spacing w:line="440" w:lineRule="exact"/>
              <w:jc w:val="center"/>
              <w:rPr>
                <w:rFonts w:hint="eastAsia" w:ascii="仿宋" w:hAnsi="仿宋" w:eastAsia="仿宋" w:cs="仿宋"/>
                <w:bCs/>
                <w:color w:val="auto"/>
                <w:sz w:val="24"/>
                <w:szCs w:val="24"/>
                <w:highlight w:val="none"/>
              </w:rPr>
            </w:pPr>
          </w:p>
        </w:tc>
        <w:tc>
          <w:tcPr>
            <w:tcW w:w="804" w:type="dxa"/>
            <w:noWrap w:val="0"/>
            <w:vAlign w:val="center"/>
          </w:tcPr>
          <w:p w14:paraId="646CDF4D">
            <w:pPr>
              <w:spacing w:line="440" w:lineRule="exact"/>
              <w:jc w:val="center"/>
              <w:rPr>
                <w:rFonts w:hint="eastAsia" w:ascii="仿宋" w:hAnsi="仿宋" w:eastAsia="仿宋" w:cs="仿宋"/>
                <w:bCs/>
                <w:color w:val="auto"/>
                <w:sz w:val="24"/>
                <w:szCs w:val="24"/>
                <w:highlight w:val="none"/>
              </w:rPr>
            </w:pPr>
          </w:p>
        </w:tc>
        <w:tc>
          <w:tcPr>
            <w:tcW w:w="970" w:type="dxa"/>
            <w:noWrap w:val="0"/>
            <w:vAlign w:val="center"/>
          </w:tcPr>
          <w:p w14:paraId="0B2E3262">
            <w:pPr>
              <w:spacing w:line="440" w:lineRule="exact"/>
              <w:jc w:val="center"/>
              <w:rPr>
                <w:rFonts w:hint="eastAsia" w:ascii="仿宋" w:hAnsi="仿宋" w:eastAsia="仿宋" w:cs="仿宋"/>
                <w:bCs/>
                <w:color w:val="auto"/>
                <w:sz w:val="24"/>
                <w:szCs w:val="24"/>
                <w:highlight w:val="none"/>
              </w:rPr>
            </w:pPr>
          </w:p>
        </w:tc>
      </w:tr>
      <w:tr w14:paraId="3240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5" w:type="dxa"/>
            <w:gridSpan w:val="5"/>
            <w:noWrap w:val="0"/>
            <w:vAlign w:val="center"/>
          </w:tcPr>
          <w:p w14:paraId="16878260">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合计金额</w:t>
            </w:r>
          </w:p>
        </w:tc>
        <w:tc>
          <w:tcPr>
            <w:tcW w:w="2491" w:type="dxa"/>
            <w:gridSpan w:val="3"/>
            <w:noWrap w:val="0"/>
            <w:vAlign w:val="center"/>
          </w:tcPr>
          <w:p w14:paraId="51022AD4">
            <w:pPr>
              <w:spacing w:line="440" w:lineRule="exact"/>
              <w:rPr>
                <w:rFonts w:hint="eastAsia" w:ascii="仿宋" w:hAnsi="仿宋" w:eastAsia="仿宋" w:cs="仿宋"/>
                <w:bCs/>
                <w:color w:val="auto"/>
                <w:sz w:val="24"/>
                <w:szCs w:val="24"/>
                <w:highlight w:val="none"/>
              </w:rPr>
            </w:pPr>
          </w:p>
        </w:tc>
      </w:tr>
    </w:tbl>
    <w:p w14:paraId="6679EE31">
      <w:pPr>
        <w:tabs>
          <w:tab w:val="left" w:pos="13000"/>
        </w:tabs>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p>
    <w:p w14:paraId="1DB6070B">
      <w:pPr>
        <w:tabs>
          <w:tab w:val="left" w:pos="13000"/>
        </w:tabs>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若无货物属于优先采购节能、环境标志产品的，则不填写此表。</w:t>
      </w:r>
    </w:p>
    <w:p w14:paraId="4ABC5FD2">
      <w:pPr>
        <w:adjustRightInd w:val="0"/>
        <w:snapToGrid w:val="0"/>
        <w:spacing w:line="440" w:lineRule="exact"/>
        <w:rPr>
          <w:rFonts w:hint="eastAsia" w:ascii="仿宋" w:hAnsi="仿宋" w:eastAsia="仿宋" w:cs="仿宋"/>
          <w:bCs/>
          <w:color w:val="auto"/>
          <w:sz w:val="24"/>
          <w:szCs w:val="24"/>
          <w:highlight w:val="none"/>
        </w:rPr>
      </w:pPr>
    </w:p>
    <w:p w14:paraId="1B51DD7C">
      <w:pPr>
        <w:adjustRightInd w:val="0"/>
        <w:snapToGrid w:val="0"/>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投标人（盖单位章）：</w:t>
      </w:r>
    </w:p>
    <w:p w14:paraId="1D3CD822">
      <w:pPr>
        <w:adjustRightInd w:val="0"/>
        <w:snapToGrid w:val="0"/>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法定代表人或其委托代理人</w:t>
      </w:r>
      <w:r>
        <w:rPr>
          <w:rFonts w:hint="eastAsia" w:ascii="仿宋" w:hAnsi="仿宋" w:eastAsia="仿宋" w:cs="仿宋"/>
          <w:bCs/>
          <w:color w:val="auto"/>
          <w:sz w:val="24"/>
          <w:highlight w:val="none"/>
        </w:rPr>
        <w:t>（签字或盖章）</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rPr>
        <w:t xml:space="preserve">       </w:t>
      </w:r>
    </w:p>
    <w:p w14:paraId="053CFB0A">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w:t>
      </w:r>
    </w:p>
    <w:p w14:paraId="33EC6951">
      <w:pPr>
        <w:adjustRightInd w:val="0"/>
        <w:snapToGrid w:val="0"/>
        <w:spacing w:line="440" w:lineRule="exact"/>
        <w:ind w:right="24"/>
        <w:rPr>
          <w:rFonts w:hint="eastAsia" w:ascii="仿宋" w:hAnsi="仿宋" w:eastAsia="仿宋" w:cs="仿宋"/>
          <w:bCs/>
          <w:color w:val="auto"/>
          <w:sz w:val="24"/>
          <w:szCs w:val="24"/>
          <w:highlight w:val="none"/>
        </w:rPr>
      </w:pPr>
    </w:p>
    <w:p w14:paraId="7E671B74">
      <w:pPr>
        <w:adjustRightInd w:val="0"/>
        <w:snapToGrid w:val="0"/>
        <w:spacing w:line="440" w:lineRule="exact"/>
        <w:ind w:right="24"/>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 xml:space="preserve"> 节能、环境标志产品证明材料</w:t>
      </w:r>
    </w:p>
    <w:p w14:paraId="7485C439">
      <w:pPr>
        <w:spacing w:line="440" w:lineRule="exact"/>
        <w:ind w:firstLine="218" w:firstLineChars="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1.节能产品：应在中国政府采购网（ ht tp://www.ccgp.gov.cn ）</w:t>
      </w:r>
    </w:p>
    <w:p w14:paraId="28F2E0BE">
      <w:pPr>
        <w:spacing w:line="440" w:lineRule="exact"/>
        <w:ind w:firstLine="218" w:firstLineChars="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2.环境标志产品：应在中国政府采购网（ http://www.ccgp.gov.cn ）</w:t>
      </w:r>
    </w:p>
    <w:p w14:paraId="0A1D4C78">
      <w:pPr>
        <w:spacing w:line="440" w:lineRule="exact"/>
        <w:ind w:firstLine="218" w:firstLineChars="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3.优先采购节能、环境标志产品须从以上权威媒体网站上查询并打印结果。</w:t>
      </w:r>
    </w:p>
    <w:p w14:paraId="40CB908A">
      <w:pPr>
        <w:spacing w:line="440" w:lineRule="exact"/>
        <w:ind w:firstLine="218" w:firstLineChars="91"/>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4.证明材料加盖投标人公章。</w:t>
      </w:r>
    </w:p>
    <w:p w14:paraId="41AC36AF">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6A30B1E5">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b/>
          <w:bCs/>
          <w:color w:val="auto"/>
          <w:spacing w:val="5"/>
          <w:sz w:val="24"/>
          <w:szCs w:val="24"/>
          <w:highlight w:val="none"/>
          <w:lang w:val="en-US" w:eastAsia="zh-CN"/>
        </w:rPr>
      </w:pPr>
      <w:r>
        <w:rPr>
          <w:rFonts w:hint="eastAsia" w:ascii="仿宋" w:hAnsi="仿宋" w:eastAsia="仿宋" w:cs="仿宋"/>
          <w:b/>
          <w:bCs/>
          <w:color w:val="auto"/>
          <w:spacing w:val="5"/>
          <w:sz w:val="24"/>
          <w:szCs w:val="24"/>
          <w:highlight w:val="none"/>
          <w:lang w:val="en-US" w:eastAsia="zh-CN"/>
        </w:rPr>
        <w:t>十二  小微企业生产或销售的产品明细表</w:t>
      </w:r>
    </w:p>
    <w:p w14:paraId="55144D02">
      <w:pPr>
        <w:rPr>
          <w:rFonts w:eastAsia="仿宋"/>
          <w:bCs/>
          <w:color w:val="000000"/>
          <w:sz w:val="24"/>
          <w:szCs w:val="24"/>
          <w:highlight w:val="none"/>
        </w:rPr>
      </w:pPr>
    </w:p>
    <w:p w14:paraId="2B17310A">
      <w:pPr>
        <w:pStyle w:val="150"/>
        <w:spacing w:line="440" w:lineRule="exact"/>
        <w:ind w:left="1680" w:leftChars="800" w:firstLine="4320" w:firstLineChars="1800"/>
        <w:rPr>
          <w:rFonts w:ascii="Times New Roman" w:hAnsi="Times New Roman" w:eastAsia="仿宋"/>
          <w:bCs/>
          <w:color w:val="000000"/>
          <w:sz w:val="24"/>
          <w:szCs w:val="24"/>
          <w:highlight w:val="none"/>
        </w:rPr>
      </w:pPr>
      <w:r>
        <w:rPr>
          <w:rFonts w:ascii="Times New Roman" w:hAnsi="Times New Roman" w:eastAsia="仿宋"/>
          <w:bCs/>
          <w:color w:val="000000"/>
          <w:sz w:val="24"/>
          <w:szCs w:val="24"/>
          <w:highlight w:val="none"/>
        </w:rPr>
        <w:t>报价货币种类：</w:t>
      </w:r>
      <w:r>
        <w:rPr>
          <w:rFonts w:ascii="Times New Roman" w:hAnsi="Times New Roman" w:eastAsia="仿宋"/>
          <w:bCs/>
          <w:color w:val="000000"/>
          <w:sz w:val="24"/>
          <w:szCs w:val="24"/>
          <w:highlight w:val="none"/>
          <w:u w:val="single"/>
        </w:rPr>
        <w:t xml:space="preserve">       </w:t>
      </w:r>
    </w:p>
    <w:tbl>
      <w:tblPr>
        <w:tblStyle w:val="36"/>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677"/>
        <w:gridCol w:w="935"/>
        <w:gridCol w:w="874"/>
        <w:gridCol w:w="1301"/>
        <w:gridCol w:w="1049"/>
        <w:gridCol w:w="1367"/>
        <w:gridCol w:w="1367"/>
      </w:tblGrid>
      <w:tr w14:paraId="530A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5" w:type="dxa"/>
            <w:noWrap w:val="0"/>
            <w:vAlign w:val="center"/>
          </w:tcPr>
          <w:p w14:paraId="6A62534D">
            <w:pPr>
              <w:tabs>
                <w:tab w:val="left" w:pos="5355"/>
              </w:tabs>
              <w:spacing w:line="380" w:lineRule="atLeast"/>
              <w:jc w:val="center"/>
              <w:rPr>
                <w:rFonts w:eastAsia="仿宋"/>
                <w:bCs/>
                <w:color w:val="000000"/>
                <w:sz w:val="24"/>
                <w:szCs w:val="24"/>
                <w:highlight w:val="none"/>
              </w:rPr>
            </w:pPr>
            <w:r>
              <w:rPr>
                <w:rFonts w:eastAsia="仿宋"/>
                <w:bCs/>
                <w:color w:val="000000"/>
                <w:sz w:val="24"/>
                <w:szCs w:val="24"/>
                <w:highlight w:val="none"/>
              </w:rPr>
              <w:t>1</w:t>
            </w:r>
          </w:p>
        </w:tc>
        <w:tc>
          <w:tcPr>
            <w:tcW w:w="1677" w:type="dxa"/>
            <w:noWrap w:val="0"/>
            <w:vAlign w:val="center"/>
          </w:tcPr>
          <w:p w14:paraId="7DB0BAAD">
            <w:pPr>
              <w:tabs>
                <w:tab w:val="left" w:pos="5355"/>
              </w:tabs>
              <w:spacing w:line="380" w:lineRule="atLeast"/>
              <w:jc w:val="center"/>
              <w:rPr>
                <w:rFonts w:eastAsia="仿宋"/>
                <w:bCs/>
                <w:color w:val="000000"/>
                <w:sz w:val="24"/>
                <w:szCs w:val="24"/>
                <w:highlight w:val="none"/>
              </w:rPr>
            </w:pPr>
            <w:r>
              <w:rPr>
                <w:rFonts w:eastAsia="仿宋"/>
                <w:bCs/>
                <w:color w:val="000000"/>
                <w:sz w:val="24"/>
                <w:szCs w:val="24"/>
                <w:highlight w:val="none"/>
              </w:rPr>
              <w:t>2</w:t>
            </w:r>
          </w:p>
        </w:tc>
        <w:tc>
          <w:tcPr>
            <w:tcW w:w="935" w:type="dxa"/>
            <w:noWrap w:val="0"/>
            <w:vAlign w:val="center"/>
          </w:tcPr>
          <w:p w14:paraId="6EDC8BB3">
            <w:pPr>
              <w:tabs>
                <w:tab w:val="left" w:pos="5355"/>
              </w:tabs>
              <w:spacing w:line="380" w:lineRule="atLeast"/>
              <w:jc w:val="center"/>
              <w:rPr>
                <w:rFonts w:eastAsia="仿宋"/>
                <w:bCs/>
                <w:color w:val="000000"/>
                <w:sz w:val="24"/>
                <w:szCs w:val="24"/>
                <w:highlight w:val="none"/>
              </w:rPr>
            </w:pPr>
            <w:r>
              <w:rPr>
                <w:rFonts w:eastAsia="仿宋"/>
                <w:bCs/>
                <w:color w:val="000000"/>
                <w:sz w:val="24"/>
                <w:szCs w:val="24"/>
                <w:highlight w:val="none"/>
              </w:rPr>
              <w:t>3</w:t>
            </w:r>
          </w:p>
        </w:tc>
        <w:tc>
          <w:tcPr>
            <w:tcW w:w="874" w:type="dxa"/>
            <w:noWrap w:val="0"/>
            <w:vAlign w:val="center"/>
          </w:tcPr>
          <w:p w14:paraId="24B9EA92">
            <w:pPr>
              <w:tabs>
                <w:tab w:val="left" w:pos="5355"/>
              </w:tabs>
              <w:spacing w:line="380" w:lineRule="atLeast"/>
              <w:jc w:val="center"/>
              <w:rPr>
                <w:rFonts w:eastAsia="仿宋"/>
                <w:bCs/>
                <w:color w:val="000000"/>
                <w:sz w:val="24"/>
                <w:szCs w:val="24"/>
                <w:highlight w:val="none"/>
              </w:rPr>
            </w:pPr>
            <w:r>
              <w:rPr>
                <w:rFonts w:eastAsia="仿宋"/>
                <w:bCs/>
                <w:color w:val="000000"/>
                <w:sz w:val="24"/>
                <w:szCs w:val="24"/>
                <w:highlight w:val="none"/>
              </w:rPr>
              <w:t>4</w:t>
            </w:r>
          </w:p>
        </w:tc>
        <w:tc>
          <w:tcPr>
            <w:tcW w:w="1301" w:type="dxa"/>
            <w:noWrap w:val="0"/>
            <w:vAlign w:val="center"/>
          </w:tcPr>
          <w:p w14:paraId="4F46C2B0">
            <w:pPr>
              <w:tabs>
                <w:tab w:val="left" w:pos="5355"/>
              </w:tabs>
              <w:spacing w:line="380" w:lineRule="atLeast"/>
              <w:jc w:val="center"/>
              <w:rPr>
                <w:rFonts w:eastAsia="仿宋"/>
                <w:bCs/>
                <w:color w:val="000000"/>
                <w:sz w:val="24"/>
                <w:szCs w:val="24"/>
                <w:highlight w:val="none"/>
              </w:rPr>
            </w:pPr>
            <w:r>
              <w:rPr>
                <w:rFonts w:eastAsia="仿宋"/>
                <w:bCs/>
                <w:color w:val="000000"/>
                <w:sz w:val="24"/>
                <w:szCs w:val="24"/>
                <w:highlight w:val="none"/>
              </w:rPr>
              <w:t>5</w:t>
            </w:r>
          </w:p>
        </w:tc>
        <w:tc>
          <w:tcPr>
            <w:tcW w:w="1049" w:type="dxa"/>
            <w:noWrap w:val="0"/>
            <w:vAlign w:val="center"/>
          </w:tcPr>
          <w:p w14:paraId="388B4021">
            <w:pPr>
              <w:tabs>
                <w:tab w:val="left" w:pos="5355"/>
              </w:tabs>
              <w:spacing w:line="380" w:lineRule="atLeast"/>
              <w:jc w:val="center"/>
              <w:rPr>
                <w:rFonts w:eastAsia="仿宋"/>
                <w:bCs/>
                <w:color w:val="000000"/>
                <w:sz w:val="24"/>
                <w:szCs w:val="24"/>
                <w:highlight w:val="none"/>
              </w:rPr>
            </w:pPr>
            <w:r>
              <w:rPr>
                <w:rFonts w:eastAsia="仿宋"/>
                <w:bCs/>
                <w:color w:val="000000"/>
                <w:sz w:val="24"/>
                <w:szCs w:val="24"/>
                <w:highlight w:val="none"/>
              </w:rPr>
              <w:t>6</w:t>
            </w:r>
          </w:p>
        </w:tc>
        <w:tc>
          <w:tcPr>
            <w:tcW w:w="1367" w:type="dxa"/>
            <w:noWrap w:val="0"/>
            <w:vAlign w:val="center"/>
          </w:tcPr>
          <w:p w14:paraId="5077BDCA">
            <w:pPr>
              <w:tabs>
                <w:tab w:val="left" w:pos="5355"/>
              </w:tabs>
              <w:spacing w:line="380" w:lineRule="atLeast"/>
              <w:jc w:val="center"/>
              <w:rPr>
                <w:rFonts w:eastAsia="仿宋"/>
                <w:bCs/>
                <w:color w:val="000000"/>
                <w:sz w:val="24"/>
                <w:szCs w:val="24"/>
                <w:highlight w:val="none"/>
              </w:rPr>
            </w:pPr>
            <w:r>
              <w:rPr>
                <w:rFonts w:eastAsia="仿宋"/>
                <w:bCs/>
                <w:color w:val="000000"/>
                <w:sz w:val="24"/>
                <w:szCs w:val="24"/>
                <w:highlight w:val="none"/>
              </w:rPr>
              <w:t>7</w:t>
            </w:r>
          </w:p>
        </w:tc>
        <w:tc>
          <w:tcPr>
            <w:tcW w:w="1367" w:type="dxa"/>
            <w:noWrap w:val="0"/>
            <w:vAlign w:val="center"/>
          </w:tcPr>
          <w:p w14:paraId="7DE7EC81">
            <w:pPr>
              <w:tabs>
                <w:tab w:val="left" w:pos="5355"/>
              </w:tabs>
              <w:spacing w:line="380" w:lineRule="atLeast"/>
              <w:jc w:val="center"/>
              <w:rPr>
                <w:rFonts w:hint="default" w:eastAsia="仿宋"/>
                <w:bCs/>
                <w:color w:val="000000"/>
                <w:sz w:val="24"/>
                <w:szCs w:val="24"/>
                <w:highlight w:val="none"/>
                <w:lang w:val="en-US" w:eastAsia="zh-CN"/>
              </w:rPr>
            </w:pPr>
            <w:r>
              <w:rPr>
                <w:rFonts w:hint="eastAsia" w:eastAsia="仿宋"/>
                <w:bCs/>
                <w:color w:val="000000"/>
                <w:sz w:val="24"/>
                <w:szCs w:val="24"/>
                <w:highlight w:val="none"/>
                <w:lang w:val="en-US" w:eastAsia="zh-CN"/>
              </w:rPr>
              <w:t>备注</w:t>
            </w:r>
          </w:p>
        </w:tc>
      </w:tr>
      <w:tr w14:paraId="4B87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05" w:type="dxa"/>
            <w:tcBorders>
              <w:bottom w:val="single" w:color="auto" w:sz="6" w:space="0"/>
            </w:tcBorders>
            <w:noWrap w:val="0"/>
            <w:vAlign w:val="center"/>
          </w:tcPr>
          <w:p w14:paraId="6E84F909">
            <w:pPr>
              <w:tabs>
                <w:tab w:val="left" w:pos="5355"/>
              </w:tabs>
              <w:spacing w:line="380" w:lineRule="atLeast"/>
              <w:jc w:val="center"/>
              <w:rPr>
                <w:rFonts w:eastAsia="仿宋"/>
                <w:bCs/>
                <w:color w:val="000000"/>
                <w:sz w:val="24"/>
                <w:szCs w:val="24"/>
                <w:highlight w:val="none"/>
              </w:rPr>
            </w:pPr>
            <w:r>
              <w:rPr>
                <w:rFonts w:eastAsia="仿宋"/>
                <w:bCs/>
                <w:color w:val="000000"/>
                <w:sz w:val="24"/>
                <w:szCs w:val="24"/>
                <w:highlight w:val="none"/>
              </w:rPr>
              <w:t>标段（包）</w:t>
            </w:r>
          </w:p>
        </w:tc>
        <w:tc>
          <w:tcPr>
            <w:tcW w:w="1677" w:type="dxa"/>
            <w:noWrap w:val="0"/>
            <w:vAlign w:val="center"/>
          </w:tcPr>
          <w:p w14:paraId="164770CD">
            <w:pPr>
              <w:tabs>
                <w:tab w:val="left" w:pos="5355"/>
              </w:tabs>
              <w:spacing w:line="380" w:lineRule="atLeast"/>
              <w:jc w:val="center"/>
              <w:rPr>
                <w:rFonts w:eastAsia="仿宋"/>
                <w:bCs/>
                <w:color w:val="000000"/>
                <w:sz w:val="24"/>
                <w:szCs w:val="24"/>
                <w:highlight w:val="none"/>
              </w:rPr>
            </w:pPr>
            <w:r>
              <w:rPr>
                <w:rFonts w:eastAsia="仿宋"/>
                <w:bCs/>
                <w:color w:val="000000"/>
                <w:sz w:val="24"/>
                <w:szCs w:val="24"/>
                <w:highlight w:val="none"/>
              </w:rPr>
              <w:t>小型和微型企业产品名称</w:t>
            </w:r>
          </w:p>
        </w:tc>
        <w:tc>
          <w:tcPr>
            <w:tcW w:w="935" w:type="dxa"/>
            <w:noWrap w:val="0"/>
            <w:vAlign w:val="center"/>
          </w:tcPr>
          <w:p w14:paraId="2E937D94">
            <w:pPr>
              <w:tabs>
                <w:tab w:val="left" w:pos="5355"/>
              </w:tabs>
              <w:spacing w:line="380" w:lineRule="atLeast"/>
              <w:jc w:val="center"/>
              <w:rPr>
                <w:rFonts w:eastAsia="仿宋"/>
                <w:bCs/>
                <w:color w:val="000000"/>
                <w:sz w:val="24"/>
                <w:szCs w:val="24"/>
                <w:highlight w:val="none"/>
              </w:rPr>
            </w:pPr>
            <w:r>
              <w:rPr>
                <w:rFonts w:eastAsia="仿宋"/>
                <w:bCs/>
                <w:color w:val="000000"/>
                <w:sz w:val="24"/>
                <w:szCs w:val="24"/>
                <w:highlight w:val="none"/>
              </w:rPr>
              <w:t>数量</w:t>
            </w:r>
          </w:p>
        </w:tc>
        <w:tc>
          <w:tcPr>
            <w:tcW w:w="874" w:type="dxa"/>
            <w:noWrap w:val="0"/>
            <w:vAlign w:val="center"/>
          </w:tcPr>
          <w:p w14:paraId="35447BA4">
            <w:pPr>
              <w:tabs>
                <w:tab w:val="left" w:pos="5355"/>
              </w:tabs>
              <w:spacing w:line="380" w:lineRule="atLeast"/>
              <w:jc w:val="center"/>
              <w:rPr>
                <w:rFonts w:eastAsia="仿宋"/>
                <w:bCs/>
                <w:color w:val="000000"/>
                <w:sz w:val="24"/>
                <w:szCs w:val="24"/>
                <w:highlight w:val="none"/>
              </w:rPr>
            </w:pPr>
            <w:r>
              <w:rPr>
                <w:rFonts w:eastAsia="仿宋"/>
                <w:bCs/>
                <w:color w:val="000000"/>
                <w:sz w:val="24"/>
                <w:szCs w:val="24"/>
                <w:highlight w:val="none"/>
              </w:rPr>
              <w:t>报价（元）</w:t>
            </w:r>
          </w:p>
        </w:tc>
        <w:tc>
          <w:tcPr>
            <w:tcW w:w="1301" w:type="dxa"/>
            <w:noWrap w:val="0"/>
            <w:vAlign w:val="center"/>
          </w:tcPr>
          <w:p w14:paraId="3B502B47">
            <w:pPr>
              <w:tabs>
                <w:tab w:val="left" w:pos="5355"/>
              </w:tabs>
              <w:spacing w:line="380" w:lineRule="atLeast"/>
              <w:jc w:val="center"/>
              <w:rPr>
                <w:rFonts w:eastAsia="仿宋"/>
                <w:bCs/>
                <w:color w:val="000000"/>
                <w:sz w:val="24"/>
                <w:szCs w:val="24"/>
                <w:highlight w:val="none"/>
              </w:rPr>
            </w:pPr>
            <w:r>
              <w:rPr>
                <w:rFonts w:hint="eastAsia" w:eastAsia="仿宋"/>
                <w:bCs/>
                <w:color w:val="000000"/>
                <w:sz w:val="24"/>
                <w:szCs w:val="24"/>
                <w:highlight w:val="none"/>
                <w:lang w:val="en-US" w:eastAsia="zh-CN"/>
              </w:rPr>
              <w:t>报价占比</w:t>
            </w:r>
            <w:r>
              <w:rPr>
                <w:rFonts w:eastAsia="仿宋"/>
                <w:bCs/>
                <w:color w:val="000000"/>
                <w:sz w:val="24"/>
                <w:szCs w:val="24"/>
                <w:highlight w:val="none"/>
              </w:rPr>
              <w:t>（</w:t>
            </w:r>
            <w:r>
              <w:rPr>
                <w:rFonts w:hint="eastAsia" w:eastAsia="仿宋"/>
                <w:bCs/>
                <w:color w:val="000000"/>
                <w:sz w:val="24"/>
                <w:szCs w:val="24"/>
                <w:highlight w:val="none"/>
                <w:lang w:val="en-US" w:eastAsia="zh-CN"/>
              </w:rPr>
              <w:t>%</w:t>
            </w:r>
            <w:r>
              <w:rPr>
                <w:rFonts w:eastAsia="仿宋"/>
                <w:bCs/>
                <w:color w:val="000000"/>
                <w:sz w:val="24"/>
                <w:szCs w:val="24"/>
                <w:highlight w:val="none"/>
              </w:rPr>
              <w:t>）</w:t>
            </w:r>
          </w:p>
        </w:tc>
        <w:tc>
          <w:tcPr>
            <w:tcW w:w="1049" w:type="dxa"/>
            <w:noWrap w:val="0"/>
            <w:vAlign w:val="center"/>
          </w:tcPr>
          <w:p w14:paraId="516C2744">
            <w:pPr>
              <w:tabs>
                <w:tab w:val="left" w:pos="5355"/>
              </w:tabs>
              <w:spacing w:line="380" w:lineRule="atLeast"/>
              <w:jc w:val="center"/>
              <w:rPr>
                <w:rFonts w:eastAsia="仿宋"/>
                <w:bCs/>
                <w:color w:val="000000"/>
                <w:sz w:val="24"/>
                <w:szCs w:val="24"/>
                <w:highlight w:val="none"/>
              </w:rPr>
            </w:pPr>
            <w:r>
              <w:rPr>
                <w:rFonts w:eastAsia="仿宋"/>
                <w:bCs/>
                <w:color w:val="000000"/>
                <w:sz w:val="24"/>
                <w:szCs w:val="24"/>
                <w:highlight w:val="none"/>
              </w:rPr>
              <w:t>品牌型号规格</w:t>
            </w:r>
          </w:p>
        </w:tc>
        <w:tc>
          <w:tcPr>
            <w:tcW w:w="1367" w:type="dxa"/>
            <w:noWrap w:val="0"/>
            <w:vAlign w:val="center"/>
          </w:tcPr>
          <w:p w14:paraId="795C9454">
            <w:pPr>
              <w:tabs>
                <w:tab w:val="left" w:pos="5355"/>
              </w:tabs>
              <w:spacing w:line="380" w:lineRule="atLeast"/>
              <w:jc w:val="center"/>
              <w:rPr>
                <w:rFonts w:eastAsia="仿宋"/>
                <w:bCs/>
                <w:color w:val="000000"/>
                <w:sz w:val="24"/>
                <w:szCs w:val="24"/>
                <w:highlight w:val="none"/>
              </w:rPr>
            </w:pPr>
            <w:r>
              <w:rPr>
                <w:rFonts w:eastAsia="仿宋"/>
                <w:bCs/>
                <w:color w:val="000000"/>
                <w:sz w:val="24"/>
                <w:szCs w:val="24"/>
                <w:highlight w:val="none"/>
              </w:rPr>
              <w:t>制造商</w:t>
            </w:r>
          </w:p>
          <w:p w14:paraId="6E777054">
            <w:pPr>
              <w:tabs>
                <w:tab w:val="left" w:pos="5355"/>
              </w:tabs>
              <w:spacing w:line="380" w:lineRule="atLeast"/>
              <w:jc w:val="center"/>
              <w:rPr>
                <w:rFonts w:eastAsia="仿宋"/>
                <w:bCs/>
                <w:color w:val="000000"/>
                <w:sz w:val="24"/>
                <w:szCs w:val="24"/>
                <w:highlight w:val="none"/>
              </w:rPr>
            </w:pPr>
            <w:r>
              <w:rPr>
                <w:rFonts w:eastAsia="仿宋"/>
                <w:bCs/>
                <w:color w:val="000000"/>
                <w:sz w:val="24"/>
                <w:szCs w:val="24"/>
                <w:highlight w:val="none"/>
              </w:rPr>
              <w:t>全称</w:t>
            </w:r>
          </w:p>
        </w:tc>
        <w:tc>
          <w:tcPr>
            <w:tcW w:w="1367" w:type="dxa"/>
            <w:noWrap w:val="0"/>
            <w:vAlign w:val="center"/>
          </w:tcPr>
          <w:p w14:paraId="04ADDEF3">
            <w:pPr>
              <w:tabs>
                <w:tab w:val="left" w:pos="5355"/>
              </w:tabs>
              <w:spacing w:line="380" w:lineRule="atLeast"/>
              <w:jc w:val="center"/>
              <w:rPr>
                <w:rFonts w:eastAsia="仿宋"/>
                <w:bCs/>
                <w:color w:val="000000"/>
                <w:sz w:val="24"/>
                <w:szCs w:val="24"/>
                <w:highlight w:val="none"/>
              </w:rPr>
            </w:pPr>
          </w:p>
        </w:tc>
      </w:tr>
      <w:tr w14:paraId="50AA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05" w:type="dxa"/>
            <w:tcBorders>
              <w:top w:val="single" w:color="auto" w:sz="6" w:space="0"/>
              <w:bottom w:val="single" w:color="auto" w:sz="6" w:space="0"/>
            </w:tcBorders>
            <w:noWrap w:val="0"/>
            <w:vAlign w:val="center"/>
          </w:tcPr>
          <w:p w14:paraId="4E38CA84">
            <w:pPr>
              <w:tabs>
                <w:tab w:val="left" w:pos="5355"/>
              </w:tabs>
              <w:spacing w:line="380" w:lineRule="atLeast"/>
              <w:jc w:val="center"/>
              <w:rPr>
                <w:rFonts w:eastAsia="仿宋"/>
                <w:bCs/>
                <w:color w:val="000000"/>
                <w:sz w:val="24"/>
                <w:szCs w:val="24"/>
                <w:highlight w:val="none"/>
              </w:rPr>
            </w:pPr>
          </w:p>
        </w:tc>
        <w:tc>
          <w:tcPr>
            <w:tcW w:w="1677" w:type="dxa"/>
            <w:noWrap w:val="0"/>
            <w:vAlign w:val="top"/>
          </w:tcPr>
          <w:p w14:paraId="4D98AD31">
            <w:pPr>
              <w:tabs>
                <w:tab w:val="left" w:pos="5355"/>
              </w:tabs>
              <w:spacing w:line="380" w:lineRule="atLeast"/>
              <w:jc w:val="center"/>
              <w:rPr>
                <w:rFonts w:eastAsia="仿宋"/>
                <w:bCs/>
                <w:color w:val="000000"/>
                <w:sz w:val="24"/>
                <w:szCs w:val="24"/>
                <w:highlight w:val="none"/>
              </w:rPr>
            </w:pPr>
          </w:p>
        </w:tc>
        <w:tc>
          <w:tcPr>
            <w:tcW w:w="935" w:type="dxa"/>
            <w:noWrap w:val="0"/>
            <w:vAlign w:val="center"/>
          </w:tcPr>
          <w:p w14:paraId="7D9AAE33">
            <w:pPr>
              <w:tabs>
                <w:tab w:val="left" w:pos="5355"/>
              </w:tabs>
              <w:spacing w:line="380" w:lineRule="atLeast"/>
              <w:jc w:val="center"/>
              <w:rPr>
                <w:rFonts w:eastAsia="仿宋"/>
                <w:bCs/>
                <w:color w:val="000000"/>
                <w:sz w:val="24"/>
                <w:szCs w:val="24"/>
                <w:highlight w:val="none"/>
              </w:rPr>
            </w:pPr>
          </w:p>
        </w:tc>
        <w:tc>
          <w:tcPr>
            <w:tcW w:w="874" w:type="dxa"/>
            <w:noWrap w:val="0"/>
            <w:vAlign w:val="center"/>
          </w:tcPr>
          <w:p w14:paraId="2DD9B10C">
            <w:pPr>
              <w:tabs>
                <w:tab w:val="left" w:pos="5355"/>
              </w:tabs>
              <w:spacing w:line="380" w:lineRule="atLeast"/>
              <w:jc w:val="center"/>
              <w:rPr>
                <w:rFonts w:eastAsia="仿宋"/>
                <w:bCs/>
                <w:color w:val="000000"/>
                <w:sz w:val="24"/>
                <w:szCs w:val="24"/>
                <w:highlight w:val="none"/>
              </w:rPr>
            </w:pPr>
          </w:p>
        </w:tc>
        <w:tc>
          <w:tcPr>
            <w:tcW w:w="1301" w:type="dxa"/>
            <w:noWrap w:val="0"/>
            <w:vAlign w:val="center"/>
          </w:tcPr>
          <w:p w14:paraId="798D2A1B">
            <w:pPr>
              <w:tabs>
                <w:tab w:val="left" w:pos="5355"/>
              </w:tabs>
              <w:spacing w:line="380" w:lineRule="atLeast"/>
              <w:jc w:val="center"/>
              <w:rPr>
                <w:rFonts w:eastAsia="仿宋"/>
                <w:bCs/>
                <w:color w:val="000000"/>
                <w:sz w:val="24"/>
                <w:szCs w:val="24"/>
                <w:highlight w:val="none"/>
              </w:rPr>
            </w:pPr>
          </w:p>
        </w:tc>
        <w:tc>
          <w:tcPr>
            <w:tcW w:w="1049" w:type="dxa"/>
            <w:noWrap w:val="0"/>
            <w:vAlign w:val="center"/>
          </w:tcPr>
          <w:p w14:paraId="35763558">
            <w:pPr>
              <w:tabs>
                <w:tab w:val="left" w:pos="5355"/>
              </w:tabs>
              <w:spacing w:line="380" w:lineRule="atLeast"/>
              <w:jc w:val="center"/>
              <w:rPr>
                <w:rFonts w:eastAsia="仿宋"/>
                <w:bCs/>
                <w:color w:val="000000"/>
                <w:sz w:val="24"/>
                <w:szCs w:val="24"/>
                <w:highlight w:val="none"/>
              </w:rPr>
            </w:pPr>
          </w:p>
        </w:tc>
        <w:tc>
          <w:tcPr>
            <w:tcW w:w="1367" w:type="dxa"/>
            <w:noWrap w:val="0"/>
            <w:vAlign w:val="center"/>
          </w:tcPr>
          <w:p w14:paraId="72485508">
            <w:pPr>
              <w:tabs>
                <w:tab w:val="left" w:pos="5355"/>
              </w:tabs>
              <w:spacing w:line="380" w:lineRule="atLeast"/>
              <w:jc w:val="center"/>
              <w:rPr>
                <w:rFonts w:eastAsia="仿宋"/>
                <w:bCs/>
                <w:color w:val="000000"/>
                <w:sz w:val="24"/>
                <w:szCs w:val="24"/>
                <w:highlight w:val="none"/>
              </w:rPr>
            </w:pPr>
          </w:p>
        </w:tc>
        <w:tc>
          <w:tcPr>
            <w:tcW w:w="1367" w:type="dxa"/>
            <w:noWrap w:val="0"/>
            <w:vAlign w:val="center"/>
          </w:tcPr>
          <w:p w14:paraId="4C9C3E75">
            <w:pPr>
              <w:tabs>
                <w:tab w:val="left" w:pos="5355"/>
              </w:tabs>
              <w:spacing w:line="380" w:lineRule="atLeast"/>
              <w:jc w:val="center"/>
              <w:rPr>
                <w:rFonts w:eastAsia="仿宋"/>
                <w:bCs/>
                <w:color w:val="000000"/>
                <w:sz w:val="24"/>
                <w:szCs w:val="24"/>
                <w:highlight w:val="none"/>
              </w:rPr>
            </w:pPr>
          </w:p>
        </w:tc>
      </w:tr>
      <w:tr w14:paraId="19CB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05" w:type="dxa"/>
            <w:tcBorders>
              <w:top w:val="single" w:color="auto" w:sz="6" w:space="0"/>
              <w:bottom w:val="single" w:color="auto" w:sz="6" w:space="0"/>
            </w:tcBorders>
            <w:noWrap w:val="0"/>
            <w:vAlign w:val="center"/>
          </w:tcPr>
          <w:p w14:paraId="4B4E4E2F">
            <w:pPr>
              <w:tabs>
                <w:tab w:val="left" w:pos="5355"/>
              </w:tabs>
              <w:spacing w:line="380" w:lineRule="atLeast"/>
              <w:jc w:val="center"/>
              <w:rPr>
                <w:rFonts w:eastAsia="仿宋"/>
                <w:bCs/>
                <w:color w:val="000000"/>
                <w:sz w:val="24"/>
                <w:szCs w:val="24"/>
                <w:highlight w:val="none"/>
              </w:rPr>
            </w:pPr>
          </w:p>
        </w:tc>
        <w:tc>
          <w:tcPr>
            <w:tcW w:w="1677" w:type="dxa"/>
            <w:noWrap w:val="0"/>
            <w:vAlign w:val="top"/>
          </w:tcPr>
          <w:p w14:paraId="2DD42494">
            <w:pPr>
              <w:tabs>
                <w:tab w:val="left" w:pos="5355"/>
              </w:tabs>
              <w:spacing w:line="380" w:lineRule="atLeast"/>
              <w:jc w:val="center"/>
              <w:rPr>
                <w:rFonts w:eastAsia="仿宋"/>
                <w:bCs/>
                <w:color w:val="000000"/>
                <w:sz w:val="24"/>
                <w:szCs w:val="24"/>
                <w:highlight w:val="none"/>
              </w:rPr>
            </w:pPr>
          </w:p>
        </w:tc>
        <w:tc>
          <w:tcPr>
            <w:tcW w:w="935" w:type="dxa"/>
            <w:noWrap w:val="0"/>
            <w:vAlign w:val="center"/>
          </w:tcPr>
          <w:p w14:paraId="3D94DFEF">
            <w:pPr>
              <w:tabs>
                <w:tab w:val="left" w:pos="5355"/>
              </w:tabs>
              <w:spacing w:line="380" w:lineRule="atLeast"/>
              <w:jc w:val="center"/>
              <w:rPr>
                <w:rFonts w:eastAsia="仿宋"/>
                <w:bCs/>
                <w:color w:val="000000"/>
                <w:sz w:val="24"/>
                <w:szCs w:val="24"/>
                <w:highlight w:val="none"/>
              </w:rPr>
            </w:pPr>
          </w:p>
        </w:tc>
        <w:tc>
          <w:tcPr>
            <w:tcW w:w="874" w:type="dxa"/>
            <w:noWrap w:val="0"/>
            <w:vAlign w:val="center"/>
          </w:tcPr>
          <w:p w14:paraId="77253C2A">
            <w:pPr>
              <w:tabs>
                <w:tab w:val="left" w:pos="5355"/>
              </w:tabs>
              <w:spacing w:line="380" w:lineRule="atLeast"/>
              <w:jc w:val="center"/>
              <w:rPr>
                <w:rFonts w:eastAsia="仿宋"/>
                <w:bCs/>
                <w:color w:val="000000"/>
                <w:sz w:val="24"/>
                <w:szCs w:val="24"/>
                <w:highlight w:val="none"/>
              </w:rPr>
            </w:pPr>
          </w:p>
        </w:tc>
        <w:tc>
          <w:tcPr>
            <w:tcW w:w="1301" w:type="dxa"/>
            <w:noWrap w:val="0"/>
            <w:vAlign w:val="center"/>
          </w:tcPr>
          <w:p w14:paraId="75633647">
            <w:pPr>
              <w:tabs>
                <w:tab w:val="left" w:pos="5355"/>
              </w:tabs>
              <w:spacing w:line="380" w:lineRule="atLeast"/>
              <w:jc w:val="center"/>
              <w:rPr>
                <w:rFonts w:eastAsia="仿宋"/>
                <w:bCs/>
                <w:color w:val="000000"/>
                <w:sz w:val="24"/>
                <w:szCs w:val="24"/>
                <w:highlight w:val="none"/>
              </w:rPr>
            </w:pPr>
          </w:p>
        </w:tc>
        <w:tc>
          <w:tcPr>
            <w:tcW w:w="1049" w:type="dxa"/>
            <w:noWrap w:val="0"/>
            <w:vAlign w:val="center"/>
          </w:tcPr>
          <w:p w14:paraId="2EEF57DF">
            <w:pPr>
              <w:tabs>
                <w:tab w:val="left" w:pos="5355"/>
              </w:tabs>
              <w:spacing w:line="380" w:lineRule="atLeast"/>
              <w:jc w:val="center"/>
              <w:rPr>
                <w:rFonts w:eastAsia="仿宋"/>
                <w:bCs/>
                <w:color w:val="000000"/>
                <w:sz w:val="24"/>
                <w:szCs w:val="24"/>
                <w:highlight w:val="none"/>
              </w:rPr>
            </w:pPr>
          </w:p>
        </w:tc>
        <w:tc>
          <w:tcPr>
            <w:tcW w:w="1367" w:type="dxa"/>
            <w:noWrap w:val="0"/>
            <w:vAlign w:val="center"/>
          </w:tcPr>
          <w:p w14:paraId="46A9B5BC">
            <w:pPr>
              <w:tabs>
                <w:tab w:val="left" w:pos="5355"/>
              </w:tabs>
              <w:spacing w:line="380" w:lineRule="atLeast"/>
              <w:jc w:val="center"/>
              <w:rPr>
                <w:rFonts w:eastAsia="仿宋"/>
                <w:bCs/>
                <w:color w:val="000000"/>
                <w:sz w:val="24"/>
                <w:szCs w:val="24"/>
                <w:highlight w:val="none"/>
              </w:rPr>
            </w:pPr>
          </w:p>
        </w:tc>
        <w:tc>
          <w:tcPr>
            <w:tcW w:w="1367" w:type="dxa"/>
            <w:noWrap w:val="0"/>
            <w:vAlign w:val="center"/>
          </w:tcPr>
          <w:p w14:paraId="13568269">
            <w:pPr>
              <w:tabs>
                <w:tab w:val="left" w:pos="5355"/>
              </w:tabs>
              <w:spacing w:line="380" w:lineRule="atLeast"/>
              <w:jc w:val="center"/>
              <w:rPr>
                <w:rFonts w:eastAsia="仿宋"/>
                <w:bCs/>
                <w:color w:val="000000"/>
                <w:sz w:val="24"/>
                <w:szCs w:val="24"/>
                <w:highlight w:val="none"/>
              </w:rPr>
            </w:pPr>
          </w:p>
        </w:tc>
      </w:tr>
      <w:tr w14:paraId="063B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005" w:type="dxa"/>
            <w:tcBorders>
              <w:top w:val="single" w:color="auto" w:sz="6" w:space="0"/>
              <w:bottom w:val="single" w:color="auto" w:sz="6" w:space="0"/>
            </w:tcBorders>
            <w:noWrap w:val="0"/>
            <w:vAlign w:val="center"/>
          </w:tcPr>
          <w:p w14:paraId="1A64ABDD">
            <w:pPr>
              <w:tabs>
                <w:tab w:val="left" w:pos="5355"/>
              </w:tabs>
              <w:spacing w:line="380" w:lineRule="atLeast"/>
              <w:jc w:val="center"/>
              <w:rPr>
                <w:rFonts w:eastAsia="仿宋"/>
                <w:bCs/>
                <w:color w:val="000000"/>
                <w:sz w:val="24"/>
                <w:szCs w:val="24"/>
                <w:highlight w:val="none"/>
              </w:rPr>
            </w:pPr>
          </w:p>
        </w:tc>
        <w:tc>
          <w:tcPr>
            <w:tcW w:w="7203" w:type="dxa"/>
            <w:gridSpan w:val="6"/>
            <w:noWrap w:val="0"/>
            <w:vAlign w:val="center"/>
          </w:tcPr>
          <w:p w14:paraId="4DAD2612">
            <w:pPr>
              <w:tabs>
                <w:tab w:val="left" w:pos="5355"/>
              </w:tabs>
              <w:spacing w:line="380" w:lineRule="atLeast"/>
              <w:rPr>
                <w:rFonts w:eastAsia="仿宋"/>
                <w:bCs/>
                <w:color w:val="000000"/>
                <w:sz w:val="24"/>
                <w:szCs w:val="24"/>
                <w:highlight w:val="none"/>
              </w:rPr>
            </w:pPr>
            <w:r>
              <w:rPr>
                <w:rFonts w:eastAsia="仿宋"/>
                <w:bCs/>
                <w:color w:val="000000"/>
                <w:sz w:val="24"/>
                <w:szCs w:val="24"/>
                <w:highlight w:val="none"/>
              </w:rPr>
              <w:t>本标段（包）总计：           （元）</w:t>
            </w:r>
          </w:p>
        </w:tc>
        <w:tc>
          <w:tcPr>
            <w:tcW w:w="1367" w:type="dxa"/>
            <w:noWrap w:val="0"/>
            <w:vAlign w:val="center"/>
          </w:tcPr>
          <w:p w14:paraId="1E24376D">
            <w:pPr>
              <w:tabs>
                <w:tab w:val="left" w:pos="5355"/>
              </w:tabs>
              <w:spacing w:line="380" w:lineRule="atLeast"/>
              <w:rPr>
                <w:rFonts w:eastAsia="仿宋"/>
                <w:bCs/>
                <w:color w:val="000000"/>
                <w:sz w:val="24"/>
                <w:szCs w:val="24"/>
                <w:highlight w:val="none"/>
              </w:rPr>
            </w:pPr>
          </w:p>
        </w:tc>
      </w:tr>
      <w:tr w14:paraId="7854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9575" w:type="dxa"/>
            <w:gridSpan w:val="8"/>
            <w:tcBorders>
              <w:top w:val="single" w:color="auto" w:sz="6" w:space="0"/>
              <w:bottom w:val="single" w:color="auto" w:sz="6" w:space="0"/>
            </w:tcBorders>
            <w:noWrap w:val="0"/>
            <w:vAlign w:val="center"/>
          </w:tcPr>
          <w:p w14:paraId="5D4EECF8">
            <w:pPr>
              <w:tabs>
                <w:tab w:val="left" w:pos="5355"/>
              </w:tabs>
              <w:spacing w:line="380" w:lineRule="atLeast"/>
              <w:rPr>
                <w:rFonts w:hint="eastAsia" w:eastAsia="仿宋"/>
                <w:b/>
                <w:bCs w:val="0"/>
                <w:color w:val="000000"/>
                <w:sz w:val="24"/>
                <w:szCs w:val="24"/>
                <w:highlight w:val="none"/>
                <w:lang w:val="en-US" w:eastAsia="zh-CN"/>
              </w:rPr>
            </w:pPr>
            <w:r>
              <w:rPr>
                <w:rFonts w:hint="eastAsia" w:eastAsia="仿宋"/>
                <w:b/>
                <w:bCs w:val="0"/>
                <w:color w:val="000000"/>
                <w:sz w:val="24"/>
                <w:szCs w:val="24"/>
                <w:highlight w:val="none"/>
                <w:lang w:val="en-US" w:eastAsia="zh-CN"/>
              </w:rPr>
              <w:t>注：</w:t>
            </w:r>
          </w:p>
          <w:p w14:paraId="34FD42A6">
            <w:pPr>
              <w:tabs>
                <w:tab w:val="left" w:pos="5355"/>
              </w:tabs>
              <w:spacing w:line="380" w:lineRule="atLeast"/>
              <w:rPr>
                <w:rFonts w:hint="eastAsia" w:eastAsia="仿宋"/>
                <w:b/>
                <w:bCs w:val="0"/>
                <w:color w:val="000000"/>
                <w:sz w:val="24"/>
                <w:szCs w:val="24"/>
                <w:highlight w:val="none"/>
                <w:lang w:val="en-US" w:eastAsia="zh-CN"/>
              </w:rPr>
            </w:pPr>
            <w:r>
              <w:rPr>
                <w:rFonts w:hint="eastAsia" w:eastAsia="仿宋"/>
                <w:b/>
                <w:bCs w:val="0"/>
                <w:color w:val="000000"/>
                <w:sz w:val="24"/>
                <w:szCs w:val="24"/>
                <w:highlight w:val="none"/>
                <w:lang w:val="en-US" w:eastAsia="zh-CN"/>
              </w:rPr>
              <w:t>★落实政府采购政策：超过200万元的货物和服务采购项目，预留该部分采购项目预算总额的30%以上专门面向中小企业采购，其中预留给小微企业的比例不低于60%。</w:t>
            </w:r>
          </w:p>
          <w:p w14:paraId="5347AD6C">
            <w:pPr>
              <w:tabs>
                <w:tab w:val="left" w:pos="5355"/>
              </w:tabs>
              <w:spacing w:line="380" w:lineRule="atLeast"/>
              <w:rPr>
                <w:rFonts w:eastAsia="仿宋"/>
                <w:bCs/>
                <w:color w:val="000000"/>
                <w:sz w:val="24"/>
                <w:szCs w:val="24"/>
                <w:highlight w:val="none"/>
              </w:rPr>
            </w:pPr>
            <w:r>
              <w:rPr>
                <w:rFonts w:hint="eastAsia" w:ascii="仿宋" w:hAnsi="仿宋" w:eastAsia="仿宋" w:cs="仿宋"/>
                <w:bCs/>
                <w:color w:val="auto"/>
                <w:sz w:val="24"/>
                <w:szCs w:val="24"/>
                <w:highlight w:val="none"/>
                <w:lang w:val="en-US" w:eastAsia="zh-CN"/>
              </w:rPr>
              <w:t>本标项专门面向中小企业</w:t>
            </w:r>
            <w:r>
              <w:rPr>
                <w:rFonts w:hint="eastAsia" w:eastAsia="仿宋"/>
                <w:b/>
                <w:bCs w:val="0"/>
                <w:color w:val="000000"/>
                <w:sz w:val="24"/>
                <w:szCs w:val="24"/>
                <w:highlight w:val="none"/>
                <w:lang w:val="en-US" w:eastAsia="zh-CN"/>
              </w:rPr>
              <w:t>，其中小微企业的比例不低于30%。</w:t>
            </w:r>
          </w:p>
        </w:tc>
      </w:tr>
    </w:tbl>
    <w:p w14:paraId="2E23AF59">
      <w:pPr>
        <w:pStyle w:val="150"/>
        <w:spacing w:line="440" w:lineRule="exact"/>
        <w:ind w:left="0" w:firstLine="0"/>
        <w:rPr>
          <w:rFonts w:ascii="Times New Roman" w:hAnsi="Times New Roman" w:eastAsia="仿宋"/>
          <w:bCs/>
          <w:color w:val="000000"/>
          <w:sz w:val="24"/>
          <w:szCs w:val="24"/>
          <w:highlight w:val="none"/>
        </w:rPr>
      </w:pPr>
    </w:p>
    <w:p w14:paraId="372E8E97">
      <w:pPr>
        <w:tabs>
          <w:tab w:val="left" w:pos="13000"/>
        </w:tabs>
        <w:spacing w:line="440" w:lineRule="exact"/>
        <w:rPr>
          <w:rFonts w:eastAsia="仿宋"/>
          <w:bCs/>
          <w:color w:val="000000"/>
          <w:sz w:val="24"/>
          <w:szCs w:val="24"/>
          <w:highlight w:val="none"/>
        </w:rPr>
      </w:pPr>
      <w:r>
        <w:rPr>
          <w:rFonts w:eastAsia="仿宋"/>
          <w:bCs/>
          <w:color w:val="000000"/>
          <w:sz w:val="24"/>
          <w:szCs w:val="24"/>
          <w:highlight w:val="none"/>
        </w:rPr>
        <w:t>注：</w:t>
      </w:r>
    </w:p>
    <w:p w14:paraId="7C559CEF">
      <w:pPr>
        <w:spacing w:line="440" w:lineRule="exact"/>
        <w:ind w:firstLine="420"/>
        <w:rPr>
          <w:rFonts w:eastAsia="仿宋"/>
          <w:bCs/>
          <w:color w:val="000000"/>
          <w:sz w:val="24"/>
          <w:szCs w:val="24"/>
          <w:highlight w:val="none"/>
        </w:rPr>
      </w:pPr>
      <w:r>
        <w:rPr>
          <w:rFonts w:eastAsia="仿宋"/>
          <w:bCs/>
          <w:color w:val="000000"/>
          <w:sz w:val="24"/>
          <w:szCs w:val="24"/>
          <w:highlight w:val="none"/>
        </w:rPr>
        <w:t>1、当一个标段（包）内有多个属于小型和微型企业的产品时，投标人应按序号详细填写。</w:t>
      </w:r>
    </w:p>
    <w:p w14:paraId="3298204A">
      <w:pPr>
        <w:spacing w:line="440" w:lineRule="exact"/>
        <w:ind w:firstLine="600"/>
        <w:rPr>
          <w:rFonts w:eastAsia="仿宋"/>
          <w:bCs/>
          <w:color w:val="000000"/>
          <w:sz w:val="24"/>
          <w:szCs w:val="24"/>
          <w:highlight w:val="none"/>
        </w:rPr>
      </w:pPr>
    </w:p>
    <w:p w14:paraId="2F5F493F">
      <w:pPr>
        <w:adjustRightInd w:val="0"/>
        <w:snapToGrid w:val="0"/>
        <w:spacing w:line="360" w:lineRule="auto"/>
        <w:jc w:val="right"/>
        <w:rPr>
          <w:rFonts w:eastAsia="仿宋"/>
          <w:bCs/>
          <w:color w:val="000000"/>
          <w:sz w:val="24"/>
          <w:szCs w:val="24"/>
          <w:highlight w:val="none"/>
        </w:rPr>
      </w:pPr>
    </w:p>
    <w:p w14:paraId="53E0A229">
      <w:pPr>
        <w:adjustRightInd w:val="0"/>
        <w:snapToGrid w:val="0"/>
        <w:spacing w:line="360" w:lineRule="auto"/>
        <w:jc w:val="right"/>
        <w:rPr>
          <w:rFonts w:eastAsia="仿宋"/>
          <w:bCs/>
          <w:color w:val="000000"/>
          <w:sz w:val="24"/>
          <w:szCs w:val="24"/>
          <w:highlight w:val="none"/>
        </w:rPr>
      </w:pPr>
      <w:r>
        <w:rPr>
          <w:rFonts w:eastAsia="仿宋"/>
          <w:bCs/>
          <w:color w:val="000000"/>
          <w:sz w:val="24"/>
          <w:szCs w:val="24"/>
          <w:highlight w:val="none"/>
        </w:rPr>
        <w:t>投标人（盖单位章）：</w:t>
      </w:r>
    </w:p>
    <w:p w14:paraId="53C1DF45">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right"/>
        <w:textAlignment w:val="baseline"/>
        <w:outlineLvl w:val="9"/>
        <w:rPr>
          <w:rFonts w:ascii="Times New Roman" w:hAnsi="Times New Roman" w:eastAsia="仿宋" w:cs="Times New Roman"/>
          <w:bCs/>
          <w:color w:val="000000"/>
          <w:kern w:val="2"/>
          <w:sz w:val="24"/>
          <w:szCs w:val="24"/>
          <w:highlight w:val="none"/>
          <w:lang w:val="en-US" w:eastAsia="zh-CN" w:bidi="ar-SA"/>
        </w:rPr>
        <w:sectPr>
          <w:headerReference r:id="rId21" w:type="default"/>
          <w:pgSz w:w="11905" w:h="16838"/>
          <w:pgMar w:top="720" w:right="1417" w:bottom="720" w:left="1417" w:header="680" w:footer="680" w:gutter="0"/>
          <w:pgNumType w:fmt="decimal"/>
          <w:cols w:space="720" w:num="1"/>
          <w:docGrid w:type="lines" w:linePitch="416" w:charSpace="0"/>
        </w:sectPr>
      </w:pPr>
      <w:r>
        <w:rPr>
          <w:rFonts w:ascii="Times New Roman" w:hAnsi="Times New Roman" w:eastAsia="仿宋" w:cs="Times New Roman"/>
          <w:bCs/>
          <w:color w:val="000000"/>
          <w:kern w:val="2"/>
          <w:sz w:val="24"/>
          <w:szCs w:val="24"/>
          <w:highlight w:val="none"/>
          <w:lang w:val="en-US" w:eastAsia="zh-CN" w:bidi="ar-SA"/>
        </w:rPr>
        <w:t>日期：         年    月   日</w:t>
      </w:r>
    </w:p>
    <w:p w14:paraId="59BDADD4">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b/>
          <w:bCs/>
          <w:color w:val="auto"/>
          <w:spacing w:val="5"/>
          <w:sz w:val="24"/>
          <w:szCs w:val="24"/>
          <w:highlight w:val="none"/>
          <w:lang w:val="en-US" w:eastAsia="zh-CN"/>
        </w:rPr>
      </w:pPr>
      <w:bookmarkStart w:id="155" w:name="_Toc8144"/>
      <w:r>
        <w:rPr>
          <w:rFonts w:hint="eastAsia" w:ascii="仿宋" w:hAnsi="仿宋" w:eastAsia="仿宋" w:cs="仿宋"/>
          <w:b/>
          <w:bCs/>
          <w:color w:val="auto"/>
          <w:spacing w:val="5"/>
          <w:sz w:val="24"/>
          <w:szCs w:val="24"/>
          <w:highlight w:val="none"/>
          <w:lang w:val="en-US" w:eastAsia="zh-CN"/>
        </w:rPr>
        <w:t>十三、投标人认为需要提供的其它商务、技术资料和说明。</w:t>
      </w:r>
      <w:bookmarkEnd w:id="155"/>
    </w:p>
    <w:p w14:paraId="520B50E2">
      <w:pPr>
        <w:spacing w:line="400" w:lineRule="atLeast"/>
        <w:ind w:firstLine="3730"/>
        <w:outlineLvl w:val="0"/>
        <w:rPr>
          <w:rFonts w:hint="eastAsia" w:ascii="仿宋" w:hAnsi="仿宋" w:eastAsia="仿宋" w:cs="仿宋"/>
          <w:bCs/>
          <w:color w:val="auto"/>
          <w:sz w:val="24"/>
          <w:szCs w:val="24"/>
          <w:highlight w:val="none"/>
        </w:rPr>
      </w:pPr>
    </w:p>
    <w:sectPr>
      <w:pgSz w:w="11905" w:h="16838"/>
      <w:pgMar w:top="720" w:right="1417" w:bottom="720" w:left="1417" w:header="680" w:footer="680" w:gutter="0"/>
      <w:pgNumType w:fmt="decimal"/>
      <w:cols w:space="720" w:num="1"/>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B43B1">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3631F227">
                          <w:pPr>
                            <w:snapToGrid w:val="0"/>
                            <w:rPr>
                              <w:sz w:val="18"/>
                            </w:rPr>
                          </w:pPr>
                        </w:p>
                      </w:txbxContent>
                    </wps:txbx>
                    <wps:bodyPr wrap="none" lIns="0" tIns="0" rIns="0" bIns="0" upright="1">
                      <a:spAutoFit/>
                    </wps:bodyPr>
                  </wps:wsp>
                </a:graphicData>
              </a:graphic>
            </wp:anchor>
          </w:drawing>
        </mc:Choice>
        <mc:Fallback>
          <w:pict>
            <v:shape id="文本框 2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PlfknQAAAAAwEAAA8AAAAAAAAAAQAg&#10;AAAAIgAAAGRycy9kb3ducmV2LnhtbFBLAQIUABQAAAAIAIdO4kCv28sP3QEAAK8DAAAOAAAAAAAA&#10;AAEAIAAAAB8BAABkcnMvZTJvRG9jLnhtbFBLBQYAAAAABgAGAFkBAABuBQAAAAA=&#10;">
              <v:fill on="f" focussize="0,0"/>
              <v:stroke on="f"/>
              <v:imagedata o:title=""/>
              <o:lock v:ext="edit" aspectratio="f"/>
              <v:textbox inset="0mm,0mm,0mm,0mm" style="mso-fit-shape-to-text:t;">
                <w:txbxContent>
                  <w:p w14:paraId="3631F227">
                    <w:pPr>
                      <w:snapToGrid w:val="0"/>
                      <w:rPr>
                        <w:sz w:val="1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20955</wp:posOffset>
              </wp:positionV>
              <wp:extent cx="76200" cy="110490"/>
              <wp:effectExtent l="0" t="0" r="0" b="0"/>
              <wp:wrapNone/>
              <wp:docPr id="3" name="文本框 26"/>
              <wp:cNvGraphicFramePr/>
              <a:graphic xmlns:a="http://schemas.openxmlformats.org/drawingml/2006/main">
                <a:graphicData uri="http://schemas.microsoft.com/office/word/2010/wordprocessingShape">
                  <wps:wsp>
                    <wps:cNvSpPr txBox="1"/>
                    <wps:spPr>
                      <a:xfrm>
                        <a:off x="0" y="0"/>
                        <a:ext cx="76200" cy="110490"/>
                      </a:xfrm>
                      <a:prstGeom prst="rect">
                        <a:avLst/>
                      </a:prstGeom>
                      <a:noFill/>
                      <a:ln w="9525">
                        <a:noFill/>
                      </a:ln>
                      <a:effectLst/>
                    </wps:spPr>
                    <wps:txbx>
                      <w:txbxContent>
                        <w:p w14:paraId="26085777">
                          <w:pPr>
                            <w:snapToGrid w:val="0"/>
                            <w:rPr>
                              <w:sz w:val="18"/>
                            </w:rPr>
                          </w:pPr>
                        </w:p>
                      </w:txbxContent>
                    </wps:txbx>
                    <wps:bodyPr wrap="square" lIns="0" tIns="0" rIns="0" bIns="0" upright="1"/>
                  </wps:wsp>
                </a:graphicData>
              </a:graphic>
            </wp:anchor>
          </w:drawing>
        </mc:Choice>
        <mc:Fallback>
          <w:pict>
            <v:shape id="文本框 26" o:spid="_x0000_s1026" o:spt="202" type="#_x0000_t202" style="position:absolute;left:0pt;margin-top:1.65pt;height:8.7pt;width:6pt;mso-position-horizontal:center;mso-position-horizontal-relative:margin;z-index:251660288;mso-width-relative:page;mso-height-relative:page;" filled="f" stroked="f" coordsize="21600,21600" o:gfxdata="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&#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Le3/vTAAAABAEAAA8AAAAAAAAAAQAgAAAAIgAAAGRy&#10;cy9kb3ducmV2LnhtbFBLAQIUABQAAAAIAIdO4kD/bRUZ0QEAAJYDAAAOAAAAAAAAAAEAIAAAACIB&#10;AABkcnMvZTJvRG9jLnhtbFBLBQYAAAAABgAGAFkBAABlBQAAAAA=&#10;">
              <v:fill on="f" focussize="0,0"/>
              <v:stroke on="f"/>
              <v:imagedata o:title=""/>
              <o:lock v:ext="edit" aspectratio="f"/>
              <v:textbox inset="0mm,0mm,0mm,0mm">
                <w:txbxContent>
                  <w:p w14:paraId="26085777">
                    <w:pPr>
                      <w:snapToGrid w:val="0"/>
                      <w:rPr>
                        <w:sz w:val="1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5B3E5143">
                          <w:pPr>
                            <w:snapToGrid w:val="0"/>
                            <w:rPr>
                              <w:sz w:val="1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5X5J0AAAAAMBAAAPAAAAAAAAAAEAIAAA&#10;ACIAAABkcnMvZG93bnJldi54bWxQSwECFAAUAAAACACHTuJArKUGp9sBAACuAwAADgAAAAAAAAAB&#10;ACAAAAAfAQAAZHJzL2Uyb0RvYy54bWxQSwUGAAAAAAYABgBZAQAAbAUAAAAA&#10;">
              <v:fill on="f" focussize="0,0"/>
              <v:stroke on="f"/>
              <v:imagedata o:title=""/>
              <o:lock v:ext="edit" aspectratio="f"/>
              <v:textbox inset="0mm,0mm,0mm,0mm" style="mso-fit-shape-to-text:t;">
                <w:txbxContent>
                  <w:p w14:paraId="5B3E5143">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F49A0">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A0882">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5A0882">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2B771">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14C46">
                          <w:pPr>
                            <w:pStyle w:val="2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C14C46">
                    <w:pPr>
                      <w:pStyle w:val="2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BF5C">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AABA9">
                          <w:pPr>
                            <w:pStyle w:val="2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BAABA9">
                    <w:pPr>
                      <w:pStyle w:val="2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E5346">
    <w:pPr>
      <w:pStyle w:val="2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2A161">
                          <w:pPr>
                            <w:pStyle w:val="22"/>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F2A161">
                    <w:pPr>
                      <w:pStyle w:val="22"/>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59347">
    <w:pPr>
      <w:pStyle w:val="15"/>
      <w:spacing w:line="239" w:lineRule="auto"/>
      <w:ind w:left="3858"/>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B729F">
                          <w:pPr>
                            <w:pStyle w:val="22"/>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40B729F">
                    <w:pPr>
                      <w:pStyle w:val="22"/>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FED16">
    <w:pPr>
      <w:pStyle w:val="15"/>
      <w:spacing w:line="239" w:lineRule="auto"/>
      <w:ind w:left="3858"/>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0ECD4">
                          <w:pPr>
                            <w:pStyle w:val="22"/>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4E0ECD4">
                    <w:pPr>
                      <w:pStyle w:val="22"/>
                    </w:pPr>
                    <w:r>
                      <w:fldChar w:fldCharType="begin"/>
                    </w:r>
                    <w:r>
                      <w:instrText xml:space="preserve"> PAGE  \* MERGEFORMAT </w:instrText>
                    </w:r>
                    <w:r>
                      <w:fldChar w:fldCharType="separate"/>
                    </w:r>
                    <w:r>
                      <w:t>129</w:t>
                    </w:r>
                    <w:r>
                      <w:fldChar w:fldCharType="end"/>
                    </w:r>
                  </w:p>
                </w:txbxContent>
              </v:textbox>
            </v:shape>
          </w:pict>
        </mc:Fallback>
      </mc:AlternateContent>
    </w:r>
    <w:r>
      <w:rPr>
        <w:spacing w:val="-2"/>
        <w:sz w:val="20"/>
        <w:szCs w:val="20"/>
      </w:rPr>
      <w:t>-</w:t>
    </w:r>
    <w:r>
      <w:rPr>
        <w:spacing w:val="21"/>
        <w:sz w:val="20"/>
        <w:szCs w:val="20"/>
      </w:rPr>
      <w:t xml:space="preserve"> </w:t>
    </w:r>
    <w:r>
      <w:rPr>
        <w:spacing w:val="-2"/>
        <w:sz w:val="20"/>
        <w:szCs w:val="20"/>
      </w:rPr>
      <w:t>78</w:t>
    </w:r>
    <w:r>
      <w:rPr>
        <w:spacing w:val="11"/>
        <w:sz w:val="20"/>
        <w:szCs w:val="20"/>
      </w:rPr>
      <w:t xml:space="preserve"> </w:t>
    </w:r>
    <w:r>
      <w:rPr>
        <w:spacing w:val="-2"/>
        <w:sz w:val="20"/>
        <w:szCs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01ECF">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BDF60">
                          <w:pPr>
                            <w:pStyle w:val="22"/>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19BDF60">
                    <w:pPr>
                      <w:pStyle w:val="22"/>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7CE3E">
    <w:pPr>
      <w:pStyle w:val="2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A7442">
                          <w:pPr>
                            <w:pStyle w:val="22"/>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8A7442">
                    <w:pPr>
                      <w:pStyle w:val="22"/>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9F9B">
    <w:pPr>
      <w:pStyle w:val="23"/>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070A">
    <w:pPr>
      <w:pStyle w:val="23"/>
      <w:pBdr>
        <w:bottom w:val="none" w:color="auto" w:sz="0" w:space="1"/>
      </w:pBdr>
      <w:rPr>
        <w:b/>
        <w:b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52C87">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AAFF3">
    <w:pPr>
      <w:pStyle w:val="15"/>
      <w:pBdr>
        <w:top w:val="none" w:color="auto" w:sz="0" w:space="0"/>
        <w:left w:val="none" w:color="auto" w:sz="0" w:space="0"/>
        <w:bottom w:val="none" w:color="auto" w:sz="0" w:space="0"/>
        <w:right w:val="none" w:color="auto" w:sz="0" w:space="0"/>
        <w:between w:val="none" w:color="auto" w:sz="0" w:space="0"/>
      </w:pBdr>
      <w:spacing w:before="48" w:line="219" w:lineRule="auto"/>
      <w:ind w:left="4468"/>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4B513">
    <w:pPr>
      <w:pStyle w:val="2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29EE3">
    <w:pPr>
      <w:pStyle w:val="2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0CD8C">
    <w:pPr>
      <w:pStyle w:val="23"/>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5009A">
    <w:pPr>
      <w:pStyle w:val="23"/>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B6AEF">
    <w:pPr>
      <w:pStyle w:val="23"/>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0D6AE">
    <w:pPr>
      <w:pStyle w:val="23"/>
      <w:pBdr>
        <w:bottom w:val="none" w:color="auto" w:sz="0" w:space="1"/>
      </w:pBdr>
      <w:rPr>
        <w:b/>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2ECAF"/>
    <w:multiLevelType w:val="singleLevel"/>
    <w:tmpl w:val="AD82ECAF"/>
    <w:lvl w:ilvl="0" w:tentative="0">
      <w:start w:val="3"/>
      <w:numFmt w:val="decimal"/>
      <w:suff w:val="nothing"/>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E81B74FE"/>
    <w:multiLevelType w:val="singleLevel"/>
    <w:tmpl w:val="E81B74FE"/>
    <w:lvl w:ilvl="0" w:tentative="0">
      <w:start w:val="1"/>
      <w:numFmt w:val="decimal"/>
      <w:suff w:val="nothing"/>
      <w:lvlText w:val="%1）"/>
      <w:lvlJc w:val="left"/>
    </w:lvl>
  </w:abstractNum>
  <w:abstractNum w:abstractNumId="3">
    <w:nsid w:val="FCE3E344"/>
    <w:multiLevelType w:val="singleLevel"/>
    <w:tmpl w:val="FCE3E344"/>
    <w:lvl w:ilvl="0" w:tentative="0">
      <w:start w:val="3"/>
      <w:numFmt w:val="chineseCounting"/>
      <w:suff w:val="nothing"/>
      <w:lvlText w:val="（%1）"/>
      <w:lvlJc w:val="left"/>
      <w:rPr>
        <w:rFonts w:hint="eastAsia"/>
      </w:rPr>
    </w:lvl>
  </w:abstractNum>
  <w:abstractNum w:abstractNumId="4">
    <w:nsid w:val="FFEFC674"/>
    <w:multiLevelType w:val="singleLevel"/>
    <w:tmpl w:val="FFEFC674"/>
    <w:lvl w:ilvl="0" w:tentative="0">
      <w:start w:val="1"/>
      <w:numFmt w:val="decimal"/>
      <w:suff w:val="nothing"/>
      <w:lvlText w:val="（%1）"/>
      <w:lvlJc w:val="left"/>
    </w:lvl>
  </w:abstractNum>
  <w:abstractNum w:abstractNumId="5">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1DFDAD59"/>
    <w:multiLevelType w:val="singleLevel"/>
    <w:tmpl w:val="1DFDAD59"/>
    <w:lvl w:ilvl="0" w:tentative="0">
      <w:start w:val="3"/>
      <w:numFmt w:val="chineseCounting"/>
      <w:suff w:val="space"/>
      <w:lvlText w:val="第%1部分"/>
      <w:lvlJc w:val="left"/>
      <w:rPr>
        <w:rFonts w:hint="eastAsia"/>
      </w:rPr>
    </w:lvl>
  </w:abstractNum>
  <w:abstractNum w:abstractNumId="7">
    <w:nsid w:val="2FB0C673"/>
    <w:multiLevelType w:val="singleLevel"/>
    <w:tmpl w:val="2FB0C673"/>
    <w:lvl w:ilvl="0" w:tentative="0">
      <w:start w:val="5"/>
      <w:numFmt w:val="chineseCounting"/>
      <w:suff w:val="space"/>
      <w:lvlText w:val="（%1）"/>
      <w:lvlJc w:val="left"/>
      <w:rPr>
        <w:rFonts w:hint="eastAsia"/>
      </w:rPr>
    </w:lvl>
  </w:abstractNum>
  <w:abstractNum w:abstractNumId="8">
    <w:nsid w:val="34D606CD"/>
    <w:multiLevelType w:val="singleLevel"/>
    <w:tmpl w:val="34D606CD"/>
    <w:lvl w:ilvl="0" w:tentative="0">
      <w:start w:val="1"/>
      <w:numFmt w:val="decimal"/>
      <w:lvlText w:val="(%1)"/>
      <w:lvlJc w:val="left"/>
      <w:pPr>
        <w:ind w:left="425" w:hanging="425"/>
      </w:pPr>
      <w:rPr>
        <w:rFonts w:hint="default"/>
      </w:rPr>
    </w:lvl>
  </w:abstractNum>
  <w:abstractNum w:abstractNumId="9">
    <w:nsid w:val="7A0F6431"/>
    <w:multiLevelType w:val="singleLevel"/>
    <w:tmpl w:val="7A0F6431"/>
    <w:lvl w:ilvl="0" w:tentative="0">
      <w:start w:val="1"/>
      <w:numFmt w:val="decimal"/>
      <w:suff w:val="space"/>
      <w:lvlText w:val="%1."/>
      <w:lvlJc w:val="left"/>
    </w:lvl>
  </w:abstractNum>
  <w:num w:numId="1">
    <w:abstractNumId w:val="5"/>
  </w:num>
  <w:num w:numId="2">
    <w:abstractNumId w:val="0"/>
  </w:num>
  <w:num w:numId="3">
    <w:abstractNumId w:val="8"/>
  </w:num>
  <w:num w:numId="4">
    <w:abstractNumId w:val="6"/>
  </w:num>
  <w:num w:numId="5">
    <w:abstractNumId w:val="2"/>
  </w:num>
  <w:num w:numId="6">
    <w:abstractNumId w:val="9"/>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208"/>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f6a3a9df-acfb-412e-b997-dba0dae689c4"/>
  </w:docVars>
  <w:rsids>
    <w:rsidRoot w:val="00172A27"/>
    <w:rsid w:val="000446E1"/>
    <w:rsid w:val="000A7424"/>
    <w:rsid w:val="000B28F8"/>
    <w:rsid w:val="000C6D91"/>
    <w:rsid w:val="00100D73"/>
    <w:rsid w:val="00187B71"/>
    <w:rsid w:val="001B03A0"/>
    <w:rsid w:val="001B1189"/>
    <w:rsid w:val="002B68A9"/>
    <w:rsid w:val="003A4F5C"/>
    <w:rsid w:val="004372BB"/>
    <w:rsid w:val="004C3E35"/>
    <w:rsid w:val="00684ED1"/>
    <w:rsid w:val="006A163C"/>
    <w:rsid w:val="006E22DD"/>
    <w:rsid w:val="00753C00"/>
    <w:rsid w:val="00772A4C"/>
    <w:rsid w:val="007B4C00"/>
    <w:rsid w:val="007D3B73"/>
    <w:rsid w:val="0080131C"/>
    <w:rsid w:val="008C1E5A"/>
    <w:rsid w:val="008F76EF"/>
    <w:rsid w:val="00A73A82"/>
    <w:rsid w:val="00B71769"/>
    <w:rsid w:val="00B76AC5"/>
    <w:rsid w:val="00C76C75"/>
    <w:rsid w:val="00C8393F"/>
    <w:rsid w:val="00D16091"/>
    <w:rsid w:val="00D604EA"/>
    <w:rsid w:val="00E865C2"/>
    <w:rsid w:val="00EE03DE"/>
    <w:rsid w:val="00F1417A"/>
    <w:rsid w:val="00F648E2"/>
    <w:rsid w:val="00F654D7"/>
    <w:rsid w:val="00FA00EC"/>
    <w:rsid w:val="00FA1720"/>
    <w:rsid w:val="00FC70CC"/>
    <w:rsid w:val="024324B4"/>
    <w:rsid w:val="02B21967"/>
    <w:rsid w:val="02F37265"/>
    <w:rsid w:val="02FF7BF3"/>
    <w:rsid w:val="032226B1"/>
    <w:rsid w:val="032D0C31"/>
    <w:rsid w:val="035C5276"/>
    <w:rsid w:val="04B7427C"/>
    <w:rsid w:val="04D31DE5"/>
    <w:rsid w:val="04EC540D"/>
    <w:rsid w:val="04EF590D"/>
    <w:rsid w:val="05DE2587"/>
    <w:rsid w:val="06135084"/>
    <w:rsid w:val="061F138E"/>
    <w:rsid w:val="06CD6D1B"/>
    <w:rsid w:val="07AF458F"/>
    <w:rsid w:val="0817778D"/>
    <w:rsid w:val="081B3D9B"/>
    <w:rsid w:val="08240CFC"/>
    <w:rsid w:val="0889068B"/>
    <w:rsid w:val="08973BEC"/>
    <w:rsid w:val="08AD0DC5"/>
    <w:rsid w:val="08C2034B"/>
    <w:rsid w:val="08E3109B"/>
    <w:rsid w:val="0A03130E"/>
    <w:rsid w:val="0A04678F"/>
    <w:rsid w:val="0A1E0D6D"/>
    <w:rsid w:val="0A3E46A7"/>
    <w:rsid w:val="0A5E78F5"/>
    <w:rsid w:val="0ABA7DA8"/>
    <w:rsid w:val="0B7130F0"/>
    <w:rsid w:val="0BBE064B"/>
    <w:rsid w:val="0BC353D6"/>
    <w:rsid w:val="0BEB340A"/>
    <w:rsid w:val="0C120FA5"/>
    <w:rsid w:val="0C4B496B"/>
    <w:rsid w:val="0C8A76D8"/>
    <w:rsid w:val="0CE63562"/>
    <w:rsid w:val="0D280252"/>
    <w:rsid w:val="0D29243C"/>
    <w:rsid w:val="0D3D7E2B"/>
    <w:rsid w:val="0DD3766B"/>
    <w:rsid w:val="0DD423A8"/>
    <w:rsid w:val="0E0673B3"/>
    <w:rsid w:val="0E455347"/>
    <w:rsid w:val="0E585C6F"/>
    <w:rsid w:val="0E9A4443"/>
    <w:rsid w:val="0EB45D35"/>
    <w:rsid w:val="0F2970FD"/>
    <w:rsid w:val="0F5D63CD"/>
    <w:rsid w:val="0F83731E"/>
    <w:rsid w:val="0FB93319"/>
    <w:rsid w:val="0FBA55CD"/>
    <w:rsid w:val="0FC85F3C"/>
    <w:rsid w:val="10C929E3"/>
    <w:rsid w:val="10FE0D21"/>
    <w:rsid w:val="110B4BD1"/>
    <w:rsid w:val="114B3E5E"/>
    <w:rsid w:val="1197674D"/>
    <w:rsid w:val="11E06BC5"/>
    <w:rsid w:val="11E22BBA"/>
    <w:rsid w:val="120314AE"/>
    <w:rsid w:val="127E094C"/>
    <w:rsid w:val="12B44556"/>
    <w:rsid w:val="13357E6D"/>
    <w:rsid w:val="135A701D"/>
    <w:rsid w:val="13727BE6"/>
    <w:rsid w:val="13CA67BE"/>
    <w:rsid w:val="143746AC"/>
    <w:rsid w:val="14745EEE"/>
    <w:rsid w:val="14DD091B"/>
    <w:rsid w:val="154D3AD4"/>
    <w:rsid w:val="15597637"/>
    <w:rsid w:val="157B72EA"/>
    <w:rsid w:val="15B659C0"/>
    <w:rsid w:val="15C12501"/>
    <w:rsid w:val="162A48BA"/>
    <w:rsid w:val="16956360"/>
    <w:rsid w:val="169F0A87"/>
    <w:rsid w:val="16C5258D"/>
    <w:rsid w:val="16EB19D2"/>
    <w:rsid w:val="17D50F7F"/>
    <w:rsid w:val="1841525A"/>
    <w:rsid w:val="18EC27D1"/>
    <w:rsid w:val="19526D3B"/>
    <w:rsid w:val="19573E8D"/>
    <w:rsid w:val="19AC242B"/>
    <w:rsid w:val="19E33973"/>
    <w:rsid w:val="1A164988"/>
    <w:rsid w:val="1A3C3444"/>
    <w:rsid w:val="1A58610F"/>
    <w:rsid w:val="1A6C3D7D"/>
    <w:rsid w:val="1AF25231"/>
    <w:rsid w:val="1B304996"/>
    <w:rsid w:val="1B424D7A"/>
    <w:rsid w:val="1B4F4EE9"/>
    <w:rsid w:val="1B5D741C"/>
    <w:rsid w:val="1B6521D4"/>
    <w:rsid w:val="1B7E1530"/>
    <w:rsid w:val="1BBE7FDB"/>
    <w:rsid w:val="1BF6396F"/>
    <w:rsid w:val="1C4A1A87"/>
    <w:rsid w:val="1C614EDE"/>
    <w:rsid w:val="1C9811C2"/>
    <w:rsid w:val="1D14555E"/>
    <w:rsid w:val="1D212913"/>
    <w:rsid w:val="1D625448"/>
    <w:rsid w:val="1D831DB9"/>
    <w:rsid w:val="1D862F93"/>
    <w:rsid w:val="1D9E151F"/>
    <w:rsid w:val="1DFF6AE6"/>
    <w:rsid w:val="1E16767B"/>
    <w:rsid w:val="1E2F1712"/>
    <w:rsid w:val="1E3F1431"/>
    <w:rsid w:val="1E52075E"/>
    <w:rsid w:val="1EB0375B"/>
    <w:rsid w:val="1F030324"/>
    <w:rsid w:val="1F3130CC"/>
    <w:rsid w:val="1F505606"/>
    <w:rsid w:val="200934DF"/>
    <w:rsid w:val="206B298A"/>
    <w:rsid w:val="20747ACC"/>
    <w:rsid w:val="207B0610"/>
    <w:rsid w:val="208E4FCA"/>
    <w:rsid w:val="20A30745"/>
    <w:rsid w:val="20BA60A2"/>
    <w:rsid w:val="21291377"/>
    <w:rsid w:val="21815B51"/>
    <w:rsid w:val="21821CC3"/>
    <w:rsid w:val="21AD67E2"/>
    <w:rsid w:val="21B9237D"/>
    <w:rsid w:val="21F465A5"/>
    <w:rsid w:val="21FF820E"/>
    <w:rsid w:val="22835166"/>
    <w:rsid w:val="22B15379"/>
    <w:rsid w:val="22BA5A19"/>
    <w:rsid w:val="22CC021A"/>
    <w:rsid w:val="22F0076D"/>
    <w:rsid w:val="238E2BA1"/>
    <w:rsid w:val="239F656D"/>
    <w:rsid w:val="24577194"/>
    <w:rsid w:val="24636E99"/>
    <w:rsid w:val="24703A12"/>
    <w:rsid w:val="249064A5"/>
    <w:rsid w:val="24C419DC"/>
    <w:rsid w:val="24F61DD3"/>
    <w:rsid w:val="25342080"/>
    <w:rsid w:val="253F197F"/>
    <w:rsid w:val="2568205E"/>
    <w:rsid w:val="25892F36"/>
    <w:rsid w:val="25AB5E99"/>
    <w:rsid w:val="25D074A1"/>
    <w:rsid w:val="25D772DF"/>
    <w:rsid w:val="25E91D06"/>
    <w:rsid w:val="25EE5B79"/>
    <w:rsid w:val="260051C8"/>
    <w:rsid w:val="26031EE8"/>
    <w:rsid w:val="26502390"/>
    <w:rsid w:val="269E660C"/>
    <w:rsid w:val="26BA7B18"/>
    <w:rsid w:val="26D51B53"/>
    <w:rsid w:val="26FD5526"/>
    <w:rsid w:val="27027EC4"/>
    <w:rsid w:val="27160894"/>
    <w:rsid w:val="27206206"/>
    <w:rsid w:val="272D24EF"/>
    <w:rsid w:val="2785108A"/>
    <w:rsid w:val="27B27E1E"/>
    <w:rsid w:val="27CB0350"/>
    <w:rsid w:val="27F30779"/>
    <w:rsid w:val="27FF569D"/>
    <w:rsid w:val="2810691A"/>
    <w:rsid w:val="281C0984"/>
    <w:rsid w:val="284E0E30"/>
    <w:rsid w:val="285A4FCC"/>
    <w:rsid w:val="28EE6934"/>
    <w:rsid w:val="292B7BD6"/>
    <w:rsid w:val="29663D7D"/>
    <w:rsid w:val="29F62034"/>
    <w:rsid w:val="2A6D65EE"/>
    <w:rsid w:val="2ACD3913"/>
    <w:rsid w:val="2AD97CAE"/>
    <w:rsid w:val="2AE73253"/>
    <w:rsid w:val="2B632B65"/>
    <w:rsid w:val="2B8A5BE6"/>
    <w:rsid w:val="2B97636B"/>
    <w:rsid w:val="2C171A0C"/>
    <w:rsid w:val="2C46459E"/>
    <w:rsid w:val="2C475449"/>
    <w:rsid w:val="2C6A4FA2"/>
    <w:rsid w:val="2C7653BD"/>
    <w:rsid w:val="2CC31858"/>
    <w:rsid w:val="2D011663"/>
    <w:rsid w:val="2DB37AE7"/>
    <w:rsid w:val="2DCA28C6"/>
    <w:rsid w:val="2E3157B7"/>
    <w:rsid w:val="2E4F3E90"/>
    <w:rsid w:val="2E5707EA"/>
    <w:rsid w:val="2EBF7AEB"/>
    <w:rsid w:val="2F3B1E2F"/>
    <w:rsid w:val="2F5A2445"/>
    <w:rsid w:val="2F7B081A"/>
    <w:rsid w:val="2F7C2C97"/>
    <w:rsid w:val="2F9B70A7"/>
    <w:rsid w:val="2FBBB49F"/>
    <w:rsid w:val="2FEC5DFF"/>
    <w:rsid w:val="302B78A2"/>
    <w:rsid w:val="302D0D2F"/>
    <w:rsid w:val="304A2BB8"/>
    <w:rsid w:val="30814E43"/>
    <w:rsid w:val="309102B7"/>
    <w:rsid w:val="30D407F4"/>
    <w:rsid w:val="30F1114E"/>
    <w:rsid w:val="316F1091"/>
    <w:rsid w:val="319717E9"/>
    <w:rsid w:val="31BC6660"/>
    <w:rsid w:val="31E3230A"/>
    <w:rsid w:val="32BD0DAD"/>
    <w:rsid w:val="3307119E"/>
    <w:rsid w:val="332E1DBE"/>
    <w:rsid w:val="335214F5"/>
    <w:rsid w:val="335A72CC"/>
    <w:rsid w:val="33687594"/>
    <w:rsid w:val="337C6572"/>
    <w:rsid w:val="33BB4E92"/>
    <w:rsid w:val="33C15E0E"/>
    <w:rsid w:val="33E920E0"/>
    <w:rsid w:val="343978A3"/>
    <w:rsid w:val="3484370C"/>
    <w:rsid w:val="3487366D"/>
    <w:rsid w:val="349320B4"/>
    <w:rsid w:val="34994962"/>
    <w:rsid w:val="3507066C"/>
    <w:rsid w:val="352D7858"/>
    <w:rsid w:val="35724EFD"/>
    <w:rsid w:val="35887450"/>
    <w:rsid w:val="35AFC7A3"/>
    <w:rsid w:val="35B623FD"/>
    <w:rsid w:val="36123918"/>
    <w:rsid w:val="36296BDA"/>
    <w:rsid w:val="365F7740"/>
    <w:rsid w:val="371006F9"/>
    <w:rsid w:val="372C192B"/>
    <w:rsid w:val="372C38A4"/>
    <w:rsid w:val="373D070E"/>
    <w:rsid w:val="37BF67AD"/>
    <w:rsid w:val="37DF32B8"/>
    <w:rsid w:val="37F9427C"/>
    <w:rsid w:val="38455ACD"/>
    <w:rsid w:val="392067C9"/>
    <w:rsid w:val="39C72511"/>
    <w:rsid w:val="39E4513F"/>
    <w:rsid w:val="3A3E27D3"/>
    <w:rsid w:val="3A7C4F25"/>
    <w:rsid w:val="3A862D03"/>
    <w:rsid w:val="3AB968B1"/>
    <w:rsid w:val="3ABC4A70"/>
    <w:rsid w:val="3AD552B2"/>
    <w:rsid w:val="3B1E6E90"/>
    <w:rsid w:val="3B2E05C3"/>
    <w:rsid w:val="3B420979"/>
    <w:rsid w:val="3B4953DA"/>
    <w:rsid w:val="3B5418AD"/>
    <w:rsid w:val="3BCC4BF5"/>
    <w:rsid w:val="3BF003F6"/>
    <w:rsid w:val="3BF336AA"/>
    <w:rsid w:val="3C095063"/>
    <w:rsid w:val="3C4B62B7"/>
    <w:rsid w:val="3C574020"/>
    <w:rsid w:val="3C6C4D6A"/>
    <w:rsid w:val="3D550DAB"/>
    <w:rsid w:val="3DF33233"/>
    <w:rsid w:val="3E136CF1"/>
    <w:rsid w:val="3E1B3990"/>
    <w:rsid w:val="3E3F4D6C"/>
    <w:rsid w:val="3E9E78BD"/>
    <w:rsid w:val="3EBE3F14"/>
    <w:rsid w:val="3F4F1E6B"/>
    <w:rsid w:val="3FBE14BA"/>
    <w:rsid w:val="3FC75019"/>
    <w:rsid w:val="3FE015D0"/>
    <w:rsid w:val="40213DFA"/>
    <w:rsid w:val="403A5169"/>
    <w:rsid w:val="403C5A07"/>
    <w:rsid w:val="404A2EA7"/>
    <w:rsid w:val="407F1A9B"/>
    <w:rsid w:val="40914B5D"/>
    <w:rsid w:val="40CA7D9F"/>
    <w:rsid w:val="40DA6E03"/>
    <w:rsid w:val="40E36C6B"/>
    <w:rsid w:val="40F01597"/>
    <w:rsid w:val="40FB7670"/>
    <w:rsid w:val="415648A7"/>
    <w:rsid w:val="416845DA"/>
    <w:rsid w:val="41BB0BAE"/>
    <w:rsid w:val="41EA4FEF"/>
    <w:rsid w:val="42445B69"/>
    <w:rsid w:val="424E7128"/>
    <w:rsid w:val="428506E5"/>
    <w:rsid w:val="4329677C"/>
    <w:rsid w:val="43767312"/>
    <w:rsid w:val="43EF0FE2"/>
    <w:rsid w:val="444B3D14"/>
    <w:rsid w:val="44D7222E"/>
    <w:rsid w:val="453B68CA"/>
    <w:rsid w:val="453E1CB1"/>
    <w:rsid w:val="45EF4F8C"/>
    <w:rsid w:val="46334815"/>
    <w:rsid w:val="46570480"/>
    <w:rsid w:val="4674388B"/>
    <w:rsid w:val="467B0046"/>
    <w:rsid w:val="46921BF9"/>
    <w:rsid w:val="46A01594"/>
    <w:rsid w:val="46B60E33"/>
    <w:rsid w:val="46C21E14"/>
    <w:rsid w:val="4707219F"/>
    <w:rsid w:val="47AC69A5"/>
    <w:rsid w:val="47B73BC5"/>
    <w:rsid w:val="47F53305"/>
    <w:rsid w:val="483D57B6"/>
    <w:rsid w:val="48576E0D"/>
    <w:rsid w:val="486D48C4"/>
    <w:rsid w:val="48711523"/>
    <w:rsid w:val="48711FC6"/>
    <w:rsid w:val="487802BE"/>
    <w:rsid w:val="48A20DB0"/>
    <w:rsid w:val="48DD58AD"/>
    <w:rsid w:val="48FA645F"/>
    <w:rsid w:val="48FF13D8"/>
    <w:rsid w:val="493C154F"/>
    <w:rsid w:val="497B6832"/>
    <w:rsid w:val="498E26CD"/>
    <w:rsid w:val="49CF3DDF"/>
    <w:rsid w:val="49D73274"/>
    <w:rsid w:val="49EC5603"/>
    <w:rsid w:val="4A902D26"/>
    <w:rsid w:val="4ACC14E8"/>
    <w:rsid w:val="4B37600D"/>
    <w:rsid w:val="4B532A0C"/>
    <w:rsid w:val="4B680C4C"/>
    <w:rsid w:val="4C564BEA"/>
    <w:rsid w:val="4CAC1CB3"/>
    <w:rsid w:val="4D07114B"/>
    <w:rsid w:val="4D371487"/>
    <w:rsid w:val="4D5F4AE3"/>
    <w:rsid w:val="4D714816"/>
    <w:rsid w:val="4D986D0E"/>
    <w:rsid w:val="4DC0099D"/>
    <w:rsid w:val="4DDE6BAA"/>
    <w:rsid w:val="4DE40A8A"/>
    <w:rsid w:val="4E1563D2"/>
    <w:rsid w:val="4E831604"/>
    <w:rsid w:val="4E993938"/>
    <w:rsid w:val="4EB26E94"/>
    <w:rsid w:val="4F3F6C46"/>
    <w:rsid w:val="4F591280"/>
    <w:rsid w:val="4F7F2DDD"/>
    <w:rsid w:val="4F8F04BE"/>
    <w:rsid w:val="4FFFB463"/>
    <w:rsid w:val="50426D70"/>
    <w:rsid w:val="508C72BD"/>
    <w:rsid w:val="509B46FF"/>
    <w:rsid w:val="50E5439A"/>
    <w:rsid w:val="510656EE"/>
    <w:rsid w:val="51CF02EF"/>
    <w:rsid w:val="51D10E8F"/>
    <w:rsid w:val="520514F6"/>
    <w:rsid w:val="521E2686"/>
    <w:rsid w:val="522F0F78"/>
    <w:rsid w:val="527C1C93"/>
    <w:rsid w:val="527D1264"/>
    <w:rsid w:val="52D0002E"/>
    <w:rsid w:val="53077F8D"/>
    <w:rsid w:val="539F21DB"/>
    <w:rsid w:val="53BB5240"/>
    <w:rsid w:val="53E94F8B"/>
    <w:rsid w:val="540F78F2"/>
    <w:rsid w:val="545E7054"/>
    <w:rsid w:val="54944264"/>
    <w:rsid w:val="54B7FB2F"/>
    <w:rsid w:val="54D2037A"/>
    <w:rsid w:val="54EB0050"/>
    <w:rsid w:val="54F75760"/>
    <w:rsid w:val="551C4C50"/>
    <w:rsid w:val="557D1730"/>
    <w:rsid w:val="55F12159"/>
    <w:rsid w:val="56217B78"/>
    <w:rsid w:val="563E7FA3"/>
    <w:rsid w:val="568775D5"/>
    <w:rsid w:val="56925C36"/>
    <w:rsid w:val="56AC5B6E"/>
    <w:rsid w:val="56E507E5"/>
    <w:rsid w:val="573963A5"/>
    <w:rsid w:val="574673BB"/>
    <w:rsid w:val="577E2BA2"/>
    <w:rsid w:val="581F1E51"/>
    <w:rsid w:val="584A3628"/>
    <w:rsid w:val="58665C93"/>
    <w:rsid w:val="586A7C9A"/>
    <w:rsid w:val="58736CB8"/>
    <w:rsid w:val="58BA81A0"/>
    <w:rsid w:val="58DA236C"/>
    <w:rsid w:val="58FA5CA3"/>
    <w:rsid w:val="592119A2"/>
    <w:rsid w:val="59771DC7"/>
    <w:rsid w:val="5989641F"/>
    <w:rsid w:val="59933A04"/>
    <w:rsid w:val="59CF4277"/>
    <w:rsid w:val="59DB3A9D"/>
    <w:rsid w:val="5A4A544A"/>
    <w:rsid w:val="5A69114C"/>
    <w:rsid w:val="5AE153E7"/>
    <w:rsid w:val="5AE3311B"/>
    <w:rsid w:val="5AF70A51"/>
    <w:rsid w:val="5AFF223E"/>
    <w:rsid w:val="5B2F3305"/>
    <w:rsid w:val="5B381079"/>
    <w:rsid w:val="5B6A6BBF"/>
    <w:rsid w:val="5B717347"/>
    <w:rsid w:val="5B9B7CCB"/>
    <w:rsid w:val="5BA41BD6"/>
    <w:rsid w:val="5BA70742"/>
    <w:rsid w:val="5C043CFC"/>
    <w:rsid w:val="5C716F08"/>
    <w:rsid w:val="5D5201C0"/>
    <w:rsid w:val="5D682CF2"/>
    <w:rsid w:val="5D827AB4"/>
    <w:rsid w:val="5DFE8BB1"/>
    <w:rsid w:val="5E1D547D"/>
    <w:rsid w:val="5E2441C9"/>
    <w:rsid w:val="5E3478C6"/>
    <w:rsid w:val="5E39472B"/>
    <w:rsid w:val="5EB928CC"/>
    <w:rsid w:val="5F0029B7"/>
    <w:rsid w:val="5F090D52"/>
    <w:rsid w:val="5F1D565A"/>
    <w:rsid w:val="5F2538A6"/>
    <w:rsid w:val="5F7FC3F9"/>
    <w:rsid w:val="5F862EE5"/>
    <w:rsid w:val="5FAC07CD"/>
    <w:rsid w:val="5FCBF3B8"/>
    <w:rsid w:val="5FD87E5F"/>
    <w:rsid w:val="5FF35928"/>
    <w:rsid w:val="5FF9483D"/>
    <w:rsid w:val="60065C4A"/>
    <w:rsid w:val="60196AED"/>
    <w:rsid w:val="609A12DC"/>
    <w:rsid w:val="60C35D5D"/>
    <w:rsid w:val="60CF38D6"/>
    <w:rsid w:val="60D12127"/>
    <w:rsid w:val="61170064"/>
    <w:rsid w:val="613C57BA"/>
    <w:rsid w:val="616B333F"/>
    <w:rsid w:val="618A6B65"/>
    <w:rsid w:val="61ED1205"/>
    <w:rsid w:val="62320D0E"/>
    <w:rsid w:val="62453DA4"/>
    <w:rsid w:val="625E4042"/>
    <w:rsid w:val="62767495"/>
    <w:rsid w:val="62BD348D"/>
    <w:rsid w:val="634044EE"/>
    <w:rsid w:val="636C18B0"/>
    <w:rsid w:val="63A02666"/>
    <w:rsid w:val="63B73872"/>
    <w:rsid w:val="63EBA6E2"/>
    <w:rsid w:val="63F7386F"/>
    <w:rsid w:val="641E18F4"/>
    <w:rsid w:val="64370110"/>
    <w:rsid w:val="645925B7"/>
    <w:rsid w:val="647D35A7"/>
    <w:rsid w:val="647D5EBC"/>
    <w:rsid w:val="64A05E9C"/>
    <w:rsid w:val="64D06052"/>
    <w:rsid w:val="65230BCB"/>
    <w:rsid w:val="655460A3"/>
    <w:rsid w:val="655940AD"/>
    <w:rsid w:val="65731EB8"/>
    <w:rsid w:val="65A92EC5"/>
    <w:rsid w:val="65CB6D62"/>
    <w:rsid w:val="65D15080"/>
    <w:rsid w:val="6661359C"/>
    <w:rsid w:val="666A38ED"/>
    <w:rsid w:val="667967BE"/>
    <w:rsid w:val="66AF2ED3"/>
    <w:rsid w:val="66CC4960"/>
    <w:rsid w:val="66E811FF"/>
    <w:rsid w:val="66FE78C6"/>
    <w:rsid w:val="67CF62DB"/>
    <w:rsid w:val="680E64F1"/>
    <w:rsid w:val="687916F5"/>
    <w:rsid w:val="68833924"/>
    <w:rsid w:val="689B06FC"/>
    <w:rsid w:val="696F0295"/>
    <w:rsid w:val="697268EA"/>
    <w:rsid w:val="6AE744CF"/>
    <w:rsid w:val="6B04631D"/>
    <w:rsid w:val="6BC1075B"/>
    <w:rsid w:val="6BDC5817"/>
    <w:rsid w:val="6BE0108D"/>
    <w:rsid w:val="6BE566A3"/>
    <w:rsid w:val="6C651A48"/>
    <w:rsid w:val="6C661592"/>
    <w:rsid w:val="6C731F1C"/>
    <w:rsid w:val="6CEF637A"/>
    <w:rsid w:val="6D1B6DFF"/>
    <w:rsid w:val="6D57537F"/>
    <w:rsid w:val="6D8E176F"/>
    <w:rsid w:val="6E620612"/>
    <w:rsid w:val="6E6404AB"/>
    <w:rsid w:val="6F643E26"/>
    <w:rsid w:val="6F8010EF"/>
    <w:rsid w:val="6FD16005"/>
    <w:rsid w:val="6FFD7766"/>
    <w:rsid w:val="700E0990"/>
    <w:rsid w:val="70B34FC2"/>
    <w:rsid w:val="70EE47C2"/>
    <w:rsid w:val="70F416C7"/>
    <w:rsid w:val="710111BE"/>
    <w:rsid w:val="711B5D32"/>
    <w:rsid w:val="71681A1D"/>
    <w:rsid w:val="7257536C"/>
    <w:rsid w:val="725D71B0"/>
    <w:rsid w:val="726305FA"/>
    <w:rsid w:val="72673673"/>
    <w:rsid w:val="729A0865"/>
    <w:rsid w:val="72EF1DAA"/>
    <w:rsid w:val="72F3488C"/>
    <w:rsid w:val="73867614"/>
    <w:rsid w:val="73CD271E"/>
    <w:rsid w:val="73D26793"/>
    <w:rsid w:val="73F7615F"/>
    <w:rsid w:val="7401089A"/>
    <w:rsid w:val="74381A66"/>
    <w:rsid w:val="74641A6A"/>
    <w:rsid w:val="74DB0D4F"/>
    <w:rsid w:val="753C7334"/>
    <w:rsid w:val="75483F2B"/>
    <w:rsid w:val="75560513"/>
    <w:rsid w:val="75BB4CD1"/>
    <w:rsid w:val="75C3F0FA"/>
    <w:rsid w:val="75EC0CAD"/>
    <w:rsid w:val="75ED21F5"/>
    <w:rsid w:val="761155F8"/>
    <w:rsid w:val="76141D9B"/>
    <w:rsid w:val="761A5868"/>
    <w:rsid w:val="76617070"/>
    <w:rsid w:val="769431A0"/>
    <w:rsid w:val="769E3D40"/>
    <w:rsid w:val="76CE0460"/>
    <w:rsid w:val="76CE12EC"/>
    <w:rsid w:val="76E23EF1"/>
    <w:rsid w:val="76E9168E"/>
    <w:rsid w:val="773853AF"/>
    <w:rsid w:val="77552193"/>
    <w:rsid w:val="77767EEB"/>
    <w:rsid w:val="77973118"/>
    <w:rsid w:val="77D47CF8"/>
    <w:rsid w:val="787216F1"/>
    <w:rsid w:val="78B8457D"/>
    <w:rsid w:val="78CA4461"/>
    <w:rsid w:val="78D31A60"/>
    <w:rsid w:val="78E81581"/>
    <w:rsid w:val="78F9636D"/>
    <w:rsid w:val="798F7D4E"/>
    <w:rsid w:val="79DE46BA"/>
    <w:rsid w:val="79F3648B"/>
    <w:rsid w:val="79FE44CB"/>
    <w:rsid w:val="7A513882"/>
    <w:rsid w:val="7AB51890"/>
    <w:rsid w:val="7AEF423A"/>
    <w:rsid w:val="7B094769"/>
    <w:rsid w:val="7B3926A7"/>
    <w:rsid w:val="7BC55630"/>
    <w:rsid w:val="7C0466D2"/>
    <w:rsid w:val="7C2C22CD"/>
    <w:rsid w:val="7C3074C7"/>
    <w:rsid w:val="7C7E79E4"/>
    <w:rsid w:val="7C845CFC"/>
    <w:rsid w:val="7D411D3A"/>
    <w:rsid w:val="7D7E33FF"/>
    <w:rsid w:val="7D7F7B7B"/>
    <w:rsid w:val="7D8D3A01"/>
    <w:rsid w:val="7DA452FF"/>
    <w:rsid w:val="7DCA74A7"/>
    <w:rsid w:val="7E5260D5"/>
    <w:rsid w:val="7E547BEA"/>
    <w:rsid w:val="7E7BED81"/>
    <w:rsid w:val="7E7FA3FC"/>
    <w:rsid w:val="7E8B74A1"/>
    <w:rsid w:val="7EE12C6F"/>
    <w:rsid w:val="7EE39C55"/>
    <w:rsid w:val="7F5BB7DD"/>
    <w:rsid w:val="7F8D3449"/>
    <w:rsid w:val="7FD10227"/>
    <w:rsid w:val="7FDE748B"/>
    <w:rsid w:val="7FDF723A"/>
    <w:rsid w:val="7FF7987C"/>
    <w:rsid w:val="A3DFB0BB"/>
    <w:rsid w:val="AF93BF40"/>
    <w:rsid w:val="B5FEDC16"/>
    <w:rsid w:val="B7AF0ADC"/>
    <w:rsid w:val="BED5F1B8"/>
    <w:rsid w:val="BEEB7924"/>
    <w:rsid w:val="BEFFA46E"/>
    <w:rsid w:val="BF73F87D"/>
    <w:rsid w:val="BFFB1AE5"/>
    <w:rsid w:val="C5E7EBE8"/>
    <w:rsid w:val="DDEBC48D"/>
    <w:rsid w:val="E49FB438"/>
    <w:rsid w:val="E7B6CFDF"/>
    <w:rsid w:val="EBDB6B03"/>
    <w:rsid w:val="EDF52128"/>
    <w:rsid w:val="EEF7C869"/>
    <w:rsid w:val="EF35506C"/>
    <w:rsid w:val="EF4CCEC1"/>
    <w:rsid w:val="EFFF5AF2"/>
    <w:rsid w:val="F7FA2061"/>
    <w:rsid w:val="F7FAADAF"/>
    <w:rsid w:val="F96B3944"/>
    <w:rsid w:val="FBFF632A"/>
    <w:rsid w:val="FBFFB911"/>
    <w:rsid w:val="FD57C927"/>
    <w:rsid w:val="FDFFCC41"/>
    <w:rsid w:val="FEDFDFB4"/>
    <w:rsid w:val="FEFDFD5E"/>
    <w:rsid w:val="FFDF845F"/>
    <w:rsid w:val="FFF722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1" w:name="index 1" w:locked="1"/>
    <w:lsdException w:uiPriority="1" w:name="index 2" w:locked="1"/>
    <w:lsdException w:uiPriority="1" w:name="index 3" w:locked="1"/>
    <w:lsdException w:uiPriority="1" w:name="index 4" w:locked="1"/>
    <w:lsdException w:uiPriority="1" w:name="index 5" w:locked="1"/>
    <w:lsdException w:qFormat="1" w:unhideWhenUsed="0" w:uiPriority="99" w:semiHidden="0" w:name="index 6" w:locked="1"/>
    <w:lsdException w:uiPriority="1" w:name="index 7" w:locked="1"/>
    <w:lsdException w:uiPriority="1" w:name="index 8" w:locked="1"/>
    <w:lsdException w:uiPriority="1"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1" w:name="toc 4" w:locked="1"/>
    <w:lsdException w:uiPriority="1" w:name="toc 5" w:locked="1"/>
    <w:lsdException w:qFormat="1" w:uiPriority="39" w:semiHidden="0" w:name="toc 6" w:locked="1"/>
    <w:lsdException w:uiPriority="1" w:name="toc 7" w:locked="1"/>
    <w:lsdException w:uiPriority="1" w:name="toc 8" w:locked="1"/>
    <w:lsdException w:uiPriority="1" w:name="toc 9" w:locked="1"/>
    <w:lsdException w:qFormat="1" w:unhideWhenUsed="0" w:uiPriority="99" w:semiHidden="0" w:name="Normal Indent"/>
    <w:lsdException w:qFormat="1" w:unhideWhenUsed="0" w:uiPriority="0" w:semiHidden="0" w:name="footnote text" w:locked="1"/>
    <w:lsdException w:uiPriority="1" w:name="annotation text" w:locked="1"/>
    <w:lsdException w:qFormat="1" w:unhideWhenUsed="0" w:uiPriority="99" w:semiHidden="0" w:name="header"/>
    <w:lsdException w:qFormat="1" w:unhideWhenUsed="0" w:uiPriority="99" w:semiHidden="0" w:name="footer"/>
    <w:lsdException w:uiPriority="1" w:name="index heading" w:locked="1"/>
    <w:lsdException w:qFormat="1" w:uiPriority="1" w:name="caption" w:locked="1"/>
    <w:lsdException w:uiPriority="1" w:name="table of figures" w:locked="1"/>
    <w:lsdException w:uiPriority="1" w:name="envelope address" w:locked="1"/>
    <w:lsdException w:uiPriority="1" w:name="envelope return" w:locked="1"/>
    <w:lsdException w:uiPriority="1" w:name="footnote reference" w:locked="1"/>
    <w:lsdException w:qFormat="1" w:unhideWhenUsed="0" w:uiPriority="0" w:semiHidden="0" w:name="annotation reference" w:locked="1"/>
    <w:lsdException w:uiPriority="1" w:name="line number" w:locked="1"/>
    <w:lsdException w:qFormat="1" w:unhideWhenUsed="0" w:uiPriority="99" w:semiHidden="0" w:name="page number"/>
    <w:lsdException w:uiPriority="1" w:name="endnote reference" w:locked="1"/>
    <w:lsdException w:uiPriority="1" w:name="endnote text" w:locked="1"/>
    <w:lsdException w:uiPriority="1" w:name="table of authorities" w:locked="1"/>
    <w:lsdException w:uiPriority="1" w:name="macro" w:locked="1"/>
    <w:lsdException w:qFormat="1" w:unhideWhenUsed="0" w:uiPriority="0" w:semiHidden="0" w:name="toa heading" w:locked="1"/>
    <w:lsdException w:uiPriority="1" w:name="List" w:locked="1"/>
    <w:lsdException w:uiPriority="1" w:name="List Bullet" w:locked="1"/>
    <w:lsdException w:uiPriority="1" w:name="List Number" w:locked="1"/>
    <w:lsdException w:uiPriority="1" w:name="List 2" w:locked="1"/>
    <w:lsdException w:uiPriority="1" w:name="List 3" w:locked="1"/>
    <w:lsdException w:uiPriority="1" w:name="List 4" w:locked="1"/>
    <w:lsdException w:uiPriority="1" w:name="List 5" w:locked="1"/>
    <w:lsdException w:uiPriority="1" w:name="List Bullet 2" w:locked="1"/>
    <w:lsdException w:uiPriority="1" w:name="List Bullet 3" w:locked="1"/>
    <w:lsdException w:uiPriority="1" w:name="List Bullet 4" w:locked="1"/>
    <w:lsdException w:uiPriority="1" w:name="List Bullet 5" w:locked="1"/>
    <w:lsdException w:uiPriority="1" w:name="List Number 2" w:locked="1"/>
    <w:lsdException w:uiPriority="1" w:name="List Number 3" w:locked="1"/>
    <w:lsdException w:uiPriority="1" w:name="List Number 4" w:locked="1"/>
    <w:lsdException w:uiPriority="1" w:name="List Number 5" w:locked="1"/>
    <w:lsdException w:qFormat="1" w:unhideWhenUsed="0" w:uiPriority="98" w:semiHidden="0" w:name="Title" w:locked="1"/>
    <w:lsdException w:uiPriority="1" w:name="Closing" w:locked="1"/>
    <w:lsdException w:uiPriority="1"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uiPriority="1"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1" w:name="Note Heading" w:locked="1"/>
    <w:lsdException w:qFormat="1" w:unhideWhenUsed="0" w:uiPriority="99" w:semiHidden="0" w:name="Body Text 2"/>
    <w:lsdException w:uiPriority="1" w:name="Body Text 3" w:locked="1"/>
    <w:lsdException w:qFormat="1" w:unhideWhenUsed="0" w:uiPriority="99" w:semiHidden="0" w:name="Body Text Indent 2"/>
    <w:lsdException w:qFormat="1" w:unhideWhenUsed="0" w:uiPriority="99" w:semiHidden="0" w:name="Body Text Indent 3"/>
    <w:lsdException w:uiPriority="1"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uiPriority="1" w:name="HTML Address" w:locked="1"/>
    <w:lsdException w:uiPriority="1" w:name="HTML Cite" w:locked="1"/>
    <w:lsdException w:uiPriority="1" w:name="HTML Code" w:locked="1"/>
    <w:lsdException w:uiPriority="1" w:name="HTML Definition" w:locked="1"/>
    <w:lsdException w:uiPriority="1" w:name="HTML Keyboard" w:locked="1"/>
    <w:lsdException w:qFormat="1" w:uiPriority="0" w:semiHidden="0" w:name="HTML Preformatted" w:locked="1"/>
    <w:lsdException w:qFormat="1" w:uiPriority="1" w:name="HTML Sample" w:locked="1"/>
    <w:lsdException w:uiPriority="1" w:name="HTML Typewriter" w:locked="1"/>
    <w:lsdException w:uiPriority="1" w:name="HTML Variable" w:locked="1"/>
    <w:lsdException w:qFormat="1" w:uiPriority="99" w:semiHidden="0" w:name="Normal Table"/>
    <w:lsdException w:uiPriority="1" w:name="annotation subject" w:locked="1"/>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uiPriority="1" w:name="Table Grid 5" w:locked="1"/>
    <w:lsdException w:uiPriority="1" w:name="Table Grid 6" w:locked="1"/>
    <w:lsdException w:uiPriority="1" w:name="Table Grid 7" w:locked="1"/>
    <w:lsdException w:uiPriority="1" w:name="Table Grid 8" w:locked="1"/>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uiPriority="1" w:name="Table Elegant" w:locked="1"/>
    <w:lsdException w:uiPriority="1" w:name="Table Professional" w:locked="1"/>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uiPriority="1"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qFormat/>
    <w:uiPriority w:val="99"/>
    <w:pPr>
      <w:keepNext/>
      <w:numPr>
        <w:ilvl w:val="0"/>
        <w:numId w:val="1"/>
      </w:numPr>
      <w:outlineLvl w:val="0"/>
    </w:pPr>
  </w:style>
  <w:style w:type="paragraph" w:styleId="3">
    <w:name w:val="heading 2"/>
    <w:basedOn w:val="1"/>
    <w:next w:val="1"/>
    <w:link w:val="49"/>
    <w:qFormat/>
    <w:uiPriority w:val="99"/>
    <w:pPr>
      <w:keepNext/>
      <w:keepLines/>
      <w:spacing w:before="260" w:after="260" w:line="416" w:lineRule="auto"/>
      <w:outlineLvl w:val="1"/>
    </w:pPr>
    <w:rPr>
      <w:rFonts w:ascii="Arial" w:hAnsi="Arial" w:eastAsia="黑体"/>
      <w:b/>
      <w:sz w:val="32"/>
    </w:rPr>
  </w:style>
  <w:style w:type="paragraph" w:styleId="4">
    <w:name w:val="heading 3"/>
    <w:basedOn w:val="1"/>
    <w:next w:val="5"/>
    <w:link w:val="50"/>
    <w:qFormat/>
    <w:uiPriority w:val="99"/>
    <w:pPr>
      <w:keepNext/>
      <w:keepLines/>
      <w:spacing w:before="260" w:after="260" w:line="416" w:lineRule="auto"/>
      <w:outlineLvl w:val="2"/>
    </w:pPr>
    <w:rPr>
      <w:b/>
      <w:bCs/>
      <w:sz w:val="32"/>
      <w:szCs w:val="32"/>
    </w:rPr>
  </w:style>
  <w:style w:type="paragraph" w:styleId="6">
    <w:name w:val="heading 4"/>
    <w:basedOn w:val="1"/>
    <w:next w:val="5"/>
    <w:link w:val="51"/>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2"/>
    <w:qFormat/>
    <w:uiPriority w:val="99"/>
    <w:pPr>
      <w:keepNext/>
      <w:keepLines/>
      <w:tabs>
        <w:tab w:val="left" w:pos="1440"/>
      </w:tabs>
      <w:spacing w:before="280" w:after="290" w:line="372" w:lineRule="auto"/>
      <w:ind w:left="1440" w:hanging="900"/>
      <w:outlineLvl w:val="4"/>
    </w:pPr>
    <w:rPr>
      <w:b/>
      <w:sz w:val="28"/>
    </w:rPr>
  </w:style>
  <w:style w:type="paragraph" w:styleId="8">
    <w:name w:val="heading 6"/>
    <w:basedOn w:val="1"/>
    <w:next w:val="1"/>
    <w:link w:val="53"/>
    <w:qFormat/>
    <w:uiPriority w:val="99"/>
    <w:pPr>
      <w:keepNext/>
      <w:keepLines/>
      <w:tabs>
        <w:tab w:val="left" w:pos="1440"/>
      </w:tabs>
      <w:spacing w:before="240" w:after="64" w:line="317" w:lineRule="auto"/>
      <w:ind w:left="1440" w:hanging="900"/>
      <w:outlineLvl w:val="5"/>
    </w:pPr>
    <w:rPr>
      <w:rFonts w:ascii="Arial" w:hAnsi="Arial" w:eastAsia="黑体"/>
      <w:b/>
      <w:sz w:val="24"/>
    </w:rPr>
  </w:style>
  <w:style w:type="paragraph" w:styleId="9">
    <w:name w:val="heading 7"/>
    <w:basedOn w:val="1"/>
    <w:next w:val="1"/>
    <w:link w:val="54"/>
    <w:qFormat/>
    <w:uiPriority w:val="99"/>
    <w:pPr>
      <w:keepNext/>
      <w:keepLines/>
      <w:tabs>
        <w:tab w:val="left" w:pos="1440"/>
      </w:tabs>
      <w:spacing w:before="240" w:after="64" w:line="317" w:lineRule="auto"/>
      <w:ind w:left="1440" w:hanging="900"/>
      <w:outlineLvl w:val="6"/>
    </w:pPr>
    <w:rPr>
      <w:b/>
      <w:sz w:val="24"/>
    </w:rPr>
  </w:style>
  <w:style w:type="paragraph" w:styleId="10">
    <w:name w:val="heading 8"/>
    <w:basedOn w:val="1"/>
    <w:next w:val="1"/>
    <w:link w:val="55"/>
    <w:qFormat/>
    <w:uiPriority w:val="99"/>
    <w:pPr>
      <w:keepNext/>
      <w:keepLines/>
      <w:tabs>
        <w:tab w:val="left" w:pos="1440"/>
      </w:tabs>
      <w:spacing w:before="240" w:after="64" w:line="317" w:lineRule="auto"/>
      <w:ind w:left="1440" w:hanging="900"/>
      <w:outlineLvl w:val="7"/>
    </w:pPr>
    <w:rPr>
      <w:rFonts w:ascii="Arial" w:hAnsi="Arial" w:eastAsia="黑体"/>
      <w:sz w:val="24"/>
    </w:rPr>
  </w:style>
  <w:style w:type="paragraph" w:styleId="11">
    <w:name w:val="heading 9"/>
    <w:basedOn w:val="1"/>
    <w:next w:val="1"/>
    <w:link w:val="56"/>
    <w:qFormat/>
    <w:uiPriority w:val="99"/>
    <w:pPr>
      <w:keepNext/>
      <w:keepLines/>
      <w:tabs>
        <w:tab w:val="left" w:pos="1440"/>
      </w:tabs>
      <w:spacing w:before="240" w:after="64" w:line="317" w:lineRule="auto"/>
      <w:ind w:left="1440" w:hanging="900"/>
      <w:outlineLvl w:val="8"/>
    </w:pPr>
    <w:rPr>
      <w:rFonts w:ascii="Arial" w:hAnsi="Arial" w:eastAsia="黑体"/>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420" w:firstLineChars="200"/>
    </w:pPr>
    <w:rPr>
      <w:szCs w:val="24"/>
    </w:rPr>
  </w:style>
  <w:style w:type="paragraph" w:styleId="12">
    <w:name w:val="Document Map"/>
    <w:basedOn w:val="1"/>
    <w:link w:val="57"/>
    <w:qFormat/>
    <w:uiPriority w:val="99"/>
    <w:pPr>
      <w:shd w:val="clear" w:color="auto" w:fill="000080"/>
    </w:pPr>
  </w:style>
  <w:style w:type="paragraph" w:styleId="13">
    <w:name w:val="index 6"/>
    <w:basedOn w:val="1"/>
    <w:next w:val="1"/>
    <w:qFormat/>
    <w:locked/>
    <w:uiPriority w:val="99"/>
    <w:pPr>
      <w:ind w:left="2100"/>
    </w:pPr>
  </w:style>
  <w:style w:type="paragraph" w:styleId="14">
    <w:name w:val="Salutation"/>
    <w:basedOn w:val="1"/>
    <w:next w:val="1"/>
    <w:link w:val="58"/>
    <w:qFormat/>
    <w:uiPriority w:val="99"/>
    <w:rPr>
      <w:rFonts w:ascii="宋体"/>
      <w:b/>
      <w:sz w:val="28"/>
    </w:rPr>
  </w:style>
  <w:style w:type="paragraph" w:styleId="15">
    <w:name w:val="Body Text"/>
    <w:basedOn w:val="1"/>
    <w:link w:val="59"/>
    <w:qFormat/>
    <w:uiPriority w:val="99"/>
    <w:rPr>
      <w:rFonts w:ascii="Arial" w:hAnsi="Arial"/>
      <w:sz w:val="24"/>
    </w:rPr>
  </w:style>
  <w:style w:type="paragraph" w:styleId="16">
    <w:name w:val="Body Text Indent"/>
    <w:basedOn w:val="1"/>
    <w:link w:val="60"/>
    <w:qFormat/>
    <w:uiPriority w:val="99"/>
    <w:pPr>
      <w:ind w:firstLine="480"/>
    </w:pPr>
    <w:rPr>
      <w:rFonts w:ascii="宋体" w:hAnsi="宋体"/>
      <w:sz w:val="24"/>
    </w:rPr>
  </w:style>
  <w:style w:type="paragraph" w:styleId="17">
    <w:name w:val="toc 3"/>
    <w:basedOn w:val="1"/>
    <w:next w:val="1"/>
    <w:qFormat/>
    <w:uiPriority w:val="99"/>
    <w:pPr>
      <w:ind w:left="840" w:leftChars="400"/>
    </w:pPr>
  </w:style>
  <w:style w:type="paragraph" w:styleId="18">
    <w:name w:val="Plain Text"/>
    <w:basedOn w:val="1"/>
    <w:link w:val="61"/>
    <w:qFormat/>
    <w:uiPriority w:val="99"/>
    <w:rPr>
      <w:rFonts w:ascii="宋体" w:hAnsi="Courier New"/>
    </w:rPr>
  </w:style>
  <w:style w:type="paragraph" w:styleId="19">
    <w:name w:val="Date"/>
    <w:basedOn w:val="1"/>
    <w:next w:val="1"/>
    <w:link w:val="62"/>
    <w:qFormat/>
    <w:uiPriority w:val="99"/>
    <w:pPr>
      <w:ind w:left="100"/>
    </w:pPr>
    <w:rPr>
      <w:sz w:val="24"/>
    </w:rPr>
  </w:style>
  <w:style w:type="paragraph" w:styleId="20">
    <w:name w:val="Body Text Indent 2"/>
    <w:basedOn w:val="1"/>
    <w:link w:val="63"/>
    <w:qFormat/>
    <w:uiPriority w:val="99"/>
    <w:pPr>
      <w:ind w:firstLine="435"/>
    </w:pPr>
    <w:rPr>
      <w:rFonts w:ascii="宋体" w:hAnsi="宋体"/>
      <w:sz w:val="24"/>
    </w:rPr>
  </w:style>
  <w:style w:type="paragraph" w:styleId="21">
    <w:name w:val="Balloon Text"/>
    <w:basedOn w:val="1"/>
    <w:link w:val="64"/>
    <w:semiHidden/>
    <w:qFormat/>
    <w:uiPriority w:val="99"/>
    <w:rPr>
      <w:sz w:val="18"/>
      <w:szCs w:val="18"/>
    </w:rPr>
  </w:style>
  <w:style w:type="paragraph" w:styleId="22">
    <w:name w:val="footer"/>
    <w:basedOn w:val="1"/>
    <w:link w:val="65"/>
    <w:qFormat/>
    <w:uiPriority w:val="99"/>
    <w:pPr>
      <w:tabs>
        <w:tab w:val="center" w:pos="4153"/>
        <w:tab w:val="right" w:pos="8306"/>
      </w:tabs>
      <w:snapToGrid w:val="0"/>
      <w:jc w:val="left"/>
    </w:pPr>
    <w:rPr>
      <w:sz w:val="18"/>
    </w:rPr>
  </w:style>
  <w:style w:type="paragraph" w:styleId="23">
    <w:name w:val="header"/>
    <w:basedOn w:val="1"/>
    <w:link w:val="66"/>
    <w:qFormat/>
    <w:uiPriority w:val="99"/>
    <w:pPr>
      <w:pBdr>
        <w:bottom w:val="single" w:color="auto" w:sz="6" w:space="1"/>
      </w:pBdr>
      <w:tabs>
        <w:tab w:val="center" w:pos="4153"/>
        <w:tab w:val="right" w:pos="8306"/>
      </w:tabs>
      <w:snapToGrid w:val="0"/>
      <w:jc w:val="center"/>
    </w:pPr>
    <w:rPr>
      <w:sz w:val="18"/>
    </w:rPr>
  </w:style>
  <w:style w:type="paragraph" w:styleId="24">
    <w:name w:val="toc 1"/>
    <w:basedOn w:val="1"/>
    <w:next w:val="1"/>
    <w:qFormat/>
    <w:uiPriority w:val="99"/>
  </w:style>
  <w:style w:type="paragraph" w:styleId="25">
    <w:name w:val="Subtitle"/>
    <w:basedOn w:val="1"/>
    <w:next w:val="1"/>
    <w:link w:val="67"/>
    <w:qFormat/>
    <w:uiPriority w:val="99"/>
    <w:pPr>
      <w:spacing w:before="240" w:after="60" w:line="312" w:lineRule="auto"/>
      <w:jc w:val="center"/>
      <w:outlineLvl w:val="1"/>
    </w:pPr>
    <w:rPr>
      <w:rFonts w:ascii="Cambria" w:hAnsi="Cambria"/>
      <w:b/>
      <w:bCs/>
      <w:kern w:val="28"/>
      <w:sz w:val="32"/>
      <w:szCs w:val="32"/>
    </w:rPr>
  </w:style>
  <w:style w:type="paragraph" w:styleId="26">
    <w:name w:val="footnote text"/>
    <w:basedOn w:val="1"/>
    <w:qFormat/>
    <w:locked/>
    <w:uiPriority w:val="0"/>
    <w:pPr>
      <w:snapToGrid w:val="0"/>
      <w:jc w:val="left"/>
    </w:pPr>
    <w:rPr>
      <w:sz w:val="18"/>
    </w:rPr>
  </w:style>
  <w:style w:type="paragraph" w:styleId="27">
    <w:name w:val="toc 6"/>
    <w:next w:val="1"/>
    <w:unhideWhenUsed/>
    <w:qFormat/>
    <w:locked/>
    <w:uiPriority w:val="39"/>
    <w:pPr>
      <w:widowControl w:val="0"/>
      <w:ind w:left="2100" w:leftChars="1000"/>
      <w:jc w:val="both"/>
    </w:pPr>
    <w:rPr>
      <w:rFonts w:ascii="Calibri" w:hAnsi="Calibri" w:eastAsia="宋体" w:cs="Times New Roman"/>
      <w:kern w:val="2"/>
      <w:sz w:val="21"/>
      <w:szCs w:val="22"/>
      <w:lang w:val="en-US" w:eastAsia="zh-CN" w:bidi="ar-SA"/>
    </w:rPr>
  </w:style>
  <w:style w:type="paragraph" w:styleId="28">
    <w:name w:val="Body Text Indent 3"/>
    <w:basedOn w:val="1"/>
    <w:link w:val="68"/>
    <w:qFormat/>
    <w:uiPriority w:val="99"/>
    <w:pPr>
      <w:ind w:left="471" w:hanging="471" w:hangingChars="200"/>
    </w:pPr>
    <w:rPr>
      <w:rFonts w:ascii="Arial" w:hAnsi="Arial" w:cs="Arial"/>
      <w:b/>
      <w:bCs/>
      <w:sz w:val="24"/>
    </w:rPr>
  </w:style>
  <w:style w:type="paragraph" w:styleId="29">
    <w:name w:val="toc 2"/>
    <w:basedOn w:val="1"/>
    <w:next w:val="1"/>
    <w:qFormat/>
    <w:uiPriority w:val="99"/>
    <w:pPr>
      <w:ind w:left="420" w:leftChars="200"/>
    </w:pPr>
  </w:style>
  <w:style w:type="paragraph" w:styleId="30">
    <w:name w:val="Body Text 2"/>
    <w:basedOn w:val="1"/>
    <w:link w:val="69"/>
    <w:qFormat/>
    <w:uiPriority w:val="99"/>
    <w:pPr>
      <w:spacing w:line="360" w:lineRule="auto"/>
    </w:pPr>
    <w:rPr>
      <w:b/>
      <w:sz w:val="28"/>
      <w:szCs w:val="21"/>
    </w:rPr>
  </w:style>
  <w:style w:type="paragraph" w:styleId="31">
    <w:name w:val="HTML Preformatted"/>
    <w:basedOn w:val="1"/>
    <w:unhideWhenUsed/>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3">
    <w:name w:val="Title"/>
    <w:basedOn w:val="1"/>
    <w:next w:val="1"/>
    <w:qFormat/>
    <w:locked/>
    <w:uiPriority w:val="98"/>
    <w:pPr>
      <w:spacing w:before="240" w:after="60"/>
      <w:jc w:val="center"/>
      <w:outlineLvl w:val="0"/>
    </w:pPr>
    <w:rPr>
      <w:rFonts w:ascii="等线 Light" w:hAnsi="等线 Light"/>
      <w:b/>
      <w:bCs/>
      <w:sz w:val="32"/>
      <w:szCs w:val="32"/>
    </w:rPr>
  </w:style>
  <w:style w:type="paragraph" w:styleId="34">
    <w:name w:val="Body Text First Indent"/>
    <w:basedOn w:val="15"/>
    <w:next w:val="27"/>
    <w:link w:val="70"/>
    <w:qFormat/>
    <w:uiPriority w:val="99"/>
    <w:pPr>
      <w:spacing w:after="120"/>
      <w:ind w:firstLine="420" w:firstLineChars="100"/>
    </w:pPr>
  </w:style>
  <w:style w:type="paragraph" w:styleId="35">
    <w:name w:val="Body Text First Indent 2"/>
    <w:basedOn w:val="16"/>
    <w:next w:val="1"/>
    <w:qFormat/>
    <w:locked/>
    <w:uiPriority w:val="0"/>
    <w:pPr>
      <w:overflowPunct w:val="0"/>
      <w:adjustRightInd w:val="0"/>
      <w:spacing w:line="500" w:lineRule="exact"/>
      <w:ind w:firstLine="420" w:firstLineChars="200"/>
      <w:textAlignment w:val="baseline"/>
    </w:pPr>
    <w:rPr>
      <w:rFonts w:ascii="Times New Roman" w:hAnsi="Times New Roman" w:eastAsia="仿宋_GB2312" w:cs="Times New Roman"/>
      <w:kern w:val="28"/>
      <w:sz w:val="28"/>
    </w:r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99"/>
    <w:rPr>
      <w:rFonts w:cs="Times New Roman"/>
      <w:b/>
    </w:rPr>
  </w:style>
  <w:style w:type="character" w:styleId="40">
    <w:name w:val="page number"/>
    <w:qFormat/>
    <w:uiPriority w:val="99"/>
    <w:rPr>
      <w:rFonts w:cs="Times New Roman"/>
    </w:rPr>
  </w:style>
  <w:style w:type="character" w:styleId="41">
    <w:name w:val="FollowedHyperlink"/>
    <w:qFormat/>
    <w:uiPriority w:val="99"/>
    <w:rPr>
      <w:rFonts w:cs="Times New Roman"/>
      <w:color w:val="800080"/>
      <w:u w:val="single"/>
    </w:rPr>
  </w:style>
  <w:style w:type="character" w:styleId="42">
    <w:name w:val="Emphasis"/>
    <w:qFormat/>
    <w:uiPriority w:val="99"/>
    <w:rPr>
      <w:rFonts w:cs="Times New Roman"/>
      <w:color w:val="CC0033"/>
    </w:rPr>
  </w:style>
  <w:style w:type="character" w:styleId="43">
    <w:name w:val="Hyperlink"/>
    <w:qFormat/>
    <w:uiPriority w:val="99"/>
    <w:rPr>
      <w:rFonts w:cs="Times New Roman"/>
      <w:color w:val="0000FF"/>
      <w:u w:val="single"/>
    </w:rPr>
  </w:style>
  <w:style w:type="character" w:styleId="44">
    <w:name w:val="annotation reference"/>
    <w:qFormat/>
    <w:locked/>
    <w:uiPriority w:val="0"/>
    <w:rPr>
      <w:sz w:val="21"/>
      <w:szCs w:val="21"/>
    </w:rPr>
  </w:style>
  <w:style w:type="character" w:styleId="45">
    <w:name w:val="HTML Sample"/>
    <w:basedOn w:val="38"/>
    <w:semiHidden/>
    <w:unhideWhenUsed/>
    <w:qFormat/>
    <w:locked/>
    <w:uiPriority w:val="1"/>
    <w:rPr>
      <w:rFonts w:ascii="Courier New" w:hAnsi="Courier New"/>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
    <w:name w:val="Quote"/>
    <w:basedOn w:val="1"/>
    <w:next w:val="1"/>
    <w:qFormat/>
    <w:uiPriority w:val="29"/>
    <w:pPr>
      <w:spacing w:beforeLines="50" w:afterLines="50" w:line="360" w:lineRule="auto"/>
    </w:pPr>
    <w:rPr>
      <w:i/>
      <w:iCs/>
      <w:color w:val="000000"/>
      <w:sz w:val="21"/>
      <w:szCs w:val="24"/>
      <w:lang w:val="zh-CN"/>
    </w:rPr>
  </w:style>
  <w:style w:type="character" w:customStyle="1" w:styleId="48">
    <w:name w:val="标题 1 字符"/>
    <w:link w:val="2"/>
    <w:qFormat/>
    <w:locked/>
    <w:uiPriority w:val="99"/>
    <w:rPr>
      <w:rFonts w:cs="Times New Roman"/>
      <w:b/>
      <w:kern w:val="2"/>
      <w:sz w:val="21"/>
    </w:rPr>
  </w:style>
  <w:style w:type="character" w:customStyle="1" w:styleId="49">
    <w:name w:val="标题 2 字符"/>
    <w:link w:val="3"/>
    <w:qFormat/>
    <w:locked/>
    <w:uiPriority w:val="99"/>
    <w:rPr>
      <w:rFonts w:ascii="Arial" w:hAnsi="Arial" w:eastAsia="黑体" w:cs="Times New Roman"/>
      <w:b/>
      <w:kern w:val="2"/>
      <w:sz w:val="32"/>
    </w:rPr>
  </w:style>
  <w:style w:type="character" w:customStyle="1" w:styleId="50">
    <w:name w:val="标题 3 字符"/>
    <w:link w:val="4"/>
    <w:semiHidden/>
    <w:qFormat/>
    <w:locked/>
    <w:uiPriority w:val="99"/>
    <w:rPr>
      <w:rFonts w:cs="Times New Roman"/>
      <w:b/>
      <w:bCs/>
      <w:sz w:val="32"/>
      <w:szCs w:val="32"/>
    </w:rPr>
  </w:style>
  <w:style w:type="character" w:customStyle="1" w:styleId="51">
    <w:name w:val="标题 4 字符"/>
    <w:link w:val="6"/>
    <w:semiHidden/>
    <w:qFormat/>
    <w:locked/>
    <w:uiPriority w:val="99"/>
    <w:rPr>
      <w:rFonts w:ascii="Cambria" w:hAnsi="Cambria" w:eastAsia="宋体" w:cs="Times New Roman"/>
      <w:b/>
      <w:bCs/>
      <w:sz w:val="28"/>
      <w:szCs w:val="28"/>
    </w:rPr>
  </w:style>
  <w:style w:type="character" w:customStyle="1" w:styleId="52">
    <w:name w:val="标题 5 字符"/>
    <w:link w:val="7"/>
    <w:qFormat/>
    <w:locked/>
    <w:uiPriority w:val="99"/>
    <w:rPr>
      <w:rFonts w:cs="Times New Roman"/>
      <w:b/>
      <w:kern w:val="2"/>
      <w:sz w:val="28"/>
    </w:rPr>
  </w:style>
  <w:style w:type="character" w:customStyle="1" w:styleId="53">
    <w:name w:val="标题 6 字符"/>
    <w:link w:val="8"/>
    <w:qFormat/>
    <w:locked/>
    <w:uiPriority w:val="99"/>
    <w:rPr>
      <w:rFonts w:ascii="Arial" w:hAnsi="Arial" w:eastAsia="黑体" w:cs="Times New Roman"/>
      <w:b/>
      <w:kern w:val="2"/>
      <w:sz w:val="24"/>
    </w:rPr>
  </w:style>
  <w:style w:type="character" w:customStyle="1" w:styleId="54">
    <w:name w:val="标题 7 字符"/>
    <w:link w:val="9"/>
    <w:qFormat/>
    <w:locked/>
    <w:uiPriority w:val="99"/>
    <w:rPr>
      <w:rFonts w:cs="Times New Roman"/>
      <w:b/>
      <w:kern w:val="2"/>
      <w:sz w:val="24"/>
    </w:rPr>
  </w:style>
  <w:style w:type="character" w:customStyle="1" w:styleId="55">
    <w:name w:val="标题 8 字符"/>
    <w:link w:val="10"/>
    <w:qFormat/>
    <w:locked/>
    <w:uiPriority w:val="99"/>
    <w:rPr>
      <w:rFonts w:ascii="Arial" w:hAnsi="Arial" w:eastAsia="黑体" w:cs="Times New Roman"/>
      <w:kern w:val="2"/>
      <w:sz w:val="24"/>
    </w:rPr>
  </w:style>
  <w:style w:type="character" w:customStyle="1" w:styleId="56">
    <w:name w:val="标题 9 字符"/>
    <w:link w:val="11"/>
    <w:qFormat/>
    <w:locked/>
    <w:uiPriority w:val="99"/>
    <w:rPr>
      <w:rFonts w:ascii="Arial" w:hAnsi="Arial" w:eastAsia="黑体" w:cs="Times New Roman"/>
      <w:kern w:val="2"/>
      <w:sz w:val="21"/>
    </w:rPr>
  </w:style>
  <w:style w:type="character" w:customStyle="1" w:styleId="57">
    <w:name w:val="文档结构图 字符"/>
    <w:link w:val="12"/>
    <w:semiHidden/>
    <w:qFormat/>
    <w:locked/>
    <w:uiPriority w:val="99"/>
    <w:rPr>
      <w:rFonts w:cs="Times New Roman"/>
      <w:sz w:val="2"/>
    </w:rPr>
  </w:style>
  <w:style w:type="character" w:customStyle="1" w:styleId="58">
    <w:name w:val="称呼 字符"/>
    <w:link w:val="14"/>
    <w:semiHidden/>
    <w:qFormat/>
    <w:locked/>
    <w:uiPriority w:val="99"/>
    <w:rPr>
      <w:rFonts w:cs="Times New Roman"/>
      <w:sz w:val="20"/>
      <w:szCs w:val="20"/>
    </w:rPr>
  </w:style>
  <w:style w:type="character" w:customStyle="1" w:styleId="59">
    <w:name w:val="正文文本 字符"/>
    <w:link w:val="15"/>
    <w:semiHidden/>
    <w:qFormat/>
    <w:locked/>
    <w:uiPriority w:val="99"/>
    <w:rPr>
      <w:rFonts w:cs="Times New Roman"/>
      <w:sz w:val="20"/>
      <w:szCs w:val="20"/>
    </w:rPr>
  </w:style>
  <w:style w:type="character" w:customStyle="1" w:styleId="60">
    <w:name w:val="正文文本缩进 字符"/>
    <w:link w:val="16"/>
    <w:semiHidden/>
    <w:qFormat/>
    <w:locked/>
    <w:uiPriority w:val="99"/>
    <w:rPr>
      <w:rFonts w:cs="Times New Roman"/>
      <w:sz w:val="20"/>
      <w:szCs w:val="20"/>
    </w:rPr>
  </w:style>
  <w:style w:type="character" w:customStyle="1" w:styleId="61">
    <w:name w:val="纯文本 字符"/>
    <w:link w:val="18"/>
    <w:semiHidden/>
    <w:qFormat/>
    <w:locked/>
    <w:uiPriority w:val="99"/>
    <w:rPr>
      <w:rFonts w:ascii="宋体" w:hAnsi="Courier New" w:cs="Courier New"/>
      <w:sz w:val="21"/>
      <w:szCs w:val="21"/>
    </w:rPr>
  </w:style>
  <w:style w:type="character" w:customStyle="1" w:styleId="62">
    <w:name w:val="日期 字符"/>
    <w:link w:val="19"/>
    <w:semiHidden/>
    <w:qFormat/>
    <w:locked/>
    <w:uiPriority w:val="99"/>
    <w:rPr>
      <w:rFonts w:cs="Times New Roman"/>
      <w:sz w:val="20"/>
      <w:szCs w:val="20"/>
    </w:rPr>
  </w:style>
  <w:style w:type="character" w:customStyle="1" w:styleId="63">
    <w:name w:val="正文文本缩进 2 字符"/>
    <w:link w:val="20"/>
    <w:semiHidden/>
    <w:qFormat/>
    <w:locked/>
    <w:uiPriority w:val="99"/>
    <w:rPr>
      <w:rFonts w:cs="Times New Roman"/>
      <w:sz w:val="20"/>
      <w:szCs w:val="20"/>
    </w:rPr>
  </w:style>
  <w:style w:type="character" w:customStyle="1" w:styleId="64">
    <w:name w:val="批注框文本 字符"/>
    <w:link w:val="21"/>
    <w:semiHidden/>
    <w:qFormat/>
    <w:locked/>
    <w:uiPriority w:val="99"/>
    <w:rPr>
      <w:rFonts w:cs="Times New Roman"/>
      <w:sz w:val="2"/>
    </w:rPr>
  </w:style>
  <w:style w:type="character" w:customStyle="1" w:styleId="65">
    <w:name w:val="页脚 字符"/>
    <w:link w:val="22"/>
    <w:semiHidden/>
    <w:qFormat/>
    <w:locked/>
    <w:uiPriority w:val="99"/>
    <w:rPr>
      <w:rFonts w:cs="Times New Roman"/>
      <w:sz w:val="18"/>
      <w:szCs w:val="18"/>
    </w:rPr>
  </w:style>
  <w:style w:type="character" w:customStyle="1" w:styleId="66">
    <w:name w:val="页眉 字符"/>
    <w:link w:val="23"/>
    <w:semiHidden/>
    <w:qFormat/>
    <w:locked/>
    <w:uiPriority w:val="99"/>
    <w:rPr>
      <w:rFonts w:cs="Times New Roman"/>
      <w:sz w:val="18"/>
      <w:szCs w:val="18"/>
    </w:rPr>
  </w:style>
  <w:style w:type="character" w:customStyle="1" w:styleId="67">
    <w:name w:val="副标题 字符"/>
    <w:link w:val="25"/>
    <w:qFormat/>
    <w:locked/>
    <w:uiPriority w:val="99"/>
    <w:rPr>
      <w:rFonts w:ascii="Cambria" w:hAnsi="Cambria" w:eastAsia="宋体" w:cs="Times New Roman"/>
      <w:b/>
      <w:bCs/>
      <w:kern w:val="28"/>
      <w:sz w:val="32"/>
      <w:szCs w:val="32"/>
      <w:lang w:val="en-US" w:eastAsia="zh-CN" w:bidi="ar-SA"/>
    </w:rPr>
  </w:style>
  <w:style w:type="character" w:customStyle="1" w:styleId="68">
    <w:name w:val="正文文本缩进 3 字符"/>
    <w:link w:val="28"/>
    <w:semiHidden/>
    <w:qFormat/>
    <w:locked/>
    <w:uiPriority w:val="99"/>
    <w:rPr>
      <w:rFonts w:cs="Times New Roman"/>
      <w:sz w:val="16"/>
      <w:szCs w:val="16"/>
    </w:rPr>
  </w:style>
  <w:style w:type="character" w:customStyle="1" w:styleId="69">
    <w:name w:val="正文文本 2 字符"/>
    <w:link w:val="30"/>
    <w:semiHidden/>
    <w:qFormat/>
    <w:locked/>
    <w:uiPriority w:val="99"/>
    <w:rPr>
      <w:rFonts w:cs="Times New Roman"/>
      <w:sz w:val="20"/>
      <w:szCs w:val="20"/>
    </w:rPr>
  </w:style>
  <w:style w:type="character" w:customStyle="1" w:styleId="70">
    <w:name w:val="正文文本首行缩进 字符"/>
    <w:link w:val="34"/>
    <w:semiHidden/>
    <w:qFormat/>
    <w:locked/>
    <w:uiPriority w:val="99"/>
    <w:rPr>
      <w:rFonts w:ascii="Arial" w:hAnsi="Arial" w:cs="Times New Roman"/>
      <w:kern w:val="2"/>
      <w:sz w:val="20"/>
      <w:szCs w:val="20"/>
    </w:rPr>
  </w:style>
  <w:style w:type="paragraph" w:customStyle="1" w:styleId="71">
    <w:name w:val="Default"/>
    <w:basedOn w:val="33"/>
    <w:next w:val="2"/>
    <w:qFormat/>
    <w:uiPriority w:val="99"/>
    <w:pPr>
      <w:widowControl w:val="0"/>
      <w:autoSpaceDE w:val="0"/>
      <w:autoSpaceDN w:val="0"/>
      <w:adjustRightInd w:val="0"/>
    </w:pPr>
    <w:rPr>
      <w:rFonts w:ascii="宋体" w:hAnsi="Times New Roman" w:cs="宋体"/>
      <w:color w:val="000000"/>
      <w:sz w:val="24"/>
      <w:szCs w:val="24"/>
      <w:lang w:val="en-US" w:eastAsia="zh-CN" w:bidi="ar-SA"/>
    </w:rPr>
  </w:style>
  <w:style w:type="character" w:customStyle="1" w:styleId="72">
    <w:name w:val="marklong"/>
    <w:qFormat/>
    <w:uiPriority w:val="99"/>
    <w:rPr>
      <w:rFonts w:cs="Times New Roman"/>
    </w:rPr>
  </w:style>
  <w:style w:type="character" w:customStyle="1" w:styleId="73">
    <w:name w:val="css21"/>
    <w:qFormat/>
    <w:uiPriority w:val="99"/>
    <w:rPr>
      <w:sz w:val="18"/>
    </w:rPr>
  </w:style>
  <w:style w:type="character" w:customStyle="1" w:styleId="74">
    <w:name w:val="ca-4"/>
    <w:qFormat/>
    <w:uiPriority w:val="99"/>
    <w:rPr>
      <w:rFonts w:cs="Times New Roman"/>
    </w:rPr>
  </w:style>
  <w:style w:type="character" w:customStyle="1" w:styleId="75">
    <w:name w:val="Header Char"/>
    <w:qFormat/>
    <w:locked/>
    <w:uiPriority w:val="99"/>
    <w:rPr>
      <w:kern w:val="2"/>
      <w:sz w:val="18"/>
    </w:rPr>
  </w:style>
  <w:style w:type="character" w:customStyle="1" w:styleId="76">
    <w:name w:val="Footer Char"/>
    <w:qFormat/>
    <w:locked/>
    <w:uiPriority w:val="99"/>
    <w:rPr>
      <w:kern w:val="2"/>
      <w:sz w:val="18"/>
    </w:rPr>
  </w:style>
  <w:style w:type="character" w:customStyle="1" w:styleId="77">
    <w:name w:val="Char Char"/>
    <w:qFormat/>
    <w:uiPriority w:val="99"/>
    <w:rPr>
      <w:kern w:val="2"/>
      <w:sz w:val="18"/>
    </w:rPr>
  </w:style>
  <w:style w:type="character" w:customStyle="1" w:styleId="78">
    <w:name w:val="font21"/>
    <w:qFormat/>
    <w:uiPriority w:val="99"/>
    <w:rPr>
      <w:rFonts w:ascii="宋体" w:hAnsi="宋体" w:eastAsia="宋体"/>
      <w:color w:val="000000"/>
      <w:sz w:val="21"/>
      <w:u w:val="none"/>
    </w:rPr>
  </w:style>
  <w:style w:type="character" w:customStyle="1" w:styleId="79">
    <w:name w:val="font31"/>
    <w:qFormat/>
    <w:uiPriority w:val="99"/>
    <w:rPr>
      <w:rFonts w:ascii="Arial" w:hAnsi="Arial"/>
      <w:color w:val="000000"/>
      <w:sz w:val="21"/>
      <w:u w:val="none"/>
    </w:rPr>
  </w:style>
  <w:style w:type="character" w:customStyle="1" w:styleId="80">
    <w:name w:val="Body Text First Indent Char"/>
    <w:qFormat/>
    <w:locked/>
    <w:uiPriority w:val="99"/>
    <w:rPr>
      <w:rFonts w:ascii="Arial" w:hAnsi="Arial"/>
      <w:kern w:val="2"/>
      <w:sz w:val="24"/>
    </w:rPr>
  </w:style>
  <w:style w:type="character" w:customStyle="1" w:styleId="81">
    <w:name w:val="font01"/>
    <w:basedOn w:val="38"/>
    <w:qFormat/>
    <w:uiPriority w:val="0"/>
    <w:rPr>
      <w:rFonts w:hint="eastAsia" w:ascii="微软雅黑" w:hAnsi="微软雅黑" w:eastAsia="微软雅黑" w:cs="微软雅黑"/>
      <w:color w:val="000000"/>
      <w:sz w:val="24"/>
      <w:szCs w:val="24"/>
      <w:u w:val="none"/>
    </w:rPr>
  </w:style>
  <w:style w:type="character" w:customStyle="1" w:styleId="82">
    <w:name w:val="ca-5"/>
    <w:qFormat/>
    <w:uiPriority w:val="99"/>
    <w:rPr>
      <w:rFonts w:cs="Times New Roman"/>
    </w:rPr>
  </w:style>
  <w:style w:type="character" w:customStyle="1" w:styleId="83">
    <w:name w:val="unnamed1"/>
    <w:qFormat/>
    <w:uiPriority w:val="99"/>
    <w:rPr>
      <w:rFonts w:cs="Times New Roman"/>
    </w:rPr>
  </w:style>
  <w:style w:type="character" w:customStyle="1" w:styleId="84">
    <w:name w:val="标题 1 Char Char"/>
    <w:qFormat/>
    <w:uiPriority w:val="0"/>
    <w:rPr>
      <w:rFonts w:hint="eastAsia" w:ascii="宋体" w:hAnsi="宋体" w:eastAsia="宋体"/>
      <w:b/>
      <w:spacing w:val="-2"/>
      <w:sz w:val="24"/>
      <w:lang w:val="en-US" w:eastAsia="zh-CN" w:bidi="ar-SA"/>
    </w:rPr>
  </w:style>
  <w:style w:type="character" w:customStyle="1" w:styleId="85">
    <w:name w:val="15"/>
    <w:qFormat/>
    <w:uiPriority w:val="99"/>
    <w:rPr>
      <w:rFonts w:ascii="Times New Roman" w:hAnsi="Times New Roman" w:cs="Times New Roman"/>
      <w:b/>
      <w:bCs/>
    </w:rPr>
  </w:style>
  <w:style w:type="character" w:customStyle="1" w:styleId="86">
    <w:name w:val="无"/>
    <w:qFormat/>
    <w:uiPriority w:val="99"/>
  </w:style>
  <w:style w:type="character" w:customStyle="1" w:styleId="87">
    <w:name w:val="p21"/>
    <w:qFormat/>
    <w:uiPriority w:val="99"/>
    <w:rPr>
      <w:rFonts w:ascii="Arial" w:hAnsi="Arial"/>
      <w:color w:val="333333"/>
      <w:sz w:val="18"/>
      <w:u w:val="none"/>
    </w:rPr>
  </w:style>
  <w:style w:type="character" w:customStyle="1" w:styleId="88">
    <w:name w:val="ca-1"/>
    <w:qFormat/>
    <w:uiPriority w:val="99"/>
    <w:rPr>
      <w:rFonts w:cs="Times New Roman"/>
    </w:rPr>
  </w:style>
  <w:style w:type="character" w:customStyle="1" w:styleId="89">
    <w:name w:val="Char Char2"/>
    <w:qFormat/>
    <w:uiPriority w:val="99"/>
    <w:rPr>
      <w:kern w:val="2"/>
      <w:sz w:val="18"/>
    </w:rPr>
  </w:style>
  <w:style w:type="character" w:customStyle="1" w:styleId="90">
    <w:name w:val="纯文本 Char Char Char Char Char Char"/>
    <w:qFormat/>
    <w:locked/>
    <w:uiPriority w:val="99"/>
    <w:rPr>
      <w:rFonts w:ascii="宋体" w:hAnsi="Courier New" w:eastAsia="宋体"/>
      <w:kern w:val="2"/>
      <w:sz w:val="21"/>
      <w:lang w:val="en-US" w:eastAsia="zh-CN"/>
    </w:rPr>
  </w:style>
  <w:style w:type="character" w:customStyle="1" w:styleId="91">
    <w:name w:val="NormalCharacter"/>
    <w:qFormat/>
    <w:uiPriority w:val="0"/>
  </w:style>
  <w:style w:type="character" w:customStyle="1" w:styleId="92">
    <w:name w:val="apple-converted-space"/>
    <w:qFormat/>
    <w:uiPriority w:val="99"/>
    <w:rPr>
      <w:rFonts w:cs="Times New Roman"/>
    </w:rPr>
  </w:style>
  <w:style w:type="character" w:customStyle="1" w:styleId="93">
    <w:name w:val="书籍标题1"/>
    <w:qFormat/>
    <w:uiPriority w:val="99"/>
    <w:rPr>
      <w:b/>
      <w:smallCaps/>
      <w:spacing w:val="5"/>
    </w:rPr>
  </w:style>
  <w:style w:type="character" w:customStyle="1" w:styleId="94">
    <w:name w:val="font51"/>
    <w:qFormat/>
    <w:uiPriority w:val="0"/>
    <w:rPr>
      <w:rFonts w:hint="eastAsia" w:ascii="微软雅黑" w:hAnsi="微软雅黑" w:eastAsia="微软雅黑" w:cs="微软雅黑"/>
      <w:color w:val="000000"/>
      <w:sz w:val="24"/>
      <w:szCs w:val="24"/>
      <w:u w:val="none"/>
    </w:rPr>
  </w:style>
  <w:style w:type="character" w:customStyle="1" w:styleId="95">
    <w:name w:val="Char Char1"/>
    <w:qFormat/>
    <w:uiPriority w:val="99"/>
    <w:rPr>
      <w:kern w:val="2"/>
      <w:sz w:val="18"/>
    </w:rPr>
  </w:style>
  <w:style w:type="character" w:customStyle="1" w:styleId="96">
    <w:name w:val="font11"/>
    <w:qFormat/>
    <w:uiPriority w:val="99"/>
    <w:rPr>
      <w:rFonts w:ascii="宋体" w:hAnsi="宋体" w:eastAsia="宋体"/>
      <w:color w:val="000000"/>
      <w:sz w:val="21"/>
      <w:u w:val="none"/>
    </w:rPr>
  </w:style>
  <w:style w:type="character" w:customStyle="1" w:styleId="97">
    <w:name w:val="样式 正文缩进 + 首行缩进:  2 字符 Char"/>
    <w:link w:val="98"/>
    <w:qFormat/>
    <w:locked/>
    <w:uiPriority w:val="99"/>
    <w:rPr>
      <w:sz w:val="24"/>
    </w:rPr>
  </w:style>
  <w:style w:type="paragraph" w:customStyle="1" w:styleId="98">
    <w:name w:val="样式 正文缩进 + 首行缩进:  2 字符"/>
    <w:basedOn w:val="5"/>
    <w:link w:val="97"/>
    <w:qFormat/>
    <w:uiPriority w:val="99"/>
    <w:pPr>
      <w:spacing w:line="360" w:lineRule="auto"/>
      <w:ind w:firstLine="200"/>
    </w:pPr>
    <w:rPr>
      <w:kern w:val="0"/>
      <w:sz w:val="24"/>
      <w:szCs w:val="20"/>
    </w:rPr>
  </w:style>
  <w:style w:type="character" w:customStyle="1" w:styleId="99">
    <w:name w:val="正文文字 Char1"/>
    <w:link w:val="100"/>
    <w:qFormat/>
    <w:locked/>
    <w:uiPriority w:val="99"/>
    <w:rPr>
      <w:rFonts w:ascii="宋体" w:eastAsia="宋体"/>
      <w:color w:val="000000"/>
      <w:sz w:val="28"/>
      <w:lang w:val="en-US" w:eastAsia="zh-CN"/>
    </w:rPr>
  </w:style>
  <w:style w:type="paragraph" w:customStyle="1" w:styleId="100">
    <w:name w:val="正文文字"/>
    <w:basedOn w:val="1"/>
    <w:link w:val="99"/>
    <w:qFormat/>
    <w:uiPriority w:val="99"/>
    <w:pPr>
      <w:widowControl/>
      <w:spacing w:line="2375" w:lineRule="atLeast"/>
      <w:ind w:firstLine="419"/>
      <w:textAlignment w:val="baseline"/>
    </w:pPr>
    <w:rPr>
      <w:rFonts w:ascii="宋体"/>
      <w:color w:val="000000"/>
      <w:kern w:val="0"/>
      <w:sz w:val="28"/>
    </w:rPr>
  </w:style>
  <w:style w:type="character" w:customStyle="1" w:styleId="101">
    <w:name w:val="grame"/>
    <w:qFormat/>
    <w:uiPriority w:val="99"/>
    <w:rPr>
      <w:rFonts w:cs="Times New Roman"/>
    </w:rPr>
  </w:style>
  <w:style w:type="character" w:customStyle="1" w:styleId="102">
    <w:name w:val="ca-3"/>
    <w:qFormat/>
    <w:uiPriority w:val="99"/>
    <w:rPr>
      <w:rFonts w:cs="Times New Roman"/>
    </w:rPr>
  </w:style>
  <w:style w:type="character" w:customStyle="1" w:styleId="103">
    <w:name w:val="H3 Char1"/>
    <w:qFormat/>
    <w:uiPriority w:val="99"/>
    <w:rPr>
      <w:rFonts w:eastAsia="宋体" w:cs="Times New Roman"/>
      <w:b/>
      <w:bCs/>
      <w:kern w:val="2"/>
      <w:sz w:val="24"/>
      <w:szCs w:val="24"/>
      <w:lang w:val="en-US" w:eastAsia="zh-CN" w:bidi="ar-SA"/>
    </w:rPr>
  </w:style>
  <w:style w:type="character" w:customStyle="1" w:styleId="104">
    <w:name w:val="ca-12"/>
    <w:qFormat/>
    <w:uiPriority w:val="99"/>
  </w:style>
  <w:style w:type="character" w:customStyle="1" w:styleId="105">
    <w:name w:val="ca-2"/>
    <w:qFormat/>
    <w:uiPriority w:val="99"/>
    <w:rPr>
      <w:rFonts w:cs="Times New Roman"/>
    </w:rPr>
  </w:style>
  <w:style w:type="character" w:customStyle="1" w:styleId="106">
    <w:name w:val="Body Text Char"/>
    <w:qFormat/>
    <w:locked/>
    <w:uiPriority w:val="99"/>
    <w:rPr>
      <w:rFonts w:ascii="Arial" w:hAnsi="Arial"/>
      <w:kern w:val="2"/>
      <w:sz w:val="24"/>
    </w:rPr>
  </w:style>
  <w:style w:type="character" w:customStyle="1" w:styleId="107">
    <w:name w:val="Plain Text Char"/>
    <w:qFormat/>
    <w:locked/>
    <w:uiPriority w:val="99"/>
    <w:rPr>
      <w:rFonts w:ascii="宋体" w:hAnsi="Courier New" w:eastAsia="宋体"/>
      <w:kern w:val="2"/>
      <w:sz w:val="21"/>
      <w:lang w:val="en-US" w:eastAsia="zh-CN"/>
    </w:rPr>
  </w:style>
  <w:style w:type="character" w:customStyle="1" w:styleId="108">
    <w:name w:val="style25"/>
    <w:qFormat/>
    <w:uiPriority w:val="99"/>
  </w:style>
  <w:style w:type="character" w:customStyle="1" w:styleId="109">
    <w:name w:val="z-窗体顶端 Char"/>
    <w:link w:val="110"/>
    <w:semiHidden/>
    <w:qFormat/>
    <w:locked/>
    <w:uiPriority w:val="99"/>
    <w:rPr>
      <w:rFonts w:ascii="Arial" w:hAnsi="Arial" w:cs="Arial"/>
      <w:vanish/>
      <w:sz w:val="16"/>
      <w:szCs w:val="16"/>
    </w:rPr>
  </w:style>
  <w:style w:type="paragraph" w:customStyle="1" w:styleId="110">
    <w:name w:val="HTML Top of Form"/>
    <w:basedOn w:val="1"/>
    <w:link w:val="109"/>
    <w:qFormat/>
    <w:uiPriority w:val="99"/>
    <w:pPr>
      <w:ind w:firstLine="420" w:firstLineChars="200"/>
    </w:pPr>
  </w:style>
  <w:style w:type="character" w:customStyle="1" w:styleId="111">
    <w:name w:val="明显参考1"/>
    <w:qFormat/>
    <w:uiPriority w:val="99"/>
    <w:rPr>
      <w:b/>
      <w:smallCaps/>
      <w:color w:val="C0504D"/>
      <w:spacing w:val="5"/>
      <w:u w:val="single"/>
    </w:rPr>
  </w:style>
  <w:style w:type="character" w:customStyle="1" w:styleId="112">
    <w:name w:val="正文文字 Char"/>
    <w:qFormat/>
    <w:uiPriority w:val="99"/>
    <w:rPr>
      <w:rFonts w:ascii="Arial" w:hAnsi="Arial" w:eastAsia="宋体"/>
      <w:kern w:val="2"/>
      <w:sz w:val="24"/>
      <w:lang w:val="en-US" w:eastAsia="zh-CN"/>
    </w:rPr>
  </w:style>
  <w:style w:type="character" w:customStyle="1" w:styleId="113">
    <w:name w:val="font61"/>
    <w:qFormat/>
    <w:uiPriority w:val="0"/>
    <w:rPr>
      <w:rFonts w:hint="eastAsia" w:ascii="宋体" w:hAnsi="宋体" w:eastAsia="宋体" w:cs="宋体"/>
      <w:color w:val="000000"/>
      <w:sz w:val="28"/>
      <w:szCs w:val="28"/>
      <w:u w:val="none"/>
    </w:rPr>
  </w:style>
  <w:style w:type="character" w:customStyle="1" w:styleId="114">
    <w:name w:val="Document Map Char"/>
    <w:qFormat/>
    <w:locked/>
    <w:uiPriority w:val="99"/>
    <w:rPr>
      <w:kern w:val="2"/>
      <w:sz w:val="21"/>
      <w:shd w:val="clear" w:color="auto" w:fill="000080"/>
    </w:rPr>
  </w:style>
  <w:style w:type="paragraph" w:customStyle="1" w:styleId="115">
    <w:name w:val="首行缩进"/>
    <w:basedOn w:val="1"/>
    <w:qFormat/>
    <w:uiPriority w:val="0"/>
    <w:pPr>
      <w:spacing w:line="360" w:lineRule="auto"/>
      <w:ind w:firstLine="480" w:firstLineChars="200"/>
    </w:pPr>
    <w:rPr>
      <w:sz w:val="24"/>
      <w:szCs w:val="22"/>
      <w:lang w:val="zh-CN"/>
    </w:rPr>
  </w:style>
  <w:style w:type="paragraph" w:customStyle="1" w:styleId="116">
    <w:name w:val="p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Char"/>
    <w:basedOn w:val="1"/>
    <w:qFormat/>
    <w:uiPriority w:val="99"/>
    <w:rPr>
      <w:rFonts w:ascii="Tahoma" w:hAnsi="Tahoma" w:cs="仿宋_GB2312"/>
      <w:sz w:val="24"/>
      <w:szCs w:val="28"/>
    </w:rPr>
  </w:style>
  <w:style w:type="paragraph" w:customStyle="1" w:styleId="118">
    <w:name w:val="无间隔1"/>
    <w:qFormat/>
    <w:uiPriority w:val="99"/>
    <w:rPr>
      <w:rFonts w:ascii="Times New Roman" w:hAnsi="Times New Roman" w:eastAsia="宋体" w:cs="Times New Roman"/>
      <w:sz w:val="22"/>
      <w:szCs w:val="22"/>
      <w:lang w:val="en-US" w:eastAsia="zh-CN" w:bidi="ar-SA"/>
    </w:rPr>
  </w:style>
  <w:style w:type="paragraph" w:customStyle="1" w:styleId="119">
    <w:name w:val="Body 1"/>
    <w:qFormat/>
    <w:uiPriority w:val="99"/>
    <w:pPr>
      <w:outlineLvl w:val="0"/>
    </w:pPr>
    <w:rPr>
      <w:rFonts w:ascii="Times New Roman" w:hAnsi="Times New Roman" w:eastAsia="宋体" w:cs="Times New Roman"/>
      <w:color w:val="000000"/>
      <w:sz w:val="24"/>
      <w:szCs w:val="22"/>
      <w:lang w:val="en-US" w:eastAsia="zh-CN" w:bidi="ar-SA"/>
    </w:rPr>
  </w:style>
  <w:style w:type="paragraph" w:customStyle="1" w:styleId="120">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21">
    <w:name w:val="条目2"/>
    <w:basedOn w:val="18"/>
    <w:qFormat/>
    <w:uiPriority w:val="99"/>
    <w:pPr>
      <w:tabs>
        <w:tab w:val="left" w:pos="420"/>
      </w:tabs>
      <w:spacing w:line="360" w:lineRule="auto"/>
      <w:ind w:left="420" w:hanging="420"/>
    </w:pPr>
    <w:rPr>
      <w:color w:val="000000"/>
      <w:sz w:val="30"/>
    </w:rPr>
  </w:style>
  <w:style w:type="paragraph" w:customStyle="1" w:styleId="122">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标书正文"/>
    <w:basedOn w:val="1"/>
    <w:qFormat/>
    <w:uiPriority w:val="99"/>
    <w:pPr>
      <w:spacing w:line="560" w:lineRule="exact"/>
      <w:ind w:firstLine="723" w:firstLineChars="200"/>
      <w:jc w:val="center"/>
    </w:pPr>
    <w:rPr>
      <w:rFonts w:ascii="仿宋_GB2312" w:eastAsia="仿宋_GB2312"/>
      <w:b/>
      <w:sz w:val="36"/>
    </w:rPr>
  </w:style>
  <w:style w:type="paragraph" w:customStyle="1" w:styleId="12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pa-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列出段落1"/>
    <w:basedOn w:val="1"/>
    <w:qFormat/>
    <w:uiPriority w:val="99"/>
    <w:pPr>
      <w:ind w:firstLine="420" w:firstLineChars="200"/>
    </w:pPr>
  </w:style>
  <w:style w:type="paragraph" w:customStyle="1" w:styleId="127">
    <w:name w:val="正文 A"/>
    <w:qFormat/>
    <w:uiPriority w:val="99"/>
    <w:pPr>
      <w:widowControl w:val="0"/>
      <w:jc w:val="both"/>
    </w:pPr>
    <w:rPr>
      <w:rFonts w:ascii="Times New Roman" w:hAnsi="Times New Roman" w:eastAsia="宋体" w:cs="Calibri"/>
      <w:color w:val="000000"/>
      <w:kern w:val="2"/>
      <w:sz w:val="21"/>
      <w:szCs w:val="21"/>
      <w:lang w:val="en-US" w:eastAsia="zh-CN" w:bidi="ar-SA"/>
    </w:rPr>
  </w:style>
  <w:style w:type="paragraph" w:customStyle="1" w:styleId="128">
    <w:name w:val="pa-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9">
    <w:name w:val="pa-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中等深浅网格 21"/>
    <w:qFormat/>
    <w:uiPriority w:val="1"/>
    <w:rPr>
      <w:rFonts w:ascii="Times New Roman" w:hAnsi="Times New Roman" w:eastAsia="宋体" w:cs="Times New Roman"/>
      <w:sz w:val="22"/>
      <w:szCs w:val="22"/>
      <w:lang w:val="en-US" w:eastAsia="zh-CN" w:bidi="ar-SA"/>
    </w:rPr>
  </w:style>
  <w:style w:type="paragraph" w:styleId="131">
    <w:name w:val="List Paragraph"/>
    <w:basedOn w:val="1"/>
    <w:qFormat/>
    <w:uiPriority w:val="99"/>
    <w:pPr>
      <w:ind w:firstLine="420" w:firstLineChars="200"/>
    </w:pPr>
    <w:rPr>
      <w:rFonts w:ascii="Calibri" w:hAnsi="Calibri"/>
      <w:szCs w:val="22"/>
    </w:rPr>
  </w:style>
  <w:style w:type="paragraph" w:customStyle="1" w:styleId="132">
    <w:name w:val="_Style 70"/>
    <w:basedOn w:val="1"/>
    <w:next w:val="131"/>
    <w:qFormat/>
    <w:uiPriority w:val="99"/>
    <w:pPr>
      <w:ind w:firstLine="420" w:firstLineChars="200"/>
    </w:pPr>
    <w:rPr>
      <w:rFonts w:ascii="Calibri" w:hAnsi="Calibri"/>
      <w:szCs w:val="22"/>
    </w:rPr>
  </w:style>
  <w:style w:type="paragraph" w:customStyle="1" w:styleId="133">
    <w:name w:val="ecx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4">
    <w:name w:val="style9"/>
    <w:basedOn w:val="1"/>
    <w:qFormat/>
    <w:uiPriority w:val="99"/>
    <w:pPr>
      <w:widowControl/>
      <w:spacing w:line="300" w:lineRule="atLeast"/>
      <w:jc w:val="left"/>
    </w:pPr>
    <w:rPr>
      <w:rFonts w:ascii="宋体" w:hAnsi="宋体" w:cs="宋体"/>
      <w:kern w:val="0"/>
      <w:sz w:val="24"/>
      <w:szCs w:val="24"/>
    </w:rPr>
  </w:style>
  <w:style w:type="paragraph" w:customStyle="1" w:styleId="135">
    <w:name w:val="style6"/>
    <w:basedOn w:val="1"/>
    <w:qFormat/>
    <w:uiPriority w:val="99"/>
    <w:pPr>
      <w:widowControl/>
      <w:spacing w:line="300" w:lineRule="atLeast"/>
      <w:jc w:val="left"/>
    </w:pPr>
    <w:rPr>
      <w:rFonts w:ascii="宋体" w:hAnsi="宋体" w:cs="宋体"/>
      <w:kern w:val="0"/>
      <w:sz w:val="24"/>
      <w:szCs w:val="24"/>
    </w:rPr>
  </w:style>
  <w:style w:type="paragraph" w:customStyle="1" w:styleId="136">
    <w:name w:val="pa-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7">
    <w:name w:val="条目3"/>
    <w:basedOn w:val="18"/>
    <w:qFormat/>
    <w:uiPriority w:val="99"/>
    <w:pPr>
      <w:tabs>
        <w:tab w:val="left" w:pos="960"/>
        <w:tab w:val="left" w:pos="2940"/>
      </w:tabs>
      <w:spacing w:line="360" w:lineRule="auto"/>
      <w:ind w:left="2940" w:hanging="420"/>
    </w:pPr>
    <w:rPr>
      <w:color w:val="000000"/>
      <w:sz w:val="30"/>
    </w:rPr>
  </w:style>
  <w:style w:type="paragraph" w:customStyle="1" w:styleId="138">
    <w:name w:val="_Style 2"/>
    <w:basedOn w:val="1"/>
    <w:qFormat/>
    <w:uiPriority w:val="99"/>
    <w:pPr>
      <w:ind w:firstLine="420" w:firstLineChars="200"/>
    </w:pPr>
  </w:style>
  <w:style w:type="paragraph" w:customStyle="1" w:styleId="139">
    <w:name w:val="大标题"/>
    <w:basedOn w:val="1"/>
    <w:next w:val="35"/>
    <w:qFormat/>
    <w:uiPriority w:val="0"/>
    <w:pPr>
      <w:jc w:val="center"/>
    </w:pPr>
    <w:rPr>
      <w:rFonts w:ascii="Arial" w:hAnsi="Arial" w:eastAsia="宋体" w:cs="Times New Roman"/>
      <w:b/>
      <w:sz w:val="28"/>
      <w:szCs w:val="24"/>
    </w:rPr>
  </w:style>
  <w:style w:type="paragraph" w:customStyle="1" w:styleId="140">
    <w:name w:val="pa-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1">
    <w:name w:val="pa-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2">
    <w:name w:val="pa-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3">
    <w:name w:val="我们红色"/>
    <w:basedOn w:val="1"/>
    <w:qFormat/>
    <w:uiPriority w:val="99"/>
    <w:pPr>
      <w:spacing w:line="360" w:lineRule="auto"/>
    </w:pPr>
    <w:rPr>
      <w:rFonts w:ascii="宋体" w:hAnsi="宋体" w:cs="宋体"/>
      <w:color w:val="FF0000"/>
      <w:kern w:val="0"/>
      <w:szCs w:val="21"/>
    </w:rPr>
  </w:style>
  <w:style w:type="paragraph" w:customStyle="1" w:styleId="144">
    <w:name w:val="正文缩进1"/>
    <w:basedOn w:val="1"/>
    <w:qFormat/>
    <w:uiPriority w:val="99"/>
    <w:pPr>
      <w:ind w:firstLine="420" w:firstLineChars="200"/>
    </w:pPr>
    <w:rPr>
      <w:rFonts w:ascii="Calibri" w:hAnsi="Calibri"/>
    </w:rPr>
  </w:style>
  <w:style w:type="paragraph" w:customStyle="1" w:styleId="145">
    <w:name w:val="宋体加黑"/>
    <w:basedOn w:val="1"/>
    <w:qFormat/>
    <w:uiPriority w:val="99"/>
    <w:pPr>
      <w:spacing w:line="360" w:lineRule="auto"/>
      <w:jc w:val="center"/>
    </w:pPr>
    <w:rPr>
      <w:rFonts w:ascii="宋体" w:hAnsi="宋体"/>
      <w:b/>
      <w:szCs w:val="24"/>
    </w:rPr>
  </w:style>
  <w:style w:type="paragraph" w:customStyle="1" w:styleId="146">
    <w:name w:val="List Paragraph1"/>
    <w:basedOn w:val="1"/>
    <w:qFormat/>
    <w:uiPriority w:val="99"/>
    <w:pPr>
      <w:ind w:firstLine="420" w:firstLineChars="200"/>
    </w:pPr>
    <w:rPr>
      <w:rFonts w:ascii="Calibri" w:hAnsi="Calibri" w:cs="Calibri"/>
      <w:szCs w:val="21"/>
    </w:rPr>
  </w:style>
  <w:style w:type="paragraph" w:customStyle="1" w:styleId="147">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8">
    <w:name w:val="p0"/>
    <w:basedOn w:val="1"/>
    <w:qFormat/>
    <w:uiPriority w:val="99"/>
    <w:pPr>
      <w:widowControl/>
    </w:pPr>
    <w:rPr>
      <w:kern w:val="0"/>
      <w:szCs w:val="21"/>
    </w:rPr>
  </w:style>
  <w:style w:type="paragraph" w:customStyle="1" w:styleId="149">
    <w:name w:val="我们蓝色"/>
    <w:basedOn w:val="1"/>
    <w:qFormat/>
    <w:uiPriority w:val="99"/>
    <w:pPr>
      <w:spacing w:line="360" w:lineRule="auto"/>
    </w:pPr>
    <w:rPr>
      <w:color w:val="00B0F0"/>
      <w:szCs w:val="24"/>
    </w:rPr>
  </w:style>
  <w:style w:type="paragraph" w:customStyle="1" w:styleId="150">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151">
    <w:name w:val="1 Char Char Char Char"/>
    <w:basedOn w:val="1"/>
    <w:qFormat/>
    <w:uiPriority w:val="99"/>
    <w:rPr>
      <w:rFonts w:ascii="Tahoma" w:hAnsi="Tahoma"/>
      <w:sz w:val="24"/>
    </w:rPr>
  </w:style>
  <w:style w:type="paragraph" w:customStyle="1" w:styleId="152">
    <w:name w:val="Char1"/>
    <w:basedOn w:val="1"/>
    <w:qFormat/>
    <w:uiPriority w:val="99"/>
    <w:pPr>
      <w:widowControl/>
      <w:spacing w:after="160" w:line="240" w:lineRule="exact"/>
      <w:jc w:val="left"/>
    </w:pPr>
    <w:rPr>
      <w:rFonts w:ascii="Verdana" w:hAnsi="Verdana"/>
      <w:kern w:val="0"/>
      <w:sz w:val="20"/>
      <w:lang w:eastAsia="en-US"/>
    </w:rPr>
  </w:style>
  <w:style w:type="paragraph" w:customStyle="1" w:styleId="153">
    <w:name w:val="列出段落2"/>
    <w:basedOn w:val="1"/>
    <w:qFormat/>
    <w:uiPriority w:val="99"/>
    <w:pPr>
      <w:ind w:firstLine="420" w:firstLineChars="200"/>
    </w:pPr>
    <w:rPr>
      <w:rFonts w:ascii="宋体" w:hAnsi="Courier New"/>
    </w:rPr>
  </w:style>
  <w:style w:type="paragraph" w:customStyle="1" w:styleId="154">
    <w:name w:val="style16"/>
    <w:basedOn w:val="1"/>
    <w:qFormat/>
    <w:uiPriority w:val="99"/>
    <w:pPr>
      <w:widowControl/>
      <w:spacing w:before="100" w:beforeAutospacing="1" w:after="100" w:afterAutospacing="1"/>
      <w:jc w:val="left"/>
    </w:pPr>
    <w:rPr>
      <w:rFonts w:ascii="宋体" w:hAnsi="宋体" w:cs="宋体"/>
      <w:kern w:val="0"/>
      <w:sz w:val="24"/>
    </w:rPr>
  </w:style>
  <w:style w:type="paragraph" w:customStyle="1" w:styleId="155">
    <w:name w:val="ecxmsolistparagrap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正文2"/>
    <w:basedOn w:val="1"/>
    <w:qFormat/>
    <w:uiPriority w:val="0"/>
    <w:pPr>
      <w:spacing w:before="156" w:line="360" w:lineRule="auto"/>
      <w:ind w:firstLine="510" w:firstLineChars="200"/>
    </w:pPr>
    <w:rPr>
      <w:sz w:val="24"/>
      <w:szCs w:val="20"/>
    </w:rPr>
  </w:style>
  <w:style w:type="paragraph" w:customStyle="1" w:styleId="159">
    <w:name w:val="BodyText1I"/>
    <w:basedOn w:val="160"/>
    <w:qFormat/>
    <w:uiPriority w:val="0"/>
    <w:pPr>
      <w:widowControl/>
      <w:spacing w:before="156" w:line="360" w:lineRule="auto"/>
      <w:ind w:firstLine="200" w:firstLineChars="200"/>
      <w:textAlignment w:val="baseline"/>
    </w:pPr>
    <w:rPr>
      <w:rFonts w:ascii="仿宋_GB2312" w:hAnsi="Times New Roman" w:eastAsia="仿宋_GB2312"/>
      <w:kern w:val="2"/>
      <w:sz w:val="30"/>
      <w:szCs w:val="30"/>
      <w:lang w:val="en-US" w:eastAsia="zh-CN" w:bidi="ar-SA"/>
    </w:rPr>
  </w:style>
  <w:style w:type="paragraph" w:customStyle="1" w:styleId="160">
    <w:name w:val="BodyText"/>
    <w:basedOn w:val="1"/>
    <w:next w:val="161"/>
    <w:qFormat/>
    <w:uiPriority w:val="0"/>
    <w:pPr>
      <w:widowControl/>
      <w:spacing w:before="156"/>
      <w:ind w:firstLine="200" w:firstLineChars="200"/>
      <w:textAlignment w:val="baseline"/>
    </w:pPr>
    <w:rPr>
      <w:rFonts w:ascii="楷体_GB2312" w:hAnsi="Arial" w:eastAsia="楷体_GB2312"/>
      <w:kern w:val="2"/>
      <w:sz w:val="28"/>
      <w:szCs w:val="28"/>
      <w:lang w:val="en-US" w:eastAsia="zh-CN" w:bidi="ar-SA"/>
    </w:rPr>
  </w:style>
  <w:style w:type="paragraph" w:customStyle="1" w:styleId="161">
    <w:name w:val="180"/>
    <w:basedOn w:val="1"/>
    <w:next w:val="1"/>
    <w:qFormat/>
    <w:uiPriority w:val="0"/>
    <w:pPr>
      <w:spacing w:after="160" w:line="259" w:lineRule="auto"/>
      <w:jc w:val="both"/>
      <w:textAlignment w:val="baseline"/>
    </w:pPr>
    <w:rPr>
      <w:rFonts w:ascii="Calibri" w:hAnsi="Calibri" w:eastAsia="宋体"/>
      <w:i/>
      <w:iCs/>
      <w:color w:val="000000"/>
      <w:kern w:val="2"/>
      <w:sz w:val="21"/>
      <w:szCs w:val="24"/>
      <w:lang w:val="en-US" w:eastAsia="zh-CN" w:bidi="ar-SA"/>
    </w:rPr>
  </w:style>
  <w:style w:type="table" w:customStyle="1" w:styleId="162">
    <w:name w:val="Table Normal"/>
    <w:unhideWhenUsed/>
    <w:qFormat/>
    <w:uiPriority w:val="0"/>
    <w:tblPr>
      <w:tblCellMar>
        <w:top w:w="0" w:type="dxa"/>
        <w:left w:w="0" w:type="dxa"/>
        <w:bottom w:w="0" w:type="dxa"/>
        <w:right w:w="0" w:type="dxa"/>
      </w:tblCellMar>
    </w:tblPr>
  </w:style>
  <w:style w:type="paragraph" w:customStyle="1" w:styleId="163">
    <w:name w:val="Table Text"/>
    <w:basedOn w:val="1"/>
    <w:semiHidden/>
    <w:qFormat/>
    <w:uiPriority w:val="0"/>
    <w:rPr>
      <w:rFonts w:ascii="宋体" w:hAnsi="宋体" w:eastAsia="宋体" w:cs="宋体"/>
      <w:sz w:val="24"/>
      <w:szCs w:val="24"/>
      <w:lang w:val="en-US" w:eastAsia="en-US" w:bidi="ar-SA"/>
    </w:rPr>
  </w:style>
  <w:style w:type="character" w:customStyle="1" w:styleId="164">
    <w:name w:val="font71"/>
    <w:basedOn w:val="38"/>
    <w:qFormat/>
    <w:uiPriority w:val="0"/>
    <w:rPr>
      <w:rFonts w:ascii="仿宋" w:hAnsi="仿宋" w:eastAsia="仿宋" w:cs="仿宋"/>
      <w:color w:val="000000"/>
      <w:sz w:val="28"/>
      <w:szCs w:val="28"/>
      <w:u w:val="none"/>
    </w:rPr>
  </w:style>
  <w:style w:type="character" w:customStyle="1" w:styleId="165">
    <w:name w:val="font81"/>
    <w:basedOn w:val="38"/>
    <w:qFormat/>
    <w:uiPriority w:val="0"/>
    <w:rPr>
      <w:rFonts w:hint="default" w:ascii="Times New Roman" w:hAnsi="Times New Roman" w:cs="Times New Roman"/>
      <w:color w:val="000000"/>
      <w:sz w:val="22"/>
      <w:szCs w:val="22"/>
      <w:u w:val="none"/>
    </w:rPr>
  </w:style>
  <w:style w:type="character" w:customStyle="1" w:styleId="166">
    <w:name w:val="font91"/>
    <w:basedOn w:val="38"/>
    <w:qFormat/>
    <w:uiPriority w:val="0"/>
    <w:rPr>
      <w:rFonts w:hint="default" w:ascii="仿宋_GB2312" w:eastAsia="仿宋_GB2312" w:cs="仿宋_GB2312"/>
      <w:color w:val="000000"/>
      <w:sz w:val="22"/>
      <w:szCs w:val="22"/>
      <w:u w:val="single"/>
    </w:rPr>
  </w:style>
  <w:style w:type="character" w:customStyle="1" w:styleId="167">
    <w:name w:val="font101"/>
    <w:basedOn w:val="38"/>
    <w:qFormat/>
    <w:uiPriority w:val="0"/>
    <w:rPr>
      <w:rFonts w:hint="eastAsia" w:ascii="宋体" w:hAnsi="宋体" w:eastAsia="宋体" w:cs="宋体"/>
      <w:color w:val="000000"/>
      <w:sz w:val="22"/>
      <w:szCs w:val="22"/>
      <w:u w:val="none"/>
    </w:rPr>
  </w:style>
  <w:style w:type="character" w:customStyle="1" w:styleId="168">
    <w:name w:val="font111"/>
    <w:basedOn w:val="38"/>
    <w:qFormat/>
    <w:uiPriority w:val="0"/>
    <w:rPr>
      <w:rFonts w:hint="default" w:ascii="仿宋_GB2312" w:eastAsia="仿宋_GB2312" w:cs="仿宋_GB2312"/>
      <w:color w:val="000000"/>
      <w:sz w:val="22"/>
      <w:szCs w:val="22"/>
      <w:u w:val="none"/>
      <w:vertAlign w:val="superscript"/>
    </w:rPr>
  </w:style>
  <w:style w:type="character" w:customStyle="1" w:styleId="169">
    <w:name w:val="font122"/>
    <w:basedOn w:val="38"/>
    <w:qFormat/>
    <w:uiPriority w:val="0"/>
    <w:rPr>
      <w:rFonts w:hint="default" w:ascii="仿宋_GB2312" w:eastAsia="仿宋_GB2312" w:cs="仿宋_GB2312"/>
      <w:color w:val="FF0000"/>
      <w:sz w:val="22"/>
      <w:szCs w:val="22"/>
      <w:u w:val="none"/>
    </w:rPr>
  </w:style>
  <w:style w:type="character" w:customStyle="1" w:styleId="170">
    <w:name w:val="font41"/>
    <w:basedOn w:val="38"/>
    <w:qFormat/>
    <w:uiPriority w:val="0"/>
    <w:rPr>
      <w:rFonts w:hint="default" w:ascii="仿宋_GB2312" w:eastAsia="仿宋_GB2312" w:cs="仿宋_GB2312"/>
      <w:color w:val="000000"/>
      <w:sz w:val="22"/>
      <w:szCs w:val="22"/>
      <w:u w:val="none"/>
    </w:rPr>
  </w:style>
  <w:style w:type="character" w:customStyle="1" w:styleId="171">
    <w:name w:val="font131"/>
    <w:basedOn w:val="38"/>
    <w:qFormat/>
    <w:uiPriority w:val="0"/>
    <w:rPr>
      <w:rFonts w:hint="default" w:ascii="仿宋_GB2312" w:eastAsia="仿宋_GB2312" w:cs="仿宋_GB2312"/>
      <w:color w:val="000000"/>
      <w:sz w:val="22"/>
      <w:szCs w:val="22"/>
      <w:u w:val="none"/>
    </w:rPr>
  </w:style>
  <w:style w:type="character" w:customStyle="1" w:styleId="172">
    <w:name w:val="font141"/>
    <w:basedOn w:val="38"/>
    <w:qFormat/>
    <w:uiPriority w:val="0"/>
    <w:rPr>
      <w:rFonts w:hint="default" w:ascii="仿宋_GB2312" w:eastAsia="仿宋_GB2312" w:cs="仿宋_GB2312"/>
      <w:color w:val="000000"/>
      <w:sz w:val="22"/>
      <w:szCs w:val="22"/>
      <w:u w:val="none"/>
      <w:vertAlign w:val="superscript"/>
    </w:rPr>
  </w:style>
  <w:style w:type="character" w:customStyle="1" w:styleId="173">
    <w:name w:val="font151"/>
    <w:basedOn w:val="38"/>
    <w:qFormat/>
    <w:uiPriority w:val="0"/>
    <w:rPr>
      <w:rFonts w:hint="default" w:ascii="Times New Roman" w:hAnsi="Times New Roman" w:cs="Times New Roman"/>
      <w:color w:val="000000"/>
      <w:sz w:val="22"/>
      <w:szCs w:val="22"/>
      <w:u w:val="none"/>
    </w:rPr>
  </w:style>
  <w:style w:type="character" w:customStyle="1" w:styleId="174">
    <w:name w:val="font161"/>
    <w:basedOn w:val="38"/>
    <w:qFormat/>
    <w:uiPriority w:val="0"/>
    <w:rPr>
      <w:rFonts w:hint="default" w:ascii="仿宋_GB2312" w:eastAsia="仿宋_GB2312" w:cs="仿宋_GB2312"/>
      <w:color w:val="FF0000"/>
      <w:sz w:val="22"/>
      <w:szCs w:val="22"/>
      <w:u w:val="single"/>
    </w:rPr>
  </w:style>
  <w:style w:type="character" w:customStyle="1" w:styleId="175">
    <w:name w:val="font171"/>
    <w:basedOn w:val="38"/>
    <w:qFormat/>
    <w:uiPriority w:val="0"/>
    <w:rPr>
      <w:rFonts w:ascii="方正书宋_GBK" w:hAnsi="方正书宋_GBK" w:eastAsia="方正书宋_GBK" w:cs="方正书宋_GBK"/>
      <w:color w:val="000000"/>
      <w:sz w:val="22"/>
      <w:szCs w:val="22"/>
      <w:u w:val="none"/>
    </w:rPr>
  </w:style>
  <w:style w:type="character" w:customStyle="1" w:styleId="176">
    <w:name w:val="font181"/>
    <w:basedOn w:val="38"/>
    <w:qFormat/>
    <w:uiPriority w:val="0"/>
    <w:rPr>
      <w:rFonts w:hint="default" w:ascii="仿宋_GB2312" w:eastAsia="仿宋_GB2312" w:cs="仿宋_GB2312"/>
      <w:color w:val="000000"/>
      <w:sz w:val="22"/>
      <w:szCs w:val="22"/>
      <w:u w:val="none"/>
      <w:vertAlign w:val="subscript"/>
    </w:rPr>
  </w:style>
  <w:style w:type="character" w:customStyle="1" w:styleId="177">
    <w:name w:val="font191"/>
    <w:basedOn w:val="38"/>
    <w:qFormat/>
    <w:uiPriority w:val="0"/>
    <w:rPr>
      <w:rFonts w:hint="default" w:ascii="方正书宋_GBK" w:hAnsi="方正书宋_GBK" w:eastAsia="方正书宋_GBK" w:cs="方正书宋_GBK"/>
      <w:color w:val="000000"/>
      <w:sz w:val="22"/>
      <w:szCs w:val="22"/>
      <w:u w:val="none"/>
    </w:rPr>
  </w:style>
  <w:style w:type="character" w:customStyle="1" w:styleId="178">
    <w:name w:val="font201"/>
    <w:basedOn w:val="38"/>
    <w:qFormat/>
    <w:uiPriority w:val="0"/>
    <w:rPr>
      <w:rFonts w:hint="default" w:ascii="仿宋_GB2312" w:eastAsia="仿宋_GB2312" w:cs="仿宋_GB2312"/>
      <w:color w:val="FF0000"/>
      <w:sz w:val="18"/>
      <w:szCs w:val="18"/>
      <w:u w:val="none"/>
    </w:rPr>
  </w:style>
  <w:style w:type="character" w:customStyle="1" w:styleId="179">
    <w:name w:val="font212"/>
    <w:basedOn w:val="38"/>
    <w:qFormat/>
    <w:uiPriority w:val="0"/>
    <w:rPr>
      <w:rFonts w:hint="default" w:ascii="仿宋_GB2312" w:eastAsia="仿宋_GB2312" w:cs="仿宋_GB2312"/>
      <w:color w:val="000000"/>
      <w:sz w:val="18"/>
      <w:szCs w:val="18"/>
      <w:u w:val="none"/>
    </w:rPr>
  </w:style>
  <w:style w:type="character" w:customStyle="1" w:styleId="180">
    <w:name w:val="font221"/>
    <w:basedOn w:val="38"/>
    <w:qFormat/>
    <w:uiPriority w:val="0"/>
    <w:rPr>
      <w:rFonts w:hint="default" w:ascii="Times New Roman" w:hAnsi="Times New Roman" w:cs="Times New Roman"/>
      <w:color w:val="000000"/>
      <w:sz w:val="22"/>
      <w:szCs w:val="22"/>
      <w:u w:val="none"/>
    </w:rPr>
  </w:style>
  <w:style w:type="character" w:customStyle="1" w:styleId="181">
    <w:name w:val="font112"/>
    <w:basedOn w:val="38"/>
    <w:qFormat/>
    <w:uiPriority w:val="0"/>
    <w:rPr>
      <w:rFonts w:hint="eastAsia" w:ascii="新宋体" w:hAnsi="新宋体" w:eastAsia="新宋体" w:cs="新宋体"/>
      <w:b/>
      <w:bCs/>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xjtc</Company>
  <Pages>83</Pages>
  <Words>11427</Words>
  <Characters>12407</Characters>
  <Lines>218</Lines>
  <Paragraphs>61</Paragraphs>
  <TotalTime>13</TotalTime>
  <ScaleCrop>false</ScaleCrop>
  <LinksUpToDate>false</LinksUpToDate>
  <CharactersWithSpaces>12614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2022-06-01T20:57:00Z</dcterms:created>
  <dc:creator>xt</dc:creator>
  <cp:lastModifiedBy>劉</cp:lastModifiedBy>
  <cp:lastPrinted>2025-06-10T03:54:00Z</cp:lastPrinted>
  <dcterms:modified xsi:type="dcterms:W3CDTF">2025-06-19T07:51:09Z</dcterms:modified>
  <dc:title>第一部份 投标邀请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8C78664971D242F7B5C3012614AAAA97_13</vt:lpwstr>
  </property>
  <property fmtid="{D5CDD505-2E9C-101B-9397-08002B2CF9AE}" pid="4" name="KSOTemplateDocerSaveRecord">
    <vt:lpwstr>eyJoZGlkIjoiZWFmMjhhMzI5ZjdmYjE1ZjI0ZGEzZWMyMmQ4ZTYxNDMiLCJ1c2VySWQiOiI3ODQ5NTM0NjUifQ==</vt:lpwstr>
  </property>
</Properties>
</file>