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 w:val="30"/>
          <w:szCs w:val="30"/>
        </w:rPr>
      </w:pPr>
    </w:p>
    <w:p>
      <w:pPr>
        <w:tabs>
          <w:tab w:val="left" w:pos="3819"/>
          <w:tab w:val="center" w:pos="4204"/>
        </w:tabs>
        <w:jc w:val="left"/>
        <w:rPr>
          <w:rFonts w:ascii="宋体" w:hAnsi="宋体"/>
          <w:b/>
          <w:color w:val="000000"/>
          <w:sz w:val="32"/>
          <w:szCs w:val="32"/>
        </w:rPr>
      </w:pPr>
      <w:r>
        <w:rPr>
          <w:rFonts w:hint="eastAsia" w:ascii="宋体" w:hAnsi="宋体"/>
          <w:b/>
          <w:color w:val="000000"/>
          <w:sz w:val="32"/>
          <w:szCs w:val="32"/>
        </w:rPr>
        <w:t>招标编号：</w:t>
      </w:r>
      <w:r>
        <w:rPr>
          <w:rFonts w:ascii="宋体" w:hAnsi="宋体"/>
          <w:b/>
          <w:color w:val="000000"/>
          <w:sz w:val="32"/>
          <w:szCs w:val="32"/>
        </w:rPr>
        <w:t>510101202101019</w:t>
      </w:r>
    </w:p>
    <w:p>
      <w:pPr>
        <w:tabs>
          <w:tab w:val="left" w:pos="3819"/>
          <w:tab w:val="center" w:pos="4204"/>
        </w:tabs>
        <w:jc w:val="left"/>
        <w:rPr>
          <w:rFonts w:ascii="宋体" w:hAnsi="宋体"/>
          <w:b/>
          <w:color w:val="000000"/>
          <w:sz w:val="32"/>
          <w:szCs w:val="32"/>
        </w:rPr>
      </w:pPr>
      <w:r>
        <w:rPr>
          <w:rFonts w:hint="eastAsia" w:ascii="宋体" w:hAnsi="宋体"/>
          <w:b/>
          <w:color w:val="000000"/>
          <w:sz w:val="32"/>
          <w:szCs w:val="32"/>
        </w:rPr>
        <w:t>项目名称：成都市妇女儿童中心医院彩色多普勒超声诊断仪医疗设备采购项目</w:t>
      </w:r>
    </w:p>
    <w:p>
      <w:pPr>
        <w:tabs>
          <w:tab w:val="left" w:pos="3819"/>
          <w:tab w:val="center" w:pos="4204"/>
        </w:tabs>
        <w:jc w:val="center"/>
        <w:rPr>
          <w:rFonts w:ascii="宋体" w:hAnsi="宋体"/>
          <w:b/>
          <w:color w:val="000000"/>
          <w:sz w:val="52"/>
          <w:szCs w:val="52"/>
        </w:rPr>
      </w:pPr>
    </w:p>
    <w:p>
      <w:pPr>
        <w:tabs>
          <w:tab w:val="left" w:pos="3819"/>
          <w:tab w:val="center" w:pos="4204"/>
        </w:tabs>
        <w:jc w:val="center"/>
        <w:rPr>
          <w:rFonts w:ascii="宋体" w:hAnsi="宋体"/>
          <w:b/>
          <w:color w:val="000000"/>
          <w:sz w:val="52"/>
          <w:szCs w:val="52"/>
        </w:rPr>
      </w:pPr>
    </w:p>
    <w:p>
      <w:pPr>
        <w:tabs>
          <w:tab w:val="left" w:pos="3819"/>
          <w:tab w:val="center" w:pos="4204"/>
        </w:tabs>
        <w:jc w:val="center"/>
        <w:rPr>
          <w:rFonts w:ascii="宋体" w:hAnsi="宋体"/>
          <w:b/>
          <w:color w:val="000000"/>
          <w:sz w:val="52"/>
          <w:szCs w:val="52"/>
        </w:rPr>
      </w:pPr>
    </w:p>
    <w:p>
      <w:pPr>
        <w:tabs>
          <w:tab w:val="left" w:pos="3819"/>
          <w:tab w:val="center" w:pos="4204"/>
        </w:tabs>
        <w:jc w:val="center"/>
        <w:rPr>
          <w:rFonts w:ascii="宋体" w:hAnsi="宋体"/>
          <w:b/>
          <w:color w:val="000000"/>
          <w:sz w:val="84"/>
          <w:szCs w:val="84"/>
        </w:rPr>
      </w:pPr>
      <w:r>
        <w:rPr>
          <w:rFonts w:hint="eastAsia" w:ascii="宋体" w:hAnsi="宋体"/>
          <w:b/>
          <w:color w:val="000000"/>
          <w:sz w:val="84"/>
          <w:szCs w:val="84"/>
        </w:rPr>
        <w:t>招 标 文 件</w:t>
      </w:r>
    </w:p>
    <w:p>
      <w:pPr>
        <w:spacing w:line="360" w:lineRule="auto"/>
        <w:jc w:val="center"/>
        <w:rPr>
          <w:rFonts w:ascii="宋体" w:hAnsi="宋体"/>
          <w:b/>
          <w:color w:val="000000"/>
          <w:sz w:val="32"/>
          <w:szCs w:val="32"/>
        </w:rPr>
      </w:pPr>
    </w:p>
    <w:p>
      <w:pPr>
        <w:spacing w:line="360" w:lineRule="auto"/>
        <w:ind w:left="840" w:firstLine="420"/>
        <w:rPr>
          <w:rFonts w:ascii="宋体" w:hAnsi="宋体"/>
          <w:b/>
          <w:color w:val="000000"/>
          <w:sz w:val="32"/>
          <w:szCs w:val="32"/>
        </w:rPr>
      </w:pPr>
    </w:p>
    <w:p>
      <w:pPr>
        <w:spacing w:line="360" w:lineRule="auto"/>
        <w:ind w:left="840" w:firstLine="420"/>
        <w:rPr>
          <w:rFonts w:ascii="宋体" w:hAnsi="宋体"/>
          <w:b/>
          <w:color w:val="000000"/>
          <w:sz w:val="32"/>
          <w:szCs w:val="32"/>
        </w:rPr>
      </w:pPr>
    </w:p>
    <w:p>
      <w:pPr>
        <w:spacing w:line="360" w:lineRule="auto"/>
        <w:ind w:left="840" w:firstLine="420"/>
        <w:rPr>
          <w:rFonts w:ascii="宋体" w:hAnsi="宋体"/>
          <w:b/>
          <w:color w:val="000000"/>
          <w:sz w:val="32"/>
          <w:szCs w:val="32"/>
        </w:rPr>
      </w:pPr>
    </w:p>
    <w:p>
      <w:pPr>
        <w:spacing w:line="360" w:lineRule="auto"/>
        <w:ind w:left="840" w:firstLine="420"/>
        <w:rPr>
          <w:rFonts w:ascii="宋体" w:hAnsi="宋体"/>
          <w:b/>
          <w:color w:val="000000"/>
          <w:sz w:val="32"/>
          <w:szCs w:val="32"/>
        </w:rPr>
      </w:pPr>
    </w:p>
    <w:p>
      <w:pPr>
        <w:spacing w:line="360" w:lineRule="auto"/>
        <w:ind w:left="840" w:firstLine="420"/>
        <w:rPr>
          <w:rFonts w:ascii="宋体" w:hAnsi="宋体"/>
          <w:b/>
          <w:color w:val="000000"/>
          <w:sz w:val="32"/>
          <w:szCs w:val="32"/>
        </w:rPr>
      </w:pPr>
      <w:r>
        <w:rPr>
          <w:rFonts w:hint="eastAsia" w:ascii="宋体" w:hAnsi="宋体"/>
          <w:b/>
          <w:color w:val="000000"/>
          <w:sz w:val="32"/>
          <w:szCs w:val="32"/>
        </w:rPr>
        <w:t>采购人：成都市妇女儿童中心医院</w:t>
      </w:r>
    </w:p>
    <w:p>
      <w:pPr>
        <w:spacing w:line="360" w:lineRule="auto"/>
        <w:ind w:left="840" w:firstLine="420"/>
        <w:rPr>
          <w:rFonts w:ascii="宋体" w:hAnsi="宋体"/>
          <w:b/>
          <w:color w:val="000000"/>
          <w:sz w:val="32"/>
          <w:szCs w:val="32"/>
        </w:rPr>
      </w:pPr>
      <w:r>
        <w:rPr>
          <w:rFonts w:hint="eastAsia" w:ascii="宋体" w:hAnsi="宋体"/>
          <w:b/>
          <w:color w:val="000000"/>
          <w:sz w:val="32"/>
          <w:szCs w:val="32"/>
        </w:rPr>
        <w:t>采购代理机构：中航技国际经贸发展有限公司</w:t>
      </w: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jc w:val="center"/>
        <w:rPr>
          <w:rFonts w:ascii="宋体" w:hAnsi="宋体"/>
          <w:b/>
          <w:color w:val="000000"/>
          <w:sz w:val="32"/>
          <w:szCs w:val="32"/>
        </w:rPr>
      </w:pPr>
      <w:r>
        <w:rPr>
          <w:rFonts w:hint="eastAsia" w:ascii="宋体" w:hAnsi="宋体"/>
          <w:b/>
          <w:color w:val="000000"/>
          <w:sz w:val="32"/>
          <w:szCs w:val="32"/>
        </w:rPr>
        <w:t>2021</w:t>
      </w:r>
      <w:r>
        <w:rPr>
          <w:rFonts w:ascii="宋体" w:hAnsi="宋体"/>
          <w:b/>
          <w:color w:val="000000"/>
          <w:sz w:val="32"/>
          <w:szCs w:val="32"/>
        </w:rPr>
        <w:t>年</w:t>
      </w:r>
      <w:r>
        <w:rPr>
          <w:rFonts w:hint="eastAsia" w:ascii="宋体" w:hAnsi="宋体"/>
          <w:b/>
          <w:color w:val="000000"/>
          <w:sz w:val="32"/>
          <w:szCs w:val="32"/>
        </w:rPr>
        <w:t>09</w:t>
      </w:r>
      <w:r>
        <w:rPr>
          <w:rFonts w:ascii="宋体" w:hAnsi="宋体"/>
          <w:b/>
          <w:color w:val="000000"/>
          <w:sz w:val="32"/>
          <w:szCs w:val="32"/>
        </w:rPr>
        <w:t>月</w:t>
      </w: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r>
        <w:rPr>
          <w:rFonts w:hint="eastAsia" w:ascii="宋体" w:hAnsi="宋体"/>
          <w:b/>
          <w:color w:val="000000"/>
          <w:sz w:val="32"/>
          <w:szCs w:val="32"/>
        </w:rPr>
        <w:t>目 录</w:t>
      </w:r>
    </w:p>
    <w:p>
      <w:pPr>
        <w:pStyle w:val="20"/>
        <w:rPr>
          <w:rFonts w:ascii="宋体" w:hAnsi="宋体"/>
          <w:szCs w:val="22"/>
        </w:rPr>
      </w:pPr>
      <w:r>
        <w:rPr>
          <w:rFonts w:ascii="宋体" w:hAnsi="宋体"/>
          <w:b/>
          <w:color w:val="000000"/>
          <w:sz w:val="24"/>
        </w:rPr>
        <w:fldChar w:fldCharType="begin"/>
      </w:r>
      <w:r>
        <w:rPr>
          <w:rFonts w:hint="eastAsia" w:ascii="宋体" w:hAnsi="宋体"/>
          <w:b/>
          <w:color w:val="000000"/>
          <w:sz w:val="24"/>
        </w:rPr>
        <w:instrText xml:space="preserve">TOC \o "1-3" \h \z \u</w:instrText>
      </w:r>
      <w:r>
        <w:rPr>
          <w:rFonts w:ascii="宋体" w:hAnsi="宋体"/>
          <w:b/>
          <w:color w:val="000000"/>
          <w:sz w:val="24"/>
        </w:rPr>
        <w:fldChar w:fldCharType="separate"/>
      </w:r>
      <w:r>
        <w:fldChar w:fldCharType="begin"/>
      </w:r>
      <w:r>
        <w:instrText xml:space="preserve"> HYPERLINK \l "_Toc69141772" </w:instrText>
      </w:r>
      <w:r>
        <w:fldChar w:fldCharType="separate"/>
      </w:r>
      <w:r>
        <w:rPr>
          <w:rStyle w:val="35"/>
          <w:rFonts w:hint="eastAsia" w:ascii="宋体" w:hAnsi="宋体"/>
        </w:rPr>
        <w:t>第一章投标邀请</w:t>
      </w:r>
      <w:r>
        <w:rPr>
          <w:rFonts w:ascii="宋体" w:hAnsi="宋体"/>
        </w:rPr>
        <w:tab/>
      </w:r>
      <w:r>
        <w:rPr>
          <w:rFonts w:ascii="宋体" w:hAnsi="宋体"/>
        </w:rPr>
        <w:fldChar w:fldCharType="begin"/>
      </w:r>
      <w:r>
        <w:rPr>
          <w:rFonts w:ascii="宋体" w:hAnsi="宋体"/>
        </w:rPr>
        <w:instrText xml:space="preserve"> PAGEREF _Toc69141772 \h </w:instrText>
      </w:r>
      <w:r>
        <w:rPr>
          <w:rFonts w:ascii="宋体" w:hAnsi="宋体"/>
        </w:rPr>
        <w:fldChar w:fldCharType="separate"/>
      </w:r>
      <w:r>
        <w:rPr>
          <w:rFonts w:ascii="宋体" w:hAnsi="宋体"/>
        </w:rPr>
        <w:t>- 3 -</w:t>
      </w:r>
      <w:r>
        <w:rPr>
          <w:rFonts w:ascii="宋体" w:hAnsi="宋体"/>
        </w:rPr>
        <w:fldChar w:fldCharType="end"/>
      </w:r>
      <w:r>
        <w:rPr>
          <w:rFonts w:ascii="宋体" w:hAnsi="宋体"/>
        </w:rPr>
        <w:fldChar w:fldCharType="end"/>
      </w:r>
    </w:p>
    <w:p>
      <w:pPr>
        <w:pStyle w:val="20"/>
        <w:rPr>
          <w:rFonts w:ascii="宋体" w:hAnsi="宋体"/>
          <w:szCs w:val="22"/>
        </w:rPr>
      </w:pPr>
      <w:r>
        <w:fldChar w:fldCharType="begin"/>
      </w:r>
      <w:r>
        <w:instrText xml:space="preserve"> HYPERLINK \l "_Toc69141773" </w:instrText>
      </w:r>
      <w:r>
        <w:fldChar w:fldCharType="separate"/>
      </w:r>
      <w:r>
        <w:rPr>
          <w:rStyle w:val="35"/>
          <w:rFonts w:hint="eastAsia" w:ascii="宋体" w:hAnsi="宋体"/>
        </w:rPr>
        <w:t>第二章投标人须知</w:t>
      </w:r>
      <w:r>
        <w:rPr>
          <w:rFonts w:ascii="宋体" w:hAnsi="宋体"/>
        </w:rPr>
        <w:tab/>
      </w:r>
      <w:r>
        <w:rPr>
          <w:rFonts w:ascii="宋体" w:hAnsi="宋体"/>
        </w:rPr>
        <w:fldChar w:fldCharType="begin"/>
      </w:r>
      <w:r>
        <w:rPr>
          <w:rFonts w:ascii="宋体" w:hAnsi="宋体"/>
        </w:rPr>
        <w:instrText xml:space="preserve"> PAGEREF _Toc69141773 \h </w:instrText>
      </w:r>
      <w:r>
        <w:rPr>
          <w:rFonts w:ascii="宋体" w:hAnsi="宋体"/>
        </w:rPr>
        <w:fldChar w:fldCharType="separate"/>
      </w:r>
      <w:r>
        <w:rPr>
          <w:rFonts w:ascii="宋体" w:hAnsi="宋体"/>
        </w:rPr>
        <w:t>- 5 -</w:t>
      </w:r>
      <w:r>
        <w:rPr>
          <w:rFonts w:ascii="宋体" w:hAnsi="宋体"/>
        </w:rPr>
        <w:fldChar w:fldCharType="end"/>
      </w:r>
      <w:r>
        <w:rPr>
          <w:rFonts w:ascii="宋体" w:hAnsi="宋体"/>
        </w:rPr>
        <w:fldChar w:fldCharType="end"/>
      </w:r>
    </w:p>
    <w:p>
      <w:pPr>
        <w:pStyle w:val="20"/>
        <w:rPr>
          <w:rFonts w:ascii="宋体" w:hAnsi="宋体"/>
          <w:szCs w:val="22"/>
        </w:rPr>
      </w:pPr>
      <w:r>
        <w:fldChar w:fldCharType="begin"/>
      </w:r>
      <w:r>
        <w:instrText xml:space="preserve"> HYPERLINK \l "_Toc69141820" </w:instrText>
      </w:r>
      <w:r>
        <w:fldChar w:fldCharType="separate"/>
      </w:r>
      <w:r>
        <w:rPr>
          <w:rStyle w:val="35"/>
          <w:rFonts w:hint="eastAsia" w:ascii="宋体" w:hAnsi="宋体"/>
        </w:rPr>
        <w:t>第三章投标文件格式</w:t>
      </w:r>
      <w:r>
        <w:rPr>
          <w:rFonts w:ascii="宋体" w:hAnsi="宋体"/>
        </w:rPr>
        <w:tab/>
      </w:r>
      <w:r>
        <w:rPr>
          <w:rFonts w:ascii="宋体" w:hAnsi="宋体"/>
        </w:rPr>
        <w:fldChar w:fldCharType="begin"/>
      </w:r>
      <w:r>
        <w:rPr>
          <w:rFonts w:ascii="宋体" w:hAnsi="宋体"/>
        </w:rPr>
        <w:instrText xml:space="preserve"> PAGEREF _Toc69141820 \h </w:instrText>
      </w:r>
      <w:r>
        <w:rPr>
          <w:rFonts w:ascii="宋体" w:hAnsi="宋体"/>
        </w:rPr>
        <w:fldChar w:fldCharType="separate"/>
      </w:r>
      <w:r>
        <w:rPr>
          <w:rFonts w:ascii="宋体" w:hAnsi="宋体"/>
        </w:rPr>
        <w:t>- 23 -</w:t>
      </w:r>
      <w:r>
        <w:rPr>
          <w:rFonts w:ascii="宋体" w:hAnsi="宋体"/>
        </w:rPr>
        <w:fldChar w:fldCharType="end"/>
      </w:r>
      <w:r>
        <w:rPr>
          <w:rFonts w:ascii="宋体" w:hAnsi="宋体"/>
        </w:rPr>
        <w:fldChar w:fldCharType="end"/>
      </w:r>
    </w:p>
    <w:p>
      <w:pPr>
        <w:pStyle w:val="25"/>
        <w:tabs>
          <w:tab w:val="right" w:leader="dot" w:pos="9736"/>
        </w:tabs>
        <w:ind w:left="420"/>
        <w:rPr>
          <w:rFonts w:ascii="宋体" w:hAnsi="宋体" w:eastAsia="宋体"/>
          <w:szCs w:val="22"/>
        </w:rPr>
      </w:pPr>
      <w:r>
        <w:fldChar w:fldCharType="begin"/>
      </w:r>
      <w:r>
        <w:instrText xml:space="preserve"> HYPERLINK \l "_Toc69141821" </w:instrText>
      </w:r>
      <w:r>
        <w:fldChar w:fldCharType="separate"/>
      </w:r>
      <w:r>
        <w:rPr>
          <w:rStyle w:val="35"/>
          <w:rFonts w:hint="eastAsia" w:ascii="宋体" w:hAnsi="宋体"/>
        </w:rPr>
        <w:t>一、资格性响应文件（格式）</w:t>
      </w:r>
      <w:r>
        <w:rPr>
          <w:rFonts w:ascii="宋体" w:hAnsi="宋体" w:eastAsia="宋体"/>
        </w:rPr>
        <w:tab/>
      </w:r>
      <w:r>
        <w:rPr>
          <w:rFonts w:ascii="宋体" w:hAnsi="宋体" w:eastAsia="宋体"/>
        </w:rPr>
        <w:fldChar w:fldCharType="begin"/>
      </w:r>
      <w:r>
        <w:rPr>
          <w:rFonts w:ascii="宋体" w:hAnsi="宋体" w:eastAsia="宋体"/>
        </w:rPr>
        <w:instrText xml:space="preserve"> PAGEREF _Toc69141821 \h </w:instrText>
      </w:r>
      <w:r>
        <w:rPr>
          <w:rFonts w:ascii="宋体" w:hAnsi="宋体" w:eastAsia="宋体"/>
        </w:rPr>
        <w:fldChar w:fldCharType="separate"/>
      </w:r>
      <w:r>
        <w:rPr>
          <w:rFonts w:ascii="宋体" w:hAnsi="宋体" w:eastAsia="宋体"/>
        </w:rPr>
        <w:t>- 24 -</w:t>
      </w:r>
      <w:r>
        <w:rPr>
          <w:rFonts w:ascii="宋体" w:hAnsi="宋体" w:eastAsia="宋体"/>
        </w:rPr>
        <w:fldChar w:fldCharType="end"/>
      </w:r>
      <w:r>
        <w:rPr>
          <w:rFonts w:ascii="宋体" w:hAnsi="宋体" w:eastAsia="宋体"/>
        </w:rPr>
        <w:fldChar w:fldCharType="end"/>
      </w:r>
    </w:p>
    <w:p>
      <w:pPr>
        <w:pStyle w:val="13"/>
        <w:tabs>
          <w:tab w:val="right" w:leader="dot" w:pos="9736"/>
        </w:tabs>
        <w:rPr>
          <w:rFonts w:ascii="宋体" w:hAnsi="宋体"/>
          <w:szCs w:val="22"/>
        </w:rPr>
      </w:pPr>
      <w:r>
        <w:fldChar w:fldCharType="begin"/>
      </w:r>
      <w:r>
        <w:instrText xml:space="preserve"> HYPERLINK \l "_Toc69141822" </w:instrText>
      </w:r>
      <w:r>
        <w:fldChar w:fldCharType="separate"/>
      </w:r>
      <w:r>
        <w:rPr>
          <w:rStyle w:val="35"/>
          <w:rFonts w:ascii="宋体" w:hAnsi="宋体"/>
        </w:rPr>
        <w:t>1.</w:t>
      </w:r>
      <w:r>
        <w:rPr>
          <w:rStyle w:val="35"/>
          <w:rFonts w:hint="eastAsia" w:ascii="宋体" w:hAnsi="宋体"/>
        </w:rPr>
        <w:t>法人或者其他组织的营业执照等证明文件扫描件（实质性要求）</w:t>
      </w:r>
      <w:r>
        <w:rPr>
          <w:rFonts w:ascii="宋体" w:hAnsi="宋体"/>
        </w:rPr>
        <w:tab/>
      </w:r>
      <w:r>
        <w:rPr>
          <w:rFonts w:ascii="宋体" w:hAnsi="宋体"/>
        </w:rPr>
        <w:fldChar w:fldCharType="begin"/>
      </w:r>
      <w:r>
        <w:rPr>
          <w:rFonts w:ascii="宋体" w:hAnsi="宋体"/>
        </w:rPr>
        <w:instrText xml:space="preserve"> PAGEREF _Toc69141822 \h </w:instrText>
      </w:r>
      <w:r>
        <w:rPr>
          <w:rFonts w:ascii="宋体" w:hAnsi="宋体"/>
        </w:rPr>
        <w:fldChar w:fldCharType="separate"/>
      </w:r>
      <w:r>
        <w:rPr>
          <w:rFonts w:ascii="宋体" w:hAnsi="宋体"/>
        </w:rPr>
        <w:t>- 25 -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"_Toc69141823" </w:instrText>
      </w:r>
      <w:r>
        <w:fldChar w:fldCharType="separate"/>
      </w:r>
      <w:r>
        <w:rPr>
          <w:rStyle w:val="35"/>
          <w:rFonts w:ascii="宋体" w:hAnsi="宋体"/>
        </w:rPr>
        <w:t>2.</w:t>
      </w:r>
      <w:r>
        <w:rPr>
          <w:rStyle w:val="35"/>
          <w:rFonts w:hint="eastAsia" w:ascii="宋体" w:hAnsi="宋体"/>
        </w:rPr>
        <w:t>法定代表人（单位负责人）授权书（实质性要求）</w:t>
      </w:r>
      <w:r>
        <w:rPr>
          <w:rFonts w:ascii="宋体" w:hAnsi="宋体"/>
        </w:rPr>
        <w:tab/>
      </w:r>
      <w:r>
        <w:rPr>
          <w:rFonts w:ascii="宋体" w:hAnsi="宋体"/>
        </w:rPr>
        <w:fldChar w:fldCharType="begin"/>
      </w:r>
      <w:r>
        <w:rPr>
          <w:rFonts w:ascii="宋体" w:hAnsi="宋体"/>
        </w:rPr>
        <w:instrText xml:space="preserve"> PAGEREF _Toc69141823 \h </w:instrText>
      </w:r>
      <w:r>
        <w:rPr>
          <w:rFonts w:ascii="宋体" w:hAnsi="宋体"/>
        </w:rPr>
        <w:fldChar w:fldCharType="separate"/>
      </w:r>
      <w:r>
        <w:rPr>
          <w:rFonts w:ascii="宋体" w:hAnsi="宋体"/>
        </w:rPr>
        <w:t>- 26 -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"_Toc69141825" </w:instrText>
      </w:r>
      <w:r>
        <w:fldChar w:fldCharType="separate"/>
      </w:r>
      <w:r>
        <w:rPr>
          <w:rStyle w:val="35"/>
          <w:rFonts w:ascii="宋体" w:hAnsi="宋体"/>
        </w:rPr>
        <w:t>3.</w:t>
      </w:r>
      <w:r>
        <w:rPr>
          <w:rStyle w:val="35"/>
          <w:rFonts w:hint="eastAsia" w:ascii="宋体" w:hAnsi="宋体"/>
        </w:rPr>
        <w:t>财务状况证明（实质性要求）</w:t>
      </w:r>
      <w:r>
        <w:rPr>
          <w:rFonts w:ascii="宋体" w:hAnsi="宋体"/>
        </w:rPr>
        <w:tab/>
      </w:r>
      <w:r>
        <w:rPr>
          <w:rFonts w:ascii="宋体" w:hAnsi="宋体"/>
        </w:rPr>
        <w:fldChar w:fldCharType="begin"/>
      </w:r>
      <w:r>
        <w:rPr>
          <w:rFonts w:ascii="宋体" w:hAnsi="宋体"/>
        </w:rPr>
        <w:instrText xml:space="preserve"> PAGEREF _Toc69141825 \h </w:instrText>
      </w:r>
      <w:r>
        <w:rPr>
          <w:rFonts w:ascii="宋体" w:hAnsi="宋体"/>
        </w:rPr>
        <w:fldChar w:fldCharType="separate"/>
      </w:r>
      <w:r>
        <w:rPr>
          <w:rFonts w:ascii="宋体" w:hAnsi="宋体"/>
        </w:rPr>
        <w:t>- 29 -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"_Toc69141826" </w:instrText>
      </w:r>
      <w:r>
        <w:fldChar w:fldCharType="separate"/>
      </w:r>
      <w:r>
        <w:rPr>
          <w:rStyle w:val="35"/>
          <w:rFonts w:ascii="宋体" w:hAnsi="宋体"/>
        </w:rPr>
        <w:t>4.</w:t>
      </w:r>
      <w:r>
        <w:rPr>
          <w:rStyle w:val="35"/>
          <w:rFonts w:hint="eastAsia" w:ascii="宋体" w:hAnsi="宋体"/>
        </w:rPr>
        <w:t>社保和纳税证明（实质性要求）</w:t>
      </w:r>
      <w:r>
        <w:rPr>
          <w:rFonts w:ascii="宋体" w:hAnsi="宋体"/>
        </w:rPr>
        <w:tab/>
      </w:r>
      <w:r>
        <w:rPr>
          <w:rFonts w:ascii="宋体" w:hAnsi="宋体"/>
        </w:rPr>
        <w:fldChar w:fldCharType="begin"/>
      </w:r>
      <w:r>
        <w:rPr>
          <w:rFonts w:ascii="宋体" w:hAnsi="宋体"/>
        </w:rPr>
        <w:instrText xml:space="preserve"> PAGEREF _Toc69141826 \h </w:instrText>
      </w:r>
      <w:r>
        <w:rPr>
          <w:rFonts w:ascii="宋体" w:hAnsi="宋体"/>
        </w:rPr>
        <w:fldChar w:fldCharType="separate"/>
      </w:r>
      <w:r>
        <w:rPr>
          <w:rFonts w:ascii="宋体" w:hAnsi="宋体"/>
        </w:rPr>
        <w:t>- 30 -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"_Toc69141827" </w:instrText>
      </w:r>
      <w:r>
        <w:fldChar w:fldCharType="separate"/>
      </w:r>
      <w:r>
        <w:rPr>
          <w:rStyle w:val="35"/>
          <w:rFonts w:ascii="宋体" w:hAnsi="宋体"/>
        </w:rPr>
        <w:t>5.</w:t>
      </w:r>
      <w:r>
        <w:rPr>
          <w:rStyle w:val="35"/>
          <w:rFonts w:hint="eastAsia" w:ascii="宋体" w:hAnsi="宋体"/>
        </w:rPr>
        <w:t>信用信息查询记录和证据（实质性要求）</w:t>
      </w:r>
      <w:r>
        <w:rPr>
          <w:rFonts w:ascii="宋体" w:hAnsi="宋体"/>
        </w:rPr>
        <w:tab/>
      </w:r>
      <w:r>
        <w:rPr>
          <w:rFonts w:ascii="宋体" w:hAnsi="宋体"/>
        </w:rPr>
        <w:fldChar w:fldCharType="begin"/>
      </w:r>
      <w:r>
        <w:rPr>
          <w:rFonts w:ascii="宋体" w:hAnsi="宋体"/>
        </w:rPr>
        <w:instrText xml:space="preserve"> PAGEREF _Toc69141827 \h </w:instrText>
      </w:r>
      <w:r>
        <w:rPr>
          <w:rFonts w:ascii="宋体" w:hAnsi="宋体"/>
        </w:rPr>
        <w:fldChar w:fldCharType="separate"/>
      </w:r>
      <w:r>
        <w:rPr>
          <w:rFonts w:ascii="宋体" w:hAnsi="宋体"/>
        </w:rPr>
        <w:t>- 31 -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"_Toc69141828" </w:instrText>
      </w:r>
      <w:r>
        <w:fldChar w:fldCharType="separate"/>
      </w:r>
      <w:r>
        <w:rPr>
          <w:rStyle w:val="35"/>
          <w:rFonts w:ascii="宋体" w:hAnsi="宋体"/>
        </w:rPr>
        <w:t>6.</w:t>
      </w:r>
      <w:r>
        <w:rPr>
          <w:rStyle w:val="35"/>
          <w:rFonts w:hint="eastAsia" w:ascii="宋体" w:hAnsi="宋体"/>
        </w:rPr>
        <w:t>承诺函（实质性要求）</w:t>
      </w:r>
      <w:r>
        <w:rPr>
          <w:rFonts w:ascii="宋体" w:hAnsi="宋体"/>
        </w:rPr>
        <w:tab/>
      </w:r>
      <w:r>
        <w:rPr>
          <w:rFonts w:ascii="宋体" w:hAnsi="宋体"/>
        </w:rPr>
        <w:fldChar w:fldCharType="begin"/>
      </w:r>
      <w:r>
        <w:rPr>
          <w:rFonts w:ascii="宋体" w:hAnsi="宋体"/>
        </w:rPr>
        <w:instrText xml:space="preserve"> PAGEREF _Toc69141828 \h </w:instrText>
      </w:r>
      <w:r>
        <w:rPr>
          <w:rFonts w:ascii="宋体" w:hAnsi="宋体"/>
        </w:rPr>
        <w:fldChar w:fldCharType="separate"/>
      </w:r>
      <w:r>
        <w:rPr>
          <w:rFonts w:ascii="宋体" w:hAnsi="宋体"/>
        </w:rPr>
        <w:t>- 32 -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"_Toc69141829" </w:instrText>
      </w:r>
      <w:r>
        <w:fldChar w:fldCharType="separate"/>
      </w:r>
      <w:r>
        <w:rPr>
          <w:rStyle w:val="35"/>
          <w:rFonts w:ascii="宋体" w:hAnsi="宋体"/>
        </w:rPr>
        <w:t>7.</w:t>
      </w:r>
      <w:r>
        <w:rPr>
          <w:rStyle w:val="35"/>
          <w:rFonts w:hint="eastAsia" w:ascii="宋体" w:hAnsi="宋体"/>
        </w:rPr>
        <w:t>无行贿犯罪记录的承诺函（实质性要求）</w:t>
      </w:r>
      <w:r>
        <w:rPr>
          <w:rFonts w:ascii="宋体" w:hAnsi="宋体"/>
        </w:rPr>
        <w:tab/>
      </w:r>
      <w:r>
        <w:rPr>
          <w:rFonts w:ascii="宋体" w:hAnsi="宋体"/>
        </w:rPr>
        <w:fldChar w:fldCharType="begin"/>
      </w:r>
      <w:r>
        <w:rPr>
          <w:rFonts w:ascii="宋体" w:hAnsi="宋体"/>
        </w:rPr>
        <w:instrText xml:space="preserve"> PAGEREF _Toc69141829 \h </w:instrText>
      </w:r>
      <w:r>
        <w:rPr>
          <w:rFonts w:ascii="宋体" w:hAnsi="宋体"/>
        </w:rPr>
        <w:fldChar w:fldCharType="separate"/>
      </w:r>
      <w:r>
        <w:rPr>
          <w:rFonts w:ascii="宋体" w:hAnsi="宋体"/>
        </w:rPr>
        <w:t>- 33 -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"_Toc69141830" </w:instrText>
      </w:r>
      <w:r>
        <w:fldChar w:fldCharType="separate"/>
      </w:r>
      <w:r>
        <w:rPr>
          <w:rStyle w:val="35"/>
          <w:rFonts w:ascii="宋体" w:hAnsi="宋体"/>
        </w:rPr>
        <w:t>8.</w:t>
      </w:r>
      <w:r>
        <w:rPr>
          <w:rStyle w:val="35"/>
          <w:rFonts w:hint="eastAsia" w:ascii="宋体" w:hAnsi="宋体"/>
        </w:rPr>
        <w:t>无重大违法记录的承诺函（实质性要求）</w:t>
      </w:r>
      <w:r>
        <w:rPr>
          <w:rFonts w:ascii="宋体" w:hAnsi="宋体"/>
        </w:rPr>
        <w:tab/>
      </w:r>
      <w:r>
        <w:rPr>
          <w:rFonts w:ascii="宋体" w:hAnsi="宋体"/>
        </w:rPr>
        <w:fldChar w:fldCharType="begin"/>
      </w:r>
      <w:r>
        <w:rPr>
          <w:rFonts w:ascii="宋体" w:hAnsi="宋体"/>
        </w:rPr>
        <w:instrText xml:space="preserve"> PAGEREF _Toc69141830 \h </w:instrText>
      </w:r>
      <w:r>
        <w:rPr>
          <w:rFonts w:ascii="宋体" w:hAnsi="宋体"/>
        </w:rPr>
        <w:fldChar w:fldCharType="separate"/>
      </w:r>
      <w:r>
        <w:rPr>
          <w:rFonts w:ascii="宋体" w:hAnsi="宋体"/>
        </w:rPr>
        <w:t>- 34 -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"_Toc69141831" </w:instrText>
      </w:r>
      <w:r>
        <w:fldChar w:fldCharType="separate"/>
      </w:r>
      <w:r>
        <w:rPr>
          <w:rStyle w:val="35"/>
          <w:rFonts w:ascii="宋体" w:hAnsi="宋体"/>
        </w:rPr>
        <w:t>9.</w:t>
      </w:r>
      <w:r>
        <w:rPr>
          <w:rStyle w:val="35"/>
          <w:rFonts w:hint="eastAsia" w:ascii="宋体" w:hAnsi="宋体"/>
        </w:rPr>
        <w:t>其他资格证明材料</w:t>
      </w:r>
      <w:r>
        <w:rPr>
          <w:rFonts w:ascii="宋体" w:hAnsi="宋体"/>
        </w:rPr>
        <w:tab/>
      </w:r>
      <w:r>
        <w:rPr>
          <w:rFonts w:ascii="宋体" w:hAnsi="宋体"/>
        </w:rPr>
        <w:fldChar w:fldCharType="begin"/>
      </w:r>
      <w:r>
        <w:rPr>
          <w:rFonts w:ascii="宋体" w:hAnsi="宋体"/>
        </w:rPr>
        <w:instrText xml:space="preserve"> PAGEREF _Toc69141831 \h </w:instrText>
      </w:r>
      <w:r>
        <w:rPr>
          <w:rFonts w:ascii="宋体" w:hAnsi="宋体"/>
        </w:rPr>
        <w:fldChar w:fldCharType="separate"/>
      </w:r>
      <w:r>
        <w:rPr>
          <w:rFonts w:ascii="宋体" w:hAnsi="宋体"/>
        </w:rPr>
        <w:t>- 35 -</w:t>
      </w:r>
      <w:r>
        <w:rPr>
          <w:rFonts w:ascii="宋体" w:hAnsi="宋体"/>
        </w:rPr>
        <w:fldChar w:fldCharType="end"/>
      </w:r>
      <w:r>
        <w:rPr>
          <w:rFonts w:ascii="宋体" w:hAnsi="宋体"/>
        </w:rPr>
        <w:fldChar w:fldCharType="end"/>
      </w:r>
    </w:p>
    <w:p>
      <w:pPr>
        <w:pStyle w:val="25"/>
        <w:tabs>
          <w:tab w:val="right" w:leader="dot" w:pos="9736"/>
        </w:tabs>
        <w:ind w:left="420"/>
        <w:rPr>
          <w:rFonts w:ascii="宋体" w:hAnsi="宋体" w:eastAsia="宋体"/>
          <w:szCs w:val="22"/>
        </w:rPr>
      </w:pPr>
      <w:r>
        <w:fldChar w:fldCharType="begin"/>
      </w:r>
      <w:r>
        <w:instrText xml:space="preserve"> HYPERLINK \l "_Toc69141832" </w:instrText>
      </w:r>
      <w:r>
        <w:fldChar w:fldCharType="separate"/>
      </w:r>
      <w:r>
        <w:rPr>
          <w:rStyle w:val="35"/>
          <w:rFonts w:hint="eastAsia" w:ascii="宋体" w:hAnsi="宋体"/>
        </w:rPr>
        <w:t>二、其他响应文件（格式）</w:t>
      </w:r>
      <w:r>
        <w:rPr>
          <w:rFonts w:ascii="宋体" w:hAnsi="宋体" w:eastAsia="宋体"/>
        </w:rPr>
        <w:tab/>
      </w:r>
      <w:r>
        <w:rPr>
          <w:rFonts w:ascii="宋体" w:hAnsi="宋体" w:eastAsia="宋体"/>
        </w:rPr>
        <w:fldChar w:fldCharType="begin"/>
      </w:r>
      <w:r>
        <w:rPr>
          <w:rFonts w:ascii="宋体" w:hAnsi="宋体" w:eastAsia="宋体"/>
        </w:rPr>
        <w:instrText xml:space="preserve"> PAGEREF _Toc69141832 \h </w:instrText>
      </w:r>
      <w:r>
        <w:rPr>
          <w:rFonts w:ascii="宋体" w:hAnsi="宋体" w:eastAsia="宋体"/>
        </w:rPr>
        <w:fldChar w:fldCharType="separate"/>
      </w:r>
      <w:r>
        <w:rPr>
          <w:rFonts w:ascii="宋体" w:hAnsi="宋体" w:eastAsia="宋体"/>
        </w:rPr>
        <w:t>- 36 -</w:t>
      </w:r>
      <w:r>
        <w:rPr>
          <w:rFonts w:ascii="宋体" w:hAnsi="宋体" w:eastAsia="宋体"/>
        </w:rPr>
        <w:fldChar w:fldCharType="end"/>
      </w:r>
      <w:r>
        <w:rPr>
          <w:rFonts w:ascii="宋体" w:hAnsi="宋体" w:eastAsia="宋体"/>
        </w:rPr>
        <w:fldChar w:fldCharType="end"/>
      </w:r>
    </w:p>
    <w:p>
      <w:pPr>
        <w:pStyle w:val="13"/>
        <w:tabs>
          <w:tab w:val="right" w:leader="dot" w:pos="9736"/>
        </w:tabs>
        <w:rPr>
          <w:rFonts w:ascii="宋体" w:hAnsi="宋体"/>
          <w:szCs w:val="22"/>
        </w:rPr>
      </w:pPr>
      <w:r>
        <w:fldChar w:fldCharType="begin"/>
      </w:r>
      <w:r>
        <w:instrText xml:space="preserve"> HYPERLINK \l "_Toc69141833" </w:instrText>
      </w:r>
      <w:r>
        <w:fldChar w:fldCharType="separate"/>
      </w:r>
      <w:r>
        <w:rPr>
          <w:rStyle w:val="35"/>
          <w:rFonts w:ascii="宋体" w:hAnsi="宋体"/>
        </w:rPr>
        <w:t>10.</w:t>
      </w:r>
      <w:r>
        <w:rPr>
          <w:rStyle w:val="35"/>
          <w:rFonts w:hint="eastAsia" w:ascii="宋体" w:hAnsi="宋体"/>
        </w:rPr>
        <w:t>投标函</w:t>
      </w:r>
      <w:r>
        <w:rPr>
          <w:rFonts w:ascii="宋体" w:hAnsi="宋体"/>
        </w:rPr>
        <w:tab/>
      </w:r>
      <w:r>
        <w:rPr>
          <w:rFonts w:ascii="宋体" w:hAnsi="宋体"/>
        </w:rPr>
        <w:fldChar w:fldCharType="begin"/>
      </w:r>
      <w:r>
        <w:rPr>
          <w:rFonts w:ascii="宋体" w:hAnsi="宋体"/>
        </w:rPr>
        <w:instrText xml:space="preserve"> PAGEREF _Toc69141833 \h </w:instrText>
      </w:r>
      <w:r>
        <w:rPr>
          <w:rFonts w:ascii="宋体" w:hAnsi="宋体"/>
        </w:rPr>
        <w:fldChar w:fldCharType="separate"/>
      </w:r>
      <w:r>
        <w:rPr>
          <w:rFonts w:ascii="宋体" w:hAnsi="宋体"/>
        </w:rPr>
        <w:t>- 37 -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"_Toc69141834" </w:instrText>
      </w:r>
      <w:r>
        <w:fldChar w:fldCharType="separate"/>
      </w:r>
      <w:r>
        <w:rPr>
          <w:rStyle w:val="35"/>
          <w:rFonts w:ascii="宋体" w:hAnsi="宋体"/>
        </w:rPr>
        <w:t>11.</w:t>
      </w:r>
      <w:r>
        <w:rPr>
          <w:rStyle w:val="35"/>
          <w:rFonts w:hint="eastAsia" w:ascii="宋体" w:hAnsi="宋体"/>
        </w:rPr>
        <w:t>开标一览表</w:t>
      </w:r>
      <w:r>
        <w:rPr>
          <w:rFonts w:ascii="宋体" w:hAnsi="宋体"/>
        </w:rPr>
        <w:tab/>
      </w:r>
      <w:r>
        <w:rPr>
          <w:rFonts w:ascii="宋体" w:hAnsi="宋体"/>
        </w:rPr>
        <w:fldChar w:fldCharType="begin"/>
      </w:r>
      <w:r>
        <w:rPr>
          <w:rFonts w:ascii="宋体" w:hAnsi="宋体"/>
        </w:rPr>
        <w:instrText xml:space="preserve"> PAGEREF _Toc69141834 \h </w:instrText>
      </w:r>
      <w:r>
        <w:rPr>
          <w:rFonts w:ascii="宋体" w:hAnsi="宋体"/>
        </w:rPr>
        <w:fldChar w:fldCharType="separate"/>
      </w:r>
      <w:r>
        <w:rPr>
          <w:rFonts w:ascii="宋体" w:hAnsi="宋体"/>
        </w:rPr>
        <w:t>- 39 -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"_Toc69141835" </w:instrText>
      </w:r>
      <w:r>
        <w:fldChar w:fldCharType="separate"/>
      </w:r>
      <w:r>
        <w:rPr>
          <w:rStyle w:val="35"/>
          <w:rFonts w:ascii="宋体" w:hAnsi="宋体"/>
        </w:rPr>
        <w:t>12.</w:t>
      </w:r>
      <w:r>
        <w:rPr>
          <w:rStyle w:val="35"/>
          <w:rFonts w:hint="eastAsia" w:ascii="宋体" w:hAnsi="宋体"/>
        </w:rPr>
        <w:t>分项报价明细表</w:t>
      </w:r>
      <w:r>
        <w:rPr>
          <w:rFonts w:ascii="宋体" w:hAnsi="宋体"/>
        </w:rPr>
        <w:tab/>
      </w:r>
      <w:r>
        <w:rPr>
          <w:rFonts w:ascii="宋体" w:hAnsi="宋体"/>
        </w:rPr>
        <w:fldChar w:fldCharType="begin"/>
      </w:r>
      <w:r>
        <w:rPr>
          <w:rFonts w:ascii="宋体" w:hAnsi="宋体"/>
        </w:rPr>
        <w:instrText xml:space="preserve"> PAGEREF _Toc69141835 \h </w:instrText>
      </w:r>
      <w:r>
        <w:rPr>
          <w:rFonts w:ascii="宋体" w:hAnsi="宋体"/>
        </w:rPr>
        <w:fldChar w:fldCharType="separate"/>
      </w:r>
      <w:r>
        <w:rPr>
          <w:rFonts w:ascii="宋体" w:hAnsi="宋体"/>
        </w:rPr>
        <w:t>- 40 -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"_Toc69141836" </w:instrText>
      </w:r>
      <w:r>
        <w:fldChar w:fldCharType="separate"/>
      </w:r>
      <w:r>
        <w:rPr>
          <w:rStyle w:val="35"/>
          <w:rFonts w:ascii="宋体" w:hAnsi="宋体"/>
        </w:rPr>
        <w:t>13.</w:t>
      </w:r>
      <w:r>
        <w:rPr>
          <w:rStyle w:val="35"/>
          <w:rFonts w:hint="eastAsia" w:ascii="宋体" w:hAnsi="宋体"/>
        </w:rPr>
        <w:t>原厂零配件及易耗品报价清单</w:t>
      </w:r>
      <w:r>
        <w:rPr>
          <w:rFonts w:ascii="宋体" w:hAnsi="宋体"/>
        </w:rPr>
        <w:tab/>
      </w:r>
      <w:r>
        <w:rPr>
          <w:rFonts w:ascii="宋体" w:hAnsi="宋体"/>
        </w:rPr>
        <w:fldChar w:fldCharType="begin"/>
      </w:r>
      <w:r>
        <w:rPr>
          <w:rFonts w:ascii="宋体" w:hAnsi="宋体"/>
        </w:rPr>
        <w:instrText xml:space="preserve"> PAGEREF _Toc69141836 \h </w:instrText>
      </w:r>
      <w:r>
        <w:rPr>
          <w:rFonts w:ascii="宋体" w:hAnsi="宋体"/>
        </w:rPr>
        <w:fldChar w:fldCharType="separate"/>
      </w:r>
      <w:r>
        <w:rPr>
          <w:rFonts w:ascii="宋体" w:hAnsi="宋体"/>
        </w:rPr>
        <w:t>- 41 -</w:t>
      </w:r>
      <w:r>
        <w:rPr>
          <w:rFonts w:ascii="宋体" w:hAnsi="宋体"/>
        </w:rPr>
        <w:fldChar w:fldCharType="end"/>
      </w:r>
      <w:r>
        <w:rPr>
          <w:rFonts w:ascii="宋体" w:hAnsi="宋体"/>
        </w:rPr>
        <w:fldChar w:fldCharType="end"/>
      </w:r>
    </w:p>
    <w:p>
      <w:pPr>
        <w:pStyle w:val="25"/>
        <w:tabs>
          <w:tab w:val="right" w:leader="dot" w:pos="9736"/>
        </w:tabs>
        <w:ind w:left="420" w:firstLine="420" w:firstLineChars="200"/>
        <w:rPr>
          <w:rFonts w:ascii="宋体" w:hAnsi="宋体" w:eastAsia="宋体"/>
          <w:szCs w:val="22"/>
        </w:rPr>
      </w:pPr>
      <w:r>
        <w:fldChar w:fldCharType="begin"/>
      </w:r>
      <w:r>
        <w:instrText xml:space="preserve"> HYPERLINK \l "_Toc69141837" </w:instrText>
      </w:r>
      <w:r>
        <w:fldChar w:fldCharType="separate"/>
      </w:r>
      <w:r>
        <w:rPr>
          <w:rStyle w:val="35"/>
          <w:rFonts w:ascii="宋体" w:hAnsi="宋体"/>
        </w:rPr>
        <w:t>14.</w:t>
      </w:r>
      <w:r>
        <w:rPr>
          <w:rStyle w:val="35"/>
          <w:rFonts w:hint="eastAsia" w:ascii="宋体" w:hAnsi="宋体"/>
        </w:rPr>
        <w:t>投标人基本情况表</w:t>
      </w:r>
      <w:r>
        <w:rPr>
          <w:rFonts w:ascii="宋体" w:hAnsi="宋体" w:eastAsia="宋体"/>
        </w:rPr>
        <w:tab/>
      </w:r>
      <w:r>
        <w:rPr>
          <w:rFonts w:ascii="宋体" w:hAnsi="宋体" w:eastAsia="宋体"/>
        </w:rPr>
        <w:fldChar w:fldCharType="begin"/>
      </w:r>
      <w:r>
        <w:rPr>
          <w:rFonts w:ascii="宋体" w:hAnsi="宋体" w:eastAsia="宋体"/>
        </w:rPr>
        <w:instrText xml:space="preserve"> PAGEREF _Toc69141837 \h </w:instrText>
      </w:r>
      <w:r>
        <w:rPr>
          <w:rFonts w:ascii="宋体" w:hAnsi="宋体" w:eastAsia="宋体"/>
        </w:rPr>
        <w:fldChar w:fldCharType="separate"/>
      </w:r>
      <w:r>
        <w:rPr>
          <w:rFonts w:ascii="宋体" w:hAnsi="宋体" w:eastAsia="宋体"/>
        </w:rPr>
        <w:t>- 42 -</w:t>
      </w:r>
      <w:r>
        <w:rPr>
          <w:rFonts w:ascii="宋体" w:hAnsi="宋体" w:eastAsia="宋体"/>
        </w:rPr>
        <w:fldChar w:fldCharType="end"/>
      </w:r>
      <w:r>
        <w:rPr>
          <w:rFonts w:ascii="宋体" w:hAnsi="宋体" w:eastAsia="宋体"/>
        </w:rPr>
        <w:fldChar w:fldCharType="end"/>
      </w:r>
    </w:p>
    <w:p>
      <w:pPr>
        <w:pStyle w:val="13"/>
        <w:tabs>
          <w:tab w:val="right" w:leader="dot" w:pos="9736"/>
        </w:tabs>
        <w:rPr>
          <w:rFonts w:ascii="宋体" w:hAnsi="宋体"/>
          <w:szCs w:val="22"/>
        </w:rPr>
      </w:pPr>
      <w:r>
        <w:fldChar w:fldCharType="begin"/>
      </w:r>
      <w:r>
        <w:instrText xml:space="preserve"> HYPERLINK \l "_Toc69141838" </w:instrText>
      </w:r>
      <w:r>
        <w:fldChar w:fldCharType="separate"/>
      </w:r>
      <w:r>
        <w:rPr>
          <w:rStyle w:val="35"/>
          <w:rFonts w:ascii="宋体" w:hAnsi="宋体"/>
        </w:rPr>
        <w:t>15.</w:t>
      </w:r>
      <w:r>
        <w:rPr>
          <w:rStyle w:val="35"/>
          <w:rFonts w:hint="eastAsia" w:ascii="宋体" w:hAnsi="宋体"/>
        </w:rPr>
        <w:t>投标人类似项目业绩一览表</w:t>
      </w:r>
      <w:r>
        <w:rPr>
          <w:rFonts w:ascii="宋体" w:hAnsi="宋体"/>
        </w:rPr>
        <w:tab/>
      </w:r>
      <w:r>
        <w:rPr>
          <w:rFonts w:ascii="宋体" w:hAnsi="宋体"/>
        </w:rPr>
        <w:fldChar w:fldCharType="begin"/>
      </w:r>
      <w:r>
        <w:rPr>
          <w:rFonts w:ascii="宋体" w:hAnsi="宋体"/>
        </w:rPr>
        <w:instrText xml:space="preserve"> PAGEREF _Toc69141838 \h </w:instrText>
      </w:r>
      <w:r>
        <w:rPr>
          <w:rFonts w:ascii="宋体" w:hAnsi="宋体"/>
        </w:rPr>
        <w:fldChar w:fldCharType="separate"/>
      </w:r>
      <w:r>
        <w:rPr>
          <w:rFonts w:ascii="宋体" w:hAnsi="宋体"/>
        </w:rPr>
        <w:t>- 43 -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"_Toc69141839" </w:instrText>
      </w:r>
      <w:r>
        <w:fldChar w:fldCharType="separate"/>
      </w:r>
      <w:r>
        <w:rPr>
          <w:rStyle w:val="35"/>
          <w:rFonts w:ascii="宋体" w:hAnsi="宋体"/>
        </w:rPr>
        <w:t>16.</w:t>
      </w:r>
      <w:r>
        <w:rPr>
          <w:rStyle w:val="35"/>
          <w:rFonts w:hint="eastAsia" w:ascii="宋体" w:hAnsi="宋体"/>
        </w:rPr>
        <w:t>商务应答表</w:t>
      </w:r>
      <w:r>
        <w:rPr>
          <w:rFonts w:ascii="宋体" w:hAnsi="宋体"/>
        </w:rPr>
        <w:tab/>
      </w:r>
      <w:r>
        <w:rPr>
          <w:rFonts w:ascii="宋体" w:hAnsi="宋体"/>
        </w:rPr>
        <w:fldChar w:fldCharType="begin"/>
      </w:r>
      <w:r>
        <w:rPr>
          <w:rFonts w:ascii="宋体" w:hAnsi="宋体"/>
        </w:rPr>
        <w:instrText xml:space="preserve"> PAGEREF _Toc69141839 \h </w:instrText>
      </w:r>
      <w:r>
        <w:rPr>
          <w:rFonts w:ascii="宋体" w:hAnsi="宋体"/>
        </w:rPr>
        <w:fldChar w:fldCharType="separate"/>
      </w:r>
      <w:r>
        <w:rPr>
          <w:rFonts w:ascii="宋体" w:hAnsi="宋体"/>
        </w:rPr>
        <w:t>- 44 -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"_Toc69141840" </w:instrText>
      </w:r>
      <w:r>
        <w:fldChar w:fldCharType="separate"/>
      </w:r>
      <w:r>
        <w:rPr>
          <w:rStyle w:val="35"/>
          <w:rFonts w:ascii="宋体" w:hAnsi="宋体"/>
        </w:rPr>
        <w:t>17.</w:t>
      </w:r>
      <w:r>
        <w:rPr>
          <w:rStyle w:val="35"/>
          <w:rFonts w:hint="eastAsia" w:ascii="宋体" w:hAnsi="宋体"/>
        </w:rPr>
        <w:t>技术</w:t>
      </w:r>
      <w:r>
        <w:rPr>
          <w:rStyle w:val="35"/>
          <w:rFonts w:ascii="宋体" w:hAnsi="宋体"/>
        </w:rPr>
        <w:t>/</w:t>
      </w:r>
      <w:r>
        <w:rPr>
          <w:rStyle w:val="35"/>
          <w:rFonts w:hint="eastAsia" w:ascii="宋体" w:hAnsi="宋体"/>
        </w:rPr>
        <w:t>服务应答表</w:t>
      </w:r>
      <w:r>
        <w:rPr>
          <w:rFonts w:ascii="宋体" w:hAnsi="宋体"/>
        </w:rPr>
        <w:tab/>
      </w:r>
      <w:r>
        <w:rPr>
          <w:rFonts w:ascii="宋体" w:hAnsi="宋体"/>
        </w:rPr>
        <w:fldChar w:fldCharType="begin"/>
      </w:r>
      <w:r>
        <w:rPr>
          <w:rFonts w:ascii="宋体" w:hAnsi="宋体"/>
        </w:rPr>
        <w:instrText xml:space="preserve"> PAGEREF _Toc69141840 \h </w:instrText>
      </w:r>
      <w:r>
        <w:rPr>
          <w:rFonts w:ascii="宋体" w:hAnsi="宋体"/>
        </w:rPr>
        <w:fldChar w:fldCharType="separate"/>
      </w:r>
      <w:r>
        <w:rPr>
          <w:rFonts w:ascii="宋体" w:hAnsi="宋体"/>
        </w:rPr>
        <w:t>- 45 -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"_Toc69141841" </w:instrText>
      </w:r>
      <w:r>
        <w:fldChar w:fldCharType="separate"/>
      </w:r>
      <w:r>
        <w:rPr>
          <w:rStyle w:val="35"/>
          <w:rFonts w:ascii="宋体" w:hAnsi="宋体"/>
        </w:rPr>
        <w:t>18.</w:t>
      </w:r>
      <w:r>
        <w:rPr>
          <w:rStyle w:val="35"/>
          <w:rFonts w:hint="eastAsia" w:ascii="宋体" w:hAnsi="宋体"/>
        </w:rPr>
        <w:t>投标人本项目管理、技术、服务人员情况表</w:t>
      </w:r>
      <w:r>
        <w:rPr>
          <w:rFonts w:ascii="宋体" w:hAnsi="宋体"/>
        </w:rPr>
        <w:tab/>
      </w:r>
      <w:r>
        <w:rPr>
          <w:rFonts w:ascii="宋体" w:hAnsi="宋体"/>
        </w:rPr>
        <w:fldChar w:fldCharType="begin"/>
      </w:r>
      <w:r>
        <w:rPr>
          <w:rFonts w:ascii="宋体" w:hAnsi="宋体"/>
        </w:rPr>
        <w:instrText xml:space="preserve"> PAGEREF _Toc69141841 \h </w:instrText>
      </w:r>
      <w:r>
        <w:rPr>
          <w:rFonts w:ascii="宋体" w:hAnsi="宋体"/>
        </w:rPr>
        <w:fldChar w:fldCharType="separate"/>
      </w:r>
      <w:r>
        <w:rPr>
          <w:rFonts w:ascii="宋体" w:hAnsi="宋体"/>
        </w:rPr>
        <w:t>- 46 -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"_Toc69141842" </w:instrText>
      </w:r>
      <w:r>
        <w:fldChar w:fldCharType="separate"/>
      </w:r>
      <w:r>
        <w:rPr>
          <w:rStyle w:val="35"/>
          <w:rFonts w:ascii="宋体" w:hAnsi="宋体"/>
        </w:rPr>
        <w:t>19.</w:t>
      </w:r>
      <w:r>
        <w:rPr>
          <w:rStyle w:val="35"/>
          <w:rFonts w:hint="eastAsia" w:ascii="宋体" w:hAnsi="宋体"/>
        </w:rPr>
        <w:t>售后服务</w:t>
      </w:r>
      <w:r>
        <w:rPr>
          <w:rFonts w:ascii="宋体" w:hAnsi="宋体"/>
        </w:rPr>
        <w:tab/>
      </w:r>
      <w:r>
        <w:rPr>
          <w:rFonts w:ascii="宋体" w:hAnsi="宋体"/>
        </w:rPr>
        <w:fldChar w:fldCharType="begin"/>
      </w:r>
      <w:r>
        <w:rPr>
          <w:rFonts w:ascii="宋体" w:hAnsi="宋体"/>
        </w:rPr>
        <w:instrText xml:space="preserve"> PAGEREF _Toc69141842 \h </w:instrText>
      </w:r>
      <w:r>
        <w:rPr>
          <w:rFonts w:ascii="宋体" w:hAnsi="宋体"/>
        </w:rPr>
        <w:fldChar w:fldCharType="separate"/>
      </w:r>
      <w:r>
        <w:rPr>
          <w:rFonts w:ascii="宋体" w:hAnsi="宋体"/>
        </w:rPr>
        <w:t>- 47 -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"_Toc69141843" </w:instrText>
      </w:r>
      <w:r>
        <w:fldChar w:fldCharType="separate"/>
      </w:r>
      <w:r>
        <w:rPr>
          <w:rStyle w:val="35"/>
          <w:rFonts w:ascii="宋体" w:hAnsi="宋体"/>
        </w:rPr>
        <w:t>20.</w:t>
      </w:r>
      <w:r>
        <w:rPr>
          <w:rStyle w:val="35"/>
          <w:rFonts w:hint="eastAsia" w:ascii="宋体" w:hAnsi="宋体"/>
        </w:rPr>
        <w:t>知识产权说明</w:t>
      </w:r>
      <w:r>
        <w:rPr>
          <w:rFonts w:ascii="宋体" w:hAnsi="宋体"/>
        </w:rPr>
        <w:tab/>
      </w:r>
      <w:r>
        <w:rPr>
          <w:rFonts w:ascii="宋体" w:hAnsi="宋体"/>
        </w:rPr>
        <w:fldChar w:fldCharType="begin"/>
      </w:r>
      <w:r>
        <w:rPr>
          <w:rFonts w:ascii="宋体" w:hAnsi="宋体"/>
        </w:rPr>
        <w:instrText xml:space="preserve"> PAGEREF _Toc69141843 \h </w:instrText>
      </w:r>
      <w:r>
        <w:rPr>
          <w:rFonts w:ascii="宋体" w:hAnsi="宋体"/>
        </w:rPr>
        <w:fldChar w:fldCharType="separate"/>
      </w:r>
      <w:r>
        <w:rPr>
          <w:rFonts w:ascii="宋体" w:hAnsi="宋体"/>
        </w:rPr>
        <w:t>- 48 -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"_Toc69141844" </w:instrText>
      </w:r>
      <w:r>
        <w:fldChar w:fldCharType="separate"/>
      </w:r>
      <w:r>
        <w:rPr>
          <w:rStyle w:val="35"/>
          <w:rFonts w:ascii="宋体" w:hAnsi="宋体"/>
        </w:rPr>
        <w:t>21.</w:t>
      </w:r>
      <w:r>
        <w:rPr>
          <w:rStyle w:val="35"/>
          <w:rFonts w:hint="eastAsia" w:ascii="宋体" w:hAnsi="宋体"/>
        </w:rPr>
        <w:t>中小企业声明函</w:t>
      </w:r>
      <w:r>
        <w:rPr>
          <w:rFonts w:ascii="宋体" w:hAnsi="宋体"/>
        </w:rPr>
        <w:tab/>
      </w:r>
      <w:r>
        <w:rPr>
          <w:rFonts w:ascii="宋体" w:hAnsi="宋体"/>
        </w:rPr>
        <w:fldChar w:fldCharType="begin"/>
      </w:r>
      <w:r>
        <w:rPr>
          <w:rFonts w:ascii="宋体" w:hAnsi="宋体"/>
        </w:rPr>
        <w:instrText xml:space="preserve"> PAGEREF _Toc69141844 \h </w:instrText>
      </w:r>
      <w:r>
        <w:rPr>
          <w:rFonts w:ascii="宋体" w:hAnsi="宋体"/>
        </w:rPr>
        <w:fldChar w:fldCharType="separate"/>
      </w:r>
      <w:r>
        <w:rPr>
          <w:rFonts w:ascii="宋体" w:hAnsi="宋体"/>
        </w:rPr>
        <w:t>- 49 -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"_Toc69141845" </w:instrText>
      </w:r>
      <w:r>
        <w:fldChar w:fldCharType="separate"/>
      </w:r>
      <w:r>
        <w:rPr>
          <w:rStyle w:val="35"/>
          <w:rFonts w:hint="eastAsia" w:ascii="宋体" w:hAnsi="宋体" w:cs="宋体"/>
        </w:rPr>
        <w:t>监狱企业证明文件</w:t>
      </w:r>
      <w:r>
        <w:rPr>
          <w:rFonts w:ascii="宋体" w:hAnsi="宋体"/>
        </w:rPr>
        <w:tab/>
      </w:r>
      <w:r>
        <w:rPr>
          <w:rFonts w:ascii="宋体" w:hAnsi="宋体"/>
        </w:rPr>
        <w:fldChar w:fldCharType="begin"/>
      </w:r>
      <w:r>
        <w:rPr>
          <w:rFonts w:ascii="宋体" w:hAnsi="宋体"/>
        </w:rPr>
        <w:instrText xml:space="preserve"> PAGEREF _Toc69141845 \h </w:instrText>
      </w:r>
      <w:r>
        <w:rPr>
          <w:rFonts w:ascii="宋体" w:hAnsi="宋体"/>
        </w:rPr>
        <w:fldChar w:fldCharType="separate"/>
      </w:r>
      <w:r>
        <w:rPr>
          <w:rFonts w:ascii="宋体" w:hAnsi="宋体"/>
        </w:rPr>
        <w:t>- 50 -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"_Toc69141846" </w:instrText>
      </w:r>
      <w:r>
        <w:fldChar w:fldCharType="separate"/>
      </w:r>
      <w:r>
        <w:rPr>
          <w:rStyle w:val="35"/>
          <w:rFonts w:hint="eastAsia" w:ascii="宋体" w:hAnsi="宋体" w:cs="宋体"/>
        </w:rPr>
        <w:t>残疾人福利性单位声明</w:t>
      </w:r>
      <w:r>
        <w:rPr>
          <w:rFonts w:ascii="宋体" w:hAnsi="宋体"/>
        </w:rPr>
        <w:tab/>
      </w:r>
      <w:r>
        <w:rPr>
          <w:rFonts w:ascii="宋体" w:hAnsi="宋体"/>
        </w:rPr>
        <w:fldChar w:fldCharType="begin"/>
      </w:r>
      <w:r>
        <w:rPr>
          <w:rFonts w:ascii="宋体" w:hAnsi="宋体"/>
        </w:rPr>
        <w:instrText xml:space="preserve"> PAGEREF _Toc69141846 \h </w:instrText>
      </w:r>
      <w:r>
        <w:rPr>
          <w:rFonts w:ascii="宋体" w:hAnsi="宋体"/>
        </w:rPr>
        <w:fldChar w:fldCharType="separate"/>
      </w:r>
      <w:r>
        <w:rPr>
          <w:rFonts w:ascii="宋体" w:hAnsi="宋体"/>
        </w:rPr>
        <w:t>- 51 -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"_Toc69141847" </w:instrText>
      </w:r>
      <w:r>
        <w:fldChar w:fldCharType="separate"/>
      </w:r>
      <w:r>
        <w:rPr>
          <w:rStyle w:val="35"/>
          <w:rFonts w:ascii="宋体" w:hAnsi="宋体"/>
        </w:rPr>
        <w:t>22.</w:t>
      </w:r>
      <w:r>
        <w:rPr>
          <w:rStyle w:val="35"/>
          <w:rFonts w:hint="eastAsia" w:ascii="宋体" w:hAnsi="宋体"/>
        </w:rPr>
        <w:t>强制采购节能产品信息</w:t>
      </w:r>
      <w:r>
        <w:rPr>
          <w:rFonts w:ascii="宋体" w:hAnsi="宋体"/>
        </w:rPr>
        <w:tab/>
      </w:r>
      <w:r>
        <w:rPr>
          <w:rFonts w:ascii="宋体" w:hAnsi="宋体"/>
        </w:rPr>
        <w:fldChar w:fldCharType="begin"/>
      </w:r>
      <w:r>
        <w:rPr>
          <w:rFonts w:ascii="宋体" w:hAnsi="宋体"/>
        </w:rPr>
        <w:instrText xml:space="preserve"> PAGEREF _Toc69141847 \h </w:instrText>
      </w:r>
      <w:r>
        <w:rPr>
          <w:rFonts w:ascii="宋体" w:hAnsi="宋体"/>
        </w:rPr>
        <w:fldChar w:fldCharType="separate"/>
      </w:r>
      <w:r>
        <w:rPr>
          <w:rFonts w:ascii="宋体" w:hAnsi="宋体"/>
        </w:rPr>
        <w:t>- 52 -</w:t>
      </w:r>
      <w:r>
        <w:rPr>
          <w:rFonts w:ascii="宋体" w:hAnsi="宋体"/>
        </w:rPr>
        <w:fldChar w:fldCharType="end"/>
      </w:r>
      <w:r>
        <w:rPr>
          <w:rFonts w:ascii="宋体" w:hAnsi="宋体"/>
        </w:rPr>
        <w:fldChar w:fldCharType="end"/>
      </w:r>
    </w:p>
    <w:p>
      <w:pPr>
        <w:pStyle w:val="20"/>
        <w:rPr>
          <w:rFonts w:ascii="宋体" w:hAnsi="宋体"/>
          <w:szCs w:val="22"/>
        </w:rPr>
      </w:pPr>
      <w:r>
        <w:fldChar w:fldCharType="begin"/>
      </w:r>
      <w:r>
        <w:instrText xml:space="preserve"> HYPERLINK \l "_Toc69141848" </w:instrText>
      </w:r>
      <w:r>
        <w:fldChar w:fldCharType="separate"/>
      </w:r>
      <w:r>
        <w:rPr>
          <w:rStyle w:val="35"/>
          <w:rFonts w:hint="eastAsia" w:ascii="宋体" w:hAnsi="宋体"/>
        </w:rPr>
        <w:t>第四章供应商应当提供的资格证明材料</w:t>
      </w:r>
      <w:r>
        <w:rPr>
          <w:rFonts w:ascii="宋体" w:hAnsi="宋体"/>
        </w:rPr>
        <w:tab/>
      </w:r>
      <w:r>
        <w:rPr>
          <w:rFonts w:ascii="宋体" w:hAnsi="宋体"/>
        </w:rPr>
        <w:fldChar w:fldCharType="begin"/>
      </w:r>
      <w:r>
        <w:rPr>
          <w:rFonts w:ascii="宋体" w:hAnsi="宋体"/>
        </w:rPr>
        <w:instrText xml:space="preserve"> PAGEREF _Toc69141848 \h </w:instrText>
      </w:r>
      <w:r>
        <w:rPr>
          <w:rFonts w:ascii="宋体" w:hAnsi="宋体"/>
        </w:rPr>
        <w:fldChar w:fldCharType="separate"/>
      </w:r>
      <w:r>
        <w:rPr>
          <w:rFonts w:ascii="宋体" w:hAnsi="宋体"/>
        </w:rPr>
        <w:t>- 53 -</w:t>
      </w:r>
      <w:r>
        <w:rPr>
          <w:rFonts w:ascii="宋体" w:hAnsi="宋体"/>
        </w:rPr>
        <w:fldChar w:fldCharType="end"/>
      </w:r>
      <w:r>
        <w:rPr>
          <w:rFonts w:ascii="宋体" w:hAnsi="宋体"/>
        </w:rPr>
        <w:fldChar w:fldCharType="end"/>
      </w:r>
    </w:p>
    <w:p>
      <w:pPr>
        <w:pStyle w:val="20"/>
        <w:rPr>
          <w:rFonts w:ascii="宋体" w:hAnsi="宋体"/>
          <w:szCs w:val="22"/>
        </w:rPr>
      </w:pPr>
      <w:r>
        <w:fldChar w:fldCharType="begin"/>
      </w:r>
      <w:r>
        <w:instrText xml:space="preserve"> HYPERLINK \l "_Toc69141849" </w:instrText>
      </w:r>
      <w:r>
        <w:fldChar w:fldCharType="separate"/>
      </w:r>
      <w:r>
        <w:rPr>
          <w:rStyle w:val="35"/>
          <w:rFonts w:hint="eastAsia" w:ascii="宋体" w:hAnsi="宋体"/>
        </w:rPr>
        <w:t>第五章招标项目技术、服务、政府采购合同内容条款及其他商务要求</w:t>
      </w:r>
      <w:r>
        <w:rPr>
          <w:rFonts w:ascii="宋体" w:hAnsi="宋体"/>
        </w:rPr>
        <w:tab/>
      </w:r>
      <w:r>
        <w:rPr>
          <w:rFonts w:ascii="宋体" w:hAnsi="宋体"/>
        </w:rPr>
        <w:fldChar w:fldCharType="begin"/>
      </w:r>
      <w:r>
        <w:rPr>
          <w:rFonts w:ascii="宋体" w:hAnsi="宋体"/>
        </w:rPr>
        <w:instrText xml:space="preserve"> PAGEREF _Toc69141849 \h </w:instrText>
      </w:r>
      <w:r>
        <w:rPr>
          <w:rFonts w:ascii="宋体" w:hAnsi="宋体"/>
        </w:rPr>
        <w:fldChar w:fldCharType="separate"/>
      </w:r>
      <w:r>
        <w:rPr>
          <w:rFonts w:ascii="宋体" w:hAnsi="宋体"/>
        </w:rPr>
        <w:t>- 54 -</w:t>
      </w:r>
      <w:r>
        <w:rPr>
          <w:rFonts w:ascii="宋体" w:hAnsi="宋体"/>
        </w:rPr>
        <w:fldChar w:fldCharType="end"/>
      </w:r>
      <w:r>
        <w:rPr>
          <w:rFonts w:ascii="宋体" w:hAnsi="宋体"/>
        </w:rPr>
        <w:fldChar w:fldCharType="end"/>
      </w:r>
    </w:p>
    <w:p>
      <w:pPr>
        <w:pStyle w:val="20"/>
        <w:rPr>
          <w:rFonts w:ascii="宋体" w:hAnsi="宋体"/>
          <w:szCs w:val="22"/>
        </w:rPr>
      </w:pPr>
      <w:r>
        <w:fldChar w:fldCharType="begin"/>
      </w:r>
      <w:r>
        <w:instrText xml:space="preserve"> HYPERLINK \l "_Toc69141850" </w:instrText>
      </w:r>
      <w:r>
        <w:fldChar w:fldCharType="separate"/>
      </w:r>
      <w:r>
        <w:rPr>
          <w:rStyle w:val="35"/>
          <w:rFonts w:hint="eastAsia" w:ascii="宋体" w:hAnsi="宋体"/>
        </w:rPr>
        <w:t>第六章评标办法</w:t>
      </w:r>
      <w:r>
        <w:rPr>
          <w:rFonts w:ascii="宋体" w:hAnsi="宋体"/>
        </w:rPr>
        <w:tab/>
      </w:r>
      <w:r>
        <w:rPr>
          <w:rFonts w:ascii="宋体" w:hAnsi="宋体"/>
        </w:rPr>
        <w:fldChar w:fldCharType="begin"/>
      </w:r>
      <w:r>
        <w:rPr>
          <w:rFonts w:ascii="宋体" w:hAnsi="宋体"/>
        </w:rPr>
        <w:instrText xml:space="preserve"> PAGEREF _Toc69141850 \h </w:instrText>
      </w:r>
      <w:r>
        <w:rPr>
          <w:rFonts w:ascii="宋体" w:hAnsi="宋体"/>
        </w:rPr>
        <w:fldChar w:fldCharType="separate"/>
      </w:r>
      <w:r>
        <w:rPr>
          <w:rFonts w:ascii="宋体" w:hAnsi="宋体"/>
        </w:rPr>
        <w:t>- 56 -</w:t>
      </w:r>
      <w:r>
        <w:rPr>
          <w:rFonts w:ascii="宋体" w:hAnsi="宋体"/>
        </w:rPr>
        <w:fldChar w:fldCharType="end"/>
      </w:r>
      <w:r>
        <w:rPr>
          <w:rFonts w:ascii="宋体" w:hAnsi="宋体"/>
        </w:rPr>
        <w:fldChar w:fldCharType="end"/>
      </w:r>
    </w:p>
    <w:p>
      <w:pPr>
        <w:pStyle w:val="20"/>
        <w:rPr>
          <w:rFonts w:ascii="宋体" w:hAnsi="宋体"/>
          <w:szCs w:val="22"/>
        </w:rPr>
      </w:pPr>
      <w:r>
        <w:fldChar w:fldCharType="begin"/>
      </w:r>
      <w:r>
        <w:instrText xml:space="preserve"> HYPERLINK \l "_Toc69141851" </w:instrText>
      </w:r>
      <w:r>
        <w:fldChar w:fldCharType="separate"/>
      </w:r>
      <w:r>
        <w:rPr>
          <w:rStyle w:val="35"/>
          <w:rFonts w:hint="eastAsia" w:ascii="宋体" w:hAnsi="宋体"/>
        </w:rPr>
        <w:t>第七章政府采购合同</w:t>
      </w:r>
      <w:r>
        <w:rPr>
          <w:rFonts w:ascii="宋体" w:hAnsi="宋体"/>
        </w:rPr>
        <w:tab/>
      </w:r>
      <w:r>
        <w:rPr>
          <w:rFonts w:ascii="宋体" w:hAnsi="宋体"/>
        </w:rPr>
        <w:fldChar w:fldCharType="begin"/>
      </w:r>
      <w:r>
        <w:rPr>
          <w:rFonts w:ascii="宋体" w:hAnsi="宋体"/>
        </w:rPr>
        <w:instrText xml:space="preserve"> PAGEREF _Toc69141851 \h </w:instrText>
      </w:r>
      <w:r>
        <w:rPr>
          <w:rFonts w:ascii="宋体" w:hAnsi="宋体"/>
        </w:rPr>
        <w:fldChar w:fldCharType="separate"/>
      </w:r>
      <w:r>
        <w:rPr>
          <w:rFonts w:ascii="宋体" w:hAnsi="宋体"/>
        </w:rPr>
        <w:t>- 64 -</w:t>
      </w:r>
      <w:r>
        <w:rPr>
          <w:rFonts w:ascii="宋体" w:hAnsi="宋体"/>
        </w:rPr>
        <w:fldChar w:fldCharType="end"/>
      </w:r>
      <w:r>
        <w:rPr>
          <w:rFonts w:ascii="宋体" w:hAnsi="宋体"/>
        </w:rPr>
        <w:fldChar w:fldCharType="end"/>
      </w:r>
    </w:p>
    <w:p>
      <w:pPr>
        <w:pStyle w:val="25"/>
        <w:tabs>
          <w:tab w:val="right" w:leader="dot" w:pos="9736"/>
        </w:tabs>
        <w:ind w:left="199" w:leftChars="95"/>
        <w:rPr>
          <w:rFonts w:ascii="宋体" w:hAnsi="宋体" w:eastAsia="宋体"/>
          <w:szCs w:val="22"/>
        </w:rPr>
      </w:pPr>
    </w:p>
    <w:p>
      <w:pPr>
        <w:spacing w:line="360" w:lineRule="auto"/>
        <w:rPr>
          <w:rFonts w:ascii="宋体" w:hAnsi="宋体"/>
          <w:b/>
          <w:color w:val="000000"/>
          <w:sz w:val="24"/>
        </w:rPr>
      </w:pPr>
      <w:r>
        <w:rPr>
          <w:rFonts w:ascii="宋体" w:hAnsi="宋体"/>
          <w:color w:val="000000"/>
        </w:rPr>
        <w:fldChar w:fldCharType="end"/>
      </w: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pStyle w:val="39"/>
        <w:spacing w:line="480" w:lineRule="auto"/>
        <w:rPr>
          <w:rFonts w:ascii="宋体" w:hAnsi="宋体"/>
          <w:color w:val="000000"/>
          <w:sz w:val="36"/>
          <w:szCs w:val="36"/>
        </w:rPr>
      </w:pPr>
      <w:bookmarkStart w:id="0" w:name="_Hlt101233737"/>
      <w:bookmarkEnd w:id="0"/>
      <w:bookmarkStart w:id="1" w:name="_Hlt101843627"/>
      <w:bookmarkEnd w:id="1"/>
      <w:bookmarkStart w:id="2" w:name="_Toc69141772"/>
      <w:bookmarkStart w:id="3" w:name="_Toc6308647"/>
      <w:bookmarkStart w:id="4" w:name="_Toc6308475"/>
      <w:r>
        <w:rPr>
          <w:rFonts w:hint="eastAsia" w:ascii="宋体" w:hAnsi="宋体"/>
          <w:color w:val="000000"/>
          <w:sz w:val="36"/>
          <w:szCs w:val="36"/>
        </w:rPr>
        <w:t>第一章  投标邀请</w:t>
      </w:r>
      <w:bookmarkEnd w:id="2"/>
      <w:bookmarkEnd w:id="3"/>
      <w:bookmarkEnd w:id="4"/>
    </w:p>
    <w:p>
      <w:pPr>
        <w:spacing w:line="360" w:lineRule="auto"/>
        <w:ind w:firstLine="480" w:firstLineChars="200"/>
        <w:jc w:val="left"/>
        <w:rPr>
          <w:rFonts w:ascii="宋体" w:hAnsi="宋体" w:cs="宋体"/>
          <w:sz w:val="24"/>
        </w:rPr>
      </w:pPr>
      <w:r>
        <w:rPr>
          <w:rFonts w:hint="eastAsia" w:ascii="宋体" w:hAnsi="宋体" w:cs="宋体"/>
          <w:sz w:val="24"/>
        </w:rPr>
        <w:t>中航技国际经贸发展有限公司受</w:t>
      </w:r>
      <w:r>
        <w:rPr>
          <w:rFonts w:hint="eastAsia" w:ascii="宋体" w:hAnsi="宋体" w:cs="宋体"/>
          <w:bCs/>
          <w:sz w:val="24"/>
          <w:u w:val="single"/>
        </w:rPr>
        <w:t>成都市妇女儿童中心医院</w:t>
      </w:r>
      <w:r>
        <w:rPr>
          <w:rFonts w:hint="eastAsia" w:ascii="宋体" w:hAnsi="宋体" w:cs="宋体"/>
          <w:sz w:val="24"/>
        </w:rPr>
        <w:t>委托，拟对</w:t>
      </w:r>
      <w:r>
        <w:rPr>
          <w:rFonts w:hint="eastAsia" w:ascii="宋体" w:hAnsi="宋体" w:cs="宋体"/>
          <w:bCs/>
          <w:sz w:val="24"/>
          <w:u w:val="single"/>
        </w:rPr>
        <w:t>成都市妇女儿童中心医院彩色多普勒超声诊断仪医疗设备采购项目</w:t>
      </w:r>
      <w:r>
        <w:rPr>
          <w:rFonts w:hint="eastAsia" w:ascii="宋体" w:hAnsi="宋体" w:cs="宋体"/>
          <w:sz w:val="24"/>
        </w:rPr>
        <w:t>进行国内</w:t>
      </w:r>
      <w:r>
        <w:rPr>
          <w:rFonts w:hint="eastAsia" w:ascii="宋体" w:hAnsi="宋体" w:cs="宋体"/>
          <w:b/>
          <w:sz w:val="24"/>
        </w:rPr>
        <w:t>公开招标</w:t>
      </w:r>
      <w:r>
        <w:rPr>
          <w:rFonts w:hint="eastAsia" w:ascii="宋体" w:hAnsi="宋体" w:cs="宋体"/>
          <w:sz w:val="24"/>
        </w:rPr>
        <w:t>，兹邀请符合本次招标要求的供应商参加投标，有关事项公告如下：</w:t>
      </w:r>
    </w:p>
    <w:p>
      <w:pPr>
        <w:spacing w:line="360" w:lineRule="auto"/>
        <w:ind w:firstLine="241" w:firstLineChars="100"/>
        <w:rPr>
          <w:rFonts w:ascii="宋体" w:hAnsi="宋体" w:cs="宋体"/>
          <w:b/>
          <w:sz w:val="24"/>
        </w:rPr>
      </w:pPr>
      <w:r>
        <w:rPr>
          <w:rFonts w:hint="eastAsia" w:ascii="宋体" w:hAnsi="宋体" w:cs="宋体"/>
          <w:b/>
          <w:sz w:val="24"/>
        </w:rPr>
        <w:t>一、采购项目基本情况</w:t>
      </w:r>
    </w:p>
    <w:p>
      <w:pPr>
        <w:spacing w:line="360" w:lineRule="auto"/>
        <w:ind w:firstLine="482" w:firstLineChars="200"/>
        <w:rPr>
          <w:rFonts w:ascii="宋体" w:hAnsi="宋体" w:cs="宋体"/>
          <w:b/>
          <w:sz w:val="24"/>
        </w:rPr>
      </w:pPr>
      <w:r>
        <w:rPr>
          <w:rFonts w:hint="eastAsia" w:ascii="宋体" w:hAnsi="宋体" w:cs="宋体"/>
          <w:b/>
          <w:sz w:val="24"/>
        </w:rPr>
        <w:t>1.招标编号：</w:t>
      </w:r>
      <w:r>
        <w:rPr>
          <w:rFonts w:ascii="宋体" w:hAnsi="宋体" w:cs="宋体"/>
          <w:b/>
          <w:sz w:val="24"/>
        </w:rPr>
        <w:t>510101202101019</w:t>
      </w:r>
    </w:p>
    <w:p>
      <w:pPr>
        <w:spacing w:line="360" w:lineRule="auto"/>
        <w:ind w:firstLine="482" w:firstLineChars="200"/>
        <w:rPr>
          <w:rFonts w:ascii="宋体" w:hAnsi="宋体" w:cs="宋体"/>
          <w:b/>
          <w:sz w:val="24"/>
        </w:rPr>
      </w:pPr>
      <w:r>
        <w:rPr>
          <w:rFonts w:hint="eastAsia" w:ascii="宋体" w:hAnsi="宋体" w:cs="宋体"/>
          <w:b/>
          <w:sz w:val="24"/>
        </w:rPr>
        <w:t>2.招标项目：</w:t>
      </w:r>
      <w:r>
        <w:rPr>
          <w:rFonts w:hint="eastAsia" w:ascii="宋体" w:hAnsi="宋体" w:cs="宋体"/>
          <w:sz w:val="24"/>
        </w:rPr>
        <w:t>成都市妇女儿童中心医院彩色多普勒超声诊断仪医疗设备采购项目</w:t>
      </w:r>
    </w:p>
    <w:p>
      <w:pPr>
        <w:spacing w:line="360" w:lineRule="auto"/>
        <w:ind w:firstLine="241" w:firstLineChars="100"/>
        <w:rPr>
          <w:rFonts w:ascii="宋体" w:hAnsi="宋体" w:cs="宋体"/>
          <w:b/>
          <w:sz w:val="24"/>
        </w:rPr>
      </w:pPr>
      <w:r>
        <w:rPr>
          <w:rFonts w:hint="eastAsia" w:ascii="宋体" w:hAnsi="宋体" w:cs="宋体"/>
          <w:b/>
          <w:sz w:val="24"/>
        </w:rPr>
        <w:t>二、资金情况</w:t>
      </w:r>
    </w:p>
    <w:p>
      <w:pPr>
        <w:spacing w:line="360" w:lineRule="auto"/>
        <w:ind w:firstLine="482" w:firstLineChars="200"/>
        <w:rPr>
          <w:rFonts w:ascii="宋体" w:hAnsi="宋体" w:cs="宋体"/>
          <w:b/>
          <w:sz w:val="24"/>
        </w:rPr>
      </w:pPr>
      <w:r>
        <w:rPr>
          <w:rFonts w:hint="eastAsia" w:ascii="宋体" w:hAnsi="宋体" w:cs="宋体"/>
          <w:b/>
          <w:sz w:val="24"/>
        </w:rPr>
        <w:t>1.预算金额：155万元</w:t>
      </w:r>
    </w:p>
    <w:p>
      <w:pPr>
        <w:spacing w:line="360" w:lineRule="auto"/>
        <w:ind w:firstLine="482" w:firstLineChars="200"/>
        <w:rPr>
          <w:rFonts w:ascii="宋体" w:hAnsi="宋体" w:cs="宋体"/>
          <w:b/>
          <w:sz w:val="24"/>
        </w:rPr>
      </w:pPr>
      <w:r>
        <w:rPr>
          <w:rFonts w:hint="eastAsia" w:ascii="宋体" w:hAnsi="宋体" w:cs="宋体"/>
          <w:b/>
          <w:sz w:val="24"/>
        </w:rPr>
        <w:t>2.最高限价：155万元</w:t>
      </w:r>
    </w:p>
    <w:p>
      <w:pPr>
        <w:spacing w:line="360" w:lineRule="auto"/>
        <w:ind w:firstLine="482" w:firstLineChars="200"/>
        <w:rPr>
          <w:rFonts w:ascii="宋体" w:hAnsi="宋体" w:cs="宋体"/>
          <w:b/>
          <w:sz w:val="24"/>
        </w:rPr>
      </w:pPr>
      <w:r>
        <w:rPr>
          <w:rFonts w:hint="eastAsia" w:ascii="宋体" w:hAnsi="宋体" w:cs="宋体"/>
          <w:b/>
          <w:sz w:val="24"/>
        </w:rPr>
        <w:t>3.资金来源：财政资金。（2020）3847</w:t>
      </w:r>
    </w:p>
    <w:p>
      <w:pPr>
        <w:spacing w:line="360" w:lineRule="auto"/>
        <w:ind w:firstLine="241" w:firstLineChars="100"/>
        <w:rPr>
          <w:rFonts w:ascii="宋体" w:hAnsi="宋体" w:cs="宋体"/>
          <w:b/>
          <w:sz w:val="24"/>
        </w:rPr>
      </w:pPr>
      <w:r>
        <w:rPr>
          <w:rFonts w:hint="eastAsia" w:ascii="宋体" w:hAnsi="宋体" w:cs="宋体"/>
          <w:b/>
          <w:sz w:val="24"/>
        </w:rPr>
        <w:t>三、采购需求：本项目共</w:t>
      </w:r>
      <w:r>
        <w:rPr>
          <w:rStyle w:val="36"/>
          <w:rFonts w:hint="eastAsia" w:ascii="宋体" w:hAnsi="宋体"/>
          <w:b/>
          <w:sz w:val="24"/>
        </w:rPr>
        <w:t>2</w:t>
      </w:r>
      <w:r>
        <w:rPr>
          <w:rFonts w:hint="eastAsia" w:ascii="宋体" w:hAnsi="宋体" w:cs="宋体"/>
          <w:b/>
          <w:sz w:val="24"/>
        </w:rPr>
        <w:t>个包，清单见下表。</w:t>
      </w:r>
    </w:p>
    <w:tbl>
      <w:tblPr>
        <w:tblStyle w:val="30"/>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16"/>
        <w:gridCol w:w="3216"/>
        <w:gridCol w:w="696"/>
        <w:gridCol w:w="213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453" w:type="pct"/>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包号</w:t>
            </w:r>
          </w:p>
        </w:tc>
        <w:tc>
          <w:tcPr>
            <w:tcW w:w="524" w:type="pct"/>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品目号</w:t>
            </w:r>
          </w:p>
        </w:tc>
        <w:tc>
          <w:tcPr>
            <w:tcW w:w="1679"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货物名称</w:t>
            </w:r>
          </w:p>
        </w:tc>
        <w:tc>
          <w:tcPr>
            <w:tcW w:w="363"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数量</w:t>
            </w:r>
          </w:p>
        </w:tc>
        <w:tc>
          <w:tcPr>
            <w:tcW w:w="1115"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单项限价（万元）</w:t>
            </w:r>
          </w:p>
        </w:tc>
        <w:tc>
          <w:tcPr>
            <w:tcW w:w="865"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7" w:type="pct"/>
            <w:gridSpan w:val="2"/>
          </w:tcPr>
          <w:p>
            <w:pPr>
              <w:widowControl/>
              <w:jc w:val="center"/>
              <w:textAlignment w:val="center"/>
              <w:rPr>
                <w:rFonts w:ascii="宋体" w:hAnsi="宋体" w:cs="宋体"/>
                <w:color w:val="000000"/>
                <w:kern w:val="0"/>
                <w:sz w:val="24"/>
              </w:rPr>
            </w:pPr>
            <w:r>
              <w:rPr>
                <w:rFonts w:hint="eastAsia" w:cs="宋体" w:asciiTheme="minorEastAsia" w:hAnsiTheme="minorEastAsia" w:eastAsiaTheme="minorEastAsia"/>
                <w:bCs/>
                <w:sz w:val="24"/>
              </w:rPr>
              <w:t>01包</w:t>
            </w:r>
          </w:p>
        </w:tc>
        <w:tc>
          <w:tcPr>
            <w:tcW w:w="1679" w:type="pc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彩色多普勒超声诊断仪（1）</w:t>
            </w:r>
          </w:p>
        </w:tc>
        <w:tc>
          <w:tcPr>
            <w:tcW w:w="363"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1</w:t>
            </w:r>
          </w:p>
        </w:tc>
        <w:tc>
          <w:tcPr>
            <w:tcW w:w="1115"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37</w:t>
            </w:r>
          </w:p>
        </w:tc>
        <w:tc>
          <w:tcPr>
            <w:tcW w:w="865"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3" w:type="pct"/>
            <w:vMerge w:val="restart"/>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02包</w:t>
            </w:r>
          </w:p>
        </w:tc>
        <w:tc>
          <w:tcPr>
            <w:tcW w:w="524" w:type="pct"/>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02-01</w:t>
            </w:r>
          </w:p>
        </w:tc>
        <w:tc>
          <w:tcPr>
            <w:tcW w:w="1679" w:type="pc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彩色多普勒超声诊断仪（2）</w:t>
            </w:r>
          </w:p>
        </w:tc>
        <w:tc>
          <w:tcPr>
            <w:tcW w:w="363"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1</w:t>
            </w:r>
          </w:p>
        </w:tc>
        <w:tc>
          <w:tcPr>
            <w:tcW w:w="1115"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95</w:t>
            </w:r>
          </w:p>
        </w:tc>
        <w:tc>
          <w:tcPr>
            <w:tcW w:w="865"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3" w:type="pct"/>
            <w:vMerge w:val="continue"/>
          </w:tcPr>
          <w:p>
            <w:pPr>
              <w:spacing w:afterLines="50" w:line="420" w:lineRule="exact"/>
              <w:jc w:val="center"/>
              <w:rPr>
                <w:rFonts w:cs="宋体" w:asciiTheme="minorEastAsia" w:hAnsiTheme="minorEastAsia" w:eastAsiaTheme="minorEastAsia"/>
                <w:bCs/>
                <w:sz w:val="24"/>
              </w:rPr>
            </w:pPr>
          </w:p>
        </w:tc>
        <w:tc>
          <w:tcPr>
            <w:tcW w:w="524" w:type="pct"/>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02-02</w:t>
            </w:r>
          </w:p>
        </w:tc>
        <w:tc>
          <w:tcPr>
            <w:tcW w:w="1679" w:type="pct"/>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彩色多普勒超声仪器探头</w:t>
            </w:r>
          </w:p>
        </w:tc>
        <w:tc>
          <w:tcPr>
            <w:tcW w:w="363" w:type="pct"/>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1115" w:type="pct"/>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23</w:t>
            </w:r>
          </w:p>
        </w:tc>
        <w:tc>
          <w:tcPr>
            <w:tcW w:w="865"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否</w:t>
            </w:r>
          </w:p>
        </w:tc>
      </w:tr>
    </w:tbl>
    <w:p>
      <w:pPr>
        <w:spacing w:line="360" w:lineRule="auto"/>
        <w:ind w:firstLine="241" w:firstLineChars="100"/>
        <w:rPr>
          <w:rFonts w:ascii="宋体" w:hAnsi="宋体" w:cs="宋体"/>
          <w:b/>
          <w:sz w:val="24"/>
        </w:rPr>
      </w:pPr>
      <w:r>
        <w:rPr>
          <w:rFonts w:hint="eastAsia" w:ascii="宋体" w:hAnsi="宋体" w:cs="宋体"/>
          <w:b/>
          <w:sz w:val="24"/>
        </w:rPr>
        <w:t>四、投标人资格要求：</w:t>
      </w:r>
    </w:p>
    <w:p>
      <w:pPr>
        <w:spacing w:after="50" w:line="420" w:lineRule="exact"/>
        <w:ind w:firstLine="480" w:firstLineChars="200"/>
        <w:rPr>
          <w:rFonts w:ascii="宋体" w:hAnsi="宋体" w:cs="宋体"/>
          <w:color w:val="000000"/>
          <w:sz w:val="24"/>
        </w:rPr>
      </w:pPr>
      <w:r>
        <w:rPr>
          <w:rFonts w:hint="eastAsia" w:ascii="宋体" w:hAnsi="宋体" w:cs="宋体"/>
          <w:color w:val="000000"/>
          <w:sz w:val="24"/>
        </w:rPr>
        <w:t>1.满足《中华人民共和国政府采购法》第二十二条规定；</w:t>
      </w:r>
    </w:p>
    <w:p>
      <w:pPr>
        <w:spacing w:after="50" w:line="420" w:lineRule="exact"/>
        <w:ind w:firstLine="480" w:firstLineChars="200"/>
        <w:rPr>
          <w:rFonts w:ascii="宋体" w:hAnsi="宋体" w:cs="宋体"/>
          <w:color w:val="000000"/>
          <w:sz w:val="24"/>
        </w:rPr>
      </w:pPr>
      <w:r>
        <w:rPr>
          <w:rFonts w:hint="eastAsia" w:ascii="宋体" w:hAnsi="宋体" w:cs="宋体"/>
          <w:color w:val="000000"/>
          <w:sz w:val="24"/>
        </w:rPr>
        <w:t>2.本项目的特定资格要求：投标人须具有中华人民共和国医疗器械经营许可证或备案表；</w:t>
      </w:r>
    </w:p>
    <w:p>
      <w:pPr>
        <w:spacing w:after="50" w:line="420" w:lineRule="exact"/>
        <w:ind w:firstLine="480" w:firstLineChars="200"/>
        <w:rPr>
          <w:rFonts w:ascii="宋体" w:hAnsi="宋体" w:cs="宋体"/>
          <w:color w:val="000000"/>
          <w:sz w:val="24"/>
        </w:rPr>
      </w:pPr>
      <w:r>
        <w:rPr>
          <w:rFonts w:hint="eastAsia" w:ascii="宋体" w:hAnsi="宋体" w:cs="宋体"/>
          <w:color w:val="000000"/>
          <w:sz w:val="24"/>
        </w:rPr>
        <w:t>3.本项目的其他要求：01包非生产厂家投标，投标产品需具有投标产品生产厂家或有效经销商针对本项目的授权委托书原件（限进口产品参与投标适用）；</w:t>
      </w:r>
    </w:p>
    <w:p>
      <w:pPr>
        <w:spacing w:after="50" w:line="420" w:lineRule="exact"/>
        <w:ind w:firstLine="480" w:firstLineChars="200"/>
        <w:rPr>
          <w:rFonts w:ascii="宋体" w:hAnsi="宋体" w:cs="宋体"/>
          <w:color w:val="000000"/>
          <w:sz w:val="24"/>
        </w:rPr>
      </w:pPr>
      <w:r>
        <w:rPr>
          <w:rFonts w:hint="eastAsia" w:ascii="宋体" w:hAnsi="宋体" w:cs="宋体"/>
          <w:color w:val="000000"/>
          <w:sz w:val="24"/>
        </w:rPr>
        <w:t>4.本次招标不接受联合体。</w:t>
      </w:r>
    </w:p>
    <w:p>
      <w:pPr>
        <w:spacing w:line="360" w:lineRule="auto"/>
        <w:ind w:firstLine="241" w:firstLineChars="100"/>
        <w:rPr>
          <w:rFonts w:ascii="宋体" w:hAnsi="宋体" w:cs="宋体"/>
          <w:b/>
          <w:sz w:val="24"/>
        </w:rPr>
      </w:pPr>
      <w:r>
        <w:rPr>
          <w:rFonts w:hint="eastAsia" w:ascii="宋体" w:hAnsi="宋体" w:cs="宋体"/>
          <w:b/>
          <w:sz w:val="24"/>
        </w:rPr>
        <w:t>五、获取招标文件的时间、地点、方式及招标文件售价：</w:t>
      </w:r>
    </w:p>
    <w:p>
      <w:pPr>
        <w:spacing w:line="360" w:lineRule="auto"/>
        <w:ind w:firstLine="482" w:firstLineChars="200"/>
        <w:rPr>
          <w:rFonts w:ascii="宋体" w:hAnsi="宋体" w:cs="宋体"/>
          <w:sz w:val="24"/>
        </w:rPr>
      </w:pPr>
      <w:r>
        <w:rPr>
          <w:rStyle w:val="35"/>
          <w:rFonts w:hint="eastAsia" w:ascii="宋体" w:hAnsi="宋体"/>
          <w:b/>
          <w:bCs/>
          <w:color w:val="auto"/>
          <w:sz w:val="24"/>
          <w:u w:val="none"/>
        </w:rPr>
        <w:t>1</w:t>
      </w:r>
      <w:r>
        <w:rPr>
          <w:rFonts w:hint="eastAsia" w:ascii="宋体" w:hAnsi="宋体" w:cs="宋体"/>
          <w:b/>
          <w:bCs/>
          <w:sz w:val="24"/>
        </w:rPr>
        <w:t>.</w:t>
      </w:r>
      <w:r>
        <w:rPr>
          <w:rStyle w:val="35"/>
          <w:rFonts w:hint="eastAsia" w:ascii="宋体" w:hAnsi="宋体"/>
          <w:b/>
          <w:bCs/>
          <w:color w:val="auto"/>
          <w:sz w:val="24"/>
          <w:u w:val="none"/>
        </w:rPr>
        <w:t>获取招标文件的时间：</w:t>
      </w:r>
      <w:r>
        <w:rPr>
          <w:rFonts w:hint="eastAsia" w:ascii="宋体" w:hAnsi="宋体" w:cs="宋体"/>
          <w:color w:val="FF0000"/>
          <w:sz w:val="24"/>
        </w:rPr>
        <w:t>20</w:t>
      </w:r>
      <w:r>
        <w:rPr>
          <w:rFonts w:ascii="宋体" w:hAnsi="宋体" w:cs="宋体"/>
          <w:color w:val="FF0000"/>
          <w:sz w:val="24"/>
        </w:rPr>
        <w:t>2</w:t>
      </w:r>
      <w:r>
        <w:rPr>
          <w:rFonts w:hint="eastAsia" w:ascii="宋体" w:hAnsi="宋体" w:cs="宋体"/>
          <w:color w:val="FF0000"/>
          <w:sz w:val="24"/>
        </w:rPr>
        <w:t>1年9月16日09:00至20</w:t>
      </w:r>
      <w:r>
        <w:rPr>
          <w:rFonts w:ascii="宋体" w:hAnsi="宋体" w:cs="宋体"/>
          <w:color w:val="FF0000"/>
          <w:sz w:val="24"/>
        </w:rPr>
        <w:t>2</w:t>
      </w:r>
      <w:r>
        <w:rPr>
          <w:rFonts w:hint="eastAsia" w:ascii="宋体" w:hAnsi="宋体" w:cs="宋体"/>
          <w:color w:val="FF0000"/>
          <w:sz w:val="24"/>
        </w:rPr>
        <w:t>1年9月24日17:00</w:t>
      </w:r>
      <w:r>
        <w:rPr>
          <w:rFonts w:hint="eastAsia" w:ascii="宋体" w:hAnsi="宋体" w:cs="宋体"/>
          <w:sz w:val="24"/>
        </w:rPr>
        <w:t>。</w:t>
      </w:r>
    </w:p>
    <w:p>
      <w:pPr>
        <w:spacing w:line="360" w:lineRule="auto"/>
        <w:ind w:firstLine="482" w:firstLineChars="200"/>
        <w:rPr>
          <w:rFonts w:ascii="宋体" w:hAnsi="宋体" w:cs="宋体"/>
          <w:bCs/>
          <w:sz w:val="24"/>
        </w:rPr>
      </w:pPr>
      <w:r>
        <w:rPr>
          <w:rFonts w:hint="eastAsia" w:ascii="宋体" w:hAnsi="宋体" w:cs="宋体"/>
          <w:b/>
          <w:bCs/>
          <w:sz w:val="24"/>
        </w:rPr>
        <w:t>2.招标文件获取方式</w:t>
      </w:r>
      <w:r>
        <w:rPr>
          <w:rFonts w:hint="eastAsia" w:ascii="宋体" w:hAnsi="宋体" w:cs="宋体"/>
          <w:bCs/>
          <w:sz w:val="24"/>
        </w:rPr>
        <w:t>：投标人从“政府采购云平台”获取采购文件（网址：</w:t>
      </w:r>
      <w:r>
        <w:fldChar w:fldCharType="begin"/>
      </w:r>
      <w:r>
        <w:instrText xml:space="preserve"> HYPERLINK "https://www.zcygov.cn）项目采购—获取采购文件—申请获取采购文件。_x0005_" </w:instrText>
      </w:r>
      <w:r>
        <w:fldChar w:fldCharType="separate"/>
      </w:r>
      <w:r>
        <w:rPr>
          <w:rStyle w:val="35"/>
          <w:rFonts w:hint="eastAsia" w:ascii="宋体" w:hAnsi="宋体" w:cs="宋体"/>
          <w:bCs/>
          <w:sz w:val="24"/>
        </w:rPr>
        <w:t>https://www.zcygov.cn）。登录政府采购云平台—项目采购—获取采购文件—申请获取采购文件</w:t>
      </w:r>
      <w:r>
        <w:rPr>
          <w:rStyle w:val="35"/>
          <w:rFonts w:hint="eastAsia" w:ascii="宋体" w:hAnsi="宋体" w:cs="宋体"/>
          <w:bCs/>
          <w:sz w:val="24"/>
        </w:rPr>
        <w:fldChar w:fldCharType="end"/>
      </w:r>
      <w:r>
        <w:rPr>
          <w:rFonts w:hint="eastAsia" w:ascii="宋体" w:hAnsi="宋体" w:cs="宋体"/>
          <w:bCs/>
          <w:sz w:val="24"/>
        </w:rPr>
        <w:t>。</w:t>
      </w:r>
    </w:p>
    <w:p>
      <w:pPr>
        <w:spacing w:line="360" w:lineRule="auto"/>
        <w:ind w:firstLine="480" w:firstLineChars="200"/>
        <w:rPr>
          <w:rFonts w:ascii="宋体" w:hAnsi="宋体" w:cs="宋体"/>
          <w:bCs/>
          <w:sz w:val="24"/>
        </w:rPr>
      </w:pPr>
      <w:r>
        <w:rPr>
          <w:rFonts w:hint="eastAsia" w:ascii="宋体" w:hAnsi="宋体" w:cs="宋体"/>
          <w:bCs/>
          <w:sz w:val="24"/>
        </w:rPr>
        <w:t>提示：</w:t>
      </w:r>
    </w:p>
    <w:p>
      <w:pPr>
        <w:spacing w:line="360" w:lineRule="auto"/>
        <w:ind w:firstLine="480" w:firstLineChars="200"/>
        <w:rPr>
          <w:rFonts w:ascii="宋体" w:hAnsi="宋体" w:cs="宋体"/>
          <w:bCs/>
          <w:sz w:val="24"/>
        </w:rPr>
      </w:pPr>
      <w:r>
        <w:rPr>
          <w:rFonts w:hint="eastAsia" w:ascii="宋体" w:hAnsi="宋体" w:cs="宋体"/>
          <w:bCs/>
          <w:sz w:val="24"/>
        </w:rPr>
        <w:t>（1）本项目招标文件免费获取。</w:t>
      </w:r>
    </w:p>
    <w:p>
      <w:pPr>
        <w:spacing w:line="360" w:lineRule="auto"/>
        <w:ind w:firstLine="480" w:firstLineChars="200"/>
        <w:rPr>
          <w:rFonts w:ascii="宋体" w:hAnsi="宋体" w:cs="宋体"/>
          <w:bCs/>
          <w:sz w:val="24"/>
        </w:rPr>
      </w:pPr>
      <w:r>
        <w:rPr>
          <w:rFonts w:hint="eastAsia" w:ascii="宋体" w:hAnsi="宋体" w:cs="宋体"/>
          <w:bCs/>
          <w:sz w:val="24"/>
        </w:rPr>
        <w:t>（2）投标人只有在“政府采购云平台”完成获取招标文件申请并下载招标文件后才视作依法参与本项目。如未在“政府采购云平台”内完成相关流程，引起的投标无效责任自负。</w:t>
      </w:r>
    </w:p>
    <w:p>
      <w:pPr>
        <w:spacing w:line="360" w:lineRule="auto"/>
        <w:ind w:firstLine="480" w:firstLineChars="200"/>
        <w:rPr>
          <w:rFonts w:ascii="宋体" w:hAnsi="宋体" w:cs="宋体"/>
          <w:bCs/>
          <w:sz w:val="24"/>
        </w:rPr>
      </w:pPr>
      <w:r>
        <w:rPr>
          <w:rFonts w:hint="eastAsia" w:ascii="宋体" w:hAnsi="宋体" w:cs="宋体"/>
          <w:bCs/>
          <w:sz w:val="24"/>
        </w:rPr>
        <w:t>（3）本项目为电子招标投标项目，投标人参与本项目全过程中凡涉及系统操作请详见《供应商政府采购项目电子交易操作指南》。（操作指南以政府采购云平台网站发布为准，获取方式详见：</w:t>
      </w:r>
      <w:r>
        <w:rPr>
          <w:rFonts w:hint="eastAsia" w:ascii="宋体" w:hAnsi="宋体" w:cs="宋体"/>
          <w:b/>
          <w:bCs/>
          <w:sz w:val="24"/>
        </w:rPr>
        <w:t>附件三-政府采购云平台使用介绍</w:t>
      </w:r>
      <w:r>
        <w:rPr>
          <w:rFonts w:hint="eastAsia" w:ascii="宋体" w:hAnsi="宋体" w:cs="宋体"/>
          <w:bCs/>
          <w:sz w:val="24"/>
        </w:rPr>
        <w:t>）</w:t>
      </w:r>
    </w:p>
    <w:p>
      <w:pPr>
        <w:spacing w:line="360" w:lineRule="auto"/>
        <w:ind w:firstLine="241" w:firstLineChars="100"/>
        <w:rPr>
          <w:rFonts w:ascii="宋体" w:hAnsi="宋体" w:cs="宋体"/>
          <w:b/>
          <w:sz w:val="24"/>
        </w:rPr>
      </w:pPr>
      <w:r>
        <w:rPr>
          <w:rFonts w:hint="eastAsia" w:ascii="宋体" w:hAnsi="宋体" w:cs="宋体"/>
          <w:b/>
          <w:sz w:val="24"/>
        </w:rPr>
        <w:t>六、投标文件的递交：</w:t>
      </w:r>
    </w:p>
    <w:p>
      <w:pPr>
        <w:spacing w:line="360" w:lineRule="auto"/>
        <w:ind w:firstLine="480" w:firstLineChars="200"/>
        <w:rPr>
          <w:rFonts w:ascii="宋体" w:hAnsi="宋体" w:cs="宋体"/>
          <w:sz w:val="24"/>
        </w:rPr>
      </w:pPr>
      <w:r>
        <w:rPr>
          <w:rFonts w:hint="eastAsia"/>
          <w:sz w:val="24"/>
        </w:rPr>
        <w:t>投标截止时间前，投标人应将加密的电子投标文件递交至“政府采购云平台”对应项目（包件）。注：本项目只接受投标人加密并递交至“政府采购云平台”的投标文件。</w:t>
      </w:r>
    </w:p>
    <w:p>
      <w:pPr>
        <w:spacing w:line="360" w:lineRule="auto"/>
        <w:ind w:firstLine="241" w:firstLineChars="100"/>
        <w:rPr>
          <w:rFonts w:ascii="宋体" w:hAnsi="宋体" w:cs="宋体"/>
          <w:b/>
          <w:color w:val="000000"/>
          <w:sz w:val="24"/>
        </w:rPr>
      </w:pPr>
      <w:r>
        <w:rPr>
          <w:rFonts w:hint="eastAsia" w:ascii="宋体" w:hAnsi="宋体" w:cs="宋体"/>
          <w:b/>
          <w:color w:val="000000"/>
          <w:sz w:val="24"/>
        </w:rPr>
        <w:t>七、投标截止时间及开标时间：</w:t>
      </w:r>
      <w:r>
        <w:rPr>
          <w:rFonts w:hint="eastAsia" w:ascii="宋体" w:hAnsi="宋体" w:cs="宋体"/>
          <w:b/>
          <w:color w:val="FF0000"/>
          <w:sz w:val="24"/>
        </w:rPr>
        <w:t>2021年10月13日10:00（北京时间）</w:t>
      </w:r>
      <w:r>
        <w:rPr>
          <w:rFonts w:hint="eastAsia" w:ascii="宋体" w:hAnsi="宋体" w:cs="宋体"/>
          <w:b/>
          <w:color w:val="000000"/>
          <w:sz w:val="24"/>
        </w:rPr>
        <w:t>。</w:t>
      </w:r>
    </w:p>
    <w:p>
      <w:pPr>
        <w:spacing w:line="360" w:lineRule="auto"/>
        <w:ind w:firstLine="241" w:firstLineChars="100"/>
        <w:rPr>
          <w:rFonts w:ascii="宋体" w:hAnsi="宋体" w:cs="宋体"/>
          <w:b/>
          <w:sz w:val="24"/>
        </w:rPr>
      </w:pPr>
      <w:r>
        <w:rPr>
          <w:rFonts w:hint="eastAsia" w:ascii="宋体" w:hAnsi="宋体" w:cs="宋体"/>
          <w:b/>
          <w:sz w:val="24"/>
        </w:rPr>
        <w:t>八、开标地点：</w:t>
      </w:r>
      <w:r>
        <w:rPr>
          <w:rFonts w:hint="eastAsia" w:ascii="宋体" w:hAnsi="宋体" w:cs="宋体"/>
          <w:sz w:val="24"/>
        </w:rPr>
        <w:t>本项目为电子化开标，地点为政府采购云平台(https://www.zcygov.cn)。</w:t>
      </w:r>
    </w:p>
    <w:p>
      <w:pPr>
        <w:spacing w:line="360" w:lineRule="auto"/>
        <w:ind w:firstLine="241" w:firstLineChars="100"/>
        <w:rPr>
          <w:rFonts w:ascii="宋体" w:hAnsi="宋体" w:cs="宋体"/>
          <w:b/>
          <w:color w:val="FF0000"/>
          <w:sz w:val="24"/>
        </w:rPr>
      </w:pPr>
      <w:r>
        <w:rPr>
          <w:rFonts w:hint="eastAsia" w:ascii="宋体" w:hAnsi="宋体" w:cs="宋体"/>
          <w:b/>
          <w:sz w:val="24"/>
        </w:rPr>
        <w:t>九、</w:t>
      </w:r>
      <w:r>
        <w:rPr>
          <w:rFonts w:hint="eastAsia" w:ascii="宋体" w:hAnsi="宋体" w:cs="宋体"/>
          <w:b/>
          <w:bCs/>
          <w:sz w:val="24"/>
        </w:rPr>
        <w:t>本次招标公告在</w:t>
      </w:r>
      <w:r>
        <w:rPr>
          <w:rFonts w:hint="eastAsia" w:ascii="宋体" w:hAnsi="宋体" w:cs="宋体"/>
          <w:b/>
          <w:bCs/>
          <w:color w:val="000000"/>
          <w:sz w:val="24"/>
        </w:rPr>
        <w:t>四川政府采购网（</w:t>
      </w:r>
      <w:r>
        <w:fldChar w:fldCharType="begin"/>
      </w:r>
      <w:r>
        <w:instrText xml:space="preserve"> HYPERLINK "http://www.ccgp-sichuan.gov.cn）/" </w:instrText>
      </w:r>
      <w:r>
        <w:fldChar w:fldCharType="separate"/>
      </w:r>
      <w:r>
        <w:rPr>
          <w:rStyle w:val="35"/>
          <w:rFonts w:ascii="宋体" w:hAnsi="宋体" w:cs="宋体"/>
          <w:b/>
          <w:bCs/>
          <w:color w:val="000000"/>
          <w:sz w:val="24"/>
          <w:u w:val="none"/>
        </w:rPr>
        <w:t>www.ccgp-sichuan.gov.cn</w:t>
      </w:r>
      <w:r>
        <w:rPr>
          <w:rStyle w:val="35"/>
          <w:rFonts w:hint="eastAsia" w:ascii="宋体" w:hAnsi="宋体" w:cs="宋体"/>
          <w:b/>
          <w:bCs/>
          <w:color w:val="000000"/>
          <w:sz w:val="24"/>
          <w:u w:val="none"/>
        </w:rPr>
        <w:t>）</w:t>
      </w:r>
      <w:r>
        <w:rPr>
          <w:rStyle w:val="35"/>
          <w:rFonts w:hint="eastAsia" w:ascii="宋体" w:hAnsi="宋体" w:cs="宋体"/>
          <w:b/>
          <w:bCs/>
          <w:color w:val="000000"/>
          <w:sz w:val="24"/>
          <w:u w:val="none"/>
        </w:rPr>
        <w:fldChar w:fldCharType="end"/>
      </w:r>
      <w:r>
        <w:rPr>
          <w:rFonts w:hint="eastAsia" w:ascii="宋体" w:hAnsi="宋体" w:cs="宋体"/>
          <w:b/>
          <w:bCs/>
          <w:color w:val="000000"/>
          <w:sz w:val="24"/>
        </w:rPr>
        <w:t>上发布。</w:t>
      </w:r>
    </w:p>
    <w:p>
      <w:pPr>
        <w:spacing w:line="440" w:lineRule="exact"/>
        <w:ind w:firstLine="241" w:firstLineChars="100"/>
        <w:jc w:val="left"/>
        <w:rPr>
          <w:rFonts w:ascii="宋体" w:hAnsi="宋体" w:cs="宋体"/>
          <w:b/>
          <w:bCs/>
          <w:color w:val="000000"/>
          <w:sz w:val="24"/>
        </w:rPr>
      </w:pPr>
      <w:r>
        <w:rPr>
          <w:rFonts w:hint="eastAsia" w:ascii="宋体" w:hAnsi="宋体" w:cs="宋体"/>
          <w:b/>
          <w:bCs/>
          <w:color w:val="000000"/>
          <w:sz w:val="24"/>
        </w:rPr>
        <w:t>十、公告期限：本项目招标公告期限为5个工作日，自发布公告之日起算。</w:t>
      </w:r>
    </w:p>
    <w:p>
      <w:pPr>
        <w:spacing w:line="360" w:lineRule="auto"/>
        <w:ind w:firstLine="241" w:firstLineChars="100"/>
        <w:rPr>
          <w:rFonts w:ascii="宋体" w:hAnsi="宋体" w:cs="宋体"/>
          <w:b/>
          <w:color w:val="000000"/>
          <w:sz w:val="24"/>
        </w:rPr>
      </w:pPr>
      <w:r>
        <w:rPr>
          <w:rFonts w:hint="eastAsia" w:ascii="宋体" w:hAnsi="宋体" w:cs="宋体"/>
          <w:b/>
          <w:color w:val="000000"/>
          <w:sz w:val="24"/>
        </w:rPr>
        <w:t>十一、联系方式</w:t>
      </w:r>
    </w:p>
    <w:p>
      <w:pPr>
        <w:topLinePunct/>
        <w:spacing w:line="440" w:lineRule="exact"/>
        <w:ind w:firstLine="482" w:firstLineChars="200"/>
        <w:rPr>
          <w:rFonts w:ascii="宋体" w:hAnsi="宋体"/>
          <w:b/>
          <w:sz w:val="24"/>
        </w:rPr>
      </w:pPr>
      <w:r>
        <w:rPr>
          <w:rFonts w:hint="eastAsia" w:ascii="宋体" w:hAnsi="宋体"/>
          <w:b/>
          <w:sz w:val="24"/>
        </w:rPr>
        <w:t>采 购</w:t>
      </w:r>
      <w:r>
        <w:rPr>
          <w:rFonts w:ascii="宋体" w:hAnsi="宋体"/>
          <w:b/>
          <w:sz w:val="24"/>
        </w:rPr>
        <w:t xml:space="preserve"> 人：</w:t>
      </w:r>
      <w:r>
        <w:rPr>
          <w:rFonts w:hint="eastAsia" w:ascii="宋体" w:hAnsi="宋体"/>
          <w:b/>
          <w:sz w:val="24"/>
        </w:rPr>
        <w:t>成都市妇女儿童中心医院</w:t>
      </w:r>
    </w:p>
    <w:p>
      <w:pPr>
        <w:topLinePunct/>
        <w:spacing w:line="360" w:lineRule="auto"/>
        <w:ind w:firstLine="480" w:firstLineChars="200"/>
        <w:rPr>
          <w:rFonts w:ascii="宋体" w:hAnsi="宋体" w:cs="宋体"/>
          <w:sz w:val="24"/>
        </w:rPr>
      </w:pPr>
      <w:r>
        <w:rPr>
          <w:rFonts w:hint="eastAsia" w:ascii="宋体" w:hAnsi="宋体" w:cs="宋体"/>
          <w:sz w:val="24"/>
        </w:rPr>
        <w:t>地址：成都市西三环外日月大道1617号</w:t>
      </w:r>
    </w:p>
    <w:p>
      <w:pPr>
        <w:topLinePunct/>
        <w:spacing w:line="360" w:lineRule="auto"/>
        <w:ind w:firstLine="480" w:firstLineChars="200"/>
        <w:rPr>
          <w:rFonts w:ascii="宋体" w:hAnsi="宋体" w:cs="宋体"/>
          <w:sz w:val="24"/>
        </w:rPr>
      </w:pPr>
      <w:r>
        <w:rPr>
          <w:rFonts w:hint="eastAsia" w:ascii="宋体" w:hAnsi="宋体" w:cs="宋体"/>
          <w:sz w:val="24"/>
        </w:rPr>
        <w:t>联系人：刘老师</w:t>
      </w:r>
    </w:p>
    <w:p>
      <w:pPr>
        <w:topLinePunct/>
        <w:spacing w:line="360" w:lineRule="auto"/>
        <w:ind w:firstLine="480" w:firstLineChars="200"/>
        <w:rPr>
          <w:rFonts w:ascii="宋体" w:hAnsi="宋体" w:cs="宋体"/>
          <w:sz w:val="24"/>
          <w:u w:val="single"/>
        </w:rPr>
      </w:pPr>
      <w:r>
        <w:rPr>
          <w:rFonts w:hint="eastAsia" w:ascii="宋体" w:hAnsi="宋体" w:cs="宋体"/>
          <w:sz w:val="24"/>
        </w:rPr>
        <w:t>联系电话：028-61866000/6704</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 xml:space="preserve">采购代理机构：中航技国际经贸发展有限公司 </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通讯地址：成都市高新区益州大道北段777号中航国际交流中心A座1508 </w:t>
      </w:r>
    </w:p>
    <w:p>
      <w:pPr>
        <w:spacing w:line="360" w:lineRule="auto"/>
        <w:ind w:firstLine="480" w:firstLineChars="200"/>
        <w:rPr>
          <w:rFonts w:ascii="宋体" w:hAnsi="宋体" w:cs="宋体"/>
          <w:color w:val="000000"/>
          <w:sz w:val="24"/>
        </w:rPr>
      </w:pPr>
      <w:r>
        <w:rPr>
          <w:rFonts w:hint="eastAsia" w:ascii="宋体" w:hAnsi="宋体" w:cs="宋体"/>
          <w:color w:val="000000"/>
          <w:sz w:val="24"/>
        </w:rPr>
        <w:t>邮编：610041</w:t>
      </w:r>
    </w:p>
    <w:p>
      <w:pPr>
        <w:spacing w:line="360" w:lineRule="auto"/>
        <w:ind w:firstLine="480" w:firstLineChars="200"/>
        <w:rPr>
          <w:rFonts w:ascii="宋体" w:hAnsi="宋体" w:cs="宋体"/>
          <w:color w:val="000000"/>
          <w:sz w:val="24"/>
        </w:rPr>
      </w:pPr>
      <w:r>
        <w:rPr>
          <w:rFonts w:hint="eastAsia" w:ascii="宋体" w:hAnsi="宋体" w:cs="宋体"/>
          <w:color w:val="000000"/>
          <w:sz w:val="24"/>
        </w:rPr>
        <w:t>联系人：万新、孙蕾</w:t>
      </w:r>
    </w:p>
    <w:p>
      <w:pPr>
        <w:spacing w:line="360" w:lineRule="auto"/>
        <w:ind w:firstLine="480" w:firstLineChars="200"/>
        <w:rPr>
          <w:rFonts w:ascii="宋体" w:hAnsi="宋体" w:cs="宋体"/>
          <w:color w:val="000000"/>
          <w:sz w:val="24"/>
        </w:rPr>
      </w:pPr>
      <w:r>
        <w:rPr>
          <w:rFonts w:hint="eastAsia" w:ascii="宋体" w:hAnsi="宋体" w:cs="宋体"/>
          <w:color w:val="000000"/>
          <w:sz w:val="24"/>
        </w:rPr>
        <w:t>联系电话：028-86266522/86266520/86246522/83199376-607、608</w:t>
      </w:r>
    </w:p>
    <w:p>
      <w:pPr>
        <w:spacing w:line="360" w:lineRule="auto"/>
        <w:ind w:firstLine="480" w:firstLineChars="200"/>
        <w:rPr>
          <w:rFonts w:ascii="宋体" w:hAnsi="宋体" w:cs="宋体"/>
          <w:color w:val="000000"/>
          <w:sz w:val="24"/>
        </w:rPr>
      </w:pPr>
      <w:r>
        <w:rPr>
          <w:rFonts w:hint="eastAsia" w:ascii="宋体" w:hAnsi="宋体" w:cs="宋体"/>
          <w:color w:val="000000"/>
          <w:sz w:val="24"/>
        </w:rPr>
        <w:t>传真：028-86266722</w:t>
      </w:r>
      <w:r>
        <w:rPr>
          <w:rFonts w:hint="eastAsia" w:ascii="宋体" w:hAnsi="宋体" w:cs="宋体"/>
          <w:color w:val="000000"/>
          <w:sz w:val="24"/>
        </w:rPr>
        <w:tab/>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39"/>
        <w:spacing w:line="480" w:lineRule="auto"/>
        <w:rPr>
          <w:rFonts w:ascii="宋体" w:hAnsi="宋体"/>
          <w:color w:val="000000"/>
          <w:sz w:val="36"/>
          <w:szCs w:val="36"/>
        </w:rPr>
      </w:pPr>
      <w:bookmarkStart w:id="5" w:name="_Toc69141773"/>
      <w:bookmarkStart w:id="6" w:name="_Toc6308648"/>
      <w:bookmarkStart w:id="7" w:name="_Toc6308476"/>
      <w:bookmarkStart w:id="8" w:name="_Toc217446031"/>
      <w:bookmarkStart w:id="9" w:name="_Toc213397009"/>
      <w:bookmarkStart w:id="10" w:name="_Toc213496267"/>
      <w:bookmarkStart w:id="11" w:name="_Toc213396945"/>
      <w:bookmarkStart w:id="12" w:name="_Toc213396759"/>
      <w:r>
        <w:rPr>
          <w:rFonts w:hint="eastAsia" w:ascii="宋体" w:hAnsi="宋体"/>
          <w:color w:val="000000"/>
          <w:sz w:val="36"/>
          <w:szCs w:val="36"/>
        </w:rPr>
        <w:t>第二章  投标人须知</w:t>
      </w:r>
      <w:bookmarkEnd w:id="5"/>
      <w:bookmarkEnd w:id="6"/>
      <w:bookmarkEnd w:id="7"/>
    </w:p>
    <w:bookmarkEnd w:id="8"/>
    <w:bookmarkEnd w:id="9"/>
    <w:bookmarkEnd w:id="10"/>
    <w:bookmarkEnd w:id="11"/>
    <w:bookmarkEnd w:id="12"/>
    <w:p>
      <w:pPr>
        <w:pStyle w:val="4"/>
        <w:spacing w:before="120" w:after="120" w:line="240" w:lineRule="atLeast"/>
        <w:jc w:val="center"/>
        <w:rPr>
          <w:rFonts w:ascii="宋体" w:hAnsi="宋体" w:eastAsia="宋体"/>
          <w:color w:val="000000"/>
        </w:rPr>
      </w:pPr>
      <w:bookmarkStart w:id="13" w:name="_Toc6308477"/>
      <w:bookmarkStart w:id="14" w:name="_Toc6308649"/>
      <w:bookmarkStart w:id="15" w:name="_Toc69141774"/>
      <w:r>
        <w:rPr>
          <w:rFonts w:hint="eastAsia" w:ascii="宋体" w:hAnsi="宋体" w:eastAsia="宋体"/>
          <w:color w:val="000000"/>
        </w:rPr>
        <w:t>一、投标人须知前附表</w:t>
      </w:r>
      <w:bookmarkEnd w:id="13"/>
      <w:bookmarkEnd w:id="14"/>
      <w:bookmarkEnd w:id="15"/>
    </w:p>
    <w:tbl>
      <w:tblPr>
        <w:tblStyle w:val="30"/>
        <w:tblW w:w="6075"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0" w:type="dxa"/>
          <w:bottom w:w="0" w:type="dxa"/>
          <w:right w:w="0" w:type="dxa"/>
        </w:tblCellMar>
      </w:tblPr>
      <w:tblGrid>
        <w:gridCol w:w="883"/>
        <w:gridCol w:w="2164"/>
        <w:gridCol w:w="79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pStyle w:val="42"/>
              <w:spacing w:line="360" w:lineRule="auto"/>
              <w:ind w:left="9"/>
              <w:jc w:val="center"/>
              <w:rPr>
                <w:rFonts w:cs="Times New Roman"/>
                <w:b/>
                <w:color w:val="000000"/>
                <w:kern w:val="2"/>
              </w:rPr>
            </w:pPr>
            <w:r>
              <w:rPr>
                <w:rFonts w:hint="eastAsia" w:cs="Times New Roman"/>
                <w:b/>
                <w:color w:val="000000"/>
                <w:kern w:val="2"/>
              </w:rPr>
              <w:t>序号</w:t>
            </w:r>
          </w:p>
        </w:tc>
        <w:tc>
          <w:tcPr>
            <w:tcW w:w="987" w:type="pct"/>
            <w:vAlign w:val="center"/>
          </w:tcPr>
          <w:p>
            <w:pPr>
              <w:pStyle w:val="42"/>
              <w:spacing w:line="360" w:lineRule="auto"/>
              <w:ind w:left="38"/>
              <w:jc w:val="center"/>
              <w:rPr>
                <w:rFonts w:cs="Times New Roman"/>
                <w:b/>
                <w:color w:val="000000"/>
                <w:kern w:val="2"/>
              </w:rPr>
            </w:pPr>
            <w:r>
              <w:rPr>
                <w:rFonts w:hint="eastAsia" w:cs="Times New Roman"/>
                <w:b/>
                <w:color w:val="000000"/>
                <w:kern w:val="2"/>
              </w:rPr>
              <w:t>条款名称</w:t>
            </w:r>
          </w:p>
        </w:tc>
        <w:tc>
          <w:tcPr>
            <w:tcW w:w="3609" w:type="pct"/>
            <w:vAlign w:val="center"/>
          </w:tcPr>
          <w:p>
            <w:pPr>
              <w:pStyle w:val="42"/>
              <w:spacing w:line="360" w:lineRule="auto"/>
              <w:jc w:val="center"/>
              <w:rPr>
                <w:rFonts w:cs="Times New Roman"/>
                <w:b/>
                <w:color w:val="000000"/>
                <w:kern w:val="2"/>
              </w:rPr>
            </w:pPr>
            <w:r>
              <w:rPr>
                <w:rFonts w:hint="eastAsia" w:cs="Times New Roman"/>
                <w:b/>
                <w:color w:val="000000"/>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987" w:type="pct"/>
            <w:vAlign w:val="center"/>
          </w:tcPr>
          <w:p>
            <w:pPr>
              <w:pStyle w:val="42"/>
              <w:spacing w:line="360" w:lineRule="auto"/>
              <w:ind w:left="38"/>
              <w:jc w:val="center"/>
              <w:rPr>
                <w:rFonts w:cs="Times New Roman"/>
                <w:b/>
                <w:color w:val="000000"/>
                <w:kern w:val="2"/>
              </w:rPr>
            </w:pPr>
            <w:r>
              <w:rPr>
                <w:rFonts w:hint="eastAsia" w:cs="Times New Roman"/>
                <w:b/>
                <w:color w:val="000000"/>
                <w:kern w:val="2"/>
              </w:rPr>
              <w:t>采购预算及最高限价</w:t>
            </w:r>
          </w:p>
          <w:p>
            <w:pPr>
              <w:pStyle w:val="42"/>
              <w:spacing w:line="360" w:lineRule="auto"/>
              <w:ind w:left="38"/>
              <w:jc w:val="center"/>
              <w:rPr>
                <w:rFonts w:cs="Times New Roman"/>
                <w:b/>
                <w:color w:val="000000"/>
                <w:kern w:val="2"/>
              </w:rPr>
            </w:pPr>
            <w:r>
              <w:rPr>
                <w:rFonts w:hint="eastAsia"/>
                <w:b/>
                <w:bCs/>
                <w:color w:val="000000"/>
              </w:rPr>
              <w:t>（实质性要求）</w:t>
            </w:r>
          </w:p>
        </w:tc>
        <w:tc>
          <w:tcPr>
            <w:tcW w:w="3609" w:type="pct"/>
          </w:tcPr>
          <w:p>
            <w:pPr>
              <w:spacing w:line="360" w:lineRule="auto"/>
              <w:ind w:right="31" w:rightChars="15" w:firstLine="240" w:firstLineChars="100"/>
              <w:rPr>
                <w:rFonts w:ascii="宋体" w:hAnsi="宋体"/>
                <w:bCs/>
                <w:sz w:val="24"/>
              </w:rPr>
            </w:pPr>
            <w:r>
              <w:rPr>
                <w:rFonts w:hint="eastAsia" w:ascii="宋体" w:hAnsi="宋体"/>
                <w:bCs/>
                <w:sz w:val="24"/>
              </w:rPr>
              <w:t>本项目采购预算：155</w:t>
            </w:r>
            <w:r>
              <w:rPr>
                <w:rFonts w:hint="eastAsia" w:ascii="宋体" w:hAnsi="宋体"/>
                <w:sz w:val="24"/>
                <w:lang w:val="zh-CN"/>
              </w:rPr>
              <w:t>万</w:t>
            </w:r>
            <w:r>
              <w:rPr>
                <w:rFonts w:hint="eastAsia" w:ascii="宋体" w:hAnsi="宋体"/>
                <w:sz w:val="24"/>
              </w:rPr>
              <w:t>元；</w:t>
            </w:r>
          </w:p>
          <w:p>
            <w:pPr>
              <w:spacing w:line="360" w:lineRule="auto"/>
              <w:ind w:right="31" w:rightChars="15" w:firstLine="240" w:firstLineChars="100"/>
              <w:rPr>
                <w:rFonts w:ascii="宋体" w:hAnsi="宋体"/>
                <w:sz w:val="24"/>
              </w:rPr>
            </w:pPr>
            <w:r>
              <w:rPr>
                <w:rFonts w:hint="eastAsia" w:ascii="宋体" w:hAnsi="宋体"/>
                <w:bCs/>
                <w:sz w:val="24"/>
              </w:rPr>
              <w:t>本项目最高限价：01包：37万元；02包：118</w:t>
            </w:r>
            <w:r>
              <w:rPr>
                <w:rFonts w:hint="eastAsia" w:ascii="宋体" w:hAnsi="宋体"/>
                <w:sz w:val="24"/>
                <w:lang w:val="zh-CN"/>
              </w:rPr>
              <w:t>万</w:t>
            </w:r>
            <w:r>
              <w:rPr>
                <w:rFonts w:hint="eastAsia" w:ascii="宋体" w:hAnsi="宋体"/>
                <w:sz w:val="24"/>
              </w:rPr>
              <w:t>元；</w:t>
            </w:r>
          </w:p>
          <w:p>
            <w:pPr>
              <w:spacing w:line="360" w:lineRule="auto"/>
              <w:ind w:right="31" w:rightChars="15" w:firstLine="240" w:firstLineChars="100"/>
              <w:rPr>
                <w:rFonts w:ascii="宋体" w:hAnsi="宋体"/>
                <w:color w:val="000000"/>
                <w:sz w:val="24"/>
              </w:rPr>
            </w:pPr>
            <w:r>
              <w:rPr>
                <w:rFonts w:hint="eastAsia" w:ascii="宋体" w:hAnsi="宋体"/>
                <w:color w:val="000000"/>
                <w:sz w:val="24"/>
              </w:rPr>
              <w:t>说明：报价超过采购预算</w:t>
            </w:r>
            <w:r>
              <w:rPr>
                <w:rFonts w:ascii="宋体" w:hAnsi="宋体"/>
                <w:color w:val="000000"/>
                <w:sz w:val="24"/>
              </w:rPr>
              <w:t>或</w:t>
            </w:r>
            <w:r>
              <w:rPr>
                <w:rFonts w:hint="eastAsia" w:ascii="宋体" w:hAnsi="宋体"/>
                <w:color w:val="000000"/>
                <w:sz w:val="24"/>
              </w:rPr>
              <w:t>最高限价或分项限价的，其投标将被拒绝。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2</w:t>
            </w:r>
          </w:p>
        </w:tc>
        <w:tc>
          <w:tcPr>
            <w:tcW w:w="987" w:type="pct"/>
            <w:vAlign w:val="center"/>
          </w:tcPr>
          <w:p>
            <w:pPr>
              <w:pStyle w:val="42"/>
              <w:spacing w:line="360" w:lineRule="auto"/>
              <w:ind w:left="38"/>
              <w:jc w:val="center"/>
              <w:rPr>
                <w:b/>
                <w:bCs/>
                <w:color w:val="000000"/>
              </w:rPr>
            </w:pPr>
            <w:r>
              <w:rPr>
                <w:rFonts w:hint="eastAsia"/>
                <w:b/>
                <w:bCs/>
                <w:color w:val="000000"/>
              </w:rPr>
              <w:t>投标货币</w:t>
            </w:r>
          </w:p>
          <w:p>
            <w:pPr>
              <w:pStyle w:val="42"/>
              <w:spacing w:line="360" w:lineRule="auto"/>
              <w:ind w:left="38"/>
              <w:jc w:val="center"/>
              <w:rPr>
                <w:b/>
                <w:bCs/>
                <w:color w:val="000000"/>
              </w:rPr>
            </w:pPr>
            <w:r>
              <w:rPr>
                <w:rFonts w:hint="eastAsia"/>
                <w:b/>
                <w:bCs/>
                <w:color w:val="000000"/>
              </w:rPr>
              <w:t>（实质性要求）</w:t>
            </w:r>
          </w:p>
        </w:tc>
        <w:tc>
          <w:tcPr>
            <w:tcW w:w="3609" w:type="pct"/>
            <w:vAlign w:val="center"/>
          </w:tcPr>
          <w:p>
            <w:pPr>
              <w:pStyle w:val="42"/>
              <w:spacing w:line="360" w:lineRule="auto"/>
              <w:ind w:firstLine="240" w:firstLineChars="100"/>
              <w:rPr>
                <w:color w:val="000000"/>
              </w:rPr>
            </w:pPr>
            <w:r>
              <w:rPr>
                <w:rFonts w:hint="eastAsia"/>
                <w:color w:val="000000"/>
              </w:rPr>
              <w:t>本项目采用人民币报价。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987" w:type="pct"/>
            <w:vAlign w:val="center"/>
          </w:tcPr>
          <w:p>
            <w:pPr>
              <w:pStyle w:val="42"/>
              <w:spacing w:line="360" w:lineRule="auto"/>
              <w:ind w:left="38"/>
              <w:jc w:val="center"/>
              <w:rPr>
                <w:b/>
                <w:bCs/>
                <w:color w:val="000000"/>
              </w:rPr>
            </w:pPr>
            <w:r>
              <w:rPr>
                <w:rFonts w:hint="eastAsia"/>
                <w:b/>
                <w:bCs/>
                <w:color w:val="000000"/>
              </w:rPr>
              <w:t>评标办法</w:t>
            </w:r>
          </w:p>
        </w:tc>
        <w:tc>
          <w:tcPr>
            <w:tcW w:w="3609" w:type="pct"/>
            <w:vAlign w:val="center"/>
          </w:tcPr>
          <w:p>
            <w:pPr>
              <w:pStyle w:val="42"/>
              <w:spacing w:line="360" w:lineRule="auto"/>
              <w:ind w:firstLine="240" w:firstLineChars="100"/>
              <w:rPr>
                <w:color w:val="000000"/>
              </w:rPr>
            </w:pPr>
            <w:r>
              <w:rPr>
                <w:rFonts w:hint="eastAsia"/>
                <w:color w:val="000000"/>
              </w:rPr>
              <w:t>综合评分法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987" w:type="pct"/>
            <w:vAlign w:val="center"/>
          </w:tcPr>
          <w:p>
            <w:pPr>
              <w:pStyle w:val="42"/>
              <w:spacing w:line="360" w:lineRule="auto"/>
              <w:ind w:left="38"/>
              <w:jc w:val="center"/>
              <w:rPr>
                <w:b/>
                <w:bCs/>
                <w:color w:val="000000"/>
              </w:rPr>
            </w:pPr>
            <w:r>
              <w:rPr>
                <w:rFonts w:hint="eastAsia"/>
                <w:b/>
                <w:bCs/>
                <w:color w:val="000000"/>
              </w:rPr>
              <w:t>不同投标人提供同一品牌产品，或者在非单一产品采购项目中提供的核心产品品牌相同时的处理规则（实质性要求）</w:t>
            </w:r>
          </w:p>
        </w:tc>
        <w:tc>
          <w:tcPr>
            <w:tcW w:w="3609" w:type="pct"/>
            <w:vAlign w:val="center"/>
          </w:tcPr>
          <w:p>
            <w:pPr>
              <w:pStyle w:val="42"/>
              <w:spacing w:line="360" w:lineRule="auto"/>
              <w:ind w:firstLine="240" w:firstLineChars="100"/>
              <w:rPr>
                <w:color w:val="000000"/>
              </w:rPr>
            </w:pPr>
            <w:r>
              <w:rPr>
                <w:rFonts w:hint="eastAsia"/>
                <w:color w:val="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spacing w:line="360" w:lineRule="auto"/>
              <w:ind w:firstLine="240" w:firstLineChars="100"/>
              <w:rPr>
                <w:color w:val="000000"/>
              </w:rPr>
            </w:pPr>
            <w:r>
              <w:rPr>
                <w:rFonts w:hint="eastAsia"/>
                <w:color w:val="000000"/>
              </w:rPr>
              <w:t>非单一产品采购项目，多家投标人提供的核心产品品牌相同的，按前款规定处理。</w:t>
            </w:r>
          </w:p>
          <w:p>
            <w:pPr>
              <w:pStyle w:val="42"/>
              <w:spacing w:line="360" w:lineRule="auto"/>
              <w:ind w:firstLine="240" w:firstLineChars="100"/>
              <w:rPr>
                <w:color w:val="000000"/>
              </w:rPr>
            </w:pPr>
            <w:r>
              <w:rPr>
                <w:rFonts w:hint="eastAsia"/>
                <w:color w:val="000000"/>
              </w:rPr>
              <w:t>本项目核心产品：02包彩色多普勒超声诊断仪（2）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5</w:t>
            </w:r>
          </w:p>
        </w:tc>
        <w:tc>
          <w:tcPr>
            <w:tcW w:w="987" w:type="pct"/>
            <w:vAlign w:val="center"/>
          </w:tcPr>
          <w:p>
            <w:pPr>
              <w:pStyle w:val="42"/>
              <w:spacing w:line="360" w:lineRule="auto"/>
              <w:ind w:left="38"/>
              <w:jc w:val="center"/>
              <w:rPr>
                <w:b/>
                <w:bCs/>
                <w:color w:val="000000"/>
              </w:rPr>
            </w:pPr>
            <w:r>
              <w:rPr>
                <w:rFonts w:hint="eastAsia" w:cs="Times New Roman"/>
                <w:b/>
                <w:color w:val="000000"/>
                <w:kern w:val="2"/>
              </w:rPr>
              <w:t>是否</w:t>
            </w:r>
            <w:r>
              <w:rPr>
                <w:rFonts w:cs="Times New Roman"/>
                <w:b/>
                <w:color w:val="000000"/>
                <w:kern w:val="2"/>
              </w:rPr>
              <w:t>允许</w:t>
            </w:r>
            <w:r>
              <w:rPr>
                <w:rFonts w:hint="eastAsia" w:cs="Times New Roman"/>
                <w:b/>
                <w:color w:val="000000"/>
                <w:kern w:val="2"/>
              </w:rPr>
              <w:t>合同分包</w:t>
            </w:r>
            <w:r>
              <w:rPr>
                <w:rFonts w:hint="eastAsia"/>
                <w:b/>
                <w:bCs/>
                <w:color w:val="000000"/>
              </w:rPr>
              <w:t>（实质性要求）</w:t>
            </w:r>
          </w:p>
        </w:tc>
        <w:tc>
          <w:tcPr>
            <w:tcW w:w="3609" w:type="pct"/>
            <w:vAlign w:val="center"/>
          </w:tcPr>
          <w:p>
            <w:pPr>
              <w:pStyle w:val="42"/>
              <w:spacing w:line="360" w:lineRule="auto"/>
              <w:ind w:firstLine="240" w:firstLineChars="100"/>
              <w:rPr>
                <w:color w:val="000000"/>
              </w:rPr>
            </w:pPr>
            <w:r>
              <w:rPr>
                <w:rFonts w:hint="eastAsia"/>
                <w:color w:val="000000"/>
              </w:rPr>
              <w:t xml:space="preserve">□允许   </w:t>
            </w:r>
            <w:r>
              <w:rPr>
                <w:rFonts w:hint="eastAsia" w:eastAsia="Segoe UI Emoji"/>
                <w:color w:val="000000"/>
              </w:rPr>
              <w:t>☑</w:t>
            </w:r>
            <w:r>
              <w:rPr>
                <w:rFonts w:hint="eastAsia"/>
                <w:color w:val="000000"/>
              </w:rPr>
              <w:t>不</w:t>
            </w:r>
            <w:r>
              <w:rPr>
                <w:color w:val="000000"/>
              </w:rPr>
              <w:t>允许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ascii="宋体" w:hAnsi="宋体"/>
                <w:color w:val="000000"/>
                <w:sz w:val="24"/>
              </w:rPr>
              <w:t>6</w:t>
            </w:r>
          </w:p>
        </w:tc>
        <w:tc>
          <w:tcPr>
            <w:tcW w:w="987" w:type="pct"/>
            <w:vAlign w:val="center"/>
          </w:tcPr>
          <w:p>
            <w:pPr>
              <w:pStyle w:val="42"/>
              <w:spacing w:line="360" w:lineRule="auto"/>
              <w:ind w:left="38"/>
              <w:jc w:val="center"/>
              <w:rPr>
                <w:b/>
                <w:bCs/>
                <w:color w:val="000000"/>
              </w:rPr>
            </w:pPr>
            <w:r>
              <w:rPr>
                <w:rFonts w:hint="eastAsia"/>
                <w:b/>
                <w:bCs/>
                <w:color w:val="000000"/>
              </w:rPr>
              <w:t>是否需要</w:t>
            </w:r>
            <w:r>
              <w:rPr>
                <w:b/>
                <w:bCs/>
                <w:color w:val="000000"/>
              </w:rPr>
              <w:t>现场踏勘</w:t>
            </w:r>
          </w:p>
        </w:tc>
        <w:tc>
          <w:tcPr>
            <w:tcW w:w="3609" w:type="pct"/>
            <w:vAlign w:val="center"/>
          </w:tcPr>
          <w:p>
            <w:pPr>
              <w:pStyle w:val="42"/>
              <w:spacing w:line="360" w:lineRule="auto"/>
              <w:ind w:firstLine="240" w:firstLineChars="100"/>
              <w:rPr>
                <w:color w:val="000000"/>
              </w:rPr>
            </w:pPr>
            <w:r>
              <w:rPr>
                <w:rFonts w:hint="eastAsia"/>
                <w:color w:val="000000"/>
              </w:rPr>
              <w:t>本项目</w:t>
            </w:r>
            <w:r>
              <w:rPr>
                <w:color w:val="000000"/>
              </w:rPr>
              <w:t>不组织现场踏勘。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ascii="宋体" w:hAnsi="宋体"/>
                <w:color w:val="000000"/>
                <w:sz w:val="24"/>
              </w:rPr>
              <w:t>7</w:t>
            </w:r>
          </w:p>
        </w:tc>
        <w:tc>
          <w:tcPr>
            <w:tcW w:w="987" w:type="pct"/>
            <w:vAlign w:val="center"/>
          </w:tcPr>
          <w:p>
            <w:pPr>
              <w:pStyle w:val="42"/>
              <w:spacing w:line="360" w:lineRule="auto"/>
              <w:ind w:left="38"/>
              <w:jc w:val="center"/>
              <w:rPr>
                <w:b/>
                <w:bCs/>
                <w:color w:val="000000"/>
              </w:rPr>
            </w:pPr>
            <w:r>
              <w:rPr>
                <w:rFonts w:hint="eastAsia"/>
                <w:b/>
                <w:bCs/>
                <w:color w:val="000000"/>
              </w:rPr>
              <w:t>投标有效期</w:t>
            </w:r>
          </w:p>
          <w:p>
            <w:pPr>
              <w:pStyle w:val="42"/>
              <w:spacing w:line="360" w:lineRule="auto"/>
              <w:ind w:left="38"/>
              <w:jc w:val="center"/>
              <w:rPr>
                <w:b/>
                <w:bCs/>
                <w:color w:val="000000"/>
              </w:rPr>
            </w:pPr>
            <w:r>
              <w:rPr>
                <w:rFonts w:hint="eastAsia"/>
                <w:b/>
                <w:bCs/>
                <w:color w:val="000000"/>
              </w:rPr>
              <w:t>（实质性要求）</w:t>
            </w:r>
          </w:p>
        </w:tc>
        <w:tc>
          <w:tcPr>
            <w:tcW w:w="3609" w:type="pct"/>
            <w:vAlign w:val="center"/>
          </w:tcPr>
          <w:p>
            <w:pPr>
              <w:pStyle w:val="42"/>
              <w:spacing w:line="360" w:lineRule="auto"/>
              <w:ind w:firstLine="240" w:firstLineChars="100"/>
              <w:rPr>
                <w:color w:val="000000"/>
              </w:rPr>
            </w:pPr>
            <w:r>
              <w:rPr>
                <w:rFonts w:hint="eastAsia"/>
                <w:color w:val="000000"/>
              </w:rPr>
              <w:t>120日历天。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403" w:type="pct"/>
            <w:vAlign w:val="center"/>
          </w:tcPr>
          <w:p>
            <w:pPr>
              <w:spacing w:line="360" w:lineRule="auto"/>
              <w:jc w:val="center"/>
              <w:rPr>
                <w:rFonts w:ascii="宋体" w:hAnsi="宋体"/>
                <w:sz w:val="24"/>
              </w:rPr>
            </w:pPr>
            <w:r>
              <w:rPr>
                <w:rFonts w:hint="eastAsia" w:ascii="宋体" w:hAnsi="宋体"/>
                <w:sz w:val="24"/>
              </w:rPr>
              <w:t>8</w:t>
            </w:r>
          </w:p>
        </w:tc>
        <w:tc>
          <w:tcPr>
            <w:tcW w:w="987" w:type="pct"/>
            <w:vAlign w:val="center"/>
          </w:tcPr>
          <w:p>
            <w:pPr>
              <w:pStyle w:val="42"/>
              <w:spacing w:line="276" w:lineRule="auto"/>
              <w:ind w:left="38"/>
              <w:jc w:val="center"/>
              <w:rPr>
                <w:b/>
                <w:bCs/>
              </w:rPr>
            </w:pPr>
            <w:r>
              <w:rPr>
                <w:rFonts w:hint="eastAsia"/>
                <w:b/>
                <w:bCs/>
              </w:rPr>
              <w:t>投标人</w:t>
            </w:r>
            <w:r>
              <w:rPr>
                <w:b/>
                <w:bCs/>
              </w:rPr>
              <w:t>应提交的</w:t>
            </w:r>
            <w:r>
              <w:rPr>
                <w:rFonts w:hint="eastAsia"/>
                <w:b/>
                <w:bCs/>
              </w:rPr>
              <w:t>文件（实质性</w:t>
            </w:r>
            <w:r>
              <w:rPr>
                <w:b/>
                <w:bCs/>
              </w:rPr>
              <w:t>要求</w:t>
            </w:r>
            <w:r>
              <w:rPr>
                <w:rFonts w:hint="eastAsia"/>
                <w:b/>
                <w:bCs/>
              </w:rPr>
              <w:t>）</w:t>
            </w:r>
          </w:p>
        </w:tc>
        <w:tc>
          <w:tcPr>
            <w:tcW w:w="3609" w:type="pct"/>
            <w:vAlign w:val="center"/>
          </w:tcPr>
          <w:p>
            <w:pPr>
              <w:pStyle w:val="42"/>
              <w:spacing w:line="276" w:lineRule="auto"/>
              <w:ind w:firstLine="240" w:firstLineChars="100"/>
            </w:pPr>
            <w:r>
              <w:rPr>
                <w:rFonts w:hint="eastAsia"/>
              </w:rPr>
              <w:t>①</w:t>
            </w:r>
            <w:r>
              <w:t>资格性响应文件；</w:t>
            </w:r>
          </w:p>
          <w:p>
            <w:pPr>
              <w:pStyle w:val="42"/>
              <w:spacing w:line="276" w:lineRule="auto"/>
              <w:ind w:firstLine="240" w:firstLineChars="100"/>
            </w:pPr>
            <w:r>
              <w:rPr>
                <w:rFonts w:hint="eastAsia"/>
              </w:rPr>
              <w:t>②</w:t>
            </w:r>
            <w:r>
              <w:t>其他响应文件；</w:t>
            </w:r>
          </w:p>
          <w:p>
            <w:pPr>
              <w:pStyle w:val="42"/>
              <w:spacing w:line="276" w:lineRule="auto"/>
              <w:ind w:firstLine="240" w:firstLineChars="100"/>
            </w:pPr>
            <w:r>
              <w:rPr>
                <w:rFonts w:hint="eastAsia"/>
              </w:rPr>
              <w:t>③</w:t>
            </w:r>
            <w:r>
              <w:t>开标一览表</w:t>
            </w:r>
            <w:r>
              <w:rPr>
                <w:rFonts w:hint="eastAsia"/>
              </w:rPr>
              <w:t>（</w:t>
            </w:r>
            <w:r>
              <w:t>单独</w:t>
            </w:r>
            <w:r>
              <w:rPr>
                <w:rFonts w:hint="eastAsia"/>
              </w:rPr>
              <w:t>制作提交）。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ascii="宋体" w:hAnsi="宋体"/>
                <w:color w:val="000000"/>
                <w:sz w:val="24"/>
              </w:rPr>
              <w:t>9</w:t>
            </w:r>
          </w:p>
        </w:tc>
        <w:tc>
          <w:tcPr>
            <w:tcW w:w="987" w:type="pct"/>
            <w:vAlign w:val="center"/>
          </w:tcPr>
          <w:p>
            <w:pPr>
              <w:pStyle w:val="42"/>
              <w:spacing w:line="360" w:lineRule="auto"/>
              <w:ind w:left="96"/>
              <w:jc w:val="center"/>
              <w:rPr>
                <w:b/>
                <w:color w:val="000000"/>
                <w:lang w:val="zh-CN"/>
              </w:rPr>
            </w:pPr>
            <w:r>
              <w:rPr>
                <w:rFonts w:hint="eastAsia"/>
                <w:b/>
                <w:color w:val="000000"/>
                <w:lang w:val="zh-CN"/>
              </w:rPr>
              <w:t>投标保证金</w:t>
            </w:r>
          </w:p>
        </w:tc>
        <w:tc>
          <w:tcPr>
            <w:tcW w:w="3609" w:type="pct"/>
            <w:vAlign w:val="center"/>
          </w:tcPr>
          <w:p>
            <w:pPr>
              <w:pStyle w:val="42"/>
              <w:spacing w:line="360" w:lineRule="auto"/>
              <w:ind w:firstLine="241" w:firstLineChars="100"/>
              <w:jc w:val="both"/>
              <w:rPr>
                <w:b/>
                <w:color w:val="000000"/>
              </w:rPr>
            </w:pPr>
            <w:r>
              <w:rPr>
                <w:rFonts w:hint="eastAsia"/>
                <w:b/>
                <w:color w:val="000000"/>
                <w:lang w:val="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ascii="宋体" w:hAnsi="宋体"/>
                <w:color w:val="000000"/>
                <w:sz w:val="24"/>
              </w:rPr>
              <w:t>10</w:t>
            </w:r>
          </w:p>
        </w:tc>
        <w:tc>
          <w:tcPr>
            <w:tcW w:w="987" w:type="pct"/>
            <w:vAlign w:val="center"/>
          </w:tcPr>
          <w:p>
            <w:pPr>
              <w:pStyle w:val="42"/>
              <w:spacing w:line="360" w:lineRule="auto"/>
              <w:ind w:left="96"/>
              <w:jc w:val="center"/>
              <w:rPr>
                <w:b/>
                <w:bCs/>
                <w:color w:val="000000"/>
              </w:rPr>
            </w:pPr>
            <w:r>
              <w:rPr>
                <w:rFonts w:hint="eastAsia"/>
                <w:b/>
                <w:bCs/>
                <w:color w:val="000000"/>
              </w:rPr>
              <w:t>履约保证金</w:t>
            </w:r>
          </w:p>
          <w:p>
            <w:pPr>
              <w:pStyle w:val="42"/>
              <w:spacing w:line="360" w:lineRule="auto"/>
              <w:ind w:left="96"/>
              <w:jc w:val="center"/>
              <w:rPr>
                <w:b/>
                <w:bCs/>
                <w:color w:val="000000"/>
              </w:rPr>
            </w:pPr>
            <w:r>
              <w:rPr>
                <w:rFonts w:hint="eastAsia"/>
                <w:b/>
                <w:bCs/>
                <w:color w:val="000000"/>
              </w:rPr>
              <w:t>（实质性要求）</w:t>
            </w:r>
          </w:p>
        </w:tc>
        <w:tc>
          <w:tcPr>
            <w:tcW w:w="3609" w:type="pct"/>
            <w:vAlign w:val="center"/>
          </w:tcPr>
          <w:p>
            <w:pPr>
              <w:spacing w:line="360" w:lineRule="auto"/>
              <w:ind w:left="142"/>
              <w:rPr>
                <w:rFonts w:ascii="宋体" w:hAnsi="宋体" w:cs="宋体"/>
                <w:color w:val="000000" w:themeColor="text1"/>
                <w:sz w:val="24"/>
              </w:rPr>
            </w:pPr>
            <w:r>
              <w:rPr>
                <w:rFonts w:hint="eastAsia" w:ascii="宋体" w:hAnsi="宋体" w:cs="宋体"/>
                <w:b/>
                <w:color w:val="000000" w:themeColor="text1"/>
                <w:sz w:val="24"/>
              </w:rPr>
              <w:t>履约保证金缴纳形式</w:t>
            </w:r>
            <w:r>
              <w:rPr>
                <w:rFonts w:hint="eastAsia" w:ascii="宋体" w:hAnsi="宋体" w:cs="宋体"/>
                <w:color w:val="000000" w:themeColor="text1"/>
                <w:sz w:val="24"/>
              </w:rPr>
              <w:t>：以支票、汇票、本票或者金融机构、担保机构出具的保函等非现金形式在合同签订前10天内提交。（包括网银转账、电汇等方式。）</w:t>
            </w:r>
          </w:p>
          <w:p>
            <w:pPr>
              <w:spacing w:line="360" w:lineRule="auto"/>
              <w:ind w:left="142"/>
              <w:rPr>
                <w:rFonts w:ascii="宋体" w:hAnsi="宋体" w:cs="宋体"/>
                <w:b/>
                <w:color w:val="000000" w:themeColor="text1"/>
                <w:sz w:val="24"/>
              </w:rPr>
            </w:pPr>
            <w:r>
              <w:rPr>
                <w:rFonts w:hint="eastAsia" w:ascii="宋体" w:hAnsi="宋体" w:cs="宋体"/>
                <w:b/>
                <w:color w:val="000000" w:themeColor="text1"/>
                <w:sz w:val="24"/>
              </w:rPr>
              <w:t>履约保证金金额：</w:t>
            </w:r>
            <w:r>
              <w:rPr>
                <w:rFonts w:hint="eastAsia" w:ascii="宋体" w:hAnsi="宋体" w:cs="宋体"/>
                <w:color w:val="000000" w:themeColor="text1"/>
                <w:sz w:val="24"/>
              </w:rPr>
              <w:t>合同金额的10%。</w:t>
            </w:r>
          </w:p>
          <w:p>
            <w:pPr>
              <w:spacing w:line="360" w:lineRule="auto"/>
              <w:ind w:left="142"/>
              <w:rPr>
                <w:rFonts w:ascii="宋体" w:hAnsi="宋体" w:cs="宋体"/>
                <w:b/>
                <w:color w:val="000000" w:themeColor="text1"/>
                <w:sz w:val="24"/>
              </w:rPr>
            </w:pPr>
            <w:r>
              <w:rPr>
                <w:rFonts w:hint="eastAsia" w:ascii="宋体" w:hAnsi="宋体" w:cs="宋体"/>
                <w:b/>
                <w:color w:val="000000" w:themeColor="text1"/>
                <w:sz w:val="24"/>
              </w:rPr>
              <w:t>银行账户信息如下：</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账户名：成都市妇女儿童中心医院</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 xml:space="preserve">账号：7411510183100000168 </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开户行：中信银行东城根街支行</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应注明（项目名称、项目编号）履约保证金。</w:t>
            </w:r>
          </w:p>
          <w:p>
            <w:pPr>
              <w:spacing w:line="360" w:lineRule="auto"/>
              <w:ind w:left="142"/>
              <w:rPr>
                <w:rFonts w:ascii="宋体" w:hAnsi="宋体" w:cs="宋体"/>
                <w:b/>
                <w:bCs/>
                <w:color w:val="000000" w:themeColor="text1"/>
                <w:sz w:val="24"/>
              </w:rPr>
            </w:pPr>
            <w:r>
              <w:rPr>
                <w:rFonts w:hint="eastAsia" w:ascii="宋体" w:hAnsi="宋体" w:cs="宋体"/>
                <w:b/>
                <w:bCs/>
                <w:color w:val="000000" w:themeColor="text1"/>
                <w:sz w:val="24"/>
              </w:rPr>
              <w:t>采用保函形式提交履约保证金的，保函应满足但不限于以下要求：</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（1）中标人名称、项目名称（如有分包，则应当按包件分别出具保函并写明包件号）；</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（2）保函需明确受益人为“成都市妇女儿童中心医院”；</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（3）保函的最高担保金额不低于本项目要求提交的履约保证金的金额；</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（4）保函担保的有效期应不短于本项目的履约期限；</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（5）在收到采购人加盖公章的书面索赔通知后10个工作日内，不争辩、不挑剔、不可撤销地向受益人支付索赔款，直至保函担保的最高担保金额。</w:t>
            </w:r>
          </w:p>
          <w:p>
            <w:pPr>
              <w:spacing w:line="360" w:lineRule="auto"/>
              <w:ind w:left="142"/>
              <w:rPr>
                <w:rFonts w:ascii="宋体" w:hAnsi="宋体" w:cs="宋体"/>
                <w:color w:val="000000" w:themeColor="text1"/>
                <w:sz w:val="24"/>
              </w:rPr>
            </w:pPr>
            <w:r>
              <w:rPr>
                <w:rFonts w:hint="eastAsia" w:ascii="宋体" w:hAnsi="宋体" w:cs="宋体"/>
                <w:b/>
                <w:bCs/>
                <w:color w:val="000000" w:themeColor="text1"/>
                <w:sz w:val="24"/>
              </w:rPr>
              <w:t>履约保证金退还：</w:t>
            </w:r>
            <w:r>
              <w:rPr>
                <w:rFonts w:hint="eastAsia" w:ascii="宋体" w:hAnsi="宋体" w:cs="宋体"/>
                <w:color w:val="000000" w:themeColor="text1"/>
                <w:sz w:val="24"/>
              </w:rPr>
              <w:t>履约保证金在项目验收合格正常运行一年后，采用非保函形式缴纳的履约保证金在15个工作日内无息返还，采用保函形式缴纳的履约保证金在担保有效期后，担保责任终止。</w:t>
            </w:r>
          </w:p>
          <w:p>
            <w:pPr>
              <w:spacing w:line="360" w:lineRule="auto"/>
              <w:ind w:left="142" w:firstLine="120" w:firstLineChars="50"/>
              <w:rPr>
                <w:rFonts w:ascii="宋体" w:hAnsi="宋体"/>
                <w:b/>
                <w:color w:val="000000"/>
                <w:sz w:val="24"/>
                <w:lang w:val="zh-CN"/>
              </w:rPr>
            </w:pPr>
            <w:r>
              <w:rPr>
                <w:rFonts w:hint="eastAsia" w:ascii="宋体" w:hAnsi="宋体" w:cs="宋体"/>
                <w:color w:val="000000" w:themeColor="text1"/>
                <w:sz w:val="24"/>
              </w:rPr>
              <w:t>递交和退还保函原件时乙方须到甲方现场提供以下证明材料：</w:t>
            </w: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 = 1 \* GB3 </w:instrText>
            </w:r>
            <w:r>
              <w:rPr>
                <w:rFonts w:hint="eastAsia" w:ascii="宋体" w:hAnsi="宋体" w:cs="宋体"/>
                <w:color w:val="000000" w:themeColor="text1"/>
                <w:sz w:val="24"/>
              </w:rPr>
              <w:fldChar w:fldCharType="separate"/>
            </w:r>
            <w:r>
              <w:rPr>
                <w:rFonts w:hint="eastAsia" w:ascii="宋体" w:hAnsi="宋体" w:cs="宋体"/>
                <w:color w:val="000000" w:themeColor="text1"/>
                <w:sz w:val="24"/>
              </w:rPr>
              <w:t>①</w:t>
            </w:r>
            <w:r>
              <w:rPr>
                <w:rFonts w:hint="eastAsia" w:ascii="宋体" w:hAnsi="宋体" w:cs="宋体"/>
                <w:color w:val="000000" w:themeColor="text1"/>
                <w:sz w:val="24"/>
              </w:rPr>
              <w:fldChar w:fldCharType="end"/>
            </w:r>
            <w:r>
              <w:rPr>
                <w:rFonts w:hint="eastAsia" w:ascii="宋体" w:hAnsi="宋体" w:cs="宋体"/>
                <w:color w:val="000000" w:themeColor="text1"/>
                <w:sz w:val="24"/>
              </w:rPr>
              <w:t>法定代表人授权委托书扫描件；</w:t>
            </w: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 = 2 \* GB3 </w:instrText>
            </w:r>
            <w:r>
              <w:rPr>
                <w:rFonts w:hint="eastAsia" w:ascii="宋体" w:hAnsi="宋体" w:cs="宋体"/>
                <w:color w:val="000000" w:themeColor="text1"/>
                <w:sz w:val="24"/>
              </w:rPr>
              <w:fldChar w:fldCharType="separate"/>
            </w:r>
            <w:r>
              <w:rPr>
                <w:rFonts w:hint="eastAsia" w:ascii="宋体" w:hAnsi="宋体" w:cs="宋体"/>
                <w:color w:val="000000" w:themeColor="text1"/>
                <w:sz w:val="24"/>
              </w:rPr>
              <w:t>②</w:t>
            </w:r>
            <w:r>
              <w:rPr>
                <w:rFonts w:hint="eastAsia" w:ascii="宋体" w:hAnsi="宋体" w:cs="宋体"/>
                <w:color w:val="000000" w:themeColor="text1"/>
                <w:sz w:val="24"/>
              </w:rPr>
              <w:fldChar w:fldCharType="end"/>
            </w:r>
            <w:r>
              <w:rPr>
                <w:rFonts w:hint="eastAsia" w:ascii="宋体" w:hAnsi="宋体" w:cs="宋体"/>
                <w:color w:val="000000" w:themeColor="text1"/>
                <w:sz w:val="24"/>
              </w:rPr>
              <w:t>委托代理人身份证扫描件。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ascii="宋体" w:hAnsi="宋体"/>
                <w:color w:val="000000"/>
                <w:sz w:val="24"/>
              </w:rPr>
              <w:t>11</w:t>
            </w:r>
          </w:p>
        </w:tc>
        <w:tc>
          <w:tcPr>
            <w:tcW w:w="987" w:type="pct"/>
            <w:vAlign w:val="center"/>
          </w:tcPr>
          <w:p>
            <w:pPr>
              <w:pStyle w:val="42"/>
              <w:spacing w:line="360" w:lineRule="auto"/>
              <w:ind w:left="38"/>
              <w:jc w:val="center"/>
              <w:rPr>
                <w:rFonts w:cs="Times New Roman"/>
                <w:b/>
                <w:color w:val="000000"/>
                <w:kern w:val="2"/>
              </w:rPr>
            </w:pPr>
            <w:r>
              <w:rPr>
                <w:rFonts w:hint="eastAsia" w:cs="Times New Roman"/>
                <w:b/>
                <w:color w:val="000000"/>
                <w:kern w:val="2"/>
              </w:rPr>
              <w:t>低于成本价不正当</w:t>
            </w:r>
          </w:p>
          <w:p>
            <w:pPr>
              <w:pStyle w:val="42"/>
              <w:spacing w:line="360" w:lineRule="auto"/>
              <w:ind w:left="38"/>
              <w:jc w:val="center"/>
              <w:rPr>
                <w:rFonts w:cs="Times New Roman"/>
                <w:b/>
                <w:color w:val="000000"/>
                <w:kern w:val="2"/>
              </w:rPr>
            </w:pPr>
            <w:r>
              <w:rPr>
                <w:rFonts w:hint="eastAsia" w:cs="Times New Roman"/>
                <w:b/>
                <w:color w:val="000000"/>
                <w:kern w:val="2"/>
              </w:rPr>
              <w:t>竞争预防措施</w:t>
            </w:r>
          </w:p>
          <w:p>
            <w:pPr>
              <w:pStyle w:val="42"/>
              <w:spacing w:line="360" w:lineRule="auto"/>
              <w:ind w:left="38"/>
              <w:jc w:val="center"/>
              <w:rPr>
                <w:rFonts w:cs="Times New Roman"/>
                <w:b/>
                <w:color w:val="000000"/>
                <w:kern w:val="2"/>
              </w:rPr>
            </w:pPr>
            <w:r>
              <w:rPr>
                <w:rFonts w:hint="eastAsia"/>
                <w:b/>
                <w:bCs/>
                <w:color w:val="000000"/>
              </w:rPr>
              <w:t>（实质性要求）</w:t>
            </w:r>
          </w:p>
        </w:tc>
        <w:tc>
          <w:tcPr>
            <w:tcW w:w="3609" w:type="pct"/>
            <w:vAlign w:val="center"/>
          </w:tcPr>
          <w:p>
            <w:pPr>
              <w:pStyle w:val="42"/>
              <w:spacing w:line="360" w:lineRule="auto"/>
              <w:ind w:firstLine="480" w:firstLineChars="200"/>
              <w:jc w:val="both"/>
              <w:rPr>
                <w:color w:val="000000"/>
              </w:rPr>
            </w:pPr>
            <w:r>
              <w:rPr>
                <w:rFonts w:hint="eastAsia"/>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spacing w:line="360" w:lineRule="auto"/>
              <w:ind w:firstLine="480" w:firstLineChars="200"/>
              <w:jc w:val="both"/>
              <w:rPr>
                <w:color w:val="000000"/>
              </w:rPr>
            </w:pPr>
            <w:r>
              <w:rPr>
                <w:rFonts w:hint="eastAsia"/>
                <w:color w:val="000000"/>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2"/>
              <w:spacing w:line="360" w:lineRule="auto"/>
              <w:ind w:firstLine="480" w:firstLineChars="200"/>
              <w:jc w:val="both"/>
              <w:rPr>
                <w:color w:val="000000"/>
              </w:rPr>
            </w:pPr>
            <w:r>
              <w:rPr>
                <w:rFonts w:hint="eastAsia"/>
                <w:color w:val="000000"/>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42"/>
              <w:spacing w:line="360" w:lineRule="auto"/>
              <w:ind w:firstLine="480" w:firstLineChars="200"/>
              <w:jc w:val="both"/>
              <w:rPr>
                <w:rFonts w:cs="Times New Roman"/>
                <w:color w:val="000000"/>
                <w:kern w:val="2"/>
              </w:rPr>
            </w:pPr>
            <w:r>
              <w:rPr>
                <w:rFonts w:hint="eastAsia"/>
                <w:color w:val="000000"/>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ascii="宋体" w:hAnsi="宋体"/>
                <w:color w:val="000000"/>
                <w:sz w:val="24"/>
              </w:rPr>
              <w:t>12</w:t>
            </w:r>
          </w:p>
        </w:tc>
        <w:tc>
          <w:tcPr>
            <w:tcW w:w="987" w:type="pct"/>
            <w:vAlign w:val="center"/>
          </w:tcPr>
          <w:p>
            <w:pPr>
              <w:pStyle w:val="42"/>
              <w:spacing w:line="360" w:lineRule="auto"/>
              <w:jc w:val="center"/>
              <w:rPr>
                <w:rFonts w:cs="Times New Roman"/>
                <w:b/>
                <w:color w:val="000000"/>
                <w:kern w:val="2"/>
              </w:rPr>
            </w:pPr>
            <w:r>
              <w:rPr>
                <w:rFonts w:hint="eastAsia" w:cs="Times New Roman"/>
                <w:b/>
                <w:color w:val="000000"/>
                <w:kern w:val="2"/>
              </w:rPr>
              <w:t>小微企业（监狱企业</w:t>
            </w:r>
            <w:r>
              <w:rPr>
                <w:rFonts w:hint="eastAsia"/>
                <w:b/>
                <w:color w:val="000000"/>
              </w:rPr>
              <w:t>视同小微企业</w:t>
            </w:r>
            <w:r>
              <w:rPr>
                <w:rFonts w:hint="eastAsia" w:cs="Times New Roman"/>
                <w:b/>
                <w:color w:val="000000"/>
                <w:kern w:val="2"/>
              </w:rPr>
              <w:t>）价格扣除、残疾人福利性单位价格扣除</w:t>
            </w:r>
          </w:p>
        </w:tc>
        <w:tc>
          <w:tcPr>
            <w:tcW w:w="3609" w:type="pct"/>
            <w:vAlign w:val="center"/>
          </w:tcPr>
          <w:p>
            <w:pPr>
              <w:pStyle w:val="42"/>
              <w:spacing w:line="360" w:lineRule="auto"/>
              <w:jc w:val="both"/>
              <w:rPr>
                <w:color w:val="000000"/>
              </w:rPr>
            </w:pPr>
            <w:r>
              <w:rPr>
                <w:rFonts w:hint="eastAsia"/>
                <w:color w:val="000000"/>
              </w:rPr>
              <w:t>根据财政部发布的《政府采购促进中小企业发展管理办法》（财库〔2020〕46号）规定，对满足下述3种情形的价格给予10%的扣除，用扣除后的价格参与评审：</w:t>
            </w:r>
          </w:p>
          <w:p>
            <w:pPr>
              <w:pStyle w:val="42"/>
              <w:spacing w:line="360" w:lineRule="auto"/>
              <w:ind w:firstLine="240" w:firstLineChars="100"/>
              <w:jc w:val="both"/>
              <w:rPr>
                <w:color w:val="000000"/>
              </w:rPr>
            </w:pPr>
            <w:r>
              <w:rPr>
                <w:rFonts w:hint="eastAsia"/>
                <w:color w:val="000000"/>
              </w:rPr>
              <w:t xml:space="preserve">1、所有货物由小微企业制造，即货物由小微企业生产且使用该小微企业商号或者注册商标； </w:t>
            </w:r>
          </w:p>
          <w:p>
            <w:pPr>
              <w:pStyle w:val="42"/>
              <w:spacing w:line="360" w:lineRule="auto"/>
              <w:ind w:firstLine="240" w:firstLineChars="100"/>
              <w:jc w:val="both"/>
              <w:rPr>
                <w:color w:val="000000"/>
              </w:rPr>
            </w:pPr>
            <w:r>
              <w:rPr>
                <w:rFonts w:hint="eastAsia"/>
                <w:color w:val="000000"/>
              </w:rPr>
              <w:t>小微企业划型符合工信部等部委发布的《关于印发中小企业划型标准规定的通知》（工信部联企业〔2011〕300号）的相应标准，按照招标文件的格式要求提供《中小企业声明函》的供应商，将享受上述优惠政策；</w:t>
            </w:r>
          </w:p>
          <w:p>
            <w:pPr>
              <w:pStyle w:val="42"/>
              <w:spacing w:line="360" w:lineRule="auto"/>
              <w:ind w:firstLine="240" w:firstLineChars="100"/>
              <w:jc w:val="both"/>
              <w:rPr>
                <w:color w:val="000000"/>
              </w:rPr>
            </w:pPr>
            <w:r>
              <w:rPr>
                <w:rFonts w:hint="eastAsia"/>
                <w:color w:val="000000"/>
              </w:rPr>
              <w:t>2、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pPr>
              <w:spacing w:line="360" w:lineRule="auto"/>
              <w:ind w:right="105" w:rightChars="50" w:firstLine="240" w:firstLineChars="100"/>
              <w:rPr>
                <w:rFonts w:ascii="宋体" w:hAnsi="宋体"/>
                <w:color w:val="000000"/>
                <w:sz w:val="24"/>
              </w:rPr>
            </w:pPr>
            <w:r>
              <w:rPr>
                <w:rFonts w:hint="eastAsia" w:ascii="宋体" w:hAnsi="宋体"/>
                <w:color w:val="000000"/>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3</w:t>
            </w:r>
          </w:p>
        </w:tc>
        <w:tc>
          <w:tcPr>
            <w:tcW w:w="987" w:type="pct"/>
            <w:vAlign w:val="center"/>
          </w:tcPr>
          <w:p>
            <w:pPr>
              <w:pStyle w:val="42"/>
              <w:spacing w:line="360" w:lineRule="auto"/>
              <w:jc w:val="center"/>
              <w:rPr>
                <w:b/>
                <w:color w:val="000000"/>
              </w:rPr>
            </w:pPr>
            <w:r>
              <w:rPr>
                <w:rFonts w:hint="eastAsia"/>
                <w:b/>
                <w:color w:val="000000"/>
              </w:rPr>
              <w:t>扶持不发达地区和少数民族地区的发展</w:t>
            </w:r>
          </w:p>
          <w:p>
            <w:pPr>
              <w:pStyle w:val="42"/>
              <w:spacing w:line="360" w:lineRule="auto"/>
              <w:jc w:val="center"/>
              <w:rPr>
                <w:b/>
                <w:color w:val="000000"/>
              </w:rPr>
            </w:pPr>
            <w:r>
              <w:rPr>
                <w:rFonts w:hint="eastAsia"/>
                <w:b/>
                <w:color w:val="000000"/>
              </w:rPr>
              <w:t>（</w:t>
            </w:r>
            <w:r>
              <w:rPr>
                <w:rFonts w:hint="eastAsia"/>
                <w:b/>
                <w:bCs/>
                <w:color w:val="000000"/>
              </w:rPr>
              <w:t>实质性要求</w:t>
            </w:r>
            <w:r>
              <w:rPr>
                <w:rFonts w:hint="eastAsia"/>
                <w:b/>
                <w:color w:val="000000"/>
              </w:rPr>
              <w:t>）</w:t>
            </w:r>
          </w:p>
        </w:tc>
        <w:tc>
          <w:tcPr>
            <w:tcW w:w="3609" w:type="pct"/>
            <w:vAlign w:val="center"/>
          </w:tcPr>
          <w:p>
            <w:pPr>
              <w:widowControl/>
              <w:spacing w:line="360" w:lineRule="auto"/>
              <w:jc w:val="left"/>
              <w:rPr>
                <w:rFonts w:ascii="宋体" w:hAnsi="宋体"/>
                <w:color w:val="000000"/>
                <w:kern w:val="0"/>
                <w:sz w:val="24"/>
              </w:rPr>
            </w:pPr>
            <w:r>
              <w:rPr>
                <w:rFonts w:hint="eastAsia" w:ascii="宋体" w:hAnsi="宋体"/>
                <w:color w:val="000000"/>
                <w:kern w:val="0"/>
                <w:sz w:val="24"/>
              </w:rPr>
              <w:t>投标人注册地在不发达地区或少数民族地区的，综合得分相同时，排名优先。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4</w:t>
            </w:r>
          </w:p>
        </w:tc>
        <w:tc>
          <w:tcPr>
            <w:tcW w:w="987" w:type="pct"/>
            <w:vAlign w:val="center"/>
          </w:tcPr>
          <w:p>
            <w:pPr>
              <w:pStyle w:val="42"/>
              <w:spacing w:line="360" w:lineRule="auto"/>
              <w:ind w:left="96"/>
              <w:jc w:val="center"/>
              <w:rPr>
                <w:b/>
                <w:color w:val="000000"/>
              </w:rPr>
            </w:pPr>
            <w:r>
              <w:rPr>
                <w:rFonts w:hint="eastAsia"/>
                <w:b/>
                <w:color w:val="000000"/>
              </w:rPr>
              <w:t>投标人信用信息查询渠道、截止时点及使用规则</w:t>
            </w:r>
          </w:p>
          <w:p>
            <w:pPr>
              <w:pStyle w:val="42"/>
              <w:spacing w:line="360" w:lineRule="auto"/>
              <w:ind w:left="96"/>
              <w:jc w:val="center"/>
              <w:rPr>
                <w:b/>
                <w:bCs/>
                <w:color w:val="000000"/>
              </w:rPr>
            </w:pPr>
            <w:r>
              <w:rPr>
                <w:rFonts w:hint="eastAsia"/>
                <w:b/>
                <w:color w:val="000000"/>
              </w:rPr>
              <w:t>（实质性要求）</w:t>
            </w:r>
          </w:p>
        </w:tc>
        <w:tc>
          <w:tcPr>
            <w:tcW w:w="3609" w:type="pct"/>
            <w:vAlign w:val="center"/>
          </w:tcPr>
          <w:p>
            <w:pPr>
              <w:pStyle w:val="42"/>
              <w:spacing w:line="360" w:lineRule="auto"/>
              <w:rPr>
                <w:color w:val="000000"/>
              </w:rPr>
            </w:pPr>
            <w:r>
              <w:rPr>
                <w:rFonts w:hint="eastAsia"/>
                <w:b/>
                <w:bCs/>
                <w:color w:val="000000"/>
              </w:rPr>
              <w:t>查询渠道：</w:t>
            </w:r>
            <w:r>
              <w:rPr>
                <w:color w:val="000000"/>
              </w:rPr>
              <w:t>“信用中国”网站（www.creditchina.gov.cn）</w:t>
            </w:r>
            <w:r>
              <w:rPr>
                <w:rFonts w:hint="eastAsia"/>
                <w:color w:val="000000"/>
              </w:rPr>
              <w:t>和中国政府采购网（www.ccgp.gov.cn）</w:t>
            </w:r>
          </w:p>
          <w:p>
            <w:pPr>
              <w:pStyle w:val="42"/>
              <w:spacing w:line="360" w:lineRule="auto"/>
              <w:rPr>
                <w:color w:val="000000"/>
              </w:rPr>
            </w:pPr>
            <w:r>
              <w:rPr>
                <w:rFonts w:hint="eastAsia"/>
                <w:b/>
                <w:bCs/>
                <w:color w:val="000000"/>
              </w:rPr>
              <w:t>截止时点：</w:t>
            </w:r>
            <w:r>
              <w:rPr>
                <w:rFonts w:hint="eastAsia"/>
                <w:bCs/>
                <w:color w:val="000000"/>
              </w:rPr>
              <w:t>同</w:t>
            </w:r>
            <w:r>
              <w:rPr>
                <w:rFonts w:hint="eastAsia"/>
                <w:color w:val="000000"/>
              </w:rPr>
              <w:t>资格审查时间。</w:t>
            </w:r>
          </w:p>
          <w:p>
            <w:pPr>
              <w:pStyle w:val="42"/>
              <w:spacing w:line="360" w:lineRule="auto"/>
              <w:rPr>
                <w:color w:val="000000"/>
              </w:rPr>
            </w:pPr>
            <w:r>
              <w:rPr>
                <w:rFonts w:hint="eastAsia"/>
                <w:b/>
                <w:bCs/>
                <w:color w:val="000000"/>
              </w:rPr>
              <w:t>使用规则：</w:t>
            </w:r>
            <w:r>
              <w:rPr>
                <w:rFonts w:hint="eastAsia"/>
                <w:color w:val="000000"/>
              </w:rPr>
              <w:t>资格审查人员将于资格审查时查询投标人信用信息，经查询</w:t>
            </w:r>
            <w:r>
              <w:rPr>
                <w:rFonts w:hint="eastAsia"/>
                <w:color w:val="000000"/>
                <w:lang w:val="zh-CN"/>
              </w:rPr>
              <w:t>列入失信被执行人和重大税收违法案件当事人名单的供应商</w:t>
            </w:r>
            <w:r>
              <w:rPr>
                <w:rFonts w:hint="eastAsia"/>
                <w:color w:val="000000"/>
              </w:rPr>
              <w:t>、</w:t>
            </w:r>
            <w:r>
              <w:rPr>
                <w:rFonts w:hint="eastAsia"/>
                <w:color w:val="000000"/>
                <w:lang w:val="zh-CN"/>
              </w:rPr>
              <w:t>政府采购严重违法失信行为记录名单中被财政部门禁止参加政府采购活动的供应商</w:t>
            </w:r>
            <w:r>
              <w:rPr>
                <w:rFonts w:hint="eastAsia"/>
                <w:color w:val="000000"/>
              </w:rPr>
              <w:t>（</w:t>
            </w:r>
            <w:r>
              <w:rPr>
                <w:rFonts w:hint="eastAsia"/>
                <w:color w:val="000000"/>
                <w:lang w:val="zh-CN"/>
              </w:rPr>
              <w:t>处罚决定规定的时间和地域范围内</w:t>
            </w:r>
            <w:r>
              <w:rPr>
                <w:rFonts w:hint="eastAsia"/>
                <w:color w:val="000000"/>
              </w:rPr>
              <w:t>），其投标将被拒绝。属于</w:t>
            </w:r>
            <w:r>
              <w:rPr>
                <w:color w:val="000000"/>
              </w:rPr>
              <w:t>联合体投标的</w:t>
            </w:r>
            <w:r>
              <w:rPr>
                <w:rFonts w:hint="eastAsia"/>
                <w:color w:val="000000"/>
              </w:rPr>
              <w:t>，</w:t>
            </w:r>
            <w:r>
              <w:rPr>
                <w:color w:val="000000"/>
              </w:rPr>
              <w:t>其中</w:t>
            </w:r>
            <w:r>
              <w:rPr>
                <w:rFonts w:hint="eastAsia"/>
                <w:color w:val="000000"/>
              </w:rPr>
              <w:t>任意</w:t>
            </w:r>
            <w:r>
              <w:rPr>
                <w:color w:val="000000"/>
              </w:rPr>
              <w:t>一方</w:t>
            </w:r>
            <w:r>
              <w:rPr>
                <w:rFonts w:hint="eastAsia"/>
                <w:color w:val="000000"/>
              </w:rPr>
              <w:t>的</w:t>
            </w:r>
            <w:r>
              <w:rPr>
                <w:color w:val="000000"/>
              </w:rPr>
              <w:t>信用信息不</w:t>
            </w:r>
            <w:r>
              <w:rPr>
                <w:rFonts w:hint="eastAsia"/>
                <w:color w:val="000000"/>
              </w:rPr>
              <w:t>满足要求</w:t>
            </w:r>
            <w:r>
              <w:rPr>
                <w:color w:val="000000"/>
              </w:rPr>
              <w:t>，其投标将被拒绝。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15</w:t>
            </w:r>
          </w:p>
        </w:tc>
        <w:tc>
          <w:tcPr>
            <w:tcW w:w="987" w:type="pct"/>
            <w:vAlign w:val="center"/>
          </w:tcPr>
          <w:p>
            <w:pPr>
              <w:pStyle w:val="42"/>
              <w:spacing w:line="360" w:lineRule="auto"/>
              <w:jc w:val="center"/>
              <w:rPr>
                <w:rFonts w:cs="Times New Roman"/>
                <w:b/>
                <w:color w:val="000000"/>
                <w:kern w:val="2"/>
              </w:rPr>
            </w:pPr>
            <w:r>
              <w:rPr>
                <w:rFonts w:hint="eastAsia" w:cs="Times New Roman"/>
                <w:b/>
                <w:color w:val="000000"/>
                <w:kern w:val="2"/>
              </w:rPr>
              <w:t>强制认证产品</w:t>
            </w:r>
          </w:p>
          <w:p>
            <w:pPr>
              <w:pStyle w:val="42"/>
              <w:spacing w:line="360" w:lineRule="auto"/>
              <w:jc w:val="center"/>
              <w:rPr>
                <w:rFonts w:cs="Times New Roman"/>
                <w:b/>
                <w:color w:val="000000"/>
                <w:kern w:val="2"/>
              </w:rPr>
            </w:pPr>
            <w:r>
              <w:rPr>
                <w:rFonts w:hint="eastAsia" w:cs="Times New Roman"/>
                <w:b/>
                <w:color w:val="000000"/>
                <w:kern w:val="2"/>
              </w:rPr>
              <w:t>（实质性要求）</w:t>
            </w:r>
          </w:p>
        </w:tc>
        <w:tc>
          <w:tcPr>
            <w:tcW w:w="3609" w:type="pct"/>
            <w:vAlign w:val="center"/>
          </w:tcPr>
          <w:p>
            <w:pPr>
              <w:numPr>
                <w:ilvl w:val="0"/>
                <w:numId w:val="1"/>
              </w:numPr>
              <w:spacing w:line="360" w:lineRule="auto"/>
              <w:ind w:right="105" w:rightChars="50"/>
              <w:rPr>
                <w:rFonts w:ascii="宋体" w:hAnsi="宋体"/>
                <w:color w:val="000000"/>
                <w:sz w:val="24"/>
              </w:rPr>
            </w:pPr>
            <w:r>
              <w:rPr>
                <w:rFonts w:hint="eastAsia" w:ascii="宋体" w:hAnsi="宋体"/>
                <w:color w:val="000000"/>
                <w:sz w:val="24"/>
              </w:rPr>
              <w:t>投标产品如涉及3C认证的，该认证证书可不在投标文件中提供，中标人应在履约验收时向采购人提供，未提供或不能提供的按合同违约处理。</w:t>
            </w:r>
          </w:p>
          <w:p>
            <w:pPr>
              <w:numPr>
                <w:ilvl w:val="0"/>
                <w:numId w:val="1"/>
              </w:numPr>
              <w:spacing w:line="360" w:lineRule="auto"/>
              <w:ind w:right="105" w:rightChars="50"/>
              <w:rPr>
                <w:rFonts w:ascii="宋体" w:hAnsi="宋体"/>
                <w:color w:val="000000"/>
                <w:sz w:val="24"/>
              </w:rPr>
            </w:pPr>
            <w:r>
              <w:rPr>
                <w:rFonts w:ascii="宋体" w:hAnsi="宋体"/>
                <w:color w:val="000000"/>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扫描件或认证结果信息发布平台的认证截图证明</w:t>
            </w:r>
            <w:r>
              <w:rPr>
                <w:rFonts w:hint="eastAsia" w:ascii="宋体" w:hAnsi="宋体"/>
                <w:color w:val="000000"/>
                <w:sz w:val="24"/>
              </w:rPr>
              <w:t>，否则其投标文件将被作为无效处理。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16</w:t>
            </w:r>
          </w:p>
        </w:tc>
        <w:tc>
          <w:tcPr>
            <w:tcW w:w="987" w:type="pct"/>
            <w:vAlign w:val="center"/>
          </w:tcPr>
          <w:p>
            <w:pPr>
              <w:pStyle w:val="42"/>
              <w:spacing w:line="360" w:lineRule="auto"/>
              <w:jc w:val="center"/>
              <w:rPr>
                <w:rFonts w:cs="Times New Roman"/>
                <w:b/>
                <w:color w:val="000000"/>
                <w:kern w:val="2"/>
              </w:rPr>
            </w:pPr>
            <w:r>
              <w:rPr>
                <w:rFonts w:hint="eastAsia" w:cs="Times New Roman"/>
                <w:b/>
                <w:color w:val="000000"/>
                <w:kern w:val="2"/>
              </w:rPr>
              <w:t>进口产品</w:t>
            </w:r>
          </w:p>
          <w:p>
            <w:pPr>
              <w:pStyle w:val="42"/>
              <w:spacing w:line="360" w:lineRule="auto"/>
              <w:jc w:val="center"/>
              <w:rPr>
                <w:rFonts w:cs="Times New Roman"/>
                <w:b/>
                <w:color w:val="000000"/>
                <w:kern w:val="2"/>
              </w:rPr>
            </w:pPr>
            <w:r>
              <w:rPr>
                <w:rFonts w:hint="eastAsia" w:cs="Times New Roman"/>
                <w:b/>
                <w:color w:val="000000"/>
                <w:kern w:val="2"/>
              </w:rPr>
              <w:t>（实质性要求）</w:t>
            </w:r>
          </w:p>
          <w:p>
            <w:pPr>
              <w:pStyle w:val="42"/>
              <w:spacing w:line="360" w:lineRule="auto"/>
              <w:jc w:val="center"/>
              <w:rPr>
                <w:rFonts w:cs="Times New Roman"/>
                <w:b/>
                <w:color w:val="000000"/>
                <w:kern w:val="2"/>
              </w:rPr>
            </w:pPr>
          </w:p>
        </w:tc>
        <w:tc>
          <w:tcPr>
            <w:tcW w:w="3609" w:type="pct"/>
            <w:vAlign w:val="center"/>
          </w:tcPr>
          <w:p>
            <w:pPr>
              <w:spacing w:line="360" w:lineRule="auto"/>
              <w:ind w:right="105" w:rightChars="50"/>
              <w:rPr>
                <w:rFonts w:ascii="宋体" w:hAnsi="宋体"/>
                <w:color w:val="000000"/>
                <w:sz w:val="24"/>
              </w:rPr>
            </w:pPr>
            <w:r>
              <w:rPr>
                <w:rFonts w:hint="eastAsia" w:ascii="宋体" w:hAnsi="宋体"/>
                <w:color w:val="000000"/>
                <w:sz w:val="24"/>
              </w:rPr>
              <w:t>本项目允许进口产品参与投标（详见采购清单）。</w:t>
            </w:r>
          </w:p>
          <w:p>
            <w:pPr>
              <w:numPr>
                <w:ilvl w:val="0"/>
                <w:numId w:val="2"/>
              </w:numPr>
              <w:spacing w:line="360" w:lineRule="auto"/>
              <w:ind w:right="105" w:rightChars="50"/>
              <w:rPr>
                <w:rFonts w:ascii="宋体" w:hAnsi="宋体"/>
                <w:color w:val="000000"/>
                <w:sz w:val="24"/>
              </w:rPr>
            </w:pPr>
            <w:r>
              <w:rPr>
                <w:rFonts w:hint="eastAsia" w:ascii="宋体" w:hAnsi="宋体"/>
                <w:color w:val="000000"/>
                <w:sz w:val="24"/>
              </w:rPr>
              <w:t>进口产品是指通过中国海关报关验放进入中国境内且产自关境外的产品。</w:t>
            </w:r>
            <w:r>
              <w:rPr>
                <w:rFonts w:hint="eastAsia" w:ascii="宋体" w:hAnsi="宋体" w:cs="宋体"/>
                <w:color w:val="000000"/>
                <w:kern w:val="0"/>
                <w:sz w:val="24"/>
              </w:rPr>
              <w:t>包括香港、澳门和台湾金马等单独关境地区。</w:t>
            </w:r>
          </w:p>
          <w:p>
            <w:pPr>
              <w:spacing w:line="360" w:lineRule="auto"/>
              <w:ind w:right="105" w:rightChars="50"/>
              <w:rPr>
                <w:rFonts w:ascii="宋体" w:hAnsi="宋体"/>
                <w:color w:val="000000"/>
                <w:sz w:val="24"/>
              </w:rPr>
            </w:pPr>
            <w:r>
              <w:rPr>
                <w:rFonts w:hint="eastAsia" w:ascii="宋体" w:hAnsi="宋体" w:cs="宋体"/>
                <w:color w:val="000000"/>
                <w:kern w:val="0"/>
                <w:sz w:val="24"/>
              </w:rPr>
              <w:t>2.凡在海关特殊监管区域内企业生产或加工</w:t>
            </w:r>
            <w:r>
              <w:rPr>
                <w:rFonts w:ascii="宋体" w:hAnsi="宋体" w:cs="宋体"/>
                <w:color w:val="000000"/>
                <w:kern w:val="0"/>
                <w:sz w:val="24"/>
              </w:rPr>
              <w:t>(</w:t>
            </w:r>
            <w:r>
              <w:rPr>
                <w:rFonts w:hint="eastAsia" w:ascii="宋体" w:hAnsi="宋体" w:cs="宋体"/>
                <w:color w:val="000000"/>
                <w:kern w:val="0"/>
                <w:sz w:val="24"/>
              </w:rPr>
              <w:t>包括从境外进口料件</w:t>
            </w:r>
            <w:r>
              <w:rPr>
                <w:rFonts w:ascii="宋体" w:hAnsi="宋体" w:cs="宋体"/>
                <w:color w:val="000000"/>
                <w:kern w:val="0"/>
                <w:sz w:val="24"/>
              </w:rPr>
              <w:t>)</w:t>
            </w:r>
            <w:r>
              <w:rPr>
                <w:rFonts w:hint="eastAsia" w:ascii="宋体" w:hAnsi="宋体" w:cs="宋体"/>
                <w:color w:val="000000"/>
                <w:kern w:val="0"/>
                <w:sz w:val="24"/>
              </w:rPr>
              <w:t>销往境内其他地区的产品，不作为政府采购项下进口产品。对从境外进入海关特殊监管区域，再经办理报关手续后从海关特殊监管区进入境内其他地区的产品，应当认定为进口产品。</w:t>
            </w:r>
          </w:p>
          <w:p>
            <w:pPr>
              <w:spacing w:line="360" w:lineRule="auto"/>
              <w:ind w:right="105" w:rightChars="50"/>
              <w:rPr>
                <w:rFonts w:ascii="宋体" w:hAnsi="宋体"/>
                <w:color w:val="000000"/>
                <w:sz w:val="24"/>
              </w:rPr>
            </w:pPr>
            <w:r>
              <w:rPr>
                <w:rFonts w:hint="eastAsia" w:ascii="宋体" w:hAnsi="宋体" w:cs="宋体"/>
                <w:color w:val="000000"/>
                <w:kern w:val="0"/>
                <w:sz w:val="24"/>
              </w:rPr>
              <w:t>3.</w:t>
            </w:r>
            <w:r>
              <w:rPr>
                <w:rFonts w:hint="eastAsia" w:ascii="宋体" w:hAnsi="宋体"/>
                <w:color w:val="000000"/>
                <w:sz w:val="24"/>
              </w:rPr>
              <w:t>对于</w:t>
            </w:r>
            <w:r>
              <w:rPr>
                <w:rFonts w:ascii="宋体" w:hAnsi="宋体"/>
                <w:color w:val="000000"/>
                <w:sz w:val="24"/>
              </w:rPr>
              <w:t>向我国企业转让技术、与我国企业签订消化吸收再创新方案的供应商的进口产品</w:t>
            </w:r>
            <w:r>
              <w:rPr>
                <w:rFonts w:hint="eastAsia" w:ascii="宋体" w:hAnsi="宋体"/>
                <w:color w:val="000000"/>
                <w:sz w:val="24"/>
              </w:rPr>
              <w:t>将实行优先采购政策</w:t>
            </w:r>
            <w:r>
              <w:rPr>
                <w:rFonts w:ascii="宋体" w:hAnsi="宋体"/>
                <w:color w:val="000000"/>
                <w:sz w:val="24"/>
              </w:rPr>
              <w:t>。</w:t>
            </w:r>
            <w:r>
              <w:rPr>
                <w:rFonts w:hint="eastAsia" w:ascii="宋体" w:hAnsi="宋体"/>
                <w:color w:val="000000"/>
                <w:sz w:val="24"/>
              </w:rPr>
              <w:t>（需提供技术转让书或签订的消化吸收再创新方案协议）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17</w:t>
            </w:r>
          </w:p>
        </w:tc>
        <w:tc>
          <w:tcPr>
            <w:tcW w:w="987" w:type="pct"/>
            <w:vAlign w:val="center"/>
          </w:tcPr>
          <w:p>
            <w:pPr>
              <w:pStyle w:val="42"/>
              <w:spacing w:line="360" w:lineRule="auto"/>
              <w:jc w:val="center"/>
              <w:rPr>
                <w:rFonts w:cs="Times New Roman"/>
                <w:b/>
                <w:color w:val="000000"/>
                <w:kern w:val="2"/>
              </w:rPr>
            </w:pPr>
            <w:r>
              <w:rPr>
                <w:rFonts w:hint="eastAsia" w:cs="Times New Roman"/>
                <w:b/>
                <w:color w:val="000000"/>
                <w:kern w:val="2"/>
              </w:rPr>
              <w:t>信息安全产品</w:t>
            </w:r>
          </w:p>
          <w:p>
            <w:pPr>
              <w:pStyle w:val="42"/>
              <w:spacing w:line="360" w:lineRule="auto"/>
              <w:jc w:val="center"/>
              <w:rPr>
                <w:rFonts w:cs="Times New Roman"/>
                <w:b/>
                <w:color w:val="000000"/>
                <w:kern w:val="2"/>
              </w:rPr>
            </w:pPr>
            <w:r>
              <w:rPr>
                <w:rFonts w:hint="eastAsia" w:cs="Times New Roman"/>
                <w:b/>
                <w:color w:val="000000"/>
                <w:kern w:val="2"/>
              </w:rPr>
              <w:t>（实质性要求）</w:t>
            </w:r>
          </w:p>
        </w:tc>
        <w:tc>
          <w:tcPr>
            <w:tcW w:w="3609" w:type="pct"/>
            <w:vAlign w:val="center"/>
          </w:tcPr>
          <w:p>
            <w:pPr>
              <w:spacing w:line="360" w:lineRule="auto"/>
              <w:ind w:right="105" w:rightChars="50"/>
              <w:rPr>
                <w:rFonts w:ascii="宋体" w:hAnsi="宋体" w:cs="宋体"/>
                <w:color w:val="000000"/>
                <w:kern w:val="0"/>
                <w:sz w:val="24"/>
              </w:rPr>
            </w:pPr>
            <w:r>
              <w:rPr>
                <w:rFonts w:hint="eastAsia" w:ascii="宋体" w:hAnsi="宋体" w:cs="宋体"/>
                <w:color w:val="000000"/>
                <w:kern w:val="0"/>
                <w:sz w:val="24"/>
              </w:rPr>
              <w:t>根据关于信息安全产品实施政府采购的通知（财库〔2010〕48号），如投标产品中涉及信息安全产品，应提供由中国信息安全认证中心按国家标准认证颁发的有效认证证书。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8</w:t>
            </w:r>
          </w:p>
        </w:tc>
        <w:tc>
          <w:tcPr>
            <w:tcW w:w="987" w:type="pct"/>
            <w:vAlign w:val="center"/>
          </w:tcPr>
          <w:p>
            <w:pPr>
              <w:spacing w:line="360" w:lineRule="auto"/>
              <w:ind w:left="105" w:leftChars="50" w:right="105" w:rightChars="50"/>
              <w:jc w:val="center"/>
              <w:rPr>
                <w:rFonts w:ascii="宋体" w:hAnsi="宋体"/>
                <w:b/>
                <w:bCs/>
                <w:color w:val="000000"/>
                <w:sz w:val="24"/>
                <w:highlight w:val="yellow"/>
              </w:rPr>
            </w:pPr>
            <w:r>
              <w:rPr>
                <w:rFonts w:hint="eastAsia" w:ascii="宋体" w:hAnsi="宋体"/>
                <w:b/>
                <w:color w:val="000000"/>
                <w:kern w:val="0"/>
                <w:sz w:val="24"/>
              </w:rPr>
              <w:t>中标结果公告</w:t>
            </w:r>
          </w:p>
        </w:tc>
        <w:tc>
          <w:tcPr>
            <w:tcW w:w="3609" w:type="pct"/>
            <w:vAlign w:val="center"/>
          </w:tcPr>
          <w:p>
            <w:pPr>
              <w:widowControl/>
              <w:spacing w:line="360" w:lineRule="auto"/>
              <w:jc w:val="left"/>
              <w:rPr>
                <w:rFonts w:ascii="宋体" w:hAnsi="宋体"/>
                <w:color w:val="000000"/>
                <w:kern w:val="0"/>
                <w:sz w:val="24"/>
                <w:highlight w:val="yellow"/>
              </w:rPr>
            </w:pPr>
            <w:r>
              <w:rPr>
                <w:rFonts w:hint="eastAsia" w:ascii="宋体" w:hAnsi="宋体"/>
                <w:color w:val="000000"/>
                <w:kern w:val="0"/>
                <w:sz w:val="24"/>
              </w:rPr>
              <w:t>中标结果</w:t>
            </w:r>
            <w:r>
              <w:rPr>
                <w:rFonts w:hint="eastAsia" w:ascii="宋体" w:hAnsi="宋体" w:cs="宋体"/>
                <w:color w:val="000000"/>
                <w:sz w:val="24"/>
              </w:rPr>
              <w:t>将在</w:t>
            </w:r>
            <w:r>
              <w:rPr>
                <w:rFonts w:hint="eastAsia" w:ascii="宋体" w:hAnsi="宋体" w:cs="宋体"/>
                <w:b/>
                <w:bCs/>
                <w:color w:val="000000"/>
                <w:sz w:val="24"/>
              </w:rPr>
              <w:t>四川政府采购网（</w:t>
            </w:r>
            <w:r>
              <w:fldChar w:fldCharType="begin"/>
            </w:r>
            <w:r>
              <w:instrText xml:space="preserve"> HYPERLINK "http://www.ccgp-sichuan.gov.cn）/" </w:instrText>
            </w:r>
            <w:r>
              <w:fldChar w:fldCharType="separate"/>
            </w:r>
            <w:r>
              <w:rPr>
                <w:rStyle w:val="35"/>
                <w:rFonts w:ascii="宋体" w:hAnsi="宋体" w:cs="宋体"/>
                <w:b/>
                <w:bCs/>
                <w:color w:val="000000"/>
                <w:sz w:val="24"/>
                <w:u w:val="none"/>
              </w:rPr>
              <w:t>www.ccgp-sichuan.gov.cn</w:t>
            </w:r>
            <w:r>
              <w:rPr>
                <w:rStyle w:val="35"/>
                <w:rFonts w:hint="eastAsia" w:ascii="宋体" w:hAnsi="宋体" w:cs="宋体"/>
                <w:b/>
                <w:bCs/>
                <w:color w:val="000000"/>
                <w:sz w:val="24"/>
                <w:u w:val="none"/>
              </w:rPr>
              <w:t>）</w:t>
            </w:r>
            <w:r>
              <w:rPr>
                <w:rStyle w:val="35"/>
                <w:rFonts w:hint="eastAsia" w:ascii="宋体" w:hAnsi="宋体" w:cs="宋体"/>
                <w:b/>
                <w:bCs/>
                <w:color w:val="000000"/>
                <w:sz w:val="24"/>
                <w:u w:val="none"/>
              </w:rPr>
              <w:fldChar w:fldCharType="end"/>
            </w:r>
            <w:r>
              <w:rPr>
                <w:rFonts w:hint="eastAsia" w:ascii="宋体" w:hAnsi="宋体" w:cs="宋体"/>
                <w:color w:val="000000"/>
                <w:sz w:val="24"/>
              </w:rPr>
              <w:t>上发布</w:t>
            </w:r>
            <w:r>
              <w:rPr>
                <w:rFonts w:hint="eastAsia" w:ascii="宋体" w:hAnsi="宋体"/>
                <w:color w:val="000000"/>
                <w:kern w:val="0"/>
                <w:sz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9</w:t>
            </w:r>
          </w:p>
        </w:tc>
        <w:tc>
          <w:tcPr>
            <w:tcW w:w="987" w:type="pct"/>
            <w:vAlign w:val="center"/>
          </w:tcPr>
          <w:p>
            <w:pPr>
              <w:pStyle w:val="42"/>
              <w:spacing w:line="360" w:lineRule="auto"/>
              <w:jc w:val="center"/>
              <w:rPr>
                <w:b/>
                <w:color w:val="000000"/>
              </w:rPr>
            </w:pPr>
            <w:r>
              <w:rPr>
                <w:rFonts w:hint="eastAsia" w:cs="Times New Roman"/>
                <w:b/>
                <w:color w:val="000000"/>
                <w:kern w:val="2"/>
              </w:rPr>
              <w:t>招标文件咨询</w:t>
            </w:r>
          </w:p>
        </w:tc>
        <w:tc>
          <w:tcPr>
            <w:tcW w:w="3609" w:type="pct"/>
            <w:vAlign w:val="center"/>
          </w:tcPr>
          <w:p>
            <w:pPr>
              <w:spacing w:line="360" w:lineRule="auto"/>
              <w:ind w:right="105" w:rightChars="50"/>
              <w:jc w:val="left"/>
              <w:rPr>
                <w:rFonts w:ascii="宋体" w:hAnsi="宋体"/>
                <w:color w:val="000000"/>
                <w:sz w:val="24"/>
              </w:rPr>
            </w:pPr>
            <w:r>
              <w:rPr>
                <w:rFonts w:hint="eastAsia" w:ascii="宋体" w:hAnsi="宋体"/>
                <w:color w:val="000000"/>
                <w:sz w:val="24"/>
              </w:rPr>
              <w:t>联系人：万新、孙蕾</w:t>
            </w:r>
          </w:p>
          <w:p>
            <w:pPr>
              <w:spacing w:line="360" w:lineRule="auto"/>
              <w:ind w:right="105" w:rightChars="50"/>
              <w:jc w:val="left"/>
              <w:rPr>
                <w:rFonts w:ascii="宋体" w:hAnsi="宋体"/>
                <w:color w:val="000000"/>
                <w:sz w:val="24"/>
              </w:rPr>
            </w:pPr>
            <w:r>
              <w:rPr>
                <w:rFonts w:hint="eastAsia" w:ascii="宋体" w:hAnsi="宋体"/>
                <w:color w:val="000000"/>
                <w:sz w:val="24"/>
              </w:rPr>
              <w:t>联系电话：028-86266522/86266520/86246522-607、608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ascii="宋体" w:hAnsi="宋体"/>
                <w:color w:val="000000"/>
                <w:sz w:val="24"/>
              </w:rPr>
              <w:t>20</w:t>
            </w:r>
          </w:p>
        </w:tc>
        <w:tc>
          <w:tcPr>
            <w:tcW w:w="987" w:type="pct"/>
            <w:vAlign w:val="center"/>
          </w:tcPr>
          <w:p>
            <w:pPr>
              <w:spacing w:line="360" w:lineRule="auto"/>
              <w:ind w:left="105" w:leftChars="50" w:right="105" w:rightChars="50"/>
              <w:jc w:val="center"/>
              <w:rPr>
                <w:rFonts w:ascii="宋体" w:hAnsi="宋体"/>
                <w:b/>
                <w:color w:val="000000"/>
                <w:sz w:val="24"/>
                <w:lang w:val="zh-CN"/>
              </w:rPr>
            </w:pPr>
            <w:r>
              <w:rPr>
                <w:rFonts w:hint="eastAsia" w:ascii="宋体" w:hAnsi="宋体"/>
                <w:b/>
                <w:color w:val="000000"/>
                <w:sz w:val="24"/>
              </w:rPr>
              <w:t>中标通知书领取</w:t>
            </w:r>
          </w:p>
        </w:tc>
        <w:tc>
          <w:tcPr>
            <w:tcW w:w="3609" w:type="pct"/>
            <w:vAlign w:val="center"/>
          </w:tcPr>
          <w:p>
            <w:pPr>
              <w:tabs>
                <w:tab w:val="left" w:pos="7665"/>
              </w:tabs>
              <w:spacing w:line="360" w:lineRule="auto"/>
              <w:rPr>
                <w:rFonts w:ascii="宋体" w:hAnsi="宋体"/>
                <w:color w:val="000000"/>
                <w:sz w:val="24"/>
              </w:rPr>
            </w:pPr>
            <w:r>
              <w:rPr>
                <w:rFonts w:hint="eastAsia" w:ascii="宋体" w:hAnsi="宋体"/>
                <w:color w:val="000000"/>
                <w:sz w:val="24"/>
              </w:rPr>
              <w:t>中标结果公告发布后，请中标供应商按照采购代理机构要求（邮件通知）到</w:t>
            </w:r>
            <w:r>
              <w:rPr>
                <w:rFonts w:hint="eastAsia" w:ascii="宋体" w:hAnsi="宋体"/>
                <w:color w:val="000000"/>
                <w:sz w:val="24"/>
                <w:lang w:val="zh-CN"/>
              </w:rPr>
              <w:t>中航技国际经贸发展有限公司</w:t>
            </w:r>
            <w:r>
              <w:rPr>
                <w:rFonts w:hint="eastAsia" w:ascii="宋体" w:hAnsi="宋体"/>
                <w:color w:val="000000"/>
                <w:sz w:val="24"/>
              </w:rPr>
              <w:t>领取中标通知书。</w:t>
            </w:r>
          </w:p>
          <w:p>
            <w:pPr>
              <w:spacing w:line="360" w:lineRule="auto"/>
              <w:rPr>
                <w:rFonts w:ascii="宋体" w:hAnsi="宋体"/>
                <w:color w:val="000000"/>
                <w:sz w:val="24"/>
                <w:lang w:val="zh-CN"/>
              </w:rPr>
            </w:pPr>
            <w:r>
              <w:rPr>
                <w:rFonts w:hint="eastAsia" w:ascii="宋体" w:hAnsi="宋体"/>
                <w:color w:val="000000"/>
                <w:sz w:val="24"/>
                <w:lang w:val="zh-CN"/>
              </w:rPr>
              <w:t>联系人：何女士</w:t>
            </w:r>
          </w:p>
          <w:p>
            <w:pPr>
              <w:spacing w:line="360" w:lineRule="auto"/>
              <w:rPr>
                <w:rFonts w:ascii="宋体" w:hAnsi="宋体"/>
                <w:color w:val="000000"/>
                <w:sz w:val="24"/>
                <w:lang w:val="zh-CN"/>
              </w:rPr>
            </w:pPr>
            <w:r>
              <w:rPr>
                <w:rFonts w:hint="eastAsia" w:ascii="宋体" w:hAnsi="宋体"/>
                <w:color w:val="000000"/>
                <w:sz w:val="24"/>
                <w:lang w:val="zh-CN"/>
              </w:rPr>
              <w:t>联系电话：028-86266522/86266520/86246522-60</w:t>
            </w:r>
            <w:r>
              <w:rPr>
                <w:rFonts w:ascii="宋体" w:hAnsi="宋体"/>
                <w:color w:val="000000"/>
                <w:sz w:val="24"/>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ascii="宋体" w:hAnsi="宋体"/>
                <w:color w:val="000000"/>
                <w:sz w:val="24"/>
              </w:rPr>
              <w:t>21</w:t>
            </w:r>
          </w:p>
        </w:tc>
        <w:tc>
          <w:tcPr>
            <w:tcW w:w="987" w:type="pct"/>
            <w:vAlign w:val="center"/>
          </w:tcPr>
          <w:p>
            <w:pPr>
              <w:pStyle w:val="42"/>
              <w:spacing w:line="360" w:lineRule="auto"/>
              <w:jc w:val="center"/>
              <w:rPr>
                <w:b/>
                <w:color w:val="000000"/>
                <w:lang w:val="zh-CN"/>
              </w:rPr>
            </w:pPr>
            <w:r>
              <w:rPr>
                <w:rFonts w:hint="eastAsia" w:cs="Times New Roman"/>
                <w:b/>
                <w:color w:val="000000"/>
                <w:kern w:val="2"/>
              </w:rPr>
              <w:t>供应商询问</w:t>
            </w:r>
          </w:p>
        </w:tc>
        <w:tc>
          <w:tcPr>
            <w:tcW w:w="3609" w:type="pct"/>
          </w:tcPr>
          <w:p>
            <w:pPr>
              <w:spacing w:line="360" w:lineRule="auto"/>
              <w:rPr>
                <w:rFonts w:ascii="宋体" w:hAnsi="宋体"/>
                <w:color w:val="000000"/>
                <w:sz w:val="24"/>
                <w:lang w:val="zh-CN"/>
              </w:rPr>
            </w:pPr>
            <w:r>
              <w:rPr>
                <w:rFonts w:hint="eastAsia" w:ascii="宋体" w:hAnsi="宋体"/>
                <w:color w:val="000000"/>
                <w:sz w:val="24"/>
              </w:rPr>
              <w:t>根据委托代理协议约定，对于采购文件技术参数部分的询问由</w:t>
            </w:r>
            <w:r>
              <w:rPr>
                <w:rFonts w:hint="eastAsia" w:ascii="宋体" w:hAnsi="宋体"/>
                <w:color w:val="000000"/>
                <w:sz w:val="24"/>
                <w:lang w:val="zh-CN"/>
              </w:rPr>
              <w:t>采购人负责答复，其他部分的询问由代理机构负责答复。</w:t>
            </w:r>
          </w:p>
          <w:p>
            <w:pPr>
              <w:spacing w:line="360" w:lineRule="auto"/>
              <w:ind w:right="105" w:rightChars="50"/>
              <w:jc w:val="left"/>
              <w:rPr>
                <w:rFonts w:ascii="宋体" w:hAnsi="宋体"/>
                <w:color w:val="000000"/>
                <w:sz w:val="24"/>
              </w:rPr>
            </w:pPr>
            <w:r>
              <w:rPr>
                <w:rFonts w:hint="eastAsia" w:ascii="宋体" w:hAnsi="宋体"/>
                <w:color w:val="000000"/>
                <w:sz w:val="24"/>
              </w:rPr>
              <w:t>联系人：万新、孙蕾</w:t>
            </w:r>
          </w:p>
          <w:p>
            <w:pPr>
              <w:spacing w:line="360" w:lineRule="auto"/>
              <w:ind w:right="105" w:rightChars="50"/>
              <w:rPr>
                <w:rFonts w:ascii="宋体" w:hAnsi="宋体"/>
                <w:color w:val="000000"/>
                <w:sz w:val="24"/>
              </w:rPr>
            </w:pPr>
            <w:r>
              <w:rPr>
                <w:rFonts w:hint="eastAsia" w:ascii="宋体" w:hAnsi="宋体"/>
                <w:color w:val="000000"/>
                <w:sz w:val="24"/>
              </w:rPr>
              <w:t>联系电话：028-86266522/86266520/86246522-607、608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ascii="宋体" w:hAnsi="宋体"/>
                <w:color w:val="000000"/>
                <w:sz w:val="24"/>
              </w:rPr>
              <w:t>22</w:t>
            </w:r>
          </w:p>
        </w:tc>
        <w:tc>
          <w:tcPr>
            <w:tcW w:w="987" w:type="pct"/>
            <w:vAlign w:val="center"/>
          </w:tcPr>
          <w:p>
            <w:pPr>
              <w:pStyle w:val="42"/>
              <w:spacing w:line="360" w:lineRule="auto"/>
              <w:jc w:val="center"/>
              <w:rPr>
                <w:b/>
                <w:color w:val="000000"/>
              </w:rPr>
            </w:pPr>
            <w:r>
              <w:rPr>
                <w:rFonts w:hint="eastAsia" w:cs="Times New Roman"/>
                <w:b/>
                <w:color w:val="000000"/>
                <w:kern w:val="2"/>
              </w:rPr>
              <w:t>供应商质疑</w:t>
            </w:r>
          </w:p>
        </w:tc>
        <w:tc>
          <w:tcPr>
            <w:tcW w:w="3609" w:type="pct"/>
            <w:vAlign w:val="center"/>
          </w:tcPr>
          <w:p>
            <w:pPr>
              <w:spacing w:line="360" w:lineRule="auto"/>
              <w:ind w:right="105" w:rightChars="50"/>
              <w:jc w:val="left"/>
              <w:rPr>
                <w:rFonts w:ascii="宋体" w:hAnsi="宋体"/>
                <w:color w:val="000000"/>
                <w:sz w:val="24"/>
              </w:rPr>
            </w:pPr>
            <w:r>
              <w:rPr>
                <w:rFonts w:hint="eastAsia" w:ascii="宋体" w:hAnsi="宋体"/>
                <w:color w:val="000000"/>
                <w:sz w:val="24"/>
              </w:rPr>
              <w:t>根据委托代理协议约定，对于采购文件技术参数部分的质疑由</w:t>
            </w:r>
            <w:r>
              <w:rPr>
                <w:rFonts w:hint="eastAsia" w:ascii="宋体" w:hAnsi="宋体"/>
                <w:color w:val="000000"/>
                <w:sz w:val="24"/>
                <w:lang w:val="zh-CN"/>
              </w:rPr>
              <w:t>采购人负责答复（代理机构可转达），其他部分的质疑由代理机构负责答复</w:t>
            </w:r>
            <w:r>
              <w:rPr>
                <w:rFonts w:hint="eastAsia" w:ascii="宋体" w:hAnsi="宋体"/>
                <w:color w:val="000000"/>
                <w:sz w:val="24"/>
              </w:rPr>
              <w:t>。</w:t>
            </w:r>
          </w:p>
          <w:p>
            <w:pPr>
              <w:spacing w:line="360" w:lineRule="auto"/>
              <w:ind w:right="105" w:rightChars="50"/>
              <w:jc w:val="left"/>
              <w:rPr>
                <w:rFonts w:ascii="宋体" w:hAnsi="宋体"/>
                <w:color w:val="000000"/>
                <w:sz w:val="24"/>
              </w:rPr>
            </w:pPr>
            <w:r>
              <w:rPr>
                <w:rFonts w:hint="eastAsia" w:ascii="宋体" w:hAnsi="宋体"/>
                <w:color w:val="000000"/>
                <w:sz w:val="24"/>
              </w:rPr>
              <w:t>联系人：万新、孙蕾</w:t>
            </w:r>
          </w:p>
          <w:p>
            <w:pPr>
              <w:spacing w:line="360" w:lineRule="auto"/>
              <w:ind w:right="105" w:rightChars="50"/>
              <w:jc w:val="left"/>
              <w:rPr>
                <w:rFonts w:ascii="宋体" w:hAnsi="宋体"/>
                <w:color w:val="000000"/>
                <w:sz w:val="24"/>
              </w:rPr>
            </w:pPr>
            <w:r>
              <w:rPr>
                <w:rFonts w:hint="eastAsia" w:ascii="宋体" w:hAnsi="宋体"/>
                <w:color w:val="000000"/>
                <w:sz w:val="24"/>
              </w:rPr>
              <w:t xml:space="preserve">联系电话：028-86266522/86266520/86246522-607、608 </w:t>
            </w:r>
          </w:p>
          <w:p>
            <w:pPr>
              <w:spacing w:line="360" w:lineRule="auto"/>
              <w:ind w:right="105" w:rightChars="50"/>
              <w:jc w:val="left"/>
              <w:rPr>
                <w:rFonts w:ascii="宋体" w:hAnsi="宋体"/>
                <w:color w:val="000000"/>
                <w:sz w:val="24"/>
                <w:lang w:val="zh-CN"/>
              </w:rPr>
            </w:pPr>
            <w:r>
              <w:rPr>
                <w:rFonts w:hint="eastAsia" w:ascii="宋体" w:hAnsi="宋体"/>
                <w:color w:val="000000"/>
                <w:sz w:val="24"/>
                <w:lang w:val="zh-CN"/>
              </w:rPr>
              <w:t>注：</w:t>
            </w:r>
            <w:r>
              <w:rPr>
                <w:rFonts w:hint="eastAsia" w:ascii="宋体" w:hAnsi="宋体"/>
                <w:color w:val="000000"/>
                <w:sz w:val="24"/>
              </w:rPr>
              <w:t>1.</w:t>
            </w:r>
            <w:r>
              <w:rPr>
                <w:rFonts w:hint="eastAsia" w:ascii="宋体" w:hAnsi="宋体"/>
                <w:color w:val="000000"/>
                <w:sz w:val="24"/>
                <w:lang w:val="zh-CN"/>
              </w:rPr>
              <w:t>根据《中华人民共和国政府采购法》的规定，供应商质疑不得超出采购文件、采购过程、采购结果的范围。</w:t>
            </w:r>
          </w:p>
          <w:p>
            <w:pPr>
              <w:spacing w:line="360" w:lineRule="auto"/>
              <w:ind w:right="105" w:rightChars="50" w:firstLine="480" w:firstLineChars="200"/>
              <w:jc w:val="left"/>
              <w:rPr>
                <w:rFonts w:ascii="宋体" w:hAnsi="宋体"/>
                <w:color w:val="000000"/>
                <w:sz w:val="24"/>
                <w:lang w:val="zh-CN"/>
              </w:rPr>
            </w:pPr>
            <w:r>
              <w:rPr>
                <w:rFonts w:hint="eastAsia" w:ascii="宋体" w:hAnsi="宋体"/>
                <w:color w:val="000000"/>
                <w:sz w:val="24"/>
              </w:rPr>
              <w:t>2.</w:t>
            </w:r>
            <w:r>
              <w:rPr>
                <w:rFonts w:hint="eastAsia" w:ascii="宋体" w:hAnsi="宋体"/>
                <w:color w:val="000000"/>
                <w:sz w:val="24"/>
                <w:lang w:val="zh-CN"/>
              </w:rPr>
              <w:t>供应商在法定质疑期内一次性提出针对同一采购程序环节的质疑。</w:t>
            </w:r>
          </w:p>
          <w:p>
            <w:pPr>
              <w:spacing w:line="360" w:lineRule="auto"/>
              <w:ind w:right="105" w:rightChars="50" w:firstLine="480" w:firstLineChars="200"/>
              <w:jc w:val="left"/>
              <w:rPr>
                <w:rFonts w:ascii="宋体" w:hAnsi="宋体"/>
                <w:color w:val="000000"/>
                <w:sz w:val="24"/>
              </w:rPr>
            </w:pPr>
            <w:r>
              <w:rPr>
                <w:rFonts w:hint="eastAsia" w:ascii="宋体" w:hAnsi="宋体"/>
                <w:color w:val="000000"/>
                <w:sz w:val="24"/>
              </w:rPr>
              <w:t>3.供应商质疑须符合《政府采购质疑和投诉办法》（财政部令第94号），并使用财政部下发的《质疑函》范本。</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ascii="宋体" w:hAnsi="宋体"/>
                <w:color w:val="000000"/>
                <w:sz w:val="24"/>
              </w:rPr>
              <w:t>23</w:t>
            </w:r>
          </w:p>
        </w:tc>
        <w:tc>
          <w:tcPr>
            <w:tcW w:w="987" w:type="pct"/>
            <w:vAlign w:val="center"/>
          </w:tcPr>
          <w:p>
            <w:pPr>
              <w:pStyle w:val="42"/>
              <w:spacing w:line="360" w:lineRule="auto"/>
              <w:jc w:val="center"/>
              <w:rPr>
                <w:b/>
                <w:color w:val="000000"/>
              </w:rPr>
            </w:pPr>
            <w:r>
              <w:rPr>
                <w:rFonts w:hint="eastAsia" w:cs="Times New Roman"/>
                <w:b/>
                <w:color w:val="000000"/>
                <w:kern w:val="2"/>
              </w:rPr>
              <w:t>供应商投诉</w:t>
            </w:r>
          </w:p>
        </w:tc>
        <w:tc>
          <w:tcPr>
            <w:tcW w:w="3609" w:type="pct"/>
            <w:vAlign w:val="center"/>
          </w:tcPr>
          <w:p>
            <w:pPr>
              <w:spacing w:line="360" w:lineRule="auto"/>
              <w:ind w:right="105" w:rightChars="50"/>
              <w:rPr>
                <w:rFonts w:ascii="宋体" w:hAnsi="宋体"/>
                <w:color w:val="000000"/>
                <w:sz w:val="24"/>
              </w:rPr>
            </w:pPr>
            <w:r>
              <w:rPr>
                <w:rFonts w:hint="eastAsia" w:ascii="宋体" w:hAnsi="宋体"/>
                <w:color w:val="000000"/>
                <w:sz w:val="24"/>
              </w:rPr>
              <w:t>投诉受理单位：</w:t>
            </w:r>
            <w:r>
              <w:rPr>
                <w:rFonts w:hint="eastAsia" w:ascii="宋体" w:hAnsi="宋体"/>
                <w:color w:val="000000"/>
                <w:sz w:val="24"/>
                <w:lang w:val="zh-CN"/>
              </w:rPr>
              <w:t>成都市财政局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403" w:type="pct"/>
            <w:vAlign w:val="center"/>
          </w:tcPr>
          <w:p>
            <w:pPr>
              <w:spacing w:line="360" w:lineRule="auto"/>
              <w:jc w:val="center"/>
              <w:rPr>
                <w:rFonts w:ascii="宋体" w:hAnsi="宋体"/>
                <w:color w:val="000000"/>
                <w:sz w:val="24"/>
              </w:rPr>
            </w:pPr>
            <w:r>
              <w:rPr>
                <w:rFonts w:ascii="宋体" w:hAnsi="宋体"/>
                <w:color w:val="000000"/>
                <w:sz w:val="24"/>
              </w:rPr>
              <w:t>24</w:t>
            </w:r>
          </w:p>
        </w:tc>
        <w:tc>
          <w:tcPr>
            <w:tcW w:w="987" w:type="pct"/>
            <w:vAlign w:val="center"/>
          </w:tcPr>
          <w:p>
            <w:pPr>
              <w:spacing w:line="360" w:lineRule="auto"/>
              <w:jc w:val="center"/>
              <w:rPr>
                <w:rFonts w:ascii="宋体" w:hAnsi="宋体"/>
                <w:b/>
                <w:color w:val="000000"/>
                <w:sz w:val="24"/>
              </w:rPr>
            </w:pPr>
            <w:r>
              <w:rPr>
                <w:rFonts w:hint="eastAsia" w:ascii="宋体" w:hAnsi="宋体"/>
                <w:b/>
                <w:color w:val="000000"/>
                <w:sz w:val="24"/>
              </w:rPr>
              <w:t>代理服务费</w:t>
            </w:r>
          </w:p>
        </w:tc>
        <w:tc>
          <w:tcPr>
            <w:tcW w:w="3609" w:type="pct"/>
            <w:vAlign w:val="center"/>
          </w:tcPr>
          <w:p>
            <w:pPr>
              <w:spacing w:line="360" w:lineRule="auto"/>
              <w:jc w:val="left"/>
              <w:rPr>
                <w:rFonts w:ascii="宋体" w:hAnsi="宋体"/>
                <w:color w:val="000000" w:themeColor="text1"/>
                <w:sz w:val="24"/>
              </w:rPr>
            </w:pPr>
            <w:r>
              <w:rPr>
                <w:rFonts w:hint="eastAsia" w:ascii="宋体" w:hAnsi="宋体"/>
                <w:color w:val="000000" w:themeColor="text1"/>
                <w:sz w:val="24"/>
              </w:rPr>
              <w:t>按照《四川省政府采购营商环境指标提升专项行动工作方案》中“成本+合理利润”原则，</w:t>
            </w:r>
            <w:r>
              <w:rPr>
                <w:rFonts w:ascii="宋体" w:hAnsi="宋体"/>
                <w:color w:val="000000" w:themeColor="text1"/>
                <w:sz w:val="24"/>
              </w:rPr>
              <w:t>以</w:t>
            </w:r>
            <w:r>
              <w:rPr>
                <w:rFonts w:hint="eastAsia" w:ascii="宋体" w:hAnsi="宋体"/>
                <w:color w:val="000000" w:themeColor="text1"/>
                <w:sz w:val="24"/>
              </w:rPr>
              <w:t>中标</w:t>
            </w:r>
            <w:r>
              <w:rPr>
                <w:rFonts w:ascii="宋体" w:hAnsi="宋体"/>
                <w:color w:val="000000" w:themeColor="text1"/>
                <w:sz w:val="24"/>
              </w:rPr>
              <w:t>金额作为计算基数，按照以下收费标准计算进行收取。</w:t>
            </w:r>
            <w:r>
              <w:rPr>
                <w:rFonts w:hint="eastAsia" w:ascii="宋体" w:hAnsi="宋体"/>
                <w:color w:val="000000" w:themeColor="text1"/>
                <w:sz w:val="24"/>
              </w:rPr>
              <w:t>由中标人向采购代理机构支付。</w:t>
            </w:r>
            <w:r>
              <w:rPr>
                <w:rFonts w:ascii="宋体" w:hAnsi="宋体"/>
                <w:color w:val="000000" w:themeColor="text1"/>
                <w:sz w:val="24"/>
              </w:rPr>
              <w:t>收费标准（费率）：</w:t>
            </w:r>
          </w:p>
          <w:p>
            <w:pPr>
              <w:spacing w:line="360" w:lineRule="auto"/>
              <w:jc w:val="center"/>
              <w:rPr>
                <w:rFonts w:ascii="宋体" w:hAnsi="宋体"/>
                <w:color w:val="000000" w:themeColor="text1"/>
                <w:sz w:val="24"/>
              </w:rPr>
            </w:pPr>
            <w:r>
              <w:rPr>
                <w:rFonts w:ascii="宋体" w:hAnsi="宋体"/>
                <w:color w:val="000000" w:themeColor="text1"/>
                <w:sz w:val="24"/>
              </w:rPr>
              <w:drawing>
                <wp:inline distT="0" distB="0" distL="0" distR="0">
                  <wp:extent cx="3578225" cy="1208405"/>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srcRect/>
                          <a:stretch>
                            <a:fillRect/>
                          </a:stretch>
                        </pic:blipFill>
                        <pic:spPr>
                          <a:xfrm>
                            <a:off x="0" y="0"/>
                            <a:ext cx="3578225" cy="1208405"/>
                          </a:xfrm>
                          <a:prstGeom prst="rect">
                            <a:avLst/>
                          </a:prstGeom>
                          <a:noFill/>
                          <a:ln w="9525">
                            <a:noFill/>
                            <a:miter lim="800000"/>
                            <a:headEnd/>
                            <a:tailEnd/>
                          </a:ln>
                        </pic:spPr>
                      </pic:pic>
                    </a:graphicData>
                  </a:graphic>
                </wp:inline>
              </w:drawing>
            </w:r>
          </w:p>
          <w:p>
            <w:pPr>
              <w:spacing w:line="360" w:lineRule="auto"/>
              <w:jc w:val="left"/>
              <w:rPr>
                <w:rFonts w:ascii="宋体" w:hAnsi="宋体"/>
                <w:color w:val="000000"/>
                <w:sz w:val="24"/>
              </w:rPr>
            </w:pPr>
            <w:r>
              <w:rPr>
                <w:rFonts w:hint="eastAsia" w:ascii="宋体" w:hAnsi="宋体"/>
                <w:bCs/>
                <w:color w:val="000000" w:themeColor="text1"/>
                <w:sz w:val="24"/>
              </w:rPr>
              <w:t>注: ①按本表费率计算的收费为采购代理服务全过程的收费基准价格。②采购代理服务收费按差额定率累进法计算。</w:t>
            </w:r>
          </w:p>
          <w:p>
            <w:pPr>
              <w:spacing w:line="360" w:lineRule="auto"/>
              <w:jc w:val="left"/>
              <w:rPr>
                <w:rFonts w:ascii="宋体" w:hAnsi="宋体"/>
                <w:b/>
                <w:bCs/>
                <w:color w:val="000000"/>
                <w:sz w:val="24"/>
              </w:rPr>
            </w:pPr>
            <w:r>
              <w:rPr>
                <w:rFonts w:hint="eastAsia" w:ascii="宋体" w:hAnsi="宋体"/>
                <w:b/>
                <w:bCs/>
                <w:color w:val="000000"/>
                <w:sz w:val="24"/>
              </w:rPr>
              <w:t>缴费账户：</w:t>
            </w:r>
          </w:p>
          <w:p>
            <w:pPr>
              <w:spacing w:line="360" w:lineRule="auto"/>
              <w:jc w:val="left"/>
              <w:rPr>
                <w:rFonts w:ascii="宋体" w:hAnsi="宋体"/>
                <w:color w:val="000000"/>
                <w:sz w:val="24"/>
              </w:rPr>
            </w:pPr>
            <w:r>
              <w:rPr>
                <w:rFonts w:hint="eastAsia" w:ascii="宋体" w:hAnsi="宋体"/>
                <w:color w:val="000000"/>
                <w:sz w:val="24"/>
              </w:rPr>
              <w:t>账户名称：中航技国际经贸发展有限公司成都分公司</w:t>
            </w:r>
          </w:p>
          <w:p>
            <w:pPr>
              <w:spacing w:line="360" w:lineRule="auto"/>
              <w:jc w:val="left"/>
              <w:rPr>
                <w:rFonts w:ascii="宋体" w:hAnsi="宋体"/>
                <w:color w:val="000000"/>
                <w:sz w:val="24"/>
              </w:rPr>
            </w:pPr>
            <w:r>
              <w:rPr>
                <w:rFonts w:hint="eastAsia" w:ascii="宋体" w:hAnsi="宋体"/>
                <w:color w:val="000000"/>
                <w:sz w:val="24"/>
              </w:rPr>
              <w:t>银行名称：招商银行成都锦官城支行</w:t>
            </w:r>
          </w:p>
          <w:p>
            <w:pPr>
              <w:spacing w:line="360" w:lineRule="auto"/>
              <w:jc w:val="left"/>
              <w:rPr>
                <w:rFonts w:ascii="宋体" w:hAnsi="宋体"/>
                <w:color w:val="000000"/>
                <w:sz w:val="24"/>
                <w:lang w:val="zh-CN"/>
              </w:rPr>
            </w:pPr>
            <w:r>
              <w:rPr>
                <w:rFonts w:hint="eastAsia" w:ascii="宋体" w:hAnsi="宋体"/>
                <w:color w:val="000000"/>
                <w:sz w:val="24"/>
              </w:rPr>
              <w:t>账号：128903954510601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2</w:t>
            </w:r>
            <w:r>
              <w:rPr>
                <w:rFonts w:ascii="宋体" w:hAnsi="宋体"/>
                <w:color w:val="000000"/>
                <w:sz w:val="24"/>
              </w:rPr>
              <w:t>5</w:t>
            </w:r>
          </w:p>
        </w:tc>
        <w:tc>
          <w:tcPr>
            <w:tcW w:w="987" w:type="pct"/>
            <w:vAlign w:val="center"/>
          </w:tcPr>
          <w:p>
            <w:pPr>
              <w:pStyle w:val="42"/>
              <w:spacing w:line="360" w:lineRule="auto"/>
              <w:jc w:val="center"/>
              <w:rPr>
                <w:b/>
                <w:color w:val="000000"/>
              </w:rPr>
            </w:pPr>
            <w:r>
              <w:rPr>
                <w:rFonts w:hint="eastAsia" w:cs="Times New Roman"/>
                <w:b/>
                <w:color w:val="000000"/>
                <w:kern w:val="2"/>
              </w:rPr>
              <w:t>中小企业信用融资</w:t>
            </w:r>
          </w:p>
        </w:tc>
        <w:tc>
          <w:tcPr>
            <w:tcW w:w="3609" w:type="pct"/>
            <w:vAlign w:val="center"/>
          </w:tcPr>
          <w:p>
            <w:pPr>
              <w:spacing w:line="360" w:lineRule="auto"/>
              <w:jc w:val="left"/>
              <w:rPr>
                <w:rFonts w:ascii="宋体" w:hAnsi="宋体"/>
                <w:color w:val="000000"/>
                <w:sz w:val="24"/>
              </w:rPr>
            </w:pPr>
            <w:r>
              <w:rPr>
                <w:rFonts w:hint="eastAsia" w:ascii="宋体" w:hAnsi="宋体"/>
                <w:color w:val="000000"/>
                <w:sz w:val="24"/>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p>
            <w:pPr>
              <w:spacing w:line="360" w:lineRule="auto"/>
              <w:jc w:val="left"/>
              <w:rPr>
                <w:rFonts w:ascii="宋体" w:hAnsi="宋体"/>
                <w:color w:val="000000"/>
                <w:sz w:val="24"/>
              </w:rPr>
            </w:pPr>
            <w:r>
              <w:rPr>
                <w:rFonts w:hint="eastAsia" w:ascii="宋体" w:hAnsi="宋体"/>
                <w:color w:val="000000"/>
                <w:sz w:val="24"/>
              </w:rPr>
              <w:t>根据四川省财政厅关于印发《四川省财政厅关于推进四川省政府采购供应商信用融资工作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26</w:t>
            </w:r>
          </w:p>
        </w:tc>
        <w:tc>
          <w:tcPr>
            <w:tcW w:w="987" w:type="pct"/>
            <w:vAlign w:val="center"/>
          </w:tcPr>
          <w:p>
            <w:pPr>
              <w:pStyle w:val="42"/>
              <w:spacing w:line="360" w:lineRule="auto"/>
              <w:jc w:val="center"/>
              <w:rPr>
                <w:rFonts w:cs="Times New Roman"/>
                <w:b/>
                <w:color w:val="000000"/>
                <w:kern w:val="2"/>
              </w:rPr>
            </w:pPr>
            <w:r>
              <w:rPr>
                <w:rFonts w:cs="Times New Roman"/>
                <w:b/>
                <w:color w:val="000000"/>
                <w:kern w:val="2"/>
              </w:rPr>
              <w:t>电子化交易</w:t>
            </w:r>
          </w:p>
          <w:p>
            <w:pPr>
              <w:pStyle w:val="42"/>
              <w:spacing w:line="360" w:lineRule="auto"/>
              <w:jc w:val="center"/>
              <w:rPr>
                <w:rFonts w:cs="Times New Roman"/>
                <w:b/>
                <w:color w:val="000000"/>
                <w:kern w:val="2"/>
              </w:rPr>
            </w:pPr>
            <w:r>
              <w:rPr>
                <w:rFonts w:hint="eastAsia" w:cs="Times New Roman"/>
                <w:b/>
                <w:color w:val="000000"/>
                <w:kern w:val="2"/>
              </w:rPr>
              <w:t>（实质性要求）</w:t>
            </w:r>
          </w:p>
        </w:tc>
        <w:tc>
          <w:tcPr>
            <w:tcW w:w="3609" w:type="pct"/>
            <w:vAlign w:val="center"/>
          </w:tcPr>
          <w:p>
            <w:pPr>
              <w:spacing w:line="360" w:lineRule="auto"/>
              <w:jc w:val="left"/>
              <w:rPr>
                <w:rFonts w:ascii="宋体" w:hAnsi="宋体"/>
                <w:color w:val="000000"/>
                <w:sz w:val="24"/>
              </w:rPr>
            </w:pPr>
            <w:r>
              <w:rPr>
                <w:rFonts w:hint="eastAsia" w:ascii="宋体" w:hAnsi="宋体"/>
                <w:color w:val="000000"/>
                <w:sz w:val="24"/>
              </w:rPr>
              <w:t>供应商编制、提交投标文件，开标，</w:t>
            </w:r>
            <w:r>
              <w:rPr>
                <w:rFonts w:ascii="宋体" w:hAnsi="宋体"/>
                <w:color w:val="000000"/>
                <w:sz w:val="24"/>
              </w:rPr>
              <w:t>评标</w:t>
            </w:r>
            <w:r>
              <w:rPr>
                <w:rFonts w:hint="eastAsia" w:ascii="宋体" w:hAnsi="宋体"/>
                <w:color w:val="000000"/>
                <w:sz w:val="24"/>
              </w:rPr>
              <w:t>等环节均在政府采购云平台中完成。供应商应按照政府采购云平台及文件编制软件的操作手册（说明）进行操作，并承担操作不当带来的不利后果。</w:t>
            </w:r>
          </w:p>
          <w:p>
            <w:pPr>
              <w:spacing w:line="360" w:lineRule="auto"/>
              <w:jc w:val="left"/>
              <w:rPr>
                <w:rFonts w:ascii="宋体" w:hAnsi="宋体"/>
                <w:color w:val="000000"/>
                <w:sz w:val="24"/>
              </w:rPr>
            </w:pPr>
            <w:r>
              <w:rPr>
                <w:rFonts w:hint="eastAsia" w:ascii="宋体" w:hAnsi="宋体"/>
                <w:color w:val="000000"/>
                <w:sz w:val="24"/>
              </w:rPr>
              <w:t>供应商的CA证书是供应商参加采购活动进行系统操作的唯一身份认证，使用CA证书登录政府采购云平台进行的一切操作和资料传递均代表供应商真实意思表示，其真实性、有效性、合法性由供应商负责。</w:t>
            </w:r>
          </w:p>
          <w:p>
            <w:pPr>
              <w:spacing w:line="360" w:lineRule="auto"/>
              <w:jc w:val="left"/>
              <w:rPr>
                <w:rFonts w:ascii="宋体" w:hAnsi="宋体"/>
                <w:color w:val="000000"/>
                <w:sz w:val="24"/>
              </w:rPr>
            </w:pPr>
            <w:r>
              <w:rPr>
                <w:rFonts w:hint="eastAsia" w:ascii="宋体" w:hAnsi="宋体"/>
                <w:color w:val="000000"/>
                <w:sz w:val="24"/>
              </w:rPr>
              <w:t>供应商应当确保其CA证书和使用政府采购云平台的网络设备及环境在参加采购活动期间能够正常使用，严格按照系统操作要求进行系统操作，并自行承担未按前述规定执行所带来的不利后果。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27</w:t>
            </w:r>
          </w:p>
        </w:tc>
        <w:tc>
          <w:tcPr>
            <w:tcW w:w="987" w:type="pct"/>
            <w:vAlign w:val="center"/>
          </w:tcPr>
          <w:p>
            <w:pPr>
              <w:pStyle w:val="42"/>
              <w:spacing w:line="360" w:lineRule="auto"/>
              <w:jc w:val="center"/>
              <w:rPr>
                <w:rFonts w:cs="Times New Roman"/>
                <w:b/>
                <w:color w:val="000000"/>
                <w:kern w:val="2"/>
              </w:rPr>
            </w:pPr>
            <w:r>
              <w:rPr>
                <w:rFonts w:hint="eastAsia" w:cs="Times New Roman"/>
                <w:b/>
                <w:color w:val="000000"/>
                <w:kern w:val="2"/>
              </w:rPr>
              <w:t>投标文件解密、开启时间</w:t>
            </w:r>
          </w:p>
          <w:p>
            <w:pPr>
              <w:pStyle w:val="42"/>
              <w:spacing w:line="360" w:lineRule="auto"/>
              <w:jc w:val="center"/>
              <w:rPr>
                <w:rFonts w:cs="Times New Roman"/>
                <w:b/>
                <w:color w:val="000000"/>
                <w:kern w:val="2"/>
              </w:rPr>
            </w:pPr>
            <w:r>
              <w:rPr>
                <w:rFonts w:hint="eastAsia" w:cs="Times New Roman"/>
                <w:b/>
                <w:color w:val="000000"/>
                <w:kern w:val="2"/>
              </w:rPr>
              <w:t>（实质性要求）</w:t>
            </w:r>
          </w:p>
        </w:tc>
        <w:tc>
          <w:tcPr>
            <w:tcW w:w="3609" w:type="pct"/>
            <w:vAlign w:val="center"/>
          </w:tcPr>
          <w:p>
            <w:pPr>
              <w:spacing w:line="360" w:lineRule="auto"/>
              <w:jc w:val="left"/>
              <w:rPr>
                <w:rFonts w:ascii="宋体" w:hAnsi="宋体"/>
                <w:color w:val="000000"/>
                <w:sz w:val="24"/>
              </w:rPr>
            </w:pPr>
            <w:r>
              <w:rPr>
                <w:rFonts w:hint="eastAsia" w:ascii="宋体" w:hAnsi="宋体"/>
                <w:color w:val="000000"/>
                <w:sz w:val="24"/>
              </w:rPr>
              <w:t>供应商应当在投标截止时间起60分钟内，登录政府采购云平台对其成功提交的投标文件进行解密。除因政府采购云平台发生故障导致无法解密外，未按时解密的投标文件，由采购人或者采购代理机构作为无效投标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403" w:type="pct"/>
            <w:vAlign w:val="center"/>
          </w:tcPr>
          <w:p>
            <w:pPr>
              <w:spacing w:line="360" w:lineRule="auto"/>
              <w:jc w:val="center"/>
              <w:rPr>
                <w:rFonts w:ascii="宋体" w:hAnsi="宋体"/>
                <w:color w:val="000000"/>
                <w:sz w:val="24"/>
              </w:rPr>
            </w:pPr>
            <w:r>
              <w:rPr>
                <w:rFonts w:hint="eastAsia" w:ascii="宋体" w:hAnsi="宋体"/>
                <w:color w:val="000000"/>
                <w:sz w:val="24"/>
              </w:rPr>
              <w:t>28</w:t>
            </w:r>
          </w:p>
        </w:tc>
        <w:tc>
          <w:tcPr>
            <w:tcW w:w="987" w:type="pct"/>
            <w:vAlign w:val="center"/>
          </w:tcPr>
          <w:p>
            <w:pPr>
              <w:pStyle w:val="42"/>
              <w:spacing w:line="360" w:lineRule="auto"/>
              <w:jc w:val="center"/>
              <w:rPr>
                <w:rFonts w:cs="Times New Roman"/>
                <w:b/>
                <w:color w:val="000000"/>
                <w:kern w:val="2"/>
              </w:rPr>
            </w:pPr>
            <w:r>
              <w:rPr>
                <w:rFonts w:hint="eastAsia" w:cs="Times New Roman"/>
                <w:b/>
                <w:color w:val="000000"/>
                <w:kern w:val="2"/>
              </w:rPr>
              <w:t>温馨提示</w:t>
            </w:r>
          </w:p>
        </w:tc>
        <w:tc>
          <w:tcPr>
            <w:tcW w:w="3609" w:type="pct"/>
            <w:vAlign w:val="center"/>
          </w:tcPr>
          <w:p>
            <w:pPr>
              <w:spacing w:line="360" w:lineRule="auto"/>
              <w:ind w:right="105" w:rightChars="50"/>
              <w:rPr>
                <w:rFonts w:ascii="宋体" w:hAnsi="宋体"/>
                <w:color w:val="000000"/>
                <w:sz w:val="24"/>
              </w:rPr>
            </w:pPr>
            <w:r>
              <w:rPr>
                <w:rFonts w:hint="eastAsia" w:ascii="宋体" w:hAnsi="宋体"/>
                <w:color w:val="000000"/>
                <w:sz w:val="24"/>
              </w:rPr>
              <w:t>1.供应商需准备全流程所必需的硬件设备包括电脑（版本 win7 64位及以上）、麦克风、摄像头、CA证书等。建议使用同一台电脑完成投标、评标 相关事宜，推荐安装 chrome 浏览器，且解密CA必须和加密CA为同一把。</w:t>
            </w:r>
          </w:p>
          <w:p>
            <w:pPr>
              <w:spacing w:line="360" w:lineRule="auto"/>
              <w:ind w:right="105" w:rightChars="50"/>
              <w:rPr>
                <w:rFonts w:ascii="宋体" w:hAnsi="宋体"/>
                <w:bCs/>
                <w:color w:val="000000"/>
                <w:sz w:val="24"/>
              </w:rPr>
            </w:pPr>
            <w:r>
              <w:rPr>
                <w:rFonts w:hint="eastAsia" w:ascii="宋体" w:hAnsi="宋体"/>
                <w:bCs/>
                <w:color w:val="000000"/>
                <w:sz w:val="24"/>
              </w:rPr>
              <w:t>2.政府采购云平台供应商注册地址：</w:t>
            </w:r>
          </w:p>
          <w:p>
            <w:pPr>
              <w:spacing w:line="360" w:lineRule="auto"/>
              <w:ind w:right="105" w:rightChars="50"/>
              <w:rPr>
                <w:sz w:val="24"/>
              </w:rPr>
            </w:pPr>
            <w:r>
              <w:rPr>
                <w:rFonts w:ascii="宋体" w:hAnsi="宋体"/>
                <w:color w:val="000000"/>
                <w:sz w:val="24"/>
              </w:rPr>
              <w:t>https://middle.zcygov.cn/v-settle-front/registry?settleCategory=1&amp;entranceType=119&amp;utm=a0017.b1347.cl50.3.c0de9400b91b11eb870ad7da87d69c97</w:t>
            </w:r>
          </w:p>
        </w:tc>
      </w:tr>
    </w:tbl>
    <w:p>
      <w:pPr>
        <w:spacing w:line="360" w:lineRule="auto"/>
        <w:rPr>
          <w:rFonts w:ascii="宋体" w:hAnsi="宋体"/>
          <w:b/>
          <w:bCs/>
          <w:color w:val="000000"/>
          <w:sz w:val="24"/>
        </w:rPr>
      </w:pPr>
      <w:r>
        <w:rPr>
          <w:rFonts w:hint="eastAsia" w:ascii="宋体" w:hAnsi="宋体"/>
          <w:b/>
          <w:bCs/>
          <w:color w:val="000000"/>
          <w:sz w:val="24"/>
        </w:rPr>
        <w:t>特别说明：如本须知前附表内容与招标文件其他部分相应内容不一致的，以本须知前附表内容为准。</w:t>
      </w:r>
    </w:p>
    <w:p>
      <w:pPr>
        <w:pStyle w:val="4"/>
        <w:spacing w:before="120" w:after="120" w:line="400" w:lineRule="exact"/>
        <w:jc w:val="center"/>
        <w:rPr>
          <w:rFonts w:ascii="宋体" w:hAnsi="宋体" w:eastAsia="宋体"/>
          <w:bCs w:val="0"/>
          <w:color w:val="000000"/>
        </w:rPr>
      </w:pPr>
      <w:bookmarkStart w:id="16" w:name="_Toc6308650"/>
      <w:bookmarkStart w:id="17" w:name="_Toc69141775"/>
      <w:bookmarkStart w:id="18" w:name="_Toc6308478"/>
      <w:r>
        <w:rPr>
          <w:rFonts w:hint="eastAsia" w:ascii="宋体" w:hAnsi="宋体" w:eastAsia="宋体"/>
          <w:bCs w:val="0"/>
          <w:color w:val="000000"/>
        </w:rPr>
        <w:t>二、总则</w:t>
      </w:r>
      <w:bookmarkEnd w:id="16"/>
      <w:bookmarkEnd w:id="17"/>
      <w:bookmarkEnd w:id="18"/>
    </w:p>
    <w:p>
      <w:pPr>
        <w:pStyle w:val="5"/>
        <w:spacing w:line="400" w:lineRule="exact"/>
        <w:ind w:firstLine="482" w:firstLineChars="200"/>
        <w:rPr>
          <w:rFonts w:ascii="宋体" w:hAnsi="宋体"/>
          <w:color w:val="000000"/>
          <w:sz w:val="24"/>
        </w:rPr>
      </w:pPr>
      <w:bookmarkStart w:id="19" w:name="_Toc183582205"/>
      <w:bookmarkStart w:id="20" w:name="_Toc183682342"/>
      <w:bookmarkStart w:id="21" w:name="_Toc69141776"/>
      <w:bookmarkStart w:id="22" w:name="_Toc6308479"/>
      <w:bookmarkStart w:id="23" w:name="_Toc6308651"/>
      <w:bookmarkStart w:id="24" w:name="_Toc217446034"/>
      <w:r>
        <w:rPr>
          <w:rFonts w:hint="eastAsia" w:ascii="宋体" w:hAnsi="宋体"/>
          <w:color w:val="000000"/>
          <w:sz w:val="24"/>
        </w:rPr>
        <w:t>1.</w:t>
      </w:r>
      <w:bookmarkEnd w:id="19"/>
      <w:bookmarkEnd w:id="20"/>
      <w:r>
        <w:rPr>
          <w:rFonts w:hint="eastAsia" w:ascii="宋体" w:hAnsi="宋体"/>
          <w:color w:val="000000"/>
          <w:sz w:val="24"/>
          <w:szCs w:val="24"/>
        </w:rPr>
        <w:t>适用范围</w:t>
      </w:r>
      <w:bookmarkEnd w:id="21"/>
      <w:bookmarkEnd w:id="22"/>
      <w:bookmarkEnd w:id="23"/>
      <w:bookmarkEnd w:id="24"/>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1.1 本招标文件仅适用于本次招标采购项目。</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1.2 本招标文件的解释权归采购人和采购代理机构所有。</w:t>
      </w:r>
    </w:p>
    <w:p>
      <w:pPr>
        <w:pStyle w:val="5"/>
        <w:spacing w:line="400" w:lineRule="exact"/>
        <w:ind w:firstLine="482" w:firstLineChars="200"/>
        <w:rPr>
          <w:rFonts w:ascii="宋体" w:hAnsi="宋体"/>
          <w:color w:val="000000"/>
          <w:sz w:val="24"/>
        </w:rPr>
      </w:pPr>
      <w:bookmarkStart w:id="25" w:name="_Toc183582206"/>
      <w:bookmarkStart w:id="26" w:name="_Toc183682343"/>
      <w:bookmarkStart w:id="27" w:name="_Toc6308480"/>
      <w:bookmarkStart w:id="28" w:name="_Toc217446035"/>
      <w:bookmarkStart w:id="29" w:name="_Toc69141777"/>
      <w:bookmarkStart w:id="30" w:name="_Toc6308652"/>
      <w:r>
        <w:rPr>
          <w:rFonts w:hint="eastAsia" w:ascii="宋体" w:hAnsi="宋体"/>
          <w:color w:val="000000"/>
          <w:sz w:val="24"/>
        </w:rPr>
        <w:t>2.</w:t>
      </w:r>
      <w:bookmarkEnd w:id="25"/>
      <w:bookmarkEnd w:id="26"/>
      <w:r>
        <w:rPr>
          <w:rFonts w:hint="eastAsia" w:ascii="宋体" w:hAnsi="宋体"/>
          <w:color w:val="000000"/>
          <w:sz w:val="24"/>
        </w:rPr>
        <w:t>有关</w:t>
      </w:r>
      <w:r>
        <w:rPr>
          <w:rFonts w:hint="eastAsia" w:ascii="宋体" w:hAnsi="宋体"/>
          <w:color w:val="000000"/>
          <w:sz w:val="24"/>
          <w:szCs w:val="24"/>
        </w:rPr>
        <w:t>定义</w:t>
      </w:r>
      <w:bookmarkEnd w:id="27"/>
      <w:bookmarkEnd w:id="28"/>
      <w:bookmarkEnd w:id="29"/>
      <w:bookmarkEnd w:id="30"/>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2.1 “采购人”系指依法进行政府采购的国家机关、事业单位、团体组织。本次招标的采购人是</w:t>
      </w:r>
      <w:r>
        <w:rPr>
          <w:rFonts w:hint="eastAsia" w:ascii="宋体" w:hAnsi="宋体"/>
          <w:color w:val="000000"/>
          <w:sz w:val="24"/>
          <w:u w:val="single"/>
        </w:rPr>
        <w:t>成都市妇女儿童中心医院</w:t>
      </w:r>
      <w:r>
        <w:rPr>
          <w:rFonts w:hint="eastAsia" w:ascii="宋体" w:hAnsi="宋体"/>
          <w:color w:val="000000"/>
          <w:sz w:val="24"/>
        </w:rPr>
        <w:t>。</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2.2 “采购代理机构” 系指根据采购人的委托依法办理招标事宜的采购机构。本次招标的采购代理机构是</w:t>
      </w:r>
      <w:r>
        <w:rPr>
          <w:rFonts w:hint="eastAsia" w:ascii="宋体" w:hAnsi="宋体"/>
          <w:color w:val="000000"/>
          <w:sz w:val="24"/>
          <w:u w:val="single"/>
        </w:rPr>
        <w:t>中航技国际经贸发展有限公司</w:t>
      </w:r>
      <w:r>
        <w:rPr>
          <w:rFonts w:hint="eastAsia" w:ascii="宋体" w:hAnsi="宋体"/>
          <w:color w:val="000000"/>
          <w:sz w:val="24"/>
        </w:rPr>
        <w:t>。</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2.3 “投标人”系指是指响应招标、参加投标竞争的法人、其他组织或者自然人。</w:t>
      </w:r>
    </w:p>
    <w:p>
      <w:pPr>
        <w:pStyle w:val="5"/>
        <w:spacing w:line="400" w:lineRule="exact"/>
        <w:ind w:firstLine="482" w:firstLineChars="200"/>
        <w:rPr>
          <w:rFonts w:ascii="宋体" w:hAnsi="宋体"/>
          <w:color w:val="000000"/>
          <w:sz w:val="24"/>
        </w:rPr>
      </w:pPr>
      <w:bookmarkStart w:id="31" w:name="_Toc183582207"/>
      <w:bookmarkStart w:id="32" w:name="_Toc217446036"/>
      <w:bookmarkStart w:id="33" w:name="_Toc183682344"/>
      <w:bookmarkStart w:id="34" w:name="_Toc217390843"/>
      <w:bookmarkStart w:id="35" w:name="_Toc6308481"/>
      <w:bookmarkStart w:id="36" w:name="_Toc69141778"/>
      <w:bookmarkStart w:id="37" w:name="_Toc6308653"/>
      <w:r>
        <w:rPr>
          <w:rFonts w:hint="eastAsia" w:ascii="宋体" w:hAnsi="宋体"/>
          <w:color w:val="000000"/>
          <w:sz w:val="24"/>
        </w:rPr>
        <w:t>3.合格的投标人</w:t>
      </w:r>
      <w:bookmarkEnd w:id="31"/>
      <w:bookmarkEnd w:id="32"/>
      <w:bookmarkEnd w:id="33"/>
      <w:bookmarkEnd w:id="34"/>
      <w:r>
        <w:rPr>
          <w:rFonts w:hint="eastAsia" w:ascii="宋体" w:hAnsi="宋体"/>
          <w:color w:val="000000"/>
          <w:sz w:val="24"/>
          <w:szCs w:val="24"/>
        </w:rPr>
        <w:t>（实质性要求）</w:t>
      </w:r>
      <w:bookmarkEnd w:id="35"/>
      <w:bookmarkEnd w:id="36"/>
      <w:bookmarkEnd w:id="37"/>
    </w:p>
    <w:p>
      <w:pPr>
        <w:tabs>
          <w:tab w:val="left" w:pos="7665"/>
        </w:tabs>
        <w:spacing w:line="400" w:lineRule="exact"/>
        <w:ind w:firstLine="480" w:firstLineChars="200"/>
        <w:rPr>
          <w:rFonts w:ascii="宋体" w:hAnsi="宋体"/>
          <w:color w:val="000000"/>
          <w:spacing w:val="-4"/>
          <w:sz w:val="24"/>
        </w:rPr>
      </w:pPr>
      <w:bookmarkStart w:id="38" w:name="_Toc183682345"/>
      <w:bookmarkStart w:id="39" w:name="_Toc217446037"/>
      <w:bookmarkStart w:id="40" w:name="_Toc183582208"/>
      <w:bookmarkStart w:id="41" w:name="_Toc6308482"/>
      <w:bookmarkStart w:id="42" w:name="_Toc6308654"/>
      <w:r>
        <w:rPr>
          <w:rFonts w:hint="eastAsia" w:ascii="宋体" w:hAnsi="宋体"/>
          <w:color w:val="000000"/>
          <w:sz w:val="24"/>
        </w:rPr>
        <w:t>3.1 具备法律法规和本招标文件规定的资格条件</w:t>
      </w:r>
      <w:r>
        <w:rPr>
          <w:rFonts w:hint="eastAsia" w:ascii="宋体" w:hAnsi="宋体"/>
          <w:color w:val="000000"/>
          <w:spacing w:val="-4"/>
          <w:sz w:val="24"/>
        </w:rPr>
        <w:t>；</w:t>
      </w:r>
    </w:p>
    <w:p>
      <w:pPr>
        <w:tabs>
          <w:tab w:val="left" w:pos="7665"/>
        </w:tabs>
        <w:spacing w:line="400" w:lineRule="exact"/>
        <w:ind w:firstLine="464" w:firstLineChars="200"/>
        <w:rPr>
          <w:rFonts w:ascii="宋体" w:hAnsi="宋体"/>
          <w:color w:val="000000"/>
          <w:spacing w:val="-4"/>
          <w:sz w:val="24"/>
        </w:rPr>
      </w:pPr>
      <w:r>
        <w:rPr>
          <w:rFonts w:hint="eastAsia" w:ascii="宋体" w:hAnsi="宋体"/>
          <w:color w:val="000000"/>
          <w:spacing w:val="-4"/>
          <w:sz w:val="24"/>
        </w:rPr>
        <w:t>3.2 不属于禁止参加本项目采购活动的</w:t>
      </w:r>
      <w:r>
        <w:rPr>
          <w:rFonts w:hint="eastAsia" w:ascii="宋体" w:hAnsi="宋体"/>
          <w:spacing w:val="-4"/>
          <w:sz w:val="24"/>
        </w:rPr>
        <w:t>供应商</w:t>
      </w:r>
      <w:r>
        <w:rPr>
          <w:rFonts w:hint="eastAsia" w:ascii="宋体" w:hAnsi="宋体"/>
          <w:color w:val="000000"/>
          <w:spacing w:val="-4"/>
          <w:sz w:val="24"/>
        </w:rPr>
        <w:t>；</w:t>
      </w:r>
    </w:p>
    <w:p>
      <w:pPr>
        <w:tabs>
          <w:tab w:val="left" w:pos="7665"/>
        </w:tabs>
        <w:spacing w:line="400" w:lineRule="exact"/>
        <w:ind w:firstLine="464" w:firstLineChars="200"/>
        <w:rPr>
          <w:rFonts w:ascii="宋体" w:hAnsi="宋体"/>
          <w:color w:val="000000"/>
          <w:spacing w:val="-4"/>
          <w:sz w:val="24"/>
        </w:rPr>
      </w:pPr>
      <w:r>
        <w:rPr>
          <w:rFonts w:hint="eastAsia" w:ascii="宋体" w:hAnsi="宋体"/>
          <w:color w:val="000000"/>
          <w:spacing w:val="-4"/>
          <w:sz w:val="24"/>
        </w:rPr>
        <w:t>3.3 按照规定</w:t>
      </w:r>
      <w:r>
        <w:rPr>
          <w:rFonts w:hint="eastAsia" w:ascii="宋体" w:hAnsi="宋体"/>
          <w:color w:val="000000"/>
          <w:sz w:val="24"/>
        </w:rPr>
        <w:t>获取了招标文件，属于实质性参加政府采购活动的供应商。</w:t>
      </w:r>
    </w:p>
    <w:p>
      <w:pPr>
        <w:pStyle w:val="5"/>
        <w:spacing w:line="400" w:lineRule="exact"/>
        <w:ind w:firstLine="482" w:firstLineChars="200"/>
        <w:rPr>
          <w:rFonts w:ascii="宋体" w:hAnsi="宋体"/>
          <w:color w:val="000000"/>
          <w:sz w:val="24"/>
        </w:rPr>
      </w:pPr>
      <w:bookmarkStart w:id="43" w:name="_Toc69141779"/>
      <w:r>
        <w:rPr>
          <w:rFonts w:hint="eastAsia" w:ascii="宋体" w:hAnsi="宋体"/>
          <w:color w:val="000000"/>
          <w:sz w:val="24"/>
        </w:rPr>
        <w:t>4.投标费用</w:t>
      </w:r>
      <w:bookmarkEnd w:id="38"/>
      <w:bookmarkEnd w:id="39"/>
      <w:bookmarkEnd w:id="40"/>
      <w:r>
        <w:rPr>
          <w:rFonts w:hint="eastAsia" w:ascii="宋体" w:hAnsi="宋体"/>
          <w:color w:val="000000"/>
          <w:sz w:val="24"/>
          <w:szCs w:val="24"/>
        </w:rPr>
        <w:t>（实质性要求）</w:t>
      </w:r>
      <w:bookmarkEnd w:id="41"/>
      <w:bookmarkEnd w:id="42"/>
      <w:bookmarkEnd w:id="43"/>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投标人参加投标的有关费用由投标人自行承担。</w:t>
      </w:r>
    </w:p>
    <w:p>
      <w:pPr>
        <w:pStyle w:val="5"/>
        <w:spacing w:line="400" w:lineRule="exact"/>
        <w:ind w:firstLine="482" w:firstLineChars="200"/>
        <w:rPr>
          <w:rFonts w:ascii="宋体" w:hAnsi="宋体"/>
          <w:color w:val="000000"/>
          <w:sz w:val="24"/>
        </w:rPr>
      </w:pPr>
      <w:bookmarkStart w:id="44" w:name="_Toc69141780"/>
      <w:bookmarkStart w:id="45" w:name="_Toc6308655"/>
      <w:bookmarkStart w:id="46" w:name="_Toc6308483"/>
      <w:r>
        <w:rPr>
          <w:rFonts w:hint="eastAsia" w:ascii="宋体" w:hAnsi="宋体"/>
          <w:color w:val="000000"/>
          <w:sz w:val="24"/>
        </w:rPr>
        <w:t>5.充分、公平竞争保障措施</w:t>
      </w:r>
      <w:r>
        <w:rPr>
          <w:rFonts w:hint="eastAsia" w:ascii="宋体" w:hAnsi="宋体"/>
          <w:color w:val="000000"/>
          <w:sz w:val="24"/>
          <w:szCs w:val="24"/>
        </w:rPr>
        <w:t>（实质性要求）</w:t>
      </w:r>
      <w:bookmarkEnd w:id="44"/>
      <w:bookmarkEnd w:id="45"/>
      <w:bookmarkEnd w:id="46"/>
    </w:p>
    <w:p>
      <w:pPr>
        <w:tabs>
          <w:tab w:val="left" w:pos="1134"/>
        </w:tabs>
        <w:spacing w:line="360" w:lineRule="auto"/>
        <w:ind w:firstLine="482" w:firstLineChars="200"/>
        <w:jc w:val="left"/>
        <w:rPr>
          <w:rFonts w:ascii="宋体" w:hAnsi="宋体"/>
          <w:color w:val="000000"/>
          <w:sz w:val="24"/>
        </w:rPr>
      </w:pPr>
      <w:r>
        <w:rPr>
          <w:rFonts w:hint="eastAsia" w:ascii="宋体" w:hAnsi="宋体"/>
          <w:b/>
          <w:color w:val="000000"/>
          <w:sz w:val="24"/>
        </w:rPr>
        <w:t>5.1提供相同品牌产品处理。</w:t>
      </w:r>
      <w:r>
        <w:rPr>
          <w:rFonts w:hint="eastAsia" w:ascii="宋体" w:hAnsi="宋体"/>
          <w:color w:val="000000"/>
          <w:sz w:val="24"/>
        </w:rPr>
        <w:t>见投标人须知前附表。</w:t>
      </w:r>
    </w:p>
    <w:p>
      <w:pPr>
        <w:tabs>
          <w:tab w:val="left" w:pos="1134"/>
        </w:tabs>
        <w:spacing w:line="360" w:lineRule="auto"/>
        <w:ind w:firstLine="482" w:firstLineChars="200"/>
        <w:jc w:val="left"/>
        <w:rPr>
          <w:rFonts w:ascii="宋体" w:hAnsi="宋体"/>
          <w:color w:val="000000"/>
          <w:sz w:val="24"/>
        </w:rPr>
      </w:pPr>
      <w:r>
        <w:rPr>
          <w:rFonts w:hint="eastAsia" w:ascii="宋体" w:hAnsi="宋体"/>
          <w:b/>
          <w:color w:val="000000"/>
          <w:sz w:val="24"/>
        </w:rPr>
        <w:t>5.2利害关系供应商处理。</w:t>
      </w:r>
      <w:r>
        <w:rPr>
          <w:rFonts w:hint="eastAsia" w:ascii="宋体" w:hAnsi="宋体"/>
          <w:color w:val="000000"/>
          <w:sz w:val="24"/>
        </w:rPr>
        <w:t>单位负责人为同一人或者存在直接控股、管理关系的不同供应商不得参加同一合同项下的政府采购活动。同一集团</w:t>
      </w:r>
      <w:r>
        <w:rPr>
          <w:rFonts w:ascii="宋体" w:hAnsi="宋体"/>
          <w:color w:val="000000"/>
          <w:sz w:val="24"/>
        </w:rPr>
        <w:t>、总公司或母公司等，连同其下属的全资子公司或（</w:t>
      </w:r>
      <w:r>
        <w:rPr>
          <w:rFonts w:hint="eastAsia" w:ascii="宋体" w:hAnsi="宋体"/>
          <w:color w:val="000000"/>
          <w:sz w:val="24"/>
        </w:rPr>
        <w:t>持股50</w:t>
      </w:r>
      <w:r>
        <w:rPr>
          <w:rFonts w:ascii="宋体" w:hAnsi="宋体"/>
          <w:color w:val="000000"/>
          <w:sz w:val="24"/>
        </w:rPr>
        <w:t>%以上的）</w:t>
      </w:r>
      <w:r>
        <w:rPr>
          <w:rFonts w:hint="eastAsia" w:ascii="宋体" w:hAnsi="宋体"/>
          <w:color w:val="000000"/>
          <w:sz w:val="24"/>
        </w:rPr>
        <w:t>绝对</w:t>
      </w:r>
      <w:r>
        <w:rPr>
          <w:rFonts w:ascii="宋体" w:hAnsi="宋体"/>
          <w:color w:val="000000"/>
          <w:sz w:val="24"/>
        </w:rPr>
        <w:t>控股子公司等（</w:t>
      </w:r>
      <w:r>
        <w:rPr>
          <w:rFonts w:hint="eastAsia" w:ascii="宋体" w:hAnsi="宋体"/>
          <w:color w:val="000000"/>
          <w:sz w:val="24"/>
        </w:rPr>
        <w:t>非</w:t>
      </w:r>
      <w:r>
        <w:rPr>
          <w:rFonts w:ascii="宋体" w:hAnsi="宋体"/>
          <w:color w:val="000000"/>
          <w:sz w:val="24"/>
        </w:rPr>
        <w:t>控股子公司除外）</w:t>
      </w:r>
      <w:r>
        <w:rPr>
          <w:rFonts w:hint="eastAsia" w:ascii="宋体" w:hAnsi="宋体"/>
          <w:color w:val="000000"/>
          <w:sz w:val="24"/>
        </w:rPr>
        <w:t>，</w:t>
      </w:r>
      <w:r>
        <w:rPr>
          <w:rFonts w:ascii="宋体" w:hAnsi="宋体"/>
          <w:color w:val="000000"/>
          <w:sz w:val="24"/>
        </w:rPr>
        <w:t>只能由一家参加同一分包的投标。</w:t>
      </w:r>
    </w:p>
    <w:p>
      <w:pPr>
        <w:tabs>
          <w:tab w:val="left" w:pos="1134"/>
        </w:tabs>
        <w:spacing w:line="360" w:lineRule="auto"/>
        <w:ind w:firstLine="482" w:firstLineChars="200"/>
        <w:jc w:val="left"/>
        <w:rPr>
          <w:rFonts w:ascii="宋体" w:hAnsi="宋体"/>
          <w:color w:val="000000"/>
          <w:sz w:val="24"/>
        </w:rPr>
      </w:pPr>
      <w:r>
        <w:rPr>
          <w:rFonts w:hint="eastAsia" w:ascii="宋体" w:hAnsi="宋体"/>
          <w:b/>
          <w:color w:val="000000"/>
          <w:sz w:val="24"/>
        </w:rPr>
        <w:t>5.3前期参与供应商处理。</w:t>
      </w:r>
      <w:r>
        <w:rPr>
          <w:rFonts w:hint="eastAsia" w:ascii="宋体" w:hAnsi="宋体"/>
          <w:color w:val="000000"/>
          <w:sz w:val="24"/>
        </w:rPr>
        <w:t>为采购项目提供整体设计、规范编制或者项目管理、监理、检测等服务的供应商，不得再参加该采购项目的其他采购活动。</w:t>
      </w:r>
    </w:p>
    <w:p>
      <w:pPr>
        <w:tabs>
          <w:tab w:val="left" w:pos="1134"/>
        </w:tabs>
        <w:spacing w:line="360" w:lineRule="auto"/>
        <w:ind w:firstLine="482" w:firstLineChars="200"/>
        <w:jc w:val="left"/>
        <w:rPr>
          <w:rFonts w:ascii="宋体" w:hAnsi="宋体"/>
          <w:color w:val="000000"/>
          <w:sz w:val="24"/>
        </w:rPr>
      </w:pPr>
      <w:r>
        <w:rPr>
          <w:rFonts w:hint="eastAsia" w:ascii="宋体" w:hAnsi="宋体"/>
          <w:b/>
          <w:color w:val="000000"/>
          <w:sz w:val="24"/>
        </w:rPr>
        <w:t>5.4利害关系代理人处理。</w:t>
      </w:r>
      <w:r>
        <w:rPr>
          <w:rFonts w:hint="eastAsia" w:ascii="宋体" w:hAnsi="宋体"/>
          <w:color w:val="000000"/>
          <w:sz w:val="24"/>
        </w:rPr>
        <w:t>2家以上的供应商不得在同一合同项下的采购项目中，同时委托同一个自然人、同一单位的人员作为其代理人，否则，其投标文件作为无效处理。</w:t>
      </w:r>
    </w:p>
    <w:p>
      <w:pPr>
        <w:pStyle w:val="52"/>
        <w:spacing w:line="400" w:lineRule="exact"/>
        <w:ind w:left="1" w:firstLine="482" w:firstLineChars="200"/>
        <w:rPr>
          <w:rFonts w:hAnsi="宋体"/>
          <w:color w:val="000000"/>
          <w:sz w:val="24"/>
        </w:rPr>
      </w:pPr>
      <w:r>
        <w:rPr>
          <w:rFonts w:hint="eastAsia" w:hAnsi="宋体"/>
          <w:b/>
          <w:bCs/>
          <w:color w:val="000000"/>
          <w:sz w:val="24"/>
        </w:rPr>
        <w:t>5.5回避。</w:t>
      </w:r>
      <w:r>
        <w:rPr>
          <w:rFonts w:hint="eastAsia" w:hAnsi="宋体"/>
          <w:color w:val="000000"/>
          <w:sz w:val="24"/>
        </w:rPr>
        <w:t>政府采购活动中，采购人员及相关人员与供应商有下列利害关系之一的，应当回避：</w:t>
      </w:r>
    </w:p>
    <w:p>
      <w:pPr>
        <w:pStyle w:val="52"/>
        <w:spacing w:line="400" w:lineRule="exact"/>
        <w:ind w:left="1" w:firstLine="480" w:firstLineChars="200"/>
        <w:rPr>
          <w:rFonts w:hAnsi="宋体"/>
          <w:color w:val="000000"/>
          <w:sz w:val="24"/>
        </w:rPr>
      </w:pPr>
      <w:r>
        <w:rPr>
          <w:rFonts w:hint="eastAsia" w:hAnsi="宋体"/>
          <w:color w:val="000000"/>
          <w:sz w:val="24"/>
        </w:rPr>
        <w:t>（1）参加采购活动前3年内与供应商存在劳动关系；</w:t>
      </w:r>
    </w:p>
    <w:p>
      <w:pPr>
        <w:pStyle w:val="52"/>
        <w:spacing w:line="400" w:lineRule="exact"/>
        <w:ind w:left="1" w:firstLine="480" w:firstLineChars="200"/>
        <w:rPr>
          <w:rFonts w:hAnsi="宋体"/>
          <w:color w:val="000000"/>
          <w:sz w:val="24"/>
        </w:rPr>
      </w:pPr>
      <w:r>
        <w:rPr>
          <w:rFonts w:hint="eastAsia" w:hAnsi="宋体"/>
          <w:color w:val="000000"/>
          <w:sz w:val="24"/>
        </w:rPr>
        <w:t>（2）参加采购活动前3年内担任供应商的董事、监事；</w:t>
      </w:r>
    </w:p>
    <w:p>
      <w:pPr>
        <w:pStyle w:val="52"/>
        <w:spacing w:line="400" w:lineRule="exact"/>
        <w:ind w:left="1" w:firstLine="480" w:firstLineChars="200"/>
        <w:rPr>
          <w:rFonts w:hAnsi="宋体"/>
          <w:color w:val="000000"/>
          <w:sz w:val="24"/>
        </w:rPr>
      </w:pPr>
      <w:r>
        <w:rPr>
          <w:rFonts w:hint="eastAsia" w:hAnsi="宋体"/>
          <w:color w:val="000000"/>
          <w:sz w:val="24"/>
        </w:rPr>
        <w:t>（3）参加采购活动前3年内是供应商的控股股东或者实际控制人；</w:t>
      </w:r>
    </w:p>
    <w:p>
      <w:pPr>
        <w:pStyle w:val="52"/>
        <w:spacing w:line="400" w:lineRule="exact"/>
        <w:ind w:left="1" w:firstLine="480" w:firstLineChars="200"/>
        <w:rPr>
          <w:rFonts w:hAnsi="宋体"/>
          <w:color w:val="000000"/>
          <w:sz w:val="24"/>
        </w:rPr>
      </w:pPr>
      <w:r>
        <w:rPr>
          <w:rFonts w:hint="eastAsia" w:hAnsi="宋体"/>
          <w:color w:val="000000"/>
          <w:sz w:val="24"/>
        </w:rPr>
        <w:t>（4）与供应商的法定代表人或者负责人有夫妻、直系血亲、三代以内旁系血亲或者近姻亲关系；</w:t>
      </w:r>
    </w:p>
    <w:p>
      <w:pPr>
        <w:pStyle w:val="52"/>
        <w:spacing w:line="400" w:lineRule="exact"/>
        <w:ind w:left="1" w:firstLine="480" w:firstLineChars="200"/>
        <w:rPr>
          <w:rFonts w:hAnsi="宋体"/>
          <w:color w:val="000000"/>
          <w:sz w:val="24"/>
        </w:rPr>
      </w:pPr>
      <w:r>
        <w:rPr>
          <w:rFonts w:hint="eastAsia" w:hAnsi="宋体"/>
          <w:color w:val="000000"/>
          <w:sz w:val="24"/>
        </w:rPr>
        <w:t>（5）与供应商有其他可能影响政府采购活动公平、公正进行的关系。</w:t>
      </w:r>
    </w:p>
    <w:p>
      <w:pPr>
        <w:pStyle w:val="52"/>
        <w:spacing w:line="400" w:lineRule="exact"/>
        <w:ind w:left="1" w:firstLine="480" w:firstLineChars="200"/>
        <w:rPr>
          <w:rFonts w:hAnsi="宋体"/>
          <w:color w:val="000000"/>
          <w:sz w:val="24"/>
        </w:rPr>
      </w:pPr>
      <w:r>
        <w:rPr>
          <w:rFonts w:hint="eastAsia" w:hAnsi="宋体"/>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pPr>
        <w:pStyle w:val="52"/>
        <w:spacing w:line="400" w:lineRule="exact"/>
        <w:ind w:left="1" w:firstLine="480" w:firstLineChars="200"/>
        <w:rPr>
          <w:rFonts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tabs>
          <w:tab w:val="left" w:pos="1134"/>
        </w:tabs>
        <w:spacing w:line="360" w:lineRule="auto"/>
        <w:ind w:firstLine="480" w:firstLineChars="200"/>
        <w:jc w:val="left"/>
        <w:rPr>
          <w:rFonts w:ascii="宋体" w:hAnsi="宋体"/>
          <w:color w:val="000000"/>
          <w:sz w:val="24"/>
        </w:rPr>
      </w:pPr>
    </w:p>
    <w:p>
      <w:pPr>
        <w:pStyle w:val="4"/>
        <w:spacing w:line="400" w:lineRule="exact"/>
        <w:jc w:val="center"/>
        <w:rPr>
          <w:rFonts w:ascii="宋体" w:hAnsi="宋体" w:eastAsia="宋体"/>
          <w:bCs w:val="0"/>
          <w:color w:val="000000"/>
        </w:rPr>
      </w:pPr>
      <w:bookmarkStart w:id="47" w:name="_Toc183682346"/>
      <w:bookmarkStart w:id="48" w:name="_Toc69141781"/>
      <w:bookmarkStart w:id="49" w:name="_Toc217446038"/>
      <w:bookmarkStart w:id="50" w:name="_Toc77400779"/>
      <w:bookmarkStart w:id="51" w:name="_Toc183582209"/>
      <w:bookmarkStart w:id="52" w:name="_Toc6308656"/>
      <w:bookmarkStart w:id="53" w:name="_Toc89075875"/>
      <w:bookmarkStart w:id="54" w:name="_Toc6308484"/>
      <w:r>
        <w:rPr>
          <w:rFonts w:hint="eastAsia" w:ascii="宋体" w:hAnsi="宋体" w:eastAsia="宋体"/>
          <w:bCs w:val="0"/>
          <w:color w:val="000000"/>
        </w:rPr>
        <w:t>三、招标文件</w:t>
      </w:r>
      <w:bookmarkEnd w:id="47"/>
      <w:bookmarkEnd w:id="48"/>
      <w:bookmarkEnd w:id="49"/>
      <w:bookmarkEnd w:id="50"/>
      <w:bookmarkEnd w:id="51"/>
      <w:bookmarkEnd w:id="52"/>
      <w:bookmarkEnd w:id="53"/>
      <w:bookmarkEnd w:id="54"/>
    </w:p>
    <w:p>
      <w:pPr>
        <w:pStyle w:val="5"/>
        <w:spacing w:line="400" w:lineRule="exact"/>
        <w:ind w:firstLine="482" w:firstLineChars="200"/>
        <w:rPr>
          <w:rFonts w:ascii="宋体" w:hAnsi="宋体"/>
          <w:color w:val="000000"/>
          <w:sz w:val="24"/>
        </w:rPr>
      </w:pPr>
      <w:bookmarkStart w:id="55" w:name="_Toc69141782"/>
      <w:bookmarkStart w:id="56" w:name="_Toc217446039"/>
      <w:bookmarkStart w:id="57" w:name="_Toc6308657"/>
      <w:bookmarkStart w:id="58" w:name="_Toc6308485"/>
      <w:bookmarkStart w:id="59" w:name="_Toc183582210"/>
      <w:bookmarkStart w:id="60" w:name="_Toc183682347"/>
      <w:r>
        <w:rPr>
          <w:rFonts w:hint="eastAsia" w:ascii="宋体" w:hAnsi="宋体"/>
          <w:color w:val="000000"/>
          <w:sz w:val="24"/>
        </w:rPr>
        <w:t>6.招标文件的构成</w:t>
      </w:r>
      <w:bookmarkEnd w:id="55"/>
      <w:bookmarkEnd w:id="56"/>
      <w:bookmarkEnd w:id="57"/>
      <w:bookmarkEnd w:id="58"/>
      <w:bookmarkEnd w:id="59"/>
      <w:bookmarkEnd w:id="60"/>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招标文件用以阐明招标项目所需的资质、技术、服务及报价等要求、招标投标程序、有关规定和注意事项以及合同主要条款等。本招标文件包括以下内容：</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（一）投标邀请；</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（二）投标人须知；</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（三）投标文件格式；</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（四）供应商应当提供的资格证明材料；</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（五）招标项目技术、商务及其他要求；</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（六）评标办法；</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（七）拟签订的合同文本。</w:t>
      </w:r>
    </w:p>
    <w:p>
      <w:pPr>
        <w:pStyle w:val="5"/>
        <w:spacing w:line="400" w:lineRule="exact"/>
        <w:ind w:firstLine="482" w:firstLineChars="200"/>
        <w:rPr>
          <w:rFonts w:ascii="宋体" w:hAnsi="宋体"/>
          <w:color w:val="000000"/>
          <w:sz w:val="24"/>
        </w:rPr>
      </w:pPr>
      <w:bookmarkStart w:id="61" w:name="_Toc183582211"/>
      <w:bookmarkStart w:id="62" w:name="_Toc183682348"/>
      <w:bookmarkStart w:id="63" w:name="_Toc6308486"/>
      <w:bookmarkStart w:id="64" w:name="_Toc69141783"/>
      <w:bookmarkStart w:id="65" w:name="_Toc217446040"/>
      <w:bookmarkStart w:id="66" w:name="_Toc6308658"/>
      <w:r>
        <w:rPr>
          <w:rFonts w:hint="eastAsia" w:ascii="宋体" w:hAnsi="宋体"/>
          <w:color w:val="000000"/>
          <w:sz w:val="24"/>
        </w:rPr>
        <w:t>7.招标文件的澄清</w:t>
      </w:r>
      <w:bookmarkEnd w:id="61"/>
      <w:bookmarkEnd w:id="62"/>
      <w:r>
        <w:rPr>
          <w:rFonts w:hint="eastAsia" w:ascii="宋体" w:hAnsi="宋体"/>
          <w:color w:val="000000"/>
          <w:sz w:val="24"/>
        </w:rPr>
        <w:t>和修改</w:t>
      </w:r>
      <w:bookmarkEnd w:id="63"/>
      <w:bookmarkEnd w:id="64"/>
      <w:bookmarkEnd w:id="65"/>
      <w:bookmarkEnd w:id="66"/>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7.1 采购人、采购代理机构可以依法对招标文件进行澄清或者修改。</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7.2 采购人、采购代理机构对已发出的招标文件进行澄清或者修改，</w:t>
      </w:r>
      <w:r>
        <w:rPr>
          <w:rFonts w:hint="eastAsia" w:ascii="宋体"/>
          <w:color w:val="000000"/>
          <w:sz w:val="24"/>
        </w:rPr>
        <w:t>将通过</w:t>
      </w:r>
      <w:r>
        <w:rPr>
          <w:rFonts w:ascii="宋体"/>
          <w:color w:val="000000"/>
          <w:sz w:val="24"/>
        </w:rPr>
        <w:t>政府采购云平台</w:t>
      </w:r>
      <w:r>
        <w:rPr>
          <w:rFonts w:hint="eastAsia" w:ascii="宋体" w:hAnsi="宋体"/>
          <w:color w:val="000000"/>
          <w:sz w:val="24"/>
        </w:rPr>
        <w:t>以书面形式将澄清或者修改的内容通知所有购买了招标文件的供应商，同时在四川</w:t>
      </w:r>
      <w:r>
        <w:rPr>
          <w:rFonts w:ascii="宋体" w:hAnsi="宋体"/>
          <w:color w:val="000000"/>
          <w:sz w:val="24"/>
        </w:rPr>
        <w:t>政府采购网</w:t>
      </w:r>
      <w:r>
        <w:rPr>
          <w:rFonts w:hint="eastAsia" w:ascii="宋体" w:hAnsi="宋体"/>
          <w:color w:val="000000"/>
          <w:sz w:val="24"/>
        </w:rPr>
        <w:t>上发布澄清公告。该澄清或者修改的内容为招标文件的组成部分，澄清或者修改的内容可能影响投标文件编制的，采购代理机构将在投标截止时间至少1</w:t>
      </w:r>
      <w:r>
        <w:rPr>
          <w:rFonts w:ascii="宋体" w:hAnsi="宋体"/>
          <w:color w:val="000000"/>
          <w:sz w:val="24"/>
        </w:rPr>
        <w:t>5</w:t>
      </w:r>
      <w:r>
        <w:rPr>
          <w:rFonts w:hint="eastAsia" w:ascii="宋体" w:hAnsi="宋体"/>
          <w:color w:val="000000"/>
          <w:sz w:val="24"/>
        </w:rPr>
        <w:t>日前，发布公告并书面通知供应商；不足上述时间的，将顺延提交投标文件的截止时间。</w:t>
      </w:r>
    </w:p>
    <w:p>
      <w:pPr>
        <w:pStyle w:val="5"/>
        <w:spacing w:line="400" w:lineRule="exact"/>
        <w:ind w:firstLine="482" w:firstLineChars="200"/>
        <w:rPr>
          <w:rFonts w:ascii="宋体" w:hAnsi="宋体"/>
          <w:color w:val="000000"/>
          <w:sz w:val="24"/>
        </w:rPr>
      </w:pPr>
      <w:bookmarkStart w:id="67" w:name="_Toc6308487"/>
      <w:bookmarkStart w:id="68" w:name="_Toc208848971"/>
      <w:bookmarkStart w:id="69" w:name="_Toc217446041"/>
      <w:bookmarkStart w:id="70" w:name="_Toc69141784"/>
      <w:bookmarkStart w:id="71" w:name="_Toc6308659"/>
      <w:r>
        <w:rPr>
          <w:rFonts w:hint="eastAsia" w:ascii="宋体" w:hAnsi="宋体"/>
          <w:color w:val="000000"/>
          <w:sz w:val="24"/>
        </w:rPr>
        <w:t>8.答疑会和现场考察</w:t>
      </w:r>
      <w:bookmarkEnd w:id="67"/>
      <w:bookmarkEnd w:id="68"/>
      <w:bookmarkEnd w:id="69"/>
      <w:bookmarkEnd w:id="70"/>
      <w:bookmarkEnd w:id="71"/>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8.1 采购人、采购代理机构可以视采购项目的具体情况，组织投标人进行现场考察或者召开开标前答疑会。具体情况以投标人须知前附表为准。</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8.2 供应商考察现场所发生的一切费用由供应商自己承担。</w:t>
      </w:r>
    </w:p>
    <w:p>
      <w:pPr>
        <w:pStyle w:val="4"/>
        <w:spacing w:line="400" w:lineRule="exact"/>
        <w:jc w:val="center"/>
        <w:rPr>
          <w:rFonts w:ascii="宋体" w:hAnsi="宋体" w:eastAsia="宋体"/>
          <w:bCs w:val="0"/>
          <w:color w:val="000000"/>
        </w:rPr>
      </w:pPr>
      <w:bookmarkStart w:id="72" w:name="_Toc77400780"/>
      <w:bookmarkStart w:id="73" w:name="_Toc89075876"/>
      <w:bookmarkStart w:id="74" w:name="_Toc183582214"/>
      <w:bookmarkStart w:id="75" w:name="_Toc217446042"/>
      <w:bookmarkStart w:id="76" w:name="_Toc183682351"/>
      <w:bookmarkStart w:id="77" w:name="_Toc6308660"/>
      <w:bookmarkStart w:id="78" w:name="_Toc69141785"/>
      <w:bookmarkStart w:id="79" w:name="_Toc6308488"/>
      <w:r>
        <w:rPr>
          <w:rFonts w:hint="eastAsia" w:ascii="宋体" w:hAnsi="宋体" w:eastAsia="宋体"/>
          <w:bCs w:val="0"/>
          <w:color w:val="000000"/>
        </w:rPr>
        <w:t>四、投标文件</w:t>
      </w:r>
      <w:bookmarkEnd w:id="72"/>
      <w:bookmarkEnd w:id="73"/>
      <w:bookmarkEnd w:id="74"/>
      <w:bookmarkEnd w:id="75"/>
      <w:bookmarkEnd w:id="76"/>
      <w:r>
        <w:rPr>
          <w:rFonts w:hint="eastAsia" w:ascii="宋体" w:hAnsi="宋体" w:eastAsia="宋体"/>
          <w:bCs w:val="0"/>
          <w:color w:val="000000"/>
        </w:rPr>
        <w:t>的编制</w:t>
      </w:r>
      <w:bookmarkEnd w:id="77"/>
      <w:bookmarkEnd w:id="78"/>
      <w:bookmarkEnd w:id="79"/>
    </w:p>
    <w:p>
      <w:pPr>
        <w:pStyle w:val="5"/>
        <w:spacing w:line="400" w:lineRule="exact"/>
        <w:ind w:firstLine="482" w:firstLineChars="200"/>
        <w:rPr>
          <w:rFonts w:ascii="宋体" w:hAnsi="宋体"/>
          <w:bCs w:val="0"/>
          <w:color w:val="000000"/>
          <w:sz w:val="24"/>
        </w:rPr>
      </w:pPr>
      <w:bookmarkStart w:id="80" w:name="_Toc183682352"/>
      <w:bookmarkStart w:id="81" w:name="_Toc217446043"/>
      <w:bookmarkStart w:id="82" w:name="_Toc183582215"/>
      <w:bookmarkStart w:id="83" w:name="_Toc6308661"/>
      <w:bookmarkStart w:id="84" w:name="_Toc6308489"/>
      <w:bookmarkStart w:id="85" w:name="_Toc69141786"/>
      <w:r>
        <w:rPr>
          <w:rFonts w:hint="eastAsia" w:ascii="宋体" w:hAnsi="宋体"/>
          <w:bCs w:val="0"/>
          <w:color w:val="000000"/>
          <w:sz w:val="24"/>
        </w:rPr>
        <w:t>9.投标文件的语言</w:t>
      </w:r>
      <w:bookmarkEnd w:id="80"/>
      <w:bookmarkEnd w:id="81"/>
      <w:bookmarkEnd w:id="82"/>
      <w:r>
        <w:rPr>
          <w:rFonts w:hint="eastAsia" w:ascii="宋体" w:hAnsi="宋体"/>
          <w:color w:val="000000"/>
          <w:sz w:val="24"/>
          <w:szCs w:val="24"/>
        </w:rPr>
        <w:t>（实质性要求）</w:t>
      </w:r>
      <w:bookmarkEnd w:id="83"/>
      <w:bookmarkEnd w:id="84"/>
      <w:bookmarkEnd w:id="85"/>
    </w:p>
    <w:p>
      <w:pPr>
        <w:tabs>
          <w:tab w:val="left" w:pos="1134"/>
        </w:tabs>
        <w:spacing w:line="360" w:lineRule="auto"/>
        <w:ind w:firstLine="480" w:firstLineChars="200"/>
        <w:jc w:val="left"/>
        <w:rPr>
          <w:rFonts w:ascii="宋体" w:hAnsi="宋体"/>
          <w:color w:val="000000"/>
          <w:sz w:val="24"/>
        </w:rPr>
      </w:pPr>
      <w:bookmarkStart w:id="86" w:name="_Toc217446044"/>
      <w:bookmarkStart w:id="87" w:name="_Toc183582216"/>
      <w:bookmarkStart w:id="88" w:name="_Toc183682353"/>
      <w:r>
        <w:rPr>
          <w:rFonts w:hint="eastAsia" w:ascii="宋体" w:hAnsi="宋体"/>
          <w:color w:val="000000"/>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9.2 翻译的中文资料与外文资料如果出现差异和矛盾时，以中文为准。涉嫌虚假响应的按照相关法律法规处理。</w:t>
      </w:r>
    </w:p>
    <w:p>
      <w:pPr>
        <w:pStyle w:val="5"/>
        <w:spacing w:line="400" w:lineRule="exact"/>
        <w:ind w:firstLine="482" w:firstLineChars="200"/>
        <w:rPr>
          <w:rFonts w:ascii="宋体" w:hAnsi="宋体"/>
          <w:color w:val="000000"/>
          <w:sz w:val="24"/>
        </w:rPr>
      </w:pPr>
      <w:bookmarkStart w:id="89" w:name="_Toc69141787"/>
      <w:bookmarkStart w:id="90" w:name="_Toc6308490"/>
      <w:bookmarkStart w:id="91" w:name="_Toc6308662"/>
      <w:r>
        <w:rPr>
          <w:rFonts w:hint="eastAsia" w:ascii="宋体" w:hAnsi="宋体"/>
          <w:color w:val="000000"/>
          <w:sz w:val="24"/>
        </w:rPr>
        <w:t>10.计量单位</w:t>
      </w:r>
      <w:bookmarkEnd w:id="86"/>
      <w:bookmarkEnd w:id="87"/>
      <w:bookmarkEnd w:id="88"/>
      <w:r>
        <w:rPr>
          <w:rFonts w:hint="eastAsia" w:ascii="宋体" w:hAnsi="宋体"/>
          <w:color w:val="000000"/>
          <w:sz w:val="24"/>
          <w:szCs w:val="24"/>
        </w:rPr>
        <w:t>（实质性要求）</w:t>
      </w:r>
      <w:bookmarkEnd w:id="89"/>
      <w:bookmarkEnd w:id="90"/>
      <w:bookmarkEnd w:id="91"/>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除招标文件中另有规定外，本次采购项目所有合同项下的投标均采用国家法定的计量单位。</w:t>
      </w:r>
    </w:p>
    <w:p>
      <w:pPr>
        <w:pStyle w:val="5"/>
        <w:spacing w:line="400" w:lineRule="exact"/>
        <w:ind w:firstLine="482" w:firstLineChars="200"/>
        <w:rPr>
          <w:rFonts w:ascii="宋体" w:hAnsi="宋体"/>
          <w:color w:val="000000"/>
          <w:sz w:val="24"/>
        </w:rPr>
      </w:pPr>
      <w:bookmarkStart w:id="92" w:name="_Toc217446045"/>
      <w:bookmarkStart w:id="93" w:name="_Toc69141788"/>
      <w:bookmarkStart w:id="94" w:name="_Toc6308663"/>
      <w:bookmarkStart w:id="95" w:name="_Toc6308491"/>
      <w:r>
        <w:rPr>
          <w:rFonts w:hint="eastAsia" w:ascii="宋体" w:hAnsi="宋体"/>
          <w:color w:val="000000"/>
          <w:sz w:val="24"/>
        </w:rPr>
        <w:t>11.投标货币</w:t>
      </w:r>
      <w:bookmarkEnd w:id="92"/>
      <w:r>
        <w:rPr>
          <w:rFonts w:hint="eastAsia" w:ascii="宋体" w:hAnsi="宋体"/>
          <w:color w:val="000000"/>
          <w:sz w:val="24"/>
        </w:rPr>
        <w:t>（实质性要求）</w:t>
      </w:r>
      <w:bookmarkEnd w:id="93"/>
      <w:bookmarkEnd w:id="94"/>
      <w:bookmarkEnd w:id="95"/>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本次招标项目的投标均以人民币报价。</w:t>
      </w:r>
    </w:p>
    <w:p>
      <w:pPr>
        <w:pStyle w:val="5"/>
        <w:spacing w:line="400" w:lineRule="exact"/>
        <w:ind w:firstLine="482" w:firstLineChars="200"/>
        <w:rPr>
          <w:rFonts w:ascii="宋体" w:hAnsi="宋体"/>
          <w:color w:val="000000"/>
          <w:sz w:val="24"/>
        </w:rPr>
      </w:pPr>
      <w:bookmarkStart w:id="96" w:name="_Toc217446046"/>
      <w:bookmarkStart w:id="97" w:name="_Toc6308664"/>
      <w:bookmarkStart w:id="98" w:name="_Toc69141789"/>
      <w:bookmarkStart w:id="99" w:name="_Toc6308492"/>
      <w:r>
        <w:rPr>
          <w:rFonts w:hint="eastAsia" w:ascii="宋体" w:hAnsi="宋体"/>
          <w:color w:val="000000"/>
          <w:sz w:val="24"/>
        </w:rPr>
        <w:t>12.联合体投标</w:t>
      </w:r>
      <w:bookmarkEnd w:id="96"/>
      <w:r>
        <w:rPr>
          <w:rFonts w:hint="eastAsia" w:ascii="宋体" w:hAnsi="宋体"/>
          <w:color w:val="000000"/>
          <w:sz w:val="24"/>
        </w:rPr>
        <w:t>（实质性要求）</w:t>
      </w:r>
      <w:bookmarkEnd w:id="97"/>
      <w:bookmarkEnd w:id="98"/>
      <w:bookmarkEnd w:id="99"/>
    </w:p>
    <w:p>
      <w:pPr>
        <w:tabs>
          <w:tab w:val="left" w:pos="1134"/>
        </w:tabs>
        <w:spacing w:line="360" w:lineRule="auto"/>
        <w:ind w:firstLine="482" w:firstLineChars="200"/>
        <w:jc w:val="left"/>
        <w:rPr>
          <w:rFonts w:ascii="宋体" w:hAnsi="宋体"/>
          <w:b/>
          <w:color w:val="000000"/>
          <w:sz w:val="24"/>
        </w:rPr>
      </w:pPr>
      <w:r>
        <w:rPr>
          <w:rFonts w:hint="eastAsia" w:ascii="宋体" w:hAnsi="宋体"/>
          <w:b/>
          <w:color w:val="000000"/>
          <w:sz w:val="24"/>
        </w:rPr>
        <w:t xml:space="preserve">本项目不允许联合体投标。 </w:t>
      </w:r>
    </w:p>
    <w:p>
      <w:pPr>
        <w:pStyle w:val="5"/>
        <w:spacing w:line="400" w:lineRule="exact"/>
        <w:ind w:firstLine="482" w:firstLineChars="200"/>
        <w:rPr>
          <w:rFonts w:ascii="宋体" w:hAnsi="宋体"/>
          <w:color w:val="000000"/>
          <w:sz w:val="24"/>
        </w:rPr>
      </w:pPr>
      <w:bookmarkStart w:id="100" w:name="_Toc217446047"/>
      <w:bookmarkStart w:id="101" w:name="_Toc308164797"/>
      <w:bookmarkStart w:id="102" w:name="_Toc6308493"/>
      <w:bookmarkStart w:id="103" w:name="_Toc6308665"/>
      <w:bookmarkStart w:id="104" w:name="_Toc69141790"/>
      <w:r>
        <w:rPr>
          <w:rFonts w:hint="eastAsia" w:ascii="宋体" w:hAnsi="宋体"/>
          <w:color w:val="000000"/>
          <w:sz w:val="24"/>
        </w:rPr>
        <w:t>13.知识产权</w:t>
      </w:r>
      <w:bookmarkEnd w:id="100"/>
      <w:bookmarkEnd w:id="101"/>
      <w:r>
        <w:rPr>
          <w:rFonts w:hint="eastAsia" w:ascii="宋体" w:hAnsi="宋体"/>
          <w:color w:val="000000"/>
          <w:sz w:val="24"/>
        </w:rPr>
        <w:t>（实质性要求）</w:t>
      </w:r>
      <w:bookmarkEnd w:id="102"/>
      <w:bookmarkEnd w:id="103"/>
      <w:bookmarkEnd w:id="104"/>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13.2 采购人享有本项目实施过程中产生的知识成果及知识产权。</w:t>
      </w:r>
    </w:p>
    <w:p>
      <w:pPr>
        <w:tabs>
          <w:tab w:val="left" w:pos="1134"/>
        </w:tabs>
        <w:spacing w:line="360" w:lineRule="auto"/>
        <w:ind w:firstLine="480" w:firstLineChars="200"/>
        <w:jc w:val="left"/>
        <w:rPr>
          <w:rFonts w:ascii="宋体" w:hAnsi="宋体"/>
          <w:color w:val="000000"/>
          <w:sz w:val="24"/>
          <w:highlight w:val="green"/>
        </w:rPr>
      </w:pPr>
      <w:r>
        <w:rPr>
          <w:rFonts w:hint="eastAsia" w:ascii="宋体" w:hAnsi="宋体"/>
          <w:color w:val="000000"/>
          <w:sz w:val="24"/>
        </w:rPr>
        <w:t>13.3 投标人</w:t>
      </w:r>
      <w:r>
        <w:rPr>
          <w:rFonts w:hint="eastAsia" w:ascii="宋体" w:hAnsi="宋体"/>
          <w:sz w:val="24"/>
        </w:rPr>
        <w:t>将在采购项目实施过程中采用自有或者第三方知识成果的</w:t>
      </w:r>
      <w:r>
        <w:rPr>
          <w:rFonts w:hint="eastAsia" w:ascii="宋体" w:hAnsi="宋体"/>
          <w:color w:val="000000"/>
          <w:sz w:val="24"/>
        </w:rPr>
        <w:t>，投标人应在投标文件中说明。使用该知识成果后，供应商需提供开发接口和开发手册等技术资料，并承诺提供无限期支持，采购人享有使用权（含采购人委托第三方在该项目后续开发的使用权）。</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 xml:space="preserve">13.4 如采用投标人所不拥有的知识产权，则在投标报价中必须包括合法获取该知识产权的相关费用。 </w:t>
      </w:r>
    </w:p>
    <w:p>
      <w:pPr>
        <w:pStyle w:val="5"/>
        <w:spacing w:line="400" w:lineRule="exact"/>
        <w:ind w:firstLine="482" w:firstLineChars="200"/>
        <w:rPr>
          <w:rFonts w:ascii="宋体" w:hAnsi="宋体"/>
          <w:color w:val="000000"/>
          <w:sz w:val="24"/>
        </w:rPr>
      </w:pPr>
      <w:bookmarkStart w:id="105" w:name="_Toc183682354"/>
      <w:bookmarkStart w:id="106" w:name="_Toc217446048"/>
      <w:bookmarkStart w:id="107" w:name="_Toc183582217"/>
      <w:bookmarkStart w:id="108" w:name="_Toc6308494"/>
      <w:bookmarkStart w:id="109" w:name="_Toc308164798"/>
      <w:bookmarkStart w:id="110" w:name="_Toc69141791"/>
      <w:bookmarkStart w:id="111" w:name="_Toc6308666"/>
      <w:r>
        <w:rPr>
          <w:rFonts w:hint="eastAsia" w:ascii="宋体" w:hAnsi="宋体"/>
          <w:color w:val="000000"/>
          <w:sz w:val="24"/>
        </w:rPr>
        <w:t>14.投标文件的组成</w:t>
      </w:r>
      <w:bookmarkEnd w:id="105"/>
      <w:bookmarkEnd w:id="106"/>
      <w:bookmarkEnd w:id="107"/>
      <w:bookmarkEnd w:id="108"/>
      <w:bookmarkEnd w:id="109"/>
      <w:bookmarkEnd w:id="110"/>
      <w:bookmarkEnd w:id="111"/>
    </w:p>
    <w:p>
      <w:pPr>
        <w:spacing w:line="400" w:lineRule="exact"/>
        <w:ind w:firstLine="460" w:firstLineChars="192"/>
        <w:rPr>
          <w:rFonts w:ascii="宋体" w:hAnsi="宋体"/>
          <w:color w:val="000000"/>
          <w:sz w:val="24"/>
        </w:rPr>
      </w:pPr>
      <w:r>
        <w:rPr>
          <w:rFonts w:hint="eastAsia" w:ascii="宋体" w:hAnsi="宋体"/>
          <w:color w:val="000000"/>
          <w:sz w:val="24"/>
        </w:rPr>
        <w:t>投标人应按照招标文件的规定和要求编制投标文件。投标人编写的投标文件应包括以下部分：</w:t>
      </w:r>
    </w:p>
    <w:p>
      <w:pPr>
        <w:spacing w:line="400" w:lineRule="exact"/>
        <w:ind w:firstLine="472" w:firstLineChars="196"/>
        <w:rPr>
          <w:rFonts w:ascii="宋体" w:hAnsi="宋体"/>
          <w:b/>
          <w:bCs/>
          <w:color w:val="000000"/>
          <w:sz w:val="24"/>
        </w:rPr>
      </w:pPr>
      <w:r>
        <w:rPr>
          <w:rFonts w:hint="eastAsia" w:ascii="宋体" w:hAnsi="宋体"/>
          <w:b/>
          <w:bCs/>
          <w:color w:val="000000"/>
          <w:sz w:val="24"/>
        </w:rPr>
        <w:t>14.1 资格性响应文件（实质性要求）。开标结束后，采购人或采购代理机构将按照招标文件第四章要求对投标人的资格进行审查。</w:t>
      </w:r>
    </w:p>
    <w:p>
      <w:pPr>
        <w:spacing w:line="400" w:lineRule="exact"/>
        <w:ind w:firstLine="482" w:firstLineChars="200"/>
        <w:rPr>
          <w:rFonts w:ascii="宋体" w:hAnsi="宋体"/>
          <w:b/>
          <w:bCs/>
          <w:color w:val="000000"/>
          <w:sz w:val="24"/>
        </w:rPr>
      </w:pPr>
    </w:p>
    <w:p>
      <w:pPr>
        <w:spacing w:line="400" w:lineRule="exact"/>
        <w:ind w:firstLine="472" w:firstLineChars="196"/>
        <w:rPr>
          <w:rFonts w:ascii="宋体" w:hAnsi="宋体"/>
          <w:b/>
          <w:color w:val="000000"/>
          <w:sz w:val="24"/>
        </w:rPr>
      </w:pPr>
      <w:r>
        <w:rPr>
          <w:rFonts w:hint="eastAsia" w:ascii="宋体" w:hAnsi="宋体"/>
          <w:b/>
          <w:color w:val="000000"/>
          <w:sz w:val="24"/>
        </w:rPr>
        <w:t>14.2 其他响应文件</w:t>
      </w:r>
    </w:p>
    <w:p>
      <w:pPr>
        <w:spacing w:line="400" w:lineRule="exact"/>
        <w:ind w:firstLine="472" w:firstLineChars="196"/>
        <w:rPr>
          <w:rFonts w:ascii="宋体" w:hAnsi="宋体"/>
          <w:color w:val="000000"/>
          <w:sz w:val="24"/>
        </w:rPr>
      </w:pPr>
      <w:r>
        <w:rPr>
          <w:rFonts w:hint="eastAsia" w:ascii="宋体" w:hAnsi="宋体"/>
          <w:b/>
          <w:color w:val="000000"/>
          <w:sz w:val="24"/>
        </w:rPr>
        <w:t>14.2.1报价部分。</w:t>
      </w:r>
      <w:r>
        <w:rPr>
          <w:rFonts w:hint="eastAsia" w:ascii="宋体" w:hAnsi="宋体"/>
          <w:bCs/>
          <w:color w:val="000000"/>
          <w:sz w:val="24"/>
        </w:rPr>
        <w:t>投标人</w:t>
      </w:r>
      <w:r>
        <w:rPr>
          <w:rFonts w:hint="eastAsia" w:ascii="宋体" w:hAnsi="宋体"/>
          <w:color w:val="000000"/>
          <w:sz w:val="24"/>
        </w:rPr>
        <w:t>按照招标文件要求填写相关报价表。 本次招标报价要求：</w:t>
      </w:r>
    </w:p>
    <w:p>
      <w:pPr>
        <w:spacing w:line="400" w:lineRule="exact"/>
        <w:ind w:firstLine="480" w:firstLineChars="200"/>
        <w:rPr>
          <w:rFonts w:ascii="宋体" w:hAnsi="宋体"/>
          <w:color w:val="000000"/>
          <w:sz w:val="24"/>
        </w:rPr>
      </w:pPr>
      <w:r>
        <w:rPr>
          <w:rFonts w:hint="eastAsia" w:ascii="宋体" w:hAnsi="宋体"/>
          <w:color w:val="000000"/>
          <w:sz w:val="24"/>
        </w:rPr>
        <w:t>（1）投标人的报价是投标人响应招标项目要求的全部工作内容的价格体现，包括投标人完成本项目所需的一切费用</w:t>
      </w:r>
      <w:r>
        <w:rPr>
          <w:rFonts w:hint="eastAsia" w:ascii="宋体" w:hAnsi="宋体"/>
          <w:b/>
          <w:bCs/>
          <w:color w:val="000000"/>
          <w:sz w:val="24"/>
        </w:rPr>
        <w:t>（实质性要求）</w:t>
      </w:r>
      <w:r>
        <w:rPr>
          <w:rFonts w:hint="eastAsia" w:ascii="宋体" w:hAnsi="宋体"/>
          <w:color w:val="000000"/>
          <w:sz w:val="24"/>
        </w:rPr>
        <w:t>。</w:t>
      </w:r>
    </w:p>
    <w:p>
      <w:pPr>
        <w:spacing w:line="400" w:lineRule="exact"/>
        <w:ind w:left="2" w:firstLine="352" w:firstLineChars="147"/>
        <w:rPr>
          <w:rFonts w:ascii="宋体" w:hAnsi="宋体"/>
          <w:color w:val="000000"/>
          <w:sz w:val="24"/>
        </w:rPr>
      </w:pPr>
      <w:r>
        <w:rPr>
          <w:rFonts w:hint="eastAsia" w:ascii="宋体" w:hAnsi="宋体"/>
          <w:color w:val="000000"/>
          <w:sz w:val="24"/>
        </w:rPr>
        <w:t xml:space="preserve"> （2）投标人的报价在合同履行过程中是固定不变的，任何可调整的报价将不予接受，并按无效投标处理</w:t>
      </w:r>
      <w:r>
        <w:rPr>
          <w:rFonts w:hint="eastAsia" w:ascii="宋体" w:hAnsi="宋体"/>
          <w:b/>
          <w:bCs/>
          <w:color w:val="000000"/>
          <w:sz w:val="24"/>
        </w:rPr>
        <w:t>（实质性要求）。</w:t>
      </w:r>
    </w:p>
    <w:p>
      <w:pPr>
        <w:spacing w:line="400" w:lineRule="exact"/>
        <w:ind w:firstLine="482" w:firstLineChars="200"/>
        <w:rPr>
          <w:rFonts w:ascii="宋体" w:hAnsi="宋体"/>
          <w:color w:val="000000"/>
          <w:sz w:val="24"/>
        </w:rPr>
      </w:pPr>
      <w:r>
        <w:rPr>
          <w:rFonts w:hint="eastAsia" w:ascii="宋体" w:hAnsi="宋体"/>
          <w:b/>
          <w:color w:val="000000"/>
          <w:sz w:val="24"/>
        </w:rPr>
        <w:t>14.2.2技术部分</w:t>
      </w:r>
      <w:r>
        <w:rPr>
          <w:rFonts w:hint="eastAsia" w:ascii="宋体" w:hAnsi="宋体"/>
          <w:color w:val="000000"/>
          <w:sz w:val="24"/>
        </w:rPr>
        <w:t>。投标人按照招标文件要求做出的技术应答，主要是针对招标项目的技术指标、参数和技术服务要求做出的响应和满足。投标人的技术应答包括下列内容：</w:t>
      </w:r>
    </w:p>
    <w:p>
      <w:pPr>
        <w:spacing w:line="400" w:lineRule="exact"/>
        <w:ind w:firstLine="480" w:firstLineChars="200"/>
        <w:rPr>
          <w:rFonts w:ascii="宋体" w:hAnsi="宋体"/>
          <w:color w:val="000000"/>
          <w:sz w:val="24"/>
        </w:rPr>
      </w:pPr>
      <w:r>
        <w:rPr>
          <w:rFonts w:hint="eastAsia" w:ascii="宋体" w:hAnsi="宋体"/>
          <w:color w:val="000000"/>
          <w:sz w:val="24"/>
        </w:rPr>
        <w:t>（1）投标产品的品牌、型号、配置；</w:t>
      </w:r>
      <w:r>
        <w:rPr>
          <w:rFonts w:hint="eastAsia" w:asciiTheme="minorEastAsia" w:hAnsiTheme="minorEastAsia" w:eastAsiaTheme="minorEastAsia"/>
          <w:b/>
          <w:color w:val="000000" w:themeColor="text1"/>
          <w:sz w:val="24"/>
          <w:highlight w:val="yellow"/>
        </w:rPr>
        <w:t>（本次采购的产品为医疗器械，须提供生产厂家的医疗器械生产许可证扫描件；所投产品应符合《医疗器械注册管理办法》内容，须提供有效的医疗器械注册证或备案表扫描件（实质性要求））</w:t>
      </w:r>
    </w:p>
    <w:p>
      <w:pPr>
        <w:spacing w:line="400" w:lineRule="exact"/>
        <w:ind w:firstLine="480" w:firstLineChars="200"/>
        <w:rPr>
          <w:rFonts w:ascii="宋体" w:hAnsi="宋体"/>
          <w:color w:val="000000"/>
          <w:sz w:val="24"/>
        </w:rPr>
      </w:pPr>
      <w:r>
        <w:rPr>
          <w:rFonts w:hint="eastAsia" w:ascii="宋体" w:hAnsi="宋体"/>
          <w:color w:val="000000"/>
          <w:sz w:val="24"/>
        </w:rPr>
        <w:t>（2）投标产品本身的详细的技术指标和参数（应当尽可能提供检测报告、产品使用说明书、用户手册等材料予以佐证）；</w:t>
      </w:r>
    </w:p>
    <w:p>
      <w:pPr>
        <w:spacing w:line="400" w:lineRule="exact"/>
        <w:ind w:firstLine="480" w:firstLineChars="200"/>
        <w:rPr>
          <w:rFonts w:ascii="宋体" w:hAnsi="宋体"/>
          <w:color w:val="000000"/>
          <w:sz w:val="24"/>
        </w:rPr>
      </w:pPr>
      <w:r>
        <w:rPr>
          <w:rFonts w:hint="eastAsia" w:ascii="宋体" w:hAnsi="宋体"/>
          <w:color w:val="000000"/>
          <w:sz w:val="24"/>
        </w:rPr>
        <w:t>（3）项目实施方案；</w:t>
      </w:r>
    </w:p>
    <w:p>
      <w:pPr>
        <w:spacing w:line="400" w:lineRule="exact"/>
        <w:ind w:firstLine="480" w:firstLineChars="200"/>
        <w:rPr>
          <w:rFonts w:ascii="宋体" w:hAnsi="宋体"/>
          <w:color w:val="000000"/>
          <w:sz w:val="24"/>
        </w:rPr>
      </w:pPr>
      <w:r>
        <w:rPr>
          <w:rFonts w:hint="eastAsia" w:ascii="宋体" w:hAnsi="宋体"/>
          <w:color w:val="000000"/>
          <w:sz w:val="24"/>
        </w:rPr>
        <w:t>（4）技术/服务应答表；</w:t>
      </w:r>
    </w:p>
    <w:p>
      <w:pPr>
        <w:spacing w:line="400" w:lineRule="exact"/>
        <w:ind w:firstLine="480" w:firstLineChars="200"/>
        <w:rPr>
          <w:rFonts w:ascii="宋体" w:hAnsi="宋体"/>
          <w:color w:val="000000"/>
          <w:sz w:val="24"/>
        </w:rPr>
      </w:pPr>
      <w:r>
        <w:rPr>
          <w:rFonts w:hint="eastAsia" w:ascii="宋体" w:hAnsi="宋体"/>
          <w:color w:val="000000"/>
          <w:sz w:val="24"/>
        </w:rPr>
        <w:t>（5）产品彩页资料；（如涉及）</w:t>
      </w:r>
    </w:p>
    <w:p>
      <w:pPr>
        <w:spacing w:line="400" w:lineRule="exact"/>
        <w:ind w:firstLine="480" w:firstLineChars="200"/>
        <w:rPr>
          <w:rFonts w:ascii="宋体" w:hAnsi="宋体"/>
          <w:color w:val="000000"/>
          <w:sz w:val="24"/>
        </w:rPr>
      </w:pPr>
      <w:r>
        <w:rPr>
          <w:rFonts w:hint="eastAsia" w:ascii="宋体" w:hAnsi="宋体"/>
          <w:color w:val="000000"/>
          <w:sz w:val="24"/>
        </w:rPr>
        <w:t>（6）产品工作环境条件；（如有要求的提供）</w:t>
      </w:r>
    </w:p>
    <w:p>
      <w:pPr>
        <w:spacing w:line="400" w:lineRule="exact"/>
        <w:ind w:firstLine="480" w:firstLineChars="200"/>
        <w:rPr>
          <w:rFonts w:ascii="宋体" w:hAnsi="宋体"/>
          <w:color w:val="000000"/>
          <w:sz w:val="24"/>
        </w:rPr>
      </w:pPr>
      <w:r>
        <w:rPr>
          <w:rFonts w:hint="eastAsia" w:ascii="宋体" w:hAnsi="宋体"/>
          <w:color w:val="000000"/>
          <w:sz w:val="24"/>
        </w:rPr>
        <w:t>（7）产品验收标准和验收方法；</w:t>
      </w:r>
    </w:p>
    <w:p>
      <w:pPr>
        <w:spacing w:line="400" w:lineRule="exact"/>
        <w:ind w:left="105" w:leftChars="50" w:firstLine="360" w:firstLineChars="150"/>
        <w:rPr>
          <w:rFonts w:ascii="宋体" w:hAnsi="宋体"/>
          <w:color w:val="000000"/>
          <w:sz w:val="24"/>
        </w:rPr>
      </w:pPr>
      <w:r>
        <w:rPr>
          <w:rFonts w:hint="eastAsia" w:ascii="宋体" w:hAnsi="宋体"/>
          <w:color w:val="000000"/>
          <w:sz w:val="24"/>
        </w:rPr>
        <w:t>（8）产品验收清单（注明各部件的品名、数量、价格、规格型号和原产地或生产厂家）；</w:t>
      </w:r>
    </w:p>
    <w:p>
      <w:pPr>
        <w:spacing w:line="400" w:lineRule="exact"/>
        <w:ind w:left="1" w:firstLine="352" w:firstLineChars="147"/>
        <w:rPr>
          <w:rFonts w:ascii="宋体" w:hAnsi="宋体"/>
          <w:color w:val="000000"/>
          <w:sz w:val="24"/>
        </w:rPr>
      </w:pPr>
      <w:r>
        <w:rPr>
          <w:rFonts w:hint="eastAsia" w:ascii="宋体" w:hAnsi="宋体"/>
          <w:color w:val="000000"/>
          <w:sz w:val="24"/>
        </w:rPr>
        <w:t xml:space="preserve"> （9）投标人认为需要提供的文件和资料。</w:t>
      </w:r>
    </w:p>
    <w:p>
      <w:pPr>
        <w:spacing w:line="400" w:lineRule="exact"/>
        <w:ind w:firstLine="482" w:firstLineChars="200"/>
        <w:rPr>
          <w:rFonts w:ascii="宋体" w:hAnsi="宋体"/>
          <w:color w:val="000000"/>
          <w:sz w:val="24"/>
        </w:rPr>
      </w:pPr>
      <w:r>
        <w:rPr>
          <w:rFonts w:hint="eastAsia" w:ascii="宋体" w:hAnsi="宋体"/>
          <w:b/>
          <w:color w:val="000000"/>
          <w:sz w:val="24"/>
        </w:rPr>
        <w:t>14.2.3其他部分。</w:t>
      </w:r>
      <w:r>
        <w:rPr>
          <w:rFonts w:hint="eastAsia" w:ascii="宋体" w:hAnsi="宋体"/>
          <w:color w:val="000000"/>
          <w:sz w:val="24"/>
        </w:rPr>
        <w:t>投标人按照招标文件的要求提供以下有关文件</w:t>
      </w:r>
      <w:r>
        <w:rPr>
          <w:rFonts w:hint="eastAsia" w:ascii="宋体" w:hAnsi="宋体"/>
          <w:bCs/>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（1）投标函；</w:t>
      </w:r>
    </w:p>
    <w:p>
      <w:pPr>
        <w:spacing w:line="400" w:lineRule="exact"/>
        <w:ind w:firstLine="480" w:firstLineChars="200"/>
        <w:rPr>
          <w:rFonts w:ascii="宋体" w:hAnsi="宋体"/>
          <w:color w:val="000000"/>
          <w:sz w:val="24"/>
        </w:rPr>
      </w:pPr>
      <w:r>
        <w:rPr>
          <w:rFonts w:hint="eastAsia" w:ascii="宋体" w:hAnsi="宋体" w:cs="Arial"/>
          <w:color w:val="000000"/>
          <w:kern w:val="0"/>
          <w:sz w:val="24"/>
        </w:rPr>
        <w:t>（2）</w:t>
      </w:r>
      <w:r>
        <w:rPr>
          <w:rFonts w:hint="eastAsia" w:ascii="宋体" w:hAnsi="宋体"/>
          <w:color w:val="000000"/>
          <w:sz w:val="24"/>
        </w:rPr>
        <w:t>投标人基本情况表；</w:t>
      </w:r>
    </w:p>
    <w:p>
      <w:pPr>
        <w:spacing w:line="400" w:lineRule="exact"/>
        <w:ind w:firstLine="480" w:firstLineChars="200"/>
        <w:rPr>
          <w:rFonts w:ascii="宋体" w:hAnsi="宋体"/>
          <w:color w:val="000000"/>
          <w:sz w:val="24"/>
        </w:rPr>
      </w:pPr>
      <w:r>
        <w:rPr>
          <w:rFonts w:hint="eastAsia" w:ascii="宋体" w:hAnsi="宋体"/>
          <w:color w:val="000000"/>
          <w:sz w:val="24"/>
        </w:rPr>
        <w:t>（3）投标人类似项目业绩一览表；</w:t>
      </w:r>
    </w:p>
    <w:p>
      <w:pPr>
        <w:spacing w:line="400" w:lineRule="exact"/>
        <w:ind w:firstLine="480" w:firstLineChars="200"/>
        <w:rPr>
          <w:rFonts w:ascii="宋体" w:hAnsi="宋体"/>
          <w:color w:val="000000"/>
          <w:sz w:val="24"/>
        </w:rPr>
      </w:pPr>
      <w:r>
        <w:rPr>
          <w:rFonts w:hint="eastAsia" w:ascii="宋体" w:hAnsi="宋体"/>
          <w:color w:val="000000"/>
          <w:sz w:val="24"/>
        </w:rPr>
        <w:t>（4）商务应答表；</w:t>
      </w:r>
    </w:p>
    <w:p>
      <w:pPr>
        <w:spacing w:line="400" w:lineRule="exact"/>
        <w:ind w:firstLine="480" w:firstLineChars="200"/>
        <w:rPr>
          <w:rFonts w:ascii="宋体" w:hAnsi="宋体"/>
          <w:color w:val="000000"/>
          <w:sz w:val="24"/>
        </w:rPr>
      </w:pPr>
      <w:r>
        <w:rPr>
          <w:rFonts w:hint="eastAsia" w:ascii="宋体" w:hAnsi="宋体"/>
          <w:color w:val="000000"/>
          <w:sz w:val="24"/>
        </w:rPr>
        <w:t>（5）投标人本项目管理、技术、服务人员情况表；</w:t>
      </w:r>
    </w:p>
    <w:p>
      <w:pPr>
        <w:spacing w:line="400" w:lineRule="exact"/>
        <w:ind w:firstLine="480" w:firstLineChars="200"/>
        <w:rPr>
          <w:rFonts w:ascii="宋体" w:hAnsi="宋体"/>
          <w:color w:val="000000"/>
          <w:sz w:val="24"/>
        </w:rPr>
      </w:pPr>
      <w:r>
        <w:rPr>
          <w:rFonts w:hint="eastAsia" w:ascii="宋体" w:hAnsi="宋体"/>
          <w:color w:val="000000"/>
          <w:sz w:val="24"/>
        </w:rPr>
        <w:t>（6）售后服务；</w:t>
      </w:r>
    </w:p>
    <w:p>
      <w:pPr>
        <w:spacing w:line="400" w:lineRule="exact"/>
        <w:ind w:firstLine="480" w:firstLineChars="200"/>
        <w:rPr>
          <w:rFonts w:ascii="宋体" w:hAnsi="宋体"/>
          <w:color w:val="000000"/>
          <w:sz w:val="24"/>
        </w:rPr>
      </w:pPr>
      <w:r>
        <w:rPr>
          <w:rFonts w:hint="eastAsia" w:ascii="宋体" w:hAnsi="宋体"/>
          <w:color w:val="000000"/>
          <w:sz w:val="24"/>
        </w:rPr>
        <w:t>（7）投标人承诺给予采购人的各种优惠条件（投标人不能以“赠送、赠予”等任何名义提供货物和服务以规避招标文件的约束。否则，投标人提供的投标文件将作为无效投标处理，即使中标也将取消中标资格）；</w:t>
      </w:r>
    </w:p>
    <w:p>
      <w:pPr>
        <w:spacing w:line="400" w:lineRule="exact"/>
        <w:ind w:firstLine="480" w:firstLineChars="200"/>
        <w:rPr>
          <w:rFonts w:ascii="宋体" w:hAnsi="宋体"/>
          <w:color w:val="000000"/>
          <w:sz w:val="24"/>
        </w:rPr>
      </w:pPr>
      <w:r>
        <w:rPr>
          <w:rFonts w:hint="eastAsia" w:ascii="宋体" w:hAnsi="宋体"/>
          <w:color w:val="000000"/>
          <w:sz w:val="24"/>
        </w:rPr>
        <w:t>（8）投标人认为需要提供的其他文件和资料。</w:t>
      </w:r>
    </w:p>
    <w:p>
      <w:pPr>
        <w:pStyle w:val="5"/>
        <w:tabs>
          <w:tab w:val="left" w:pos="3480"/>
        </w:tabs>
        <w:spacing w:line="400" w:lineRule="exact"/>
        <w:ind w:firstLine="482" w:firstLineChars="200"/>
        <w:rPr>
          <w:rFonts w:ascii="宋体" w:hAnsi="宋体"/>
          <w:color w:val="000000"/>
          <w:sz w:val="24"/>
        </w:rPr>
      </w:pPr>
      <w:bookmarkStart w:id="112" w:name="_Toc217446049"/>
      <w:bookmarkStart w:id="113" w:name="_Toc6308495"/>
      <w:bookmarkStart w:id="114" w:name="_Toc183682355"/>
      <w:bookmarkStart w:id="115" w:name="_Toc183582218"/>
      <w:bookmarkStart w:id="116" w:name="_Toc69141792"/>
      <w:bookmarkStart w:id="117" w:name="_Toc308164799"/>
      <w:bookmarkStart w:id="118" w:name="_Toc6308667"/>
      <w:r>
        <w:rPr>
          <w:rFonts w:hint="eastAsia" w:ascii="宋体" w:hAnsi="宋体"/>
          <w:color w:val="000000"/>
          <w:sz w:val="24"/>
        </w:rPr>
        <w:t>15.投标文件格式</w:t>
      </w:r>
      <w:bookmarkEnd w:id="112"/>
      <w:bookmarkEnd w:id="113"/>
      <w:bookmarkEnd w:id="114"/>
      <w:bookmarkEnd w:id="115"/>
      <w:bookmarkEnd w:id="116"/>
      <w:bookmarkEnd w:id="117"/>
      <w:bookmarkEnd w:id="118"/>
    </w:p>
    <w:p>
      <w:pPr>
        <w:spacing w:line="400" w:lineRule="exact"/>
        <w:ind w:firstLine="480" w:firstLineChars="200"/>
        <w:rPr>
          <w:rFonts w:ascii="宋体" w:hAnsi="宋体"/>
          <w:color w:val="000000"/>
          <w:sz w:val="24"/>
        </w:rPr>
      </w:pPr>
      <w:r>
        <w:rPr>
          <w:rFonts w:hint="eastAsia" w:ascii="宋体" w:hAnsi="宋体"/>
          <w:color w:val="000000"/>
          <w:sz w:val="24"/>
        </w:rPr>
        <w:t>15.1 投标人应执行招标文件第三章的规定要求。</w:t>
      </w:r>
    </w:p>
    <w:p>
      <w:pPr>
        <w:spacing w:line="400" w:lineRule="exact"/>
        <w:ind w:firstLine="480" w:firstLineChars="200"/>
        <w:rPr>
          <w:rFonts w:ascii="宋体" w:hAnsi="宋体"/>
          <w:color w:val="000000"/>
          <w:sz w:val="24"/>
        </w:rPr>
      </w:pPr>
      <w:r>
        <w:rPr>
          <w:rFonts w:hint="eastAsia" w:ascii="宋体" w:hAnsi="宋体"/>
          <w:color w:val="000000"/>
          <w:sz w:val="24"/>
        </w:rPr>
        <w:t>15.2 对于没有格式要求的由投标人自行编写。</w:t>
      </w:r>
    </w:p>
    <w:p>
      <w:pPr>
        <w:pStyle w:val="5"/>
        <w:spacing w:line="400" w:lineRule="exact"/>
        <w:ind w:firstLine="482" w:firstLineChars="200"/>
        <w:rPr>
          <w:rFonts w:ascii="宋体" w:hAnsi="宋体"/>
          <w:color w:val="000000"/>
          <w:sz w:val="24"/>
        </w:rPr>
      </w:pPr>
      <w:bookmarkStart w:id="119" w:name="_Toc183582223"/>
      <w:bookmarkStart w:id="120" w:name="_Toc6308496"/>
      <w:bookmarkStart w:id="121" w:name="_Toc183682360"/>
      <w:bookmarkStart w:id="122" w:name="_Toc217446050"/>
      <w:bookmarkStart w:id="123" w:name="_Toc6308668"/>
      <w:bookmarkStart w:id="124" w:name="_Toc69141793"/>
      <w:bookmarkStart w:id="125" w:name="_Toc308164800"/>
      <w:r>
        <w:rPr>
          <w:rFonts w:hint="eastAsia" w:ascii="宋体" w:hAnsi="宋体"/>
          <w:bCs w:val="0"/>
          <w:color w:val="000000"/>
          <w:sz w:val="24"/>
        </w:rPr>
        <w:t>16.投标保证金</w:t>
      </w:r>
      <w:bookmarkEnd w:id="119"/>
      <w:bookmarkEnd w:id="120"/>
      <w:bookmarkEnd w:id="121"/>
      <w:bookmarkEnd w:id="122"/>
      <w:bookmarkEnd w:id="123"/>
      <w:bookmarkEnd w:id="124"/>
      <w:bookmarkEnd w:id="125"/>
    </w:p>
    <w:p>
      <w:pPr>
        <w:spacing w:line="400" w:lineRule="exact"/>
        <w:ind w:firstLine="482" w:firstLineChars="200"/>
        <w:rPr>
          <w:rFonts w:ascii="宋体" w:hAnsi="宋体"/>
          <w:b/>
          <w:bCs/>
          <w:color w:val="000000"/>
          <w:sz w:val="24"/>
          <w:highlight w:val="cyan"/>
        </w:rPr>
      </w:pPr>
      <w:r>
        <w:rPr>
          <w:rFonts w:hint="eastAsia" w:ascii="宋体" w:hAnsi="宋体"/>
          <w:b/>
          <w:bCs/>
          <w:color w:val="000000"/>
          <w:sz w:val="24"/>
        </w:rPr>
        <w:t>本项目不收取投标保证金。</w:t>
      </w:r>
    </w:p>
    <w:p>
      <w:pPr>
        <w:pStyle w:val="5"/>
        <w:spacing w:line="400" w:lineRule="exact"/>
        <w:ind w:firstLine="482" w:firstLineChars="200"/>
        <w:rPr>
          <w:rFonts w:ascii="宋体" w:hAnsi="宋体"/>
          <w:bCs w:val="0"/>
          <w:color w:val="000000"/>
          <w:sz w:val="24"/>
        </w:rPr>
      </w:pPr>
      <w:bookmarkStart w:id="126" w:name="_Toc6308669"/>
      <w:bookmarkStart w:id="127" w:name="_Toc6308497"/>
      <w:bookmarkStart w:id="128" w:name="_Toc69141794"/>
      <w:r>
        <w:rPr>
          <w:rFonts w:hint="eastAsia" w:ascii="宋体" w:hAnsi="宋体"/>
          <w:bCs w:val="0"/>
          <w:color w:val="000000"/>
          <w:sz w:val="24"/>
        </w:rPr>
        <w:t>17.投标人信用信息查询</w:t>
      </w:r>
      <w:r>
        <w:rPr>
          <w:rFonts w:hint="eastAsia" w:ascii="宋体" w:hAnsi="宋体"/>
          <w:color w:val="000000"/>
          <w:sz w:val="24"/>
          <w:szCs w:val="24"/>
        </w:rPr>
        <w:t>（实质性要求）</w:t>
      </w:r>
      <w:bookmarkEnd w:id="126"/>
      <w:bookmarkEnd w:id="127"/>
      <w:bookmarkEnd w:id="128"/>
    </w:p>
    <w:p>
      <w:pPr>
        <w:widowControl/>
        <w:spacing w:line="360" w:lineRule="auto"/>
        <w:ind w:firstLine="480" w:firstLineChars="200"/>
        <w:jc w:val="left"/>
        <w:rPr>
          <w:rFonts w:ascii="宋体" w:hAnsi="宋体"/>
          <w:color w:val="000000"/>
          <w:sz w:val="24"/>
        </w:rPr>
      </w:pPr>
      <w:r>
        <w:rPr>
          <w:rFonts w:hint="eastAsia" w:ascii="宋体" w:hAnsi="宋体"/>
          <w:color w:val="000000"/>
          <w:sz w:val="24"/>
        </w:rPr>
        <w:t>17.1资格审查人员将于资格审查时查询投标人信用信息。</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17.2 查询渠道及截止时点：详见投标人须知前附表。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17.3 资格审查时对于被</w:t>
      </w:r>
      <w:r>
        <w:rPr>
          <w:rFonts w:ascii="宋体" w:hAnsi="宋体" w:cs="宋体"/>
          <w:color w:val="000000"/>
          <w:kern w:val="0"/>
          <w:sz w:val="24"/>
        </w:rPr>
        <w:t>列入失信被执行人、重大税收违法案件当事人名单、政府采购严重违法失信行为记录名单的供应商</w:t>
      </w:r>
      <w:r>
        <w:rPr>
          <w:rFonts w:hint="eastAsia" w:ascii="宋体" w:hAnsi="宋体" w:cs="宋体"/>
          <w:color w:val="000000"/>
          <w:kern w:val="0"/>
          <w:sz w:val="24"/>
        </w:rPr>
        <w:t>，其资格审查不通过</w:t>
      </w:r>
      <w:r>
        <w:rPr>
          <w:rFonts w:ascii="宋体" w:hAnsi="宋体" w:cs="宋体"/>
          <w:color w:val="000000"/>
          <w:kern w:val="0"/>
          <w:sz w:val="24"/>
        </w:rPr>
        <w:t>。（失信处罚如有有效期，在有效期外的除外）</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17.4 由于投标人单位性质无法按投标人须知前附表进行信用信息查询的，投标人应就单位的信用进行书面承诺。</w:t>
      </w:r>
    </w:p>
    <w:p>
      <w:pPr>
        <w:pStyle w:val="5"/>
        <w:spacing w:line="400" w:lineRule="exact"/>
        <w:ind w:firstLine="482" w:firstLineChars="200"/>
        <w:rPr>
          <w:rFonts w:ascii="宋体" w:hAnsi="宋体"/>
          <w:bCs w:val="0"/>
          <w:color w:val="000000"/>
          <w:sz w:val="24"/>
        </w:rPr>
      </w:pPr>
      <w:bookmarkStart w:id="129" w:name="_Toc217446051"/>
      <w:bookmarkStart w:id="130" w:name="_Toc183582224"/>
      <w:bookmarkStart w:id="131" w:name="_Toc308164801"/>
      <w:bookmarkStart w:id="132" w:name="_Toc183682361"/>
      <w:bookmarkStart w:id="133" w:name="_Toc6308498"/>
      <w:bookmarkStart w:id="134" w:name="_Toc69141795"/>
      <w:bookmarkStart w:id="135" w:name="_Toc6308670"/>
      <w:r>
        <w:rPr>
          <w:rFonts w:hint="eastAsia" w:ascii="宋体" w:hAnsi="宋体"/>
          <w:bCs w:val="0"/>
          <w:color w:val="000000"/>
          <w:sz w:val="24"/>
        </w:rPr>
        <w:t>18.投标有效期</w:t>
      </w:r>
      <w:bookmarkEnd w:id="129"/>
      <w:bookmarkEnd w:id="130"/>
      <w:bookmarkEnd w:id="131"/>
      <w:bookmarkEnd w:id="132"/>
      <w:r>
        <w:rPr>
          <w:rFonts w:hint="eastAsia" w:ascii="宋体" w:hAnsi="宋体"/>
          <w:color w:val="000000"/>
          <w:sz w:val="24"/>
          <w:szCs w:val="24"/>
        </w:rPr>
        <w:t>（实质性要求）</w:t>
      </w:r>
      <w:bookmarkEnd w:id="133"/>
      <w:bookmarkEnd w:id="134"/>
      <w:bookmarkEnd w:id="135"/>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18.1 投标人投标文件中必须载明投标有效期，投标文件中载明的投标有效期可以长于招标文件规定的期限，但不得短于招标文件规定的期限。否则，其投标文件将作为无效投标处理。</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pPr>
        <w:pStyle w:val="5"/>
        <w:spacing w:line="400" w:lineRule="exact"/>
        <w:ind w:firstLine="482" w:firstLineChars="200"/>
        <w:rPr>
          <w:rFonts w:ascii="宋体" w:hAnsi="宋体"/>
          <w:bCs w:val="0"/>
          <w:color w:val="000000"/>
          <w:sz w:val="24"/>
        </w:rPr>
      </w:pPr>
      <w:bookmarkStart w:id="136" w:name="_Toc183682362"/>
      <w:bookmarkStart w:id="137" w:name="_Toc69141796"/>
      <w:bookmarkStart w:id="138" w:name="_Toc217446052"/>
      <w:bookmarkStart w:id="139" w:name="_Toc6308499"/>
      <w:bookmarkStart w:id="140" w:name="_Toc308164802"/>
      <w:bookmarkStart w:id="141" w:name="_Toc183582225"/>
      <w:bookmarkStart w:id="142" w:name="_Toc6308671"/>
      <w:r>
        <w:rPr>
          <w:rFonts w:hint="eastAsia" w:ascii="宋体" w:hAnsi="宋体"/>
          <w:bCs w:val="0"/>
          <w:color w:val="000000"/>
          <w:sz w:val="24"/>
        </w:rPr>
        <w:t>19.投标文件的印制和签署</w:t>
      </w:r>
      <w:bookmarkEnd w:id="136"/>
      <w:bookmarkEnd w:id="137"/>
      <w:bookmarkEnd w:id="138"/>
      <w:bookmarkEnd w:id="139"/>
      <w:bookmarkEnd w:id="140"/>
      <w:bookmarkEnd w:id="141"/>
      <w:bookmarkEnd w:id="142"/>
    </w:p>
    <w:p>
      <w:pPr>
        <w:widowControl/>
        <w:spacing w:line="360" w:lineRule="auto"/>
        <w:ind w:firstLine="480" w:firstLineChars="200"/>
        <w:jc w:val="left"/>
        <w:rPr>
          <w:rFonts w:ascii="宋体" w:hAnsi="宋体" w:cs="宋体"/>
          <w:color w:val="000000"/>
          <w:kern w:val="0"/>
          <w:sz w:val="24"/>
        </w:rPr>
      </w:pPr>
      <w:bookmarkStart w:id="143" w:name="_Toc183682363"/>
      <w:bookmarkStart w:id="144" w:name="_Toc183582226"/>
      <w:bookmarkStart w:id="145" w:name="_Toc77400781"/>
      <w:bookmarkStart w:id="146" w:name="_Toc89075877"/>
      <w:bookmarkStart w:id="147" w:name="_Toc6308500"/>
      <w:bookmarkStart w:id="148" w:name="_Toc217446053"/>
      <w:bookmarkStart w:id="149" w:name="_Toc69141797"/>
      <w:bookmarkStart w:id="150" w:name="_Toc6308672"/>
      <w:bookmarkStart w:id="151" w:name="_Toc308164803"/>
      <w:r>
        <w:rPr>
          <w:rFonts w:hint="eastAsia" w:ascii="宋体" w:hAnsi="宋体" w:cs="宋体"/>
          <w:color w:val="000000"/>
          <w:kern w:val="0"/>
          <w:sz w:val="24"/>
        </w:rPr>
        <w:t>19.1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19.2 投标文件每页均应加盖投标人（法定名称）电子签章，不得使用投标人专用章（如经济合同章、投标专用章等）或下属单位印章代替。（实质性要求）</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19.3 投标人应使用本企业CA数字证书对投标文件进行加密。（实质性要求）</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19.4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19.5</w:t>
      </w:r>
      <w:r>
        <w:rPr>
          <w:rFonts w:ascii="宋体" w:hAnsi="宋体" w:cs="宋体"/>
          <w:color w:val="000000"/>
          <w:kern w:val="0"/>
          <w:sz w:val="24"/>
        </w:rPr>
        <w:t>投标人提交的</w:t>
      </w:r>
      <w:r>
        <w:rPr>
          <w:rFonts w:hint="eastAsia" w:ascii="宋体" w:hAnsi="宋体" w:cs="宋体"/>
          <w:color w:val="000000"/>
          <w:kern w:val="0"/>
          <w:sz w:val="24"/>
        </w:rPr>
        <w:t>投标文件包含资格性响应文件、其他响应文件、单独用于开标的“开标一览表”。</w:t>
      </w:r>
      <w:r>
        <w:rPr>
          <w:rFonts w:hint="eastAsia" w:ascii="宋体" w:hAnsi="宋体" w:cs="宋体"/>
          <w:b/>
          <w:bCs/>
          <w:color w:val="000000"/>
          <w:kern w:val="0"/>
          <w:sz w:val="24"/>
        </w:rPr>
        <w:t>（实质性要求）</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19.6资格性响应文件和其他响应文件单独制作。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19.7投标文件的书写应清楚工整，任何行间插字、涂改或增删，必须由投标人的法定代表人或其授权代表签字或盖个人印鉴。</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19.8投标文件统一用A4幅面纸印制（图、表及证件等除外），逐页编码。</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19.9本招标文件要求中的扫描件是指对图文进行复制后的文件，包括扫描、复印、影印等方式复制的材料。</w:t>
      </w:r>
    </w:p>
    <w:bookmarkEnd w:id="143"/>
    <w:bookmarkEnd w:id="144"/>
    <w:bookmarkEnd w:id="145"/>
    <w:bookmarkEnd w:id="146"/>
    <w:bookmarkEnd w:id="147"/>
    <w:bookmarkEnd w:id="148"/>
    <w:bookmarkEnd w:id="149"/>
    <w:bookmarkEnd w:id="150"/>
    <w:bookmarkEnd w:id="151"/>
    <w:p>
      <w:pPr>
        <w:pStyle w:val="5"/>
        <w:spacing w:line="400" w:lineRule="exact"/>
        <w:ind w:firstLine="482" w:firstLineChars="200"/>
        <w:rPr>
          <w:rFonts w:ascii="宋体"/>
          <w:bCs w:val="0"/>
          <w:color w:val="000000"/>
          <w:sz w:val="24"/>
          <w:szCs w:val="24"/>
        </w:rPr>
      </w:pPr>
      <w:bookmarkStart w:id="152" w:name="_Toc183582227"/>
      <w:bookmarkStart w:id="153" w:name="_Toc183682364"/>
      <w:bookmarkStart w:id="154" w:name="_Toc6308673"/>
      <w:bookmarkStart w:id="155" w:name="_Toc217446054"/>
      <w:bookmarkStart w:id="156" w:name="_Toc6308501"/>
      <w:bookmarkStart w:id="157" w:name="_Toc308164804"/>
      <w:bookmarkStart w:id="158" w:name="_Toc27694"/>
      <w:bookmarkStart w:id="159" w:name="_Toc6308675"/>
      <w:bookmarkStart w:id="160" w:name="_Toc183682368"/>
      <w:bookmarkStart w:id="161" w:name="_Toc89075878"/>
      <w:bookmarkStart w:id="162" w:name="_Toc183582231"/>
      <w:bookmarkStart w:id="163" w:name="_Toc69141800"/>
      <w:bookmarkStart w:id="164" w:name="_Toc308164805"/>
      <w:bookmarkStart w:id="165" w:name="_Toc217446056"/>
      <w:bookmarkStart w:id="166" w:name="_Toc6308503"/>
      <w:bookmarkStart w:id="167" w:name="_Toc77400782"/>
      <w:r>
        <w:rPr>
          <w:rFonts w:hint="eastAsia" w:ascii="宋体"/>
          <w:bCs w:val="0"/>
          <w:color w:val="000000"/>
          <w:sz w:val="24"/>
          <w:szCs w:val="24"/>
        </w:rPr>
        <w:t>20</w:t>
      </w:r>
      <w:r>
        <w:rPr>
          <w:rFonts w:hint="eastAsia" w:ascii="宋体"/>
          <w:bCs w:val="0"/>
          <w:color w:val="000000"/>
          <w:sz w:val="28"/>
          <w:szCs w:val="28"/>
        </w:rPr>
        <w:t>.</w:t>
      </w:r>
      <w:r>
        <w:rPr>
          <w:rFonts w:hint="eastAsia" w:ascii="宋体"/>
          <w:bCs w:val="0"/>
          <w:color w:val="000000"/>
          <w:sz w:val="24"/>
          <w:szCs w:val="24"/>
        </w:rPr>
        <w:t>投标文件的</w:t>
      </w:r>
      <w:bookmarkEnd w:id="152"/>
      <w:bookmarkEnd w:id="153"/>
      <w:r>
        <w:rPr>
          <w:rFonts w:hint="eastAsia" w:ascii="宋体"/>
          <w:bCs w:val="0"/>
          <w:color w:val="000000"/>
          <w:sz w:val="24"/>
          <w:szCs w:val="24"/>
        </w:rPr>
        <w:t>递交</w:t>
      </w:r>
      <w:bookmarkEnd w:id="154"/>
      <w:bookmarkEnd w:id="155"/>
      <w:bookmarkEnd w:id="156"/>
      <w:bookmarkEnd w:id="157"/>
      <w:bookmarkEnd w:id="158"/>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20.1 投标人应当在投标文件递交截止时间前，将生成的已加密的电子投标文件成功递交至“政府采购云平台”。</w:t>
      </w:r>
    </w:p>
    <w:p>
      <w:pPr>
        <w:widowControl/>
        <w:spacing w:line="360" w:lineRule="auto"/>
        <w:ind w:firstLine="480" w:firstLineChars="200"/>
        <w:jc w:val="left"/>
      </w:pPr>
      <w:r>
        <w:rPr>
          <w:rFonts w:hint="eastAsia" w:ascii="宋体" w:hAnsi="宋体" w:cs="宋体"/>
          <w:color w:val="000000"/>
          <w:kern w:val="0"/>
          <w:sz w:val="24"/>
        </w:rPr>
        <w:t>20.2投标人应充分考虑递交文件的不可预见因素，在投标截止时间后将无法递交。</w:t>
      </w:r>
    </w:p>
    <w:p>
      <w:pPr>
        <w:pStyle w:val="5"/>
        <w:spacing w:line="400" w:lineRule="exact"/>
        <w:ind w:firstLine="482" w:firstLineChars="200"/>
        <w:rPr>
          <w:rFonts w:ascii="宋体"/>
          <w:bCs w:val="0"/>
          <w:color w:val="000000"/>
          <w:sz w:val="24"/>
          <w:szCs w:val="24"/>
        </w:rPr>
      </w:pPr>
      <w:bookmarkStart w:id="168" w:name="_Toc183582228"/>
      <w:bookmarkStart w:id="169" w:name="_Toc183682365"/>
      <w:bookmarkStart w:id="170" w:name="_Toc217446055"/>
      <w:bookmarkStart w:id="171" w:name="_Toc6308674"/>
      <w:bookmarkStart w:id="172" w:name="_Toc6308502"/>
      <w:bookmarkStart w:id="173" w:name="_Toc31682"/>
      <w:r>
        <w:rPr>
          <w:rFonts w:hint="eastAsia" w:ascii="宋体"/>
          <w:bCs w:val="0"/>
          <w:color w:val="000000"/>
          <w:sz w:val="24"/>
          <w:szCs w:val="24"/>
        </w:rPr>
        <w:t>21.投标文件的修改和撤</w:t>
      </w:r>
      <w:bookmarkEnd w:id="168"/>
      <w:bookmarkEnd w:id="169"/>
      <w:r>
        <w:rPr>
          <w:rFonts w:hint="eastAsia" w:ascii="宋体"/>
          <w:bCs w:val="0"/>
          <w:color w:val="000000"/>
          <w:sz w:val="24"/>
          <w:szCs w:val="24"/>
        </w:rPr>
        <w:t>回</w:t>
      </w:r>
      <w:bookmarkEnd w:id="170"/>
      <w:r>
        <w:rPr>
          <w:rFonts w:hint="eastAsia" w:ascii="宋体"/>
          <w:bCs w:val="0"/>
          <w:color w:val="000000"/>
          <w:sz w:val="24"/>
          <w:szCs w:val="24"/>
        </w:rPr>
        <w:t>（实质性要求）</w:t>
      </w:r>
      <w:bookmarkEnd w:id="171"/>
      <w:bookmarkEnd w:id="172"/>
      <w:bookmarkEnd w:id="173"/>
    </w:p>
    <w:p>
      <w:pPr>
        <w:spacing w:line="400" w:lineRule="exact"/>
        <w:ind w:firstLine="470" w:firstLineChars="196"/>
        <w:rPr>
          <w:rFonts w:ascii="宋体"/>
          <w:color w:val="000000"/>
          <w:sz w:val="24"/>
        </w:rPr>
      </w:pPr>
      <w:r>
        <w:rPr>
          <w:rFonts w:hint="eastAsia" w:ascii="宋体"/>
          <w:color w:val="000000"/>
          <w:sz w:val="24"/>
        </w:rPr>
        <w:t>21.1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line="400" w:lineRule="exact"/>
        <w:ind w:firstLine="470" w:firstLineChars="196"/>
        <w:rPr>
          <w:rFonts w:ascii="宋体"/>
          <w:color w:val="000000"/>
          <w:sz w:val="24"/>
        </w:rPr>
      </w:pPr>
      <w:r>
        <w:rPr>
          <w:rFonts w:hint="eastAsia" w:ascii="宋体"/>
          <w:color w:val="000000"/>
          <w:sz w:val="24"/>
        </w:rPr>
        <w:t>21.2投标截止时间后，投标人不得对其递交的投标文件做任何补充、修改。</w:t>
      </w:r>
    </w:p>
    <w:p>
      <w:pPr>
        <w:spacing w:line="400" w:lineRule="exact"/>
        <w:ind w:firstLine="472" w:firstLineChars="196"/>
        <w:outlineLvl w:val="2"/>
        <w:rPr>
          <w:rFonts w:ascii="仿宋" w:hAnsi="仿宋" w:eastAsia="仿宋"/>
          <w:b/>
          <w:bCs/>
          <w:sz w:val="24"/>
        </w:rPr>
      </w:pPr>
    </w:p>
    <w:p>
      <w:pPr>
        <w:spacing w:line="400" w:lineRule="exact"/>
        <w:ind w:firstLine="472" w:firstLineChars="196"/>
        <w:outlineLvl w:val="2"/>
        <w:rPr>
          <w:rFonts w:ascii="宋体" w:hAnsi="宋体" w:cs="宋体"/>
          <w:b/>
          <w:bCs/>
          <w:sz w:val="24"/>
        </w:rPr>
      </w:pPr>
      <w:r>
        <w:rPr>
          <w:rFonts w:hint="eastAsia" w:ascii="宋体" w:hAnsi="宋体" w:cs="宋体"/>
          <w:b/>
          <w:bCs/>
          <w:sz w:val="24"/>
        </w:rPr>
        <w:t>22.投标文件的解密</w:t>
      </w:r>
    </w:p>
    <w:p>
      <w:pPr>
        <w:spacing w:line="400" w:lineRule="exact"/>
        <w:ind w:firstLine="470" w:firstLineChars="196"/>
        <w:rPr>
          <w:rFonts w:ascii="宋体" w:hAnsi="宋体" w:cs="宋体"/>
          <w:sz w:val="24"/>
        </w:rPr>
      </w:pPr>
      <w:r>
        <w:rPr>
          <w:rFonts w:hint="eastAsia" w:ascii="宋体" w:hAnsi="宋体" w:cs="宋体"/>
          <w:sz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4"/>
        <w:spacing w:line="400" w:lineRule="exact"/>
        <w:jc w:val="center"/>
        <w:rPr>
          <w:rFonts w:ascii="宋体" w:hAnsi="宋体" w:eastAsia="宋体"/>
          <w:color w:val="000000"/>
        </w:rPr>
      </w:pPr>
      <w:r>
        <w:rPr>
          <w:rFonts w:hint="eastAsia" w:ascii="宋体" w:hAnsi="宋体" w:eastAsia="宋体"/>
          <w:color w:val="000000"/>
        </w:rPr>
        <w:t>五、开标和中标</w:t>
      </w:r>
      <w:bookmarkEnd w:id="159"/>
      <w:bookmarkEnd w:id="160"/>
      <w:bookmarkEnd w:id="161"/>
      <w:bookmarkEnd w:id="162"/>
      <w:bookmarkEnd w:id="163"/>
      <w:bookmarkEnd w:id="164"/>
      <w:bookmarkEnd w:id="165"/>
      <w:bookmarkEnd w:id="166"/>
      <w:bookmarkEnd w:id="167"/>
    </w:p>
    <w:p>
      <w:pPr>
        <w:pStyle w:val="5"/>
        <w:spacing w:line="400" w:lineRule="exact"/>
        <w:ind w:firstLine="482" w:firstLineChars="200"/>
        <w:rPr>
          <w:rFonts w:ascii="宋体" w:hAnsi="宋体"/>
          <w:bCs w:val="0"/>
          <w:color w:val="000000"/>
          <w:sz w:val="24"/>
        </w:rPr>
      </w:pPr>
      <w:bookmarkStart w:id="174" w:name="_Toc183582232"/>
      <w:bookmarkStart w:id="175" w:name="_Toc6308676"/>
      <w:bookmarkStart w:id="176" w:name="_Toc69141801"/>
      <w:bookmarkStart w:id="177" w:name="_Toc217446057"/>
      <w:bookmarkStart w:id="178" w:name="_Toc308164806"/>
      <w:bookmarkStart w:id="179" w:name="_Toc183682369"/>
      <w:bookmarkStart w:id="180" w:name="_Toc6308504"/>
      <w:r>
        <w:rPr>
          <w:rFonts w:hint="eastAsia" w:ascii="宋体" w:hAnsi="宋体"/>
          <w:bCs w:val="0"/>
          <w:color w:val="000000"/>
          <w:sz w:val="24"/>
        </w:rPr>
        <w:t>23.开标</w:t>
      </w:r>
      <w:bookmarkEnd w:id="174"/>
      <w:bookmarkEnd w:id="175"/>
      <w:bookmarkEnd w:id="176"/>
      <w:bookmarkEnd w:id="177"/>
      <w:bookmarkEnd w:id="178"/>
      <w:bookmarkEnd w:id="179"/>
      <w:bookmarkEnd w:id="180"/>
    </w:p>
    <w:p>
      <w:pPr>
        <w:spacing w:line="400" w:lineRule="exact"/>
        <w:ind w:firstLine="480" w:firstLineChars="200"/>
        <w:rPr>
          <w:rFonts w:ascii="宋体"/>
          <w:color w:val="000000"/>
          <w:sz w:val="24"/>
        </w:rPr>
      </w:pPr>
      <w:bookmarkStart w:id="181" w:name="_Toc69141803"/>
      <w:bookmarkStart w:id="182" w:name="_Toc6308506"/>
      <w:bookmarkStart w:id="183" w:name="_Toc6308678"/>
      <w:bookmarkStart w:id="184" w:name="_Toc183582238"/>
      <w:bookmarkStart w:id="185" w:name="_Toc183682375"/>
      <w:bookmarkStart w:id="186" w:name="_Toc217446063"/>
      <w:bookmarkStart w:id="187" w:name="_Toc308164809"/>
      <w:r>
        <w:rPr>
          <w:rFonts w:hint="eastAsia" w:ascii="宋体"/>
          <w:color w:val="000000"/>
          <w:sz w:val="24"/>
        </w:rPr>
        <w:t>23.1本项目为不见面开标项目。（递交电子投标文件的投标人不足3家的，不予开标。）</w:t>
      </w:r>
    </w:p>
    <w:p>
      <w:pPr>
        <w:spacing w:line="400" w:lineRule="exact"/>
        <w:ind w:firstLine="480" w:firstLineChars="200"/>
        <w:rPr>
          <w:rFonts w:ascii="宋体"/>
          <w:color w:val="000000"/>
          <w:sz w:val="24"/>
        </w:rPr>
      </w:pPr>
      <w:r>
        <w:rPr>
          <w:rFonts w:hint="eastAsia" w:ascii="宋体"/>
          <w:color w:val="000000"/>
          <w:sz w:val="24"/>
        </w:rPr>
        <w:t>23.2开标准备工作。投标人需在开标当日、投标截止时间前登录“政府采购云平台”，通过本项目“开标大厅”参与不见面开标。登录政府采购云平台—项目采购—开标评标—开标大厅（确保进入本项目开标大厅）。</w:t>
      </w:r>
    </w:p>
    <w:p>
      <w:pPr>
        <w:spacing w:line="400" w:lineRule="exact"/>
        <w:ind w:firstLine="480" w:firstLineChars="200"/>
        <w:rPr>
          <w:rFonts w:ascii="宋体"/>
          <w:color w:val="000000"/>
          <w:sz w:val="24"/>
        </w:rPr>
      </w:pPr>
      <w:r>
        <w:rPr>
          <w:rFonts w:hint="eastAsia" w:ascii="宋体"/>
          <w:color w:val="000000"/>
          <w:sz w:val="24"/>
        </w:rPr>
        <w:t>提示：投标人未按时登录不见面开标系统，错过开标解密时间的，由投标人自行承担不利后果。</w:t>
      </w:r>
    </w:p>
    <w:p>
      <w:pPr>
        <w:spacing w:line="400" w:lineRule="exact"/>
        <w:ind w:firstLine="480" w:firstLineChars="200"/>
        <w:rPr>
          <w:rFonts w:ascii="宋体"/>
          <w:color w:val="000000"/>
          <w:sz w:val="24"/>
        </w:rPr>
      </w:pPr>
      <w:r>
        <w:rPr>
          <w:rFonts w:hint="eastAsia" w:ascii="宋体"/>
          <w:color w:val="000000"/>
          <w:sz w:val="24"/>
        </w:rPr>
        <w:t>23.3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line="400" w:lineRule="exact"/>
        <w:ind w:firstLine="480" w:firstLineChars="200"/>
        <w:rPr>
          <w:rFonts w:ascii="宋体"/>
          <w:color w:val="000000"/>
          <w:sz w:val="24"/>
        </w:rPr>
      </w:pPr>
      <w:r>
        <w:rPr>
          <w:rFonts w:hint="eastAsia" w:ascii="宋体"/>
          <w:color w:val="000000"/>
          <w:sz w:val="24"/>
        </w:rPr>
        <w:t>23.4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line="400" w:lineRule="exact"/>
        <w:ind w:firstLine="480" w:firstLineChars="200"/>
        <w:rPr>
          <w:rFonts w:ascii="宋体"/>
          <w:color w:val="000000"/>
          <w:sz w:val="24"/>
        </w:rPr>
      </w:pPr>
      <w:r>
        <w:rPr>
          <w:rFonts w:hint="eastAsia" w:ascii="宋体"/>
          <w:color w:val="000000"/>
          <w:sz w:val="24"/>
        </w:rPr>
        <w:t>23.5投标人电脑终端等硬件设备和软件系统配置：投标人电脑终端等硬件设备和软件系统配置应符合电子投标（含不见面开标大厅）投标人电脑终端配置要求并运行正常，投标人承担因未尽职责产生的不利后果。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line="400" w:lineRule="exact"/>
        <w:ind w:firstLine="480" w:firstLineChars="200"/>
        <w:rPr>
          <w:rFonts w:ascii="宋体"/>
          <w:color w:val="000000"/>
          <w:sz w:val="24"/>
        </w:rPr>
      </w:pPr>
      <w:r>
        <w:rPr>
          <w:rFonts w:hint="eastAsia" w:ascii="宋体"/>
          <w:color w:val="000000"/>
          <w:sz w:val="24"/>
        </w:rPr>
        <w:t>23.6因断电、断网、系统故障或其他不可抗力等因素导致不见面开标系统无法正常运行的，开标活动中止或延迟，待系统恢复正常后继续进行开标活动。</w:t>
      </w:r>
    </w:p>
    <w:p>
      <w:pPr>
        <w:spacing w:line="400" w:lineRule="exact"/>
        <w:ind w:firstLine="480" w:firstLineChars="200"/>
        <w:rPr>
          <w:rFonts w:ascii="宋体"/>
          <w:color w:val="000000"/>
          <w:sz w:val="24"/>
        </w:rPr>
      </w:pPr>
      <w:r>
        <w:rPr>
          <w:rFonts w:hint="eastAsia" w:ascii="宋体"/>
          <w:color w:val="000000"/>
          <w:sz w:val="24"/>
        </w:rPr>
        <w:t>23.7不见面开标过程中，各方主体均应遵守互联网有关规定，不得发表与交易活动无关的言论。</w:t>
      </w:r>
    </w:p>
    <w:p>
      <w:pPr>
        <w:pStyle w:val="10"/>
      </w:pPr>
    </w:p>
    <w:p>
      <w:pPr>
        <w:spacing w:line="400" w:lineRule="exact"/>
        <w:ind w:firstLine="482" w:firstLineChars="200"/>
        <w:rPr>
          <w:rFonts w:ascii="宋体"/>
          <w:b/>
          <w:bCs/>
          <w:color w:val="000000"/>
          <w:sz w:val="24"/>
        </w:rPr>
      </w:pPr>
      <w:r>
        <w:rPr>
          <w:rFonts w:hint="eastAsia" w:ascii="宋体"/>
          <w:b/>
          <w:bCs/>
          <w:color w:val="000000"/>
          <w:sz w:val="24"/>
        </w:rPr>
        <w:t>24．开评标过程存档</w:t>
      </w:r>
    </w:p>
    <w:p>
      <w:pPr>
        <w:pStyle w:val="5"/>
        <w:spacing w:line="400" w:lineRule="exact"/>
        <w:ind w:firstLine="480" w:firstLineChars="200"/>
        <w:rPr>
          <w:rFonts w:ascii="宋体"/>
          <w:b w:val="0"/>
          <w:color w:val="000000"/>
          <w:sz w:val="24"/>
        </w:rPr>
      </w:pPr>
      <w:r>
        <w:rPr>
          <w:rFonts w:hint="eastAsia" w:ascii="宋体"/>
          <w:b w:val="0"/>
          <w:color w:val="000000"/>
          <w:sz w:val="24"/>
        </w:rPr>
        <w:t>开标和评标过程进行全过程电子监控，并将电子监控资料存储介质留存归档。</w:t>
      </w:r>
    </w:p>
    <w:bookmarkEnd w:id="181"/>
    <w:bookmarkEnd w:id="182"/>
    <w:bookmarkEnd w:id="183"/>
    <w:p>
      <w:pPr>
        <w:pStyle w:val="5"/>
        <w:spacing w:line="400" w:lineRule="exact"/>
        <w:ind w:firstLine="482" w:firstLineChars="200"/>
        <w:rPr>
          <w:rFonts w:ascii="宋体" w:hAnsi="宋体"/>
          <w:bCs w:val="0"/>
          <w:color w:val="000000"/>
          <w:sz w:val="24"/>
        </w:rPr>
      </w:pPr>
      <w:bookmarkStart w:id="188" w:name="_Toc6308507"/>
      <w:bookmarkStart w:id="189" w:name="_Toc6308679"/>
      <w:bookmarkStart w:id="190" w:name="_Toc69141804"/>
      <w:r>
        <w:rPr>
          <w:rFonts w:hint="eastAsia" w:ascii="宋体" w:hAnsi="宋体"/>
          <w:bCs w:val="0"/>
          <w:color w:val="000000"/>
          <w:sz w:val="24"/>
        </w:rPr>
        <w:t>25.评标情况公告</w:t>
      </w:r>
      <w:bookmarkEnd w:id="188"/>
      <w:bookmarkEnd w:id="189"/>
      <w:bookmarkEnd w:id="190"/>
    </w:p>
    <w:p>
      <w:pPr>
        <w:spacing w:line="400" w:lineRule="exact"/>
        <w:ind w:firstLine="480" w:firstLineChars="200"/>
        <w:rPr>
          <w:rFonts w:ascii="宋体" w:hAnsi="宋体"/>
          <w:color w:val="000000"/>
          <w:sz w:val="24"/>
        </w:rPr>
      </w:pPr>
      <w:r>
        <w:rPr>
          <w:rFonts w:hint="eastAsia" w:ascii="宋体" w:hAnsi="宋体"/>
          <w:color w:val="000000"/>
          <w:sz w:val="24"/>
        </w:rPr>
        <w:t>中标结果在四川</w:t>
      </w:r>
      <w:r>
        <w:rPr>
          <w:rFonts w:ascii="宋体" w:hAnsi="宋体"/>
          <w:color w:val="000000"/>
          <w:sz w:val="24"/>
        </w:rPr>
        <w:t>政府采购网（www.ccgp-sichuan.gov.cn）</w:t>
      </w:r>
      <w:r>
        <w:rPr>
          <w:rFonts w:hint="eastAsia" w:ascii="宋体" w:hAnsi="宋体"/>
          <w:color w:val="000000"/>
          <w:sz w:val="24"/>
        </w:rPr>
        <w:t>上予以公告。</w:t>
      </w:r>
    </w:p>
    <w:p>
      <w:pPr>
        <w:pStyle w:val="5"/>
        <w:spacing w:line="400" w:lineRule="exact"/>
        <w:ind w:firstLine="482" w:firstLineChars="200"/>
        <w:rPr>
          <w:rFonts w:ascii="宋体" w:hAnsi="宋体"/>
          <w:bCs w:val="0"/>
          <w:color w:val="000000"/>
          <w:sz w:val="24"/>
          <w:szCs w:val="24"/>
        </w:rPr>
      </w:pPr>
      <w:bookmarkStart w:id="191" w:name="_Toc6308508"/>
      <w:bookmarkStart w:id="192" w:name="_Toc6308680"/>
      <w:bookmarkStart w:id="193" w:name="_Toc69141805"/>
      <w:r>
        <w:rPr>
          <w:rFonts w:hint="eastAsia" w:ascii="宋体" w:hAnsi="宋体"/>
          <w:bCs w:val="0"/>
          <w:color w:val="000000"/>
          <w:sz w:val="24"/>
          <w:szCs w:val="24"/>
        </w:rPr>
        <w:t>26.中标通知</w:t>
      </w:r>
      <w:bookmarkEnd w:id="184"/>
      <w:bookmarkEnd w:id="185"/>
      <w:r>
        <w:rPr>
          <w:rFonts w:hint="eastAsia" w:ascii="宋体" w:hAnsi="宋体"/>
          <w:bCs w:val="0"/>
          <w:color w:val="000000"/>
          <w:sz w:val="24"/>
          <w:szCs w:val="24"/>
        </w:rPr>
        <w:t>书</w:t>
      </w:r>
      <w:bookmarkEnd w:id="186"/>
      <w:bookmarkEnd w:id="187"/>
      <w:bookmarkEnd w:id="191"/>
      <w:bookmarkEnd w:id="192"/>
      <w:bookmarkEnd w:id="193"/>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26</w:t>
      </w:r>
      <w:r>
        <w:rPr>
          <w:rFonts w:hint="eastAsia" w:ascii="宋体" w:hAnsi="宋体"/>
          <w:bCs/>
          <w:color w:val="000000"/>
          <w:sz w:val="24"/>
        </w:rPr>
        <w:t>.</w:t>
      </w:r>
      <w:r>
        <w:rPr>
          <w:rFonts w:hint="eastAsia" w:ascii="宋体" w:hAnsi="宋体"/>
          <w:color w:val="000000"/>
          <w:sz w:val="24"/>
        </w:rPr>
        <w:t>1 中标通知书为签订政府采购合同的依据之一，是合同的有效组成部分。</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26.2 投标人中标后，拒绝领取中标通知书的，采购代理机构将按照相关规定予以处理。无故拒绝领取的将不退还其投标保证金。因故不领取的需要书面说明理由。</w:t>
      </w:r>
    </w:p>
    <w:p>
      <w:pPr>
        <w:tabs>
          <w:tab w:val="left" w:pos="7665"/>
        </w:tabs>
        <w:spacing w:line="400" w:lineRule="exact"/>
        <w:ind w:firstLine="480"/>
        <w:rPr>
          <w:rFonts w:ascii="宋体" w:hAnsi="宋体"/>
          <w:color w:val="000000"/>
          <w:sz w:val="24"/>
        </w:rPr>
      </w:pPr>
      <w:r>
        <w:rPr>
          <w:rFonts w:hint="eastAsia" w:ascii="宋体" w:hAnsi="宋体"/>
          <w:color w:val="000000"/>
          <w:sz w:val="24"/>
        </w:rPr>
        <w:t>26.3 中标通知书发出后，采购人不得违法改变中标结果，中标人无正当理由不得放弃中标。</w:t>
      </w:r>
    </w:p>
    <w:p>
      <w:pPr>
        <w:tabs>
          <w:tab w:val="left" w:pos="7665"/>
        </w:tabs>
        <w:spacing w:line="400" w:lineRule="exact"/>
        <w:ind w:firstLine="480"/>
        <w:rPr>
          <w:rFonts w:ascii="宋体" w:hAnsi="宋体"/>
          <w:color w:val="000000"/>
          <w:sz w:val="24"/>
        </w:rPr>
      </w:pPr>
      <w:r>
        <w:rPr>
          <w:rFonts w:hint="eastAsia" w:ascii="宋体" w:hAnsi="宋体"/>
          <w:color w:val="000000"/>
          <w:sz w:val="24"/>
        </w:rPr>
        <w:t>26.4 中标或者成交供应商拒绝与采购人签订合同的，采购人可以按照评审报告推荐的中标或者成交候选人名单排序，确定下一候选人为中标或者成交供应商，也可以重新开展政府采购活动。</w:t>
      </w:r>
    </w:p>
    <w:p>
      <w:pPr>
        <w:tabs>
          <w:tab w:val="left" w:pos="7665"/>
        </w:tabs>
        <w:spacing w:line="400" w:lineRule="exact"/>
        <w:ind w:firstLine="480"/>
        <w:rPr>
          <w:rFonts w:ascii="宋体" w:hAnsi="宋体"/>
          <w:color w:val="000000"/>
          <w:sz w:val="24"/>
        </w:rPr>
      </w:pPr>
      <w:r>
        <w:rPr>
          <w:rFonts w:hint="eastAsia" w:ascii="宋体" w:hAnsi="宋体"/>
          <w:color w:val="000000"/>
          <w:sz w:val="24"/>
        </w:rPr>
        <w:t>26.5 中标公告发出后，中标供应商按采购代理机构要求领取中标通知书，领取要求以电子邮件形式通知。</w:t>
      </w:r>
    </w:p>
    <w:p>
      <w:pPr>
        <w:pStyle w:val="4"/>
        <w:spacing w:line="400" w:lineRule="exact"/>
        <w:jc w:val="center"/>
        <w:rPr>
          <w:rFonts w:ascii="宋体" w:hAnsi="宋体" w:eastAsia="宋体"/>
          <w:color w:val="000000"/>
          <w:szCs w:val="28"/>
        </w:rPr>
      </w:pPr>
      <w:bookmarkStart w:id="194" w:name="_Toc6308509"/>
      <w:bookmarkStart w:id="195" w:name="_Toc6308681"/>
      <w:bookmarkStart w:id="196" w:name="_Toc217446064"/>
      <w:bookmarkStart w:id="197" w:name="_Toc308164810"/>
      <w:bookmarkStart w:id="198" w:name="_Toc69141806"/>
      <w:bookmarkStart w:id="199" w:name="_Toc183582240"/>
      <w:bookmarkStart w:id="200" w:name="_Toc183682377"/>
      <w:r>
        <w:rPr>
          <w:rFonts w:hint="eastAsia" w:ascii="宋体" w:hAnsi="宋体" w:eastAsia="宋体"/>
          <w:color w:val="000000"/>
          <w:szCs w:val="28"/>
        </w:rPr>
        <w:t>六、签订及履行合同和验收</w:t>
      </w:r>
      <w:bookmarkEnd w:id="194"/>
      <w:bookmarkEnd w:id="195"/>
      <w:bookmarkEnd w:id="196"/>
      <w:bookmarkEnd w:id="197"/>
      <w:bookmarkEnd w:id="198"/>
    </w:p>
    <w:p>
      <w:pPr>
        <w:pStyle w:val="5"/>
        <w:spacing w:line="400" w:lineRule="exact"/>
        <w:ind w:firstLine="482" w:firstLineChars="200"/>
        <w:rPr>
          <w:rFonts w:ascii="宋体" w:hAnsi="宋体"/>
          <w:b w:val="0"/>
          <w:color w:val="000000"/>
          <w:sz w:val="24"/>
          <w:szCs w:val="24"/>
        </w:rPr>
      </w:pPr>
      <w:bookmarkStart w:id="201" w:name="_Toc308164811"/>
      <w:bookmarkStart w:id="202" w:name="_Toc6308682"/>
      <w:bookmarkStart w:id="203" w:name="_Toc69141807"/>
      <w:bookmarkStart w:id="204" w:name="_Toc6308510"/>
      <w:bookmarkStart w:id="205" w:name="_Toc217446065"/>
      <w:r>
        <w:rPr>
          <w:rFonts w:hint="eastAsia" w:ascii="宋体" w:hAnsi="宋体"/>
          <w:color w:val="000000"/>
          <w:sz w:val="24"/>
        </w:rPr>
        <w:t>27.</w:t>
      </w:r>
      <w:r>
        <w:rPr>
          <w:rFonts w:hint="eastAsia" w:ascii="宋体" w:hAnsi="宋体"/>
          <w:color w:val="000000"/>
          <w:sz w:val="24"/>
          <w:szCs w:val="24"/>
        </w:rPr>
        <w:t>签订合同</w:t>
      </w:r>
      <w:bookmarkEnd w:id="201"/>
      <w:bookmarkEnd w:id="202"/>
      <w:bookmarkEnd w:id="203"/>
      <w:bookmarkEnd w:id="204"/>
      <w:bookmarkEnd w:id="205"/>
    </w:p>
    <w:p>
      <w:pPr>
        <w:spacing w:line="400" w:lineRule="exact"/>
        <w:ind w:firstLine="480" w:firstLineChars="200"/>
        <w:rPr>
          <w:rFonts w:ascii="宋体" w:hAnsi="宋体"/>
          <w:color w:val="000000"/>
          <w:sz w:val="24"/>
        </w:rPr>
      </w:pPr>
      <w:r>
        <w:rPr>
          <w:rFonts w:hint="eastAsia" w:ascii="宋体" w:hAnsi="宋体"/>
          <w:color w:val="000000"/>
          <w:sz w:val="24"/>
        </w:rPr>
        <w:t>27.1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80" w:firstLineChars="200"/>
        <w:rPr>
          <w:rFonts w:ascii="宋体" w:hAnsi="宋体"/>
          <w:color w:val="000000"/>
          <w:sz w:val="24"/>
        </w:rPr>
      </w:pPr>
      <w:r>
        <w:rPr>
          <w:rFonts w:hint="eastAsia" w:ascii="宋体" w:hAnsi="宋体"/>
          <w:color w:val="000000"/>
          <w:sz w:val="24"/>
        </w:rPr>
        <w:t>27.2 采购人不得向中标人提出任何不合理的要求，作为签订合同的条件，不得与中标人私下订立背离合同实质性内容的任何协议，所签订的合同不得对招标文件和中标人投标文件确定的事项进行修改。</w:t>
      </w:r>
    </w:p>
    <w:p>
      <w:pPr>
        <w:spacing w:line="400" w:lineRule="exact"/>
        <w:ind w:firstLine="480" w:firstLineChars="200"/>
        <w:rPr>
          <w:rFonts w:ascii="宋体" w:hAnsi="宋体"/>
          <w:color w:val="000000"/>
          <w:sz w:val="24"/>
        </w:rPr>
      </w:pPr>
      <w:r>
        <w:rPr>
          <w:rFonts w:hint="eastAsia" w:ascii="宋体" w:hAnsi="宋体"/>
          <w:color w:val="000000"/>
          <w:sz w:val="24"/>
        </w:rPr>
        <w:t>27.3 中标人因不可抗力原因不能履行采购合同或放弃中标的，采购人可以与排在中标人之后第一位的中标候选人签订采购合同或重新开展采购活动。</w:t>
      </w:r>
    </w:p>
    <w:p>
      <w:pPr>
        <w:spacing w:line="400" w:lineRule="exact"/>
        <w:ind w:firstLine="482" w:firstLineChars="200"/>
        <w:rPr>
          <w:rFonts w:ascii="宋体" w:hAnsi="宋体"/>
          <w:b/>
          <w:bCs/>
          <w:color w:val="000000"/>
          <w:sz w:val="24"/>
        </w:rPr>
      </w:pPr>
      <w:r>
        <w:rPr>
          <w:rFonts w:hint="eastAsia" w:ascii="宋体" w:hAnsi="宋体"/>
          <w:b/>
          <w:bCs/>
          <w:color w:val="000000"/>
          <w:sz w:val="24"/>
        </w:rPr>
        <w:t>27.4中标人应在合同签订后2个工作日内，将签订的采购合同交采购代理机构，原件和扫描件均可。（扫描件发送至</w:t>
      </w:r>
      <w:r>
        <w:rPr>
          <w:rFonts w:ascii="宋体" w:hAnsi="宋体"/>
          <w:b/>
          <w:bCs/>
          <w:color w:val="000000"/>
          <w:sz w:val="24"/>
        </w:rPr>
        <w:t>2941741850</w:t>
      </w:r>
      <w:r>
        <w:rPr>
          <w:rFonts w:hint="eastAsia" w:ascii="宋体" w:hAnsi="宋体"/>
          <w:b/>
          <w:bCs/>
          <w:color w:val="000000"/>
          <w:sz w:val="24"/>
        </w:rPr>
        <w:t xml:space="preserve"> @qq.con，邮件命名为“采购合同-项目名称-供应商名称”）</w:t>
      </w:r>
    </w:p>
    <w:p>
      <w:pPr>
        <w:pStyle w:val="5"/>
        <w:spacing w:line="400" w:lineRule="exact"/>
        <w:ind w:firstLine="482" w:firstLineChars="200"/>
        <w:rPr>
          <w:rFonts w:ascii="宋体"/>
          <w:color w:val="000000"/>
          <w:sz w:val="24"/>
        </w:rPr>
      </w:pPr>
      <w:bookmarkStart w:id="206" w:name="_Toc6308683"/>
      <w:bookmarkStart w:id="207" w:name="_Toc6308511"/>
      <w:bookmarkStart w:id="208" w:name="_Toc69141808"/>
      <w:r>
        <w:rPr>
          <w:rFonts w:hint="eastAsia" w:ascii="宋体"/>
          <w:color w:val="000000"/>
          <w:sz w:val="24"/>
        </w:rPr>
        <w:t>28.合同公告</w:t>
      </w:r>
    </w:p>
    <w:p>
      <w:pPr>
        <w:spacing w:line="400" w:lineRule="exact"/>
        <w:ind w:firstLine="480" w:firstLineChars="200"/>
        <w:rPr>
          <w:rFonts w:ascii="宋体" w:hAnsi="宋体" w:cs="宋体"/>
          <w:sz w:val="24"/>
        </w:rPr>
      </w:pPr>
      <w:r>
        <w:rPr>
          <w:rFonts w:hint="eastAsia" w:ascii="宋体" w:hAnsi="宋体" w:cs="宋体"/>
          <w:sz w:val="24"/>
        </w:rPr>
        <w:t>采购人应当自政府采购合同签订之日起2个工作日内，将政府采购合同在省级以上人民政府财政部门指定的媒体上公告（四川政府采购网），但政府采购合同中涉及国家秘密、商业秘密的内容除外。</w:t>
      </w:r>
    </w:p>
    <w:p>
      <w:pPr>
        <w:pStyle w:val="5"/>
        <w:spacing w:line="400" w:lineRule="exact"/>
        <w:ind w:firstLine="482" w:firstLineChars="200"/>
        <w:rPr>
          <w:rFonts w:ascii="宋体"/>
          <w:color w:val="000000"/>
          <w:sz w:val="24"/>
        </w:rPr>
      </w:pPr>
      <w:r>
        <w:rPr>
          <w:rFonts w:hint="eastAsia" w:ascii="宋体"/>
          <w:color w:val="000000"/>
          <w:sz w:val="24"/>
        </w:rPr>
        <w:t>29.合同备案</w:t>
      </w:r>
    </w:p>
    <w:p>
      <w:pPr>
        <w:spacing w:line="400" w:lineRule="exact"/>
        <w:ind w:firstLine="480" w:firstLineChars="200"/>
        <w:rPr>
          <w:rFonts w:ascii="宋体" w:hAnsi="宋体" w:cs="宋体"/>
          <w:sz w:val="24"/>
        </w:rPr>
      </w:pPr>
      <w:r>
        <w:rPr>
          <w:rFonts w:hint="eastAsia" w:ascii="宋体" w:hAnsi="宋体" w:cs="宋体"/>
          <w:sz w:val="24"/>
        </w:rPr>
        <w:t>采购人应当将政府采购合同副本自签订之日起七个工作日内通过政采云平台报同级财政部门备案。</w:t>
      </w:r>
    </w:p>
    <w:p>
      <w:pPr>
        <w:pStyle w:val="5"/>
        <w:spacing w:line="400" w:lineRule="exact"/>
        <w:ind w:firstLine="482" w:firstLineChars="200"/>
        <w:rPr>
          <w:rFonts w:ascii="宋体" w:hAnsi="宋体"/>
          <w:color w:val="000000"/>
          <w:sz w:val="24"/>
        </w:rPr>
      </w:pPr>
      <w:r>
        <w:rPr>
          <w:rFonts w:hint="eastAsia" w:ascii="宋体" w:hAnsi="宋体"/>
          <w:color w:val="000000"/>
          <w:sz w:val="24"/>
        </w:rPr>
        <w:t>30.合同分包（实质性要求）</w:t>
      </w:r>
      <w:bookmarkEnd w:id="206"/>
      <w:bookmarkEnd w:id="207"/>
      <w:bookmarkEnd w:id="208"/>
    </w:p>
    <w:p>
      <w:pPr>
        <w:spacing w:line="400" w:lineRule="exact"/>
        <w:ind w:firstLine="482" w:firstLineChars="200"/>
        <w:rPr>
          <w:rFonts w:ascii="宋体" w:hAnsi="宋体"/>
          <w:b/>
          <w:sz w:val="24"/>
        </w:rPr>
      </w:pPr>
      <w:r>
        <w:rPr>
          <w:rFonts w:hint="eastAsia" w:ascii="宋体" w:hAnsi="宋体"/>
          <w:b/>
          <w:sz w:val="24"/>
        </w:rPr>
        <w:t>若项目</w:t>
      </w:r>
      <w:r>
        <w:rPr>
          <w:rFonts w:ascii="宋体" w:hAnsi="宋体"/>
          <w:b/>
          <w:sz w:val="24"/>
        </w:rPr>
        <w:t>允许分包</w:t>
      </w:r>
      <w:r>
        <w:rPr>
          <w:rFonts w:hint="eastAsia" w:ascii="宋体" w:hAnsi="宋体"/>
          <w:b/>
          <w:sz w:val="24"/>
        </w:rPr>
        <w:t>（详见投标人须知前附表）</w:t>
      </w:r>
      <w:r>
        <w:rPr>
          <w:rFonts w:ascii="宋体" w:hAnsi="宋体"/>
          <w:b/>
          <w:sz w:val="24"/>
        </w:rPr>
        <w:t>，则</w:t>
      </w:r>
      <w:r>
        <w:rPr>
          <w:rFonts w:hint="eastAsia" w:ascii="宋体" w:hAnsi="宋体"/>
          <w:b/>
          <w:sz w:val="24"/>
        </w:rPr>
        <w:t>按</w:t>
      </w:r>
      <w:r>
        <w:rPr>
          <w:rFonts w:ascii="宋体" w:hAnsi="宋体"/>
          <w:b/>
          <w:sz w:val="24"/>
        </w:rPr>
        <w:t>以下要求执行。</w:t>
      </w:r>
    </w:p>
    <w:p>
      <w:pPr>
        <w:spacing w:line="400" w:lineRule="exact"/>
        <w:ind w:firstLine="480" w:firstLineChars="200"/>
        <w:rPr>
          <w:rFonts w:ascii="宋体" w:hAnsi="宋体"/>
          <w:sz w:val="24"/>
        </w:rPr>
      </w:pPr>
      <w:r>
        <w:rPr>
          <w:rFonts w:hint="eastAsia" w:ascii="宋体" w:hAnsi="宋体"/>
          <w:sz w:val="24"/>
        </w:rPr>
        <w:t>30</w:t>
      </w:r>
      <w:r>
        <w:rPr>
          <w:rFonts w:ascii="宋体" w:hAnsi="宋体"/>
          <w:sz w:val="24"/>
        </w:rPr>
        <w:t>.</w:t>
      </w:r>
      <w:r>
        <w:rPr>
          <w:rFonts w:hint="eastAsia" w:ascii="宋体" w:hAnsi="宋体"/>
          <w:sz w:val="24"/>
        </w:rPr>
        <w:t>1中标供应商可以依法采取分包方式履行合同。分包履行合同的部分应当为采购项目的非主体、非关键性工作，不属于成交供应商的主要合同义务。</w:t>
      </w:r>
    </w:p>
    <w:p>
      <w:pPr>
        <w:spacing w:line="400" w:lineRule="exact"/>
        <w:ind w:firstLine="480" w:firstLineChars="200"/>
        <w:rPr>
          <w:rFonts w:ascii="宋体" w:hAnsi="宋体"/>
          <w:sz w:val="24"/>
        </w:rPr>
      </w:pPr>
      <w:r>
        <w:rPr>
          <w:rFonts w:hint="eastAsia" w:ascii="宋体" w:hAnsi="宋体"/>
          <w:sz w:val="24"/>
        </w:rPr>
        <w:t>30.2采购合同实行分包履行的，成交供应商就采购项目和分包项目向采购人负责，分包供应商就分包项目承担责任。</w:t>
      </w:r>
    </w:p>
    <w:p>
      <w:pPr>
        <w:spacing w:line="400" w:lineRule="exact"/>
        <w:ind w:firstLine="480" w:firstLineChars="200"/>
        <w:rPr>
          <w:rFonts w:ascii="宋体" w:hAnsi="宋体"/>
          <w:sz w:val="24"/>
        </w:rPr>
      </w:pPr>
      <w:r>
        <w:rPr>
          <w:rFonts w:hint="eastAsia" w:ascii="宋体" w:hAnsi="宋体"/>
          <w:sz w:val="24"/>
        </w:rPr>
        <w:t>30.3中小企业依据《政府采购促进中小企业发展管理办法》规定的政策获取政府采购合同后，小微企业不得将合同分包给大中型企业，中型企业不得将合同分包给大型企业。</w:t>
      </w:r>
    </w:p>
    <w:p>
      <w:pPr>
        <w:spacing w:line="400" w:lineRule="exact"/>
        <w:ind w:firstLine="480" w:firstLineChars="200"/>
        <w:rPr>
          <w:rFonts w:ascii="宋体" w:hAnsi="宋体"/>
          <w:sz w:val="24"/>
          <w:highlight w:val="yellow"/>
        </w:rPr>
      </w:pPr>
      <w:r>
        <w:rPr>
          <w:rFonts w:hint="eastAsia" w:ascii="宋体" w:hAnsi="宋体"/>
          <w:sz w:val="24"/>
        </w:rPr>
        <w:t>30.4接受分包合同的中小企业与分包企业之间不得存在直接控股、管理关系。</w:t>
      </w:r>
    </w:p>
    <w:p>
      <w:pPr>
        <w:spacing w:line="400" w:lineRule="exact"/>
        <w:rPr>
          <w:rFonts w:ascii="宋体" w:hAnsi="宋体"/>
          <w:color w:val="000000"/>
          <w:sz w:val="24"/>
        </w:rPr>
      </w:pPr>
    </w:p>
    <w:p>
      <w:pPr>
        <w:pStyle w:val="5"/>
        <w:spacing w:line="400" w:lineRule="exact"/>
        <w:ind w:firstLine="482" w:firstLineChars="200"/>
        <w:rPr>
          <w:rFonts w:ascii="宋体" w:hAnsi="宋体"/>
          <w:color w:val="000000"/>
          <w:sz w:val="24"/>
        </w:rPr>
      </w:pPr>
      <w:bookmarkStart w:id="209" w:name="_Toc6308512"/>
      <w:bookmarkStart w:id="210" w:name="_Toc6308684"/>
      <w:bookmarkStart w:id="211" w:name="_Toc69141809"/>
      <w:r>
        <w:rPr>
          <w:rFonts w:hint="eastAsia" w:ascii="宋体" w:hAnsi="宋体"/>
          <w:color w:val="000000"/>
          <w:sz w:val="24"/>
        </w:rPr>
        <w:t>31.合同转包（实质性要求）</w:t>
      </w:r>
      <w:bookmarkEnd w:id="209"/>
      <w:bookmarkEnd w:id="210"/>
      <w:bookmarkEnd w:id="211"/>
    </w:p>
    <w:p>
      <w:pPr>
        <w:spacing w:line="400" w:lineRule="exact"/>
        <w:ind w:firstLine="480" w:firstLineChars="200"/>
        <w:rPr>
          <w:rFonts w:ascii="宋体" w:hAnsi="宋体"/>
          <w:color w:val="000000"/>
          <w:sz w:val="24"/>
        </w:rPr>
      </w:pPr>
      <w:r>
        <w:rPr>
          <w:rFonts w:hint="eastAsia" w:ascii="宋体" w:hAnsi="宋体"/>
          <w:color w:val="000000"/>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ascii="宋体" w:hAnsi="宋体"/>
          <w:color w:val="000000"/>
          <w:sz w:val="24"/>
        </w:rPr>
      </w:pPr>
      <w:r>
        <w:rPr>
          <w:rFonts w:hint="eastAsia" w:ascii="宋体" w:hAnsi="宋体"/>
          <w:color w:val="000000"/>
          <w:sz w:val="24"/>
        </w:rPr>
        <w:t>中标人转包的，视同拒绝履行政府采购合同义务，将依法追究法律责任。</w:t>
      </w:r>
    </w:p>
    <w:p>
      <w:pPr>
        <w:pStyle w:val="5"/>
        <w:spacing w:line="400" w:lineRule="exact"/>
        <w:ind w:firstLine="482" w:firstLineChars="200"/>
        <w:rPr>
          <w:rFonts w:ascii="宋体" w:hAnsi="宋体"/>
          <w:color w:val="000000"/>
          <w:sz w:val="24"/>
        </w:rPr>
      </w:pPr>
      <w:bookmarkStart w:id="212" w:name="_Toc217446066"/>
      <w:bookmarkStart w:id="213" w:name="_Toc69141810"/>
      <w:bookmarkStart w:id="214" w:name="_Toc6308685"/>
      <w:bookmarkStart w:id="215" w:name="_Toc6308513"/>
      <w:r>
        <w:rPr>
          <w:rFonts w:hint="eastAsia" w:ascii="宋体" w:hAnsi="宋体"/>
          <w:color w:val="000000"/>
          <w:sz w:val="24"/>
        </w:rPr>
        <w:t>32.</w:t>
      </w:r>
      <w:bookmarkEnd w:id="212"/>
      <w:r>
        <w:rPr>
          <w:rFonts w:hint="eastAsia" w:ascii="宋体" w:hAnsi="宋体"/>
          <w:color w:val="000000"/>
          <w:sz w:val="24"/>
        </w:rPr>
        <w:t>补充合同</w:t>
      </w:r>
      <w:bookmarkEnd w:id="213"/>
      <w:bookmarkEnd w:id="214"/>
      <w:bookmarkEnd w:id="215"/>
    </w:p>
    <w:p>
      <w:pPr>
        <w:spacing w:line="400" w:lineRule="exact"/>
        <w:ind w:firstLine="480" w:firstLineChars="200"/>
        <w:rPr>
          <w:rFonts w:ascii="宋体" w:hAnsi="宋体"/>
          <w:color w:val="000000"/>
          <w:sz w:val="24"/>
        </w:rPr>
      </w:pPr>
      <w:r>
        <w:rPr>
          <w:rFonts w:hint="eastAsia" w:ascii="宋体" w:hAnsi="宋体"/>
          <w:color w:val="000000"/>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pPr>
        <w:pStyle w:val="5"/>
        <w:spacing w:line="400" w:lineRule="exact"/>
        <w:ind w:firstLine="482" w:firstLineChars="200"/>
        <w:rPr>
          <w:rFonts w:ascii="宋体" w:hAnsi="宋体"/>
          <w:b w:val="0"/>
          <w:color w:val="000000"/>
          <w:sz w:val="24"/>
          <w:szCs w:val="24"/>
        </w:rPr>
      </w:pPr>
      <w:bookmarkStart w:id="216" w:name="_Toc308164812"/>
      <w:bookmarkStart w:id="217" w:name="_Toc217446068"/>
      <w:bookmarkStart w:id="218" w:name="_Toc69141811"/>
      <w:bookmarkStart w:id="219" w:name="_Toc6308686"/>
      <w:bookmarkStart w:id="220" w:name="_Toc6308514"/>
      <w:r>
        <w:rPr>
          <w:rFonts w:hint="eastAsia" w:ascii="宋体" w:hAnsi="宋体"/>
          <w:color w:val="000000"/>
          <w:sz w:val="24"/>
          <w:szCs w:val="24"/>
        </w:rPr>
        <w:t>33</w:t>
      </w:r>
      <w:r>
        <w:rPr>
          <w:rFonts w:hint="eastAsia" w:ascii="宋体" w:hAnsi="宋体"/>
          <w:b w:val="0"/>
          <w:color w:val="000000"/>
          <w:sz w:val="24"/>
          <w:szCs w:val="24"/>
        </w:rPr>
        <w:t>.</w:t>
      </w:r>
      <w:r>
        <w:rPr>
          <w:rFonts w:hint="eastAsia" w:ascii="宋体" w:hAnsi="宋体"/>
          <w:color w:val="000000"/>
          <w:sz w:val="24"/>
          <w:szCs w:val="24"/>
        </w:rPr>
        <w:t>履约保证金</w:t>
      </w:r>
      <w:bookmarkEnd w:id="216"/>
      <w:bookmarkEnd w:id="217"/>
      <w:r>
        <w:rPr>
          <w:rFonts w:hint="eastAsia" w:ascii="宋体" w:hAnsi="宋体"/>
          <w:color w:val="000000"/>
          <w:sz w:val="24"/>
          <w:szCs w:val="24"/>
        </w:rPr>
        <w:t>（实质性要求）</w:t>
      </w:r>
      <w:bookmarkEnd w:id="218"/>
      <w:bookmarkEnd w:id="219"/>
      <w:bookmarkEnd w:id="220"/>
    </w:p>
    <w:p>
      <w:pPr>
        <w:spacing w:line="400" w:lineRule="exact"/>
        <w:ind w:firstLine="482" w:firstLineChars="200"/>
        <w:rPr>
          <w:rFonts w:ascii="宋体" w:hAnsi="宋体"/>
          <w:b/>
          <w:bCs/>
          <w:color w:val="000000"/>
          <w:sz w:val="24"/>
        </w:rPr>
      </w:pPr>
      <w:r>
        <w:rPr>
          <w:rFonts w:hint="eastAsia" w:ascii="宋体" w:hAnsi="宋体"/>
          <w:b/>
          <w:bCs/>
          <w:color w:val="000000"/>
          <w:sz w:val="24"/>
        </w:rPr>
        <w:t>如项目要求缴纳履约保证金的，应按以下要求执行：</w:t>
      </w:r>
    </w:p>
    <w:p>
      <w:pPr>
        <w:spacing w:line="400" w:lineRule="exact"/>
        <w:ind w:firstLine="480" w:firstLineChars="200"/>
        <w:rPr>
          <w:rFonts w:ascii="宋体" w:hAnsi="宋体"/>
          <w:color w:val="000000"/>
          <w:sz w:val="24"/>
        </w:rPr>
      </w:pPr>
      <w:r>
        <w:rPr>
          <w:rFonts w:hint="eastAsia" w:ascii="宋体" w:hAnsi="宋体"/>
          <w:color w:val="000000"/>
          <w:sz w:val="24"/>
        </w:rPr>
        <w:t>33.1 中标人应按照投标人</w:t>
      </w:r>
      <w:r>
        <w:rPr>
          <w:rFonts w:ascii="宋体" w:hAnsi="宋体"/>
          <w:color w:val="000000"/>
          <w:sz w:val="24"/>
        </w:rPr>
        <w:t>须知前附表要求</w:t>
      </w:r>
      <w:r>
        <w:rPr>
          <w:rFonts w:hint="eastAsia" w:ascii="宋体" w:hAnsi="宋体"/>
          <w:color w:val="000000"/>
          <w:sz w:val="24"/>
        </w:rPr>
        <w:t>交纳规定数额的履约保证金。</w:t>
      </w:r>
    </w:p>
    <w:p>
      <w:pPr>
        <w:spacing w:line="400" w:lineRule="exact"/>
        <w:ind w:firstLine="480" w:firstLineChars="200"/>
        <w:rPr>
          <w:rFonts w:ascii="宋体" w:hAnsi="宋体"/>
          <w:color w:val="000000"/>
          <w:sz w:val="24"/>
        </w:rPr>
      </w:pPr>
      <w:r>
        <w:rPr>
          <w:rFonts w:hint="eastAsia" w:ascii="宋体" w:hAnsi="宋体"/>
          <w:color w:val="000000"/>
          <w:sz w:val="24"/>
        </w:rPr>
        <w:t>33.2 如果中标人在规定的时间内，没有按照招标文件的规定交纳履约保证金，且又无正当理由的，将视为放弃中标。</w:t>
      </w:r>
    </w:p>
    <w:p>
      <w:pPr>
        <w:pStyle w:val="5"/>
        <w:spacing w:line="400" w:lineRule="exact"/>
        <w:ind w:firstLine="482" w:firstLineChars="200"/>
        <w:rPr>
          <w:rFonts w:ascii="宋体" w:hAnsi="宋体"/>
          <w:color w:val="000000"/>
          <w:sz w:val="24"/>
          <w:szCs w:val="24"/>
        </w:rPr>
      </w:pPr>
      <w:bookmarkStart w:id="221" w:name="_Toc6308516"/>
      <w:bookmarkStart w:id="222" w:name="_Toc308164813"/>
      <w:bookmarkStart w:id="223" w:name="_Toc69141812"/>
      <w:bookmarkStart w:id="224" w:name="_Toc6308688"/>
      <w:bookmarkStart w:id="225" w:name="_Toc217446069"/>
      <w:r>
        <w:rPr>
          <w:rFonts w:hint="eastAsia" w:ascii="宋体" w:hAnsi="宋体"/>
          <w:color w:val="000000"/>
          <w:sz w:val="24"/>
          <w:szCs w:val="24"/>
        </w:rPr>
        <w:t>34.合同履行</w:t>
      </w:r>
      <w:bookmarkEnd w:id="221"/>
      <w:bookmarkEnd w:id="222"/>
      <w:bookmarkEnd w:id="223"/>
      <w:bookmarkEnd w:id="224"/>
      <w:bookmarkEnd w:id="225"/>
    </w:p>
    <w:p>
      <w:pPr>
        <w:spacing w:line="400" w:lineRule="exact"/>
        <w:ind w:firstLine="480" w:firstLineChars="200"/>
        <w:rPr>
          <w:rFonts w:ascii="宋体" w:hAnsi="宋体"/>
          <w:color w:val="000000"/>
          <w:sz w:val="24"/>
        </w:rPr>
      </w:pPr>
      <w:r>
        <w:rPr>
          <w:rFonts w:hint="eastAsia" w:ascii="宋体" w:hAnsi="宋体"/>
          <w:color w:val="000000"/>
          <w:sz w:val="24"/>
        </w:rPr>
        <w:t>34.1 中标人与采购人签订合同后，合同双方应严格执行合同条款，履行合同规定的义务，保证合同的顺利完成。</w:t>
      </w:r>
    </w:p>
    <w:p>
      <w:pPr>
        <w:spacing w:line="400" w:lineRule="exact"/>
        <w:ind w:firstLine="480" w:firstLineChars="200"/>
        <w:rPr>
          <w:rFonts w:ascii="宋体" w:hAnsi="宋体"/>
          <w:color w:val="000000"/>
          <w:sz w:val="24"/>
        </w:rPr>
      </w:pPr>
      <w:r>
        <w:rPr>
          <w:rFonts w:hint="eastAsia" w:ascii="宋体" w:hAnsi="宋体"/>
          <w:color w:val="000000"/>
          <w:sz w:val="24"/>
        </w:rPr>
        <w:t>34.2 在合同履行过程中，如发生合同纠纷，合同双方应按照《中华人民共和国民法典》的有关规定进行处理。</w:t>
      </w:r>
    </w:p>
    <w:p>
      <w:pPr>
        <w:pStyle w:val="5"/>
        <w:spacing w:line="400" w:lineRule="exact"/>
        <w:ind w:firstLine="482" w:firstLineChars="200"/>
        <w:rPr>
          <w:rFonts w:ascii="宋体" w:hAnsi="宋体"/>
          <w:b w:val="0"/>
          <w:color w:val="000000"/>
          <w:sz w:val="24"/>
          <w:szCs w:val="24"/>
        </w:rPr>
      </w:pPr>
      <w:bookmarkStart w:id="226" w:name="_Toc308164814"/>
      <w:bookmarkStart w:id="227" w:name="_Toc217446070"/>
      <w:bookmarkStart w:id="228" w:name="_Toc69141813"/>
      <w:bookmarkStart w:id="229" w:name="_Toc6308689"/>
      <w:bookmarkStart w:id="230" w:name="_Toc6308517"/>
      <w:r>
        <w:rPr>
          <w:rFonts w:hint="eastAsia" w:ascii="宋体" w:hAnsi="宋体"/>
          <w:color w:val="000000"/>
          <w:sz w:val="24"/>
          <w:szCs w:val="24"/>
        </w:rPr>
        <w:t>35.验收</w:t>
      </w:r>
      <w:bookmarkEnd w:id="226"/>
      <w:bookmarkEnd w:id="227"/>
      <w:bookmarkEnd w:id="228"/>
      <w:bookmarkEnd w:id="229"/>
      <w:bookmarkEnd w:id="230"/>
    </w:p>
    <w:p>
      <w:pPr>
        <w:spacing w:line="400" w:lineRule="exact"/>
        <w:ind w:firstLine="480" w:firstLineChars="200"/>
        <w:rPr>
          <w:rFonts w:ascii="宋体" w:hAnsi="宋体"/>
          <w:sz w:val="24"/>
        </w:rPr>
      </w:pPr>
      <w:r>
        <w:rPr>
          <w:rFonts w:hint="eastAsia" w:ascii="宋体" w:hAnsi="宋体"/>
          <w:color w:val="000000"/>
          <w:sz w:val="24"/>
        </w:rPr>
        <w:t>35.1本项目采购人将严格按照政府采购相关法</w:t>
      </w:r>
      <w:r>
        <w:rPr>
          <w:rFonts w:hint="eastAsia" w:ascii="宋体" w:hAnsi="宋体"/>
          <w:sz w:val="24"/>
        </w:rPr>
        <w:t>律法规及招标文件的要求进行验收。</w:t>
      </w:r>
    </w:p>
    <w:p>
      <w:pPr>
        <w:spacing w:line="400" w:lineRule="exact"/>
        <w:ind w:firstLine="480" w:firstLineChars="200"/>
        <w:rPr>
          <w:rFonts w:ascii="宋体" w:hAnsi="宋体"/>
          <w:color w:val="000000"/>
          <w:sz w:val="24"/>
        </w:rPr>
      </w:pPr>
      <w:r>
        <w:rPr>
          <w:rFonts w:hint="eastAsia" w:ascii="宋体" w:hAnsi="宋体"/>
          <w:sz w:val="24"/>
        </w:rPr>
        <w:t>35.2 验收结果合格的，中标人凭验收合格通知书到采购人指定部门办理相关手续；验收结果不合格且经整改后仍不合格的，将不予支付采购资</w:t>
      </w:r>
      <w:r>
        <w:rPr>
          <w:rFonts w:hint="eastAsia" w:ascii="宋体" w:hAnsi="宋体"/>
          <w:color w:val="000000"/>
          <w:sz w:val="24"/>
        </w:rPr>
        <w:t>金，同时报告本项目同级财政部门按照政府采购法律法规的有关规定给予行政处罚或者以失信行为记入诚信档案。</w:t>
      </w:r>
      <w:bookmarkStart w:id="231" w:name="_Toc217446071"/>
    </w:p>
    <w:p>
      <w:pPr>
        <w:pStyle w:val="5"/>
        <w:spacing w:line="400" w:lineRule="exact"/>
        <w:ind w:firstLine="482" w:firstLineChars="200"/>
        <w:rPr>
          <w:rFonts w:ascii="宋体" w:hAnsi="宋体"/>
          <w:color w:val="000000"/>
          <w:sz w:val="24"/>
          <w:szCs w:val="24"/>
        </w:rPr>
      </w:pPr>
      <w:bookmarkStart w:id="232" w:name="_Toc69141814"/>
      <w:bookmarkStart w:id="233" w:name="_Toc308164818"/>
      <w:bookmarkStart w:id="234" w:name="_Toc217446077"/>
      <w:bookmarkStart w:id="235" w:name="_Toc6308518"/>
      <w:bookmarkStart w:id="236" w:name="_Toc6308690"/>
      <w:r>
        <w:rPr>
          <w:rFonts w:hint="eastAsia" w:ascii="宋体" w:hAnsi="宋体"/>
          <w:color w:val="000000"/>
          <w:sz w:val="24"/>
          <w:szCs w:val="24"/>
        </w:rPr>
        <w:t>36.资金支付</w:t>
      </w:r>
      <w:bookmarkEnd w:id="232"/>
      <w:bookmarkEnd w:id="233"/>
      <w:bookmarkEnd w:id="234"/>
      <w:bookmarkEnd w:id="235"/>
      <w:bookmarkEnd w:id="236"/>
    </w:p>
    <w:p>
      <w:pPr>
        <w:spacing w:line="400" w:lineRule="exact"/>
        <w:ind w:firstLine="480" w:firstLineChars="200"/>
        <w:rPr>
          <w:rFonts w:ascii="宋体" w:hAnsi="宋体"/>
          <w:color w:val="000000"/>
          <w:szCs w:val="28"/>
        </w:rPr>
      </w:pPr>
      <w:r>
        <w:rPr>
          <w:rFonts w:hint="eastAsia" w:ascii="宋体" w:hAnsi="宋体"/>
          <w:color w:val="000000"/>
          <w:sz w:val="24"/>
        </w:rPr>
        <w:t>采购人将按照本项目招标文件的规定，及时向中标供应商支付采购资金。</w:t>
      </w:r>
      <w:bookmarkEnd w:id="199"/>
      <w:bookmarkEnd w:id="200"/>
      <w:bookmarkEnd w:id="231"/>
      <w:bookmarkStart w:id="237" w:name="_Toc183582243"/>
      <w:bookmarkStart w:id="238" w:name="_Toc183682380"/>
    </w:p>
    <w:p>
      <w:pPr>
        <w:pStyle w:val="5"/>
        <w:spacing w:line="400" w:lineRule="exact"/>
        <w:ind w:firstLine="482" w:firstLineChars="200"/>
        <w:rPr>
          <w:rFonts w:ascii="宋体" w:hAnsi="宋体"/>
          <w:bCs w:val="0"/>
          <w:color w:val="000000"/>
          <w:sz w:val="24"/>
          <w:szCs w:val="24"/>
        </w:rPr>
      </w:pPr>
      <w:bookmarkStart w:id="239" w:name="_Toc6308519"/>
      <w:bookmarkStart w:id="240" w:name="_Toc69141815"/>
      <w:bookmarkStart w:id="241" w:name="_Toc217446075"/>
      <w:bookmarkStart w:id="242" w:name="_Toc308164816"/>
      <w:bookmarkStart w:id="243" w:name="_Toc6308691"/>
      <w:r>
        <w:rPr>
          <w:rFonts w:hint="eastAsia" w:ascii="宋体" w:hAnsi="宋体"/>
          <w:color w:val="000000"/>
          <w:sz w:val="24"/>
        </w:rPr>
        <w:t>37.</w:t>
      </w:r>
      <w:r>
        <w:rPr>
          <w:rFonts w:hint="eastAsia" w:ascii="宋体" w:hAnsi="宋体"/>
          <w:bCs w:val="0"/>
          <w:color w:val="000000"/>
          <w:sz w:val="24"/>
          <w:szCs w:val="24"/>
        </w:rPr>
        <w:t>投标人不得具有的情形</w:t>
      </w:r>
      <w:bookmarkEnd w:id="239"/>
      <w:bookmarkEnd w:id="240"/>
      <w:bookmarkEnd w:id="241"/>
      <w:bookmarkEnd w:id="242"/>
      <w:bookmarkEnd w:id="243"/>
    </w:p>
    <w:p>
      <w:pPr>
        <w:pStyle w:val="7"/>
        <w:spacing w:line="400" w:lineRule="exact"/>
        <w:ind w:firstLine="480"/>
        <w:rPr>
          <w:rFonts w:ascii="宋体" w:hAnsi="宋体"/>
          <w:color w:val="000000"/>
          <w:sz w:val="24"/>
        </w:rPr>
      </w:pPr>
      <w:r>
        <w:rPr>
          <w:rFonts w:hint="eastAsia" w:ascii="宋体" w:hAnsi="宋体"/>
          <w:color w:val="000000"/>
          <w:sz w:val="24"/>
        </w:rPr>
        <w:t>（一）投标人参加本项目投标不得有下列情形：</w:t>
      </w:r>
    </w:p>
    <w:p>
      <w:pPr>
        <w:pStyle w:val="7"/>
        <w:spacing w:line="400" w:lineRule="exact"/>
        <w:ind w:firstLine="480"/>
        <w:rPr>
          <w:rFonts w:ascii="宋体" w:hAnsi="宋体"/>
          <w:color w:val="000000"/>
          <w:sz w:val="24"/>
        </w:rPr>
      </w:pPr>
      <w:r>
        <w:rPr>
          <w:rFonts w:hint="eastAsia" w:ascii="宋体" w:hAnsi="宋体"/>
          <w:color w:val="000000"/>
          <w:sz w:val="24"/>
        </w:rPr>
        <w:t>（1）提供虚假材料谋取中标；</w:t>
      </w:r>
    </w:p>
    <w:p>
      <w:pPr>
        <w:pStyle w:val="7"/>
        <w:spacing w:line="400" w:lineRule="exact"/>
        <w:ind w:firstLine="480"/>
        <w:rPr>
          <w:rFonts w:ascii="宋体" w:hAnsi="宋体"/>
          <w:color w:val="000000"/>
          <w:sz w:val="24"/>
        </w:rPr>
      </w:pPr>
      <w:r>
        <w:rPr>
          <w:rFonts w:hint="eastAsia" w:ascii="宋体" w:hAnsi="宋体"/>
          <w:color w:val="000000"/>
          <w:sz w:val="24"/>
        </w:rPr>
        <w:t>（2）采取不正当手段诋毁、排挤其他投标人；</w:t>
      </w:r>
    </w:p>
    <w:p>
      <w:pPr>
        <w:pStyle w:val="7"/>
        <w:spacing w:line="400" w:lineRule="exact"/>
        <w:ind w:firstLine="480"/>
        <w:rPr>
          <w:rFonts w:ascii="宋体" w:hAnsi="宋体"/>
          <w:color w:val="000000"/>
          <w:sz w:val="24"/>
        </w:rPr>
      </w:pPr>
      <w:r>
        <w:rPr>
          <w:rFonts w:hint="eastAsia" w:ascii="宋体" w:hAnsi="宋体"/>
          <w:color w:val="000000"/>
          <w:sz w:val="24"/>
        </w:rPr>
        <w:t>（3）与采购人、其他投标人或者采购代理机构恶意串通；</w:t>
      </w:r>
    </w:p>
    <w:p>
      <w:pPr>
        <w:pStyle w:val="7"/>
        <w:spacing w:line="400" w:lineRule="exact"/>
        <w:ind w:firstLine="480"/>
        <w:rPr>
          <w:rFonts w:ascii="宋体" w:hAnsi="宋体"/>
          <w:color w:val="000000"/>
          <w:sz w:val="24"/>
        </w:rPr>
      </w:pPr>
      <w:r>
        <w:rPr>
          <w:rFonts w:hint="eastAsia" w:ascii="宋体" w:hAnsi="宋体"/>
          <w:color w:val="000000"/>
          <w:sz w:val="24"/>
        </w:rPr>
        <w:t>（4）向采购人、评标委员会成员、采购代理机构行贿或者提供其他不正当利益；</w:t>
      </w:r>
    </w:p>
    <w:p>
      <w:pPr>
        <w:pStyle w:val="7"/>
        <w:spacing w:line="400" w:lineRule="exact"/>
        <w:ind w:firstLine="480"/>
        <w:rPr>
          <w:rFonts w:ascii="宋体" w:hAnsi="宋体"/>
          <w:color w:val="000000"/>
          <w:sz w:val="24"/>
        </w:rPr>
      </w:pPr>
      <w:r>
        <w:rPr>
          <w:rFonts w:hint="eastAsia" w:ascii="宋体" w:hAnsi="宋体"/>
          <w:color w:val="000000"/>
          <w:sz w:val="24"/>
        </w:rPr>
        <w:t>（5）在招标采购过程中与采购人进行协商谈判；</w:t>
      </w:r>
    </w:p>
    <w:p>
      <w:pPr>
        <w:pStyle w:val="7"/>
        <w:spacing w:line="400" w:lineRule="exact"/>
        <w:ind w:firstLine="480"/>
        <w:rPr>
          <w:rFonts w:ascii="宋体" w:hAnsi="宋体"/>
          <w:color w:val="000000"/>
          <w:sz w:val="24"/>
        </w:rPr>
      </w:pPr>
      <w:r>
        <w:rPr>
          <w:rFonts w:hint="eastAsia" w:ascii="宋体" w:hAnsi="宋体"/>
          <w:color w:val="000000"/>
          <w:sz w:val="24"/>
        </w:rPr>
        <w:t>（6）中标或者成交后无正当理由拒不与采购人签订政府采购合同；</w:t>
      </w:r>
    </w:p>
    <w:p>
      <w:pPr>
        <w:pStyle w:val="7"/>
        <w:spacing w:line="400" w:lineRule="exact"/>
        <w:ind w:firstLine="480"/>
        <w:rPr>
          <w:rFonts w:ascii="宋体" w:hAnsi="宋体"/>
          <w:color w:val="000000"/>
          <w:sz w:val="24"/>
        </w:rPr>
      </w:pPr>
      <w:r>
        <w:rPr>
          <w:rFonts w:hint="eastAsia" w:ascii="宋体" w:hAnsi="宋体"/>
          <w:color w:val="000000"/>
          <w:sz w:val="24"/>
        </w:rPr>
        <w:t>（7）未按照采购文件确定的事项签订政府采购合同；</w:t>
      </w:r>
    </w:p>
    <w:p>
      <w:pPr>
        <w:pStyle w:val="7"/>
        <w:spacing w:line="400" w:lineRule="exact"/>
        <w:ind w:firstLine="480"/>
        <w:rPr>
          <w:rFonts w:ascii="宋体" w:hAnsi="宋体"/>
          <w:color w:val="000000"/>
          <w:sz w:val="24"/>
        </w:rPr>
      </w:pPr>
      <w:r>
        <w:rPr>
          <w:rFonts w:hint="eastAsia" w:ascii="宋体" w:hAnsi="宋体"/>
          <w:color w:val="000000"/>
          <w:sz w:val="24"/>
        </w:rPr>
        <w:t>（8）将政府采购合同转包或者违规分包；</w:t>
      </w:r>
    </w:p>
    <w:p>
      <w:pPr>
        <w:pStyle w:val="7"/>
        <w:spacing w:line="400" w:lineRule="exact"/>
        <w:ind w:firstLine="480"/>
        <w:rPr>
          <w:rFonts w:ascii="宋体" w:hAnsi="宋体"/>
          <w:color w:val="000000"/>
          <w:sz w:val="24"/>
        </w:rPr>
      </w:pPr>
      <w:r>
        <w:rPr>
          <w:rFonts w:hint="eastAsia" w:ascii="宋体" w:hAnsi="宋体"/>
          <w:color w:val="000000"/>
          <w:sz w:val="24"/>
        </w:rPr>
        <w:t>（9）提供假冒伪劣产品；</w:t>
      </w:r>
    </w:p>
    <w:p>
      <w:pPr>
        <w:pStyle w:val="7"/>
        <w:spacing w:line="400" w:lineRule="exact"/>
        <w:ind w:firstLine="480"/>
        <w:rPr>
          <w:rFonts w:ascii="宋体" w:hAnsi="宋体"/>
          <w:color w:val="000000"/>
          <w:sz w:val="24"/>
        </w:rPr>
      </w:pPr>
      <w:r>
        <w:rPr>
          <w:rFonts w:hint="eastAsia" w:ascii="宋体" w:hAnsi="宋体"/>
          <w:color w:val="000000"/>
          <w:sz w:val="24"/>
        </w:rPr>
        <w:t>（10）擅自变更、中止或者终止政府采购合同；</w:t>
      </w:r>
    </w:p>
    <w:p>
      <w:pPr>
        <w:pStyle w:val="7"/>
        <w:spacing w:line="400" w:lineRule="exact"/>
        <w:ind w:firstLine="480"/>
        <w:rPr>
          <w:rFonts w:ascii="宋体" w:hAnsi="宋体"/>
          <w:color w:val="000000"/>
          <w:sz w:val="24"/>
        </w:rPr>
      </w:pPr>
      <w:r>
        <w:rPr>
          <w:rFonts w:hint="eastAsia" w:ascii="宋体" w:hAnsi="宋体"/>
          <w:color w:val="000000"/>
          <w:sz w:val="24"/>
        </w:rPr>
        <w:t>（11）拒绝有关部门的监督检查或者向监督检查部门提供虚假情况；</w:t>
      </w:r>
    </w:p>
    <w:p>
      <w:pPr>
        <w:pStyle w:val="7"/>
        <w:spacing w:line="400" w:lineRule="exact"/>
        <w:ind w:firstLine="480"/>
        <w:rPr>
          <w:rFonts w:ascii="宋体" w:hAnsi="宋体"/>
          <w:color w:val="000000"/>
          <w:sz w:val="24"/>
        </w:rPr>
      </w:pPr>
      <w:r>
        <w:rPr>
          <w:rFonts w:hint="eastAsia" w:ascii="宋体" w:hAnsi="宋体"/>
          <w:color w:val="000000"/>
          <w:sz w:val="24"/>
        </w:rPr>
        <w:t>（12）法律法规规定的其他情形。</w:t>
      </w:r>
    </w:p>
    <w:p>
      <w:pPr>
        <w:pStyle w:val="7"/>
        <w:spacing w:line="400" w:lineRule="exact"/>
        <w:ind w:firstLine="480"/>
        <w:rPr>
          <w:rFonts w:ascii="宋体" w:hAnsi="宋体"/>
          <w:color w:val="000000"/>
          <w:sz w:val="24"/>
        </w:rPr>
      </w:pPr>
      <w:r>
        <w:rPr>
          <w:rFonts w:hint="eastAsia" w:ascii="宋体" w:hAnsi="宋体"/>
          <w:color w:val="000000"/>
          <w:sz w:val="24"/>
        </w:rPr>
        <w:t>投标人有上述情形的，中标无效，同时按照相关规定追究法律责任。</w:t>
      </w:r>
    </w:p>
    <w:p>
      <w:pPr>
        <w:pStyle w:val="7"/>
        <w:spacing w:line="400" w:lineRule="exact"/>
        <w:ind w:firstLine="480"/>
        <w:rPr>
          <w:rFonts w:ascii="宋体" w:hAnsi="宋体"/>
          <w:color w:val="000000"/>
          <w:sz w:val="24"/>
        </w:rPr>
      </w:pPr>
      <w:r>
        <w:rPr>
          <w:rFonts w:hint="eastAsia" w:ascii="宋体" w:hAnsi="宋体"/>
          <w:color w:val="000000"/>
          <w:sz w:val="24"/>
        </w:rPr>
        <w:t>（二）投标人有下列情形之一的，视为投标人串通投标，其投标无效：</w:t>
      </w:r>
    </w:p>
    <w:p>
      <w:pPr>
        <w:pStyle w:val="7"/>
        <w:spacing w:line="400" w:lineRule="exact"/>
        <w:ind w:firstLine="480"/>
        <w:rPr>
          <w:rFonts w:ascii="宋体" w:hAnsi="宋体"/>
          <w:color w:val="000000"/>
          <w:sz w:val="24"/>
        </w:rPr>
      </w:pPr>
      <w:r>
        <w:rPr>
          <w:rFonts w:hint="eastAsia" w:ascii="宋体" w:hAnsi="宋体"/>
          <w:color w:val="000000"/>
          <w:sz w:val="24"/>
        </w:rPr>
        <w:t>（1） 不同投标人的投标文件由同一单位或者个人编制；</w:t>
      </w:r>
    </w:p>
    <w:p>
      <w:pPr>
        <w:pStyle w:val="7"/>
        <w:spacing w:line="400" w:lineRule="exact"/>
        <w:ind w:firstLine="480"/>
        <w:rPr>
          <w:rFonts w:ascii="宋体" w:hAnsi="宋体"/>
          <w:color w:val="000000"/>
          <w:sz w:val="24"/>
        </w:rPr>
      </w:pPr>
      <w:r>
        <w:rPr>
          <w:rFonts w:hint="eastAsia" w:ascii="宋体" w:hAnsi="宋体"/>
          <w:color w:val="000000"/>
          <w:sz w:val="24"/>
        </w:rPr>
        <w:t>（2） 不同投标人委托同一单位或者个人办理投标事宜；</w:t>
      </w:r>
    </w:p>
    <w:p>
      <w:pPr>
        <w:pStyle w:val="7"/>
        <w:spacing w:line="400" w:lineRule="exact"/>
        <w:ind w:firstLine="480"/>
        <w:rPr>
          <w:rFonts w:ascii="宋体" w:hAnsi="宋体"/>
          <w:color w:val="000000"/>
          <w:sz w:val="24"/>
        </w:rPr>
      </w:pPr>
      <w:r>
        <w:rPr>
          <w:rFonts w:hint="eastAsia" w:ascii="宋体" w:hAnsi="宋体"/>
          <w:color w:val="000000"/>
          <w:sz w:val="24"/>
        </w:rPr>
        <w:t>（3） 不同投标人的投标文件载明的项目管理成员或者联系人员为同一人；</w:t>
      </w:r>
    </w:p>
    <w:p>
      <w:pPr>
        <w:pStyle w:val="7"/>
        <w:spacing w:line="400" w:lineRule="exact"/>
        <w:ind w:firstLine="480"/>
        <w:rPr>
          <w:rFonts w:ascii="宋体" w:hAnsi="宋体"/>
          <w:color w:val="000000"/>
          <w:sz w:val="24"/>
        </w:rPr>
      </w:pPr>
      <w:r>
        <w:rPr>
          <w:rFonts w:hint="eastAsia" w:ascii="宋体" w:hAnsi="宋体"/>
          <w:color w:val="000000"/>
          <w:sz w:val="24"/>
        </w:rPr>
        <w:t>（4） 不同投标人的投标文件异常一致或者投标报价呈规律性差异；</w:t>
      </w:r>
    </w:p>
    <w:p>
      <w:pPr>
        <w:pStyle w:val="7"/>
        <w:spacing w:line="400" w:lineRule="exact"/>
        <w:ind w:firstLine="480"/>
        <w:rPr>
          <w:rFonts w:ascii="宋体" w:hAnsi="宋体"/>
          <w:color w:val="000000"/>
          <w:sz w:val="24"/>
        </w:rPr>
      </w:pPr>
      <w:r>
        <w:rPr>
          <w:rFonts w:hint="eastAsia" w:ascii="宋体" w:hAnsi="宋体"/>
          <w:color w:val="000000"/>
          <w:sz w:val="24"/>
        </w:rPr>
        <w:t>（5） 不同投标人的投标文件相互混装；</w:t>
      </w:r>
    </w:p>
    <w:p>
      <w:pPr>
        <w:pStyle w:val="7"/>
        <w:spacing w:line="400" w:lineRule="exact"/>
        <w:ind w:firstLine="480"/>
        <w:rPr>
          <w:rFonts w:ascii="宋体" w:hAnsi="宋体"/>
          <w:color w:val="000000"/>
          <w:sz w:val="24"/>
        </w:rPr>
      </w:pPr>
      <w:r>
        <w:rPr>
          <w:rFonts w:hint="eastAsia" w:ascii="宋体" w:hAnsi="宋体"/>
          <w:color w:val="000000"/>
          <w:sz w:val="24"/>
        </w:rPr>
        <w:t>（6） 不同投标人的投标保证金从同一单位或者个人的账户转出。</w:t>
      </w:r>
    </w:p>
    <w:p>
      <w:pPr>
        <w:pStyle w:val="4"/>
        <w:keepNext w:val="0"/>
        <w:keepLines w:val="0"/>
        <w:spacing w:before="0" w:after="0" w:line="400" w:lineRule="exact"/>
        <w:ind w:firstLine="482" w:firstLineChars="200"/>
        <w:rPr>
          <w:rFonts w:ascii="宋体" w:hAnsi="宋体" w:eastAsia="宋体"/>
          <w:color w:val="000000"/>
          <w:sz w:val="24"/>
        </w:rPr>
      </w:pPr>
    </w:p>
    <w:p>
      <w:pPr>
        <w:pStyle w:val="4"/>
        <w:keepNext w:val="0"/>
        <w:keepLines w:val="0"/>
        <w:spacing w:before="0" w:after="0" w:line="400" w:lineRule="exact"/>
        <w:ind w:firstLine="482" w:firstLineChars="200"/>
        <w:rPr>
          <w:rFonts w:ascii="宋体" w:hAnsi="宋体" w:eastAsia="宋体"/>
          <w:color w:val="000000"/>
          <w:sz w:val="24"/>
          <w:szCs w:val="24"/>
        </w:rPr>
      </w:pPr>
      <w:bookmarkStart w:id="244" w:name="_Toc69141816"/>
      <w:r>
        <w:rPr>
          <w:rFonts w:hint="eastAsia" w:ascii="宋体" w:hAnsi="宋体" w:eastAsia="宋体"/>
          <w:color w:val="000000"/>
          <w:sz w:val="24"/>
        </w:rPr>
        <w:t>38.</w:t>
      </w:r>
      <w:r>
        <w:rPr>
          <w:rFonts w:hint="eastAsia" w:ascii="宋体" w:hAnsi="宋体" w:eastAsia="宋体"/>
          <w:color w:val="000000"/>
          <w:sz w:val="24"/>
          <w:szCs w:val="24"/>
        </w:rPr>
        <w:t>行贿犯罪记录</w:t>
      </w:r>
      <w:bookmarkEnd w:id="244"/>
    </w:p>
    <w:p>
      <w:pPr>
        <w:pStyle w:val="4"/>
        <w:keepNext w:val="0"/>
        <w:keepLines w:val="0"/>
        <w:spacing w:before="0" w:after="0" w:line="400" w:lineRule="exact"/>
        <w:ind w:firstLine="480" w:firstLineChars="200"/>
        <w:rPr>
          <w:rFonts w:ascii="宋体" w:hAnsi="宋体" w:eastAsia="宋体"/>
          <w:b w:val="0"/>
          <w:color w:val="000000"/>
          <w:sz w:val="24"/>
          <w:szCs w:val="24"/>
          <w:highlight w:val="green"/>
        </w:rPr>
      </w:pPr>
      <w:bookmarkStart w:id="245" w:name="_Toc69141817"/>
      <w:r>
        <w:rPr>
          <w:rFonts w:hint="eastAsia" w:ascii="宋体" w:hAnsi="宋体" w:eastAsia="宋体"/>
          <w:b w:val="0"/>
          <w:color w:val="000000"/>
          <w:sz w:val="24"/>
          <w:szCs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45"/>
    </w:p>
    <w:p>
      <w:pPr>
        <w:pStyle w:val="4"/>
        <w:spacing w:line="400" w:lineRule="exact"/>
        <w:jc w:val="center"/>
        <w:rPr>
          <w:rFonts w:ascii="宋体" w:hAnsi="宋体" w:eastAsia="宋体"/>
          <w:bCs w:val="0"/>
          <w:color w:val="000000"/>
          <w:szCs w:val="28"/>
        </w:rPr>
      </w:pPr>
      <w:bookmarkStart w:id="246" w:name="_Toc217446078"/>
      <w:bookmarkStart w:id="247" w:name="_Toc308164819"/>
      <w:bookmarkStart w:id="248" w:name="_Toc6308692"/>
      <w:bookmarkStart w:id="249" w:name="_Toc6308520"/>
      <w:bookmarkStart w:id="250" w:name="_Toc69141818"/>
      <w:r>
        <w:rPr>
          <w:rFonts w:hint="eastAsia" w:ascii="宋体" w:hAnsi="宋体" w:eastAsia="宋体"/>
          <w:bCs w:val="0"/>
          <w:color w:val="000000"/>
          <w:szCs w:val="28"/>
        </w:rPr>
        <w:t>七、询问、质疑和投诉</w:t>
      </w:r>
      <w:bookmarkEnd w:id="246"/>
      <w:bookmarkEnd w:id="247"/>
      <w:bookmarkEnd w:id="248"/>
      <w:bookmarkEnd w:id="249"/>
      <w:bookmarkEnd w:id="250"/>
      <w:bookmarkStart w:id="251" w:name="_Toc217446079"/>
    </w:p>
    <w:bookmarkEnd w:id="237"/>
    <w:bookmarkEnd w:id="238"/>
    <w:bookmarkEnd w:id="251"/>
    <w:p>
      <w:pPr>
        <w:pStyle w:val="7"/>
        <w:spacing w:line="400" w:lineRule="exact"/>
        <w:ind w:firstLine="480"/>
        <w:rPr>
          <w:rFonts w:ascii="宋体" w:hAnsi="宋体"/>
          <w:color w:val="000000"/>
          <w:sz w:val="24"/>
        </w:rPr>
      </w:pPr>
      <w:r>
        <w:rPr>
          <w:rFonts w:hint="eastAsia" w:ascii="宋体" w:hAnsi="宋体"/>
          <w:color w:val="000000"/>
          <w:sz w:val="24"/>
        </w:rPr>
        <w:t>询问、质疑、投诉的接收和处理按照《中华人民共和国政府采购法》、《中华人民共和国政府采购法实施条例》、《政府采购货物和服务招标投标管理办法》、《政府采购质疑和投诉办法》的规定办理。</w:t>
      </w:r>
    </w:p>
    <w:p>
      <w:pPr>
        <w:pStyle w:val="4"/>
        <w:spacing w:line="400" w:lineRule="exact"/>
        <w:jc w:val="center"/>
        <w:rPr>
          <w:rFonts w:ascii="宋体" w:hAnsi="宋体" w:eastAsia="宋体"/>
          <w:bCs w:val="0"/>
          <w:color w:val="000000"/>
          <w:szCs w:val="28"/>
        </w:rPr>
      </w:pPr>
      <w:bookmarkStart w:id="252" w:name="_Toc6308693"/>
      <w:bookmarkStart w:id="253" w:name="_Toc6308521"/>
      <w:bookmarkStart w:id="254" w:name="_Toc69141819"/>
      <w:r>
        <w:rPr>
          <w:rFonts w:hint="eastAsia" w:ascii="宋体" w:hAnsi="宋体" w:eastAsia="宋体"/>
          <w:bCs w:val="0"/>
          <w:color w:val="000000"/>
          <w:szCs w:val="28"/>
        </w:rPr>
        <w:t>八、其他</w:t>
      </w:r>
      <w:bookmarkEnd w:id="252"/>
      <w:bookmarkEnd w:id="253"/>
      <w:bookmarkEnd w:id="254"/>
    </w:p>
    <w:p>
      <w:pPr>
        <w:pStyle w:val="7"/>
        <w:spacing w:line="400" w:lineRule="exact"/>
        <w:ind w:firstLine="480"/>
        <w:rPr>
          <w:rFonts w:ascii="宋体" w:hAnsi="宋体"/>
          <w:color w:val="000000"/>
          <w:sz w:val="24"/>
        </w:rPr>
      </w:pPr>
      <w:r>
        <w:rPr>
          <w:rFonts w:hint="eastAsia" w:ascii="宋体" w:hAnsi="宋体"/>
          <w:color w:val="000000"/>
          <w:sz w:val="24"/>
        </w:rPr>
        <w:t>（一）本招标文件中作为实质性要求的内容，除明确要求需要在投标时提供相应证明材料外，资格审查小组或评审委员会在评审时仅对投标文件是否违背实质性要求进行审查。</w:t>
      </w:r>
    </w:p>
    <w:p>
      <w:pPr>
        <w:pStyle w:val="7"/>
        <w:spacing w:line="400" w:lineRule="exact"/>
        <w:ind w:firstLine="480"/>
        <w:rPr>
          <w:rFonts w:ascii="宋体" w:hAnsi="宋体"/>
          <w:color w:val="000000"/>
          <w:sz w:val="24"/>
        </w:rPr>
      </w:pPr>
      <w:r>
        <w:rPr>
          <w:rFonts w:hint="eastAsia" w:ascii="宋体" w:hAnsi="宋体"/>
          <w:color w:val="000000"/>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40"/>
        <w:rPr>
          <w:rFonts w:ascii="宋体" w:hAnsi="宋体" w:eastAsia="宋体"/>
        </w:rPr>
      </w:pPr>
      <w:bookmarkStart w:id="255" w:name="_Toc6308694"/>
      <w:bookmarkStart w:id="256" w:name="_Toc6308522"/>
      <w:bookmarkStart w:id="257" w:name="_Toc217446083"/>
      <w:r>
        <w:rPr>
          <w:rFonts w:hint="eastAsia" w:ascii="宋体" w:hAnsi="宋体" w:eastAsia="宋体"/>
        </w:rPr>
        <w:br w:type="page"/>
      </w:r>
      <w:bookmarkStart w:id="258" w:name="_Toc69141820"/>
      <w:r>
        <w:rPr>
          <w:rFonts w:hint="eastAsia" w:ascii="宋体" w:hAnsi="宋体" w:eastAsia="宋体"/>
        </w:rPr>
        <w:t xml:space="preserve">第三章 </w:t>
      </w:r>
      <w:bookmarkStart w:id="259" w:name="_Toc308164821"/>
      <w:bookmarkStart w:id="260" w:name="_Toc217446082"/>
      <w:r>
        <w:rPr>
          <w:rFonts w:hint="eastAsia" w:ascii="宋体" w:hAnsi="宋体" w:eastAsia="宋体"/>
        </w:rPr>
        <w:t>投标文件格式</w:t>
      </w:r>
      <w:bookmarkEnd w:id="255"/>
      <w:bookmarkEnd w:id="256"/>
      <w:bookmarkEnd w:id="258"/>
    </w:p>
    <w:p>
      <w:pPr>
        <w:spacing w:line="360" w:lineRule="auto"/>
        <w:ind w:firstLine="480" w:firstLineChars="200"/>
        <w:rPr>
          <w:rFonts w:ascii="宋体" w:hAnsi="宋体"/>
          <w:color w:val="FF0000"/>
          <w:sz w:val="24"/>
        </w:rPr>
      </w:pPr>
      <w:bookmarkStart w:id="261" w:name="_Toc491724391"/>
      <w:r>
        <w:rPr>
          <w:rFonts w:hint="eastAsia" w:ascii="宋体" w:hAnsi="宋体"/>
          <w:color w:val="000000"/>
          <w:sz w:val="24"/>
        </w:rPr>
        <w:t>一、本章所制投标文件格式，除格式中明确将该格式作为实质性要求的，一律不具有强制性，但应体现格式中主要内容。</w:t>
      </w:r>
      <w:bookmarkEnd w:id="261"/>
    </w:p>
    <w:p>
      <w:pPr>
        <w:spacing w:line="360" w:lineRule="auto"/>
        <w:ind w:firstLine="480" w:firstLineChars="200"/>
        <w:rPr>
          <w:rFonts w:ascii="宋体" w:hAnsi="宋体"/>
          <w:color w:val="000000"/>
          <w:sz w:val="24"/>
        </w:rPr>
      </w:pPr>
      <w:bookmarkStart w:id="262" w:name="_Toc491724392"/>
      <w:r>
        <w:rPr>
          <w:rFonts w:hint="eastAsia" w:ascii="宋体" w:hAnsi="宋体"/>
          <w:color w:val="000000"/>
          <w:sz w:val="24"/>
        </w:rPr>
        <w:t>二、本章所制投标文件格式有关表格中的备注栏，由投标人根据自身投标情况作解释性说明，不作为必填项。</w:t>
      </w:r>
      <w:bookmarkEnd w:id="262"/>
    </w:p>
    <w:p>
      <w:pPr>
        <w:spacing w:line="360" w:lineRule="auto"/>
        <w:ind w:firstLine="480" w:firstLineChars="200"/>
        <w:rPr>
          <w:rFonts w:ascii="宋体" w:hAnsi="宋体"/>
          <w:color w:val="000000"/>
          <w:sz w:val="24"/>
        </w:rPr>
      </w:pPr>
      <w:bookmarkStart w:id="263" w:name="_Toc491724393"/>
      <w:r>
        <w:rPr>
          <w:rFonts w:hint="eastAsia" w:ascii="宋体" w:hAnsi="宋体"/>
          <w:color w:val="000000"/>
          <w:sz w:val="24"/>
        </w:rPr>
        <w:t>三、本章所制投标文件格式中需要填写的相关内容事项，与本采购项目无关的，在不改变投标文件原义、不影响本项目采购需求的情况下，投标人可以不予填写。</w:t>
      </w:r>
      <w:bookmarkEnd w:id="263"/>
    </w:p>
    <w:p>
      <w:pPr>
        <w:rPr>
          <w:rFonts w:ascii="宋体" w:hAnsi="宋体"/>
          <w:color w:val="000000"/>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pStyle w:val="4"/>
        <w:jc w:val="center"/>
        <w:rPr>
          <w:rFonts w:ascii="宋体" w:hAnsi="宋体" w:eastAsia="宋体"/>
          <w:color w:val="000000"/>
        </w:rPr>
      </w:pPr>
      <w:bookmarkStart w:id="264" w:name="_Toc69141821"/>
      <w:bookmarkStart w:id="265" w:name="_Toc6308695"/>
      <w:bookmarkStart w:id="266" w:name="_Toc6308523"/>
      <w:r>
        <w:rPr>
          <w:rFonts w:hint="eastAsia" w:ascii="宋体" w:hAnsi="宋体" w:eastAsia="宋体"/>
          <w:color w:val="000000"/>
        </w:rPr>
        <w:t>一、资格性响应文件（格式）</w:t>
      </w:r>
      <w:bookmarkEnd w:id="264"/>
      <w:bookmarkEnd w:id="265"/>
      <w:bookmarkEnd w:id="266"/>
    </w:p>
    <w:p>
      <w:pPr>
        <w:rPr>
          <w:rFonts w:ascii="宋体" w:hAnsi="宋体"/>
          <w:color w:val="000000"/>
        </w:rPr>
      </w:pPr>
    </w:p>
    <w:p>
      <w:pPr>
        <w:rPr>
          <w:rFonts w:ascii="宋体" w:hAnsi="宋体"/>
          <w:color w:val="000000"/>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pStyle w:val="2"/>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pStyle w:val="5"/>
        <w:spacing w:line="400" w:lineRule="exact"/>
        <w:jc w:val="center"/>
        <w:rPr>
          <w:rFonts w:ascii="宋体" w:hAnsi="宋体"/>
          <w:color w:val="000000"/>
          <w:sz w:val="24"/>
        </w:rPr>
      </w:pPr>
      <w:bookmarkStart w:id="267" w:name="_Toc6308524"/>
      <w:bookmarkStart w:id="268" w:name="_Toc69141822"/>
      <w:bookmarkStart w:id="269" w:name="_Toc6308696"/>
      <w:r>
        <w:rPr>
          <w:rFonts w:hint="eastAsia" w:ascii="宋体" w:hAnsi="宋体"/>
          <w:color w:val="000000"/>
          <w:sz w:val="24"/>
        </w:rPr>
        <w:t>1.法人或者其他组织的营业执照等证明文件扫描件</w:t>
      </w:r>
      <w:bookmarkStart w:id="270" w:name="_Toc491724395"/>
      <w:r>
        <w:rPr>
          <w:rFonts w:hint="eastAsia" w:ascii="宋体" w:hAnsi="宋体"/>
          <w:color w:val="000000"/>
          <w:sz w:val="24"/>
        </w:rPr>
        <w:t>（实质性要求）</w:t>
      </w:r>
      <w:bookmarkEnd w:id="267"/>
      <w:bookmarkEnd w:id="268"/>
      <w:bookmarkEnd w:id="269"/>
      <w:bookmarkEnd w:id="270"/>
    </w:p>
    <w:p>
      <w:pPr>
        <w:widowControl/>
        <w:spacing w:line="360" w:lineRule="atLeast"/>
        <w:outlineLvl w:val="1"/>
        <w:rPr>
          <w:rFonts w:ascii="宋体" w:hAnsi="宋体"/>
          <w:b/>
          <w:color w:val="000000"/>
          <w:sz w:val="32"/>
          <w:szCs w:val="32"/>
        </w:rPr>
      </w:pPr>
    </w:p>
    <w:p>
      <w:pPr>
        <w:spacing w:line="360" w:lineRule="auto"/>
        <w:rPr>
          <w:rFonts w:ascii="宋体" w:hAnsi="宋体"/>
          <w:sz w:val="24"/>
        </w:rPr>
      </w:pPr>
      <w:bookmarkStart w:id="271" w:name="_Toc491724396"/>
      <w:r>
        <w:rPr>
          <w:rFonts w:hint="eastAsia" w:ascii="宋体" w:hAnsi="宋体"/>
          <w:sz w:val="24"/>
        </w:rPr>
        <w:t>注：</w:t>
      </w:r>
      <w:bookmarkEnd w:id="271"/>
    </w:p>
    <w:p>
      <w:pPr>
        <w:spacing w:line="360" w:lineRule="auto"/>
        <w:rPr>
          <w:rFonts w:ascii="宋体" w:hAnsi="宋体"/>
          <w:sz w:val="24"/>
        </w:rPr>
      </w:pPr>
      <w:bookmarkStart w:id="272" w:name="_Toc491724397"/>
      <w:r>
        <w:rPr>
          <w:rFonts w:hint="eastAsia" w:ascii="宋体" w:hAnsi="宋体"/>
          <w:sz w:val="24"/>
        </w:rPr>
        <w:t>(1)营业执照副本扫描件或事业单位法人证书(注：在有效期内)；</w:t>
      </w:r>
      <w:bookmarkEnd w:id="272"/>
    </w:p>
    <w:p>
      <w:pPr>
        <w:spacing w:line="360" w:lineRule="auto"/>
        <w:rPr>
          <w:rFonts w:ascii="宋体" w:hAnsi="宋体"/>
          <w:sz w:val="24"/>
        </w:rPr>
      </w:pPr>
      <w:bookmarkStart w:id="273" w:name="_Toc491724398"/>
      <w:r>
        <w:rPr>
          <w:rFonts w:hint="eastAsia" w:ascii="宋体" w:hAnsi="宋体"/>
          <w:sz w:val="24"/>
        </w:rPr>
        <w:t>(2)组织机构代码证副本扫描件(注：①发证机关有年检要求的，应按规定通过年检；②在有效期内。)；</w:t>
      </w:r>
      <w:bookmarkEnd w:id="273"/>
      <w:bookmarkStart w:id="274" w:name="_Toc491724399"/>
    </w:p>
    <w:p>
      <w:pPr>
        <w:spacing w:line="360" w:lineRule="auto"/>
        <w:rPr>
          <w:rFonts w:ascii="宋体" w:hAnsi="宋体"/>
          <w:sz w:val="24"/>
        </w:rPr>
      </w:pPr>
      <w:r>
        <w:rPr>
          <w:rFonts w:hint="eastAsia" w:ascii="宋体" w:hAnsi="宋体"/>
          <w:sz w:val="24"/>
        </w:rPr>
        <w:t>(3)税务登记证副本扫描件(注：在有效期内)；</w:t>
      </w:r>
      <w:bookmarkEnd w:id="274"/>
      <w:bookmarkStart w:id="275" w:name="_Toc491724400"/>
    </w:p>
    <w:p>
      <w:pPr>
        <w:spacing w:line="360" w:lineRule="auto"/>
        <w:rPr>
          <w:rFonts w:ascii="宋体" w:hAnsi="宋体"/>
          <w:color w:val="000000"/>
          <w:sz w:val="24"/>
        </w:rPr>
      </w:pPr>
    </w:p>
    <w:p>
      <w:pPr>
        <w:spacing w:line="360" w:lineRule="auto"/>
        <w:rPr>
          <w:rFonts w:ascii="宋体" w:hAnsi="宋体"/>
          <w:color w:val="000000"/>
          <w:sz w:val="24"/>
        </w:rPr>
      </w:pPr>
    </w:p>
    <w:bookmarkEnd w:id="275"/>
    <w:p>
      <w:pPr>
        <w:spacing w:line="360" w:lineRule="auto"/>
        <w:rPr>
          <w:rFonts w:ascii="宋体" w:hAnsi="宋体"/>
          <w:color w:val="000000"/>
          <w:sz w:val="24"/>
        </w:rPr>
      </w:pPr>
      <w:r>
        <w:rPr>
          <w:rFonts w:hint="eastAsia" w:ascii="宋体" w:hAnsi="宋体"/>
          <w:color w:val="000000"/>
          <w:sz w:val="24"/>
        </w:rPr>
        <w:t>以上三款要求：已实行三证合一或五证合一的只须提供具有统一社会信用代码的营业执照扫描件，即具有以上三点效力。</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pStyle w:val="5"/>
        <w:jc w:val="center"/>
        <w:rPr>
          <w:rFonts w:ascii="宋体" w:hAnsi="宋体"/>
          <w:color w:val="000000"/>
          <w:sz w:val="24"/>
          <w:szCs w:val="24"/>
        </w:rPr>
      </w:pPr>
      <w:bookmarkStart w:id="276" w:name="_Toc6308525"/>
      <w:bookmarkStart w:id="277" w:name="_Toc6308697"/>
      <w:bookmarkStart w:id="278" w:name="_Toc69141823"/>
      <w:r>
        <w:rPr>
          <w:rFonts w:hint="eastAsia" w:ascii="宋体" w:hAnsi="宋体"/>
          <w:color w:val="000000"/>
          <w:sz w:val="24"/>
          <w:szCs w:val="24"/>
        </w:rPr>
        <w:t>2.法定代表人</w:t>
      </w:r>
      <w:r>
        <w:rPr>
          <w:rFonts w:hint="eastAsia" w:ascii="宋体" w:hAnsi="宋体"/>
          <w:sz w:val="24"/>
          <w:szCs w:val="24"/>
        </w:rPr>
        <w:t>（单位负责人）</w:t>
      </w:r>
      <w:r>
        <w:rPr>
          <w:rFonts w:hint="eastAsia" w:ascii="宋体" w:hAnsi="宋体"/>
          <w:color w:val="000000"/>
          <w:sz w:val="24"/>
          <w:szCs w:val="24"/>
        </w:rPr>
        <w:t>授权书（实质性要求）</w:t>
      </w:r>
      <w:bookmarkEnd w:id="276"/>
      <w:bookmarkEnd w:id="277"/>
      <w:bookmarkEnd w:id="278"/>
    </w:p>
    <w:p>
      <w:pPr>
        <w:spacing w:line="360" w:lineRule="auto"/>
        <w:rPr>
          <w:rFonts w:ascii="宋体" w:hAnsi="宋体"/>
          <w:sz w:val="24"/>
        </w:rPr>
      </w:pPr>
      <w:bookmarkStart w:id="279" w:name="_Toc491724402"/>
      <w:r>
        <w:rPr>
          <w:rFonts w:hint="eastAsia" w:ascii="宋体" w:hAnsi="宋体"/>
          <w:color w:val="000000"/>
          <w:sz w:val="24"/>
        </w:rPr>
        <w:t>中航技国际经贸发展有限公司</w:t>
      </w:r>
      <w:r>
        <w:rPr>
          <w:rFonts w:hint="eastAsia" w:ascii="宋体" w:hAnsi="宋体"/>
          <w:sz w:val="24"/>
        </w:rPr>
        <w:t>：</w:t>
      </w:r>
      <w:bookmarkEnd w:id="279"/>
    </w:p>
    <w:p>
      <w:pPr>
        <w:spacing w:line="360" w:lineRule="auto"/>
        <w:ind w:firstLine="720" w:firstLineChars="300"/>
        <w:rPr>
          <w:rFonts w:ascii="宋体" w:hAnsi="宋体"/>
          <w:sz w:val="24"/>
        </w:rPr>
      </w:pPr>
      <w:bookmarkStart w:id="280" w:name="_Toc491724403"/>
      <w:r>
        <w:rPr>
          <w:rFonts w:hint="eastAsia" w:ascii="宋体" w:hAnsi="宋体"/>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280"/>
    </w:p>
    <w:p>
      <w:pPr>
        <w:spacing w:line="360" w:lineRule="auto"/>
        <w:rPr>
          <w:rFonts w:ascii="宋体" w:hAnsi="宋体"/>
          <w:sz w:val="24"/>
        </w:rPr>
      </w:pPr>
      <w:bookmarkStart w:id="281" w:name="_Toc491724404"/>
      <w:r>
        <w:rPr>
          <w:rFonts w:hint="eastAsia" w:ascii="宋体" w:hAnsi="宋体"/>
          <w:sz w:val="24"/>
        </w:rPr>
        <w:t>特此声明。</w:t>
      </w:r>
      <w:bookmarkEnd w:id="281"/>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bookmarkStart w:id="282" w:name="_Toc491724405"/>
      <w:r>
        <w:rPr>
          <w:rFonts w:hint="eastAsia" w:ascii="宋体" w:hAnsi="宋体"/>
          <w:sz w:val="24"/>
        </w:rPr>
        <w:t>法定代表人（单位负责人）签字或者加盖个人名章：XXXX。</w:t>
      </w:r>
      <w:bookmarkEnd w:id="282"/>
    </w:p>
    <w:p>
      <w:pPr>
        <w:spacing w:line="360" w:lineRule="auto"/>
        <w:rPr>
          <w:rFonts w:ascii="宋体" w:hAnsi="宋体"/>
          <w:sz w:val="24"/>
        </w:rPr>
      </w:pPr>
      <w:bookmarkStart w:id="283" w:name="_Toc491724406"/>
      <w:r>
        <w:rPr>
          <w:rFonts w:hint="eastAsia" w:ascii="宋体" w:hAnsi="宋体"/>
          <w:sz w:val="24"/>
        </w:rPr>
        <w:t>授权代表签字：XXXX。</w:t>
      </w:r>
      <w:bookmarkEnd w:id="283"/>
    </w:p>
    <w:p>
      <w:pPr>
        <w:spacing w:line="360" w:lineRule="auto"/>
        <w:rPr>
          <w:rFonts w:ascii="宋体" w:hAnsi="宋体"/>
          <w:sz w:val="24"/>
        </w:rPr>
      </w:pPr>
      <w:bookmarkStart w:id="284" w:name="_Toc491724407"/>
      <w:r>
        <w:rPr>
          <w:rFonts w:hint="eastAsia" w:ascii="宋体" w:hAnsi="宋体"/>
          <w:sz w:val="24"/>
        </w:rPr>
        <w:t>投标人名称：XXXX（盖单位公章）。</w:t>
      </w:r>
      <w:bookmarkEnd w:id="284"/>
    </w:p>
    <w:p>
      <w:pPr>
        <w:spacing w:line="360" w:lineRule="auto"/>
        <w:rPr>
          <w:rFonts w:ascii="宋体" w:hAnsi="宋体"/>
          <w:sz w:val="24"/>
        </w:rPr>
      </w:pPr>
      <w:bookmarkStart w:id="285" w:name="_Toc491724408"/>
      <w:r>
        <w:rPr>
          <w:rFonts w:hint="eastAsia" w:ascii="宋体" w:hAnsi="宋体"/>
          <w:sz w:val="24"/>
        </w:rPr>
        <w:t>日期：XXXX。</w:t>
      </w:r>
      <w:bookmarkEnd w:id="285"/>
    </w:p>
    <w:p>
      <w:pPr>
        <w:spacing w:line="360" w:lineRule="auto"/>
        <w:rPr>
          <w:rFonts w:ascii="宋体" w:hAnsi="宋体"/>
          <w:sz w:val="24"/>
        </w:rPr>
      </w:pPr>
    </w:p>
    <w:p>
      <w:pPr>
        <w:spacing w:line="360" w:lineRule="auto"/>
        <w:ind w:firstLine="480"/>
        <w:rPr>
          <w:rFonts w:ascii="宋体" w:hAnsi="宋体"/>
          <w:sz w:val="24"/>
        </w:rPr>
      </w:pPr>
    </w:p>
    <w:p>
      <w:pPr>
        <w:spacing w:line="360" w:lineRule="auto"/>
        <w:rPr>
          <w:rFonts w:ascii="宋体" w:hAnsi="宋体"/>
          <w:color w:val="000000"/>
          <w:sz w:val="24"/>
        </w:rPr>
      </w:pPr>
      <w:r>
        <w:rPr>
          <w:rFonts w:hint="eastAsia" w:ascii="宋体" w:hAnsi="宋体"/>
          <w:color w:val="000000"/>
          <w:sz w:val="24"/>
        </w:rPr>
        <w:t>注：</w:t>
      </w:r>
    </w:p>
    <w:p>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投标人</w:t>
      </w:r>
      <w:r>
        <w:rPr>
          <w:rFonts w:hint="eastAsia" w:ascii="宋体" w:hAnsi="宋体"/>
          <w:color w:val="000000"/>
          <w:sz w:val="24"/>
        </w:rPr>
        <w:t>委托其他人</w:t>
      </w:r>
      <w:r>
        <w:rPr>
          <w:rFonts w:ascii="宋体" w:hAnsi="宋体"/>
          <w:color w:val="000000"/>
          <w:sz w:val="24"/>
        </w:rPr>
        <w:t>（</w:t>
      </w:r>
      <w:r>
        <w:rPr>
          <w:rFonts w:hint="eastAsia" w:ascii="宋体" w:hAnsi="宋体"/>
          <w:color w:val="000000"/>
          <w:sz w:val="24"/>
        </w:rPr>
        <w:t>非</w:t>
      </w:r>
      <w:r>
        <w:rPr>
          <w:rFonts w:ascii="宋体" w:hAnsi="宋体"/>
          <w:color w:val="000000"/>
          <w:sz w:val="24"/>
        </w:rPr>
        <w:t>法定代表人</w:t>
      </w:r>
      <w:r>
        <w:rPr>
          <w:rFonts w:hint="eastAsia" w:ascii="宋体" w:hAnsi="宋体"/>
          <w:color w:val="000000"/>
          <w:sz w:val="24"/>
        </w:rPr>
        <w:t>或</w:t>
      </w:r>
      <w:r>
        <w:rPr>
          <w:rFonts w:ascii="宋体" w:hAnsi="宋体"/>
          <w:color w:val="000000"/>
          <w:sz w:val="24"/>
        </w:rPr>
        <w:t>单位负责人）</w:t>
      </w:r>
      <w:r>
        <w:rPr>
          <w:rFonts w:hint="eastAsia" w:ascii="宋体" w:hAnsi="宋体"/>
          <w:color w:val="000000"/>
          <w:sz w:val="24"/>
        </w:rPr>
        <w:t>参与</w:t>
      </w:r>
      <w:r>
        <w:rPr>
          <w:rFonts w:ascii="宋体" w:hAnsi="宋体"/>
          <w:color w:val="000000"/>
          <w:sz w:val="24"/>
        </w:rPr>
        <w:t>本项目投标时适用此格式</w:t>
      </w:r>
      <w:r>
        <w:rPr>
          <w:rFonts w:hint="eastAsia" w:ascii="宋体" w:hAnsi="宋体"/>
          <w:color w:val="000000"/>
          <w:sz w:val="24"/>
        </w:rPr>
        <w:t>；</w:t>
      </w:r>
    </w:p>
    <w:p>
      <w:pPr>
        <w:spacing w:line="360" w:lineRule="auto"/>
        <w:rPr>
          <w:rFonts w:ascii="宋体" w:hAnsi="宋体"/>
          <w:sz w:val="24"/>
        </w:rPr>
      </w:pPr>
      <w:r>
        <w:rPr>
          <w:rFonts w:ascii="宋体" w:hAnsi="宋体"/>
          <w:sz w:val="24"/>
        </w:rPr>
        <w:t>2</w:t>
      </w:r>
      <w:r>
        <w:rPr>
          <w:rFonts w:hint="eastAsia" w:ascii="宋体" w:hAnsi="宋体"/>
          <w:sz w:val="24"/>
        </w:rPr>
        <w:t>、供应商为法人单位时提供“法定代表人授权书”，供应商为其他组织时提供“单位负责人授权书”，供应商为自然人时提供“自然人身份证明材料”。</w:t>
      </w:r>
    </w:p>
    <w:p>
      <w:pPr>
        <w:spacing w:line="360" w:lineRule="auto"/>
        <w:rPr>
          <w:rFonts w:ascii="宋体" w:hAnsi="宋体"/>
          <w:sz w:val="24"/>
        </w:rPr>
      </w:pPr>
      <w:r>
        <w:rPr>
          <w:rFonts w:ascii="宋体" w:hAnsi="宋体"/>
          <w:sz w:val="24"/>
        </w:rPr>
        <w:t>3</w:t>
      </w:r>
      <w:r>
        <w:rPr>
          <w:rFonts w:hint="eastAsia" w:ascii="宋体" w:hAnsi="宋体"/>
          <w:sz w:val="24"/>
        </w:rPr>
        <w:t>、应附法定代表人（单位负责人）身份证明材料扫描件和授权代表身份证明材料扫描件。</w:t>
      </w:r>
    </w:p>
    <w:p>
      <w:pPr>
        <w:spacing w:line="360" w:lineRule="auto"/>
        <w:rPr>
          <w:rFonts w:ascii="宋体" w:hAnsi="宋体"/>
          <w:sz w:val="24"/>
        </w:rPr>
      </w:pPr>
      <w:r>
        <w:rPr>
          <w:rFonts w:ascii="宋体" w:hAnsi="宋体"/>
          <w:sz w:val="24"/>
        </w:rPr>
        <w:t>4</w:t>
      </w:r>
      <w:r>
        <w:rPr>
          <w:rFonts w:hint="eastAsia" w:ascii="宋体" w:hAnsi="宋体"/>
          <w:sz w:val="24"/>
        </w:rPr>
        <w:t>、身份证明材料包括居民身份证或户口本或军官证或护照。</w:t>
      </w:r>
    </w:p>
    <w:p>
      <w:pPr>
        <w:spacing w:line="360" w:lineRule="auto"/>
        <w:rPr>
          <w:rFonts w:ascii="宋体" w:hAnsi="宋体"/>
          <w:sz w:val="24"/>
        </w:rPr>
      </w:pPr>
      <w:r>
        <w:rPr>
          <w:rFonts w:ascii="宋体" w:hAnsi="宋体"/>
          <w:sz w:val="24"/>
        </w:rPr>
        <w:t>5</w:t>
      </w:r>
      <w:r>
        <w:rPr>
          <w:rFonts w:hint="eastAsia" w:ascii="宋体" w:hAnsi="宋体"/>
          <w:sz w:val="24"/>
        </w:rPr>
        <w:t>、身份证明材料应同时提供其在有效期的材料，如居民身份证正、反面扫描件。</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pStyle w:val="4"/>
        <w:spacing w:line="400" w:lineRule="exact"/>
        <w:jc w:val="center"/>
        <w:rPr>
          <w:rFonts w:ascii="宋体" w:hAnsi="宋体" w:eastAsia="宋体" w:cs="宋体"/>
          <w:sz w:val="24"/>
          <w:szCs w:val="24"/>
        </w:rPr>
      </w:pPr>
      <w:bookmarkStart w:id="286" w:name="_Toc69141824"/>
      <w:bookmarkStart w:id="287" w:name="_Toc23164789"/>
      <w:r>
        <w:rPr>
          <w:rFonts w:hint="eastAsia" w:ascii="宋体" w:hAnsi="宋体" w:eastAsia="宋体" w:cs="宋体"/>
          <w:sz w:val="24"/>
          <w:szCs w:val="24"/>
        </w:rPr>
        <w:t>法定代表人（单位</w:t>
      </w:r>
      <w:r>
        <w:rPr>
          <w:rFonts w:ascii="宋体" w:hAnsi="宋体" w:eastAsia="宋体" w:cs="宋体"/>
          <w:sz w:val="24"/>
          <w:szCs w:val="24"/>
        </w:rPr>
        <w:t>负责人</w:t>
      </w:r>
      <w:r>
        <w:rPr>
          <w:rFonts w:hint="eastAsia" w:ascii="宋体" w:hAnsi="宋体" w:eastAsia="宋体" w:cs="宋体"/>
          <w:sz w:val="24"/>
          <w:szCs w:val="24"/>
        </w:rPr>
        <w:t>）身份证明</w:t>
      </w:r>
      <w:bookmarkEnd w:id="286"/>
      <w:bookmarkEnd w:id="287"/>
    </w:p>
    <w:p>
      <w:pPr>
        <w:spacing w:line="560" w:lineRule="exact"/>
        <w:ind w:firstLine="480" w:firstLineChars="200"/>
        <w:rPr>
          <w:rFonts w:ascii="宋体" w:hAnsi="宋体" w:cs="宋体"/>
          <w:sz w:val="24"/>
        </w:rPr>
      </w:pPr>
      <w:r>
        <w:rPr>
          <w:rFonts w:hint="eastAsia" w:ascii="宋体" w:hAnsi="宋体" w:cs="宋体"/>
          <w:sz w:val="24"/>
        </w:rPr>
        <w:t xml:space="preserve">投标人名称：                             </w:t>
      </w:r>
    </w:p>
    <w:p>
      <w:pPr>
        <w:spacing w:line="560" w:lineRule="exact"/>
        <w:ind w:firstLine="480" w:firstLineChars="200"/>
        <w:rPr>
          <w:rFonts w:ascii="宋体" w:hAnsi="宋体" w:cs="宋体"/>
          <w:sz w:val="24"/>
        </w:rPr>
      </w:pPr>
      <w:r>
        <w:rPr>
          <w:rFonts w:hint="eastAsia" w:ascii="宋体" w:hAnsi="宋体" w:cs="宋体"/>
          <w:sz w:val="24"/>
        </w:rPr>
        <w:t xml:space="preserve">单位性质：                                </w:t>
      </w:r>
    </w:p>
    <w:p>
      <w:pPr>
        <w:spacing w:line="560" w:lineRule="exact"/>
        <w:ind w:firstLine="480" w:firstLineChars="200"/>
        <w:rPr>
          <w:rFonts w:ascii="宋体" w:hAnsi="宋体" w:cs="宋体"/>
          <w:sz w:val="24"/>
        </w:rPr>
      </w:pPr>
      <w:r>
        <w:rPr>
          <w:rFonts w:hint="eastAsia" w:ascii="宋体" w:hAnsi="宋体" w:cs="宋体"/>
          <w:sz w:val="24"/>
        </w:rPr>
        <w:t xml:space="preserve">地址：                                   </w:t>
      </w:r>
    </w:p>
    <w:p>
      <w:pPr>
        <w:spacing w:line="560" w:lineRule="exact"/>
        <w:ind w:firstLine="480" w:firstLineChars="200"/>
        <w:rPr>
          <w:rFonts w:ascii="宋体" w:hAnsi="宋体" w:cs="宋体"/>
          <w:sz w:val="24"/>
        </w:rPr>
      </w:pPr>
      <w:r>
        <w:rPr>
          <w:rFonts w:hint="eastAsia" w:ascii="宋体" w:hAnsi="宋体" w:cs="宋体"/>
          <w:sz w:val="24"/>
        </w:rPr>
        <w:t>成立时间：          年        月        日</w:t>
      </w:r>
    </w:p>
    <w:p>
      <w:pPr>
        <w:spacing w:line="560" w:lineRule="exact"/>
        <w:ind w:firstLine="480" w:firstLineChars="200"/>
        <w:rPr>
          <w:rFonts w:ascii="宋体" w:hAnsi="宋体" w:cs="宋体"/>
          <w:sz w:val="24"/>
        </w:rPr>
      </w:pPr>
      <w:r>
        <w:rPr>
          <w:rFonts w:hint="eastAsia" w:ascii="宋体" w:hAnsi="宋体" w:cs="宋体"/>
          <w:sz w:val="24"/>
        </w:rPr>
        <w:t xml:space="preserve">经营期限：                               </w:t>
      </w:r>
    </w:p>
    <w:p>
      <w:pPr>
        <w:spacing w:line="560" w:lineRule="exact"/>
        <w:ind w:firstLine="480" w:firstLineChars="200"/>
        <w:rPr>
          <w:rFonts w:ascii="宋体" w:hAnsi="宋体" w:cs="宋体"/>
          <w:sz w:val="24"/>
        </w:rPr>
      </w:pPr>
      <w:r>
        <w:rPr>
          <w:rFonts w:hint="eastAsia" w:ascii="宋体" w:hAnsi="宋体" w:cs="宋体"/>
          <w:sz w:val="24"/>
        </w:rPr>
        <w:t>姓名：         性别：     年龄：     职务：      系                              （投标人名称）的法定代表</w:t>
      </w:r>
      <w:r>
        <w:rPr>
          <w:rFonts w:hint="eastAsia" w:ascii="宋体" w:hAnsi="宋体" w:cs="宋体"/>
          <w:bCs/>
          <w:sz w:val="24"/>
        </w:rPr>
        <w:t>人（单位</w:t>
      </w:r>
      <w:r>
        <w:rPr>
          <w:rFonts w:ascii="宋体" w:hAnsi="宋体" w:cs="宋体"/>
          <w:bCs/>
          <w:sz w:val="24"/>
        </w:rPr>
        <w:t>负责人</w:t>
      </w:r>
      <w:r>
        <w:rPr>
          <w:rFonts w:hint="eastAsia" w:ascii="宋体" w:hAnsi="宋体" w:cs="宋体"/>
          <w:bCs/>
          <w:sz w:val="24"/>
        </w:rPr>
        <w:t>）。</w:t>
      </w:r>
    </w:p>
    <w:p>
      <w:pPr>
        <w:spacing w:line="560" w:lineRule="exact"/>
        <w:ind w:firstLine="480" w:firstLineChars="200"/>
        <w:rPr>
          <w:rFonts w:ascii="宋体" w:hAnsi="宋体" w:cs="宋体"/>
          <w:sz w:val="24"/>
        </w:rPr>
      </w:pPr>
      <w:r>
        <w:rPr>
          <w:rFonts w:hint="eastAsia" w:ascii="宋体" w:hAnsi="宋体" w:cs="宋体"/>
          <w:sz w:val="24"/>
        </w:rPr>
        <w:t>特此证明。</w:t>
      </w:r>
    </w:p>
    <w:p>
      <w:pPr>
        <w:spacing w:line="560" w:lineRule="exact"/>
        <w:ind w:firstLine="420" w:firstLineChars="200"/>
        <w:rPr>
          <w:rFonts w:ascii="宋体" w:hAnsi="宋体" w:cs="宋体"/>
          <w:szCs w:val="32"/>
        </w:rPr>
      </w:pPr>
      <w:r>
        <w:rPr>
          <w:rFonts w:ascii="宋体" w:hAnsi="宋体" w:cs="宋体"/>
          <w:szCs w:val="21"/>
        </w:rPr>
        <w:pict>
          <v:rect id="_x0000_s1026" o:spid="_x0000_s1026" o:spt="1" style="position:absolute;left:0pt;margin-left:25.5pt;margin-top:28pt;height:187.2pt;width:364.35pt;z-index:-251657216;mso-width-relative:page;mso-height-relative:page;" coordsize="21600,21600"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hxGXYAAAACQEAAA8AAAAAAAAAAQAgAAAAIgAAAGRycy9kb3ducmV2LnhtbFBLAQIU&#10;ABQAAAAIAIdO4kCLdPvQ8wEAAOoDAAAOAAAAAAAAAAEAIAAAACcBAABkcnMvZTJvRG9jLnhtbFBL&#10;BQYAAAAABgAGAFkBAACMBQAAAAA=&#10;">
            <v:path/>
            <v:fill focussize="0,0"/>
            <v:stroke/>
            <v:imagedata o:title=""/>
            <o:lock v:ext="edit"/>
            <v:textbox>
              <w:txbxContent>
                <w:p>
                  <w:pPr>
                    <w:rPr>
                      <w:rFonts w:ascii="宋体" w:hAnsi="宋体"/>
                    </w:rPr>
                  </w:pPr>
                </w:p>
                <w:p>
                  <w:pPr>
                    <w:rPr>
                      <w:rFonts w:ascii="宋体" w:hAnsi="宋体"/>
                    </w:rPr>
                  </w:pPr>
                </w:p>
                <w:p>
                  <w:pPr>
                    <w:rPr>
                      <w:rFonts w:ascii="宋体" w:hAnsi="宋体"/>
                    </w:rPr>
                  </w:pPr>
                </w:p>
                <w:p>
                  <w:pPr>
                    <w:jc w:val="center"/>
                    <w:rPr>
                      <w:rFonts w:ascii="楷体_GB2312" w:eastAsia="楷体_GB2312"/>
                      <w:b/>
                      <w:szCs w:val="32"/>
                    </w:rPr>
                  </w:pPr>
                  <w:r>
                    <w:rPr>
                      <w:rFonts w:hint="eastAsia" w:ascii="宋体" w:hAnsi="宋体" w:cs="宋体"/>
                      <w:b/>
                      <w:sz w:val="24"/>
                    </w:rPr>
                    <w:t>附：法定代表人（单位</w:t>
                  </w:r>
                  <w:r>
                    <w:rPr>
                      <w:rFonts w:ascii="宋体" w:hAnsi="宋体" w:cs="宋体"/>
                      <w:b/>
                      <w:sz w:val="24"/>
                    </w:rPr>
                    <w:t>负责人</w:t>
                  </w:r>
                  <w:r>
                    <w:rPr>
                      <w:rFonts w:hint="eastAsia" w:ascii="宋体" w:hAnsi="宋体" w:cs="宋体"/>
                      <w:b/>
                      <w:sz w:val="24"/>
                    </w:rPr>
                    <w:t>）身份证正、反面扫描件</w:t>
                  </w:r>
                </w:p>
              </w:txbxContent>
            </v:textbox>
          </v:rect>
        </w:pict>
      </w: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400" w:lineRule="exact"/>
        <w:rPr>
          <w:rFonts w:ascii="宋体" w:hAnsi="宋体" w:cs="宋体"/>
          <w:sz w:val="24"/>
        </w:rPr>
      </w:pPr>
      <w:r>
        <w:rPr>
          <w:rFonts w:hint="eastAsia" w:ascii="宋体" w:hAnsi="宋体" w:cs="宋体"/>
          <w:sz w:val="24"/>
        </w:rPr>
        <w:t>投标人名称：                 （盖单位公章）</w:t>
      </w:r>
    </w:p>
    <w:p>
      <w:pPr>
        <w:spacing w:line="400" w:lineRule="exact"/>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日期：         年       月       日 </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注</w:t>
      </w:r>
      <w:r>
        <w:rPr>
          <w:rFonts w:ascii="宋体" w:hAnsi="宋体"/>
          <w:b/>
          <w:sz w:val="24"/>
        </w:rPr>
        <w:t>：</w:t>
      </w:r>
      <w:r>
        <w:rPr>
          <w:rFonts w:hint="eastAsia" w:ascii="宋体" w:hAnsi="宋体"/>
          <w:b/>
          <w:sz w:val="24"/>
        </w:rPr>
        <w:t>法定代表人或</w:t>
      </w:r>
      <w:r>
        <w:rPr>
          <w:rFonts w:ascii="宋体" w:hAnsi="宋体"/>
          <w:b/>
          <w:sz w:val="24"/>
        </w:rPr>
        <w:t>单位负责人亲自参与</w:t>
      </w:r>
      <w:r>
        <w:rPr>
          <w:rFonts w:hint="eastAsia" w:ascii="宋体" w:hAnsi="宋体"/>
          <w:b/>
          <w:sz w:val="24"/>
        </w:rPr>
        <w:t>本项目</w:t>
      </w:r>
      <w:r>
        <w:rPr>
          <w:rFonts w:ascii="宋体" w:hAnsi="宋体"/>
          <w:b/>
          <w:sz w:val="24"/>
        </w:rPr>
        <w:t>投标时适用</w:t>
      </w:r>
      <w:r>
        <w:rPr>
          <w:rFonts w:hint="eastAsia" w:ascii="宋体" w:hAnsi="宋体"/>
          <w:b/>
          <w:sz w:val="24"/>
        </w:rPr>
        <w:t>此格式。</w:t>
      </w:r>
    </w:p>
    <w:p>
      <w:pPr>
        <w:spacing w:line="360" w:lineRule="auto"/>
        <w:rPr>
          <w:rFonts w:ascii="宋体" w:hAnsi="宋体"/>
          <w:color w:val="000000"/>
          <w:sz w:val="24"/>
        </w:rPr>
      </w:pPr>
    </w:p>
    <w:p>
      <w:pPr>
        <w:spacing w:line="360" w:lineRule="auto"/>
        <w:rPr>
          <w:rFonts w:ascii="宋体" w:hAnsi="宋体"/>
          <w:color w:val="000000"/>
          <w:sz w:val="24"/>
        </w:rPr>
      </w:pPr>
    </w:p>
    <w:p>
      <w:pPr>
        <w:pStyle w:val="5"/>
        <w:spacing w:line="400" w:lineRule="exact"/>
        <w:ind w:firstLine="482" w:firstLineChars="200"/>
        <w:jc w:val="center"/>
        <w:rPr>
          <w:rFonts w:ascii="宋体" w:hAnsi="宋体"/>
          <w:color w:val="000000"/>
          <w:sz w:val="24"/>
        </w:rPr>
      </w:pPr>
      <w:bookmarkStart w:id="288" w:name="_Toc6308698"/>
      <w:bookmarkStart w:id="289" w:name="_Toc6308526"/>
      <w:r>
        <w:rPr>
          <w:rFonts w:hint="eastAsia" w:ascii="宋体" w:hAnsi="宋体"/>
          <w:color w:val="000000"/>
          <w:sz w:val="24"/>
        </w:rPr>
        <w:br w:type="page"/>
      </w:r>
      <w:bookmarkStart w:id="290" w:name="_Toc69141825"/>
      <w:r>
        <w:rPr>
          <w:rFonts w:hint="eastAsia" w:ascii="宋体" w:hAnsi="宋体"/>
          <w:color w:val="000000"/>
          <w:sz w:val="24"/>
        </w:rPr>
        <w:t>3.财务状况证明（实质性要求）</w:t>
      </w:r>
      <w:bookmarkEnd w:id="288"/>
      <w:bookmarkEnd w:id="289"/>
      <w:bookmarkEnd w:id="290"/>
    </w:p>
    <w:p>
      <w:pPr>
        <w:widowControl/>
        <w:spacing w:line="360" w:lineRule="auto"/>
        <w:jc w:val="center"/>
        <w:outlineLvl w:val="1"/>
        <w:rPr>
          <w:rFonts w:ascii="宋体" w:hAnsi="宋体"/>
          <w:b/>
          <w:bCs/>
          <w:color w:val="000000"/>
          <w:sz w:val="24"/>
        </w:rPr>
      </w:pPr>
      <w:bookmarkStart w:id="291" w:name="_Toc491724411"/>
    </w:p>
    <w:bookmarkEnd w:id="291"/>
    <w:p>
      <w:pPr>
        <w:spacing w:line="360" w:lineRule="auto"/>
        <w:rPr>
          <w:rFonts w:ascii="宋体" w:hAnsi="宋体"/>
          <w:b/>
          <w:bCs/>
          <w:color w:val="000000"/>
          <w:sz w:val="24"/>
        </w:rPr>
      </w:pPr>
      <w:bookmarkStart w:id="292" w:name="_Toc521313708"/>
      <w:bookmarkStart w:id="293" w:name="_Toc522892279"/>
      <w:bookmarkStart w:id="294" w:name="_Toc6308702"/>
      <w:bookmarkStart w:id="295" w:name="_Toc6308530"/>
      <w:bookmarkStart w:id="296" w:name="_Toc522892281"/>
      <w:r>
        <w:rPr>
          <w:rFonts w:hint="eastAsia" w:ascii="宋体" w:hAnsi="宋体"/>
          <w:b/>
          <w:bCs/>
          <w:color w:val="000000"/>
          <w:sz w:val="24"/>
        </w:rPr>
        <w:t>供应商提供以下证明材料中任意一项均可：</w:t>
      </w:r>
    </w:p>
    <w:p>
      <w:pPr>
        <w:numPr>
          <w:ilvl w:val="0"/>
          <w:numId w:val="3"/>
        </w:numPr>
        <w:spacing w:line="360" w:lineRule="auto"/>
        <w:rPr>
          <w:rFonts w:ascii="宋体" w:hAnsi="宋体"/>
          <w:color w:val="000000"/>
          <w:sz w:val="24"/>
        </w:rPr>
      </w:pPr>
      <w:r>
        <w:rPr>
          <w:rFonts w:hint="eastAsia" w:ascii="宋体" w:hAnsi="宋体"/>
          <w:color w:val="000000"/>
          <w:sz w:val="24"/>
        </w:rPr>
        <w:t>2020年度经第三方会计师事务所审计的财务报告扫描件（包括报告及报告中所附的完整内容，并由注册会计师签名、盖章以及会计师事务所盖章）；</w:t>
      </w:r>
    </w:p>
    <w:p>
      <w:pPr>
        <w:numPr>
          <w:ilvl w:val="0"/>
          <w:numId w:val="3"/>
        </w:numPr>
        <w:spacing w:line="360" w:lineRule="auto"/>
        <w:rPr>
          <w:rFonts w:ascii="宋体" w:hAnsi="宋体"/>
          <w:color w:val="000000"/>
          <w:sz w:val="24"/>
        </w:rPr>
      </w:pPr>
      <w:r>
        <w:rPr>
          <w:rFonts w:hint="eastAsia" w:ascii="宋体" w:hAnsi="宋体"/>
          <w:color w:val="000000"/>
          <w:sz w:val="24"/>
        </w:rPr>
        <w:t>供应商2020年内部的财务报表扫描件（包含资产负债表、利润表和</w:t>
      </w:r>
      <w:r>
        <w:rPr>
          <w:rFonts w:ascii="宋体" w:hAnsi="宋体"/>
          <w:color w:val="000000"/>
          <w:sz w:val="24"/>
        </w:rPr>
        <w:t>现金流量表</w:t>
      </w:r>
      <w:r>
        <w:rPr>
          <w:rFonts w:hint="eastAsia" w:ascii="宋体" w:hAnsi="宋体"/>
          <w:color w:val="000000"/>
          <w:sz w:val="24"/>
        </w:rPr>
        <w:t>；）</w:t>
      </w:r>
    </w:p>
    <w:p>
      <w:pPr>
        <w:numPr>
          <w:ilvl w:val="0"/>
          <w:numId w:val="3"/>
        </w:numPr>
        <w:spacing w:line="360" w:lineRule="auto"/>
        <w:rPr>
          <w:rFonts w:ascii="宋体" w:hAnsi="宋体"/>
          <w:color w:val="000000"/>
          <w:sz w:val="24"/>
        </w:rPr>
      </w:pPr>
      <w:r>
        <w:rPr>
          <w:rFonts w:hint="eastAsia" w:ascii="宋体" w:hAnsi="宋体"/>
          <w:color w:val="000000"/>
          <w:sz w:val="24"/>
        </w:rPr>
        <w:t>投标文件递交截止日前一年内基本开户银行出具的资信证明扫描件。</w:t>
      </w:r>
    </w:p>
    <w:bookmarkEnd w:id="292"/>
    <w:bookmarkEnd w:id="293"/>
    <w:p>
      <w:pPr>
        <w:spacing w:line="360" w:lineRule="auto"/>
        <w:rPr>
          <w:rFonts w:ascii="宋体" w:hAnsi="宋体"/>
          <w:color w:val="FF0000"/>
          <w:sz w:val="24"/>
        </w:rPr>
      </w:pPr>
    </w:p>
    <w:p>
      <w:pPr>
        <w:spacing w:line="360" w:lineRule="auto"/>
        <w:rPr>
          <w:rFonts w:ascii="宋体" w:hAnsi="宋体"/>
          <w:color w:val="000000"/>
          <w:sz w:val="24"/>
        </w:rPr>
      </w:pPr>
      <w:r>
        <w:rPr>
          <w:rFonts w:hint="eastAsia" w:ascii="宋体" w:hAnsi="宋体"/>
          <w:color w:val="000000"/>
          <w:sz w:val="24"/>
        </w:rPr>
        <w:t>注：事业单位及其他组织因</w:t>
      </w:r>
      <w:r>
        <w:rPr>
          <w:rFonts w:ascii="宋体" w:hAnsi="宋体"/>
          <w:color w:val="000000"/>
          <w:sz w:val="24"/>
        </w:rPr>
        <w:t>经费来源</w:t>
      </w:r>
      <w:r>
        <w:rPr>
          <w:rFonts w:hint="eastAsia" w:ascii="宋体" w:hAnsi="宋体"/>
          <w:color w:val="000000"/>
          <w:sz w:val="24"/>
        </w:rPr>
        <w:t>不一样</w:t>
      </w:r>
      <w:r>
        <w:rPr>
          <w:rFonts w:ascii="宋体" w:hAnsi="宋体"/>
          <w:color w:val="000000"/>
          <w:sz w:val="24"/>
        </w:rPr>
        <w:t>，</w:t>
      </w:r>
      <w:r>
        <w:rPr>
          <w:rFonts w:hint="eastAsia" w:ascii="宋体" w:hAnsi="宋体"/>
          <w:color w:val="000000"/>
          <w:sz w:val="24"/>
        </w:rPr>
        <w:t>此处不做</w:t>
      </w:r>
      <w:r>
        <w:rPr>
          <w:rFonts w:ascii="宋体" w:hAnsi="宋体"/>
          <w:color w:val="000000"/>
          <w:sz w:val="24"/>
        </w:rPr>
        <w:t>统一要求，投标人根据单位</w:t>
      </w:r>
      <w:r>
        <w:rPr>
          <w:rFonts w:hint="eastAsia" w:ascii="宋体" w:hAnsi="宋体"/>
          <w:color w:val="000000"/>
          <w:sz w:val="24"/>
        </w:rPr>
        <w:t>实际情况</w:t>
      </w:r>
      <w:r>
        <w:rPr>
          <w:rFonts w:ascii="宋体" w:hAnsi="宋体"/>
          <w:color w:val="000000"/>
          <w:sz w:val="24"/>
        </w:rPr>
        <w:t>，提供完整的财务</w:t>
      </w:r>
      <w:r>
        <w:rPr>
          <w:rFonts w:hint="eastAsia" w:ascii="宋体" w:hAnsi="宋体"/>
          <w:color w:val="000000"/>
          <w:sz w:val="24"/>
        </w:rPr>
        <w:t>状况证明</w:t>
      </w:r>
      <w:r>
        <w:rPr>
          <w:rFonts w:ascii="宋体" w:hAnsi="宋体"/>
          <w:color w:val="000000"/>
          <w:sz w:val="24"/>
        </w:rPr>
        <w:t>即可</w:t>
      </w:r>
      <w:r>
        <w:rPr>
          <w:rFonts w:hint="eastAsia" w:ascii="宋体" w:hAnsi="宋体"/>
          <w:color w:val="000000"/>
          <w:sz w:val="24"/>
        </w:rPr>
        <w:t>。</w:t>
      </w:r>
      <w:bookmarkEnd w:id="294"/>
      <w:bookmarkEnd w:id="295"/>
      <w:bookmarkEnd w:id="296"/>
    </w:p>
    <w:p>
      <w:pPr>
        <w:widowControl/>
        <w:spacing w:line="360" w:lineRule="auto"/>
        <w:ind w:firstLine="480" w:firstLineChars="200"/>
        <w:jc w:val="lef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pStyle w:val="5"/>
        <w:jc w:val="center"/>
        <w:rPr>
          <w:rFonts w:ascii="宋体" w:hAnsi="宋体"/>
          <w:color w:val="000000"/>
          <w:sz w:val="24"/>
          <w:szCs w:val="24"/>
          <w:highlight w:val="yellow"/>
        </w:rPr>
      </w:pPr>
      <w:bookmarkStart w:id="297" w:name="_Toc6308703"/>
      <w:bookmarkStart w:id="298" w:name="_Toc6308531"/>
      <w:r>
        <w:rPr>
          <w:rFonts w:hint="eastAsia" w:ascii="宋体" w:hAnsi="宋体"/>
          <w:color w:val="000000"/>
          <w:sz w:val="24"/>
          <w:szCs w:val="24"/>
          <w:highlight w:val="yellow"/>
        </w:rPr>
        <w:br w:type="page"/>
      </w:r>
      <w:bookmarkStart w:id="299" w:name="_Toc69141826"/>
      <w:r>
        <w:rPr>
          <w:rFonts w:hint="eastAsia" w:ascii="宋体" w:hAnsi="宋体"/>
          <w:color w:val="000000"/>
          <w:sz w:val="24"/>
          <w:szCs w:val="24"/>
        </w:rPr>
        <w:t>4.社保和纳税证明（实质性</w:t>
      </w:r>
      <w:r>
        <w:rPr>
          <w:rFonts w:ascii="宋体" w:hAnsi="宋体"/>
          <w:color w:val="000000"/>
          <w:sz w:val="24"/>
          <w:szCs w:val="24"/>
        </w:rPr>
        <w:t>要求</w:t>
      </w:r>
      <w:r>
        <w:rPr>
          <w:rFonts w:hint="eastAsia" w:ascii="宋体" w:hAnsi="宋体"/>
          <w:color w:val="000000"/>
          <w:sz w:val="24"/>
          <w:szCs w:val="24"/>
        </w:rPr>
        <w:t>）</w:t>
      </w:r>
      <w:bookmarkEnd w:id="299"/>
    </w:p>
    <w:p>
      <w:pPr>
        <w:spacing w:line="360" w:lineRule="auto"/>
        <w:rPr>
          <w:rFonts w:ascii="宋体" w:hAnsi="宋体"/>
          <w:b/>
          <w:bCs/>
          <w:color w:val="FF0000"/>
          <w:sz w:val="24"/>
          <w:highlight w:val="yellow"/>
        </w:rPr>
      </w:pPr>
    </w:p>
    <w:p>
      <w:pPr>
        <w:spacing w:line="360" w:lineRule="auto"/>
        <w:rPr>
          <w:rFonts w:ascii="宋体" w:hAnsi="宋体"/>
          <w:color w:val="000000"/>
          <w:sz w:val="24"/>
        </w:rPr>
      </w:pPr>
      <w:r>
        <w:rPr>
          <w:rFonts w:hint="eastAsia" w:ascii="宋体" w:hAnsi="宋体"/>
          <w:b/>
          <w:bCs/>
          <w:color w:val="000000"/>
          <w:sz w:val="24"/>
        </w:rPr>
        <w:t>社保证明材料：</w:t>
      </w:r>
      <w:r>
        <w:rPr>
          <w:rFonts w:hint="eastAsia" w:ascii="宋体" w:hAnsi="宋体"/>
          <w:color w:val="000000"/>
          <w:sz w:val="24"/>
        </w:rPr>
        <w:t>供应商提供2021年1月以来任意一个月缴纳社保的银行电子回单或社保部门或税务部门出具的社保缴纳证明材料或有效票据扫描件。</w:t>
      </w:r>
    </w:p>
    <w:p>
      <w:pPr>
        <w:spacing w:line="360" w:lineRule="auto"/>
        <w:rPr>
          <w:rFonts w:ascii="宋体" w:hAnsi="宋体"/>
          <w:color w:val="000000"/>
          <w:sz w:val="24"/>
        </w:rPr>
      </w:pPr>
      <w:r>
        <w:rPr>
          <w:rFonts w:hint="eastAsia" w:ascii="宋体" w:hAnsi="宋体"/>
          <w:b/>
          <w:bCs/>
          <w:color w:val="000000"/>
          <w:sz w:val="24"/>
        </w:rPr>
        <w:t>纳税证明材料：</w:t>
      </w:r>
      <w:r>
        <w:rPr>
          <w:rFonts w:hint="eastAsia" w:ascii="宋体" w:hAnsi="宋体"/>
          <w:color w:val="000000"/>
          <w:sz w:val="24"/>
        </w:rPr>
        <w:t>供应商提供2021年1月以来任意一个月缴纳税收的银行电子回单或者税务部门出具的纳税证明或完税证明或有效票据的扫描件。</w:t>
      </w:r>
    </w:p>
    <w:p>
      <w:pPr>
        <w:spacing w:line="360" w:lineRule="auto"/>
        <w:rPr>
          <w:rFonts w:ascii="宋体" w:hAnsi="宋体"/>
          <w:color w:val="000000"/>
          <w:sz w:val="24"/>
        </w:rPr>
      </w:pPr>
    </w:p>
    <w:p>
      <w:pPr>
        <w:spacing w:line="360" w:lineRule="auto"/>
        <w:rPr>
          <w:rFonts w:ascii="宋体" w:hAnsi="宋体"/>
          <w:color w:val="000000"/>
          <w:sz w:val="24"/>
          <w:highlight w:val="yellow"/>
        </w:rPr>
      </w:pPr>
      <w:r>
        <w:rPr>
          <w:rFonts w:hint="eastAsia" w:ascii="宋体" w:hAnsi="宋体"/>
          <w:color w:val="000000"/>
          <w:sz w:val="24"/>
        </w:rPr>
        <w:t>注：依法免税的供应商，应提供相应文件证明其依法免税。</w:t>
      </w:r>
    </w:p>
    <w:p>
      <w:pPr>
        <w:pStyle w:val="5"/>
        <w:jc w:val="center"/>
        <w:rPr>
          <w:rFonts w:ascii="宋体" w:hAnsi="宋体" w:cs="Arial"/>
          <w:color w:val="000000"/>
          <w:kern w:val="0"/>
          <w:sz w:val="24"/>
          <w:szCs w:val="24"/>
        </w:rPr>
      </w:pPr>
      <w:r>
        <w:rPr>
          <w:rFonts w:hint="eastAsia" w:ascii="宋体" w:hAnsi="宋体"/>
          <w:color w:val="000000"/>
          <w:sz w:val="24"/>
          <w:szCs w:val="24"/>
        </w:rPr>
        <w:br w:type="column"/>
      </w:r>
      <w:bookmarkEnd w:id="297"/>
      <w:bookmarkEnd w:id="298"/>
      <w:bookmarkStart w:id="300" w:name="_Toc6308534"/>
      <w:bookmarkStart w:id="301" w:name="_Toc6308706"/>
      <w:bookmarkStart w:id="302" w:name="_Toc69141827"/>
      <w:r>
        <w:rPr>
          <w:rFonts w:hint="eastAsia" w:ascii="宋体" w:hAnsi="宋体"/>
          <w:color w:val="000000"/>
          <w:sz w:val="24"/>
          <w:szCs w:val="24"/>
        </w:rPr>
        <w:t>5.信用信息查询记录和证据（实质性要求）</w:t>
      </w:r>
      <w:bookmarkEnd w:id="300"/>
      <w:bookmarkEnd w:id="301"/>
      <w:bookmarkEnd w:id="302"/>
    </w:p>
    <w:p>
      <w:pPr>
        <w:rPr>
          <w:rFonts w:ascii="宋体" w:hAnsi="宋体"/>
          <w:color w:val="000000"/>
          <w:sz w:val="24"/>
        </w:rPr>
      </w:pP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注：</w:t>
      </w:r>
    </w:p>
    <w:p>
      <w:pPr>
        <w:widowControl/>
        <w:numPr>
          <w:ilvl w:val="0"/>
          <w:numId w:val="4"/>
        </w:num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pPr>
        <w:widowControl/>
        <w:numPr>
          <w:ilvl w:val="0"/>
          <w:numId w:val="4"/>
        </w:num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由于投标人单位性质无法按投标人须知前附表进行信用信息查询的，投标人应就单位的信用进行书面承诺，此处提供承诺函原件，格式自拟。</w:t>
      </w: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pStyle w:val="5"/>
        <w:jc w:val="center"/>
        <w:rPr>
          <w:rFonts w:ascii="宋体" w:hAnsi="宋体"/>
          <w:color w:val="000000"/>
          <w:sz w:val="24"/>
          <w:szCs w:val="24"/>
        </w:rPr>
      </w:pPr>
      <w:bookmarkStart w:id="303" w:name="_Toc6308535"/>
      <w:bookmarkStart w:id="304" w:name="_Toc6308707"/>
      <w:bookmarkStart w:id="305" w:name="_Toc69141828"/>
      <w:r>
        <w:rPr>
          <w:rFonts w:hint="eastAsia" w:ascii="宋体" w:hAnsi="宋体"/>
          <w:color w:val="000000"/>
          <w:sz w:val="24"/>
          <w:szCs w:val="24"/>
        </w:rPr>
        <w:t>6.承诺函（实质性要求）</w:t>
      </w:r>
      <w:bookmarkEnd w:id="303"/>
      <w:bookmarkEnd w:id="304"/>
      <w:bookmarkEnd w:id="305"/>
    </w:p>
    <w:p>
      <w:pPr>
        <w:spacing w:line="360" w:lineRule="auto"/>
        <w:rPr>
          <w:rFonts w:ascii="宋体" w:hAnsi="宋体"/>
          <w:color w:val="000000"/>
          <w:sz w:val="24"/>
        </w:rPr>
      </w:pPr>
      <w:bookmarkStart w:id="306" w:name="_Toc491724426"/>
      <w:r>
        <w:rPr>
          <w:rFonts w:hint="eastAsia" w:ascii="宋体" w:hAnsi="宋体"/>
          <w:color w:val="000000"/>
          <w:sz w:val="24"/>
        </w:rPr>
        <w:t>中航技国际经贸发展有限公司：</w:t>
      </w:r>
      <w:bookmarkEnd w:id="306"/>
    </w:p>
    <w:p>
      <w:pPr>
        <w:spacing w:line="360" w:lineRule="auto"/>
        <w:ind w:firstLine="480" w:firstLineChars="200"/>
        <w:rPr>
          <w:rFonts w:ascii="宋体" w:hAnsi="宋体"/>
          <w:color w:val="000000"/>
          <w:sz w:val="24"/>
        </w:rPr>
      </w:pPr>
      <w:bookmarkStart w:id="307" w:name="_Toc491724427"/>
      <w:r>
        <w:rPr>
          <w:rFonts w:hint="eastAsia" w:ascii="宋体" w:hAnsi="宋体"/>
          <w:color w:val="000000"/>
          <w:sz w:val="24"/>
        </w:rPr>
        <w:t>我公司作为本次采购项目的投标人，根据招标文件要求，现郑重承诺如下：</w:t>
      </w:r>
      <w:bookmarkEnd w:id="307"/>
    </w:p>
    <w:p>
      <w:pPr>
        <w:spacing w:line="360" w:lineRule="auto"/>
        <w:ind w:firstLine="480" w:firstLineChars="200"/>
        <w:rPr>
          <w:rFonts w:ascii="宋体" w:hAnsi="宋体"/>
          <w:color w:val="000000"/>
          <w:sz w:val="24"/>
        </w:rPr>
      </w:pPr>
      <w:bookmarkStart w:id="308" w:name="_Toc491724428"/>
      <w:r>
        <w:rPr>
          <w:rFonts w:hint="eastAsia" w:ascii="宋体" w:hAnsi="宋体"/>
          <w:color w:val="000000"/>
          <w:sz w:val="24"/>
        </w:rPr>
        <w:t>一、具备本项目规定的条件：</w:t>
      </w:r>
      <w:bookmarkEnd w:id="308"/>
    </w:p>
    <w:p>
      <w:pPr>
        <w:spacing w:line="360" w:lineRule="auto"/>
        <w:ind w:left="239" w:leftChars="114"/>
        <w:rPr>
          <w:rFonts w:ascii="宋体" w:hAnsi="宋体"/>
          <w:color w:val="000000"/>
          <w:sz w:val="24"/>
        </w:rPr>
      </w:pPr>
      <w:bookmarkStart w:id="309" w:name="_Toc491724429"/>
      <w:r>
        <w:rPr>
          <w:rFonts w:hint="eastAsia" w:ascii="宋体" w:hAnsi="宋体"/>
          <w:color w:val="000000"/>
          <w:sz w:val="24"/>
        </w:rPr>
        <w:t xml:space="preserve">（一）具有独立承担民事责任的能力； </w:t>
      </w:r>
      <w:r>
        <w:rPr>
          <w:rFonts w:hint="eastAsia" w:ascii="宋体" w:hAnsi="宋体"/>
          <w:color w:val="000000"/>
          <w:sz w:val="24"/>
        </w:rPr>
        <w:br w:type="textWrapping"/>
      </w:r>
      <w:r>
        <w:rPr>
          <w:rFonts w:hint="eastAsia" w:ascii="宋体" w:hAnsi="宋体"/>
          <w:color w:val="000000"/>
          <w:sz w:val="24"/>
        </w:rPr>
        <w:t xml:space="preserve">（二）具有良好的商业信誉和健全的财务会计制度； </w:t>
      </w:r>
      <w:r>
        <w:rPr>
          <w:rFonts w:hint="eastAsia" w:ascii="宋体" w:hAnsi="宋体"/>
          <w:color w:val="000000"/>
          <w:sz w:val="24"/>
        </w:rPr>
        <w:br w:type="textWrapping"/>
      </w:r>
      <w:r>
        <w:rPr>
          <w:rFonts w:hint="eastAsia" w:ascii="宋体" w:hAnsi="宋体"/>
          <w:color w:val="000000"/>
          <w:sz w:val="24"/>
        </w:rPr>
        <w:t xml:space="preserve">（三）具有履行合同所必需的设备和专业技术能力； </w:t>
      </w:r>
      <w:r>
        <w:rPr>
          <w:rFonts w:hint="eastAsia" w:ascii="宋体" w:hAnsi="宋体"/>
          <w:color w:val="000000"/>
          <w:sz w:val="24"/>
        </w:rPr>
        <w:br w:type="textWrapping"/>
      </w:r>
      <w:r>
        <w:rPr>
          <w:rFonts w:hint="eastAsia" w:ascii="宋体" w:hAnsi="宋体"/>
          <w:color w:val="000000"/>
          <w:sz w:val="24"/>
        </w:rPr>
        <w:t xml:space="preserve">（四）有依法缴纳税收和社会保障资金的良好记录； </w:t>
      </w:r>
      <w:r>
        <w:rPr>
          <w:rFonts w:hint="eastAsia" w:ascii="宋体" w:hAnsi="宋体"/>
          <w:color w:val="000000"/>
          <w:sz w:val="24"/>
        </w:rPr>
        <w:br w:type="textWrapping"/>
      </w:r>
      <w:r>
        <w:rPr>
          <w:rFonts w:hint="eastAsia" w:ascii="宋体" w:hAnsi="宋体"/>
          <w:color w:val="000000"/>
          <w:sz w:val="24"/>
        </w:rPr>
        <w:t>（五）参加政府采购活动前三年内，在经营活动中没有重大违法记录；</w:t>
      </w:r>
      <w:bookmarkEnd w:id="309"/>
    </w:p>
    <w:p>
      <w:pPr>
        <w:spacing w:line="360" w:lineRule="auto"/>
        <w:ind w:firstLine="240" w:firstLineChars="100"/>
        <w:rPr>
          <w:rFonts w:ascii="宋体" w:hAnsi="宋体"/>
          <w:color w:val="000000"/>
          <w:sz w:val="24"/>
        </w:rPr>
      </w:pPr>
      <w:bookmarkStart w:id="310" w:name="_Toc491724430"/>
      <w:r>
        <w:rPr>
          <w:rFonts w:hint="eastAsia" w:ascii="宋体" w:hAnsi="宋体"/>
          <w:color w:val="000000"/>
          <w:sz w:val="24"/>
        </w:rPr>
        <w:t>（六）法律、行政法规规定的其他条件</w:t>
      </w:r>
      <w:bookmarkEnd w:id="310"/>
      <w:r>
        <w:rPr>
          <w:rFonts w:hint="eastAsia" w:ascii="宋体" w:hAnsi="宋体"/>
          <w:color w:val="000000"/>
          <w:sz w:val="24"/>
        </w:rPr>
        <w:t>。</w:t>
      </w:r>
    </w:p>
    <w:p>
      <w:pPr>
        <w:spacing w:line="360" w:lineRule="auto"/>
        <w:ind w:firstLine="480" w:firstLineChars="200"/>
        <w:rPr>
          <w:rFonts w:ascii="宋体" w:hAnsi="宋体"/>
          <w:color w:val="000000"/>
          <w:sz w:val="24"/>
        </w:rPr>
      </w:pPr>
      <w:bookmarkStart w:id="311" w:name="_Toc491724433"/>
      <w:r>
        <w:rPr>
          <w:rFonts w:hint="eastAsia" w:ascii="宋体" w:hAnsi="宋体"/>
          <w:color w:val="000000"/>
          <w:sz w:val="24"/>
        </w:rPr>
        <w:t>二、参加本次招标采购活动，不存在与单位负责人为同一人或者存在直接控股、管理关系的其他供应商参与同一合同项下的政府采购活动的行为。</w:t>
      </w:r>
      <w:bookmarkEnd w:id="311"/>
    </w:p>
    <w:p>
      <w:pPr>
        <w:spacing w:line="360" w:lineRule="auto"/>
        <w:ind w:firstLine="480" w:firstLineChars="200"/>
        <w:rPr>
          <w:rFonts w:ascii="宋体" w:hAnsi="宋体"/>
          <w:color w:val="000000"/>
          <w:sz w:val="24"/>
        </w:rPr>
      </w:pPr>
      <w:bookmarkStart w:id="312" w:name="_Toc491724434"/>
      <w:r>
        <w:rPr>
          <w:rFonts w:hint="eastAsia" w:ascii="宋体" w:hAnsi="宋体"/>
          <w:color w:val="000000"/>
          <w:sz w:val="24"/>
        </w:rPr>
        <w:t>三、参加本次招标采购活动，不存在和其他供应商在同一合同项下的采购项目中，同时委托同一个自然人、同一单位的人员作为代理人的行为。</w:t>
      </w:r>
      <w:bookmarkEnd w:id="312"/>
    </w:p>
    <w:p>
      <w:pPr>
        <w:spacing w:line="360" w:lineRule="auto"/>
        <w:ind w:firstLine="480" w:firstLineChars="200"/>
        <w:rPr>
          <w:rFonts w:ascii="宋体" w:hAnsi="宋体"/>
          <w:color w:val="000000"/>
          <w:sz w:val="24"/>
        </w:rPr>
      </w:pPr>
      <w:bookmarkStart w:id="313" w:name="_Toc491724436"/>
      <w:r>
        <w:rPr>
          <w:rFonts w:hint="eastAsia" w:ascii="宋体" w:hAnsi="宋体"/>
          <w:color w:val="000000"/>
          <w:sz w:val="24"/>
        </w:rPr>
        <w:t>四、投标文件中提供的能够给予我公司带来优惠、好处的任何材料资料和技术、服务、商务等响应承诺情况都是真实的、有效的、合法的。</w:t>
      </w:r>
      <w:bookmarkEnd w:id="313"/>
    </w:p>
    <w:p>
      <w:pPr>
        <w:spacing w:line="360" w:lineRule="auto"/>
        <w:rPr>
          <w:rFonts w:ascii="宋体" w:hAnsi="宋体"/>
          <w:color w:val="000000"/>
          <w:sz w:val="24"/>
        </w:rPr>
      </w:pPr>
    </w:p>
    <w:p>
      <w:pPr>
        <w:spacing w:line="360" w:lineRule="auto"/>
        <w:ind w:firstLine="480" w:firstLineChars="200"/>
        <w:rPr>
          <w:rFonts w:ascii="宋体" w:hAnsi="宋体"/>
          <w:color w:val="000000"/>
          <w:sz w:val="24"/>
        </w:rPr>
      </w:pPr>
      <w:bookmarkStart w:id="314" w:name="_Toc491724438"/>
      <w:r>
        <w:rPr>
          <w:rFonts w:hint="eastAsia" w:ascii="宋体" w:hAnsi="宋体"/>
          <w:color w:val="000000"/>
          <w:sz w:val="24"/>
        </w:rPr>
        <w:t>本公司对上述承诺的内容事项真实性负责。如经查实上述承诺的内容事项存在虚假，我公司愿意接受以提供虚假材料谋取中标追究法律责任。</w:t>
      </w:r>
      <w:bookmarkEnd w:id="314"/>
    </w:p>
    <w:p>
      <w:pPr>
        <w:spacing w:line="360" w:lineRule="auto"/>
        <w:rPr>
          <w:rFonts w:ascii="宋体" w:hAnsi="宋体"/>
          <w:color w:val="000000"/>
          <w:sz w:val="24"/>
        </w:rPr>
      </w:pPr>
    </w:p>
    <w:p>
      <w:pPr>
        <w:spacing w:line="360" w:lineRule="auto"/>
        <w:rPr>
          <w:rFonts w:ascii="宋体" w:hAnsi="宋体"/>
          <w:color w:val="000000"/>
          <w:sz w:val="24"/>
        </w:rPr>
      </w:pPr>
      <w:bookmarkStart w:id="315" w:name="_Toc491724439"/>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315"/>
    </w:p>
    <w:p>
      <w:pPr>
        <w:spacing w:line="360" w:lineRule="auto"/>
        <w:rPr>
          <w:rFonts w:ascii="宋体" w:hAnsi="宋体"/>
          <w:color w:val="000000"/>
          <w:sz w:val="24"/>
        </w:rPr>
      </w:pPr>
      <w:bookmarkStart w:id="316" w:name="_Toc491724440"/>
      <w:r>
        <w:rPr>
          <w:rFonts w:hint="eastAsia" w:ascii="宋体" w:hAnsi="宋体"/>
          <w:color w:val="000000"/>
          <w:sz w:val="24"/>
        </w:rPr>
        <w:t>法定代表人/单位负责人或授权代表（签字或加盖个人名章）：XXXX。</w:t>
      </w:r>
      <w:bookmarkEnd w:id="316"/>
    </w:p>
    <w:p>
      <w:pPr>
        <w:spacing w:line="360" w:lineRule="auto"/>
        <w:rPr>
          <w:rFonts w:ascii="宋体" w:hAnsi="宋体"/>
          <w:color w:val="000000"/>
          <w:sz w:val="24"/>
        </w:rPr>
      </w:pPr>
      <w:bookmarkStart w:id="317" w:name="_Toc491724441"/>
      <w:r>
        <w:rPr>
          <w:rFonts w:hint="eastAsia" w:ascii="宋体" w:hAnsi="宋体"/>
          <w:color w:val="000000"/>
          <w:sz w:val="24"/>
        </w:rPr>
        <w:t>日期：XXXX。</w:t>
      </w:r>
      <w:bookmarkEnd w:id="317"/>
    </w:p>
    <w:p>
      <w:pPr>
        <w:spacing w:line="360" w:lineRule="exact"/>
        <w:rPr>
          <w:rFonts w:ascii="宋体" w:hAnsi="宋体"/>
          <w:bCs/>
          <w:color w:val="000000"/>
        </w:rPr>
      </w:pPr>
    </w:p>
    <w:p>
      <w:pPr>
        <w:spacing w:line="360" w:lineRule="exact"/>
        <w:rPr>
          <w:rFonts w:ascii="宋体" w:hAnsi="宋体"/>
          <w:bCs/>
          <w:color w:val="000000"/>
        </w:rPr>
      </w:pPr>
    </w:p>
    <w:p>
      <w:pPr>
        <w:spacing w:line="360" w:lineRule="exact"/>
        <w:rPr>
          <w:rFonts w:ascii="宋体" w:hAnsi="宋体"/>
          <w:bCs/>
          <w:color w:val="000000"/>
        </w:rPr>
      </w:pPr>
    </w:p>
    <w:p>
      <w:pPr>
        <w:spacing w:line="360" w:lineRule="exact"/>
        <w:rPr>
          <w:rFonts w:ascii="宋体" w:hAnsi="宋体"/>
          <w:bCs/>
          <w:color w:val="000000"/>
        </w:rPr>
      </w:pPr>
    </w:p>
    <w:p>
      <w:pPr>
        <w:spacing w:line="360" w:lineRule="exact"/>
        <w:rPr>
          <w:rFonts w:ascii="宋体" w:hAnsi="宋体"/>
          <w:bCs/>
          <w:color w:val="000000"/>
        </w:rPr>
      </w:pPr>
    </w:p>
    <w:p>
      <w:pPr>
        <w:pStyle w:val="5"/>
        <w:jc w:val="center"/>
        <w:rPr>
          <w:rFonts w:ascii="宋体" w:hAnsi="宋体"/>
          <w:color w:val="000000"/>
          <w:sz w:val="24"/>
          <w:szCs w:val="24"/>
        </w:rPr>
      </w:pPr>
      <w:bookmarkStart w:id="318" w:name="_Toc6308536"/>
      <w:bookmarkStart w:id="319" w:name="_Toc6308708"/>
      <w:bookmarkStart w:id="320" w:name="_Toc69141829"/>
      <w:r>
        <w:rPr>
          <w:rFonts w:hint="eastAsia" w:ascii="宋体" w:hAnsi="宋体"/>
          <w:color w:val="000000"/>
          <w:sz w:val="24"/>
          <w:szCs w:val="24"/>
        </w:rPr>
        <w:t>7.无行贿犯罪记录的承诺函（实质性要求）</w:t>
      </w:r>
      <w:bookmarkEnd w:id="318"/>
      <w:bookmarkEnd w:id="319"/>
      <w:bookmarkEnd w:id="320"/>
    </w:p>
    <w:p>
      <w:pPr>
        <w:spacing w:line="360" w:lineRule="auto"/>
        <w:jc w:val="center"/>
        <w:rPr>
          <w:rFonts w:ascii="宋体" w:hAnsi="宋体"/>
          <w:b/>
          <w:color w:val="000000"/>
          <w:sz w:val="24"/>
        </w:rPr>
      </w:pPr>
      <w:bookmarkStart w:id="321" w:name="_Toc491724443"/>
    </w:p>
    <w:p>
      <w:pPr>
        <w:spacing w:line="360" w:lineRule="auto"/>
        <w:jc w:val="center"/>
        <w:rPr>
          <w:rFonts w:ascii="宋体" w:hAnsi="宋体"/>
          <w:b/>
          <w:color w:val="000000"/>
          <w:sz w:val="24"/>
        </w:rPr>
      </w:pPr>
      <w:r>
        <w:rPr>
          <w:rFonts w:hint="eastAsia" w:ascii="宋体" w:hAnsi="宋体"/>
          <w:b/>
          <w:color w:val="000000"/>
          <w:sz w:val="24"/>
        </w:rPr>
        <w:t>格式一</w:t>
      </w:r>
    </w:p>
    <w:p>
      <w:pPr>
        <w:tabs>
          <w:tab w:val="center" w:pos="4479"/>
        </w:tabs>
        <w:spacing w:line="360" w:lineRule="auto"/>
        <w:rPr>
          <w:rFonts w:ascii="宋体" w:hAnsi="宋体"/>
          <w:color w:val="000000"/>
          <w:sz w:val="24"/>
        </w:rPr>
      </w:pPr>
      <w:r>
        <w:rPr>
          <w:rFonts w:hint="eastAsia" w:ascii="宋体" w:hAnsi="宋体"/>
          <w:b/>
          <w:color w:val="000000"/>
          <w:sz w:val="24"/>
        </w:rPr>
        <w:t>中航技国际经贸发展有限公司</w:t>
      </w:r>
      <w:r>
        <w:rPr>
          <w:rFonts w:hint="eastAsia" w:ascii="宋体" w:hAnsi="宋体"/>
          <w:color w:val="000000"/>
          <w:sz w:val="24"/>
        </w:rPr>
        <w:t>：</w:t>
      </w:r>
      <w:bookmarkEnd w:id="321"/>
      <w:r>
        <w:rPr>
          <w:rFonts w:ascii="宋体" w:hAnsi="宋体"/>
          <w:color w:val="000000"/>
          <w:sz w:val="24"/>
        </w:rPr>
        <w:tab/>
      </w:r>
    </w:p>
    <w:p>
      <w:pPr>
        <w:spacing w:line="360" w:lineRule="auto"/>
        <w:ind w:firstLine="720" w:firstLineChars="300"/>
        <w:rPr>
          <w:rFonts w:ascii="宋体" w:hAnsi="宋体"/>
          <w:color w:val="000000"/>
          <w:sz w:val="24"/>
        </w:rPr>
      </w:pPr>
      <w:bookmarkStart w:id="322" w:name="_Toc491724444"/>
      <w:r>
        <w:rPr>
          <w:rFonts w:hint="eastAsia" w:ascii="宋体" w:hAnsi="宋体"/>
          <w:color w:val="000000"/>
          <w:sz w:val="24"/>
        </w:rPr>
        <w:t>我公司作为本次采购项目的投标人，根据招标文件要求，现郑重承诺如下：</w:t>
      </w:r>
      <w:bookmarkEnd w:id="322"/>
    </w:p>
    <w:p>
      <w:pPr>
        <w:spacing w:line="360" w:lineRule="auto"/>
        <w:rPr>
          <w:rFonts w:ascii="宋体" w:hAnsi="宋体"/>
          <w:color w:val="000000"/>
          <w:sz w:val="24"/>
        </w:rPr>
      </w:pPr>
      <w:r>
        <w:rPr>
          <w:rFonts w:hint="eastAsia" w:ascii="宋体" w:hAnsi="宋体"/>
          <w:color w:val="000000"/>
          <w:sz w:val="24"/>
        </w:rPr>
        <w:t>我公司</w:t>
      </w:r>
      <w:r>
        <w:rPr>
          <w:rFonts w:hint="eastAsia" w:ascii="宋体" w:hAnsi="宋体"/>
          <w:color w:val="000000"/>
          <w:sz w:val="24"/>
          <w:u w:val="single"/>
        </w:rPr>
        <w:t xml:space="preserve">   （公司名称） </w:t>
      </w:r>
      <w:r>
        <w:rPr>
          <w:rFonts w:hint="eastAsia" w:ascii="宋体" w:hAnsi="宋体"/>
          <w:color w:val="000000"/>
          <w:sz w:val="24"/>
        </w:rPr>
        <w:t xml:space="preserve">及法定代表人 </w:t>
      </w:r>
      <w:r>
        <w:rPr>
          <w:rFonts w:hint="eastAsia" w:ascii="宋体" w:hAnsi="宋体"/>
          <w:color w:val="000000"/>
          <w:sz w:val="24"/>
          <w:u w:val="single"/>
        </w:rPr>
        <w:t xml:space="preserve"> （法定代表人名字） </w:t>
      </w:r>
      <w:r>
        <w:rPr>
          <w:rFonts w:hint="eastAsia" w:ascii="宋体" w:hAnsi="宋体"/>
          <w:color w:val="000000"/>
          <w:sz w:val="24"/>
        </w:rPr>
        <w:t>无行贿犯罪记录。</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bookmarkStart w:id="323" w:name="_Toc491724447"/>
      <w:r>
        <w:rPr>
          <w:rFonts w:hint="eastAsia" w:ascii="宋体" w:hAnsi="宋体"/>
          <w:color w:val="000000"/>
          <w:sz w:val="24"/>
        </w:rPr>
        <w:t>法定代表人/授权代表签字或者加盖个人名章：XXXX。</w:t>
      </w: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323"/>
    </w:p>
    <w:p>
      <w:pPr>
        <w:spacing w:line="360" w:lineRule="auto"/>
        <w:rPr>
          <w:rFonts w:ascii="宋体" w:hAnsi="宋体"/>
          <w:color w:val="000000"/>
          <w:sz w:val="24"/>
        </w:rPr>
      </w:pPr>
      <w:bookmarkStart w:id="324" w:name="_Toc491724448"/>
      <w:r>
        <w:rPr>
          <w:rFonts w:hint="eastAsia" w:ascii="宋体" w:hAnsi="宋体"/>
          <w:color w:val="000000"/>
          <w:sz w:val="24"/>
        </w:rPr>
        <w:t>日期：XXXX。</w:t>
      </w:r>
      <w:bookmarkEnd w:id="324"/>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jc w:val="center"/>
        <w:rPr>
          <w:rFonts w:ascii="宋体" w:hAnsi="宋体"/>
          <w:b/>
          <w:color w:val="000000"/>
          <w:sz w:val="24"/>
        </w:rPr>
      </w:pPr>
      <w:r>
        <w:rPr>
          <w:rFonts w:hint="eastAsia" w:ascii="宋体" w:hAnsi="宋体"/>
          <w:b/>
          <w:color w:val="000000"/>
          <w:sz w:val="24"/>
        </w:rPr>
        <w:t>格式二（因</w:t>
      </w:r>
      <w:r>
        <w:rPr>
          <w:rFonts w:ascii="宋体" w:hAnsi="宋体"/>
          <w:b/>
          <w:color w:val="000000"/>
          <w:sz w:val="24"/>
        </w:rPr>
        <w:t>单位性质，无法定代表人的</w:t>
      </w:r>
      <w:r>
        <w:rPr>
          <w:rFonts w:hint="eastAsia" w:ascii="宋体" w:hAnsi="宋体"/>
          <w:b/>
          <w:color w:val="000000"/>
          <w:sz w:val="24"/>
        </w:rPr>
        <w:t>，</w:t>
      </w:r>
      <w:r>
        <w:rPr>
          <w:rFonts w:ascii="宋体" w:hAnsi="宋体"/>
          <w:b/>
          <w:color w:val="000000"/>
          <w:sz w:val="24"/>
        </w:rPr>
        <w:t>采用</w:t>
      </w:r>
      <w:r>
        <w:rPr>
          <w:rFonts w:hint="eastAsia" w:ascii="宋体" w:hAnsi="宋体"/>
          <w:b/>
          <w:color w:val="000000"/>
          <w:sz w:val="24"/>
        </w:rPr>
        <w:t>该</w:t>
      </w:r>
      <w:r>
        <w:rPr>
          <w:rFonts w:ascii="宋体" w:hAnsi="宋体"/>
          <w:b/>
          <w:color w:val="000000"/>
          <w:sz w:val="24"/>
        </w:rPr>
        <w:t>格式</w:t>
      </w:r>
      <w:r>
        <w:rPr>
          <w:rFonts w:hint="eastAsia" w:ascii="宋体" w:hAnsi="宋体"/>
          <w:b/>
          <w:color w:val="000000"/>
          <w:sz w:val="24"/>
        </w:rPr>
        <w:t>）</w:t>
      </w:r>
    </w:p>
    <w:p>
      <w:pPr>
        <w:spacing w:line="360" w:lineRule="auto"/>
        <w:rPr>
          <w:rFonts w:ascii="宋体" w:hAnsi="宋体"/>
          <w:color w:val="000000"/>
          <w:sz w:val="24"/>
        </w:rPr>
      </w:pPr>
      <w:r>
        <w:rPr>
          <w:rFonts w:hint="eastAsia" w:ascii="宋体" w:hAnsi="宋体"/>
          <w:b/>
          <w:color w:val="000000"/>
          <w:sz w:val="24"/>
        </w:rPr>
        <w:t>中航技国际经贸发展有限公司</w:t>
      </w:r>
      <w:r>
        <w:rPr>
          <w:rFonts w:hint="eastAsia" w:ascii="宋体" w:hAnsi="宋体"/>
          <w:color w:val="000000"/>
          <w:sz w:val="24"/>
        </w:rPr>
        <w:t>：</w:t>
      </w:r>
    </w:p>
    <w:p>
      <w:pPr>
        <w:spacing w:line="360" w:lineRule="auto"/>
        <w:ind w:firstLine="720" w:firstLineChars="300"/>
        <w:rPr>
          <w:rFonts w:ascii="宋体" w:hAnsi="宋体"/>
          <w:color w:val="000000"/>
          <w:sz w:val="24"/>
        </w:rPr>
      </w:pPr>
      <w:r>
        <w:rPr>
          <w:rFonts w:hint="eastAsia" w:ascii="宋体" w:hAnsi="宋体"/>
          <w:color w:val="000000"/>
          <w:sz w:val="24"/>
        </w:rPr>
        <w:t>我公司作为本次采购项目的投标人，根据招标文件要求，现郑重承诺如下：</w:t>
      </w:r>
    </w:p>
    <w:p>
      <w:pPr>
        <w:spacing w:line="360" w:lineRule="auto"/>
        <w:rPr>
          <w:rFonts w:ascii="宋体" w:hAnsi="宋体"/>
          <w:color w:val="000000"/>
          <w:sz w:val="24"/>
        </w:rPr>
      </w:pPr>
      <w:r>
        <w:rPr>
          <w:rFonts w:hint="eastAsia" w:ascii="宋体" w:hAnsi="宋体"/>
          <w:color w:val="000000"/>
          <w:sz w:val="24"/>
        </w:rPr>
        <w:t>我单位</w:t>
      </w:r>
      <w:r>
        <w:rPr>
          <w:rFonts w:hint="eastAsia" w:ascii="宋体" w:hAnsi="宋体"/>
          <w:color w:val="000000"/>
          <w:sz w:val="24"/>
          <w:u w:val="single"/>
        </w:rPr>
        <w:t xml:space="preserve">   （单位名称） </w:t>
      </w:r>
      <w:r>
        <w:rPr>
          <w:rFonts w:hint="eastAsia" w:ascii="宋体" w:hAnsi="宋体"/>
          <w:color w:val="000000"/>
          <w:sz w:val="24"/>
        </w:rPr>
        <w:t>及主要负责人</w:t>
      </w:r>
      <w:r>
        <w:rPr>
          <w:rFonts w:hint="eastAsia" w:ascii="宋体" w:hAnsi="宋体"/>
          <w:color w:val="000000"/>
          <w:sz w:val="24"/>
          <w:u w:val="single"/>
        </w:rPr>
        <w:t xml:space="preserve">  （单位负责人名字） </w:t>
      </w:r>
      <w:r>
        <w:rPr>
          <w:rFonts w:hint="eastAsia" w:ascii="宋体" w:hAnsi="宋体"/>
          <w:color w:val="000000"/>
          <w:sz w:val="24"/>
        </w:rPr>
        <w:t>无行贿犯罪记录。</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主要负责人/授权代表签字或者加盖个人名章：XXXX。</w:t>
      </w: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日期：XXXX。</w:t>
      </w:r>
    </w:p>
    <w:p>
      <w:pPr>
        <w:spacing w:line="360" w:lineRule="auto"/>
        <w:rPr>
          <w:rFonts w:ascii="宋体" w:hAnsi="宋体"/>
          <w:color w:val="000000"/>
          <w:sz w:val="24"/>
        </w:rPr>
      </w:pPr>
    </w:p>
    <w:p>
      <w:pPr>
        <w:spacing w:line="360" w:lineRule="auto"/>
        <w:rPr>
          <w:rFonts w:ascii="宋体" w:hAnsi="宋体"/>
          <w:color w:val="000000"/>
          <w:sz w:val="24"/>
        </w:rPr>
      </w:pPr>
    </w:p>
    <w:p>
      <w:pPr>
        <w:pStyle w:val="5"/>
        <w:jc w:val="center"/>
        <w:rPr>
          <w:rFonts w:ascii="宋体" w:hAnsi="宋体"/>
          <w:color w:val="000000"/>
          <w:sz w:val="24"/>
          <w:szCs w:val="24"/>
        </w:rPr>
      </w:pPr>
      <w:bookmarkStart w:id="325" w:name="_Toc6308709"/>
      <w:bookmarkStart w:id="326" w:name="_Toc6308537"/>
      <w:bookmarkStart w:id="327" w:name="_Toc69141830"/>
      <w:r>
        <w:rPr>
          <w:rFonts w:hint="eastAsia" w:ascii="宋体" w:hAnsi="宋体"/>
          <w:color w:val="000000"/>
          <w:sz w:val="24"/>
          <w:szCs w:val="24"/>
        </w:rPr>
        <w:t>8.无重大违法记录的承诺函（实质性要求）</w:t>
      </w:r>
      <w:bookmarkEnd w:id="325"/>
      <w:bookmarkEnd w:id="326"/>
      <w:bookmarkEnd w:id="327"/>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中航技国际经贸发展有限公司：</w:t>
      </w:r>
    </w:p>
    <w:p>
      <w:pPr>
        <w:spacing w:line="360" w:lineRule="auto"/>
        <w:ind w:firstLine="420"/>
        <w:rPr>
          <w:rFonts w:ascii="宋体" w:hAnsi="宋体"/>
          <w:sz w:val="24"/>
        </w:rPr>
      </w:pPr>
      <w:r>
        <w:rPr>
          <w:rFonts w:hint="eastAsia" w:ascii="宋体" w:hAnsi="宋体"/>
          <w:sz w:val="24"/>
        </w:rPr>
        <w:t>我公司承诺：</w:t>
      </w:r>
    </w:p>
    <w:p>
      <w:pPr>
        <w:numPr>
          <w:ilvl w:val="0"/>
          <w:numId w:val="5"/>
        </w:numPr>
        <w:spacing w:line="360" w:lineRule="auto"/>
        <w:ind w:firstLine="420"/>
        <w:rPr>
          <w:rFonts w:ascii="宋体" w:hAnsi="宋体"/>
          <w:sz w:val="24"/>
        </w:rPr>
      </w:pPr>
      <w:r>
        <w:rPr>
          <w:rFonts w:hint="eastAsia" w:ascii="宋体" w:hAnsi="宋体"/>
          <w:sz w:val="24"/>
        </w:rPr>
        <w:t>参加本次政府采购活动</w:t>
      </w:r>
      <w:r>
        <w:rPr>
          <w:rFonts w:hint="eastAsia" w:ascii="宋体" w:hAnsi="宋体"/>
          <w:color w:val="000000"/>
          <w:sz w:val="24"/>
        </w:rPr>
        <w:t>前三年内</w:t>
      </w:r>
      <w:r>
        <w:rPr>
          <w:rFonts w:hint="eastAsia" w:ascii="宋体" w:hAnsi="宋体"/>
          <w:sz w:val="24"/>
        </w:rPr>
        <w:t>，没有因违法经营受到刑事处罚或者责令停产停业、吊销许可证或者执照、较大数额罚款等行政处罚。</w:t>
      </w:r>
    </w:p>
    <w:p>
      <w:pPr>
        <w:numPr>
          <w:ilvl w:val="0"/>
          <w:numId w:val="5"/>
        </w:numPr>
        <w:spacing w:line="360" w:lineRule="auto"/>
        <w:ind w:firstLine="420"/>
        <w:rPr>
          <w:rFonts w:ascii="宋体" w:hAnsi="宋体"/>
          <w:sz w:val="24"/>
        </w:rPr>
      </w:pPr>
      <w:r>
        <w:rPr>
          <w:rFonts w:hint="eastAsia" w:ascii="宋体" w:hAnsi="宋体"/>
          <w:sz w:val="24"/>
        </w:rPr>
        <w:t>参加本次政府采购活动前，不具有要求举行听证权利的行政处罚。</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法定代表人/主要负责人/授权代表签字或者加盖个人名章：XXXX。</w:t>
      </w: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日期：XXXX。</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rPr>
          <w:rFonts w:ascii="宋体" w:hAnsi="宋体"/>
          <w:b/>
          <w:bCs/>
          <w:color w:val="000000"/>
          <w:shd w:val="clear" w:color="FFFFFF" w:fill="D9D9D9"/>
        </w:rPr>
      </w:pPr>
    </w:p>
    <w:p>
      <w:pPr>
        <w:pStyle w:val="5"/>
        <w:jc w:val="center"/>
        <w:rPr>
          <w:rFonts w:ascii="宋体" w:hAnsi="宋体"/>
          <w:color w:val="000000"/>
          <w:sz w:val="24"/>
          <w:szCs w:val="24"/>
          <w:shd w:val="clear" w:color="FFFFFF" w:fill="D9D9D9"/>
        </w:rPr>
      </w:pPr>
      <w:bookmarkStart w:id="328" w:name="_Toc69141831"/>
      <w:bookmarkStart w:id="329" w:name="_Toc6308711"/>
      <w:bookmarkStart w:id="330" w:name="_Toc6308539"/>
      <w:r>
        <w:rPr>
          <w:rFonts w:hint="eastAsia" w:ascii="宋体" w:hAnsi="宋体"/>
          <w:color w:val="000000"/>
          <w:sz w:val="24"/>
          <w:szCs w:val="24"/>
        </w:rPr>
        <w:t>9.其他资格证明材料</w:t>
      </w:r>
      <w:bookmarkEnd w:id="328"/>
      <w:bookmarkEnd w:id="329"/>
      <w:bookmarkEnd w:id="330"/>
    </w:p>
    <w:p>
      <w:pPr>
        <w:pStyle w:val="2"/>
        <w:spacing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1.提供中华人民共和国医疗器械经营许可证或备案表扫描件；</w:t>
      </w:r>
    </w:p>
    <w:p>
      <w:pPr>
        <w:pStyle w:val="2"/>
        <w:spacing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w:t>
      </w:r>
      <w:r>
        <w:rPr>
          <w:rFonts w:hint="eastAsia" w:ascii="宋体" w:hAnsi="宋体" w:cs="宋体"/>
          <w:b w:val="0"/>
          <w:bCs w:val="0"/>
          <w:color w:val="000000"/>
          <w:sz w:val="24"/>
          <w:szCs w:val="24"/>
        </w:rPr>
        <w:t xml:space="preserve"> </w:t>
      </w:r>
      <w:r>
        <w:rPr>
          <w:rFonts w:hint="eastAsia" w:asciiTheme="minorEastAsia" w:hAnsiTheme="minorEastAsia" w:eastAsiaTheme="minorEastAsia"/>
          <w:b w:val="0"/>
          <w:sz w:val="24"/>
          <w:szCs w:val="24"/>
        </w:rPr>
        <w:t>01包非生产厂家投标，投标产品需具有投标产品生产厂家或有效经销商针对本项目的授权委托书原件（限进口产品参与投标适用）；</w:t>
      </w: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pStyle w:val="4"/>
        <w:jc w:val="center"/>
        <w:rPr>
          <w:rFonts w:ascii="宋体" w:hAnsi="宋体" w:eastAsia="宋体"/>
          <w:color w:val="000000"/>
        </w:rPr>
      </w:pPr>
      <w:bookmarkStart w:id="331" w:name="_Toc6308712"/>
      <w:bookmarkStart w:id="332" w:name="_Toc6308540"/>
    </w:p>
    <w:p>
      <w:pPr>
        <w:pStyle w:val="4"/>
        <w:jc w:val="center"/>
        <w:rPr>
          <w:rFonts w:ascii="宋体" w:hAnsi="宋体" w:eastAsia="宋体"/>
          <w:color w:val="000000"/>
        </w:rPr>
      </w:pPr>
    </w:p>
    <w:p>
      <w:pPr>
        <w:pStyle w:val="4"/>
        <w:jc w:val="center"/>
        <w:rPr>
          <w:rFonts w:ascii="宋体" w:hAnsi="宋体" w:eastAsia="宋体"/>
          <w:color w:val="000000"/>
        </w:rPr>
      </w:pPr>
    </w:p>
    <w:p>
      <w:pPr>
        <w:pStyle w:val="4"/>
        <w:jc w:val="center"/>
        <w:rPr>
          <w:rFonts w:ascii="宋体" w:hAnsi="宋体" w:eastAsia="宋体"/>
          <w:color w:val="000000"/>
        </w:rPr>
      </w:pPr>
      <w:bookmarkStart w:id="333" w:name="_Toc69141832"/>
      <w:r>
        <w:rPr>
          <w:rFonts w:hint="eastAsia" w:ascii="宋体" w:hAnsi="宋体" w:eastAsia="宋体"/>
          <w:color w:val="000000"/>
        </w:rPr>
        <w:t>二、其他响应文件（格式）</w:t>
      </w:r>
      <w:bookmarkEnd w:id="331"/>
      <w:bookmarkEnd w:id="332"/>
      <w:bookmarkEnd w:id="333"/>
    </w:p>
    <w:p>
      <w:pPr>
        <w:widowControl/>
        <w:spacing w:line="360" w:lineRule="atLeast"/>
        <w:ind w:firstLine="470" w:firstLineChars="196"/>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pStyle w:val="5"/>
        <w:spacing w:line="400" w:lineRule="exact"/>
        <w:ind w:firstLine="482" w:firstLineChars="200"/>
        <w:jc w:val="center"/>
        <w:rPr>
          <w:rFonts w:ascii="宋体" w:hAnsi="宋体"/>
          <w:color w:val="000000"/>
          <w:sz w:val="24"/>
        </w:rPr>
      </w:pPr>
      <w:bookmarkStart w:id="334" w:name="_Toc6308541"/>
      <w:bookmarkStart w:id="335" w:name="_Toc6308713"/>
      <w:r>
        <w:rPr>
          <w:rFonts w:hint="eastAsia" w:ascii="宋体" w:hAnsi="宋体"/>
          <w:color w:val="000000"/>
          <w:sz w:val="24"/>
        </w:rPr>
        <w:br w:type="page"/>
      </w:r>
      <w:bookmarkStart w:id="336" w:name="_Toc69141833"/>
      <w:r>
        <w:rPr>
          <w:rFonts w:hint="eastAsia" w:ascii="宋体" w:hAnsi="宋体"/>
          <w:color w:val="000000"/>
          <w:sz w:val="24"/>
        </w:rPr>
        <w:t>10.投标函</w:t>
      </w:r>
      <w:bookmarkEnd w:id="259"/>
      <w:bookmarkEnd w:id="260"/>
      <w:bookmarkEnd w:id="334"/>
      <w:bookmarkEnd w:id="335"/>
      <w:bookmarkEnd w:id="336"/>
    </w:p>
    <w:p>
      <w:pPr>
        <w:widowControl/>
        <w:spacing w:line="360" w:lineRule="atLeast"/>
        <w:jc w:val="center"/>
        <w:outlineLvl w:val="1"/>
        <w:rPr>
          <w:rFonts w:ascii="宋体" w:hAnsi="宋体"/>
          <w:b/>
          <w:color w:val="000000"/>
          <w:sz w:val="24"/>
        </w:rPr>
      </w:pPr>
    </w:p>
    <w:p>
      <w:pPr>
        <w:spacing w:line="360" w:lineRule="auto"/>
        <w:rPr>
          <w:rFonts w:ascii="宋体" w:hAnsi="宋体"/>
          <w:color w:val="000000"/>
          <w:sz w:val="24"/>
        </w:rPr>
      </w:pPr>
      <w:bookmarkStart w:id="337" w:name="_Toc491724456"/>
      <w:r>
        <w:rPr>
          <w:rFonts w:hint="eastAsia" w:ascii="宋体" w:hAnsi="宋体"/>
          <w:color w:val="000000"/>
          <w:sz w:val="24"/>
        </w:rPr>
        <w:t>中航技国际经贸发展有限公司：</w:t>
      </w:r>
      <w:bookmarkEnd w:id="337"/>
    </w:p>
    <w:p>
      <w:pPr>
        <w:spacing w:line="360" w:lineRule="auto"/>
        <w:ind w:firstLine="480" w:firstLineChars="200"/>
        <w:rPr>
          <w:rFonts w:ascii="宋体" w:hAnsi="宋体"/>
          <w:color w:val="000000"/>
          <w:sz w:val="24"/>
        </w:rPr>
      </w:pPr>
      <w:bookmarkStart w:id="338" w:name="_Toc491724457"/>
      <w:r>
        <w:rPr>
          <w:rFonts w:hint="eastAsia" w:ascii="宋体" w:hAnsi="宋体"/>
          <w:color w:val="000000"/>
          <w:sz w:val="24"/>
        </w:rPr>
        <w:t>我方全面研究了“XXXXXXXX”项目（招标编号：XXXX）招标文件，决定参加贵单位组织的本项目投标。我方授权XXXX（姓名、职务）代表我方XXXX（投标单位的名称）全权处理本项目投标的有关事宜。</w:t>
      </w:r>
      <w:bookmarkEnd w:id="338"/>
    </w:p>
    <w:p>
      <w:pPr>
        <w:numPr>
          <w:ilvl w:val="0"/>
          <w:numId w:val="6"/>
        </w:numPr>
        <w:spacing w:line="360" w:lineRule="exact"/>
        <w:ind w:firstLine="480" w:firstLineChars="200"/>
        <w:rPr>
          <w:rFonts w:ascii="宋体" w:hAnsi="宋体"/>
          <w:color w:val="000000"/>
          <w:sz w:val="24"/>
        </w:rPr>
      </w:pPr>
      <w:bookmarkStart w:id="339" w:name="_Toc491724458"/>
      <w:r>
        <w:rPr>
          <w:rFonts w:hint="eastAsia" w:ascii="宋体" w:hAnsi="宋体"/>
          <w:color w:val="000000"/>
          <w:sz w:val="24"/>
        </w:rPr>
        <w:t>我方自愿按照招标文件规定的各项要求向采购人提供所需货物。</w:t>
      </w:r>
      <w:bookmarkEnd w:id="339"/>
      <w:bookmarkStart w:id="340" w:name="_Toc491724459"/>
    </w:p>
    <w:p>
      <w:pPr>
        <w:spacing w:line="360" w:lineRule="exact"/>
        <w:ind w:firstLine="480" w:firstLineChars="200"/>
        <w:rPr>
          <w:rFonts w:ascii="宋体" w:hAnsi="宋体"/>
          <w:color w:val="000000"/>
          <w:sz w:val="24"/>
        </w:rPr>
      </w:pPr>
      <w:r>
        <w:rPr>
          <w:rFonts w:hint="eastAsia" w:ascii="宋体" w:hAnsi="宋体"/>
          <w:color w:val="000000"/>
          <w:sz w:val="24"/>
        </w:rPr>
        <w:t>二、一旦我方中标，我方将严格履行政府采购合同规定的责任和义务。</w:t>
      </w:r>
      <w:bookmarkEnd w:id="340"/>
    </w:p>
    <w:p>
      <w:pPr>
        <w:spacing w:line="360" w:lineRule="exact"/>
        <w:ind w:firstLine="480" w:firstLineChars="200"/>
        <w:rPr>
          <w:rFonts w:ascii="宋体" w:hAnsi="宋体"/>
          <w:color w:val="000000"/>
          <w:sz w:val="24"/>
        </w:rPr>
      </w:pPr>
      <w:bookmarkStart w:id="341" w:name="_Toc491724461"/>
      <w:r>
        <w:rPr>
          <w:rFonts w:hint="eastAsia" w:ascii="宋体" w:hAnsi="宋体"/>
          <w:color w:val="000000"/>
          <w:sz w:val="24"/>
        </w:rPr>
        <w:t>三、我方为本项目提交的资格性响应文件正本1份，副本2份，其他响应文件正本1份，副本2份，电子文档1份，用于开标唱标的“开标一览表”一式两份。</w:t>
      </w:r>
      <w:bookmarkEnd w:id="341"/>
    </w:p>
    <w:p>
      <w:pPr>
        <w:spacing w:line="360" w:lineRule="exact"/>
        <w:ind w:firstLine="480" w:firstLineChars="200"/>
        <w:rPr>
          <w:rFonts w:ascii="宋体" w:hAnsi="宋体"/>
          <w:color w:val="000000"/>
          <w:sz w:val="24"/>
        </w:rPr>
      </w:pPr>
      <w:bookmarkStart w:id="342" w:name="_Toc491724462"/>
      <w:r>
        <w:rPr>
          <w:rFonts w:hint="eastAsia" w:ascii="宋体" w:hAnsi="宋体"/>
          <w:color w:val="000000"/>
          <w:sz w:val="24"/>
        </w:rPr>
        <w:t>四、我方同意本次招标的投标有效期为</w:t>
      </w:r>
      <w:r>
        <w:rPr>
          <w:rFonts w:ascii="宋体" w:hAnsi="宋体"/>
          <w:color w:val="000000"/>
          <w:sz w:val="24"/>
        </w:rPr>
        <w:t>120</w:t>
      </w:r>
      <w:r>
        <w:rPr>
          <w:rFonts w:hint="eastAsia" w:ascii="宋体" w:hAnsi="宋体"/>
          <w:color w:val="000000"/>
          <w:sz w:val="24"/>
        </w:rPr>
        <w:t>日历天。</w:t>
      </w:r>
      <w:bookmarkEnd w:id="342"/>
    </w:p>
    <w:p>
      <w:pPr>
        <w:spacing w:line="360" w:lineRule="exact"/>
        <w:ind w:firstLine="480" w:firstLineChars="200"/>
        <w:rPr>
          <w:rFonts w:ascii="宋体" w:hAnsi="宋体"/>
          <w:color w:val="000000"/>
          <w:sz w:val="24"/>
        </w:rPr>
      </w:pPr>
      <w:bookmarkStart w:id="343" w:name="_Toc491724463"/>
      <w:r>
        <w:rPr>
          <w:rFonts w:hint="eastAsia" w:ascii="宋体" w:hAnsi="宋体"/>
          <w:color w:val="000000"/>
          <w:sz w:val="24"/>
        </w:rPr>
        <w:t>五、我方愿意提供贵单位可能另外要求的，与投标有关的文件资料，并保证我方已提供和将要提供的文件资料是真实、准确的。</w:t>
      </w:r>
      <w:bookmarkEnd w:id="343"/>
    </w:p>
    <w:p>
      <w:pPr>
        <w:spacing w:line="360" w:lineRule="exact"/>
        <w:ind w:firstLine="480" w:firstLineChars="200"/>
        <w:rPr>
          <w:rFonts w:ascii="宋体" w:hAnsi="宋体"/>
          <w:color w:val="000000"/>
          <w:sz w:val="24"/>
        </w:rPr>
      </w:pPr>
      <w:bookmarkStart w:id="344" w:name="_Toc491724464"/>
      <w:r>
        <w:rPr>
          <w:rFonts w:hint="eastAsia" w:ascii="宋体" w:hAnsi="宋体"/>
          <w:color w:val="000000"/>
          <w:sz w:val="24"/>
        </w:rPr>
        <w:t>六、一旦我方中标，我方同意按招标文件要求缴纳代理服务费。</w:t>
      </w:r>
      <w:bookmarkEnd w:id="344"/>
    </w:p>
    <w:p>
      <w:pPr>
        <w:spacing w:line="360" w:lineRule="exact"/>
        <w:ind w:firstLine="480" w:firstLineChars="200"/>
        <w:rPr>
          <w:rFonts w:ascii="宋体" w:hAnsi="宋体"/>
          <w:color w:val="000000"/>
          <w:sz w:val="24"/>
        </w:rPr>
      </w:pPr>
      <w:r>
        <w:rPr>
          <w:rFonts w:hint="eastAsia" w:ascii="宋体" w:hAnsi="宋体"/>
          <w:color w:val="000000"/>
          <w:sz w:val="24"/>
        </w:rPr>
        <w:t>七、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360" w:lineRule="exact"/>
        <w:ind w:firstLine="480" w:firstLineChars="200"/>
        <w:rPr>
          <w:rFonts w:ascii="宋体" w:hAnsi="宋体"/>
          <w:color w:val="000000"/>
          <w:sz w:val="24"/>
        </w:rPr>
      </w:pPr>
      <w:r>
        <w:rPr>
          <w:rFonts w:hint="eastAsia" w:ascii="宋体" w:hAnsi="宋体"/>
          <w:color w:val="000000"/>
          <w:sz w:val="24"/>
        </w:rPr>
        <w:t>八、我方承诺参加本项目所提供的产品或服务，凡国家或行业主管部门对采购产品或服务的技术标准、质量标准和资格资质条件等有强制性规定的，我方均符合其要求。</w:t>
      </w:r>
    </w:p>
    <w:p>
      <w:pPr>
        <w:spacing w:line="360" w:lineRule="exact"/>
        <w:ind w:firstLine="480" w:firstLineChars="200"/>
        <w:rPr>
          <w:rFonts w:ascii="宋体" w:hAnsi="宋体"/>
          <w:color w:val="000000"/>
          <w:sz w:val="24"/>
        </w:rPr>
      </w:pPr>
      <w:r>
        <w:rPr>
          <w:rFonts w:hint="eastAsia" w:ascii="宋体" w:hAnsi="宋体"/>
          <w:color w:val="000000"/>
          <w:sz w:val="24"/>
        </w:rPr>
        <w:t>九、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spacing w:line="360" w:lineRule="exact"/>
        <w:ind w:firstLine="480" w:firstLineChars="200"/>
        <w:rPr>
          <w:rFonts w:ascii="宋体" w:hAnsi="宋体"/>
          <w:color w:val="000000"/>
          <w:sz w:val="24"/>
        </w:rPr>
      </w:pPr>
      <w:r>
        <w:rPr>
          <w:rFonts w:hint="eastAsia" w:ascii="宋体" w:hAnsi="宋体"/>
          <w:color w:val="000000"/>
          <w:sz w:val="24"/>
        </w:rPr>
        <w:t>十、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pPr>
        <w:spacing w:line="360" w:lineRule="exact"/>
        <w:ind w:firstLine="480" w:firstLineChars="200"/>
        <w:rPr>
          <w:rFonts w:ascii="宋体" w:hAnsi="宋体"/>
          <w:color w:val="000000"/>
          <w:sz w:val="24"/>
        </w:rPr>
      </w:pPr>
      <w:r>
        <w:rPr>
          <w:rFonts w:hint="eastAsia" w:ascii="宋体" w:hAnsi="宋体"/>
          <w:color w:val="000000"/>
          <w:sz w:val="24"/>
        </w:rPr>
        <w:t>十一、我方承诺没有为本次采购项目提供整体设计、规范编制或者项目管理、监理、检测等服务。</w:t>
      </w:r>
    </w:p>
    <w:p>
      <w:pPr>
        <w:spacing w:line="360" w:lineRule="exact"/>
        <w:rPr>
          <w:rFonts w:ascii="宋体" w:hAnsi="宋体"/>
          <w:color w:val="000000"/>
          <w:sz w:val="24"/>
        </w:rPr>
      </w:pPr>
    </w:p>
    <w:p>
      <w:pPr>
        <w:spacing w:line="360" w:lineRule="exact"/>
        <w:ind w:firstLine="480" w:firstLineChars="200"/>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bookmarkStart w:id="345" w:name="_Toc491724465"/>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345"/>
    </w:p>
    <w:p>
      <w:pPr>
        <w:spacing w:line="360" w:lineRule="auto"/>
        <w:rPr>
          <w:rFonts w:ascii="宋体" w:hAnsi="宋体"/>
          <w:color w:val="000000"/>
          <w:sz w:val="24"/>
        </w:rPr>
      </w:pPr>
      <w:bookmarkStart w:id="346" w:name="_Toc491724466"/>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346"/>
    </w:p>
    <w:p>
      <w:pPr>
        <w:spacing w:line="360" w:lineRule="auto"/>
        <w:rPr>
          <w:rFonts w:ascii="宋体" w:hAnsi="宋体"/>
          <w:color w:val="000000"/>
          <w:sz w:val="24"/>
        </w:rPr>
      </w:pPr>
      <w:bookmarkStart w:id="347" w:name="_Toc491724467"/>
      <w:r>
        <w:rPr>
          <w:rFonts w:hint="eastAsia" w:ascii="宋体" w:hAnsi="宋体"/>
          <w:color w:val="000000"/>
          <w:sz w:val="24"/>
        </w:rPr>
        <w:t>通讯地址：XXXX。</w:t>
      </w:r>
      <w:bookmarkEnd w:id="347"/>
    </w:p>
    <w:p>
      <w:pPr>
        <w:spacing w:line="360" w:lineRule="auto"/>
        <w:rPr>
          <w:rFonts w:ascii="宋体" w:hAnsi="宋体"/>
          <w:color w:val="000000"/>
          <w:sz w:val="24"/>
        </w:rPr>
      </w:pPr>
      <w:bookmarkStart w:id="348" w:name="_Toc491724468"/>
      <w:r>
        <w:rPr>
          <w:rFonts w:hint="eastAsia" w:ascii="宋体" w:hAnsi="宋体"/>
          <w:color w:val="000000"/>
          <w:sz w:val="24"/>
        </w:rPr>
        <w:t>邮政编码：XXXX。</w:t>
      </w:r>
      <w:bookmarkEnd w:id="348"/>
    </w:p>
    <w:p>
      <w:pPr>
        <w:spacing w:line="360" w:lineRule="auto"/>
        <w:rPr>
          <w:rFonts w:ascii="宋体" w:hAnsi="宋体"/>
          <w:color w:val="000000"/>
          <w:sz w:val="24"/>
        </w:rPr>
      </w:pPr>
      <w:bookmarkStart w:id="349" w:name="_Toc491724469"/>
      <w:r>
        <w:rPr>
          <w:rFonts w:hint="eastAsia" w:ascii="宋体" w:hAnsi="宋体"/>
          <w:color w:val="000000"/>
          <w:sz w:val="24"/>
        </w:rPr>
        <w:t>联系电话：XXXX。</w:t>
      </w:r>
      <w:bookmarkEnd w:id="349"/>
    </w:p>
    <w:p>
      <w:pPr>
        <w:spacing w:line="360" w:lineRule="auto"/>
        <w:rPr>
          <w:rFonts w:ascii="宋体" w:hAnsi="宋体"/>
          <w:color w:val="000000"/>
          <w:sz w:val="24"/>
        </w:rPr>
      </w:pPr>
      <w:bookmarkStart w:id="350" w:name="_Toc491724470"/>
      <w:r>
        <w:rPr>
          <w:rFonts w:hint="eastAsia" w:ascii="宋体" w:hAnsi="宋体"/>
          <w:color w:val="000000"/>
          <w:sz w:val="24"/>
        </w:rPr>
        <w:t>传真：XXXX。</w:t>
      </w:r>
      <w:bookmarkEnd w:id="350"/>
    </w:p>
    <w:p>
      <w:pPr>
        <w:spacing w:line="360" w:lineRule="auto"/>
        <w:rPr>
          <w:rFonts w:ascii="宋体" w:hAnsi="宋体"/>
          <w:color w:val="000000"/>
          <w:sz w:val="24"/>
        </w:rPr>
      </w:pPr>
      <w:bookmarkStart w:id="351" w:name="_Toc491724471"/>
      <w:r>
        <w:rPr>
          <w:rFonts w:hint="eastAsia" w:ascii="宋体" w:hAnsi="宋体"/>
          <w:color w:val="000000"/>
          <w:sz w:val="24"/>
        </w:rPr>
        <w:t>日期：XXXX。</w:t>
      </w:r>
      <w:bookmarkEnd w:id="351"/>
    </w:p>
    <w:p>
      <w:pPr>
        <w:spacing w:line="360" w:lineRule="auto"/>
        <w:rPr>
          <w:rFonts w:ascii="宋体" w:hAnsi="宋体"/>
          <w:color w:val="000000"/>
          <w:sz w:val="24"/>
        </w:rPr>
      </w:pPr>
    </w:p>
    <w:p>
      <w:pPr>
        <w:spacing w:line="360" w:lineRule="auto"/>
        <w:rPr>
          <w:rFonts w:ascii="宋体" w:hAnsi="宋体"/>
          <w:color w:val="000000"/>
          <w:sz w:val="24"/>
        </w:rPr>
      </w:pPr>
    </w:p>
    <w:p>
      <w:pPr>
        <w:widowControl/>
        <w:spacing w:line="360" w:lineRule="atLeast"/>
        <w:ind w:firstLine="472" w:firstLineChars="196"/>
        <w:jc w:val="left"/>
        <w:outlineLvl w:val="1"/>
        <w:rPr>
          <w:rFonts w:ascii="宋体" w:hAnsi="宋体"/>
          <w:b/>
          <w:color w:val="000000"/>
          <w:sz w:val="24"/>
        </w:rPr>
      </w:pPr>
    </w:p>
    <w:p>
      <w:pPr>
        <w:widowControl/>
        <w:spacing w:line="360" w:lineRule="atLeast"/>
        <w:ind w:firstLine="472" w:firstLineChars="196"/>
        <w:jc w:val="left"/>
        <w:outlineLvl w:val="1"/>
        <w:rPr>
          <w:rFonts w:ascii="宋体" w:hAnsi="宋体"/>
          <w:b/>
          <w:color w:val="000000"/>
          <w:sz w:val="24"/>
        </w:rPr>
      </w:pPr>
    </w:p>
    <w:bookmarkEnd w:id="257"/>
    <w:p>
      <w:pPr>
        <w:widowControl/>
        <w:spacing w:line="360" w:lineRule="atLeast"/>
        <w:outlineLvl w:val="1"/>
        <w:rPr>
          <w:rFonts w:ascii="宋体" w:hAnsi="宋体"/>
          <w:b/>
          <w:color w:val="000000"/>
          <w:sz w:val="32"/>
          <w:szCs w:val="32"/>
        </w:rPr>
      </w:pPr>
      <w:bookmarkStart w:id="352" w:name="_Toc217446085"/>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pStyle w:val="5"/>
        <w:spacing w:line="400" w:lineRule="exact"/>
        <w:ind w:firstLine="482" w:firstLineChars="200"/>
        <w:jc w:val="center"/>
        <w:rPr>
          <w:rFonts w:ascii="宋体" w:hAnsi="宋体"/>
          <w:color w:val="000000"/>
          <w:sz w:val="24"/>
        </w:rPr>
      </w:pPr>
      <w:bookmarkStart w:id="353" w:name="_Toc6308714"/>
      <w:bookmarkStart w:id="354" w:name="_Toc6308542"/>
      <w:r>
        <w:rPr>
          <w:rFonts w:hint="eastAsia" w:ascii="宋体" w:hAnsi="宋体"/>
          <w:color w:val="000000"/>
          <w:sz w:val="24"/>
        </w:rPr>
        <w:br w:type="page"/>
      </w:r>
      <w:bookmarkStart w:id="355" w:name="_Toc69141834"/>
      <w:r>
        <w:rPr>
          <w:rFonts w:hint="eastAsia" w:ascii="宋体" w:hAnsi="宋体"/>
          <w:color w:val="000000"/>
          <w:sz w:val="24"/>
        </w:rPr>
        <w:t>11.开标一览表</w:t>
      </w:r>
      <w:bookmarkEnd w:id="352"/>
      <w:bookmarkEnd w:id="353"/>
      <w:bookmarkEnd w:id="354"/>
      <w:bookmarkEnd w:id="355"/>
    </w:p>
    <w:p>
      <w:pPr>
        <w:widowControl/>
        <w:spacing w:line="360" w:lineRule="atLeast"/>
        <w:ind w:firstLine="472" w:firstLineChars="196"/>
        <w:jc w:val="left"/>
        <w:outlineLvl w:val="1"/>
        <w:rPr>
          <w:rFonts w:ascii="宋体" w:hAnsi="宋体"/>
          <w:b/>
          <w:color w:val="000000"/>
          <w:sz w:val="24"/>
        </w:rPr>
      </w:pPr>
    </w:p>
    <w:p>
      <w:pPr>
        <w:spacing w:line="360" w:lineRule="auto"/>
        <w:rPr>
          <w:rFonts w:ascii="宋体" w:hAnsi="宋体"/>
          <w:color w:val="000000"/>
          <w:sz w:val="24"/>
        </w:rPr>
      </w:pPr>
      <w:bookmarkStart w:id="356" w:name="_Toc491724473"/>
      <w:r>
        <w:rPr>
          <w:rFonts w:hint="eastAsia" w:ascii="宋体" w:hAnsi="宋体"/>
          <w:color w:val="000000"/>
          <w:sz w:val="24"/>
        </w:rPr>
        <w:t>招标编号：                                    第XX包</w:t>
      </w:r>
      <w:bookmarkEnd w:id="356"/>
      <w:r>
        <w:rPr>
          <w:rFonts w:hint="eastAsia" w:ascii="宋体" w:hAnsi="宋体"/>
          <w:color w:val="000000"/>
          <w:sz w:val="24"/>
        </w:rPr>
        <w:t xml:space="preserve"> （如有分包）   </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67"/>
        <w:gridCol w:w="1132"/>
        <w:gridCol w:w="853"/>
        <w:gridCol w:w="1274"/>
        <w:gridCol w:w="1278"/>
        <w:gridCol w:w="846"/>
        <w:gridCol w:w="1421"/>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6" w:type="pct"/>
            <w:noWrap/>
            <w:vAlign w:val="center"/>
          </w:tcPr>
          <w:p>
            <w:pPr>
              <w:spacing w:line="360" w:lineRule="auto"/>
              <w:jc w:val="center"/>
              <w:rPr>
                <w:rFonts w:ascii="宋体" w:hAnsi="宋体"/>
                <w:color w:val="000000"/>
                <w:sz w:val="24"/>
              </w:rPr>
            </w:pPr>
            <w:bookmarkStart w:id="357" w:name="_Toc491724474"/>
            <w:r>
              <w:rPr>
                <w:rFonts w:hint="eastAsia" w:ascii="宋体" w:hAnsi="宋体"/>
                <w:color w:val="000000"/>
                <w:sz w:val="24"/>
              </w:rPr>
              <w:t>序号</w:t>
            </w:r>
            <w:bookmarkEnd w:id="357"/>
          </w:p>
        </w:tc>
        <w:tc>
          <w:tcPr>
            <w:tcW w:w="417" w:type="pct"/>
            <w:noWrap/>
            <w:vAlign w:val="center"/>
          </w:tcPr>
          <w:p>
            <w:pPr>
              <w:spacing w:line="360" w:lineRule="auto"/>
              <w:jc w:val="center"/>
              <w:rPr>
                <w:rFonts w:ascii="宋体" w:hAnsi="宋体"/>
                <w:color w:val="000000"/>
                <w:sz w:val="24"/>
              </w:rPr>
            </w:pPr>
            <w:bookmarkStart w:id="358" w:name="_Toc491724475"/>
            <w:r>
              <w:rPr>
                <w:rFonts w:hint="eastAsia" w:ascii="宋体" w:hAnsi="宋体"/>
                <w:color w:val="000000"/>
                <w:sz w:val="24"/>
              </w:rPr>
              <w:t>货物</w:t>
            </w:r>
            <w:bookmarkEnd w:id="358"/>
          </w:p>
          <w:p>
            <w:pPr>
              <w:spacing w:line="360" w:lineRule="auto"/>
              <w:jc w:val="center"/>
              <w:rPr>
                <w:rFonts w:ascii="宋体" w:hAnsi="宋体"/>
                <w:color w:val="000000"/>
                <w:sz w:val="24"/>
              </w:rPr>
            </w:pPr>
            <w:bookmarkStart w:id="359" w:name="_Toc491724476"/>
            <w:r>
              <w:rPr>
                <w:rFonts w:hint="eastAsia" w:ascii="宋体" w:hAnsi="宋体"/>
                <w:color w:val="000000"/>
                <w:sz w:val="24"/>
              </w:rPr>
              <w:t>名称</w:t>
            </w:r>
            <w:bookmarkEnd w:id="359"/>
          </w:p>
        </w:tc>
        <w:tc>
          <w:tcPr>
            <w:tcW w:w="616" w:type="pct"/>
            <w:noWrap/>
            <w:vAlign w:val="center"/>
          </w:tcPr>
          <w:p>
            <w:pPr>
              <w:spacing w:line="360" w:lineRule="auto"/>
              <w:jc w:val="center"/>
              <w:rPr>
                <w:rFonts w:ascii="宋体" w:hAnsi="宋体"/>
                <w:color w:val="000000"/>
                <w:sz w:val="24"/>
              </w:rPr>
            </w:pPr>
            <w:bookmarkStart w:id="360" w:name="_Toc491724477"/>
            <w:r>
              <w:rPr>
                <w:rFonts w:hint="eastAsia" w:ascii="宋体" w:hAnsi="宋体"/>
                <w:color w:val="000000"/>
                <w:sz w:val="24"/>
              </w:rPr>
              <w:t>制造商家及</w:t>
            </w:r>
            <w:bookmarkEnd w:id="360"/>
            <w:bookmarkStart w:id="361" w:name="_Toc491724478"/>
            <w:r>
              <w:rPr>
                <w:rFonts w:hint="eastAsia" w:ascii="宋体" w:hAnsi="宋体"/>
                <w:color w:val="000000"/>
                <w:sz w:val="24"/>
              </w:rPr>
              <w:t>规格型号</w:t>
            </w:r>
            <w:bookmarkEnd w:id="361"/>
          </w:p>
        </w:tc>
        <w:tc>
          <w:tcPr>
            <w:tcW w:w="464" w:type="pct"/>
            <w:noWrap/>
            <w:vAlign w:val="center"/>
          </w:tcPr>
          <w:p>
            <w:pPr>
              <w:spacing w:line="360" w:lineRule="auto"/>
              <w:jc w:val="center"/>
              <w:rPr>
                <w:rFonts w:ascii="宋体" w:hAnsi="宋体"/>
                <w:color w:val="000000"/>
                <w:sz w:val="24"/>
              </w:rPr>
            </w:pPr>
            <w:bookmarkStart w:id="362" w:name="_Toc491724479"/>
            <w:r>
              <w:rPr>
                <w:rFonts w:hint="eastAsia" w:ascii="宋体" w:hAnsi="宋体"/>
                <w:color w:val="000000"/>
                <w:sz w:val="24"/>
              </w:rPr>
              <w:t>数量</w:t>
            </w:r>
            <w:bookmarkEnd w:id="362"/>
          </w:p>
        </w:tc>
        <w:tc>
          <w:tcPr>
            <w:tcW w:w="693" w:type="pct"/>
            <w:noWrap/>
            <w:vAlign w:val="center"/>
          </w:tcPr>
          <w:p>
            <w:pPr>
              <w:spacing w:line="360" w:lineRule="auto"/>
              <w:jc w:val="center"/>
              <w:rPr>
                <w:rFonts w:ascii="宋体" w:hAnsi="宋体"/>
                <w:color w:val="000000"/>
                <w:sz w:val="24"/>
              </w:rPr>
            </w:pPr>
            <w:bookmarkStart w:id="363" w:name="_Toc491724480"/>
            <w:r>
              <w:rPr>
                <w:rFonts w:hint="eastAsia" w:ascii="宋体" w:hAnsi="宋体"/>
                <w:color w:val="000000"/>
                <w:sz w:val="24"/>
              </w:rPr>
              <w:t>投标单价</w:t>
            </w:r>
            <w:bookmarkEnd w:id="363"/>
          </w:p>
          <w:p>
            <w:pPr>
              <w:spacing w:line="360" w:lineRule="auto"/>
              <w:jc w:val="center"/>
              <w:rPr>
                <w:rFonts w:ascii="宋体" w:hAnsi="宋体"/>
                <w:color w:val="000000"/>
                <w:sz w:val="24"/>
              </w:rPr>
            </w:pPr>
            <w:bookmarkStart w:id="364" w:name="_Toc491724481"/>
            <w:r>
              <w:rPr>
                <w:rFonts w:hint="eastAsia" w:ascii="宋体" w:hAnsi="宋体"/>
                <w:color w:val="000000"/>
                <w:sz w:val="24"/>
              </w:rPr>
              <w:t>（万元）</w:t>
            </w:r>
            <w:bookmarkEnd w:id="364"/>
          </w:p>
        </w:tc>
        <w:tc>
          <w:tcPr>
            <w:tcW w:w="695" w:type="pct"/>
            <w:noWrap/>
            <w:vAlign w:val="center"/>
          </w:tcPr>
          <w:p>
            <w:pPr>
              <w:spacing w:line="360" w:lineRule="auto"/>
              <w:jc w:val="center"/>
              <w:rPr>
                <w:rFonts w:ascii="宋体" w:hAnsi="宋体"/>
                <w:color w:val="000000"/>
                <w:sz w:val="24"/>
              </w:rPr>
            </w:pPr>
            <w:bookmarkStart w:id="365" w:name="_Toc491724482"/>
            <w:r>
              <w:rPr>
                <w:rFonts w:hint="eastAsia" w:ascii="宋体" w:hAnsi="宋体"/>
                <w:color w:val="000000"/>
                <w:sz w:val="24"/>
              </w:rPr>
              <w:t>投标总价</w:t>
            </w:r>
            <w:bookmarkEnd w:id="365"/>
          </w:p>
          <w:p>
            <w:pPr>
              <w:spacing w:line="360" w:lineRule="auto"/>
              <w:jc w:val="center"/>
              <w:rPr>
                <w:rFonts w:ascii="宋体" w:hAnsi="宋体"/>
                <w:color w:val="000000"/>
                <w:sz w:val="24"/>
              </w:rPr>
            </w:pPr>
            <w:bookmarkStart w:id="366" w:name="_Toc491724483"/>
            <w:r>
              <w:rPr>
                <w:rFonts w:hint="eastAsia" w:ascii="宋体" w:hAnsi="宋体"/>
                <w:color w:val="000000"/>
                <w:sz w:val="24"/>
              </w:rPr>
              <w:t>（万元）</w:t>
            </w:r>
            <w:bookmarkEnd w:id="366"/>
          </w:p>
        </w:tc>
        <w:tc>
          <w:tcPr>
            <w:tcW w:w="460" w:type="pct"/>
            <w:noWrap/>
            <w:vAlign w:val="center"/>
          </w:tcPr>
          <w:p>
            <w:pPr>
              <w:spacing w:line="360" w:lineRule="auto"/>
              <w:jc w:val="center"/>
              <w:rPr>
                <w:rFonts w:ascii="宋体" w:hAnsi="宋体"/>
                <w:color w:val="000000"/>
                <w:sz w:val="24"/>
              </w:rPr>
            </w:pPr>
            <w:bookmarkStart w:id="367" w:name="_Toc491724484"/>
            <w:r>
              <w:rPr>
                <w:rFonts w:hint="eastAsia" w:ascii="宋体" w:hAnsi="宋体"/>
                <w:color w:val="000000"/>
                <w:sz w:val="24"/>
              </w:rPr>
              <w:t>交货</w:t>
            </w:r>
            <w:bookmarkEnd w:id="367"/>
          </w:p>
          <w:p>
            <w:pPr>
              <w:spacing w:line="360" w:lineRule="auto"/>
              <w:jc w:val="center"/>
              <w:rPr>
                <w:rFonts w:ascii="宋体" w:hAnsi="宋体"/>
                <w:color w:val="000000"/>
                <w:sz w:val="24"/>
              </w:rPr>
            </w:pPr>
            <w:bookmarkStart w:id="368" w:name="_Toc491724485"/>
            <w:r>
              <w:rPr>
                <w:rFonts w:hint="eastAsia" w:ascii="宋体" w:hAnsi="宋体"/>
                <w:color w:val="000000"/>
                <w:sz w:val="24"/>
              </w:rPr>
              <w:t>时间</w:t>
            </w:r>
            <w:bookmarkEnd w:id="368"/>
          </w:p>
        </w:tc>
        <w:tc>
          <w:tcPr>
            <w:tcW w:w="773" w:type="pct"/>
            <w:noWrap/>
            <w:vAlign w:val="center"/>
          </w:tcPr>
          <w:p>
            <w:pPr>
              <w:spacing w:line="360" w:lineRule="auto"/>
              <w:jc w:val="center"/>
              <w:rPr>
                <w:rFonts w:ascii="宋体" w:hAnsi="宋体"/>
                <w:color w:val="000000"/>
                <w:sz w:val="24"/>
              </w:rPr>
            </w:pPr>
            <w:bookmarkStart w:id="369" w:name="_Toc491724486"/>
            <w:r>
              <w:rPr>
                <w:rFonts w:hint="eastAsia" w:ascii="宋体" w:hAnsi="宋体"/>
                <w:color w:val="000000"/>
                <w:sz w:val="24"/>
              </w:rPr>
              <w:t>是否属于进口产品</w:t>
            </w:r>
            <w:bookmarkEnd w:id="369"/>
          </w:p>
        </w:tc>
        <w:tc>
          <w:tcPr>
            <w:tcW w:w="546" w:type="pct"/>
            <w:noWrap/>
            <w:vAlign w:val="center"/>
          </w:tcPr>
          <w:p>
            <w:pPr>
              <w:spacing w:line="360" w:lineRule="auto"/>
              <w:jc w:val="center"/>
              <w:rPr>
                <w:rFonts w:ascii="宋体" w:hAnsi="宋体"/>
                <w:color w:val="000000"/>
                <w:sz w:val="24"/>
              </w:rPr>
            </w:pPr>
            <w:r>
              <w:rPr>
                <w:rFonts w:hint="eastAsia" w:ascii="宋体" w:hAnsi="宋体"/>
                <w:color w:val="000000"/>
                <w:sz w:val="24"/>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6" w:type="pct"/>
            <w:noWrap/>
          </w:tcPr>
          <w:p>
            <w:pPr>
              <w:spacing w:line="360" w:lineRule="auto"/>
              <w:rPr>
                <w:rFonts w:ascii="宋体" w:hAnsi="宋体"/>
                <w:color w:val="000000"/>
                <w:sz w:val="24"/>
              </w:rPr>
            </w:pPr>
            <w:r>
              <w:rPr>
                <w:rFonts w:hint="eastAsia" w:ascii="宋体" w:hAnsi="宋体"/>
                <w:color w:val="000000"/>
                <w:sz w:val="24"/>
              </w:rPr>
              <w:t>1</w:t>
            </w:r>
          </w:p>
        </w:tc>
        <w:tc>
          <w:tcPr>
            <w:tcW w:w="417" w:type="pct"/>
            <w:noWrap/>
            <w:vAlign w:val="center"/>
          </w:tcPr>
          <w:p>
            <w:pPr>
              <w:spacing w:line="360" w:lineRule="auto"/>
              <w:rPr>
                <w:rFonts w:ascii="宋体" w:hAnsi="宋体"/>
                <w:color w:val="000000"/>
                <w:sz w:val="24"/>
              </w:rPr>
            </w:pPr>
          </w:p>
        </w:tc>
        <w:tc>
          <w:tcPr>
            <w:tcW w:w="616" w:type="pct"/>
            <w:noWrap/>
            <w:vAlign w:val="center"/>
          </w:tcPr>
          <w:p>
            <w:pPr>
              <w:spacing w:line="360" w:lineRule="auto"/>
              <w:rPr>
                <w:rFonts w:ascii="宋体" w:hAnsi="宋体"/>
                <w:color w:val="000000"/>
                <w:sz w:val="24"/>
              </w:rPr>
            </w:pPr>
          </w:p>
        </w:tc>
        <w:tc>
          <w:tcPr>
            <w:tcW w:w="464" w:type="pct"/>
            <w:noWrap/>
            <w:vAlign w:val="center"/>
          </w:tcPr>
          <w:p>
            <w:pPr>
              <w:spacing w:line="360" w:lineRule="auto"/>
              <w:rPr>
                <w:rFonts w:ascii="宋体" w:hAnsi="宋体"/>
                <w:color w:val="000000"/>
                <w:sz w:val="24"/>
              </w:rPr>
            </w:pPr>
          </w:p>
        </w:tc>
        <w:tc>
          <w:tcPr>
            <w:tcW w:w="693" w:type="pct"/>
            <w:noWrap/>
            <w:vAlign w:val="center"/>
          </w:tcPr>
          <w:p>
            <w:pPr>
              <w:spacing w:line="360" w:lineRule="auto"/>
              <w:rPr>
                <w:rFonts w:ascii="宋体" w:hAnsi="宋体"/>
                <w:color w:val="000000"/>
                <w:sz w:val="24"/>
              </w:rPr>
            </w:pPr>
          </w:p>
        </w:tc>
        <w:tc>
          <w:tcPr>
            <w:tcW w:w="695" w:type="pct"/>
            <w:noWrap/>
            <w:vAlign w:val="center"/>
          </w:tcPr>
          <w:p>
            <w:pPr>
              <w:spacing w:line="360" w:lineRule="auto"/>
              <w:rPr>
                <w:rFonts w:ascii="宋体" w:hAnsi="宋体"/>
                <w:color w:val="000000"/>
                <w:sz w:val="24"/>
              </w:rPr>
            </w:pPr>
          </w:p>
        </w:tc>
        <w:tc>
          <w:tcPr>
            <w:tcW w:w="460" w:type="pct"/>
            <w:noWrap/>
            <w:vAlign w:val="center"/>
          </w:tcPr>
          <w:p>
            <w:pPr>
              <w:spacing w:line="360" w:lineRule="auto"/>
              <w:rPr>
                <w:rFonts w:ascii="宋体" w:hAnsi="宋体"/>
                <w:color w:val="000000"/>
                <w:sz w:val="24"/>
              </w:rPr>
            </w:pPr>
          </w:p>
        </w:tc>
        <w:tc>
          <w:tcPr>
            <w:tcW w:w="773" w:type="pct"/>
            <w:noWrap/>
            <w:vAlign w:val="center"/>
          </w:tcPr>
          <w:p>
            <w:pPr>
              <w:spacing w:line="360" w:lineRule="auto"/>
              <w:rPr>
                <w:rFonts w:ascii="宋体" w:hAnsi="宋体"/>
                <w:color w:val="000000"/>
                <w:sz w:val="24"/>
              </w:rPr>
            </w:pPr>
          </w:p>
        </w:tc>
        <w:tc>
          <w:tcPr>
            <w:tcW w:w="546" w:type="pct"/>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6" w:type="pct"/>
            <w:noWrap/>
          </w:tcPr>
          <w:p>
            <w:pPr>
              <w:spacing w:line="360" w:lineRule="auto"/>
              <w:rPr>
                <w:rFonts w:ascii="宋体" w:hAnsi="宋体"/>
                <w:color w:val="000000"/>
                <w:sz w:val="24"/>
              </w:rPr>
            </w:pPr>
            <w:r>
              <w:rPr>
                <w:rFonts w:hint="eastAsia" w:ascii="宋体" w:hAnsi="宋体"/>
                <w:color w:val="000000"/>
                <w:sz w:val="24"/>
              </w:rPr>
              <w:t>2</w:t>
            </w:r>
          </w:p>
        </w:tc>
        <w:tc>
          <w:tcPr>
            <w:tcW w:w="417" w:type="pct"/>
            <w:noWrap/>
            <w:vAlign w:val="center"/>
          </w:tcPr>
          <w:p>
            <w:pPr>
              <w:spacing w:line="360" w:lineRule="auto"/>
              <w:rPr>
                <w:rFonts w:ascii="宋体" w:hAnsi="宋体"/>
                <w:color w:val="000000"/>
                <w:sz w:val="24"/>
              </w:rPr>
            </w:pPr>
          </w:p>
        </w:tc>
        <w:tc>
          <w:tcPr>
            <w:tcW w:w="616" w:type="pct"/>
            <w:noWrap/>
            <w:vAlign w:val="center"/>
          </w:tcPr>
          <w:p>
            <w:pPr>
              <w:spacing w:line="360" w:lineRule="auto"/>
              <w:rPr>
                <w:rFonts w:ascii="宋体" w:hAnsi="宋体"/>
                <w:color w:val="000000"/>
                <w:sz w:val="24"/>
              </w:rPr>
            </w:pPr>
          </w:p>
        </w:tc>
        <w:tc>
          <w:tcPr>
            <w:tcW w:w="464" w:type="pct"/>
            <w:noWrap/>
            <w:vAlign w:val="center"/>
          </w:tcPr>
          <w:p>
            <w:pPr>
              <w:spacing w:line="360" w:lineRule="auto"/>
              <w:rPr>
                <w:rFonts w:ascii="宋体" w:hAnsi="宋体"/>
                <w:color w:val="000000"/>
                <w:sz w:val="24"/>
              </w:rPr>
            </w:pPr>
          </w:p>
        </w:tc>
        <w:tc>
          <w:tcPr>
            <w:tcW w:w="693" w:type="pct"/>
            <w:noWrap/>
            <w:vAlign w:val="center"/>
          </w:tcPr>
          <w:p>
            <w:pPr>
              <w:spacing w:line="360" w:lineRule="auto"/>
              <w:rPr>
                <w:rFonts w:ascii="宋体" w:hAnsi="宋体"/>
                <w:color w:val="000000"/>
                <w:sz w:val="24"/>
              </w:rPr>
            </w:pPr>
          </w:p>
        </w:tc>
        <w:tc>
          <w:tcPr>
            <w:tcW w:w="695" w:type="pct"/>
            <w:noWrap/>
            <w:vAlign w:val="center"/>
          </w:tcPr>
          <w:p>
            <w:pPr>
              <w:spacing w:line="360" w:lineRule="auto"/>
              <w:rPr>
                <w:rFonts w:ascii="宋体" w:hAnsi="宋体"/>
                <w:color w:val="000000"/>
                <w:sz w:val="24"/>
              </w:rPr>
            </w:pPr>
          </w:p>
        </w:tc>
        <w:tc>
          <w:tcPr>
            <w:tcW w:w="460" w:type="pct"/>
            <w:noWrap/>
            <w:vAlign w:val="center"/>
          </w:tcPr>
          <w:p>
            <w:pPr>
              <w:spacing w:line="360" w:lineRule="auto"/>
              <w:rPr>
                <w:rFonts w:ascii="宋体" w:hAnsi="宋体"/>
                <w:color w:val="000000"/>
                <w:sz w:val="24"/>
              </w:rPr>
            </w:pPr>
          </w:p>
        </w:tc>
        <w:tc>
          <w:tcPr>
            <w:tcW w:w="773" w:type="pct"/>
            <w:noWrap/>
            <w:vAlign w:val="center"/>
          </w:tcPr>
          <w:p>
            <w:pPr>
              <w:spacing w:line="360" w:lineRule="auto"/>
              <w:rPr>
                <w:rFonts w:ascii="宋体" w:hAnsi="宋体"/>
                <w:color w:val="000000"/>
                <w:sz w:val="24"/>
              </w:rPr>
            </w:pPr>
          </w:p>
        </w:tc>
        <w:tc>
          <w:tcPr>
            <w:tcW w:w="546" w:type="pct"/>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6" w:type="pct"/>
            <w:tcBorders>
              <w:right w:val="single" w:color="auto" w:sz="4" w:space="0"/>
            </w:tcBorders>
            <w:noWrap/>
          </w:tcPr>
          <w:p>
            <w:pPr>
              <w:spacing w:line="360" w:lineRule="auto"/>
              <w:rPr>
                <w:rFonts w:ascii="宋体" w:hAnsi="宋体"/>
                <w:color w:val="000000"/>
                <w:sz w:val="24"/>
              </w:rPr>
            </w:pPr>
            <w:r>
              <w:rPr>
                <w:rFonts w:hint="eastAsia" w:ascii="宋体" w:hAnsi="宋体"/>
                <w:color w:val="000000"/>
                <w:sz w:val="24"/>
              </w:rPr>
              <w:t>...</w:t>
            </w:r>
          </w:p>
        </w:tc>
        <w:tc>
          <w:tcPr>
            <w:tcW w:w="417" w:type="pct"/>
            <w:tcBorders>
              <w:left w:val="single" w:color="auto" w:sz="4" w:space="0"/>
            </w:tcBorders>
            <w:noWrap/>
            <w:vAlign w:val="center"/>
          </w:tcPr>
          <w:p>
            <w:pPr>
              <w:spacing w:line="360" w:lineRule="auto"/>
              <w:rPr>
                <w:rFonts w:ascii="宋体" w:hAnsi="宋体"/>
                <w:color w:val="000000"/>
                <w:sz w:val="24"/>
              </w:rPr>
            </w:pPr>
          </w:p>
        </w:tc>
        <w:tc>
          <w:tcPr>
            <w:tcW w:w="616" w:type="pct"/>
            <w:noWrap/>
            <w:vAlign w:val="center"/>
          </w:tcPr>
          <w:p>
            <w:pPr>
              <w:spacing w:line="360" w:lineRule="auto"/>
              <w:rPr>
                <w:rFonts w:ascii="宋体" w:hAnsi="宋体"/>
                <w:color w:val="000000"/>
                <w:sz w:val="24"/>
              </w:rPr>
            </w:pPr>
          </w:p>
        </w:tc>
        <w:tc>
          <w:tcPr>
            <w:tcW w:w="464" w:type="pct"/>
            <w:noWrap/>
            <w:vAlign w:val="center"/>
          </w:tcPr>
          <w:p>
            <w:pPr>
              <w:spacing w:line="360" w:lineRule="auto"/>
              <w:rPr>
                <w:rFonts w:ascii="宋体" w:hAnsi="宋体"/>
                <w:color w:val="000000"/>
                <w:sz w:val="24"/>
              </w:rPr>
            </w:pPr>
          </w:p>
        </w:tc>
        <w:tc>
          <w:tcPr>
            <w:tcW w:w="693" w:type="pct"/>
            <w:noWrap/>
            <w:vAlign w:val="center"/>
          </w:tcPr>
          <w:p>
            <w:pPr>
              <w:spacing w:line="360" w:lineRule="auto"/>
              <w:rPr>
                <w:rFonts w:ascii="宋体" w:hAnsi="宋体"/>
                <w:color w:val="000000"/>
                <w:sz w:val="24"/>
              </w:rPr>
            </w:pPr>
          </w:p>
        </w:tc>
        <w:tc>
          <w:tcPr>
            <w:tcW w:w="695" w:type="pct"/>
            <w:noWrap/>
            <w:vAlign w:val="center"/>
          </w:tcPr>
          <w:p>
            <w:pPr>
              <w:spacing w:line="360" w:lineRule="auto"/>
              <w:rPr>
                <w:rFonts w:ascii="宋体" w:hAnsi="宋体"/>
                <w:color w:val="000000"/>
                <w:sz w:val="24"/>
              </w:rPr>
            </w:pPr>
          </w:p>
        </w:tc>
        <w:tc>
          <w:tcPr>
            <w:tcW w:w="460" w:type="pct"/>
            <w:noWrap/>
            <w:vAlign w:val="center"/>
          </w:tcPr>
          <w:p>
            <w:pPr>
              <w:spacing w:line="360" w:lineRule="auto"/>
              <w:rPr>
                <w:rFonts w:ascii="宋体" w:hAnsi="宋体"/>
                <w:color w:val="000000"/>
                <w:sz w:val="24"/>
              </w:rPr>
            </w:pPr>
          </w:p>
        </w:tc>
        <w:tc>
          <w:tcPr>
            <w:tcW w:w="773" w:type="pct"/>
            <w:noWrap/>
            <w:vAlign w:val="center"/>
          </w:tcPr>
          <w:p>
            <w:pPr>
              <w:spacing w:line="360" w:lineRule="auto"/>
              <w:rPr>
                <w:rFonts w:ascii="宋体" w:hAnsi="宋体"/>
                <w:color w:val="000000"/>
                <w:sz w:val="24"/>
              </w:rPr>
            </w:pPr>
          </w:p>
        </w:tc>
        <w:tc>
          <w:tcPr>
            <w:tcW w:w="546" w:type="pct"/>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000" w:type="pct"/>
            <w:gridSpan w:val="9"/>
            <w:noWrap/>
          </w:tcPr>
          <w:p>
            <w:pPr>
              <w:spacing w:line="360" w:lineRule="auto"/>
              <w:rPr>
                <w:rFonts w:ascii="宋体" w:hAnsi="宋体"/>
                <w:color w:val="000000"/>
                <w:sz w:val="24"/>
              </w:rPr>
            </w:pPr>
            <w:r>
              <w:rPr>
                <w:rFonts w:hint="eastAsia" w:ascii="宋体" w:hAnsi="宋体"/>
                <w:color w:val="000000"/>
                <w:sz w:val="24"/>
              </w:rPr>
              <w:t>报价合计（万元）：</w:t>
            </w:r>
          </w:p>
          <w:p>
            <w:pPr>
              <w:spacing w:line="360" w:lineRule="auto"/>
              <w:rPr>
                <w:rFonts w:ascii="宋体" w:hAnsi="宋体"/>
                <w:color w:val="000000"/>
                <w:sz w:val="24"/>
              </w:rPr>
            </w:pPr>
            <w:r>
              <w:rPr>
                <w:rFonts w:hint="eastAsia" w:ascii="宋体" w:hAnsi="宋体"/>
                <w:color w:val="000000"/>
                <w:sz w:val="24"/>
              </w:rPr>
              <w:t>大写：</w:t>
            </w:r>
          </w:p>
        </w:tc>
      </w:tr>
    </w:tbl>
    <w:p>
      <w:pPr>
        <w:spacing w:line="360" w:lineRule="auto"/>
        <w:rPr>
          <w:rFonts w:ascii="宋体" w:hAnsi="宋体"/>
          <w:color w:val="000000"/>
          <w:sz w:val="24"/>
        </w:rPr>
      </w:pPr>
      <w:bookmarkStart w:id="370" w:name="_Toc491724489"/>
    </w:p>
    <w:p>
      <w:pPr>
        <w:spacing w:line="360" w:lineRule="auto"/>
        <w:rPr>
          <w:rFonts w:ascii="宋体" w:hAnsi="宋体"/>
          <w:color w:val="000000"/>
          <w:sz w:val="24"/>
        </w:rPr>
      </w:pPr>
      <w:r>
        <w:rPr>
          <w:rFonts w:hint="eastAsia" w:ascii="宋体" w:hAnsi="宋体"/>
          <w:color w:val="000000"/>
          <w:sz w:val="24"/>
        </w:rPr>
        <w:t>注：</w:t>
      </w:r>
    </w:p>
    <w:p>
      <w:pPr>
        <w:spacing w:line="360" w:lineRule="auto"/>
        <w:rPr>
          <w:rFonts w:ascii="宋体" w:hAnsi="宋体"/>
          <w:color w:val="FF0000"/>
          <w:sz w:val="24"/>
        </w:rPr>
      </w:pPr>
      <w:r>
        <w:rPr>
          <w:rFonts w:hint="eastAsia" w:ascii="宋体" w:hAnsi="宋体"/>
          <w:color w:val="000000"/>
          <w:sz w:val="24"/>
        </w:rPr>
        <w:t>1. 报价应是最终用户验收合格后的总价，包括货物及其运输、保险、代理、安装调试、培训、税费、系统集成费用和招标文件规定的其它费用。</w:t>
      </w:r>
      <w:bookmarkEnd w:id="370"/>
      <w:bookmarkStart w:id="371" w:name="_Toc491724490"/>
    </w:p>
    <w:p>
      <w:pPr>
        <w:spacing w:line="360" w:lineRule="auto"/>
        <w:rPr>
          <w:rFonts w:ascii="宋体" w:hAnsi="宋体"/>
          <w:color w:val="000000"/>
          <w:sz w:val="24"/>
        </w:rPr>
      </w:pPr>
      <w:r>
        <w:rPr>
          <w:rFonts w:hint="eastAsia" w:ascii="宋体" w:hAnsi="宋体"/>
          <w:color w:val="000000"/>
          <w:sz w:val="24"/>
        </w:rPr>
        <w:t>2.“开标一览表”为多页的，每页均需由法定代表人或授权代表签字并盖投标人印章。</w:t>
      </w:r>
      <w:bookmarkEnd w:id="371"/>
    </w:p>
    <w:p>
      <w:pPr>
        <w:spacing w:line="360" w:lineRule="auto"/>
        <w:rPr>
          <w:rFonts w:ascii="宋体" w:hAnsi="宋体"/>
          <w:b/>
          <w:bCs/>
          <w:color w:val="000000"/>
          <w:sz w:val="24"/>
        </w:rPr>
      </w:pPr>
      <w:r>
        <w:rPr>
          <w:rFonts w:hint="eastAsia" w:ascii="宋体" w:hAnsi="宋体"/>
          <w:b/>
          <w:bCs/>
          <w:color w:val="000000"/>
          <w:sz w:val="24"/>
        </w:rPr>
        <w:t>3. 供应商应根据采购清单按开标一览表格式要求详细填写各项内容。</w:t>
      </w:r>
    </w:p>
    <w:p>
      <w:pPr>
        <w:spacing w:line="360" w:lineRule="auto"/>
        <w:rPr>
          <w:rFonts w:ascii="宋体" w:hAnsi="宋体"/>
          <w:b/>
          <w:bCs/>
          <w:color w:val="000000"/>
          <w:sz w:val="24"/>
          <w:highlight w:val="yellow"/>
        </w:rPr>
      </w:pPr>
    </w:p>
    <w:p>
      <w:pPr>
        <w:spacing w:line="360" w:lineRule="auto"/>
        <w:rPr>
          <w:rFonts w:ascii="宋体" w:hAnsi="宋体"/>
          <w:b/>
          <w:bCs/>
          <w:color w:val="000000"/>
          <w:sz w:val="24"/>
          <w:highlight w:val="yellow"/>
        </w:rPr>
      </w:pPr>
    </w:p>
    <w:p>
      <w:pPr>
        <w:spacing w:line="360" w:lineRule="auto"/>
        <w:rPr>
          <w:rFonts w:ascii="宋体" w:hAnsi="宋体"/>
          <w:color w:val="000000"/>
          <w:sz w:val="24"/>
        </w:rPr>
      </w:pPr>
      <w:bookmarkStart w:id="372" w:name="_Toc491724492"/>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372"/>
    </w:p>
    <w:p>
      <w:pPr>
        <w:spacing w:line="360" w:lineRule="auto"/>
        <w:rPr>
          <w:rFonts w:ascii="宋体" w:hAnsi="宋体"/>
          <w:color w:val="000000"/>
          <w:sz w:val="24"/>
        </w:rPr>
      </w:pPr>
      <w:bookmarkStart w:id="373" w:name="_Toc491724493"/>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373"/>
    </w:p>
    <w:p>
      <w:pPr>
        <w:spacing w:line="360" w:lineRule="auto"/>
        <w:rPr>
          <w:rFonts w:ascii="宋体" w:hAnsi="宋体"/>
          <w:color w:val="000000"/>
          <w:sz w:val="24"/>
        </w:rPr>
      </w:pPr>
      <w:bookmarkStart w:id="374" w:name="_Toc491724494"/>
      <w:r>
        <w:rPr>
          <w:rFonts w:hint="eastAsia" w:ascii="宋体" w:hAnsi="宋体"/>
          <w:color w:val="000000"/>
          <w:sz w:val="24"/>
        </w:rPr>
        <w:t>日期：XXXX。</w:t>
      </w:r>
      <w:bookmarkEnd w:id="374"/>
    </w:p>
    <w:p>
      <w:pPr>
        <w:spacing w:line="360" w:lineRule="auto"/>
        <w:rPr>
          <w:rFonts w:ascii="宋体" w:hAnsi="宋体"/>
          <w:color w:val="FF0000"/>
          <w:sz w:val="24"/>
        </w:rPr>
      </w:pPr>
    </w:p>
    <w:p/>
    <w:p/>
    <w:p>
      <w:pPr>
        <w:widowControl/>
        <w:jc w:val="left"/>
        <w:rPr>
          <w:rFonts w:ascii="宋体" w:hAnsi="宋体"/>
          <w:b/>
          <w:bCs/>
          <w:color w:val="000000"/>
          <w:sz w:val="24"/>
          <w:szCs w:val="32"/>
        </w:rPr>
      </w:pPr>
      <w:bookmarkStart w:id="375" w:name="_Toc25480"/>
      <w:bookmarkStart w:id="376" w:name="_Toc217446086"/>
      <w:bookmarkStart w:id="377" w:name="_Toc6308715"/>
      <w:bookmarkStart w:id="378" w:name="_Toc69141835"/>
      <w:bookmarkStart w:id="379" w:name="_Toc6308543"/>
      <w:r>
        <w:rPr>
          <w:rFonts w:ascii="宋体" w:hAnsi="宋体"/>
          <w:color w:val="000000"/>
          <w:sz w:val="24"/>
        </w:rPr>
        <w:br w:type="page"/>
      </w:r>
    </w:p>
    <w:p>
      <w:pPr>
        <w:pStyle w:val="5"/>
        <w:spacing w:line="400" w:lineRule="exact"/>
        <w:ind w:firstLine="482" w:firstLineChars="200"/>
        <w:jc w:val="center"/>
        <w:rPr>
          <w:rFonts w:ascii="宋体" w:hAnsi="宋体"/>
          <w:color w:val="000000"/>
          <w:sz w:val="24"/>
        </w:rPr>
      </w:pPr>
      <w:r>
        <w:rPr>
          <w:rFonts w:hint="eastAsia" w:ascii="宋体" w:hAnsi="宋体"/>
          <w:color w:val="000000"/>
          <w:sz w:val="24"/>
        </w:rPr>
        <w:t>12.分项报价明细表</w:t>
      </w:r>
      <w:bookmarkEnd w:id="375"/>
      <w:bookmarkEnd w:id="376"/>
      <w:bookmarkEnd w:id="377"/>
      <w:bookmarkEnd w:id="378"/>
      <w:bookmarkEnd w:id="379"/>
    </w:p>
    <w:p>
      <w:pPr>
        <w:spacing w:line="360" w:lineRule="auto"/>
        <w:rPr>
          <w:rFonts w:ascii="宋体" w:hAnsi="宋体"/>
          <w:color w:val="000000"/>
          <w:sz w:val="24"/>
        </w:rPr>
      </w:pPr>
      <w:bookmarkStart w:id="380" w:name="_Toc491724496"/>
      <w:r>
        <w:rPr>
          <w:rFonts w:hint="eastAsia" w:ascii="宋体" w:hAnsi="宋体"/>
          <w:color w:val="000000"/>
          <w:sz w:val="24"/>
        </w:rPr>
        <w:t xml:space="preserve">招标编号：   </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2395"/>
        <w:gridCol w:w="1416"/>
        <w:gridCol w:w="696"/>
        <w:gridCol w:w="141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序号</w:t>
            </w:r>
          </w:p>
        </w:tc>
        <w:tc>
          <w:tcPr>
            <w:tcW w:w="512" w:type="pct"/>
            <w:noWrap/>
            <w:vAlign w:val="center"/>
          </w:tcPr>
          <w:p>
            <w:pPr>
              <w:jc w:val="center"/>
              <w:rPr>
                <w:rFonts w:ascii="宋体" w:hAnsi="宋体"/>
                <w:color w:val="000000"/>
                <w:sz w:val="24"/>
              </w:rPr>
            </w:pPr>
            <w:r>
              <w:rPr>
                <w:rFonts w:hint="eastAsia" w:ascii="宋体" w:hAnsi="宋体"/>
                <w:color w:val="000000"/>
                <w:sz w:val="24"/>
              </w:rPr>
              <w:t>产品名称</w:t>
            </w:r>
          </w:p>
        </w:tc>
        <w:tc>
          <w:tcPr>
            <w:tcW w:w="1519" w:type="pct"/>
            <w:noWrap/>
            <w:vAlign w:val="center"/>
          </w:tcPr>
          <w:p>
            <w:pPr>
              <w:jc w:val="center"/>
              <w:rPr>
                <w:rFonts w:ascii="宋体" w:hAnsi="宋体"/>
                <w:color w:val="000000"/>
                <w:sz w:val="24"/>
              </w:rPr>
            </w:pPr>
            <w:r>
              <w:rPr>
                <w:rFonts w:hint="eastAsia" w:ascii="宋体" w:hAnsi="宋体"/>
                <w:color w:val="000000"/>
                <w:sz w:val="24"/>
              </w:rPr>
              <w:t>分项内容</w:t>
            </w:r>
          </w:p>
        </w:tc>
        <w:tc>
          <w:tcPr>
            <w:tcW w:w="486" w:type="pct"/>
            <w:noWrap/>
            <w:vAlign w:val="center"/>
          </w:tcPr>
          <w:p>
            <w:pPr>
              <w:jc w:val="center"/>
              <w:rPr>
                <w:rFonts w:ascii="宋体" w:hAnsi="宋体"/>
                <w:color w:val="000000"/>
                <w:sz w:val="24"/>
              </w:rPr>
            </w:pPr>
            <w:r>
              <w:rPr>
                <w:rFonts w:hint="eastAsia" w:ascii="宋体" w:hAnsi="宋体"/>
                <w:color w:val="000000"/>
                <w:sz w:val="24"/>
              </w:rPr>
              <w:t>型号和规格</w:t>
            </w:r>
          </w:p>
        </w:tc>
        <w:tc>
          <w:tcPr>
            <w:tcW w:w="323" w:type="pct"/>
            <w:noWrap/>
            <w:vAlign w:val="center"/>
          </w:tcPr>
          <w:p>
            <w:pPr>
              <w:jc w:val="center"/>
              <w:rPr>
                <w:rFonts w:ascii="宋体" w:hAnsi="宋体"/>
                <w:color w:val="000000"/>
                <w:sz w:val="24"/>
              </w:rPr>
            </w:pPr>
            <w:r>
              <w:rPr>
                <w:rFonts w:hint="eastAsia" w:ascii="宋体" w:hAnsi="宋体"/>
                <w:color w:val="000000"/>
                <w:sz w:val="24"/>
              </w:rPr>
              <w:t>数量</w:t>
            </w:r>
          </w:p>
        </w:tc>
        <w:tc>
          <w:tcPr>
            <w:tcW w:w="709" w:type="pct"/>
            <w:noWrap/>
            <w:vAlign w:val="center"/>
          </w:tcPr>
          <w:p>
            <w:pPr>
              <w:jc w:val="center"/>
              <w:rPr>
                <w:rFonts w:ascii="宋体" w:hAnsi="宋体"/>
                <w:color w:val="000000"/>
                <w:sz w:val="24"/>
              </w:rPr>
            </w:pPr>
            <w:r>
              <w:rPr>
                <w:rFonts w:hint="eastAsia" w:ascii="宋体" w:hAnsi="宋体"/>
                <w:color w:val="000000"/>
                <w:sz w:val="24"/>
              </w:rPr>
              <w:t>原产地和</w:t>
            </w:r>
          </w:p>
          <w:p>
            <w:pPr>
              <w:jc w:val="center"/>
              <w:rPr>
                <w:rFonts w:ascii="宋体" w:hAnsi="宋体"/>
                <w:color w:val="000000"/>
                <w:sz w:val="24"/>
              </w:rPr>
            </w:pPr>
            <w:r>
              <w:rPr>
                <w:rFonts w:hint="eastAsia" w:ascii="宋体" w:hAnsi="宋体"/>
                <w:color w:val="000000"/>
                <w:sz w:val="24"/>
              </w:rPr>
              <w:t>制造商名称</w:t>
            </w:r>
          </w:p>
        </w:tc>
        <w:tc>
          <w:tcPr>
            <w:tcW w:w="572" w:type="pct"/>
            <w:noWrap/>
            <w:vAlign w:val="center"/>
          </w:tcPr>
          <w:p>
            <w:pPr>
              <w:jc w:val="center"/>
              <w:rPr>
                <w:rFonts w:ascii="宋体" w:hAnsi="宋体"/>
                <w:color w:val="000000"/>
                <w:sz w:val="24"/>
              </w:rPr>
            </w:pPr>
            <w:r>
              <w:rPr>
                <w:rFonts w:hint="eastAsia" w:ascii="宋体" w:hAnsi="宋体"/>
                <w:color w:val="000000"/>
                <w:sz w:val="24"/>
              </w:rPr>
              <w:t>单价</w:t>
            </w:r>
          </w:p>
        </w:tc>
        <w:tc>
          <w:tcPr>
            <w:tcW w:w="529" w:type="pct"/>
            <w:noWrap/>
            <w:vAlign w:val="center"/>
          </w:tcPr>
          <w:p>
            <w:pPr>
              <w:widowControl/>
              <w:jc w:val="center"/>
              <w:rPr>
                <w:rFonts w:ascii="宋体" w:hAnsi="宋体"/>
                <w:color w:val="000000"/>
                <w:sz w:val="24"/>
              </w:rPr>
            </w:pPr>
            <w:r>
              <w:rPr>
                <w:rFonts w:hint="eastAsia" w:ascii="宋体" w:hAnsi="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1</w:t>
            </w:r>
          </w:p>
        </w:tc>
        <w:tc>
          <w:tcPr>
            <w:tcW w:w="512" w:type="pct"/>
            <w:vMerge w:val="restart"/>
            <w:noWrap/>
            <w:vAlign w:val="center"/>
          </w:tcPr>
          <w:p>
            <w:pPr>
              <w:jc w:val="center"/>
              <w:rPr>
                <w:rFonts w:ascii="宋体" w:hAnsi="宋体"/>
                <w:color w:val="000000"/>
                <w:sz w:val="24"/>
              </w:rPr>
            </w:pPr>
            <w:r>
              <w:rPr>
                <w:rFonts w:hint="eastAsia" w:ascii="宋体" w:hAnsi="宋体"/>
                <w:color w:val="000000"/>
                <w:sz w:val="24"/>
              </w:rPr>
              <w:t xml:space="preserve">品目1 </w:t>
            </w:r>
          </w:p>
        </w:tc>
        <w:tc>
          <w:tcPr>
            <w:tcW w:w="1519" w:type="pct"/>
            <w:noWrap/>
            <w:vAlign w:val="center"/>
          </w:tcPr>
          <w:p>
            <w:pPr>
              <w:jc w:val="center"/>
              <w:rPr>
                <w:rFonts w:ascii="宋体" w:hAnsi="宋体"/>
                <w:color w:val="000000"/>
                <w:sz w:val="24"/>
              </w:rPr>
            </w:pPr>
          </w:p>
        </w:tc>
        <w:tc>
          <w:tcPr>
            <w:tcW w:w="486" w:type="pct"/>
            <w:noWrap/>
            <w:vAlign w:val="center"/>
          </w:tcPr>
          <w:p>
            <w:pPr>
              <w:jc w:val="center"/>
              <w:rPr>
                <w:rFonts w:ascii="宋体" w:hAnsi="宋体"/>
                <w:color w:val="000000"/>
                <w:sz w:val="24"/>
              </w:rPr>
            </w:pPr>
          </w:p>
        </w:tc>
        <w:tc>
          <w:tcPr>
            <w:tcW w:w="323" w:type="pct"/>
            <w:noWrap/>
            <w:vAlign w:val="center"/>
          </w:tcPr>
          <w:p>
            <w:pPr>
              <w:jc w:val="center"/>
              <w:rPr>
                <w:rFonts w:ascii="宋体" w:hAnsi="宋体"/>
                <w:color w:val="000000"/>
                <w:sz w:val="24"/>
              </w:rPr>
            </w:pPr>
          </w:p>
        </w:tc>
        <w:tc>
          <w:tcPr>
            <w:tcW w:w="709" w:type="pct"/>
            <w:noWrap/>
            <w:vAlign w:val="center"/>
          </w:tcPr>
          <w:p>
            <w:pPr>
              <w:jc w:val="center"/>
              <w:rPr>
                <w:rFonts w:ascii="宋体" w:hAnsi="宋体"/>
                <w:color w:val="000000"/>
                <w:sz w:val="24"/>
              </w:rPr>
            </w:pPr>
          </w:p>
        </w:tc>
        <w:tc>
          <w:tcPr>
            <w:tcW w:w="572" w:type="pct"/>
            <w:noWrap/>
            <w:vAlign w:val="center"/>
          </w:tcPr>
          <w:p>
            <w:pPr>
              <w:jc w:val="center"/>
              <w:rPr>
                <w:rFonts w:ascii="宋体" w:hAnsi="宋体"/>
                <w:color w:val="000000"/>
                <w:sz w:val="24"/>
              </w:rPr>
            </w:pPr>
          </w:p>
        </w:tc>
        <w:tc>
          <w:tcPr>
            <w:tcW w:w="529" w:type="pct"/>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2</w:t>
            </w:r>
          </w:p>
        </w:tc>
        <w:tc>
          <w:tcPr>
            <w:tcW w:w="512" w:type="pct"/>
            <w:vMerge w:val="continue"/>
            <w:noWrap/>
            <w:vAlign w:val="center"/>
          </w:tcPr>
          <w:p>
            <w:pPr>
              <w:jc w:val="center"/>
              <w:rPr>
                <w:rFonts w:ascii="宋体" w:hAnsi="宋体"/>
                <w:color w:val="000000"/>
                <w:sz w:val="24"/>
              </w:rPr>
            </w:pPr>
          </w:p>
        </w:tc>
        <w:tc>
          <w:tcPr>
            <w:tcW w:w="1519" w:type="pct"/>
            <w:noWrap/>
            <w:vAlign w:val="center"/>
          </w:tcPr>
          <w:p>
            <w:pPr>
              <w:jc w:val="center"/>
              <w:rPr>
                <w:rFonts w:ascii="宋体" w:hAnsi="宋体"/>
                <w:color w:val="000000"/>
                <w:sz w:val="24"/>
              </w:rPr>
            </w:pPr>
          </w:p>
        </w:tc>
        <w:tc>
          <w:tcPr>
            <w:tcW w:w="486" w:type="pct"/>
            <w:noWrap/>
            <w:vAlign w:val="center"/>
          </w:tcPr>
          <w:p>
            <w:pPr>
              <w:jc w:val="center"/>
              <w:rPr>
                <w:rFonts w:ascii="宋体" w:hAnsi="宋体"/>
                <w:color w:val="000000"/>
                <w:sz w:val="24"/>
              </w:rPr>
            </w:pPr>
          </w:p>
        </w:tc>
        <w:tc>
          <w:tcPr>
            <w:tcW w:w="323" w:type="pct"/>
            <w:noWrap/>
            <w:vAlign w:val="center"/>
          </w:tcPr>
          <w:p>
            <w:pPr>
              <w:jc w:val="center"/>
              <w:rPr>
                <w:rFonts w:ascii="宋体" w:hAnsi="宋体"/>
                <w:color w:val="000000"/>
                <w:sz w:val="24"/>
              </w:rPr>
            </w:pPr>
          </w:p>
        </w:tc>
        <w:tc>
          <w:tcPr>
            <w:tcW w:w="709" w:type="pct"/>
            <w:noWrap/>
            <w:vAlign w:val="center"/>
          </w:tcPr>
          <w:p>
            <w:pPr>
              <w:jc w:val="center"/>
              <w:rPr>
                <w:rFonts w:ascii="宋体" w:hAnsi="宋体"/>
                <w:color w:val="000000"/>
                <w:sz w:val="24"/>
              </w:rPr>
            </w:pPr>
          </w:p>
        </w:tc>
        <w:tc>
          <w:tcPr>
            <w:tcW w:w="572" w:type="pct"/>
            <w:noWrap/>
            <w:vAlign w:val="center"/>
          </w:tcPr>
          <w:p>
            <w:pPr>
              <w:jc w:val="center"/>
              <w:rPr>
                <w:rFonts w:ascii="宋体" w:hAnsi="宋体"/>
                <w:color w:val="000000"/>
                <w:sz w:val="24"/>
              </w:rPr>
            </w:pPr>
          </w:p>
        </w:tc>
        <w:tc>
          <w:tcPr>
            <w:tcW w:w="529" w:type="pct"/>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3</w:t>
            </w:r>
          </w:p>
        </w:tc>
        <w:tc>
          <w:tcPr>
            <w:tcW w:w="512" w:type="pct"/>
            <w:vMerge w:val="continue"/>
            <w:noWrap/>
            <w:vAlign w:val="center"/>
          </w:tcPr>
          <w:p>
            <w:pPr>
              <w:jc w:val="center"/>
              <w:rPr>
                <w:rFonts w:ascii="宋体" w:hAnsi="宋体"/>
                <w:color w:val="000000"/>
                <w:sz w:val="24"/>
              </w:rPr>
            </w:pPr>
          </w:p>
        </w:tc>
        <w:tc>
          <w:tcPr>
            <w:tcW w:w="1519" w:type="pct"/>
            <w:noWrap/>
            <w:vAlign w:val="center"/>
          </w:tcPr>
          <w:p>
            <w:pPr>
              <w:jc w:val="center"/>
              <w:rPr>
                <w:rFonts w:ascii="宋体" w:hAnsi="宋体"/>
                <w:color w:val="000000"/>
                <w:sz w:val="24"/>
              </w:rPr>
            </w:pPr>
          </w:p>
        </w:tc>
        <w:tc>
          <w:tcPr>
            <w:tcW w:w="486" w:type="pct"/>
            <w:noWrap/>
            <w:vAlign w:val="center"/>
          </w:tcPr>
          <w:p>
            <w:pPr>
              <w:jc w:val="center"/>
              <w:rPr>
                <w:rFonts w:ascii="宋体" w:hAnsi="宋体"/>
                <w:color w:val="000000"/>
                <w:sz w:val="24"/>
              </w:rPr>
            </w:pPr>
          </w:p>
        </w:tc>
        <w:tc>
          <w:tcPr>
            <w:tcW w:w="323" w:type="pct"/>
            <w:noWrap/>
            <w:vAlign w:val="center"/>
          </w:tcPr>
          <w:p>
            <w:pPr>
              <w:jc w:val="center"/>
              <w:rPr>
                <w:rFonts w:ascii="宋体" w:hAnsi="宋体"/>
                <w:color w:val="000000"/>
                <w:sz w:val="24"/>
              </w:rPr>
            </w:pPr>
          </w:p>
        </w:tc>
        <w:tc>
          <w:tcPr>
            <w:tcW w:w="709" w:type="pct"/>
            <w:noWrap/>
            <w:vAlign w:val="center"/>
          </w:tcPr>
          <w:p>
            <w:pPr>
              <w:jc w:val="center"/>
              <w:rPr>
                <w:rFonts w:ascii="宋体" w:hAnsi="宋体"/>
                <w:color w:val="000000"/>
                <w:sz w:val="24"/>
              </w:rPr>
            </w:pPr>
          </w:p>
        </w:tc>
        <w:tc>
          <w:tcPr>
            <w:tcW w:w="572" w:type="pct"/>
            <w:noWrap/>
            <w:vAlign w:val="center"/>
          </w:tcPr>
          <w:p>
            <w:pPr>
              <w:jc w:val="center"/>
              <w:rPr>
                <w:rFonts w:ascii="宋体" w:hAnsi="宋体"/>
                <w:color w:val="000000"/>
                <w:sz w:val="24"/>
              </w:rPr>
            </w:pPr>
          </w:p>
        </w:tc>
        <w:tc>
          <w:tcPr>
            <w:tcW w:w="529" w:type="pct"/>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w:t>
            </w:r>
          </w:p>
        </w:tc>
        <w:tc>
          <w:tcPr>
            <w:tcW w:w="512" w:type="pct"/>
            <w:noWrap/>
            <w:vAlign w:val="center"/>
          </w:tcPr>
          <w:p>
            <w:pPr>
              <w:jc w:val="center"/>
              <w:rPr>
                <w:rFonts w:ascii="宋体" w:hAnsi="宋体"/>
                <w:color w:val="000000"/>
                <w:sz w:val="24"/>
              </w:rPr>
            </w:pPr>
          </w:p>
        </w:tc>
        <w:tc>
          <w:tcPr>
            <w:tcW w:w="1519" w:type="pct"/>
            <w:noWrap/>
            <w:vAlign w:val="center"/>
          </w:tcPr>
          <w:p>
            <w:pPr>
              <w:jc w:val="center"/>
              <w:rPr>
                <w:rFonts w:ascii="宋体" w:hAnsi="宋体"/>
                <w:color w:val="000000"/>
                <w:sz w:val="24"/>
              </w:rPr>
            </w:pPr>
            <w:r>
              <w:rPr>
                <w:rFonts w:hint="eastAsia" w:ascii="宋体" w:hAnsi="宋体"/>
                <w:color w:val="000000"/>
                <w:sz w:val="24"/>
              </w:rPr>
              <w:t>...</w:t>
            </w:r>
          </w:p>
        </w:tc>
        <w:tc>
          <w:tcPr>
            <w:tcW w:w="486" w:type="pct"/>
            <w:noWrap/>
            <w:vAlign w:val="center"/>
          </w:tcPr>
          <w:p>
            <w:pPr>
              <w:jc w:val="center"/>
              <w:rPr>
                <w:rFonts w:ascii="宋体" w:hAnsi="宋体"/>
                <w:color w:val="000000"/>
                <w:sz w:val="24"/>
              </w:rPr>
            </w:pPr>
          </w:p>
        </w:tc>
        <w:tc>
          <w:tcPr>
            <w:tcW w:w="323" w:type="pct"/>
            <w:noWrap/>
            <w:vAlign w:val="center"/>
          </w:tcPr>
          <w:p>
            <w:pPr>
              <w:jc w:val="center"/>
              <w:rPr>
                <w:rFonts w:ascii="宋体" w:hAnsi="宋体"/>
                <w:color w:val="000000"/>
                <w:sz w:val="24"/>
              </w:rPr>
            </w:pPr>
          </w:p>
        </w:tc>
        <w:tc>
          <w:tcPr>
            <w:tcW w:w="709" w:type="pct"/>
            <w:noWrap/>
            <w:vAlign w:val="center"/>
          </w:tcPr>
          <w:p>
            <w:pPr>
              <w:jc w:val="center"/>
              <w:rPr>
                <w:rFonts w:ascii="宋体" w:hAnsi="宋体"/>
                <w:color w:val="000000"/>
                <w:sz w:val="24"/>
              </w:rPr>
            </w:pPr>
          </w:p>
        </w:tc>
        <w:tc>
          <w:tcPr>
            <w:tcW w:w="572" w:type="pct"/>
            <w:noWrap/>
            <w:vAlign w:val="center"/>
          </w:tcPr>
          <w:p>
            <w:pPr>
              <w:jc w:val="center"/>
              <w:rPr>
                <w:rFonts w:ascii="宋体" w:hAnsi="宋体"/>
                <w:color w:val="000000"/>
                <w:sz w:val="24"/>
              </w:rPr>
            </w:pPr>
          </w:p>
        </w:tc>
        <w:tc>
          <w:tcPr>
            <w:tcW w:w="529" w:type="pct"/>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000" w:type="pct"/>
            <w:gridSpan w:val="8"/>
            <w:noWrap/>
            <w:vAlign w:val="center"/>
          </w:tcPr>
          <w:p>
            <w:pPr>
              <w:jc w:val="left"/>
              <w:rPr>
                <w:rFonts w:ascii="宋体" w:hAnsi="宋体"/>
                <w:color w:val="000000"/>
                <w:sz w:val="24"/>
              </w:rPr>
            </w:pPr>
            <w:r>
              <w:rPr>
                <w:rFonts w:hint="eastAsia" w:ascii="宋体" w:hAnsi="宋体"/>
                <w:color w:val="000000"/>
                <w:sz w:val="24"/>
              </w:rPr>
              <w:t>总计</w:t>
            </w:r>
          </w:p>
        </w:tc>
      </w:tr>
      <w:bookmarkEnd w:id="380"/>
    </w:tbl>
    <w:p>
      <w:pPr>
        <w:spacing w:line="360" w:lineRule="auto"/>
        <w:rPr>
          <w:rFonts w:ascii="宋体" w:hAnsi="宋体"/>
          <w:color w:val="000000"/>
          <w:sz w:val="24"/>
        </w:rPr>
      </w:pPr>
    </w:p>
    <w:p>
      <w:pPr>
        <w:spacing w:line="360" w:lineRule="auto"/>
        <w:rPr>
          <w:rFonts w:ascii="宋体" w:hAnsi="宋体"/>
          <w:color w:val="000000"/>
          <w:sz w:val="24"/>
        </w:rPr>
      </w:pPr>
      <w:bookmarkStart w:id="381" w:name="_Toc491724507"/>
      <w:r>
        <w:rPr>
          <w:rFonts w:hint="eastAsia" w:ascii="宋体" w:hAnsi="宋体"/>
          <w:color w:val="000000"/>
          <w:sz w:val="24"/>
        </w:rPr>
        <w:t>注：</w:t>
      </w:r>
    </w:p>
    <w:p>
      <w:pPr>
        <w:numPr>
          <w:ilvl w:val="0"/>
          <w:numId w:val="7"/>
        </w:numPr>
        <w:spacing w:line="360" w:lineRule="auto"/>
        <w:rPr>
          <w:rFonts w:ascii="宋体" w:hAnsi="宋体"/>
          <w:color w:val="000000"/>
          <w:sz w:val="24"/>
        </w:rPr>
      </w:pPr>
      <w:r>
        <w:rPr>
          <w:rFonts w:hint="eastAsia" w:ascii="宋体" w:hAnsi="宋体"/>
          <w:color w:val="000000"/>
          <w:sz w:val="24"/>
        </w:rPr>
        <w:t>投标人按“分项报价明细表”的格式详细报出投标总价的各个组成部分的报价。</w:t>
      </w:r>
      <w:bookmarkEnd w:id="381"/>
      <w:bookmarkStart w:id="382" w:name="_Toc491724508"/>
      <w:r>
        <w:rPr>
          <w:rFonts w:hint="eastAsia" w:ascii="宋体" w:hAnsi="宋体"/>
          <w:color w:val="000000"/>
          <w:sz w:val="24"/>
        </w:rPr>
        <w:t>投标人可根据实际情况增加或修改表格内容。</w:t>
      </w:r>
    </w:p>
    <w:bookmarkEnd w:id="382"/>
    <w:p>
      <w:pPr>
        <w:numPr>
          <w:ilvl w:val="0"/>
          <w:numId w:val="7"/>
        </w:numPr>
        <w:spacing w:line="360" w:lineRule="auto"/>
        <w:rPr>
          <w:rFonts w:ascii="宋体" w:hAnsi="宋体"/>
          <w:color w:val="000000"/>
          <w:sz w:val="24"/>
        </w:rPr>
      </w:pPr>
      <w:bookmarkStart w:id="383" w:name="_Toc491724509"/>
      <w:r>
        <w:rPr>
          <w:rFonts w:hint="eastAsia" w:ascii="宋体" w:hAnsi="宋体"/>
          <w:color w:val="000000"/>
          <w:sz w:val="24"/>
        </w:rPr>
        <w:t>“分项报价明细表”汇总金额应与开标一览表总价一致。</w:t>
      </w:r>
    </w:p>
    <w:p>
      <w:pPr>
        <w:numPr>
          <w:ilvl w:val="0"/>
          <w:numId w:val="7"/>
        </w:numPr>
        <w:spacing w:line="360" w:lineRule="auto"/>
        <w:rPr>
          <w:rFonts w:ascii="宋体" w:hAnsi="宋体"/>
          <w:b/>
          <w:bCs/>
          <w:color w:val="000000"/>
          <w:sz w:val="24"/>
        </w:rPr>
      </w:pPr>
      <w:r>
        <w:rPr>
          <w:rFonts w:hint="eastAsia" w:ascii="宋体" w:hAnsi="宋体"/>
          <w:b/>
          <w:bCs/>
          <w:color w:val="000000"/>
          <w:sz w:val="24"/>
        </w:rPr>
        <w:t>如投标设备的组成不涉及以上分项内容的，可不必填写该表。</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投标人名称：XXXX（盖单位公章）。</w:t>
      </w:r>
      <w:bookmarkEnd w:id="383"/>
    </w:p>
    <w:p>
      <w:pPr>
        <w:spacing w:line="360" w:lineRule="auto"/>
        <w:rPr>
          <w:rFonts w:ascii="宋体" w:hAnsi="宋体"/>
          <w:color w:val="000000"/>
          <w:sz w:val="24"/>
        </w:rPr>
      </w:pPr>
      <w:bookmarkStart w:id="384" w:name="_Toc491724510"/>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384"/>
    </w:p>
    <w:p>
      <w:pPr>
        <w:spacing w:line="360" w:lineRule="auto"/>
        <w:rPr>
          <w:rFonts w:ascii="宋体" w:hAnsi="宋体"/>
          <w:color w:val="000000"/>
          <w:sz w:val="24"/>
        </w:rPr>
      </w:pPr>
      <w:bookmarkStart w:id="385" w:name="_Toc491724511"/>
      <w:r>
        <w:rPr>
          <w:rFonts w:hint="eastAsia" w:ascii="宋体" w:hAnsi="宋体"/>
          <w:color w:val="000000"/>
          <w:sz w:val="24"/>
        </w:rPr>
        <w:t>日期：XXXX。</w:t>
      </w:r>
      <w:bookmarkEnd w:id="385"/>
    </w:p>
    <w:p>
      <w:pPr>
        <w:spacing w:line="360" w:lineRule="auto"/>
        <w:rPr>
          <w:rFonts w:ascii="宋体" w:hAnsi="宋体"/>
          <w:b/>
          <w:bCs/>
          <w:color w:val="000000"/>
        </w:rPr>
      </w:pPr>
    </w:p>
    <w:p>
      <w:pPr>
        <w:spacing w:line="360" w:lineRule="auto"/>
        <w:rPr>
          <w:rFonts w:ascii="宋体" w:hAnsi="宋体"/>
          <w:b/>
          <w:bCs/>
          <w:color w:val="FF0000"/>
        </w:rPr>
      </w:pPr>
    </w:p>
    <w:p>
      <w:pPr>
        <w:spacing w:line="360" w:lineRule="auto"/>
        <w:rPr>
          <w:rFonts w:ascii="宋体" w:hAnsi="宋体"/>
          <w:b/>
          <w:bCs/>
          <w:color w:val="FF0000"/>
        </w:rPr>
      </w:pPr>
    </w:p>
    <w:p>
      <w:pPr>
        <w:spacing w:line="360" w:lineRule="auto"/>
        <w:rPr>
          <w:rFonts w:ascii="宋体" w:hAnsi="宋体"/>
          <w:b/>
          <w:bCs/>
          <w:color w:val="FF0000"/>
        </w:rPr>
      </w:pPr>
    </w:p>
    <w:p>
      <w:pPr>
        <w:pStyle w:val="5"/>
        <w:jc w:val="center"/>
        <w:rPr>
          <w:rFonts w:ascii="宋体" w:hAnsi="宋体"/>
          <w:color w:val="000000"/>
          <w:sz w:val="24"/>
        </w:rPr>
      </w:pPr>
      <w:bookmarkStart w:id="386" w:name="_Toc6308716"/>
      <w:bookmarkStart w:id="387" w:name="_Toc6308544"/>
      <w:r>
        <w:rPr>
          <w:rFonts w:hint="eastAsia" w:ascii="宋体" w:hAnsi="宋体"/>
          <w:color w:val="FF0000"/>
          <w:sz w:val="24"/>
          <w:szCs w:val="24"/>
        </w:rPr>
        <w:br w:type="page"/>
      </w:r>
      <w:bookmarkStart w:id="388" w:name="_Toc69141836"/>
      <w:r>
        <w:rPr>
          <w:rFonts w:hint="eastAsia" w:ascii="宋体" w:hAnsi="宋体"/>
          <w:color w:val="000000"/>
          <w:sz w:val="24"/>
          <w:szCs w:val="24"/>
        </w:rPr>
        <w:t>13.</w:t>
      </w:r>
      <w:r>
        <w:rPr>
          <w:rFonts w:hint="eastAsia" w:ascii="宋体" w:hAnsi="宋体"/>
          <w:color w:val="000000"/>
          <w:sz w:val="24"/>
        </w:rPr>
        <w:t>原厂零配件及易耗品报价清单</w:t>
      </w:r>
      <w:bookmarkEnd w:id="388"/>
    </w:p>
    <w:p>
      <w:pPr>
        <w:jc w:val="center"/>
        <w:rPr>
          <w:rFonts w:ascii="宋体" w:hAnsi="宋体"/>
          <w:color w:val="000000"/>
          <w:sz w:val="24"/>
        </w:rPr>
      </w:pPr>
      <w:r>
        <w:rPr>
          <w:rFonts w:hint="eastAsia" w:ascii="宋体" w:hAnsi="宋体"/>
          <w:color w:val="000000"/>
          <w:sz w:val="24"/>
        </w:rPr>
        <w:t>格式自拟</w:t>
      </w:r>
    </w:p>
    <w:p>
      <w:pPr>
        <w:spacing w:line="360" w:lineRule="auto"/>
        <w:rPr>
          <w:rFonts w:ascii="宋体" w:hAnsi="宋体"/>
          <w:color w:val="000000"/>
          <w:sz w:val="24"/>
        </w:rPr>
      </w:pPr>
    </w:p>
    <w:p>
      <w:pPr>
        <w:spacing w:line="360" w:lineRule="auto"/>
        <w:jc w:val="center"/>
        <w:rPr>
          <w:rFonts w:ascii="宋体" w:hAnsi="宋体"/>
          <w:b/>
          <w:bCs/>
          <w:color w:val="000000"/>
          <w:sz w:val="24"/>
        </w:rPr>
      </w:pPr>
      <w:r>
        <w:rPr>
          <w:rFonts w:hint="eastAsia" w:ascii="宋体" w:hAnsi="宋体"/>
          <w:b/>
          <w:bCs/>
          <w:color w:val="000000"/>
          <w:sz w:val="24"/>
        </w:rPr>
        <w:t>说明：如投标设备不涉及的，可不必填写。</w:t>
      </w:r>
    </w:p>
    <w:p>
      <w:pPr>
        <w:pStyle w:val="4"/>
        <w:jc w:val="center"/>
        <w:rPr>
          <w:rFonts w:ascii="宋体" w:hAnsi="宋体" w:eastAsia="宋体"/>
          <w:b w:val="0"/>
          <w:bCs w:val="0"/>
          <w:color w:val="000000"/>
          <w:sz w:val="24"/>
        </w:rPr>
      </w:pPr>
      <w:r>
        <w:rPr>
          <w:rFonts w:hint="eastAsia" w:ascii="宋体" w:hAnsi="宋体" w:eastAsia="宋体"/>
          <w:color w:val="000000"/>
          <w:sz w:val="24"/>
          <w:szCs w:val="24"/>
        </w:rPr>
        <w:br w:type="page"/>
      </w:r>
      <w:bookmarkStart w:id="389" w:name="_Toc69141837"/>
      <w:r>
        <w:rPr>
          <w:rFonts w:hint="eastAsia" w:ascii="宋体" w:hAnsi="宋体" w:eastAsia="宋体"/>
          <w:color w:val="000000"/>
          <w:sz w:val="24"/>
          <w:szCs w:val="24"/>
        </w:rPr>
        <w:t>14.</w:t>
      </w:r>
      <w:bookmarkEnd w:id="386"/>
      <w:bookmarkEnd w:id="387"/>
      <w:bookmarkStart w:id="390" w:name="_Toc477248543"/>
      <w:r>
        <w:rPr>
          <w:rFonts w:hint="eastAsia" w:ascii="宋体" w:hAnsi="宋体" w:eastAsia="宋体"/>
          <w:color w:val="000000"/>
          <w:sz w:val="24"/>
        </w:rPr>
        <w:t>投标人基本情况表</w:t>
      </w:r>
      <w:bookmarkEnd w:id="389"/>
      <w:bookmarkEnd w:id="390"/>
    </w:p>
    <w:tbl>
      <w:tblPr>
        <w:tblStyle w:val="30"/>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34"/>
        <w:gridCol w:w="1053"/>
        <w:gridCol w:w="1310"/>
        <w:gridCol w:w="1345"/>
        <w:gridCol w:w="11"/>
        <w:gridCol w:w="1420"/>
        <w:gridCol w:w="167"/>
        <w:gridCol w:w="1093"/>
        <w:gridCol w:w="11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投标人名称</w:t>
            </w:r>
          </w:p>
        </w:tc>
        <w:tc>
          <w:tcPr>
            <w:tcW w:w="4110" w:type="pct"/>
            <w:gridSpan w:val="8"/>
            <w:noWrap/>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注册地址</w:t>
            </w:r>
          </w:p>
        </w:tc>
        <w:tc>
          <w:tcPr>
            <w:tcW w:w="2023" w:type="pct"/>
            <w:gridSpan w:val="4"/>
            <w:noWrap/>
            <w:vAlign w:val="center"/>
          </w:tcPr>
          <w:p>
            <w:pPr>
              <w:autoSpaceDE w:val="0"/>
              <w:autoSpaceDN w:val="0"/>
              <w:adjustRightInd w:val="0"/>
              <w:spacing w:line="400" w:lineRule="exact"/>
              <w:jc w:val="center"/>
              <w:rPr>
                <w:rFonts w:ascii="宋体" w:hAnsi="宋体"/>
                <w:kern w:val="0"/>
                <w:szCs w:val="21"/>
              </w:rPr>
            </w:pPr>
          </w:p>
        </w:tc>
        <w:tc>
          <w:tcPr>
            <w:tcW w:w="773"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邮政编码</w:t>
            </w:r>
          </w:p>
        </w:tc>
        <w:tc>
          <w:tcPr>
            <w:tcW w:w="1314" w:type="pct"/>
            <w:gridSpan w:val="3"/>
            <w:noWrap/>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企业性质</w:t>
            </w:r>
          </w:p>
        </w:tc>
        <w:tc>
          <w:tcPr>
            <w:tcW w:w="4110" w:type="pct"/>
            <w:gridSpan w:val="8"/>
            <w:noWrap/>
            <w:vAlign w:val="center"/>
          </w:tcPr>
          <w:p>
            <w:pPr>
              <w:autoSpaceDE w:val="0"/>
              <w:autoSpaceDN w:val="0"/>
              <w:adjustRightInd w:val="0"/>
              <w:spacing w:line="400" w:lineRule="exact"/>
              <w:jc w:val="left"/>
              <w:rPr>
                <w:rFonts w:ascii="宋体" w:hAnsi="宋体"/>
                <w:kern w:val="0"/>
                <w:szCs w:val="21"/>
              </w:rPr>
            </w:pPr>
            <w:r>
              <w:rPr>
                <w:rFonts w:hint="eastAsia" w:ascii="宋体" w:hAnsi="宋体"/>
                <w:kern w:val="0"/>
                <w:szCs w:val="21"/>
              </w:rPr>
              <w:sym w:font="Wingdings 2" w:char="00A3"/>
            </w:r>
            <w:r>
              <w:rPr>
                <w:rFonts w:hint="eastAsia" w:ascii="宋体" w:hAnsi="宋体"/>
                <w:kern w:val="0"/>
                <w:szCs w:val="21"/>
              </w:rPr>
              <w:t xml:space="preserve">国有    </w:t>
            </w:r>
            <w:r>
              <w:rPr>
                <w:rFonts w:hint="eastAsia" w:ascii="宋体" w:hAnsi="宋体"/>
                <w:kern w:val="0"/>
                <w:szCs w:val="21"/>
              </w:rPr>
              <w:sym w:font="Wingdings 2" w:char="00A3"/>
            </w:r>
            <w:r>
              <w:rPr>
                <w:rFonts w:hint="eastAsia" w:ascii="宋体" w:hAnsi="宋体"/>
                <w:kern w:val="0"/>
                <w:szCs w:val="21"/>
              </w:rPr>
              <w:t xml:space="preserve">民营    </w:t>
            </w:r>
            <w:r>
              <w:rPr>
                <w:rFonts w:hint="eastAsia" w:ascii="宋体" w:hAnsi="宋体"/>
                <w:kern w:val="0"/>
                <w:szCs w:val="21"/>
              </w:rPr>
              <w:sym w:font="Wingdings 2" w:char="00A3"/>
            </w:r>
            <w:r>
              <w:rPr>
                <w:rFonts w:hint="eastAsia" w:ascii="宋体" w:hAnsi="宋体"/>
                <w:kern w:val="0"/>
                <w:szCs w:val="21"/>
              </w:rPr>
              <w:t>其他   （在对应类别勾选）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企业规模</w:t>
            </w:r>
          </w:p>
        </w:tc>
        <w:tc>
          <w:tcPr>
            <w:tcW w:w="4110" w:type="pct"/>
            <w:gridSpan w:val="8"/>
            <w:noWrap/>
            <w:vAlign w:val="center"/>
          </w:tcPr>
          <w:p>
            <w:pPr>
              <w:autoSpaceDE w:val="0"/>
              <w:autoSpaceDN w:val="0"/>
              <w:adjustRightInd w:val="0"/>
              <w:spacing w:line="400" w:lineRule="exact"/>
              <w:jc w:val="left"/>
              <w:rPr>
                <w:rFonts w:ascii="宋体" w:hAnsi="宋体"/>
                <w:kern w:val="0"/>
                <w:szCs w:val="21"/>
              </w:rPr>
            </w:pPr>
            <w:r>
              <w:rPr>
                <w:rFonts w:hint="eastAsia" w:ascii="宋体" w:hAnsi="宋体"/>
                <w:kern w:val="0"/>
                <w:szCs w:val="21"/>
              </w:rPr>
              <w:sym w:font="Wingdings 2" w:char="00A3"/>
            </w:r>
            <w:r>
              <w:rPr>
                <w:rFonts w:hint="eastAsia" w:ascii="宋体" w:hAnsi="宋体"/>
                <w:kern w:val="0"/>
                <w:szCs w:val="21"/>
              </w:rPr>
              <w:t xml:space="preserve">大型    </w:t>
            </w:r>
            <w:r>
              <w:rPr>
                <w:rFonts w:hint="eastAsia" w:ascii="宋体" w:hAnsi="宋体"/>
                <w:kern w:val="0"/>
                <w:szCs w:val="21"/>
              </w:rPr>
              <w:sym w:font="Wingdings 2" w:char="00A3"/>
            </w:r>
            <w:r>
              <w:rPr>
                <w:rFonts w:hint="eastAsia" w:ascii="宋体" w:hAnsi="宋体"/>
                <w:kern w:val="0"/>
                <w:szCs w:val="21"/>
              </w:rPr>
              <w:t xml:space="preserve">中型    </w:t>
            </w:r>
            <w:r>
              <w:rPr>
                <w:rFonts w:hint="eastAsia" w:ascii="宋体" w:hAnsi="宋体"/>
                <w:kern w:val="0"/>
                <w:szCs w:val="21"/>
              </w:rPr>
              <w:sym w:font="Wingdings 2" w:char="00A3"/>
            </w:r>
            <w:r>
              <w:rPr>
                <w:rFonts w:hint="eastAsia" w:ascii="宋体" w:hAnsi="宋体"/>
                <w:kern w:val="0"/>
                <w:szCs w:val="21"/>
              </w:rPr>
              <w:t xml:space="preserve">小型    </w:t>
            </w:r>
            <w:r>
              <w:rPr>
                <w:rFonts w:hint="eastAsia" w:ascii="宋体" w:hAnsi="宋体"/>
                <w:kern w:val="0"/>
                <w:szCs w:val="21"/>
              </w:rPr>
              <w:sym w:font="Wingdings 2" w:char="00A3"/>
            </w:r>
            <w:r>
              <w:rPr>
                <w:rFonts w:hint="eastAsia" w:ascii="宋体" w:hAnsi="宋体"/>
                <w:kern w:val="0"/>
                <w:szCs w:val="21"/>
              </w:rPr>
              <w:t>微型   （在对应类别勾选）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vMerge w:val="restar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联系方式</w:t>
            </w:r>
          </w:p>
        </w:tc>
        <w:tc>
          <w:tcPr>
            <w:tcW w:w="573"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联系人</w:t>
            </w:r>
          </w:p>
        </w:tc>
        <w:tc>
          <w:tcPr>
            <w:tcW w:w="1445" w:type="pct"/>
            <w:gridSpan w:val="2"/>
            <w:noWrap/>
            <w:vAlign w:val="center"/>
          </w:tcPr>
          <w:p>
            <w:pPr>
              <w:autoSpaceDE w:val="0"/>
              <w:autoSpaceDN w:val="0"/>
              <w:adjustRightInd w:val="0"/>
              <w:spacing w:line="400" w:lineRule="exact"/>
              <w:jc w:val="center"/>
              <w:rPr>
                <w:rFonts w:ascii="宋体" w:hAnsi="宋体"/>
                <w:kern w:val="0"/>
                <w:szCs w:val="21"/>
              </w:rPr>
            </w:pPr>
          </w:p>
        </w:tc>
        <w:tc>
          <w:tcPr>
            <w:tcW w:w="778" w:type="pct"/>
            <w:gridSpan w:val="2"/>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1314" w:type="pct"/>
            <w:gridSpan w:val="3"/>
            <w:noWrap/>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889" w:type="pct"/>
            <w:vMerge w:val="continue"/>
            <w:noWrap/>
            <w:vAlign w:val="center"/>
          </w:tcPr>
          <w:p>
            <w:pPr>
              <w:autoSpaceDE w:val="0"/>
              <w:autoSpaceDN w:val="0"/>
              <w:adjustRightInd w:val="0"/>
              <w:spacing w:line="400" w:lineRule="exact"/>
              <w:jc w:val="center"/>
              <w:rPr>
                <w:rFonts w:ascii="宋体" w:hAnsi="宋体"/>
                <w:kern w:val="0"/>
                <w:szCs w:val="21"/>
              </w:rPr>
            </w:pPr>
          </w:p>
        </w:tc>
        <w:tc>
          <w:tcPr>
            <w:tcW w:w="573"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传真</w:t>
            </w:r>
          </w:p>
        </w:tc>
        <w:tc>
          <w:tcPr>
            <w:tcW w:w="1445" w:type="pct"/>
            <w:gridSpan w:val="2"/>
            <w:noWrap/>
            <w:vAlign w:val="center"/>
          </w:tcPr>
          <w:p>
            <w:pPr>
              <w:autoSpaceDE w:val="0"/>
              <w:autoSpaceDN w:val="0"/>
              <w:adjustRightInd w:val="0"/>
              <w:spacing w:line="400" w:lineRule="exact"/>
              <w:jc w:val="center"/>
              <w:rPr>
                <w:rFonts w:ascii="宋体" w:hAnsi="宋体"/>
                <w:kern w:val="0"/>
                <w:szCs w:val="21"/>
              </w:rPr>
            </w:pPr>
          </w:p>
        </w:tc>
        <w:tc>
          <w:tcPr>
            <w:tcW w:w="778" w:type="pct"/>
            <w:gridSpan w:val="2"/>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邮箱</w:t>
            </w:r>
          </w:p>
        </w:tc>
        <w:tc>
          <w:tcPr>
            <w:tcW w:w="1314" w:type="pct"/>
            <w:gridSpan w:val="3"/>
            <w:noWrap/>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法定代表人</w:t>
            </w:r>
          </w:p>
        </w:tc>
        <w:tc>
          <w:tcPr>
            <w:tcW w:w="573"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713" w:type="pct"/>
            <w:noWrap/>
            <w:vAlign w:val="center"/>
          </w:tcPr>
          <w:p>
            <w:pPr>
              <w:autoSpaceDE w:val="0"/>
              <w:autoSpaceDN w:val="0"/>
              <w:adjustRightInd w:val="0"/>
              <w:spacing w:line="400" w:lineRule="exact"/>
              <w:jc w:val="center"/>
              <w:rPr>
                <w:rFonts w:ascii="宋体" w:hAnsi="宋体"/>
                <w:kern w:val="0"/>
                <w:szCs w:val="21"/>
              </w:rPr>
            </w:pPr>
          </w:p>
        </w:tc>
        <w:tc>
          <w:tcPr>
            <w:tcW w:w="731"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778" w:type="pct"/>
            <w:gridSpan w:val="2"/>
            <w:noWrap/>
            <w:vAlign w:val="center"/>
          </w:tcPr>
          <w:p>
            <w:pPr>
              <w:autoSpaceDE w:val="0"/>
              <w:autoSpaceDN w:val="0"/>
              <w:adjustRightInd w:val="0"/>
              <w:spacing w:line="400" w:lineRule="exact"/>
              <w:jc w:val="center"/>
              <w:rPr>
                <w:rFonts w:ascii="宋体" w:hAnsi="宋体"/>
                <w:kern w:val="0"/>
                <w:szCs w:val="21"/>
              </w:rPr>
            </w:pPr>
          </w:p>
        </w:tc>
        <w:tc>
          <w:tcPr>
            <w:tcW w:w="686" w:type="pct"/>
            <w:gridSpan w:val="2"/>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627" w:type="pct"/>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889" w:type="pct"/>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技术负责人</w:t>
            </w:r>
          </w:p>
        </w:tc>
        <w:tc>
          <w:tcPr>
            <w:tcW w:w="573" w:type="pct"/>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713" w:type="pct"/>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p>
        </w:tc>
        <w:tc>
          <w:tcPr>
            <w:tcW w:w="731" w:type="pct"/>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778" w:type="pct"/>
            <w:gridSpan w:val="2"/>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p>
        </w:tc>
        <w:tc>
          <w:tcPr>
            <w:tcW w:w="686" w:type="pct"/>
            <w:gridSpan w:val="2"/>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627" w:type="pct"/>
            <w:tcBorders>
              <w:bottom w:val="single" w:color="auto" w:sz="4" w:space="0"/>
            </w:tcBorders>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889" w:type="pct"/>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财务负责人</w:t>
            </w:r>
          </w:p>
        </w:tc>
        <w:tc>
          <w:tcPr>
            <w:tcW w:w="573" w:type="pct"/>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713" w:type="pct"/>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p>
        </w:tc>
        <w:tc>
          <w:tcPr>
            <w:tcW w:w="731" w:type="pct"/>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778" w:type="pct"/>
            <w:gridSpan w:val="2"/>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p>
        </w:tc>
        <w:tc>
          <w:tcPr>
            <w:tcW w:w="686" w:type="pct"/>
            <w:gridSpan w:val="2"/>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627" w:type="pct"/>
            <w:tcBorders>
              <w:top w:val="single" w:color="auto" w:sz="4" w:space="0"/>
            </w:tcBorders>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成立时间</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2824" w:type="pct"/>
            <w:gridSpan w:val="6"/>
            <w:noWrap/>
            <w:vAlign w:val="center"/>
          </w:tcPr>
          <w:p>
            <w:pPr>
              <w:autoSpaceDE w:val="0"/>
              <w:autoSpaceDN w:val="0"/>
              <w:adjustRightInd w:val="0"/>
              <w:spacing w:line="400" w:lineRule="exact"/>
              <w:ind w:firstLine="1470" w:firstLineChars="700"/>
              <w:rPr>
                <w:rFonts w:ascii="宋体" w:hAnsi="宋体"/>
                <w:kern w:val="0"/>
                <w:szCs w:val="21"/>
              </w:rPr>
            </w:pPr>
            <w:r>
              <w:rPr>
                <w:rFonts w:hint="eastAsia" w:ascii="宋体" w:hAnsi="宋体"/>
                <w:kern w:val="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企业资质等级</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restar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其中</w:t>
            </w: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项目经理</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营业执照号</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continue"/>
            <w:noWrap/>
            <w:vAlign w:val="center"/>
          </w:tcPr>
          <w:p>
            <w:pPr>
              <w:autoSpaceDE w:val="0"/>
              <w:autoSpaceDN w:val="0"/>
              <w:adjustRightInd w:val="0"/>
              <w:spacing w:line="400" w:lineRule="exact"/>
              <w:jc w:val="center"/>
              <w:rPr>
                <w:rFonts w:ascii="宋体" w:hAnsi="宋体"/>
                <w:kern w:val="0"/>
                <w:szCs w:val="21"/>
              </w:rPr>
            </w:pP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高级职称人员</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注册资金</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continue"/>
            <w:noWrap/>
            <w:vAlign w:val="center"/>
          </w:tcPr>
          <w:p>
            <w:pPr>
              <w:autoSpaceDE w:val="0"/>
              <w:autoSpaceDN w:val="0"/>
              <w:adjustRightInd w:val="0"/>
              <w:spacing w:line="400" w:lineRule="exact"/>
              <w:jc w:val="center"/>
              <w:rPr>
                <w:rFonts w:ascii="宋体" w:hAnsi="宋体"/>
                <w:kern w:val="0"/>
                <w:szCs w:val="21"/>
              </w:rPr>
            </w:pP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中级职称人员</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开户银行</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continue"/>
            <w:noWrap/>
            <w:vAlign w:val="center"/>
          </w:tcPr>
          <w:p>
            <w:pPr>
              <w:autoSpaceDE w:val="0"/>
              <w:autoSpaceDN w:val="0"/>
              <w:adjustRightInd w:val="0"/>
              <w:spacing w:line="400" w:lineRule="exact"/>
              <w:jc w:val="center"/>
              <w:rPr>
                <w:rFonts w:ascii="宋体" w:hAnsi="宋体"/>
                <w:kern w:val="0"/>
                <w:szCs w:val="21"/>
              </w:rPr>
            </w:pP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初级职称人员</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账号</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continue"/>
            <w:noWrap/>
            <w:vAlign w:val="center"/>
          </w:tcPr>
          <w:p>
            <w:pPr>
              <w:autoSpaceDE w:val="0"/>
              <w:autoSpaceDN w:val="0"/>
              <w:adjustRightInd w:val="0"/>
              <w:spacing w:line="400" w:lineRule="exact"/>
              <w:jc w:val="center"/>
              <w:rPr>
                <w:rFonts w:ascii="宋体" w:hAnsi="宋体"/>
                <w:kern w:val="0"/>
                <w:szCs w:val="21"/>
              </w:rPr>
            </w:pP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技工</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91"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经营范围</w:t>
            </w:r>
          </w:p>
        </w:tc>
        <w:tc>
          <w:tcPr>
            <w:tcW w:w="4110" w:type="pct"/>
            <w:gridSpan w:val="8"/>
            <w:noWrap/>
            <w:vAlign w:val="center"/>
          </w:tcPr>
          <w:p>
            <w:pPr>
              <w:autoSpaceDE w:val="0"/>
              <w:autoSpaceDN w:val="0"/>
              <w:adjustRightInd w:val="0"/>
              <w:spacing w:line="400" w:lineRule="exact"/>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889" w:type="pct"/>
            <w:noWrap/>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备注</w:t>
            </w:r>
          </w:p>
        </w:tc>
        <w:tc>
          <w:tcPr>
            <w:tcW w:w="4110" w:type="pct"/>
            <w:gridSpan w:val="8"/>
            <w:noWrap/>
          </w:tcPr>
          <w:p>
            <w:pPr>
              <w:autoSpaceDE w:val="0"/>
              <w:autoSpaceDN w:val="0"/>
              <w:adjustRightInd w:val="0"/>
              <w:spacing w:line="400" w:lineRule="exact"/>
              <w:jc w:val="left"/>
              <w:rPr>
                <w:rFonts w:ascii="宋体" w:hAnsi="宋体"/>
                <w:kern w:val="0"/>
                <w:szCs w:val="21"/>
              </w:rPr>
            </w:pPr>
          </w:p>
        </w:tc>
      </w:tr>
    </w:tbl>
    <w:p>
      <w:pPr>
        <w:jc w:val="left"/>
        <w:rPr>
          <w:rFonts w:ascii="宋体" w:hAnsi="宋体"/>
          <w:color w:val="000000"/>
          <w:sz w:val="24"/>
        </w:rPr>
      </w:pPr>
      <w:r>
        <w:rPr>
          <w:rFonts w:hint="eastAsia" w:ascii="宋体" w:hAnsi="宋体"/>
          <w:color w:val="000000"/>
          <w:sz w:val="24"/>
        </w:rPr>
        <w:t>说明：本表中“企业性质”和“企业规模”将依照相关要求进行数据采集，供应商应如实勾选，并对其真实性负责。</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日期：XXXX。</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pStyle w:val="5"/>
        <w:jc w:val="center"/>
        <w:rPr>
          <w:rFonts w:ascii="宋体" w:hAnsi="宋体"/>
          <w:color w:val="000000"/>
          <w:sz w:val="24"/>
        </w:rPr>
      </w:pPr>
      <w:bookmarkStart w:id="391" w:name="_Toc6308717"/>
      <w:bookmarkStart w:id="392" w:name="_Toc69141838"/>
      <w:bookmarkStart w:id="393" w:name="_Toc6308545"/>
      <w:r>
        <w:rPr>
          <w:rFonts w:hint="eastAsia" w:ascii="宋体" w:hAnsi="宋体"/>
          <w:color w:val="000000"/>
          <w:sz w:val="24"/>
          <w:szCs w:val="24"/>
        </w:rPr>
        <w:t>15.投标人类似项目业绩一览表</w:t>
      </w:r>
      <w:bookmarkEnd w:id="391"/>
      <w:bookmarkEnd w:id="392"/>
      <w:bookmarkEnd w:id="393"/>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977"/>
        <w:gridCol w:w="1957"/>
        <w:gridCol w:w="1793"/>
        <w:gridCol w:w="1579"/>
        <w:gridCol w:w="1711"/>
        <w:gridCol w:w="106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tcBorders>
              <w:top w:val="single" w:color="auto" w:sz="4" w:space="0"/>
            </w:tcBorders>
            <w:noWrap/>
            <w:vAlign w:val="center"/>
          </w:tcPr>
          <w:p>
            <w:pPr>
              <w:spacing w:line="360" w:lineRule="auto"/>
              <w:rPr>
                <w:rFonts w:ascii="宋体" w:hAnsi="宋体"/>
                <w:color w:val="000000"/>
                <w:sz w:val="24"/>
              </w:rPr>
            </w:pPr>
            <w:bookmarkStart w:id="394" w:name="_Toc491724551"/>
            <w:r>
              <w:rPr>
                <w:rFonts w:hint="eastAsia" w:ascii="宋体" w:hAnsi="宋体"/>
                <w:color w:val="000000"/>
                <w:sz w:val="24"/>
              </w:rPr>
              <w:t>年份</w:t>
            </w:r>
            <w:bookmarkEnd w:id="394"/>
          </w:p>
        </w:tc>
        <w:tc>
          <w:tcPr>
            <w:tcW w:w="1077" w:type="pct"/>
            <w:noWrap/>
            <w:vAlign w:val="center"/>
          </w:tcPr>
          <w:p>
            <w:pPr>
              <w:spacing w:line="360" w:lineRule="auto"/>
              <w:rPr>
                <w:rFonts w:ascii="宋体" w:hAnsi="宋体"/>
                <w:color w:val="000000"/>
                <w:sz w:val="24"/>
              </w:rPr>
            </w:pPr>
            <w:bookmarkStart w:id="395" w:name="_Toc491724552"/>
            <w:r>
              <w:rPr>
                <w:rFonts w:hint="eastAsia" w:ascii="宋体" w:hAnsi="宋体"/>
                <w:color w:val="000000"/>
                <w:sz w:val="24"/>
              </w:rPr>
              <w:t>采购人名称</w:t>
            </w:r>
            <w:bookmarkEnd w:id="395"/>
          </w:p>
        </w:tc>
        <w:tc>
          <w:tcPr>
            <w:tcW w:w="987" w:type="pct"/>
            <w:noWrap/>
            <w:vAlign w:val="center"/>
          </w:tcPr>
          <w:p>
            <w:pPr>
              <w:spacing w:line="360" w:lineRule="auto"/>
              <w:rPr>
                <w:rFonts w:ascii="宋体" w:hAnsi="宋体"/>
                <w:color w:val="000000"/>
                <w:sz w:val="24"/>
              </w:rPr>
            </w:pPr>
            <w:bookmarkStart w:id="396" w:name="_Toc491724553"/>
            <w:r>
              <w:rPr>
                <w:rFonts w:hint="eastAsia" w:ascii="宋体" w:hAnsi="宋体"/>
                <w:color w:val="000000"/>
                <w:sz w:val="24"/>
              </w:rPr>
              <w:t>项目名称</w:t>
            </w:r>
            <w:bookmarkEnd w:id="396"/>
          </w:p>
        </w:tc>
        <w:tc>
          <w:tcPr>
            <w:tcW w:w="869" w:type="pct"/>
            <w:noWrap/>
            <w:vAlign w:val="center"/>
          </w:tcPr>
          <w:p>
            <w:pPr>
              <w:spacing w:line="360" w:lineRule="auto"/>
              <w:rPr>
                <w:rFonts w:ascii="宋体" w:hAnsi="宋体"/>
                <w:color w:val="000000"/>
                <w:sz w:val="24"/>
              </w:rPr>
            </w:pPr>
            <w:bookmarkStart w:id="397" w:name="_Toc491724554"/>
            <w:r>
              <w:rPr>
                <w:rFonts w:hint="eastAsia" w:ascii="宋体" w:hAnsi="宋体"/>
                <w:color w:val="000000"/>
                <w:sz w:val="24"/>
              </w:rPr>
              <w:t>完成时间</w:t>
            </w:r>
            <w:bookmarkEnd w:id="397"/>
          </w:p>
        </w:tc>
        <w:tc>
          <w:tcPr>
            <w:tcW w:w="942" w:type="pct"/>
            <w:noWrap/>
            <w:vAlign w:val="center"/>
          </w:tcPr>
          <w:p>
            <w:pPr>
              <w:spacing w:line="360" w:lineRule="auto"/>
              <w:rPr>
                <w:rFonts w:ascii="宋体" w:hAnsi="宋体"/>
                <w:color w:val="000000"/>
                <w:sz w:val="24"/>
              </w:rPr>
            </w:pPr>
            <w:bookmarkStart w:id="398" w:name="_Toc491724555"/>
            <w:r>
              <w:rPr>
                <w:rFonts w:hint="eastAsia" w:ascii="宋体" w:hAnsi="宋体"/>
                <w:color w:val="000000"/>
                <w:sz w:val="24"/>
              </w:rPr>
              <w:t>合同金额</w:t>
            </w:r>
            <w:bookmarkEnd w:id="398"/>
          </w:p>
        </w:tc>
        <w:tc>
          <w:tcPr>
            <w:tcW w:w="584" w:type="pct"/>
            <w:tcBorders>
              <w:left w:val="single" w:color="auto" w:sz="4" w:space="0"/>
            </w:tcBorders>
            <w:noWrap/>
            <w:vAlign w:val="center"/>
          </w:tcPr>
          <w:p>
            <w:pPr>
              <w:spacing w:line="360" w:lineRule="auto"/>
              <w:rPr>
                <w:rFonts w:ascii="宋体" w:hAnsi="宋体"/>
                <w:color w:val="000000"/>
                <w:sz w:val="24"/>
              </w:rPr>
            </w:pPr>
            <w:bookmarkStart w:id="399" w:name="_Toc491724557"/>
            <w:r>
              <w:rPr>
                <w:rFonts w:hint="eastAsia" w:ascii="宋体" w:hAnsi="宋体"/>
                <w:color w:val="000000"/>
                <w:sz w:val="24"/>
              </w:rPr>
              <w:t>备注</w:t>
            </w:r>
            <w:bookmarkEnd w:id="39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tcBorders>
              <w:right w:val="single" w:color="auto" w:sz="4" w:space="0"/>
            </w:tcBorders>
            <w:noWrap/>
            <w:vAlign w:val="center"/>
          </w:tcPr>
          <w:p>
            <w:pPr>
              <w:spacing w:line="360" w:lineRule="auto"/>
              <w:rPr>
                <w:rFonts w:ascii="宋体" w:hAnsi="宋体"/>
                <w:color w:val="000000"/>
                <w:sz w:val="24"/>
              </w:rPr>
            </w:pPr>
          </w:p>
        </w:tc>
        <w:tc>
          <w:tcPr>
            <w:tcW w:w="987" w:type="pct"/>
            <w:tcBorders>
              <w:left w:val="single" w:color="auto" w:sz="4" w:space="0"/>
            </w:tcBorders>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tcBorders>
              <w:right w:val="single" w:color="auto" w:sz="4" w:space="0"/>
            </w:tcBorders>
            <w:noWrap/>
            <w:vAlign w:val="center"/>
          </w:tcPr>
          <w:p>
            <w:pPr>
              <w:spacing w:line="360" w:lineRule="auto"/>
              <w:rPr>
                <w:rFonts w:ascii="宋体" w:hAnsi="宋体"/>
                <w:color w:val="000000"/>
                <w:sz w:val="24"/>
              </w:rPr>
            </w:pPr>
          </w:p>
        </w:tc>
        <w:tc>
          <w:tcPr>
            <w:tcW w:w="1077" w:type="pct"/>
            <w:tcBorders>
              <w:left w:val="single" w:color="auto" w:sz="4" w:space="0"/>
              <w:right w:val="single" w:color="auto" w:sz="4" w:space="0"/>
            </w:tcBorders>
            <w:noWrap/>
            <w:vAlign w:val="center"/>
          </w:tcPr>
          <w:p>
            <w:pPr>
              <w:spacing w:line="360" w:lineRule="auto"/>
              <w:rPr>
                <w:rFonts w:ascii="宋体" w:hAnsi="宋体"/>
                <w:color w:val="000000"/>
                <w:sz w:val="24"/>
              </w:rPr>
            </w:pPr>
          </w:p>
        </w:tc>
        <w:tc>
          <w:tcPr>
            <w:tcW w:w="987" w:type="pct"/>
            <w:tcBorders>
              <w:left w:val="single" w:color="auto" w:sz="4" w:space="0"/>
              <w:right w:val="single" w:color="auto" w:sz="4" w:space="0"/>
            </w:tcBorders>
            <w:noWrap/>
            <w:vAlign w:val="center"/>
          </w:tcPr>
          <w:p>
            <w:pPr>
              <w:spacing w:line="360" w:lineRule="auto"/>
              <w:rPr>
                <w:rFonts w:ascii="宋体" w:hAnsi="宋体"/>
                <w:color w:val="000000"/>
                <w:sz w:val="24"/>
              </w:rPr>
            </w:pPr>
          </w:p>
        </w:tc>
        <w:tc>
          <w:tcPr>
            <w:tcW w:w="869" w:type="pct"/>
            <w:tcBorders>
              <w:left w:val="single" w:color="auto" w:sz="4" w:space="0"/>
              <w:right w:val="single" w:color="auto" w:sz="4" w:space="0"/>
            </w:tcBorders>
            <w:noWrap/>
            <w:vAlign w:val="center"/>
          </w:tcPr>
          <w:p>
            <w:pPr>
              <w:spacing w:line="360" w:lineRule="auto"/>
              <w:rPr>
                <w:rFonts w:ascii="宋体" w:hAnsi="宋体"/>
                <w:color w:val="000000"/>
                <w:sz w:val="24"/>
              </w:rPr>
            </w:pPr>
          </w:p>
        </w:tc>
        <w:tc>
          <w:tcPr>
            <w:tcW w:w="942" w:type="pct"/>
            <w:tcBorders>
              <w:left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tcBorders>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tcBorders>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tcBorders>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538" w:type="pct"/>
            <w:tcBorders>
              <w:bottom w:val="single" w:color="auto" w:sz="4" w:space="0"/>
            </w:tcBorders>
            <w:noWrap/>
            <w:vAlign w:val="center"/>
          </w:tcPr>
          <w:p>
            <w:pPr>
              <w:spacing w:line="360" w:lineRule="auto"/>
              <w:rPr>
                <w:rFonts w:ascii="宋体" w:hAnsi="宋体"/>
                <w:color w:val="000000"/>
                <w:sz w:val="24"/>
              </w:rPr>
            </w:pPr>
          </w:p>
        </w:tc>
        <w:tc>
          <w:tcPr>
            <w:tcW w:w="1077" w:type="pct"/>
            <w:tcBorders>
              <w:bottom w:val="single" w:color="auto" w:sz="4" w:space="0"/>
            </w:tcBorders>
            <w:noWrap/>
            <w:vAlign w:val="center"/>
          </w:tcPr>
          <w:p>
            <w:pPr>
              <w:spacing w:line="360" w:lineRule="auto"/>
              <w:rPr>
                <w:rFonts w:ascii="宋体" w:hAnsi="宋体"/>
                <w:color w:val="000000"/>
                <w:sz w:val="24"/>
              </w:rPr>
            </w:pPr>
          </w:p>
        </w:tc>
        <w:tc>
          <w:tcPr>
            <w:tcW w:w="987" w:type="pct"/>
            <w:tcBorders>
              <w:bottom w:val="single" w:color="auto" w:sz="4" w:space="0"/>
            </w:tcBorders>
            <w:noWrap/>
            <w:vAlign w:val="center"/>
          </w:tcPr>
          <w:p>
            <w:pPr>
              <w:spacing w:line="360" w:lineRule="auto"/>
              <w:rPr>
                <w:rFonts w:ascii="宋体" w:hAnsi="宋体"/>
                <w:color w:val="000000"/>
                <w:sz w:val="24"/>
              </w:rPr>
            </w:pPr>
          </w:p>
        </w:tc>
        <w:tc>
          <w:tcPr>
            <w:tcW w:w="869" w:type="pct"/>
            <w:tcBorders>
              <w:bottom w:val="single" w:color="auto" w:sz="4" w:space="0"/>
            </w:tcBorders>
            <w:noWrap/>
            <w:vAlign w:val="center"/>
          </w:tcPr>
          <w:p>
            <w:pPr>
              <w:spacing w:line="360" w:lineRule="auto"/>
              <w:rPr>
                <w:rFonts w:ascii="宋体" w:hAnsi="宋体"/>
                <w:color w:val="000000"/>
                <w:sz w:val="24"/>
              </w:rPr>
            </w:pPr>
          </w:p>
        </w:tc>
        <w:tc>
          <w:tcPr>
            <w:tcW w:w="942" w:type="pct"/>
            <w:tcBorders>
              <w:bottom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bottom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538"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107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8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869"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42" w:type="pct"/>
            <w:tcBorders>
              <w:top w:val="single" w:color="auto" w:sz="4" w:space="0"/>
              <w:bottom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top w:val="single" w:color="auto" w:sz="4" w:space="0"/>
              <w:left w:val="single" w:color="auto" w:sz="4" w:space="0"/>
              <w:bottom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538"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107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8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869"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42" w:type="pct"/>
            <w:tcBorders>
              <w:top w:val="single" w:color="auto" w:sz="4" w:space="0"/>
              <w:bottom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top w:val="single" w:color="auto" w:sz="4" w:space="0"/>
              <w:left w:val="single" w:color="auto" w:sz="4" w:space="0"/>
              <w:bottom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538"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107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8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869"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42" w:type="pct"/>
            <w:tcBorders>
              <w:top w:val="single" w:color="auto" w:sz="4" w:space="0"/>
              <w:bottom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top w:val="single" w:color="auto" w:sz="4" w:space="0"/>
              <w:left w:val="single" w:color="auto" w:sz="4" w:space="0"/>
              <w:bottom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538" w:type="pct"/>
            <w:tcBorders>
              <w:top w:val="single" w:color="auto" w:sz="4" w:space="0"/>
            </w:tcBorders>
            <w:noWrap/>
            <w:vAlign w:val="center"/>
          </w:tcPr>
          <w:p>
            <w:pPr>
              <w:spacing w:line="360" w:lineRule="auto"/>
              <w:rPr>
                <w:rFonts w:ascii="宋体" w:hAnsi="宋体"/>
                <w:color w:val="000000"/>
                <w:sz w:val="24"/>
              </w:rPr>
            </w:pPr>
          </w:p>
        </w:tc>
        <w:tc>
          <w:tcPr>
            <w:tcW w:w="1077" w:type="pct"/>
            <w:tcBorders>
              <w:top w:val="single" w:color="auto" w:sz="4" w:space="0"/>
            </w:tcBorders>
            <w:noWrap/>
            <w:vAlign w:val="center"/>
          </w:tcPr>
          <w:p>
            <w:pPr>
              <w:spacing w:line="360" w:lineRule="auto"/>
              <w:rPr>
                <w:rFonts w:ascii="宋体" w:hAnsi="宋体"/>
                <w:color w:val="000000"/>
                <w:sz w:val="24"/>
              </w:rPr>
            </w:pPr>
          </w:p>
        </w:tc>
        <w:tc>
          <w:tcPr>
            <w:tcW w:w="987" w:type="pct"/>
            <w:tcBorders>
              <w:top w:val="single" w:color="auto" w:sz="4" w:space="0"/>
            </w:tcBorders>
            <w:noWrap/>
            <w:vAlign w:val="center"/>
          </w:tcPr>
          <w:p>
            <w:pPr>
              <w:spacing w:line="360" w:lineRule="auto"/>
              <w:rPr>
                <w:rFonts w:ascii="宋体" w:hAnsi="宋体"/>
                <w:color w:val="000000"/>
                <w:sz w:val="24"/>
              </w:rPr>
            </w:pPr>
          </w:p>
        </w:tc>
        <w:tc>
          <w:tcPr>
            <w:tcW w:w="869" w:type="pct"/>
            <w:tcBorders>
              <w:top w:val="single" w:color="auto" w:sz="4" w:space="0"/>
            </w:tcBorders>
            <w:noWrap/>
            <w:vAlign w:val="center"/>
          </w:tcPr>
          <w:p>
            <w:pPr>
              <w:spacing w:line="360" w:lineRule="auto"/>
              <w:rPr>
                <w:rFonts w:ascii="宋体" w:hAnsi="宋体"/>
                <w:color w:val="000000"/>
                <w:sz w:val="24"/>
              </w:rPr>
            </w:pPr>
          </w:p>
        </w:tc>
        <w:tc>
          <w:tcPr>
            <w:tcW w:w="942" w:type="pct"/>
            <w:tcBorders>
              <w:top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top w:val="single" w:color="auto" w:sz="4" w:space="0"/>
              <w:left w:val="single" w:color="auto" w:sz="4" w:space="0"/>
            </w:tcBorders>
            <w:noWrap/>
            <w:vAlign w:val="center"/>
          </w:tcPr>
          <w:p>
            <w:pPr>
              <w:spacing w:line="360" w:lineRule="auto"/>
              <w:rPr>
                <w:rFonts w:ascii="宋体" w:hAnsi="宋体"/>
                <w:color w:val="000000"/>
                <w:sz w:val="24"/>
              </w:rPr>
            </w:pPr>
          </w:p>
        </w:tc>
      </w:tr>
    </w:tbl>
    <w:p>
      <w:pPr>
        <w:spacing w:line="360" w:lineRule="auto"/>
        <w:ind w:left="959" w:leftChars="228" w:hanging="480" w:hangingChars="200"/>
        <w:rPr>
          <w:rFonts w:ascii="宋体" w:hAnsi="宋体"/>
          <w:color w:val="000000"/>
          <w:sz w:val="24"/>
          <w:highlight w:val="yellow"/>
        </w:rPr>
      </w:pPr>
      <w:r>
        <w:rPr>
          <w:rFonts w:hint="eastAsia" w:ascii="宋体" w:hAnsi="宋体"/>
          <w:color w:val="000000"/>
          <w:sz w:val="24"/>
        </w:rPr>
        <w:t>注：1.投标人可根据实际情况调整该表格内容；</w:t>
      </w:r>
      <w:r>
        <w:rPr>
          <w:rFonts w:hint="eastAsia" w:ascii="宋体" w:hAnsi="宋体"/>
          <w:color w:val="000000"/>
          <w:sz w:val="24"/>
        </w:rPr>
        <w:br w:type="textWrapping"/>
      </w:r>
      <w:r>
        <w:rPr>
          <w:rFonts w:hint="eastAsia" w:ascii="宋体" w:hAnsi="宋体"/>
          <w:color w:val="000000"/>
          <w:sz w:val="24"/>
        </w:rPr>
        <w:t>2.以上业绩应按招标文件评审要求提供相应证明材料。</w:t>
      </w:r>
    </w:p>
    <w:p>
      <w:pPr>
        <w:spacing w:line="360" w:lineRule="auto"/>
        <w:rPr>
          <w:rFonts w:ascii="宋体" w:hAnsi="宋体"/>
          <w:color w:val="000000"/>
          <w:sz w:val="24"/>
        </w:rPr>
      </w:pPr>
    </w:p>
    <w:p>
      <w:pPr>
        <w:spacing w:line="360" w:lineRule="auto"/>
        <w:ind w:firstLine="480" w:firstLineChars="200"/>
        <w:rPr>
          <w:rFonts w:ascii="宋体" w:hAnsi="宋体"/>
          <w:color w:val="000000"/>
          <w:sz w:val="24"/>
        </w:rPr>
      </w:pPr>
      <w:bookmarkStart w:id="400" w:name="_Toc491724558"/>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400"/>
    </w:p>
    <w:p>
      <w:pPr>
        <w:spacing w:line="360" w:lineRule="auto"/>
        <w:ind w:firstLine="480" w:firstLineChars="200"/>
        <w:rPr>
          <w:rFonts w:ascii="宋体" w:hAnsi="宋体"/>
          <w:color w:val="000000"/>
          <w:sz w:val="24"/>
        </w:rPr>
      </w:pPr>
      <w:bookmarkStart w:id="401" w:name="_Toc491724559"/>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401"/>
    </w:p>
    <w:p>
      <w:pPr>
        <w:spacing w:line="360" w:lineRule="auto"/>
        <w:ind w:firstLine="480" w:firstLineChars="200"/>
        <w:rPr>
          <w:rFonts w:ascii="宋体" w:hAnsi="宋体"/>
          <w:color w:val="000000"/>
          <w:sz w:val="24"/>
        </w:rPr>
      </w:pPr>
      <w:bookmarkStart w:id="402" w:name="_Toc491724560"/>
      <w:r>
        <w:rPr>
          <w:rFonts w:hint="eastAsia" w:ascii="宋体" w:hAnsi="宋体"/>
          <w:color w:val="000000"/>
          <w:sz w:val="24"/>
        </w:rPr>
        <w:t>日期: XXXX。</w:t>
      </w:r>
      <w:bookmarkEnd w:id="402"/>
    </w:p>
    <w:p>
      <w:pPr>
        <w:pStyle w:val="5"/>
        <w:spacing w:line="400" w:lineRule="exact"/>
        <w:jc w:val="center"/>
        <w:rPr>
          <w:rFonts w:ascii="宋体" w:hAnsi="宋体"/>
          <w:color w:val="000000"/>
          <w:sz w:val="24"/>
        </w:rPr>
      </w:pPr>
      <w:bookmarkStart w:id="403" w:name="_Toc6308546"/>
      <w:bookmarkStart w:id="404" w:name="_Toc6308718"/>
      <w:bookmarkStart w:id="405" w:name="_Toc217446087"/>
      <w:r>
        <w:rPr>
          <w:rFonts w:hint="eastAsia" w:ascii="宋体" w:hAnsi="宋体"/>
          <w:color w:val="000000"/>
          <w:sz w:val="24"/>
        </w:rPr>
        <w:br w:type="page"/>
      </w:r>
      <w:bookmarkStart w:id="406" w:name="_Toc69141839"/>
      <w:r>
        <w:rPr>
          <w:rFonts w:hint="eastAsia" w:ascii="宋体" w:hAnsi="宋体"/>
          <w:color w:val="000000"/>
          <w:sz w:val="24"/>
        </w:rPr>
        <w:t>16.商务应答表</w:t>
      </w:r>
      <w:bookmarkEnd w:id="403"/>
      <w:bookmarkEnd w:id="404"/>
      <w:bookmarkEnd w:id="405"/>
      <w:bookmarkEnd w:id="406"/>
    </w:p>
    <w:p>
      <w:pPr>
        <w:rPr>
          <w:rFonts w:ascii="宋体" w:hAnsi="宋体"/>
          <w:color w:val="000000"/>
        </w:rPr>
      </w:pPr>
    </w:p>
    <w:p>
      <w:pPr>
        <w:spacing w:line="360" w:lineRule="auto"/>
        <w:rPr>
          <w:rFonts w:ascii="宋体" w:hAnsi="宋体"/>
          <w:color w:val="000000"/>
          <w:sz w:val="24"/>
        </w:rPr>
      </w:pPr>
      <w:bookmarkStart w:id="407" w:name="_Toc491724562"/>
      <w:r>
        <w:rPr>
          <w:rFonts w:hint="eastAsia" w:ascii="宋体" w:hAnsi="宋体"/>
          <w:color w:val="000000"/>
          <w:sz w:val="24"/>
        </w:rPr>
        <w:t>招标编号：                                第XX包</w:t>
      </w:r>
      <w:bookmarkEnd w:id="407"/>
      <w:r>
        <w:rPr>
          <w:rFonts w:hint="eastAsia" w:ascii="宋体" w:hAnsi="宋体"/>
          <w:color w:val="000000"/>
          <w:sz w:val="24"/>
        </w:rPr>
        <w:t xml:space="preserve">（如有分包）  </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395"/>
        <w:gridCol w:w="31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6" w:type="pct"/>
            <w:noWrap/>
            <w:vAlign w:val="center"/>
          </w:tcPr>
          <w:p>
            <w:pPr>
              <w:spacing w:line="360" w:lineRule="auto"/>
              <w:rPr>
                <w:rFonts w:ascii="宋体" w:hAnsi="宋体"/>
                <w:color w:val="000000"/>
                <w:sz w:val="24"/>
              </w:rPr>
            </w:pPr>
            <w:bookmarkStart w:id="408" w:name="_Toc491724563"/>
            <w:r>
              <w:rPr>
                <w:rFonts w:hint="eastAsia" w:ascii="宋体" w:hAnsi="宋体"/>
                <w:color w:val="000000"/>
                <w:sz w:val="24"/>
              </w:rPr>
              <w:t>序号</w:t>
            </w:r>
            <w:bookmarkEnd w:id="408"/>
          </w:p>
        </w:tc>
        <w:tc>
          <w:tcPr>
            <w:tcW w:w="1303" w:type="pct"/>
            <w:noWrap/>
            <w:vAlign w:val="center"/>
          </w:tcPr>
          <w:p>
            <w:pPr>
              <w:spacing w:line="360" w:lineRule="auto"/>
              <w:rPr>
                <w:rFonts w:ascii="宋体" w:hAnsi="宋体"/>
                <w:color w:val="000000"/>
                <w:sz w:val="24"/>
              </w:rPr>
            </w:pPr>
            <w:bookmarkStart w:id="409" w:name="_Toc491724564"/>
            <w:r>
              <w:rPr>
                <w:rFonts w:hint="eastAsia" w:ascii="宋体" w:hAnsi="宋体"/>
                <w:color w:val="000000"/>
                <w:sz w:val="24"/>
              </w:rPr>
              <w:t>招标要求</w:t>
            </w:r>
            <w:bookmarkEnd w:id="409"/>
          </w:p>
        </w:tc>
        <w:tc>
          <w:tcPr>
            <w:tcW w:w="1715" w:type="pct"/>
            <w:noWrap/>
            <w:vAlign w:val="center"/>
          </w:tcPr>
          <w:p>
            <w:pPr>
              <w:spacing w:line="360" w:lineRule="auto"/>
              <w:rPr>
                <w:rFonts w:ascii="宋体" w:hAnsi="宋体"/>
                <w:color w:val="000000"/>
                <w:sz w:val="24"/>
              </w:rPr>
            </w:pPr>
            <w:bookmarkStart w:id="410" w:name="_Toc491724565"/>
            <w:r>
              <w:rPr>
                <w:rFonts w:hint="eastAsia" w:ascii="宋体" w:hAnsi="宋体"/>
                <w:color w:val="000000"/>
                <w:sz w:val="24"/>
              </w:rPr>
              <w:t>投标应答</w:t>
            </w:r>
            <w:bookmarkEnd w:id="410"/>
          </w:p>
        </w:tc>
        <w:tc>
          <w:tcPr>
            <w:tcW w:w="1465" w:type="pct"/>
            <w:noWrap/>
            <w:vAlign w:val="center"/>
          </w:tcPr>
          <w:p>
            <w:pPr>
              <w:spacing w:line="360" w:lineRule="auto"/>
              <w:rPr>
                <w:rFonts w:ascii="宋体" w:hAnsi="宋体"/>
                <w:color w:val="000000"/>
                <w:sz w:val="24"/>
              </w:rPr>
            </w:pPr>
            <w:bookmarkStart w:id="411" w:name="_Toc491724566"/>
            <w:r>
              <w:rPr>
                <w:rFonts w:hint="eastAsia" w:ascii="宋体" w:hAnsi="宋体"/>
                <w:color w:val="000000"/>
                <w:sz w:val="24"/>
              </w:rPr>
              <w:t>响应/偏离</w:t>
            </w:r>
            <w:bookmarkEnd w:id="4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6" w:type="pct"/>
            <w:noWrap/>
          </w:tcPr>
          <w:p>
            <w:pPr>
              <w:spacing w:line="360" w:lineRule="auto"/>
              <w:rPr>
                <w:rFonts w:ascii="宋体" w:hAnsi="宋体"/>
                <w:color w:val="000000"/>
                <w:sz w:val="24"/>
              </w:rPr>
            </w:pPr>
          </w:p>
        </w:tc>
        <w:tc>
          <w:tcPr>
            <w:tcW w:w="1303" w:type="pct"/>
            <w:noWrap/>
          </w:tcPr>
          <w:p>
            <w:pPr>
              <w:spacing w:line="360" w:lineRule="auto"/>
              <w:rPr>
                <w:rFonts w:ascii="宋体" w:hAnsi="宋体"/>
                <w:color w:val="000000"/>
                <w:sz w:val="24"/>
              </w:rPr>
            </w:pPr>
          </w:p>
        </w:tc>
        <w:tc>
          <w:tcPr>
            <w:tcW w:w="1715" w:type="pct"/>
            <w:noWrap/>
          </w:tcPr>
          <w:p>
            <w:pPr>
              <w:spacing w:line="360" w:lineRule="auto"/>
              <w:rPr>
                <w:rFonts w:ascii="宋体" w:hAnsi="宋体"/>
                <w:color w:val="000000"/>
                <w:sz w:val="24"/>
              </w:rPr>
            </w:pPr>
          </w:p>
        </w:tc>
        <w:tc>
          <w:tcPr>
            <w:tcW w:w="1465"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6" w:type="pct"/>
            <w:noWrap/>
          </w:tcPr>
          <w:p>
            <w:pPr>
              <w:spacing w:line="360" w:lineRule="auto"/>
              <w:rPr>
                <w:rFonts w:ascii="宋体" w:hAnsi="宋体"/>
                <w:color w:val="000000"/>
                <w:sz w:val="24"/>
              </w:rPr>
            </w:pPr>
          </w:p>
        </w:tc>
        <w:tc>
          <w:tcPr>
            <w:tcW w:w="1303" w:type="pct"/>
            <w:noWrap/>
          </w:tcPr>
          <w:p>
            <w:pPr>
              <w:spacing w:line="360" w:lineRule="auto"/>
              <w:rPr>
                <w:rFonts w:ascii="宋体" w:hAnsi="宋体"/>
                <w:color w:val="000000"/>
                <w:sz w:val="24"/>
              </w:rPr>
            </w:pPr>
          </w:p>
        </w:tc>
        <w:tc>
          <w:tcPr>
            <w:tcW w:w="1715" w:type="pct"/>
            <w:noWrap/>
          </w:tcPr>
          <w:p>
            <w:pPr>
              <w:spacing w:line="360" w:lineRule="auto"/>
              <w:rPr>
                <w:rFonts w:ascii="宋体" w:hAnsi="宋体"/>
                <w:color w:val="000000"/>
                <w:sz w:val="24"/>
              </w:rPr>
            </w:pPr>
          </w:p>
        </w:tc>
        <w:tc>
          <w:tcPr>
            <w:tcW w:w="1465"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6" w:type="pct"/>
            <w:noWrap/>
          </w:tcPr>
          <w:p>
            <w:pPr>
              <w:spacing w:line="360" w:lineRule="auto"/>
              <w:rPr>
                <w:rFonts w:ascii="宋体" w:hAnsi="宋体"/>
                <w:color w:val="000000"/>
                <w:sz w:val="24"/>
              </w:rPr>
            </w:pPr>
          </w:p>
        </w:tc>
        <w:tc>
          <w:tcPr>
            <w:tcW w:w="1303" w:type="pct"/>
            <w:noWrap/>
          </w:tcPr>
          <w:p>
            <w:pPr>
              <w:spacing w:line="360" w:lineRule="auto"/>
              <w:rPr>
                <w:rFonts w:ascii="宋体" w:hAnsi="宋体"/>
                <w:color w:val="000000"/>
                <w:sz w:val="24"/>
              </w:rPr>
            </w:pPr>
          </w:p>
        </w:tc>
        <w:tc>
          <w:tcPr>
            <w:tcW w:w="1715" w:type="pct"/>
            <w:tcBorders>
              <w:bottom w:val="single" w:color="auto" w:sz="4" w:space="0"/>
            </w:tcBorders>
            <w:noWrap/>
          </w:tcPr>
          <w:p>
            <w:pPr>
              <w:spacing w:line="360" w:lineRule="auto"/>
              <w:rPr>
                <w:rFonts w:ascii="宋体" w:hAnsi="宋体"/>
                <w:color w:val="000000"/>
                <w:sz w:val="24"/>
              </w:rPr>
            </w:pPr>
          </w:p>
        </w:tc>
        <w:tc>
          <w:tcPr>
            <w:tcW w:w="1465"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6" w:type="pct"/>
            <w:noWrap/>
          </w:tcPr>
          <w:p>
            <w:pPr>
              <w:spacing w:line="360" w:lineRule="auto"/>
              <w:rPr>
                <w:rFonts w:ascii="宋体" w:hAnsi="宋体"/>
                <w:color w:val="000000"/>
                <w:sz w:val="24"/>
              </w:rPr>
            </w:pPr>
          </w:p>
        </w:tc>
        <w:tc>
          <w:tcPr>
            <w:tcW w:w="1303" w:type="pct"/>
            <w:tcBorders>
              <w:right w:val="single" w:color="auto" w:sz="4" w:space="0"/>
            </w:tcBorders>
            <w:noWrap/>
          </w:tcPr>
          <w:p>
            <w:pPr>
              <w:spacing w:line="360" w:lineRule="auto"/>
              <w:rPr>
                <w:rFonts w:ascii="宋体" w:hAnsi="宋体"/>
                <w:color w:val="000000"/>
                <w:sz w:val="24"/>
              </w:rPr>
            </w:pPr>
          </w:p>
        </w:tc>
        <w:tc>
          <w:tcPr>
            <w:tcW w:w="1715" w:type="pct"/>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000000"/>
                <w:sz w:val="24"/>
              </w:rPr>
            </w:pPr>
          </w:p>
        </w:tc>
        <w:tc>
          <w:tcPr>
            <w:tcW w:w="1465" w:type="pct"/>
            <w:tcBorders>
              <w:left w:val="single" w:color="auto" w:sz="4" w:space="0"/>
            </w:tcBorders>
            <w:noWrap/>
          </w:tcPr>
          <w:p>
            <w:pPr>
              <w:spacing w:line="360" w:lineRule="auto"/>
              <w:rPr>
                <w:rFonts w:ascii="宋体" w:hAnsi="宋体"/>
                <w:color w:val="000000"/>
                <w:sz w:val="24"/>
              </w:rPr>
            </w:pPr>
          </w:p>
        </w:tc>
      </w:tr>
    </w:tbl>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注：</w:t>
      </w:r>
    </w:p>
    <w:p>
      <w:pPr>
        <w:spacing w:line="360" w:lineRule="auto"/>
        <w:rPr>
          <w:rFonts w:ascii="宋体" w:hAnsi="宋体"/>
          <w:color w:val="000000"/>
          <w:sz w:val="24"/>
        </w:rPr>
      </w:pPr>
      <w:r>
        <w:rPr>
          <w:rFonts w:hint="eastAsia" w:ascii="宋体" w:hAnsi="宋体"/>
          <w:color w:val="000000"/>
          <w:sz w:val="24"/>
        </w:rPr>
        <w:t>1. 供应商应按招标文件</w:t>
      </w:r>
      <w:r>
        <w:rPr>
          <w:rFonts w:hint="eastAsia" w:ascii="宋体" w:hAnsi="宋体"/>
          <w:b/>
          <w:bCs/>
          <w:color w:val="0000FF"/>
          <w:sz w:val="24"/>
        </w:rPr>
        <w:t>第五章要求将相应</w:t>
      </w:r>
      <w:r>
        <w:rPr>
          <w:rFonts w:hint="eastAsia" w:ascii="宋体" w:hAnsi="宋体"/>
          <w:color w:val="000000"/>
          <w:sz w:val="24"/>
        </w:rPr>
        <w:t>商务要求列入此表并逐条应答。</w:t>
      </w:r>
    </w:p>
    <w:p>
      <w:pPr>
        <w:spacing w:line="360" w:lineRule="auto"/>
        <w:rPr>
          <w:rFonts w:ascii="宋体" w:hAnsi="宋体"/>
          <w:color w:val="000000"/>
          <w:sz w:val="24"/>
        </w:rPr>
      </w:pPr>
      <w:r>
        <w:rPr>
          <w:rFonts w:hint="eastAsia" w:ascii="宋体" w:hAnsi="宋体"/>
          <w:color w:val="000000"/>
          <w:sz w:val="24"/>
        </w:rPr>
        <w:t>2．供应商必须据实填写，不得虚假填写，否则将取消其投标或中标资格。</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bookmarkStart w:id="412" w:name="_Toc491724568"/>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412"/>
    </w:p>
    <w:p>
      <w:pPr>
        <w:spacing w:line="360" w:lineRule="auto"/>
        <w:rPr>
          <w:rFonts w:ascii="宋体" w:hAnsi="宋体"/>
          <w:color w:val="000000"/>
          <w:sz w:val="24"/>
        </w:rPr>
      </w:pPr>
      <w:bookmarkStart w:id="413" w:name="_Toc491724569"/>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413"/>
    </w:p>
    <w:p>
      <w:pPr>
        <w:spacing w:line="360" w:lineRule="auto"/>
        <w:rPr>
          <w:rFonts w:ascii="宋体" w:hAnsi="宋体"/>
          <w:color w:val="000000"/>
          <w:sz w:val="24"/>
        </w:rPr>
      </w:pPr>
      <w:bookmarkStart w:id="414" w:name="_Toc491724570"/>
      <w:r>
        <w:rPr>
          <w:rFonts w:hint="eastAsia" w:ascii="宋体" w:hAnsi="宋体"/>
          <w:color w:val="000000"/>
          <w:sz w:val="24"/>
        </w:rPr>
        <w:t>日期: XXXX。</w:t>
      </w:r>
      <w:bookmarkEnd w:id="414"/>
    </w:p>
    <w:p>
      <w:pPr>
        <w:spacing w:line="360" w:lineRule="auto"/>
        <w:rPr>
          <w:rFonts w:ascii="宋体" w:hAnsi="宋体"/>
          <w:color w:val="000000"/>
          <w:sz w:val="24"/>
        </w:rPr>
      </w:pPr>
    </w:p>
    <w:p>
      <w:pPr>
        <w:spacing w:line="360" w:lineRule="auto"/>
        <w:rPr>
          <w:rFonts w:ascii="宋体" w:hAnsi="宋体"/>
          <w:color w:val="000000"/>
          <w:sz w:val="24"/>
        </w:rPr>
      </w:pPr>
    </w:p>
    <w:p>
      <w:pPr>
        <w:widowControl/>
        <w:spacing w:line="360" w:lineRule="atLeast"/>
        <w:ind w:firstLine="472" w:firstLineChars="196"/>
        <w:jc w:val="left"/>
        <w:outlineLvl w:val="1"/>
        <w:rPr>
          <w:rFonts w:ascii="宋体" w:hAnsi="宋体"/>
          <w:b/>
          <w:color w:val="000000"/>
          <w:sz w:val="24"/>
        </w:rPr>
      </w:pPr>
    </w:p>
    <w:p>
      <w:pPr>
        <w:widowControl/>
        <w:spacing w:line="360" w:lineRule="atLeast"/>
        <w:ind w:firstLine="472" w:firstLineChars="196"/>
        <w:jc w:val="left"/>
        <w:outlineLvl w:val="1"/>
        <w:rPr>
          <w:rFonts w:ascii="宋体" w:hAnsi="宋体"/>
          <w:b/>
          <w:color w:val="000000"/>
          <w:sz w:val="24"/>
        </w:rPr>
      </w:pPr>
    </w:p>
    <w:p>
      <w:pPr>
        <w:widowControl/>
        <w:spacing w:line="360" w:lineRule="atLeast"/>
        <w:ind w:firstLine="472" w:firstLineChars="196"/>
        <w:jc w:val="left"/>
        <w:outlineLvl w:val="1"/>
        <w:rPr>
          <w:rFonts w:ascii="宋体" w:hAnsi="宋体"/>
          <w:b/>
          <w:color w:val="000000"/>
          <w:sz w:val="24"/>
        </w:rPr>
      </w:pPr>
    </w:p>
    <w:p>
      <w:pPr>
        <w:pStyle w:val="5"/>
        <w:spacing w:line="400" w:lineRule="exact"/>
        <w:ind w:firstLine="482" w:firstLineChars="200"/>
        <w:jc w:val="center"/>
        <w:rPr>
          <w:rFonts w:ascii="宋体" w:hAnsi="宋体"/>
          <w:color w:val="000000"/>
          <w:sz w:val="24"/>
        </w:rPr>
      </w:pPr>
      <w:bookmarkStart w:id="415" w:name="_Toc217446090"/>
      <w:bookmarkStart w:id="416" w:name="_Toc6308719"/>
      <w:bookmarkStart w:id="417" w:name="_Toc6308547"/>
      <w:r>
        <w:rPr>
          <w:rFonts w:hint="eastAsia" w:ascii="宋体" w:hAnsi="宋体"/>
          <w:color w:val="000000"/>
          <w:sz w:val="24"/>
        </w:rPr>
        <w:br w:type="page"/>
      </w:r>
      <w:bookmarkStart w:id="418" w:name="_Toc69141840"/>
      <w:r>
        <w:rPr>
          <w:rFonts w:hint="eastAsia" w:ascii="宋体" w:hAnsi="宋体"/>
          <w:color w:val="000000"/>
          <w:sz w:val="24"/>
        </w:rPr>
        <w:t>17.技术</w:t>
      </w:r>
      <w:bookmarkEnd w:id="415"/>
      <w:r>
        <w:rPr>
          <w:rFonts w:hint="eastAsia" w:ascii="宋体" w:hAnsi="宋体"/>
          <w:color w:val="000000"/>
          <w:sz w:val="24"/>
        </w:rPr>
        <w:t>/服务应答表</w:t>
      </w:r>
      <w:bookmarkEnd w:id="416"/>
      <w:bookmarkEnd w:id="417"/>
      <w:bookmarkEnd w:id="418"/>
    </w:p>
    <w:p>
      <w:pPr>
        <w:widowControl/>
        <w:spacing w:line="360" w:lineRule="atLeast"/>
        <w:ind w:firstLine="472" w:firstLineChars="196"/>
        <w:jc w:val="left"/>
        <w:outlineLvl w:val="1"/>
        <w:rPr>
          <w:rFonts w:ascii="宋体" w:hAnsi="宋体"/>
          <w:b/>
          <w:color w:val="000000"/>
          <w:sz w:val="24"/>
        </w:rPr>
      </w:pPr>
    </w:p>
    <w:p>
      <w:pPr>
        <w:spacing w:line="360" w:lineRule="auto"/>
        <w:rPr>
          <w:rFonts w:ascii="宋体" w:hAnsi="宋体"/>
          <w:color w:val="000000"/>
          <w:sz w:val="24"/>
        </w:rPr>
      </w:pPr>
      <w:bookmarkStart w:id="419" w:name="_Toc491724572"/>
      <w:r>
        <w:rPr>
          <w:rFonts w:hint="eastAsia" w:ascii="宋体" w:hAnsi="宋体"/>
          <w:color w:val="000000"/>
          <w:sz w:val="24"/>
        </w:rPr>
        <w:t>招标编号：                                   第XX包：</w:t>
      </w:r>
      <w:bookmarkEnd w:id="419"/>
      <w:r>
        <w:rPr>
          <w:rFonts w:hint="eastAsia" w:ascii="宋体" w:hAnsi="宋体"/>
          <w:color w:val="000000"/>
          <w:sz w:val="24"/>
        </w:rPr>
        <w:t xml:space="preserve">（如有分包） </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947"/>
        <w:gridCol w:w="1514"/>
        <w:gridCol w:w="1081"/>
        <w:gridCol w:w="2271"/>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8" w:type="pct"/>
            <w:noWrap/>
            <w:vAlign w:val="center"/>
          </w:tcPr>
          <w:p>
            <w:pPr>
              <w:spacing w:line="360" w:lineRule="auto"/>
              <w:jc w:val="center"/>
              <w:rPr>
                <w:rFonts w:ascii="宋体" w:hAnsi="宋体"/>
                <w:color w:val="000000"/>
                <w:sz w:val="24"/>
              </w:rPr>
            </w:pPr>
            <w:bookmarkStart w:id="420" w:name="_Toc491724573"/>
            <w:r>
              <w:rPr>
                <w:rFonts w:hint="eastAsia" w:ascii="宋体" w:hAnsi="宋体"/>
                <w:color w:val="000000"/>
                <w:sz w:val="24"/>
              </w:rPr>
              <w:t>序号</w:t>
            </w:r>
            <w:bookmarkEnd w:id="420"/>
          </w:p>
        </w:tc>
        <w:tc>
          <w:tcPr>
            <w:tcW w:w="818" w:type="pct"/>
            <w:noWrap/>
            <w:vAlign w:val="center"/>
          </w:tcPr>
          <w:p>
            <w:pPr>
              <w:spacing w:line="360" w:lineRule="auto"/>
              <w:jc w:val="center"/>
              <w:rPr>
                <w:rFonts w:ascii="宋体" w:hAnsi="宋体"/>
                <w:color w:val="000000"/>
                <w:sz w:val="24"/>
              </w:rPr>
            </w:pPr>
            <w:bookmarkStart w:id="421" w:name="_Toc491724574"/>
            <w:r>
              <w:rPr>
                <w:rFonts w:hint="eastAsia" w:ascii="宋体" w:hAnsi="宋体"/>
                <w:color w:val="000000"/>
                <w:sz w:val="24"/>
              </w:rPr>
              <w:t>货物（设备）名称</w:t>
            </w:r>
            <w:bookmarkEnd w:id="421"/>
          </w:p>
        </w:tc>
        <w:tc>
          <w:tcPr>
            <w:tcW w:w="1021" w:type="pct"/>
            <w:noWrap/>
            <w:vAlign w:val="center"/>
          </w:tcPr>
          <w:p>
            <w:pPr>
              <w:spacing w:line="360" w:lineRule="auto"/>
              <w:jc w:val="center"/>
              <w:rPr>
                <w:rFonts w:ascii="宋体" w:hAnsi="宋体"/>
                <w:color w:val="000000"/>
                <w:sz w:val="24"/>
              </w:rPr>
            </w:pPr>
            <w:bookmarkStart w:id="422" w:name="_Toc491724575"/>
            <w:r>
              <w:rPr>
                <w:rFonts w:hint="eastAsia" w:ascii="宋体" w:hAnsi="宋体"/>
                <w:color w:val="000000"/>
                <w:sz w:val="24"/>
              </w:rPr>
              <w:t>招标文件要求</w:t>
            </w:r>
            <w:bookmarkEnd w:id="422"/>
          </w:p>
        </w:tc>
        <w:tc>
          <w:tcPr>
            <w:tcW w:w="745" w:type="pct"/>
            <w:noWrap/>
            <w:vAlign w:val="center"/>
          </w:tcPr>
          <w:p>
            <w:pPr>
              <w:spacing w:line="360" w:lineRule="auto"/>
              <w:jc w:val="center"/>
              <w:rPr>
                <w:rFonts w:ascii="宋体" w:hAnsi="宋体"/>
                <w:color w:val="000000"/>
                <w:sz w:val="24"/>
              </w:rPr>
            </w:pPr>
            <w:bookmarkStart w:id="423" w:name="_Toc491724576"/>
            <w:r>
              <w:rPr>
                <w:rFonts w:hint="eastAsia" w:ascii="宋体" w:hAnsi="宋体"/>
                <w:color w:val="000000"/>
                <w:sz w:val="24"/>
              </w:rPr>
              <w:t>投标</w:t>
            </w:r>
            <w:bookmarkEnd w:id="423"/>
            <w:r>
              <w:rPr>
                <w:rFonts w:hint="eastAsia" w:ascii="宋体" w:hAnsi="宋体"/>
                <w:color w:val="000000"/>
                <w:sz w:val="24"/>
              </w:rPr>
              <w:t>应答</w:t>
            </w:r>
          </w:p>
        </w:tc>
        <w:tc>
          <w:tcPr>
            <w:tcW w:w="1275" w:type="pct"/>
            <w:noWrap/>
            <w:vAlign w:val="center"/>
          </w:tcPr>
          <w:p>
            <w:pPr>
              <w:spacing w:line="360" w:lineRule="auto"/>
              <w:jc w:val="center"/>
              <w:rPr>
                <w:rFonts w:ascii="宋体" w:hAnsi="宋体"/>
                <w:color w:val="000000"/>
                <w:sz w:val="24"/>
              </w:rPr>
            </w:pPr>
            <w:bookmarkStart w:id="424" w:name="_Toc491724577"/>
            <w:r>
              <w:rPr>
                <w:rFonts w:hint="eastAsia" w:ascii="宋体" w:hAnsi="宋体"/>
                <w:color w:val="000000"/>
                <w:sz w:val="24"/>
              </w:rPr>
              <w:t>响应/偏离</w:t>
            </w:r>
            <w:bookmarkEnd w:id="424"/>
            <w:r>
              <w:rPr>
                <w:rFonts w:hint="eastAsia" w:ascii="宋体" w:hAnsi="宋体"/>
                <w:color w:val="000000"/>
                <w:sz w:val="24"/>
              </w:rPr>
              <w:t>（正、负）</w:t>
            </w:r>
          </w:p>
        </w:tc>
        <w:tc>
          <w:tcPr>
            <w:tcW w:w="741" w:type="pct"/>
            <w:noWrap/>
            <w:vAlign w:val="center"/>
          </w:tcPr>
          <w:p>
            <w:pPr>
              <w:spacing w:line="360" w:lineRule="auto"/>
              <w:jc w:val="center"/>
              <w:rPr>
                <w:rFonts w:ascii="宋体" w:hAnsi="宋体"/>
                <w:color w:val="000000"/>
                <w:sz w:val="24"/>
              </w:rPr>
            </w:pPr>
            <w:r>
              <w:rPr>
                <w:rFonts w:hint="eastAsia" w:ascii="宋体" w:hAnsi="宋体"/>
                <w:color w:val="000000"/>
                <w:sz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000000"/>
                <w:sz w:val="24"/>
              </w:rPr>
            </w:pPr>
          </w:p>
        </w:tc>
        <w:tc>
          <w:tcPr>
            <w:tcW w:w="818" w:type="pct"/>
            <w:noWrap/>
          </w:tcPr>
          <w:p>
            <w:pPr>
              <w:spacing w:line="360" w:lineRule="auto"/>
              <w:rPr>
                <w:rFonts w:ascii="宋体" w:hAnsi="宋体"/>
                <w:color w:val="000000"/>
                <w:sz w:val="24"/>
              </w:rPr>
            </w:pPr>
          </w:p>
        </w:tc>
        <w:tc>
          <w:tcPr>
            <w:tcW w:w="1021" w:type="pct"/>
            <w:noWrap/>
          </w:tcPr>
          <w:p>
            <w:pPr>
              <w:spacing w:line="360" w:lineRule="auto"/>
              <w:rPr>
                <w:rFonts w:ascii="宋体" w:hAnsi="宋体"/>
                <w:color w:val="000000"/>
                <w:sz w:val="24"/>
              </w:rPr>
            </w:pPr>
          </w:p>
        </w:tc>
        <w:tc>
          <w:tcPr>
            <w:tcW w:w="745" w:type="pct"/>
            <w:noWrap/>
          </w:tcPr>
          <w:p>
            <w:pPr>
              <w:spacing w:line="360" w:lineRule="auto"/>
              <w:rPr>
                <w:rFonts w:ascii="宋体" w:hAnsi="宋体"/>
                <w:color w:val="000000"/>
                <w:sz w:val="24"/>
              </w:rPr>
            </w:pPr>
          </w:p>
        </w:tc>
        <w:tc>
          <w:tcPr>
            <w:tcW w:w="1275" w:type="pct"/>
            <w:noWrap/>
          </w:tcPr>
          <w:p>
            <w:pPr>
              <w:spacing w:line="360" w:lineRule="auto"/>
              <w:rPr>
                <w:rFonts w:ascii="宋体" w:hAnsi="宋体"/>
                <w:color w:val="000000"/>
                <w:sz w:val="24"/>
              </w:rPr>
            </w:pPr>
          </w:p>
        </w:tc>
        <w:tc>
          <w:tcPr>
            <w:tcW w:w="741"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000000"/>
                <w:sz w:val="24"/>
              </w:rPr>
            </w:pPr>
          </w:p>
        </w:tc>
        <w:tc>
          <w:tcPr>
            <w:tcW w:w="818" w:type="pct"/>
            <w:noWrap/>
          </w:tcPr>
          <w:p>
            <w:pPr>
              <w:spacing w:line="360" w:lineRule="auto"/>
              <w:rPr>
                <w:rFonts w:ascii="宋体" w:hAnsi="宋体"/>
                <w:color w:val="000000"/>
                <w:sz w:val="24"/>
              </w:rPr>
            </w:pPr>
          </w:p>
        </w:tc>
        <w:tc>
          <w:tcPr>
            <w:tcW w:w="1021" w:type="pct"/>
            <w:noWrap/>
          </w:tcPr>
          <w:p>
            <w:pPr>
              <w:spacing w:line="360" w:lineRule="auto"/>
              <w:rPr>
                <w:rFonts w:ascii="宋体" w:hAnsi="宋体"/>
                <w:color w:val="000000"/>
                <w:sz w:val="24"/>
              </w:rPr>
            </w:pPr>
          </w:p>
        </w:tc>
        <w:tc>
          <w:tcPr>
            <w:tcW w:w="745" w:type="pct"/>
            <w:noWrap/>
          </w:tcPr>
          <w:p>
            <w:pPr>
              <w:spacing w:line="360" w:lineRule="auto"/>
              <w:rPr>
                <w:rFonts w:ascii="宋体" w:hAnsi="宋体"/>
                <w:color w:val="000000"/>
                <w:sz w:val="24"/>
              </w:rPr>
            </w:pPr>
          </w:p>
        </w:tc>
        <w:tc>
          <w:tcPr>
            <w:tcW w:w="1275" w:type="pct"/>
            <w:noWrap/>
          </w:tcPr>
          <w:p>
            <w:pPr>
              <w:spacing w:line="360" w:lineRule="auto"/>
              <w:rPr>
                <w:rFonts w:ascii="宋体" w:hAnsi="宋体"/>
                <w:color w:val="000000"/>
                <w:sz w:val="24"/>
              </w:rPr>
            </w:pPr>
          </w:p>
        </w:tc>
        <w:tc>
          <w:tcPr>
            <w:tcW w:w="741"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000000"/>
                <w:sz w:val="24"/>
              </w:rPr>
            </w:pPr>
          </w:p>
        </w:tc>
        <w:tc>
          <w:tcPr>
            <w:tcW w:w="818" w:type="pct"/>
            <w:noWrap/>
          </w:tcPr>
          <w:p>
            <w:pPr>
              <w:spacing w:line="360" w:lineRule="auto"/>
              <w:rPr>
                <w:rFonts w:ascii="宋体" w:hAnsi="宋体"/>
                <w:color w:val="000000"/>
                <w:sz w:val="24"/>
              </w:rPr>
            </w:pPr>
          </w:p>
        </w:tc>
        <w:tc>
          <w:tcPr>
            <w:tcW w:w="1021" w:type="pct"/>
            <w:noWrap/>
          </w:tcPr>
          <w:p>
            <w:pPr>
              <w:spacing w:line="360" w:lineRule="auto"/>
              <w:rPr>
                <w:rFonts w:ascii="宋体" w:hAnsi="宋体"/>
                <w:color w:val="000000"/>
                <w:sz w:val="24"/>
              </w:rPr>
            </w:pPr>
          </w:p>
        </w:tc>
        <w:tc>
          <w:tcPr>
            <w:tcW w:w="745" w:type="pct"/>
            <w:noWrap/>
          </w:tcPr>
          <w:p>
            <w:pPr>
              <w:spacing w:line="360" w:lineRule="auto"/>
              <w:rPr>
                <w:rFonts w:ascii="宋体" w:hAnsi="宋体"/>
                <w:color w:val="000000"/>
                <w:sz w:val="24"/>
              </w:rPr>
            </w:pPr>
          </w:p>
        </w:tc>
        <w:tc>
          <w:tcPr>
            <w:tcW w:w="1275" w:type="pct"/>
            <w:noWrap/>
          </w:tcPr>
          <w:p>
            <w:pPr>
              <w:spacing w:line="360" w:lineRule="auto"/>
              <w:rPr>
                <w:rFonts w:ascii="宋体" w:hAnsi="宋体"/>
                <w:color w:val="000000"/>
                <w:sz w:val="24"/>
              </w:rPr>
            </w:pPr>
          </w:p>
        </w:tc>
        <w:tc>
          <w:tcPr>
            <w:tcW w:w="741"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000000"/>
                <w:sz w:val="24"/>
              </w:rPr>
            </w:pPr>
          </w:p>
        </w:tc>
        <w:tc>
          <w:tcPr>
            <w:tcW w:w="818" w:type="pct"/>
            <w:noWrap/>
          </w:tcPr>
          <w:p>
            <w:pPr>
              <w:spacing w:line="360" w:lineRule="auto"/>
              <w:rPr>
                <w:rFonts w:ascii="宋体" w:hAnsi="宋体"/>
                <w:color w:val="000000"/>
                <w:sz w:val="24"/>
              </w:rPr>
            </w:pPr>
          </w:p>
        </w:tc>
        <w:tc>
          <w:tcPr>
            <w:tcW w:w="1021" w:type="pct"/>
            <w:noWrap/>
          </w:tcPr>
          <w:p>
            <w:pPr>
              <w:spacing w:line="360" w:lineRule="auto"/>
              <w:rPr>
                <w:rFonts w:ascii="宋体" w:hAnsi="宋体"/>
                <w:color w:val="000000"/>
                <w:sz w:val="24"/>
              </w:rPr>
            </w:pPr>
          </w:p>
        </w:tc>
        <w:tc>
          <w:tcPr>
            <w:tcW w:w="745" w:type="pct"/>
            <w:noWrap/>
          </w:tcPr>
          <w:p>
            <w:pPr>
              <w:spacing w:line="360" w:lineRule="auto"/>
              <w:rPr>
                <w:rFonts w:ascii="宋体" w:hAnsi="宋体"/>
                <w:color w:val="000000"/>
                <w:sz w:val="24"/>
              </w:rPr>
            </w:pPr>
          </w:p>
        </w:tc>
        <w:tc>
          <w:tcPr>
            <w:tcW w:w="1275" w:type="pct"/>
            <w:noWrap/>
          </w:tcPr>
          <w:p>
            <w:pPr>
              <w:spacing w:line="360" w:lineRule="auto"/>
              <w:rPr>
                <w:rFonts w:ascii="宋体" w:hAnsi="宋体"/>
                <w:color w:val="000000"/>
                <w:sz w:val="24"/>
              </w:rPr>
            </w:pPr>
          </w:p>
        </w:tc>
        <w:tc>
          <w:tcPr>
            <w:tcW w:w="741"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FF0000"/>
                <w:sz w:val="24"/>
              </w:rPr>
            </w:pPr>
          </w:p>
        </w:tc>
        <w:tc>
          <w:tcPr>
            <w:tcW w:w="818" w:type="pct"/>
            <w:noWrap/>
          </w:tcPr>
          <w:p>
            <w:pPr>
              <w:spacing w:line="360" w:lineRule="auto"/>
              <w:rPr>
                <w:rFonts w:ascii="宋体" w:hAnsi="宋体"/>
                <w:color w:val="FF0000"/>
                <w:sz w:val="24"/>
              </w:rPr>
            </w:pPr>
          </w:p>
        </w:tc>
        <w:tc>
          <w:tcPr>
            <w:tcW w:w="1021" w:type="pct"/>
            <w:noWrap/>
          </w:tcPr>
          <w:p>
            <w:pPr>
              <w:spacing w:line="360" w:lineRule="auto"/>
              <w:rPr>
                <w:rFonts w:ascii="宋体" w:hAnsi="宋体"/>
                <w:color w:val="FF0000"/>
                <w:sz w:val="24"/>
              </w:rPr>
            </w:pPr>
          </w:p>
        </w:tc>
        <w:tc>
          <w:tcPr>
            <w:tcW w:w="745" w:type="pct"/>
            <w:noWrap/>
          </w:tcPr>
          <w:p>
            <w:pPr>
              <w:spacing w:line="360" w:lineRule="auto"/>
              <w:rPr>
                <w:rFonts w:ascii="宋体" w:hAnsi="宋体"/>
                <w:color w:val="FF0000"/>
                <w:sz w:val="24"/>
              </w:rPr>
            </w:pPr>
          </w:p>
        </w:tc>
        <w:tc>
          <w:tcPr>
            <w:tcW w:w="1275" w:type="pct"/>
            <w:noWrap/>
          </w:tcPr>
          <w:p>
            <w:pPr>
              <w:spacing w:line="360" w:lineRule="auto"/>
              <w:rPr>
                <w:rFonts w:ascii="宋体" w:hAnsi="宋体"/>
                <w:color w:val="FF0000"/>
                <w:sz w:val="24"/>
              </w:rPr>
            </w:pPr>
          </w:p>
        </w:tc>
        <w:tc>
          <w:tcPr>
            <w:tcW w:w="741" w:type="pct"/>
            <w:noWrap/>
          </w:tcPr>
          <w:p>
            <w:pPr>
              <w:spacing w:line="360" w:lineRule="auto"/>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FF0000"/>
                <w:sz w:val="24"/>
              </w:rPr>
            </w:pPr>
          </w:p>
        </w:tc>
        <w:tc>
          <w:tcPr>
            <w:tcW w:w="818" w:type="pct"/>
            <w:noWrap/>
          </w:tcPr>
          <w:p>
            <w:pPr>
              <w:spacing w:line="360" w:lineRule="auto"/>
              <w:rPr>
                <w:rFonts w:ascii="宋体" w:hAnsi="宋体"/>
                <w:color w:val="FF0000"/>
                <w:sz w:val="24"/>
              </w:rPr>
            </w:pPr>
          </w:p>
        </w:tc>
        <w:tc>
          <w:tcPr>
            <w:tcW w:w="1021" w:type="pct"/>
            <w:noWrap/>
          </w:tcPr>
          <w:p>
            <w:pPr>
              <w:spacing w:line="360" w:lineRule="auto"/>
              <w:rPr>
                <w:rFonts w:ascii="宋体" w:hAnsi="宋体"/>
                <w:color w:val="FF0000"/>
                <w:sz w:val="24"/>
              </w:rPr>
            </w:pPr>
          </w:p>
        </w:tc>
        <w:tc>
          <w:tcPr>
            <w:tcW w:w="745" w:type="pct"/>
            <w:noWrap/>
          </w:tcPr>
          <w:p>
            <w:pPr>
              <w:spacing w:line="360" w:lineRule="auto"/>
              <w:rPr>
                <w:rFonts w:ascii="宋体" w:hAnsi="宋体"/>
                <w:color w:val="FF0000"/>
                <w:sz w:val="24"/>
              </w:rPr>
            </w:pPr>
          </w:p>
        </w:tc>
        <w:tc>
          <w:tcPr>
            <w:tcW w:w="1275" w:type="pct"/>
            <w:noWrap/>
          </w:tcPr>
          <w:p>
            <w:pPr>
              <w:spacing w:line="360" w:lineRule="auto"/>
              <w:rPr>
                <w:rFonts w:ascii="宋体" w:hAnsi="宋体"/>
                <w:color w:val="FF0000"/>
                <w:sz w:val="24"/>
              </w:rPr>
            </w:pPr>
          </w:p>
        </w:tc>
        <w:tc>
          <w:tcPr>
            <w:tcW w:w="741" w:type="pct"/>
            <w:noWrap/>
          </w:tcPr>
          <w:p>
            <w:pPr>
              <w:spacing w:line="360" w:lineRule="auto"/>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FF0000"/>
                <w:sz w:val="24"/>
              </w:rPr>
            </w:pPr>
          </w:p>
        </w:tc>
        <w:tc>
          <w:tcPr>
            <w:tcW w:w="818" w:type="pct"/>
            <w:noWrap/>
          </w:tcPr>
          <w:p>
            <w:pPr>
              <w:spacing w:line="360" w:lineRule="auto"/>
              <w:rPr>
                <w:rFonts w:ascii="宋体" w:hAnsi="宋体"/>
                <w:color w:val="FF0000"/>
                <w:sz w:val="24"/>
              </w:rPr>
            </w:pPr>
          </w:p>
        </w:tc>
        <w:tc>
          <w:tcPr>
            <w:tcW w:w="1021" w:type="pct"/>
            <w:noWrap/>
          </w:tcPr>
          <w:p>
            <w:pPr>
              <w:spacing w:line="360" w:lineRule="auto"/>
              <w:rPr>
                <w:rFonts w:ascii="宋体" w:hAnsi="宋体"/>
                <w:color w:val="FF0000"/>
                <w:sz w:val="24"/>
              </w:rPr>
            </w:pPr>
          </w:p>
        </w:tc>
        <w:tc>
          <w:tcPr>
            <w:tcW w:w="745" w:type="pct"/>
            <w:noWrap/>
          </w:tcPr>
          <w:p>
            <w:pPr>
              <w:spacing w:line="360" w:lineRule="auto"/>
              <w:rPr>
                <w:rFonts w:ascii="宋体" w:hAnsi="宋体"/>
                <w:color w:val="FF0000"/>
                <w:sz w:val="24"/>
              </w:rPr>
            </w:pPr>
          </w:p>
        </w:tc>
        <w:tc>
          <w:tcPr>
            <w:tcW w:w="1275" w:type="pct"/>
            <w:noWrap/>
          </w:tcPr>
          <w:p>
            <w:pPr>
              <w:spacing w:line="360" w:lineRule="auto"/>
              <w:rPr>
                <w:rFonts w:ascii="宋体" w:hAnsi="宋体"/>
                <w:color w:val="FF0000"/>
                <w:sz w:val="24"/>
              </w:rPr>
            </w:pPr>
          </w:p>
        </w:tc>
        <w:tc>
          <w:tcPr>
            <w:tcW w:w="741" w:type="pct"/>
            <w:noWrap/>
          </w:tcPr>
          <w:p>
            <w:pPr>
              <w:spacing w:line="360" w:lineRule="auto"/>
              <w:rPr>
                <w:rFonts w:ascii="宋体" w:hAnsi="宋体"/>
                <w:color w:val="FF0000"/>
                <w:sz w:val="24"/>
              </w:rPr>
            </w:pPr>
          </w:p>
        </w:tc>
      </w:tr>
    </w:tbl>
    <w:p>
      <w:pPr>
        <w:spacing w:line="360" w:lineRule="auto"/>
        <w:rPr>
          <w:rFonts w:ascii="宋体" w:hAnsi="宋体"/>
          <w:color w:val="000000"/>
          <w:sz w:val="24"/>
        </w:rPr>
      </w:pPr>
    </w:p>
    <w:p>
      <w:pPr>
        <w:spacing w:line="360" w:lineRule="auto"/>
        <w:rPr>
          <w:rFonts w:ascii="宋体" w:hAnsi="宋体"/>
          <w:color w:val="000000"/>
          <w:sz w:val="24"/>
        </w:rPr>
      </w:pPr>
      <w:bookmarkStart w:id="425" w:name="_Toc491724578"/>
      <w:r>
        <w:rPr>
          <w:rFonts w:hint="eastAsia" w:ascii="宋体" w:hAnsi="宋体"/>
          <w:color w:val="000000"/>
          <w:sz w:val="24"/>
        </w:rPr>
        <w:t>注：</w:t>
      </w:r>
      <w:bookmarkEnd w:id="425"/>
    </w:p>
    <w:p>
      <w:pPr>
        <w:spacing w:line="360" w:lineRule="auto"/>
        <w:rPr>
          <w:rFonts w:ascii="宋体" w:hAnsi="宋体"/>
          <w:color w:val="000000"/>
          <w:sz w:val="24"/>
        </w:rPr>
      </w:pPr>
      <w:bookmarkStart w:id="426" w:name="_Toc491724579"/>
      <w:r>
        <w:rPr>
          <w:rFonts w:hint="eastAsia" w:ascii="宋体" w:hAnsi="宋体"/>
          <w:color w:val="000000"/>
          <w:sz w:val="24"/>
        </w:rPr>
        <w:t>1. 供应商应把招标项目</w:t>
      </w:r>
      <w:r>
        <w:rPr>
          <w:rFonts w:hint="eastAsia" w:ascii="宋体" w:hAnsi="宋体"/>
          <w:b/>
          <w:bCs/>
          <w:color w:val="0000FF"/>
          <w:sz w:val="24"/>
        </w:rPr>
        <w:t>第五章</w:t>
      </w:r>
      <w:r>
        <w:rPr>
          <w:rFonts w:hint="eastAsia" w:ascii="宋体" w:hAnsi="宋体"/>
          <w:color w:val="000000"/>
          <w:sz w:val="24"/>
        </w:rPr>
        <w:t>的全部技术要求按顺序列入此表，并对照技术要求进行逐条应答。</w:t>
      </w:r>
      <w:bookmarkEnd w:id="426"/>
    </w:p>
    <w:p>
      <w:pPr>
        <w:spacing w:line="360" w:lineRule="auto"/>
        <w:rPr>
          <w:rFonts w:ascii="宋体" w:hAnsi="宋体"/>
          <w:color w:val="000000"/>
          <w:sz w:val="24"/>
        </w:rPr>
      </w:pPr>
      <w:bookmarkStart w:id="427" w:name="_Toc491724580"/>
      <w:r>
        <w:rPr>
          <w:rFonts w:hint="eastAsia" w:ascii="宋体" w:hAnsi="宋体"/>
          <w:color w:val="000000"/>
          <w:sz w:val="24"/>
        </w:rPr>
        <w:t>2．</w:t>
      </w:r>
      <w:bookmarkEnd w:id="427"/>
      <w:r>
        <w:rPr>
          <w:rFonts w:hint="eastAsia" w:ascii="宋体" w:hAnsi="宋体"/>
          <w:color w:val="000000"/>
          <w:sz w:val="24"/>
        </w:rPr>
        <w:t>偏离部分应明确作出偏离描述。</w:t>
      </w:r>
    </w:p>
    <w:p>
      <w:pPr>
        <w:spacing w:line="360" w:lineRule="auto"/>
        <w:rPr>
          <w:rFonts w:ascii="宋体" w:hAnsi="宋体"/>
          <w:color w:val="000000"/>
          <w:sz w:val="24"/>
        </w:rPr>
      </w:pPr>
      <w:bookmarkStart w:id="428" w:name="_Toc491724581"/>
      <w:r>
        <w:rPr>
          <w:rFonts w:hint="eastAsia" w:ascii="宋体" w:hAnsi="宋体"/>
          <w:color w:val="000000"/>
          <w:sz w:val="24"/>
        </w:rPr>
        <w:t>3．招标文件中要求对该部分内容提供证明材料的，投标人应按照要求提供相应证明材料，否则不予认可。</w:t>
      </w:r>
    </w:p>
    <w:p>
      <w:pPr>
        <w:spacing w:line="360" w:lineRule="auto"/>
        <w:rPr>
          <w:rFonts w:ascii="宋体" w:hAnsi="宋体"/>
          <w:color w:val="000000"/>
          <w:sz w:val="24"/>
        </w:rPr>
      </w:pPr>
      <w:r>
        <w:rPr>
          <w:rFonts w:hint="eastAsia" w:ascii="宋体" w:hAnsi="宋体"/>
          <w:color w:val="000000"/>
          <w:sz w:val="24"/>
        </w:rPr>
        <w:t>4.供应商必须据实填写，不得虚假填写，否则将取消其投标或中标资格。</w:t>
      </w:r>
      <w:bookmarkEnd w:id="428"/>
    </w:p>
    <w:p>
      <w:pPr>
        <w:spacing w:line="360" w:lineRule="auto"/>
        <w:rPr>
          <w:rFonts w:ascii="宋体" w:hAnsi="宋体"/>
          <w:color w:val="000000"/>
          <w:sz w:val="24"/>
        </w:rPr>
      </w:pPr>
    </w:p>
    <w:p>
      <w:pPr>
        <w:spacing w:line="360" w:lineRule="auto"/>
        <w:rPr>
          <w:rFonts w:ascii="宋体" w:hAnsi="宋体"/>
          <w:color w:val="000000"/>
          <w:sz w:val="24"/>
        </w:rPr>
      </w:pPr>
      <w:bookmarkStart w:id="429" w:name="_Toc491724582"/>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429"/>
    </w:p>
    <w:p>
      <w:pPr>
        <w:spacing w:line="360" w:lineRule="auto"/>
        <w:rPr>
          <w:rFonts w:ascii="宋体" w:hAnsi="宋体"/>
          <w:color w:val="000000"/>
          <w:sz w:val="24"/>
        </w:rPr>
      </w:pPr>
      <w:bookmarkStart w:id="430" w:name="_Toc491724584"/>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 XXXX。</w:t>
      </w:r>
      <w:bookmarkEnd w:id="430"/>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pStyle w:val="5"/>
        <w:spacing w:line="400" w:lineRule="exact"/>
        <w:ind w:firstLine="482" w:firstLineChars="200"/>
        <w:jc w:val="center"/>
        <w:rPr>
          <w:rFonts w:ascii="宋体" w:hAnsi="宋体"/>
          <w:color w:val="000000"/>
          <w:sz w:val="24"/>
        </w:rPr>
      </w:pPr>
      <w:bookmarkStart w:id="431" w:name="_Toc69141841"/>
      <w:bookmarkStart w:id="432" w:name="_Toc6308720"/>
      <w:bookmarkStart w:id="433" w:name="_Toc6308548"/>
      <w:bookmarkStart w:id="434" w:name="_Toc217446091"/>
      <w:r>
        <w:rPr>
          <w:rFonts w:hint="eastAsia" w:ascii="宋体" w:hAnsi="宋体"/>
          <w:color w:val="000000"/>
          <w:sz w:val="24"/>
        </w:rPr>
        <w:t>18.投标人本项目管理、技术、服务人员情况表</w:t>
      </w:r>
      <w:bookmarkEnd w:id="431"/>
      <w:bookmarkEnd w:id="432"/>
      <w:bookmarkEnd w:id="433"/>
      <w:bookmarkEnd w:id="434"/>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915"/>
        <w:gridCol w:w="915"/>
        <w:gridCol w:w="916"/>
        <w:gridCol w:w="936"/>
        <w:gridCol w:w="952"/>
        <w:gridCol w:w="1102"/>
        <w:gridCol w:w="96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restart"/>
            <w:noWrap/>
            <w:vAlign w:val="center"/>
          </w:tcPr>
          <w:p>
            <w:pPr>
              <w:spacing w:line="360" w:lineRule="auto"/>
              <w:jc w:val="center"/>
              <w:rPr>
                <w:rFonts w:ascii="宋体" w:hAnsi="宋体"/>
                <w:color w:val="000000"/>
                <w:sz w:val="24"/>
              </w:rPr>
            </w:pPr>
            <w:bookmarkStart w:id="435" w:name="_Toc491724586"/>
            <w:r>
              <w:rPr>
                <w:rFonts w:hint="eastAsia" w:ascii="宋体" w:hAnsi="宋体"/>
                <w:color w:val="000000"/>
                <w:sz w:val="24"/>
              </w:rPr>
              <w:t>类别</w:t>
            </w:r>
            <w:bookmarkEnd w:id="435"/>
          </w:p>
        </w:tc>
        <w:tc>
          <w:tcPr>
            <w:tcW w:w="532" w:type="pct"/>
            <w:vMerge w:val="restart"/>
            <w:noWrap/>
            <w:vAlign w:val="center"/>
          </w:tcPr>
          <w:p>
            <w:pPr>
              <w:spacing w:line="360" w:lineRule="auto"/>
              <w:jc w:val="center"/>
              <w:rPr>
                <w:rFonts w:ascii="宋体" w:hAnsi="宋体"/>
                <w:color w:val="000000"/>
                <w:sz w:val="24"/>
              </w:rPr>
            </w:pPr>
            <w:bookmarkStart w:id="436" w:name="_Toc491724587"/>
            <w:r>
              <w:rPr>
                <w:rFonts w:hint="eastAsia" w:ascii="宋体" w:hAnsi="宋体"/>
                <w:color w:val="000000"/>
                <w:sz w:val="24"/>
              </w:rPr>
              <w:t>职务</w:t>
            </w:r>
            <w:bookmarkEnd w:id="436"/>
          </w:p>
        </w:tc>
        <w:tc>
          <w:tcPr>
            <w:tcW w:w="532" w:type="pct"/>
            <w:vMerge w:val="restart"/>
            <w:noWrap/>
            <w:vAlign w:val="center"/>
          </w:tcPr>
          <w:p>
            <w:pPr>
              <w:spacing w:line="360" w:lineRule="auto"/>
              <w:jc w:val="center"/>
              <w:rPr>
                <w:rFonts w:ascii="宋体" w:hAnsi="宋体"/>
                <w:color w:val="000000"/>
                <w:sz w:val="24"/>
              </w:rPr>
            </w:pPr>
            <w:bookmarkStart w:id="437" w:name="_Toc491724588"/>
            <w:r>
              <w:rPr>
                <w:rFonts w:hint="eastAsia" w:ascii="宋体" w:hAnsi="宋体"/>
                <w:color w:val="000000"/>
                <w:sz w:val="24"/>
              </w:rPr>
              <w:t>姓名</w:t>
            </w:r>
            <w:bookmarkEnd w:id="437"/>
          </w:p>
        </w:tc>
        <w:tc>
          <w:tcPr>
            <w:tcW w:w="532" w:type="pct"/>
            <w:vMerge w:val="restart"/>
            <w:noWrap/>
            <w:vAlign w:val="center"/>
          </w:tcPr>
          <w:p>
            <w:pPr>
              <w:spacing w:line="360" w:lineRule="auto"/>
              <w:jc w:val="center"/>
              <w:rPr>
                <w:rFonts w:ascii="宋体" w:hAnsi="宋体"/>
                <w:color w:val="000000"/>
                <w:sz w:val="24"/>
              </w:rPr>
            </w:pPr>
            <w:bookmarkStart w:id="438" w:name="_Toc491724589"/>
            <w:r>
              <w:rPr>
                <w:rFonts w:hint="eastAsia" w:ascii="宋体" w:hAnsi="宋体"/>
                <w:color w:val="000000"/>
                <w:sz w:val="24"/>
              </w:rPr>
              <w:t>职称</w:t>
            </w:r>
            <w:bookmarkEnd w:id="438"/>
          </w:p>
        </w:tc>
        <w:tc>
          <w:tcPr>
            <w:tcW w:w="533" w:type="pct"/>
            <w:vMerge w:val="restart"/>
            <w:noWrap/>
            <w:vAlign w:val="center"/>
          </w:tcPr>
          <w:p>
            <w:pPr>
              <w:spacing w:line="360" w:lineRule="auto"/>
              <w:jc w:val="center"/>
              <w:rPr>
                <w:rFonts w:ascii="宋体" w:hAnsi="宋体"/>
                <w:color w:val="000000"/>
                <w:sz w:val="24"/>
              </w:rPr>
            </w:pPr>
            <w:bookmarkStart w:id="439" w:name="_Toc491724590"/>
            <w:r>
              <w:rPr>
                <w:rFonts w:hint="eastAsia" w:ascii="宋体" w:hAnsi="宋体"/>
                <w:color w:val="000000"/>
                <w:sz w:val="24"/>
              </w:rPr>
              <w:t>常住地</w:t>
            </w:r>
            <w:bookmarkEnd w:id="439"/>
          </w:p>
        </w:tc>
        <w:tc>
          <w:tcPr>
            <w:tcW w:w="2238" w:type="pct"/>
            <w:gridSpan w:val="4"/>
            <w:noWrap/>
            <w:vAlign w:val="center"/>
          </w:tcPr>
          <w:p>
            <w:pPr>
              <w:spacing w:line="360" w:lineRule="auto"/>
              <w:jc w:val="center"/>
              <w:rPr>
                <w:rFonts w:ascii="宋体" w:hAnsi="宋体"/>
                <w:color w:val="000000"/>
                <w:sz w:val="24"/>
              </w:rPr>
            </w:pPr>
            <w:bookmarkStart w:id="440" w:name="_Toc491724591"/>
            <w:r>
              <w:rPr>
                <w:rFonts w:hint="eastAsia" w:ascii="宋体" w:hAnsi="宋体"/>
                <w:color w:val="000000"/>
                <w:sz w:val="24"/>
              </w:rPr>
              <w:t>资格证明（附扫描件）</w:t>
            </w:r>
            <w:bookmarkEnd w:id="4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continue"/>
            <w:noWrap/>
            <w:vAlign w:val="center"/>
          </w:tcPr>
          <w:p>
            <w:pPr>
              <w:spacing w:line="360" w:lineRule="auto"/>
              <w:rPr>
                <w:rFonts w:ascii="宋体" w:hAnsi="宋体"/>
                <w:color w:val="000000"/>
                <w:sz w:val="24"/>
              </w:rPr>
            </w:pPr>
          </w:p>
        </w:tc>
        <w:tc>
          <w:tcPr>
            <w:tcW w:w="532" w:type="pct"/>
            <w:vMerge w:val="continue"/>
            <w:noWrap/>
            <w:vAlign w:val="center"/>
          </w:tcPr>
          <w:p>
            <w:pPr>
              <w:spacing w:line="360" w:lineRule="auto"/>
              <w:rPr>
                <w:rFonts w:ascii="宋体" w:hAnsi="宋体"/>
                <w:color w:val="000000"/>
                <w:sz w:val="24"/>
              </w:rPr>
            </w:pPr>
          </w:p>
        </w:tc>
        <w:tc>
          <w:tcPr>
            <w:tcW w:w="532" w:type="pct"/>
            <w:vMerge w:val="continue"/>
            <w:noWrap/>
            <w:vAlign w:val="center"/>
          </w:tcPr>
          <w:p>
            <w:pPr>
              <w:spacing w:line="360" w:lineRule="auto"/>
              <w:rPr>
                <w:rFonts w:ascii="宋体" w:hAnsi="宋体"/>
                <w:color w:val="000000"/>
                <w:sz w:val="24"/>
              </w:rPr>
            </w:pPr>
          </w:p>
        </w:tc>
        <w:tc>
          <w:tcPr>
            <w:tcW w:w="532" w:type="pct"/>
            <w:vMerge w:val="continue"/>
            <w:noWrap/>
            <w:vAlign w:val="center"/>
          </w:tcPr>
          <w:p>
            <w:pPr>
              <w:spacing w:line="360" w:lineRule="auto"/>
              <w:rPr>
                <w:rFonts w:ascii="宋体" w:hAnsi="宋体"/>
                <w:color w:val="000000"/>
                <w:sz w:val="24"/>
              </w:rPr>
            </w:pPr>
          </w:p>
        </w:tc>
        <w:tc>
          <w:tcPr>
            <w:tcW w:w="533" w:type="pct"/>
            <w:vMerge w:val="continue"/>
            <w:noWrap/>
            <w:vAlign w:val="center"/>
          </w:tcPr>
          <w:p>
            <w:pPr>
              <w:spacing w:line="360" w:lineRule="auto"/>
              <w:rPr>
                <w:rFonts w:ascii="宋体" w:hAnsi="宋体"/>
                <w:color w:val="000000"/>
                <w:sz w:val="24"/>
              </w:rPr>
            </w:pPr>
          </w:p>
        </w:tc>
        <w:tc>
          <w:tcPr>
            <w:tcW w:w="561" w:type="pct"/>
            <w:noWrap/>
            <w:vAlign w:val="center"/>
          </w:tcPr>
          <w:p>
            <w:pPr>
              <w:spacing w:line="360" w:lineRule="auto"/>
              <w:rPr>
                <w:rFonts w:ascii="宋体" w:hAnsi="宋体"/>
                <w:color w:val="000000"/>
                <w:sz w:val="24"/>
              </w:rPr>
            </w:pPr>
            <w:bookmarkStart w:id="441" w:name="_Toc491724592"/>
            <w:r>
              <w:rPr>
                <w:rFonts w:hint="eastAsia" w:ascii="宋体" w:hAnsi="宋体"/>
                <w:color w:val="000000"/>
                <w:sz w:val="24"/>
              </w:rPr>
              <w:t>证书</w:t>
            </w:r>
            <w:bookmarkEnd w:id="441"/>
          </w:p>
          <w:p>
            <w:pPr>
              <w:spacing w:line="360" w:lineRule="auto"/>
              <w:rPr>
                <w:rFonts w:ascii="宋体" w:hAnsi="宋体"/>
                <w:color w:val="000000"/>
                <w:sz w:val="24"/>
              </w:rPr>
            </w:pPr>
            <w:bookmarkStart w:id="442" w:name="_Toc491724593"/>
            <w:r>
              <w:rPr>
                <w:rFonts w:hint="eastAsia" w:ascii="宋体" w:hAnsi="宋体"/>
                <w:color w:val="000000"/>
                <w:sz w:val="24"/>
              </w:rPr>
              <w:t>名称</w:t>
            </w:r>
            <w:bookmarkEnd w:id="442"/>
          </w:p>
        </w:tc>
        <w:tc>
          <w:tcPr>
            <w:tcW w:w="633" w:type="pct"/>
            <w:noWrap/>
            <w:vAlign w:val="center"/>
          </w:tcPr>
          <w:p>
            <w:pPr>
              <w:spacing w:line="360" w:lineRule="auto"/>
              <w:rPr>
                <w:rFonts w:ascii="宋体" w:hAnsi="宋体"/>
                <w:color w:val="000000"/>
                <w:sz w:val="24"/>
              </w:rPr>
            </w:pPr>
            <w:bookmarkStart w:id="443" w:name="_Toc491724594"/>
            <w:r>
              <w:rPr>
                <w:rFonts w:hint="eastAsia" w:ascii="宋体" w:hAnsi="宋体"/>
                <w:color w:val="000000"/>
                <w:sz w:val="24"/>
              </w:rPr>
              <w:t>级别</w:t>
            </w:r>
            <w:bookmarkEnd w:id="443"/>
          </w:p>
        </w:tc>
        <w:tc>
          <w:tcPr>
            <w:tcW w:w="559" w:type="pct"/>
            <w:noWrap/>
            <w:vAlign w:val="center"/>
          </w:tcPr>
          <w:p>
            <w:pPr>
              <w:spacing w:line="360" w:lineRule="auto"/>
              <w:rPr>
                <w:rFonts w:ascii="宋体" w:hAnsi="宋体"/>
                <w:color w:val="000000"/>
                <w:sz w:val="24"/>
              </w:rPr>
            </w:pPr>
            <w:bookmarkStart w:id="444" w:name="_Toc491724595"/>
            <w:r>
              <w:rPr>
                <w:rFonts w:hint="eastAsia" w:ascii="宋体" w:hAnsi="宋体"/>
                <w:color w:val="000000"/>
                <w:sz w:val="24"/>
              </w:rPr>
              <w:t>证号</w:t>
            </w:r>
            <w:bookmarkEnd w:id="444"/>
          </w:p>
        </w:tc>
        <w:tc>
          <w:tcPr>
            <w:tcW w:w="483" w:type="pct"/>
            <w:noWrap/>
            <w:vAlign w:val="center"/>
          </w:tcPr>
          <w:p>
            <w:pPr>
              <w:spacing w:line="360" w:lineRule="auto"/>
              <w:rPr>
                <w:rFonts w:ascii="宋体" w:hAnsi="宋体"/>
                <w:color w:val="000000"/>
                <w:sz w:val="24"/>
              </w:rPr>
            </w:pPr>
            <w:bookmarkStart w:id="445" w:name="_Toc491724596"/>
            <w:r>
              <w:rPr>
                <w:rFonts w:hint="eastAsia" w:ascii="宋体" w:hAnsi="宋体"/>
                <w:color w:val="000000"/>
                <w:sz w:val="24"/>
              </w:rPr>
              <w:t>专业</w:t>
            </w:r>
            <w:bookmarkEnd w:id="4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30" w:type="pct"/>
            <w:vMerge w:val="restart"/>
            <w:noWrap/>
          </w:tcPr>
          <w:p>
            <w:pPr>
              <w:spacing w:line="360" w:lineRule="auto"/>
              <w:rPr>
                <w:rFonts w:ascii="宋体" w:hAnsi="宋体"/>
                <w:color w:val="000000"/>
                <w:sz w:val="24"/>
              </w:rPr>
            </w:pPr>
            <w:bookmarkStart w:id="446" w:name="_Toc491724597"/>
            <w:r>
              <w:rPr>
                <w:rFonts w:hint="eastAsia" w:ascii="宋体" w:hAnsi="宋体"/>
                <w:color w:val="000000"/>
                <w:sz w:val="24"/>
              </w:rPr>
              <w:t>管理</w:t>
            </w:r>
            <w:bookmarkEnd w:id="446"/>
          </w:p>
          <w:p>
            <w:pPr>
              <w:spacing w:line="360" w:lineRule="auto"/>
              <w:rPr>
                <w:rFonts w:ascii="宋体" w:hAnsi="宋体"/>
                <w:color w:val="000000"/>
                <w:sz w:val="24"/>
              </w:rPr>
            </w:pPr>
            <w:bookmarkStart w:id="447" w:name="_Toc491724598"/>
            <w:r>
              <w:rPr>
                <w:rFonts w:hint="eastAsia" w:ascii="宋体" w:hAnsi="宋体"/>
                <w:color w:val="000000"/>
                <w:sz w:val="24"/>
              </w:rPr>
              <w:t>人员</w:t>
            </w:r>
            <w:bookmarkEnd w:id="447"/>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continue"/>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30" w:type="pct"/>
            <w:vMerge w:val="continue"/>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restart"/>
            <w:noWrap/>
          </w:tcPr>
          <w:p>
            <w:pPr>
              <w:spacing w:line="360" w:lineRule="auto"/>
              <w:rPr>
                <w:rFonts w:ascii="宋体" w:hAnsi="宋体"/>
                <w:color w:val="000000"/>
                <w:sz w:val="24"/>
              </w:rPr>
            </w:pPr>
            <w:bookmarkStart w:id="448" w:name="_Toc491724599"/>
            <w:r>
              <w:rPr>
                <w:rFonts w:hint="eastAsia" w:ascii="宋体" w:hAnsi="宋体"/>
                <w:color w:val="000000"/>
                <w:sz w:val="24"/>
              </w:rPr>
              <w:t>技术</w:t>
            </w:r>
            <w:bookmarkEnd w:id="448"/>
          </w:p>
          <w:p>
            <w:pPr>
              <w:spacing w:line="360" w:lineRule="auto"/>
              <w:rPr>
                <w:rFonts w:ascii="宋体" w:hAnsi="宋体"/>
                <w:color w:val="000000"/>
                <w:sz w:val="24"/>
              </w:rPr>
            </w:pPr>
            <w:bookmarkStart w:id="449" w:name="_Toc491724600"/>
            <w:r>
              <w:rPr>
                <w:rFonts w:hint="eastAsia" w:ascii="宋体" w:hAnsi="宋体"/>
                <w:color w:val="000000"/>
                <w:sz w:val="24"/>
              </w:rPr>
              <w:t>人员</w:t>
            </w:r>
            <w:bookmarkEnd w:id="449"/>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30" w:type="pct"/>
            <w:vMerge w:val="continue"/>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continue"/>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30" w:type="pct"/>
            <w:vMerge w:val="restart"/>
            <w:noWrap/>
          </w:tcPr>
          <w:p>
            <w:pPr>
              <w:spacing w:line="360" w:lineRule="auto"/>
              <w:rPr>
                <w:rFonts w:ascii="宋体" w:hAnsi="宋体"/>
                <w:color w:val="000000"/>
                <w:sz w:val="24"/>
              </w:rPr>
            </w:pPr>
            <w:bookmarkStart w:id="450" w:name="_Toc491724601"/>
            <w:r>
              <w:rPr>
                <w:rFonts w:hint="eastAsia" w:ascii="宋体" w:hAnsi="宋体"/>
                <w:color w:val="000000"/>
                <w:sz w:val="24"/>
              </w:rPr>
              <w:t>售后服务人员</w:t>
            </w:r>
            <w:bookmarkEnd w:id="450"/>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continue"/>
            <w:tcBorders>
              <w:bottom w:val="single" w:color="auto" w:sz="4" w:space="0"/>
            </w:tcBorders>
            <w:noWrap/>
          </w:tcPr>
          <w:p>
            <w:pPr>
              <w:spacing w:line="360" w:lineRule="auto"/>
              <w:rPr>
                <w:rFonts w:ascii="宋体" w:hAnsi="宋体"/>
                <w:color w:val="000000"/>
                <w:sz w:val="24"/>
              </w:rPr>
            </w:pPr>
          </w:p>
        </w:tc>
        <w:tc>
          <w:tcPr>
            <w:tcW w:w="532" w:type="pct"/>
            <w:tcBorders>
              <w:bottom w:val="single" w:color="auto" w:sz="4" w:space="0"/>
            </w:tcBorders>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bl>
    <w:p>
      <w:pPr>
        <w:spacing w:line="360" w:lineRule="auto"/>
        <w:rPr>
          <w:rFonts w:ascii="宋体" w:hAnsi="宋体"/>
          <w:color w:val="000000"/>
          <w:sz w:val="24"/>
        </w:rPr>
      </w:pPr>
    </w:p>
    <w:p>
      <w:pPr>
        <w:spacing w:line="360" w:lineRule="auto"/>
        <w:rPr>
          <w:rFonts w:ascii="宋体" w:hAnsi="宋体"/>
          <w:color w:val="000000"/>
          <w:sz w:val="24"/>
        </w:rPr>
      </w:pPr>
      <w:bookmarkStart w:id="451" w:name="_Toc491724602"/>
      <w:r>
        <w:rPr>
          <w:rFonts w:hint="eastAsia" w:ascii="宋体" w:hAnsi="宋体"/>
          <w:color w:val="000000"/>
          <w:sz w:val="24"/>
        </w:rPr>
        <w:t>注：1.投标人可根据实际情况调整该表格内容。</w:t>
      </w:r>
    </w:p>
    <w:p>
      <w:pPr>
        <w:spacing w:line="360" w:lineRule="auto"/>
        <w:rPr>
          <w:rFonts w:ascii="宋体" w:hAnsi="宋体"/>
          <w:color w:val="000000"/>
          <w:sz w:val="24"/>
        </w:rPr>
      </w:pPr>
      <w:r>
        <w:rPr>
          <w:rFonts w:hint="eastAsia" w:ascii="宋体" w:hAnsi="宋体"/>
          <w:color w:val="000000"/>
          <w:sz w:val="24"/>
        </w:rPr>
        <w:t xml:space="preserve">    2.以上人员应按招标文件要求提供相应证明材料。</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451"/>
    </w:p>
    <w:p>
      <w:pPr>
        <w:spacing w:line="360" w:lineRule="auto"/>
        <w:rPr>
          <w:rFonts w:ascii="宋体" w:hAnsi="宋体"/>
          <w:color w:val="000000"/>
          <w:sz w:val="24"/>
        </w:rPr>
      </w:pPr>
      <w:bookmarkStart w:id="452" w:name="_Toc491724604"/>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 XXXX。</w:t>
      </w:r>
      <w:bookmarkEnd w:id="452"/>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pStyle w:val="5"/>
        <w:jc w:val="center"/>
        <w:rPr>
          <w:rFonts w:ascii="宋体" w:hAnsi="宋体"/>
          <w:color w:val="000000"/>
          <w:sz w:val="24"/>
        </w:rPr>
      </w:pPr>
      <w:bookmarkStart w:id="453" w:name="_Toc6308549"/>
      <w:bookmarkStart w:id="454" w:name="_Toc6308721"/>
      <w:r>
        <w:rPr>
          <w:rFonts w:hint="eastAsia" w:ascii="宋体" w:hAnsi="宋体"/>
          <w:color w:val="000000"/>
          <w:sz w:val="24"/>
          <w:szCs w:val="24"/>
        </w:rPr>
        <w:br w:type="page"/>
      </w:r>
      <w:bookmarkEnd w:id="453"/>
      <w:bookmarkEnd w:id="454"/>
    </w:p>
    <w:p>
      <w:pPr>
        <w:rPr>
          <w:rFonts w:ascii="宋体" w:hAnsi="宋体"/>
          <w:color w:val="000000"/>
          <w:sz w:val="24"/>
        </w:rPr>
      </w:pPr>
    </w:p>
    <w:p>
      <w:pPr>
        <w:pStyle w:val="5"/>
        <w:jc w:val="center"/>
        <w:rPr>
          <w:rFonts w:ascii="宋体" w:hAnsi="宋体"/>
          <w:color w:val="000000"/>
          <w:sz w:val="24"/>
          <w:szCs w:val="24"/>
        </w:rPr>
      </w:pPr>
      <w:bookmarkStart w:id="455" w:name="_Toc69141842"/>
      <w:bookmarkStart w:id="456" w:name="_Toc6308550"/>
      <w:bookmarkStart w:id="457" w:name="_Toc6308722"/>
      <w:r>
        <w:rPr>
          <w:rFonts w:hint="eastAsia" w:ascii="宋体" w:hAnsi="宋体"/>
          <w:color w:val="000000"/>
          <w:sz w:val="24"/>
          <w:szCs w:val="24"/>
        </w:rPr>
        <w:t>19.售后服务</w:t>
      </w:r>
      <w:bookmarkEnd w:id="455"/>
      <w:bookmarkEnd w:id="456"/>
      <w:bookmarkEnd w:id="457"/>
    </w:p>
    <w:p>
      <w:pPr>
        <w:widowControl/>
        <w:spacing w:line="360" w:lineRule="atLeast"/>
        <w:jc w:val="left"/>
        <w:outlineLvl w:val="1"/>
        <w:rPr>
          <w:rFonts w:ascii="宋体" w:hAnsi="宋体"/>
          <w:b/>
          <w:color w:val="000000"/>
          <w:sz w:val="24"/>
        </w:rPr>
      </w:pPr>
    </w:p>
    <w:p>
      <w:pPr>
        <w:jc w:val="center"/>
        <w:rPr>
          <w:rFonts w:ascii="宋体" w:hAnsi="宋体"/>
          <w:b/>
          <w:bCs/>
          <w:color w:val="000000"/>
          <w:sz w:val="24"/>
        </w:rPr>
      </w:pPr>
      <w:bookmarkStart w:id="458" w:name="_Toc491724607"/>
      <w:r>
        <w:rPr>
          <w:rFonts w:hint="eastAsia" w:ascii="宋体" w:hAnsi="宋体"/>
          <w:b/>
          <w:bCs/>
          <w:color w:val="000000"/>
          <w:sz w:val="24"/>
        </w:rPr>
        <w:t>注：提供针对本项目售后的实施方案、人员配置、售后服务网点设置等</w:t>
      </w:r>
      <w:bookmarkEnd w:id="458"/>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rPr>
          <w:rFonts w:ascii="宋体" w:hAnsi="宋体"/>
          <w:b/>
          <w:color w:val="000000"/>
          <w:sz w:val="24"/>
        </w:rPr>
      </w:pPr>
      <w:bookmarkStart w:id="459" w:name="_Toc217446093"/>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pStyle w:val="5"/>
        <w:jc w:val="center"/>
        <w:rPr>
          <w:rFonts w:ascii="宋体" w:hAnsi="宋体"/>
          <w:color w:val="000000"/>
          <w:sz w:val="24"/>
          <w:szCs w:val="24"/>
        </w:rPr>
      </w:pPr>
      <w:bookmarkStart w:id="460" w:name="_Toc22203"/>
      <w:bookmarkStart w:id="461" w:name="_Toc6308723"/>
      <w:bookmarkStart w:id="462" w:name="_Toc69141843"/>
      <w:bookmarkStart w:id="463" w:name="_Toc6308551"/>
      <w:r>
        <w:rPr>
          <w:rFonts w:hint="eastAsia" w:ascii="宋体" w:hAnsi="宋体"/>
          <w:color w:val="000000"/>
          <w:sz w:val="24"/>
          <w:szCs w:val="24"/>
        </w:rPr>
        <w:t>20</w:t>
      </w:r>
      <w:r>
        <w:rPr>
          <w:rFonts w:ascii="宋体" w:hAnsi="宋体"/>
          <w:color w:val="000000"/>
          <w:sz w:val="24"/>
          <w:szCs w:val="24"/>
        </w:rPr>
        <w:t>.</w:t>
      </w:r>
      <w:r>
        <w:rPr>
          <w:rFonts w:hint="eastAsia" w:ascii="宋体" w:hAnsi="宋体"/>
          <w:color w:val="000000"/>
          <w:sz w:val="24"/>
          <w:szCs w:val="24"/>
        </w:rPr>
        <w:t>知识</w:t>
      </w:r>
      <w:r>
        <w:rPr>
          <w:rFonts w:ascii="宋体" w:hAnsi="宋体"/>
          <w:color w:val="000000"/>
          <w:sz w:val="24"/>
          <w:szCs w:val="24"/>
        </w:rPr>
        <w:t>产权</w:t>
      </w:r>
      <w:bookmarkEnd w:id="460"/>
      <w:r>
        <w:rPr>
          <w:rFonts w:hint="eastAsia" w:ascii="宋体" w:hAnsi="宋体"/>
          <w:color w:val="000000"/>
          <w:sz w:val="24"/>
          <w:szCs w:val="24"/>
        </w:rPr>
        <w:t>说明</w:t>
      </w:r>
      <w:bookmarkEnd w:id="461"/>
      <w:bookmarkEnd w:id="462"/>
      <w:bookmarkEnd w:id="463"/>
    </w:p>
    <w:p>
      <w:pPr>
        <w:spacing w:line="360" w:lineRule="auto"/>
        <w:ind w:firstLine="480"/>
        <w:rPr>
          <w:rFonts w:ascii="宋体" w:hAnsi="宋体"/>
          <w:color w:val="000000"/>
          <w:sz w:val="24"/>
        </w:rPr>
      </w:pPr>
      <w:r>
        <w:rPr>
          <w:rFonts w:hint="eastAsia" w:ascii="宋体" w:hAnsi="宋体"/>
          <w:color w:val="000000"/>
          <w:sz w:val="24"/>
        </w:rPr>
        <w:t>根据</w:t>
      </w:r>
      <w:r>
        <w:rPr>
          <w:rFonts w:ascii="宋体" w:hAnsi="宋体"/>
          <w:color w:val="000000"/>
          <w:sz w:val="24"/>
        </w:rPr>
        <w:t>招标文件要求，我方针对本项目的知识产权</w:t>
      </w:r>
      <w:r>
        <w:rPr>
          <w:rFonts w:hint="eastAsia" w:ascii="宋体" w:hAnsi="宋体"/>
          <w:color w:val="000000"/>
          <w:sz w:val="24"/>
        </w:rPr>
        <w:t>作如下</w:t>
      </w:r>
      <w:r>
        <w:rPr>
          <w:rFonts w:ascii="宋体" w:hAnsi="宋体"/>
          <w:color w:val="000000"/>
          <w:sz w:val="24"/>
        </w:rPr>
        <w:t>说明：</w:t>
      </w:r>
    </w:p>
    <w:p>
      <w:pPr>
        <w:spacing w:line="360" w:lineRule="auto"/>
        <w:ind w:firstLine="480"/>
        <w:rPr>
          <w:rFonts w:ascii="宋体" w:hAnsi="宋体"/>
          <w:color w:val="000000"/>
          <w:sz w:val="24"/>
        </w:rPr>
      </w:pPr>
    </w:p>
    <w:p>
      <w:pPr>
        <w:spacing w:line="360" w:lineRule="auto"/>
        <w:ind w:firstLine="480"/>
        <w:rPr>
          <w:rFonts w:ascii="宋体" w:hAnsi="宋体"/>
          <w:sz w:val="24"/>
        </w:rPr>
      </w:pPr>
      <w:r>
        <w:rPr>
          <w:rFonts w:hint="eastAsia" w:ascii="宋体" w:hAnsi="宋体"/>
          <w:color w:val="000000"/>
          <w:sz w:val="24"/>
        </w:rPr>
        <w:t>□本项目</w:t>
      </w:r>
      <w:r>
        <w:rPr>
          <w:rFonts w:ascii="宋体" w:hAnsi="宋体"/>
          <w:color w:val="000000"/>
          <w:sz w:val="24"/>
        </w:rPr>
        <w:t>在实施过程中将</w:t>
      </w:r>
      <w:r>
        <w:rPr>
          <w:rFonts w:hint="eastAsia" w:ascii="宋体" w:hAnsi="宋体"/>
          <w:color w:val="000000"/>
          <w:sz w:val="24"/>
        </w:rPr>
        <w:t>采用□</w:t>
      </w:r>
      <w:r>
        <w:rPr>
          <w:rFonts w:hint="eastAsia" w:ascii="宋体" w:hAnsi="宋体"/>
          <w:sz w:val="24"/>
        </w:rPr>
        <w:t>自有知识成果/□第三方</w:t>
      </w:r>
      <w:r>
        <w:rPr>
          <w:rFonts w:ascii="宋体" w:hAnsi="宋体"/>
          <w:sz w:val="24"/>
        </w:rPr>
        <w:t>知识成果</w:t>
      </w:r>
      <w:r>
        <w:rPr>
          <w:rFonts w:hint="eastAsia" w:ascii="宋体" w:hAnsi="宋体"/>
          <w:sz w:val="24"/>
        </w:rPr>
        <w:t>。我方承诺使用该知识成果后，将免费提供开发接口和开发手册等技术资料，并提供无限期支持，采购人享有使用权（含采购人委托第三方在该项目后续开发的使用权）。</w:t>
      </w:r>
    </w:p>
    <w:p>
      <w:pPr>
        <w:spacing w:line="360" w:lineRule="auto"/>
        <w:ind w:firstLine="480"/>
        <w:rPr>
          <w:rFonts w:ascii="宋体" w:hAnsi="宋体"/>
          <w:sz w:val="24"/>
        </w:rPr>
      </w:pPr>
    </w:p>
    <w:p>
      <w:pPr>
        <w:spacing w:line="360" w:lineRule="auto"/>
        <w:ind w:firstLine="480"/>
        <w:rPr>
          <w:rFonts w:ascii="宋体" w:hAnsi="宋体"/>
          <w:sz w:val="24"/>
          <w:highlight w:val="green"/>
        </w:rPr>
      </w:pPr>
      <w:r>
        <w:rPr>
          <w:rFonts w:hint="eastAsia" w:ascii="宋体" w:hAnsi="宋体"/>
          <w:sz w:val="24"/>
        </w:rPr>
        <w:t>□</w:t>
      </w:r>
      <w:r>
        <w:rPr>
          <w:rFonts w:hint="eastAsia" w:ascii="宋体" w:hAnsi="宋体"/>
          <w:color w:val="000000"/>
          <w:sz w:val="24"/>
        </w:rPr>
        <w:t>本项目</w:t>
      </w:r>
      <w:r>
        <w:rPr>
          <w:rFonts w:ascii="宋体" w:hAnsi="宋体"/>
          <w:color w:val="000000"/>
          <w:sz w:val="24"/>
        </w:rPr>
        <w:t>在实施过程中</w:t>
      </w:r>
      <w:r>
        <w:rPr>
          <w:rFonts w:hint="eastAsia" w:ascii="宋体" w:hAnsi="宋体"/>
          <w:color w:val="000000"/>
          <w:sz w:val="24"/>
        </w:rPr>
        <w:t>不采用</w:t>
      </w:r>
      <w:r>
        <w:rPr>
          <w:rFonts w:ascii="宋体" w:hAnsi="宋体"/>
          <w:color w:val="000000"/>
          <w:sz w:val="24"/>
        </w:rPr>
        <w:t>知识成果。</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 XXXX。</w:t>
      </w:r>
    </w:p>
    <w:p>
      <w:pPr>
        <w:spacing w:line="480" w:lineRule="auto"/>
        <w:rPr>
          <w:rFonts w:ascii="宋体" w:hAnsi="宋体"/>
          <w:color w:val="000000"/>
          <w:sz w:val="24"/>
        </w:rPr>
      </w:pPr>
    </w:p>
    <w:p>
      <w:pPr>
        <w:rPr>
          <w:rFonts w:ascii="宋体" w:hAnsi="宋体"/>
        </w:rPr>
      </w:pPr>
    </w:p>
    <w:p>
      <w:pPr>
        <w:spacing w:line="360" w:lineRule="auto"/>
        <w:ind w:firstLine="480"/>
        <w:rPr>
          <w:rFonts w:ascii="宋体" w:hAnsi="宋体"/>
          <w:color w:val="000000"/>
          <w:sz w:val="24"/>
        </w:rPr>
      </w:pPr>
    </w:p>
    <w:p>
      <w:pPr>
        <w:spacing w:line="360" w:lineRule="auto"/>
        <w:ind w:firstLine="480"/>
        <w:rPr>
          <w:rFonts w:ascii="宋体" w:hAnsi="宋体"/>
          <w:bCs/>
          <w:color w:val="000000"/>
          <w:sz w:val="24"/>
        </w:rPr>
      </w:pPr>
      <w:r>
        <w:rPr>
          <w:rFonts w:hint="eastAsia" w:ascii="宋体" w:hAnsi="宋体"/>
          <w:bCs/>
          <w:color w:val="000000"/>
          <w:sz w:val="24"/>
        </w:rPr>
        <w:t>注</w:t>
      </w:r>
      <w:r>
        <w:rPr>
          <w:rFonts w:ascii="宋体" w:hAnsi="宋体"/>
          <w:bCs/>
          <w:color w:val="000000"/>
          <w:sz w:val="24"/>
        </w:rPr>
        <w:t>：</w:t>
      </w:r>
    </w:p>
    <w:p>
      <w:pPr>
        <w:spacing w:line="360" w:lineRule="auto"/>
        <w:ind w:firstLine="480"/>
        <w:rPr>
          <w:rFonts w:ascii="宋体" w:hAnsi="宋体"/>
          <w:sz w:val="24"/>
        </w:rPr>
      </w:pPr>
      <w:r>
        <w:rPr>
          <w:rFonts w:hint="eastAsia" w:ascii="宋体" w:hAnsi="宋体"/>
          <w:bCs/>
          <w:color w:val="000000"/>
          <w:sz w:val="24"/>
        </w:rPr>
        <w:t>1.投标人应根据</w:t>
      </w:r>
      <w:r>
        <w:rPr>
          <w:rFonts w:ascii="宋体" w:hAnsi="宋体"/>
          <w:bCs/>
          <w:color w:val="000000"/>
          <w:sz w:val="24"/>
        </w:rPr>
        <w:t>实际情况，</w:t>
      </w:r>
      <w:r>
        <w:rPr>
          <w:rFonts w:hint="eastAsia" w:ascii="宋体" w:hAnsi="宋体"/>
          <w:bCs/>
          <w:color w:val="000000"/>
          <w:sz w:val="24"/>
        </w:rPr>
        <w:t>选择适用</w:t>
      </w:r>
      <w:r>
        <w:rPr>
          <w:rFonts w:ascii="宋体" w:hAnsi="宋体"/>
          <w:bCs/>
          <w:color w:val="000000"/>
          <w:sz w:val="24"/>
        </w:rPr>
        <w:t>的</w:t>
      </w:r>
      <w:r>
        <w:rPr>
          <w:rFonts w:hint="eastAsia" w:ascii="宋体" w:hAnsi="宋体"/>
          <w:bCs/>
          <w:color w:val="000000"/>
          <w:sz w:val="24"/>
        </w:rPr>
        <w:t>知识产权</w:t>
      </w:r>
      <w:r>
        <w:rPr>
          <w:rFonts w:ascii="宋体" w:hAnsi="宋体"/>
          <w:bCs/>
          <w:color w:val="000000"/>
          <w:sz w:val="24"/>
        </w:rPr>
        <w:t>说明，并在</w:t>
      </w:r>
      <w:r>
        <w:rPr>
          <w:rFonts w:hint="eastAsia" w:ascii="宋体" w:hAnsi="宋体"/>
          <w:bCs/>
          <w:color w:val="000000"/>
          <w:sz w:val="24"/>
        </w:rPr>
        <w:t>相应</w:t>
      </w:r>
      <w:r>
        <w:rPr>
          <w:rFonts w:hint="eastAsia" w:ascii="宋体" w:hAnsi="宋体"/>
          <w:sz w:val="24"/>
        </w:rPr>
        <w:t>□中</w:t>
      </w:r>
      <w:r>
        <w:rPr>
          <w:rFonts w:ascii="宋体" w:hAnsi="宋体"/>
          <w:sz w:val="24"/>
        </w:rPr>
        <w:t>打</w:t>
      </w:r>
      <w:r>
        <w:rPr>
          <w:rFonts w:hint="eastAsia" w:ascii="宋体" w:hAnsi="宋体"/>
          <w:sz w:val="24"/>
        </w:rPr>
        <w:t>“√”；</w:t>
      </w:r>
    </w:p>
    <w:p>
      <w:pPr>
        <w:spacing w:line="360" w:lineRule="auto"/>
        <w:ind w:firstLine="480"/>
        <w:rPr>
          <w:rFonts w:ascii="宋体" w:hAnsi="宋体"/>
          <w:sz w:val="24"/>
        </w:rPr>
      </w:pPr>
      <w:r>
        <w:rPr>
          <w:rFonts w:hint="eastAsia" w:ascii="宋体" w:hAnsi="宋体"/>
          <w:sz w:val="24"/>
        </w:rPr>
        <w:t>2.投标人可根据项目的实际情况修改知识产权说明的内容，但应满足本项目关于知识产权的规定。</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pStyle w:val="5"/>
        <w:jc w:val="center"/>
        <w:rPr>
          <w:rFonts w:ascii="宋体" w:hAnsi="宋体"/>
          <w:color w:val="000000"/>
          <w:sz w:val="24"/>
          <w:szCs w:val="24"/>
        </w:rPr>
      </w:pPr>
      <w:bookmarkStart w:id="464" w:name="_Toc6308552"/>
      <w:bookmarkStart w:id="465" w:name="_Toc6308724"/>
    </w:p>
    <w:p>
      <w:pPr>
        <w:pStyle w:val="5"/>
        <w:jc w:val="center"/>
        <w:rPr>
          <w:rFonts w:ascii="宋体" w:hAnsi="宋体"/>
          <w:color w:val="000000"/>
          <w:sz w:val="24"/>
          <w:szCs w:val="24"/>
        </w:rPr>
      </w:pPr>
      <w:r>
        <w:rPr>
          <w:rFonts w:hint="eastAsia" w:ascii="宋体" w:hAnsi="宋体"/>
          <w:color w:val="000000"/>
          <w:sz w:val="24"/>
          <w:szCs w:val="24"/>
        </w:rPr>
        <w:br w:type="page"/>
      </w:r>
      <w:bookmarkEnd w:id="464"/>
      <w:bookmarkEnd w:id="465"/>
      <w:bookmarkStart w:id="466" w:name="_Toc29119"/>
      <w:bookmarkStart w:id="467" w:name="_Toc509230466"/>
      <w:bookmarkStart w:id="468" w:name="_Toc69141844"/>
      <w:bookmarkStart w:id="469" w:name="_Toc509328551"/>
      <w:bookmarkStart w:id="470" w:name="_Toc21663"/>
      <w:bookmarkStart w:id="471" w:name="_Toc6308725"/>
      <w:bookmarkStart w:id="472" w:name="_Toc2593"/>
      <w:bookmarkStart w:id="473" w:name="_Toc11404"/>
      <w:bookmarkStart w:id="474" w:name="_Toc6308553"/>
      <w:r>
        <w:rPr>
          <w:rFonts w:ascii="宋体" w:hAnsi="宋体"/>
          <w:color w:val="000000"/>
          <w:sz w:val="24"/>
          <w:szCs w:val="24"/>
        </w:rPr>
        <w:t>2</w:t>
      </w:r>
      <w:r>
        <w:rPr>
          <w:rFonts w:hint="eastAsia" w:ascii="宋体" w:hAnsi="宋体"/>
          <w:color w:val="000000"/>
          <w:sz w:val="24"/>
          <w:szCs w:val="24"/>
        </w:rPr>
        <w:t>1.中小企业声明</w:t>
      </w:r>
      <w:bookmarkEnd w:id="466"/>
      <w:bookmarkEnd w:id="467"/>
      <w:bookmarkEnd w:id="468"/>
      <w:bookmarkEnd w:id="469"/>
      <w:bookmarkEnd w:id="470"/>
      <w:bookmarkEnd w:id="471"/>
      <w:bookmarkEnd w:id="472"/>
      <w:bookmarkEnd w:id="473"/>
      <w:bookmarkEnd w:id="474"/>
      <w:r>
        <w:rPr>
          <w:rFonts w:hint="eastAsia" w:ascii="宋体" w:hAnsi="宋体"/>
          <w:color w:val="000000"/>
          <w:sz w:val="24"/>
          <w:szCs w:val="24"/>
        </w:rPr>
        <w:t>函</w:t>
      </w:r>
    </w:p>
    <w:p>
      <w:pPr>
        <w:pStyle w:val="48"/>
        <w:spacing w:line="360" w:lineRule="auto"/>
        <w:ind w:right="157" w:firstLine="642"/>
        <w:rPr>
          <w:rFonts w:ascii="宋体" w:hAnsi="宋体" w:eastAsia="宋体" w:cs="宋体"/>
          <w:szCs w:val="24"/>
        </w:rPr>
      </w:pPr>
      <w:r>
        <w:rPr>
          <w:rFonts w:hint="eastAsia" w:ascii="宋体" w:hAnsi="宋体" w:eastAsia="宋体" w:cs="宋体"/>
          <w:szCs w:val="24"/>
        </w:rPr>
        <w:t xml:space="preserve">本公司郑重声明，根据《政府采购促进中小企业发展管理办法》（财库 ﹝2020﹞46号）的规定，本公司参加（单位名称）的（项目名称）采购活动，提供的货物全部由符合政策要求的中小企业制造。相关企业的具体情况如下： </w:t>
      </w:r>
    </w:p>
    <w:p>
      <w:pPr>
        <w:pStyle w:val="44"/>
        <w:spacing w:line="360" w:lineRule="auto"/>
        <w:ind w:firstLine="600" w:firstLineChars="250"/>
        <w:rPr>
          <w:rFonts w:ascii="宋体" w:hAnsi="宋体" w:eastAsia="宋体" w:cs="宋体"/>
          <w:color w:val="auto"/>
          <w:szCs w:val="24"/>
        </w:rPr>
      </w:pPr>
      <w:r>
        <w:rPr>
          <w:rFonts w:hint="eastAsia" w:ascii="宋体" w:hAnsi="宋体" w:eastAsia="宋体" w:cs="宋体"/>
          <w:color w:val="auto"/>
          <w:szCs w:val="24"/>
          <w:u w:val="single"/>
        </w:rPr>
        <w:t xml:space="preserve">采购标的名称 </w:t>
      </w:r>
      <w:r>
        <w:rPr>
          <w:rFonts w:hint="eastAsia" w:ascii="宋体" w:hAnsi="宋体" w:eastAsia="宋体" w:cs="宋体"/>
          <w:color w:val="auto"/>
          <w:szCs w:val="24"/>
        </w:rPr>
        <w:t>，属于</w:t>
      </w:r>
      <w:r>
        <w:rPr>
          <w:rFonts w:hint="eastAsia" w:ascii="宋体" w:hAnsi="宋体" w:eastAsia="宋体" w:cs="宋体"/>
          <w:color w:val="auto"/>
          <w:szCs w:val="24"/>
          <w:u w:val="single"/>
        </w:rPr>
        <w:t>工业</w:t>
      </w:r>
      <w:r>
        <w:rPr>
          <w:rFonts w:hint="eastAsia" w:ascii="宋体" w:hAnsi="宋体" w:eastAsia="宋体" w:cs="宋体"/>
          <w:color w:val="auto"/>
          <w:szCs w:val="24"/>
        </w:rPr>
        <w:t>行业；制造商为</w:t>
      </w:r>
      <w:r>
        <w:rPr>
          <w:rFonts w:hint="eastAsia" w:ascii="宋体" w:hAnsi="宋体" w:eastAsia="宋体" w:cs="宋体"/>
          <w:color w:val="auto"/>
          <w:szCs w:val="24"/>
          <w:u w:val="single"/>
        </w:rPr>
        <w:t>（企业名称）</w:t>
      </w:r>
      <w:r>
        <w:rPr>
          <w:rFonts w:hint="eastAsia" w:ascii="宋体" w:hAnsi="宋体" w:eastAsia="宋体" w:cs="宋体"/>
          <w:color w:val="auto"/>
          <w:szCs w:val="24"/>
        </w:rPr>
        <w:t>，从业人员</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人，营业收入为</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万元，资产总额为</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万元，属于</w:t>
      </w:r>
      <w:r>
        <w:rPr>
          <w:rFonts w:hint="eastAsia" w:ascii="宋体" w:hAnsi="宋体" w:eastAsia="宋体" w:cs="宋体"/>
          <w:color w:val="auto"/>
          <w:szCs w:val="24"/>
          <w:u w:val="single"/>
        </w:rPr>
        <w:t>（中型企业、小型企业、微型企业）</w:t>
      </w:r>
      <w:r>
        <w:rPr>
          <w:rFonts w:hint="eastAsia" w:ascii="宋体" w:hAnsi="宋体" w:eastAsia="宋体" w:cs="宋体"/>
          <w:color w:val="auto"/>
          <w:szCs w:val="24"/>
        </w:rPr>
        <w:t>；</w:t>
      </w:r>
    </w:p>
    <w:p>
      <w:pPr>
        <w:pStyle w:val="45"/>
        <w:spacing w:line="360" w:lineRule="auto"/>
        <w:ind w:left="642"/>
        <w:rPr>
          <w:rFonts w:ascii="宋体" w:hAnsi="宋体" w:eastAsia="宋体" w:cs="宋体"/>
          <w:szCs w:val="24"/>
        </w:rPr>
      </w:pPr>
    </w:p>
    <w:p>
      <w:pPr>
        <w:pStyle w:val="48"/>
        <w:spacing w:line="360" w:lineRule="auto"/>
        <w:ind w:right="157" w:firstLine="642"/>
        <w:rPr>
          <w:rFonts w:ascii="宋体" w:hAnsi="宋体" w:eastAsia="宋体" w:cs="宋体"/>
          <w:szCs w:val="24"/>
        </w:rPr>
      </w:pPr>
      <w:r>
        <w:rPr>
          <w:rFonts w:hint="eastAsia" w:ascii="宋体" w:hAnsi="宋体" w:eastAsia="宋体" w:cs="宋体"/>
          <w:szCs w:val="24"/>
        </w:rPr>
        <w:t>以上企业，不属于大企业的分支机构，不存在控股股东为大企业的情形，也不存在与大企业的负责人为同一人的情形。</w:t>
      </w:r>
    </w:p>
    <w:p>
      <w:pPr>
        <w:pStyle w:val="45"/>
        <w:spacing w:line="360" w:lineRule="auto"/>
        <w:ind w:left="642"/>
        <w:rPr>
          <w:rFonts w:ascii="宋体" w:hAnsi="宋体" w:eastAsia="宋体" w:cs="宋体"/>
          <w:szCs w:val="24"/>
        </w:rPr>
      </w:pPr>
      <w:r>
        <w:rPr>
          <w:rFonts w:hint="eastAsia" w:ascii="宋体" w:hAnsi="宋体" w:eastAsia="宋体" w:cs="宋体"/>
          <w:szCs w:val="24"/>
        </w:rPr>
        <w:t>本企业对上述声明内容的真实性负责。如有虚假，将依法承担相应责任。</w:t>
      </w:r>
    </w:p>
    <w:p>
      <w:pPr>
        <w:pStyle w:val="44"/>
        <w:spacing w:line="360" w:lineRule="auto"/>
        <w:rPr>
          <w:rFonts w:ascii="宋体" w:hAnsi="宋体" w:eastAsia="宋体" w:cs="宋体"/>
          <w:color w:val="auto"/>
          <w:szCs w:val="24"/>
        </w:rPr>
      </w:pPr>
    </w:p>
    <w:p>
      <w:pPr>
        <w:pStyle w:val="50"/>
        <w:spacing w:line="360" w:lineRule="auto"/>
        <w:ind w:left="3840" w:right="560" w:hanging="3840"/>
        <w:jc w:val="center"/>
        <w:rPr>
          <w:rFonts w:ascii="宋体" w:hAnsi="宋体" w:eastAsia="宋体" w:cs="宋体"/>
          <w:szCs w:val="24"/>
        </w:rPr>
      </w:pPr>
      <w:r>
        <w:rPr>
          <w:rFonts w:hint="eastAsia" w:ascii="宋体" w:hAnsi="宋体" w:eastAsia="宋体" w:cs="宋体"/>
          <w:szCs w:val="24"/>
        </w:rPr>
        <w:t xml:space="preserve">                     企业名称（盖单位公章）：</w:t>
      </w:r>
    </w:p>
    <w:p>
      <w:pPr>
        <w:pStyle w:val="50"/>
        <w:spacing w:line="360" w:lineRule="auto"/>
        <w:ind w:left="3840" w:right="560" w:hanging="3840"/>
        <w:jc w:val="center"/>
        <w:rPr>
          <w:rFonts w:ascii="宋体" w:hAnsi="宋体" w:eastAsia="宋体" w:cs="宋体"/>
          <w:szCs w:val="24"/>
        </w:rPr>
      </w:pPr>
      <w:r>
        <w:rPr>
          <w:rFonts w:hint="eastAsia" w:ascii="宋体" w:hAnsi="宋体" w:eastAsia="宋体" w:cs="宋体"/>
          <w:szCs w:val="24"/>
        </w:rPr>
        <w:t xml:space="preserve">         日期：</w:t>
      </w:r>
    </w:p>
    <w:p>
      <w:pPr>
        <w:pStyle w:val="44"/>
      </w:pPr>
    </w:p>
    <w:p>
      <w:pPr>
        <w:pStyle w:val="45"/>
        <w:spacing w:line="360" w:lineRule="auto"/>
        <w:rPr>
          <w:rFonts w:ascii="宋体" w:hAnsi="宋体" w:eastAsia="宋体" w:cs="宋体"/>
          <w:b/>
          <w:szCs w:val="24"/>
        </w:rPr>
      </w:pPr>
      <w:r>
        <w:rPr>
          <w:rFonts w:hint="eastAsia" w:ascii="宋体" w:hAnsi="宋体" w:eastAsia="宋体" w:cs="宋体"/>
          <w:b/>
          <w:szCs w:val="24"/>
        </w:rPr>
        <w:t>注：从业人员、营业收入、资产总额填报上一年度数据，无上一年度数据的新成立企业可不填报。</w:t>
      </w: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5"/>
        <w:jc w:val="center"/>
        <w:rPr>
          <w:rFonts w:ascii="宋体" w:hAnsi="宋体" w:cs="宋体"/>
          <w:sz w:val="24"/>
          <w:szCs w:val="24"/>
        </w:rPr>
      </w:pPr>
      <w:bookmarkStart w:id="475" w:name="_Toc69141845"/>
      <w:bookmarkStart w:id="476" w:name="_Toc240"/>
      <w:r>
        <w:rPr>
          <w:rFonts w:hint="eastAsia" w:ascii="宋体" w:hAnsi="宋体" w:cs="宋体"/>
          <w:sz w:val="24"/>
          <w:szCs w:val="24"/>
        </w:rPr>
        <w:t>监狱企业证明文件</w:t>
      </w:r>
      <w:bookmarkEnd w:id="475"/>
    </w:p>
    <w:p>
      <w:pPr>
        <w:spacing w:line="360" w:lineRule="auto"/>
        <w:rPr>
          <w:rFonts w:ascii="宋体" w:hAnsi="宋体" w:cs="宋体"/>
          <w:bCs/>
          <w:spacing w:val="6"/>
          <w:sz w:val="24"/>
        </w:rPr>
      </w:pPr>
      <w:r>
        <w:rPr>
          <w:rFonts w:hint="eastAsia" w:ascii="宋体" w:hAnsi="宋体" w:cs="宋体"/>
          <w:b/>
          <w:spacing w:val="6"/>
          <w:sz w:val="24"/>
        </w:rPr>
        <w:t>说明：</w:t>
      </w:r>
      <w:r>
        <w:rPr>
          <w:rFonts w:hint="eastAsia" w:ascii="宋体" w:hAnsi="宋体" w:cs="宋体"/>
          <w:bCs/>
          <w:spacing w:val="6"/>
          <w:sz w:val="24"/>
        </w:rPr>
        <w:t>提供省级以上监狱管理局、戒毒管理局（含新疆生产建设兵团）出具的属于监狱企业的证明文件。</w:t>
      </w:r>
    </w:p>
    <w:p>
      <w:pPr>
        <w:spacing w:line="360" w:lineRule="auto"/>
        <w:rPr>
          <w:rFonts w:ascii="宋体" w:hAnsi="宋体" w:cs="宋体"/>
          <w:bCs/>
          <w:spacing w:val="6"/>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bookmarkEnd w:id="476"/>
    <w:p>
      <w:pPr>
        <w:pStyle w:val="5"/>
        <w:jc w:val="center"/>
        <w:rPr>
          <w:rFonts w:ascii="宋体" w:hAnsi="宋体"/>
          <w:sz w:val="28"/>
          <w:szCs w:val="28"/>
        </w:rPr>
      </w:pPr>
      <w:bookmarkStart w:id="477" w:name="_Toc19421"/>
      <w:bookmarkStart w:id="478" w:name="_Toc509328552"/>
      <w:bookmarkStart w:id="479" w:name="_Toc6308554"/>
      <w:bookmarkStart w:id="480" w:name="_Toc509230467"/>
      <w:bookmarkStart w:id="481" w:name="_Toc6308726"/>
      <w:bookmarkStart w:id="482" w:name="_Toc29271"/>
      <w:r>
        <w:rPr>
          <w:rFonts w:hint="eastAsia" w:ascii="宋体" w:hAnsi="宋体" w:cs="宋体"/>
          <w:sz w:val="24"/>
          <w:szCs w:val="24"/>
        </w:rPr>
        <w:br w:type="page"/>
      </w:r>
      <w:bookmarkStart w:id="483" w:name="_Toc69141846"/>
      <w:r>
        <w:rPr>
          <w:rFonts w:hint="eastAsia" w:ascii="宋体" w:hAnsi="宋体" w:cs="宋体"/>
          <w:sz w:val="24"/>
          <w:szCs w:val="24"/>
        </w:rPr>
        <w:t>残疾人福利性单位声明</w:t>
      </w:r>
      <w:bookmarkEnd w:id="477"/>
      <w:bookmarkEnd w:id="478"/>
      <w:bookmarkEnd w:id="479"/>
      <w:bookmarkEnd w:id="480"/>
      <w:bookmarkEnd w:id="481"/>
      <w:bookmarkEnd w:id="482"/>
      <w:bookmarkEnd w:id="483"/>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本单位郑重声明，根据《财政部民政部中国残疾人联合会关于促进残疾人就业政府采购政策的通知》（财库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624" w:firstLineChars="200"/>
        <w:rPr>
          <w:rFonts w:ascii="宋体" w:hAnsi="宋体"/>
          <w:spacing w:val="6"/>
          <w:sz w:val="30"/>
          <w:szCs w:val="30"/>
        </w:rPr>
      </w:pPr>
    </w:p>
    <w:p>
      <w:pPr>
        <w:spacing w:line="360" w:lineRule="auto"/>
        <w:ind w:firstLine="624" w:firstLineChars="200"/>
        <w:rPr>
          <w:rFonts w:ascii="宋体" w:hAnsi="宋体"/>
          <w:spacing w:val="6"/>
          <w:sz w:val="30"/>
          <w:szCs w:val="30"/>
        </w:rPr>
      </w:pPr>
    </w:p>
    <w:p>
      <w:pPr>
        <w:widowControl/>
        <w:spacing w:line="360" w:lineRule="auto"/>
        <w:jc w:val="left"/>
        <w:rPr>
          <w:rFonts w:ascii="宋体" w:hAnsi="宋体" w:cs="宋体"/>
          <w:color w:val="339966"/>
          <w:kern w:val="0"/>
          <w:sz w:val="24"/>
        </w:rPr>
      </w:pPr>
    </w:p>
    <w:p>
      <w:pPr>
        <w:widowControl/>
        <w:spacing w:line="360" w:lineRule="auto"/>
        <w:jc w:val="left"/>
        <w:rPr>
          <w:rFonts w:ascii="宋体" w:hAnsi="宋体" w:cs="宋体"/>
          <w:kern w:val="0"/>
          <w:sz w:val="24"/>
        </w:rPr>
      </w:pPr>
      <w:r>
        <w:rPr>
          <w:rFonts w:hint="eastAsia" w:ascii="宋体" w:hAnsi="宋体" w:cs="宋体"/>
          <w:color w:val="339966"/>
          <w:kern w:val="0"/>
          <w:sz w:val="24"/>
        </w:rPr>
        <w:t>　</w:t>
      </w:r>
      <w:r>
        <w:rPr>
          <w:rFonts w:hint="eastAsia" w:ascii="宋体" w:hAnsi="宋体" w:cs="宋体"/>
          <w:kern w:val="0"/>
          <w:sz w:val="24"/>
        </w:rPr>
        <w:t>　</w:t>
      </w:r>
    </w:p>
    <w:p>
      <w:pPr>
        <w:pStyle w:val="48"/>
        <w:spacing w:line="360" w:lineRule="auto"/>
        <w:ind w:right="157" w:firstLine="3960" w:firstLineChars="1650"/>
        <w:rPr>
          <w:rFonts w:ascii="宋体" w:hAnsi="宋体" w:eastAsia="宋体" w:cs="宋体"/>
          <w:color w:val="000000"/>
          <w:szCs w:val="24"/>
        </w:rPr>
      </w:pPr>
      <w:r>
        <w:rPr>
          <w:rFonts w:hint="eastAsia" w:ascii="宋体" w:hAnsi="宋体" w:eastAsia="宋体" w:cs="宋体"/>
          <w:color w:val="000000"/>
          <w:szCs w:val="24"/>
        </w:rPr>
        <w:t>企业名称（盖单位公章）：</w:t>
      </w:r>
    </w:p>
    <w:p>
      <w:pPr>
        <w:pStyle w:val="48"/>
        <w:spacing w:line="360" w:lineRule="auto"/>
        <w:ind w:right="157" w:firstLine="3960" w:firstLineChars="1650"/>
        <w:rPr>
          <w:rFonts w:ascii="宋体" w:hAnsi="宋体" w:eastAsia="宋体" w:cs="宋体"/>
          <w:color w:val="000000"/>
          <w:szCs w:val="24"/>
        </w:rPr>
      </w:pPr>
      <w:r>
        <w:rPr>
          <w:rFonts w:hint="eastAsia" w:ascii="宋体" w:hAnsi="宋体" w:eastAsia="宋体" w:cs="宋体"/>
          <w:color w:val="000000"/>
          <w:szCs w:val="24"/>
        </w:rPr>
        <w:t xml:space="preserve">日期： </w:t>
      </w:r>
    </w:p>
    <w:p>
      <w:pPr>
        <w:spacing w:line="360" w:lineRule="auto"/>
        <w:rPr>
          <w:rFonts w:ascii="宋体" w:hAnsi="宋体"/>
          <w:b/>
          <w:color w:val="000000"/>
        </w:rPr>
      </w:pPr>
    </w:p>
    <w:p>
      <w:pPr>
        <w:rPr>
          <w:rFonts w:ascii="宋体" w:hAnsi="宋体"/>
          <w:b/>
          <w:sz w:val="28"/>
          <w:szCs w:val="28"/>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pStyle w:val="5"/>
        <w:jc w:val="center"/>
        <w:rPr>
          <w:rFonts w:ascii="宋体" w:hAnsi="宋体"/>
          <w:color w:val="000000"/>
        </w:rPr>
      </w:pPr>
      <w:bookmarkStart w:id="484" w:name="_Toc517968846"/>
      <w:bookmarkStart w:id="485" w:name="_Toc6308727"/>
      <w:bookmarkStart w:id="486" w:name="_Toc6979"/>
      <w:bookmarkStart w:id="487" w:name="_Toc6308555"/>
      <w:bookmarkStart w:id="488" w:name="_Toc509328553"/>
      <w:bookmarkStart w:id="489" w:name="_Toc10518"/>
      <w:bookmarkStart w:id="490" w:name="_Toc11709"/>
      <w:r>
        <w:rPr>
          <w:rFonts w:ascii="宋体" w:hAnsi="宋体"/>
          <w:color w:val="000000"/>
          <w:sz w:val="24"/>
          <w:szCs w:val="24"/>
        </w:rPr>
        <w:br w:type="page"/>
      </w:r>
      <w:bookmarkStart w:id="491" w:name="_Toc69141847"/>
      <w:r>
        <w:rPr>
          <w:rFonts w:ascii="宋体" w:hAnsi="宋体"/>
          <w:color w:val="000000"/>
          <w:sz w:val="24"/>
          <w:szCs w:val="24"/>
        </w:rPr>
        <w:t>2</w:t>
      </w: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强制采购节能</w:t>
      </w:r>
      <w:r>
        <w:rPr>
          <w:rFonts w:ascii="宋体" w:hAnsi="宋体"/>
          <w:color w:val="000000"/>
          <w:sz w:val="24"/>
          <w:szCs w:val="24"/>
        </w:rPr>
        <w:t>产品</w:t>
      </w:r>
      <w:r>
        <w:rPr>
          <w:rFonts w:hint="eastAsia" w:ascii="宋体" w:hAnsi="宋体"/>
          <w:color w:val="000000"/>
          <w:sz w:val="24"/>
          <w:szCs w:val="24"/>
        </w:rPr>
        <w:t>信息</w:t>
      </w:r>
      <w:bookmarkEnd w:id="484"/>
      <w:bookmarkEnd w:id="485"/>
      <w:bookmarkEnd w:id="486"/>
      <w:bookmarkEnd w:id="487"/>
      <w:bookmarkEnd w:id="491"/>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3255"/>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35" w:type="pct"/>
            <w:noWrap/>
            <w:vAlign w:val="center"/>
          </w:tcPr>
          <w:p>
            <w:pPr>
              <w:jc w:val="center"/>
              <w:rPr>
                <w:rFonts w:ascii="宋体" w:hAnsi="宋体"/>
                <w:b/>
                <w:color w:val="000000"/>
                <w:sz w:val="24"/>
                <w:szCs w:val="28"/>
              </w:rPr>
            </w:pPr>
            <w:r>
              <w:rPr>
                <w:rFonts w:hint="eastAsia" w:ascii="宋体" w:hAnsi="宋体"/>
                <w:b/>
                <w:color w:val="000000"/>
                <w:sz w:val="24"/>
                <w:szCs w:val="28"/>
              </w:rPr>
              <w:t>序号</w:t>
            </w:r>
          </w:p>
        </w:tc>
        <w:tc>
          <w:tcPr>
            <w:tcW w:w="1770" w:type="pct"/>
            <w:noWrap/>
            <w:vAlign w:val="center"/>
          </w:tcPr>
          <w:p>
            <w:pPr>
              <w:jc w:val="center"/>
              <w:rPr>
                <w:rFonts w:ascii="宋体" w:hAnsi="宋体"/>
                <w:b/>
                <w:color w:val="000000"/>
                <w:sz w:val="24"/>
                <w:szCs w:val="28"/>
              </w:rPr>
            </w:pPr>
            <w:r>
              <w:rPr>
                <w:rFonts w:hint="eastAsia" w:ascii="宋体" w:hAnsi="宋体"/>
                <w:b/>
                <w:color w:val="000000"/>
                <w:sz w:val="24"/>
                <w:szCs w:val="28"/>
              </w:rPr>
              <w:t>投标产品</w:t>
            </w:r>
            <w:r>
              <w:rPr>
                <w:rFonts w:ascii="宋体" w:hAnsi="宋体"/>
                <w:b/>
                <w:color w:val="000000"/>
                <w:sz w:val="24"/>
                <w:szCs w:val="28"/>
              </w:rPr>
              <w:t>名称</w:t>
            </w:r>
          </w:p>
        </w:tc>
        <w:tc>
          <w:tcPr>
            <w:tcW w:w="2093" w:type="pct"/>
            <w:noWrap/>
            <w:vAlign w:val="center"/>
          </w:tcPr>
          <w:p>
            <w:pPr>
              <w:jc w:val="center"/>
              <w:rPr>
                <w:rFonts w:ascii="宋体" w:hAnsi="宋体"/>
                <w:b/>
                <w:color w:val="000000"/>
                <w:sz w:val="24"/>
                <w:szCs w:val="28"/>
              </w:rPr>
            </w:pPr>
            <w:r>
              <w:rPr>
                <w:rFonts w:hint="eastAsia" w:ascii="宋体" w:hAnsi="宋体"/>
                <w:b/>
                <w:color w:val="000000"/>
                <w:sz w:val="24"/>
                <w:szCs w:val="28"/>
              </w:rPr>
              <w:t>投标产品规格</w:t>
            </w:r>
            <w:r>
              <w:rPr>
                <w:rFonts w:ascii="宋体" w:hAnsi="宋体"/>
                <w:b/>
                <w:color w:val="000000"/>
                <w:sz w:val="24"/>
                <w:szCs w:val="28"/>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bl>
    <w:p>
      <w:pPr>
        <w:spacing w:line="360" w:lineRule="auto"/>
        <w:ind w:firstLine="482" w:firstLineChars="200"/>
        <w:rPr>
          <w:rFonts w:ascii="宋体" w:hAnsi="宋体"/>
          <w:b/>
          <w:color w:val="000000"/>
          <w:sz w:val="24"/>
          <w:highlight w:val="yellow"/>
        </w:rPr>
      </w:pPr>
    </w:p>
    <w:p>
      <w:pPr>
        <w:spacing w:line="360" w:lineRule="auto"/>
        <w:ind w:firstLine="482" w:firstLineChars="200"/>
        <w:rPr>
          <w:rFonts w:ascii="宋体" w:hAnsi="宋体"/>
          <w:b/>
          <w:color w:val="000000"/>
          <w:sz w:val="24"/>
        </w:rPr>
      </w:pPr>
      <w:r>
        <w:rPr>
          <w:rFonts w:hint="eastAsia" w:ascii="宋体" w:hAnsi="宋体"/>
          <w:b/>
          <w:color w:val="000000"/>
          <w:sz w:val="24"/>
        </w:rPr>
        <w:t>注</w:t>
      </w:r>
      <w:r>
        <w:rPr>
          <w:rFonts w:ascii="宋体" w:hAnsi="宋体"/>
          <w:b/>
          <w:color w:val="000000"/>
          <w:sz w:val="24"/>
        </w:rPr>
        <w:t>：</w:t>
      </w:r>
      <w:r>
        <w:rPr>
          <w:rFonts w:hint="eastAsia" w:ascii="宋体" w:hAnsi="宋体"/>
          <w:b/>
          <w:color w:val="000000"/>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扫描件或认证结果信息发布平台的认证截图证明。</w:t>
      </w:r>
    </w:p>
    <w:p>
      <w:pPr>
        <w:spacing w:line="360" w:lineRule="auto"/>
        <w:ind w:firstLine="723" w:firstLineChars="300"/>
        <w:rPr>
          <w:rFonts w:ascii="宋体" w:hAnsi="宋体"/>
          <w:b/>
          <w:color w:val="000000"/>
          <w:sz w:val="24"/>
        </w:rPr>
      </w:pPr>
      <w:r>
        <w:rPr>
          <w:rFonts w:hint="eastAsia" w:ascii="宋体" w:hAnsi="宋体"/>
          <w:b/>
          <w:color w:val="000000"/>
          <w:sz w:val="24"/>
        </w:rPr>
        <w:t>强制节能产品政府采购品目清单如下：</w:t>
      </w:r>
      <w:r>
        <w:rPr>
          <w:rFonts w:ascii="宋体" w:hAnsi="宋体"/>
          <w:b/>
          <w:color w:val="000000"/>
          <w:sz w:val="24"/>
        </w:rPr>
        <w:t>台式计算机、便携式计算机、平板式微型计算机、激光打印机、针式打印机、</w:t>
      </w:r>
      <w:r>
        <w:rPr>
          <w:rFonts w:hint="eastAsia" w:ascii="宋体" w:hAnsi="宋体"/>
          <w:b/>
          <w:color w:val="000000"/>
          <w:sz w:val="24"/>
        </w:rPr>
        <w:t>液晶显示器</w:t>
      </w:r>
      <w:r>
        <w:rPr>
          <w:rFonts w:ascii="宋体" w:hAnsi="宋体"/>
          <w:b/>
          <w:color w:val="000000"/>
          <w:sz w:val="24"/>
        </w:rPr>
        <w:t>、制冷压缩机、空调机组、专用制冷</w:t>
      </w:r>
      <w:r>
        <w:rPr>
          <w:rFonts w:hint="eastAsia" w:ascii="宋体" w:hAnsi="宋体"/>
          <w:b/>
          <w:color w:val="000000"/>
          <w:sz w:val="24"/>
        </w:rPr>
        <w:t>(</w:t>
      </w:r>
      <w:r>
        <w:rPr>
          <w:rFonts w:ascii="宋体" w:hAnsi="宋体"/>
          <w:b/>
          <w:color w:val="000000"/>
          <w:sz w:val="24"/>
        </w:rPr>
        <w:t>空调</w:t>
      </w:r>
      <w:r>
        <w:rPr>
          <w:rFonts w:hint="eastAsia" w:ascii="宋体" w:hAnsi="宋体"/>
          <w:b/>
          <w:color w:val="000000"/>
          <w:sz w:val="24"/>
        </w:rPr>
        <w:t>)</w:t>
      </w:r>
      <w:r>
        <w:rPr>
          <w:rFonts w:ascii="宋体" w:hAnsi="宋体"/>
          <w:b/>
          <w:color w:val="000000"/>
          <w:sz w:val="24"/>
        </w:rPr>
        <w:t>设备、镇流器、空调机、电热水器、普通照明用双端荧光灯、电视设备、视频设备、便器、水嘴</w:t>
      </w:r>
      <w:r>
        <w:rPr>
          <w:rFonts w:hint="eastAsia" w:ascii="宋体" w:hAnsi="宋体"/>
          <w:b/>
          <w:color w:val="000000"/>
          <w:sz w:val="24"/>
        </w:rPr>
        <w:t>。</w:t>
      </w:r>
    </w:p>
    <w:p>
      <w:pPr>
        <w:rPr>
          <w:rFonts w:ascii="宋体" w:hAnsi="宋体"/>
          <w:b/>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投标人名称：XXXX（盖单位公章）。</w:t>
      </w:r>
    </w:p>
    <w:p>
      <w:pPr>
        <w:spacing w:line="360" w:lineRule="auto"/>
        <w:rPr>
          <w:rFonts w:ascii="宋体" w:hAnsi="宋体"/>
          <w:color w:val="000000"/>
          <w:sz w:val="24"/>
        </w:rPr>
      </w:pPr>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 XXXX。</w:t>
      </w:r>
    </w:p>
    <w:p>
      <w:pPr>
        <w:spacing w:line="360" w:lineRule="auto"/>
        <w:rPr>
          <w:rFonts w:ascii="宋体" w:hAnsi="宋体"/>
          <w:color w:val="000000"/>
          <w:sz w:val="24"/>
        </w:rPr>
      </w:pPr>
      <w:r>
        <w:rPr>
          <w:rFonts w:hint="eastAsia" w:ascii="宋体" w:hAnsi="宋体"/>
          <w:color w:val="000000"/>
          <w:sz w:val="24"/>
        </w:rPr>
        <w:br w:type="page"/>
      </w:r>
    </w:p>
    <w:bookmarkEnd w:id="488"/>
    <w:bookmarkEnd w:id="489"/>
    <w:bookmarkEnd w:id="490"/>
    <w:p>
      <w:pPr>
        <w:pStyle w:val="39"/>
        <w:spacing w:line="480" w:lineRule="auto"/>
        <w:rPr>
          <w:rFonts w:ascii="宋体" w:hAnsi="宋体"/>
          <w:color w:val="000000"/>
          <w:sz w:val="36"/>
          <w:szCs w:val="36"/>
        </w:rPr>
      </w:pPr>
      <w:bookmarkStart w:id="492" w:name="_Toc69141848"/>
      <w:bookmarkStart w:id="493" w:name="_Toc6308728"/>
      <w:bookmarkStart w:id="494" w:name="_Toc6308556"/>
      <w:r>
        <w:rPr>
          <w:rFonts w:hint="eastAsia" w:ascii="宋体" w:hAnsi="宋体"/>
          <w:color w:val="000000"/>
          <w:sz w:val="36"/>
          <w:szCs w:val="36"/>
        </w:rPr>
        <w:t>第四章  供应商应当提供的资格证明材料</w:t>
      </w:r>
      <w:bookmarkEnd w:id="492"/>
      <w:bookmarkEnd w:id="493"/>
      <w:bookmarkEnd w:id="494"/>
    </w:p>
    <w:p>
      <w:pPr>
        <w:numPr>
          <w:ilvl w:val="0"/>
          <w:numId w:val="8"/>
        </w:numPr>
        <w:spacing w:line="400" w:lineRule="exact"/>
        <w:rPr>
          <w:rFonts w:ascii="宋体" w:hAnsi="宋体"/>
          <w:color w:val="000000"/>
          <w:sz w:val="24"/>
        </w:rPr>
      </w:pPr>
      <w:r>
        <w:rPr>
          <w:rFonts w:hint="eastAsia" w:ascii="宋体" w:hAnsi="宋体"/>
          <w:color w:val="000000"/>
          <w:sz w:val="24"/>
        </w:rPr>
        <w:t>法人或者其他组织营业执照等证明文件、自然人的身份证明扫描件；</w:t>
      </w:r>
    </w:p>
    <w:p>
      <w:pPr>
        <w:numPr>
          <w:ilvl w:val="0"/>
          <w:numId w:val="8"/>
        </w:numPr>
        <w:spacing w:line="400" w:lineRule="exact"/>
        <w:rPr>
          <w:rFonts w:ascii="宋体" w:hAnsi="宋体"/>
          <w:color w:val="000000"/>
          <w:sz w:val="24"/>
        </w:rPr>
      </w:pPr>
      <w:r>
        <w:rPr>
          <w:rFonts w:hint="eastAsia" w:ascii="宋体" w:hAnsi="宋体"/>
          <w:color w:val="000000"/>
          <w:sz w:val="24"/>
        </w:rPr>
        <w:t>法定代表人（单位负责人）授权书原件，或</w:t>
      </w:r>
      <w:r>
        <w:rPr>
          <w:rFonts w:ascii="宋体" w:hAnsi="宋体"/>
          <w:color w:val="000000"/>
          <w:sz w:val="24"/>
        </w:rPr>
        <w:t>法定</w:t>
      </w:r>
      <w:r>
        <w:rPr>
          <w:rFonts w:hint="eastAsia" w:ascii="宋体" w:hAnsi="宋体"/>
          <w:color w:val="000000"/>
          <w:sz w:val="24"/>
        </w:rPr>
        <w:t>代表人</w:t>
      </w:r>
      <w:r>
        <w:rPr>
          <w:rFonts w:ascii="宋体" w:hAnsi="宋体"/>
          <w:color w:val="000000"/>
          <w:sz w:val="24"/>
        </w:rPr>
        <w:t>（</w:t>
      </w:r>
      <w:r>
        <w:rPr>
          <w:rFonts w:hint="eastAsia" w:ascii="宋体" w:hAnsi="宋体"/>
          <w:color w:val="000000"/>
          <w:sz w:val="24"/>
        </w:rPr>
        <w:t>单位</w:t>
      </w:r>
      <w:r>
        <w:rPr>
          <w:rFonts w:ascii="宋体" w:hAnsi="宋体"/>
          <w:color w:val="000000"/>
          <w:sz w:val="24"/>
        </w:rPr>
        <w:t>负责人）</w:t>
      </w:r>
      <w:r>
        <w:rPr>
          <w:rFonts w:hint="eastAsia" w:ascii="宋体" w:hAnsi="宋体"/>
          <w:color w:val="000000"/>
          <w:sz w:val="24"/>
        </w:rPr>
        <w:t>身份</w:t>
      </w:r>
      <w:r>
        <w:rPr>
          <w:rFonts w:ascii="宋体" w:hAnsi="宋体"/>
          <w:color w:val="000000"/>
          <w:sz w:val="24"/>
        </w:rPr>
        <w:t>证明原件</w:t>
      </w:r>
      <w:r>
        <w:rPr>
          <w:rFonts w:hint="eastAsia" w:ascii="宋体" w:hAnsi="宋体"/>
          <w:color w:val="000000"/>
          <w:sz w:val="24"/>
        </w:rPr>
        <w:t>；</w:t>
      </w:r>
      <w:r>
        <w:rPr>
          <w:rFonts w:ascii="宋体" w:hAnsi="宋体"/>
          <w:color w:val="000000"/>
          <w:sz w:val="24"/>
        </w:rPr>
        <w:tab/>
      </w:r>
    </w:p>
    <w:p>
      <w:pPr>
        <w:numPr>
          <w:ilvl w:val="0"/>
          <w:numId w:val="8"/>
        </w:numPr>
        <w:spacing w:line="400" w:lineRule="exact"/>
        <w:rPr>
          <w:rFonts w:ascii="宋体" w:hAnsi="宋体" w:cs="宋体"/>
          <w:color w:val="000000"/>
          <w:sz w:val="24"/>
        </w:rPr>
      </w:pPr>
      <w:r>
        <w:rPr>
          <w:rFonts w:hint="eastAsia" w:ascii="宋体" w:hAnsi="宋体" w:cs="宋体"/>
          <w:color w:val="000000"/>
          <w:sz w:val="24"/>
        </w:rPr>
        <w:t>财务状况证明</w:t>
      </w:r>
      <w:r>
        <w:rPr>
          <w:rFonts w:ascii="宋体" w:hAnsi="宋体"/>
          <w:color w:val="000000"/>
          <w:sz w:val="24"/>
        </w:rPr>
        <w:t>扫描件</w:t>
      </w:r>
      <w:r>
        <w:rPr>
          <w:rFonts w:hint="eastAsia" w:ascii="宋体" w:hAnsi="宋体" w:cs="宋体"/>
          <w:color w:val="000000"/>
          <w:sz w:val="24"/>
        </w:rPr>
        <w:t>；</w:t>
      </w:r>
    </w:p>
    <w:p>
      <w:pPr>
        <w:numPr>
          <w:ilvl w:val="0"/>
          <w:numId w:val="8"/>
        </w:numPr>
        <w:spacing w:line="400" w:lineRule="exact"/>
        <w:rPr>
          <w:rFonts w:ascii="宋体" w:hAnsi="宋体"/>
          <w:color w:val="000000"/>
          <w:sz w:val="24"/>
        </w:rPr>
      </w:pPr>
      <w:r>
        <w:rPr>
          <w:rFonts w:hint="eastAsia" w:ascii="宋体" w:hAnsi="宋体"/>
          <w:color w:val="000000"/>
          <w:sz w:val="24"/>
        </w:rPr>
        <w:t>社保</w:t>
      </w:r>
      <w:r>
        <w:rPr>
          <w:rFonts w:ascii="宋体" w:hAnsi="宋体"/>
          <w:color w:val="000000"/>
          <w:sz w:val="24"/>
        </w:rPr>
        <w:t>和纳税证明扫描件；</w:t>
      </w:r>
    </w:p>
    <w:p>
      <w:pPr>
        <w:numPr>
          <w:ilvl w:val="0"/>
          <w:numId w:val="8"/>
        </w:numPr>
        <w:spacing w:line="400" w:lineRule="exact"/>
        <w:rPr>
          <w:rFonts w:ascii="宋体" w:hAnsi="宋体"/>
          <w:color w:val="000000"/>
          <w:sz w:val="24"/>
        </w:rPr>
      </w:pPr>
      <w:r>
        <w:rPr>
          <w:rFonts w:hint="eastAsia" w:ascii="宋体" w:hAnsi="宋体"/>
          <w:color w:val="000000"/>
          <w:sz w:val="24"/>
        </w:rPr>
        <w:t>承诺函原件；（见投标文件格式）</w:t>
      </w:r>
    </w:p>
    <w:p>
      <w:pPr>
        <w:numPr>
          <w:ilvl w:val="0"/>
          <w:numId w:val="8"/>
        </w:numPr>
        <w:spacing w:line="400" w:lineRule="exact"/>
        <w:rPr>
          <w:rFonts w:ascii="宋体" w:hAnsi="宋体"/>
          <w:color w:val="000000"/>
          <w:sz w:val="24"/>
        </w:rPr>
      </w:pPr>
      <w:r>
        <w:rPr>
          <w:rFonts w:hint="eastAsia" w:ascii="宋体" w:hAnsi="宋体"/>
          <w:color w:val="000000"/>
          <w:sz w:val="24"/>
        </w:rPr>
        <w:t>单位及其法定代表人/主要负责人的无行贿犯罪记录的承诺函原件；</w:t>
      </w:r>
    </w:p>
    <w:p>
      <w:pPr>
        <w:numPr>
          <w:ilvl w:val="0"/>
          <w:numId w:val="8"/>
        </w:numPr>
        <w:spacing w:line="400" w:lineRule="exact"/>
        <w:rPr>
          <w:rFonts w:ascii="宋体" w:hAnsi="宋体"/>
          <w:color w:val="000000"/>
          <w:sz w:val="24"/>
        </w:rPr>
      </w:pPr>
      <w:r>
        <w:rPr>
          <w:rFonts w:hint="eastAsia" w:ascii="宋体" w:hAnsi="宋体"/>
          <w:color w:val="000000"/>
          <w:sz w:val="24"/>
        </w:rPr>
        <w:t>无重大违法记录的承诺函原件；</w:t>
      </w:r>
    </w:p>
    <w:p>
      <w:pPr>
        <w:numPr>
          <w:ilvl w:val="0"/>
          <w:numId w:val="8"/>
        </w:numPr>
        <w:spacing w:line="400" w:lineRule="exact"/>
        <w:rPr>
          <w:rFonts w:ascii="宋体" w:hAnsi="宋体" w:cs="宋体"/>
          <w:color w:val="000000"/>
          <w:sz w:val="24"/>
        </w:rPr>
      </w:pPr>
      <w:r>
        <w:rPr>
          <w:rFonts w:hint="eastAsia" w:ascii="宋体" w:hAnsi="宋体"/>
          <w:color w:val="000000"/>
          <w:sz w:val="24"/>
        </w:rPr>
        <w:t>如因供应商单位性质无法查询信用信息的，供应商此处应</w:t>
      </w:r>
      <w:r>
        <w:rPr>
          <w:rFonts w:hint="eastAsia" w:ascii="宋体" w:hAnsi="宋体" w:cs="宋体"/>
          <w:color w:val="000000"/>
          <w:sz w:val="24"/>
        </w:rPr>
        <w:t>针对单位信用提供承诺函原件；</w:t>
      </w:r>
    </w:p>
    <w:p>
      <w:pPr>
        <w:numPr>
          <w:ilvl w:val="0"/>
          <w:numId w:val="8"/>
        </w:numPr>
        <w:spacing w:line="400" w:lineRule="exact"/>
        <w:rPr>
          <w:rFonts w:ascii="宋体" w:hAnsi="宋体" w:cs="宋体"/>
          <w:color w:val="000000"/>
          <w:sz w:val="24"/>
        </w:rPr>
      </w:pPr>
      <w:r>
        <w:rPr>
          <w:rFonts w:hint="eastAsia" w:ascii="宋体" w:hAnsi="宋体" w:cs="宋体"/>
          <w:sz w:val="24"/>
        </w:rPr>
        <w:t>提供中华人民共和国医疗器械经营许可证或备案表扫描件。</w:t>
      </w:r>
    </w:p>
    <w:p>
      <w:pPr>
        <w:numPr>
          <w:ilvl w:val="0"/>
          <w:numId w:val="8"/>
        </w:numPr>
        <w:spacing w:line="400" w:lineRule="exact"/>
        <w:rPr>
          <w:rFonts w:ascii="宋体" w:hAnsi="宋体" w:cs="宋体"/>
          <w:color w:val="000000"/>
          <w:sz w:val="24"/>
        </w:rPr>
      </w:pPr>
      <w:r>
        <w:rPr>
          <w:rFonts w:hint="eastAsia" w:ascii="宋体" w:hAnsi="宋体" w:cs="宋体"/>
          <w:color w:val="000000"/>
          <w:sz w:val="24"/>
        </w:rPr>
        <w:t>01包</w:t>
      </w:r>
      <w:r>
        <w:rPr>
          <w:rFonts w:hint="eastAsia"/>
          <w:sz w:val="24"/>
        </w:rPr>
        <w:t>非生产厂家投标，投标产品需具有投标产品生产厂家或有效经销商针对本项目的授权委托书原件（限进口产品参与投标适用）；</w:t>
      </w:r>
    </w:p>
    <w:p>
      <w:pPr>
        <w:spacing w:line="400" w:lineRule="exact"/>
        <w:ind w:left="425"/>
        <w:rPr>
          <w:rFonts w:ascii="宋体" w:hAnsi="宋体" w:cs="宋体"/>
          <w:color w:val="000000"/>
          <w:sz w:val="24"/>
        </w:rPr>
      </w:pPr>
    </w:p>
    <w:p>
      <w:pPr>
        <w:pStyle w:val="2"/>
      </w:pPr>
    </w:p>
    <w:p>
      <w:pPr>
        <w:spacing w:line="400" w:lineRule="exact"/>
        <w:rPr>
          <w:rFonts w:ascii="宋体" w:hAnsi="宋体"/>
          <w:color w:val="000000"/>
          <w:sz w:val="24"/>
        </w:rPr>
      </w:pPr>
    </w:p>
    <w:p>
      <w:pPr>
        <w:spacing w:line="400" w:lineRule="exact"/>
        <w:rPr>
          <w:rFonts w:ascii="宋体" w:hAnsi="宋体"/>
          <w:color w:val="000000"/>
          <w:sz w:val="24"/>
        </w:rPr>
      </w:pPr>
    </w:p>
    <w:p>
      <w:pPr>
        <w:spacing w:line="360" w:lineRule="auto"/>
        <w:ind w:firstLine="482" w:firstLineChars="200"/>
        <w:rPr>
          <w:rFonts w:ascii="宋体" w:hAnsi="宋体"/>
          <w:b/>
          <w:bCs/>
          <w:color w:val="000000"/>
          <w:sz w:val="24"/>
        </w:rPr>
      </w:pPr>
      <w:r>
        <w:rPr>
          <w:rFonts w:hint="eastAsia" w:ascii="宋体" w:hAnsi="宋体"/>
          <w:b/>
          <w:bCs/>
          <w:color w:val="000000"/>
          <w:sz w:val="24"/>
        </w:rPr>
        <w:t>注：1.以上文件均须加盖供应商单位公章。</w:t>
      </w:r>
    </w:p>
    <w:p>
      <w:pPr>
        <w:spacing w:line="360" w:lineRule="auto"/>
        <w:ind w:firstLine="964" w:firstLineChars="400"/>
        <w:rPr>
          <w:rFonts w:ascii="宋体" w:hAnsi="宋体"/>
          <w:b/>
          <w:bCs/>
          <w:color w:val="000000"/>
          <w:sz w:val="24"/>
        </w:rPr>
      </w:pPr>
      <w:r>
        <w:rPr>
          <w:rFonts w:hint="eastAsia" w:ascii="宋体" w:hAnsi="宋体"/>
          <w:b/>
          <w:bCs/>
          <w:sz w:val="24"/>
        </w:rPr>
        <w:t>2.具体要求详见格式。</w:t>
      </w: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pStyle w:val="2"/>
      </w:pPr>
    </w:p>
    <w:p>
      <w:pPr>
        <w:spacing w:line="360" w:lineRule="auto"/>
        <w:ind w:firstLine="482" w:firstLineChars="200"/>
        <w:rPr>
          <w:rFonts w:ascii="宋体" w:hAnsi="宋体"/>
          <w:b/>
          <w:bCs/>
          <w:color w:val="000000"/>
          <w:sz w:val="24"/>
        </w:rPr>
      </w:pPr>
    </w:p>
    <w:p>
      <w:pPr>
        <w:pStyle w:val="39"/>
        <w:spacing w:line="480" w:lineRule="auto"/>
        <w:rPr>
          <w:rFonts w:ascii="宋体" w:hAnsi="宋体"/>
          <w:color w:val="000000"/>
          <w:sz w:val="36"/>
          <w:szCs w:val="36"/>
        </w:rPr>
      </w:pPr>
      <w:bookmarkStart w:id="495" w:name="_Toc6308729"/>
      <w:bookmarkStart w:id="496" w:name="_Toc6308557"/>
      <w:bookmarkStart w:id="497" w:name="_Toc69141849"/>
      <w:r>
        <w:rPr>
          <w:rFonts w:hint="eastAsia" w:ascii="宋体" w:hAnsi="宋体"/>
          <w:color w:val="000000"/>
          <w:sz w:val="36"/>
          <w:szCs w:val="36"/>
        </w:rPr>
        <w:t>第五章  招标项目技术、服务、政府采购合同内容条款及其他商务要求</w:t>
      </w:r>
      <w:bookmarkEnd w:id="459"/>
      <w:bookmarkEnd w:id="495"/>
      <w:bookmarkEnd w:id="496"/>
      <w:bookmarkEnd w:id="497"/>
    </w:p>
    <w:p>
      <w:pPr>
        <w:rPr>
          <w:rFonts w:ascii="宋体" w:hAnsi="宋体"/>
          <w:color w:val="000000"/>
        </w:rPr>
      </w:pPr>
      <w:bookmarkStart w:id="498" w:name="_Toc217446095"/>
    </w:p>
    <w:p>
      <w:pPr>
        <w:spacing w:line="360" w:lineRule="auto"/>
        <w:rPr>
          <w:rFonts w:ascii="宋体" w:hAnsi="宋体" w:cs="宋体"/>
          <w:b/>
          <w:sz w:val="28"/>
          <w:szCs w:val="28"/>
        </w:rPr>
      </w:pPr>
      <w:bookmarkStart w:id="499" w:name="_Toc217446094"/>
      <w:r>
        <w:rPr>
          <w:rFonts w:hint="eastAsia" w:ascii="宋体" w:hAnsi="宋体" w:cs="宋体"/>
          <w:b/>
          <w:sz w:val="28"/>
          <w:szCs w:val="28"/>
        </w:rPr>
        <w:t>一、项目概述</w:t>
      </w:r>
      <w:bookmarkEnd w:id="499"/>
      <w:r>
        <w:rPr>
          <w:rFonts w:hint="eastAsia" w:ascii="宋体" w:hAnsi="宋体" w:cs="宋体"/>
          <w:b/>
          <w:sz w:val="28"/>
          <w:szCs w:val="28"/>
        </w:rPr>
        <w:t>：</w:t>
      </w:r>
    </w:p>
    <w:p>
      <w:pPr>
        <w:spacing w:line="360" w:lineRule="auto"/>
        <w:ind w:firstLine="480" w:firstLineChars="200"/>
        <w:rPr>
          <w:rFonts w:ascii="宋体" w:hAnsi="宋体" w:cs="宋体"/>
          <w:sz w:val="24"/>
          <w:szCs w:val="28"/>
        </w:rPr>
      </w:pPr>
      <w:r>
        <w:rPr>
          <w:rFonts w:hint="eastAsia" w:ascii="宋体" w:hAnsi="宋体" w:cs="宋体"/>
          <w:sz w:val="24"/>
          <w:szCs w:val="28"/>
          <w:u w:val="single"/>
        </w:rPr>
        <w:t>中航技国际经贸发展有限公司</w:t>
      </w:r>
      <w:r>
        <w:rPr>
          <w:rFonts w:hint="eastAsia" w:ascii="宋体" w:hAnsi="宋体" w:cs="宋体"/>
          <w:sz w:val="24"/>
          <w:szCs w:val="28"/>
        </w:rPr>
        <w:t>受</w:t>
      </w:r>
      <w:r>
        <w:rPr>
          <w:rFonts w:hint="eastAsia" w:ascii="宋体" w:hAnsi="宋体" w:cs="宋体"/>
          <w:sz w:val="24"/>
          <w:szCs w:val="28"/>
          <w:u w:val="single"/>
        </w:rPr>
        <w:t>成都市妇女儿童中心医院</w:t>
      </w:r>
      <w:r>
        <w:rPr>
          <w:rFonts w:hint="eastAsia" w:ascii="宋体" w:hAnsi="宋体" w:cs="宋体"/>
          <w:sz w:val="24"/>
          <w:szCs w:val="28"/>
        </w:rPr>
        <w:t>委托，拟对</w:t>
      </w:r>
      <w:r>
        <w:rPr>
          <w:rFonts w:hint="eastAsia" w:ascii="宋体" w:hAnsi="宋体" w:cs="宋体"/>
          <w:sz w:val="24"/>
          <w:szCs w:val="28"/>
          <w:u w:val="single"/>
        </w:rPr>
        <w:t>成都市妇女儿童中心医院彩色多普勒超声诊断仪医疗设备采购项目</w:t>
      </w:r>
      <w:r>
        <w:rPr>
          <w:rFonts w:hint="eastAsia" w:ascii="宋体" w:hAnsi="宋体" w:cs="宋体"/>
          <w:sz w:val="24"/>
          <w:szCs w:val="28"/>
        </w:rPr>
        <w:t>进行国内公开招标。</w:t>
      </w:r>
    </w:p>
    <w:bookmarkEnd w:id="498"/>
    <w:p>
      <w:pPr>
        <w:spacing w:line="360" w:lineRule="auto"/>
        <w:rPr>
          <w:rFonts w:ascii="宋体" w:hAnsi="宋体" w:cs="宋体"/>
          <w:b/>
          <w:sz w:val="28"/>
          <w:szCs w:val="28"/>
        </w:rPr>
      </w:pPr>
      <w:bookmarkStart w:id="500" w:name="_Toc69141850"/>
      <w:bookmarkStart w:id="501" w:name="_Toc6308730"/>
      <w:bookmarkStart w:id="502" w:name="_Toc6308558"/>
      <w:r>
        <w:rPr>
          <w:rFonts w:hint="eastAsia" w:ascii="宋体" w:hAnsi="宋体" w:cs="宋体"/>
          <w:b/>
          <w:sz w:val="28"/>
          <w:szCs w:val="28"/>
        </w:rPr>
        <w:t>二、项目清单：</w:t>
      </w:r>
    </w:p>
    <w:tbl>
      <w:tblPr>
        <w:tblStyle w:val="30"/>
        <w:tblW w:w="51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816"/>
        <w:gridCol w:w="3216"/>
        <w:gridCol w:w="696"/>
        <w:gridCol w:w="213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521" w:type="pct"/>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包号</w:t>
            </w:r>
          </w:p>
        </w:tc>
        <w:tc>
          <w:tcPr>
            <w:tcW w:w="429" w:type="pct"/>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品目号</w:t>
            </w:r>
          </w:p>
        </w:tc>
        <w:tc>
          <w:tcPr>
            <w:tcW w:w="1691"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货物名称</w:t>
            </w:r>
          </w:p>
        </w:tc>
        <w:tc>
          <w:tcPr>
            <w:tcW w:w="366"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数量</w:t>
            </w:r>
          </w:p>
        </w:tc>
        <w:tc>
          <w:tcPr>
            <w:tcW w:w="1123"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单项限价（万元）</w:t>
            </w:r>
          </w:p>
        </w:tc>
        <w:tc>
          <w:tcPr>
            <w:tcW w:w="871"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0" w:type="pct"/>
            <w:gridSpan w:val="2"/>
          </w:tcPr>
          <w:p>
            <w:pPr>
              <w:widowControl/>
              <w:jc w:val="center"/>
              <w:textAlignment w:val="center"/>
              <w:rPr>
                <w:rFonts w:ascii="宋体" w:hAnsi="宋体" w:cs="宋体"/>
                <w:color w:val="000000"/>
                <w:kern w:val="0"/>
                <w:sz w:val="24"/>
              </w:rPr>
            </w:pPr>
            <w:r>
              <w:rPr>
                <w:rFonts w:hint="eastAsia" w:cs="宋体" w:asciiTheme="minorEastAsia" w:hAnsiTheme="minorEastAsia" w:eastAsiaTheme="minorEastAsia"/>
                <w:bCs/>
                <w:sz w:val="24"/>
              </w:rPr>
              <w:t>01包</w:t>
            </w:r>
          </w:p>
        </w:tc>
        <w:tc>
          <w:tcPr>
            <w:tcW w:w="1691" w:type="pc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彩色多普勒超声诊断仪（1）</w:t>
            </w:r>
          </w:p>
        </w:tc>
        <w:tc>
          <w:tcPr>
            <w:tcW w:w="366"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1</w:t>
            </w:r>
          </w:p>
        </w:tc>
        <w:tc>
          <w:tcPr>
            <w:tcW w:w="1123"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37</w:t>
            </w:r>
          </w:p>
        </w:tc>
        <w:tc>
          <w:tcPr>
            <w:tcW w:w="871"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1" w:type="pct"/>
            <w:vMerge w:val="restart"/>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02包</w:t>
            </w:r>
          </w:p>
        </w:tc>
        <w:tc>
          <w:tcPr>
            <w:tcW w:w="429" w:type="pct"/>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02-01</w:t>
            </w:r>
          </w:p>
        </w:tc>
        <w:tc>
          <w:tcPr>
            <w:tcW w:w="1691" w:type="pc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彩色多普勒超声诊断仪（2）</w:t>
            </w:r>
          </w:p>
        </w:tc>
        <w:tc>
          <w:tcPr>
            <w:tcW w:w="366"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1</w:t>
            </w:r>
          </w:p>
        </w:tc>
        <w:tc>
          <w:tcPr>
            <w:tcW w:w="1123"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95</w:t>
            </w:r>
          </w:p>
        </w:tc>
        <w:tc>
          <w:tcPr>
            <w:tcW w:w="871"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21" w:type="pct"/>
            <w:vMerge w:val="continue"/>
          </w:tcPr>
          <w:p>
            <w:pPr>
              <w:spacing w:afterLines="50" w:line="420" w:lineRule="exact"/>
              <w:jc w:val="center"/>
              <w:rPr>
                <w:rFonts w:cs="宋体" w:asciiTheme="minorEastAsia" w:hAnsiTheme="minorEastAsia" w:eastAsiaTheme="minorEastAsia"/>
                <w:bCs/>
                <w:sz w:val="24"/>
              </w:rPr>
            </w:pPr>
          </w:p>
        </w:tc>
        <w:tc>
          <w:tcPr>
            <w:tcW w:w="429" w:type="pct"/>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02-02</w:t>
            </w:r>
          </w:p>
        </w:tc>
        <w:tc>
          <w:tcPr>
            <w:tcW w:w="1691" w:type="pct"/>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彩色多普勒超声仪器探头</w:t>
            </w:r>
          </w:p>
        </w:tc>
        <w:tc>
          <w:tcPr>
            <w:tcW w:w="366" w:type="pct"/>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1123" w:type="pct"/>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23</w:t>
            </w:r>
          </w:p>
        </w:tc>
        <w:tc>
          <w:tcPr>
            <w:tcW w:w="871"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否</w:t>
            </w:r>
          </w:p>
        </w:tc>
      </w:tr>
    </w:tbl>
    <w:p/>
    <w:p>
      <w:pPr>
        <w:spacing w:line="360" w:lineRule="auto"/>
        <w:rPr>
          <w:rFonts w:ascii="宋体" w:hAnsi="宋体"/>
          <w:b/>
          <w:color w:val="000000"/>
          <w:sz w:val="28"/>
          <w:szCs w:val="28"/>
        </w:rPr>
      </w:pPr>
      <w:r>
        <w:rPr>
          <w:rFonts w:hint="eastAsia" w:ascii="宋体" w:hAnsi="宋体"/>
          <w:b/>
          <w:color w:val="000000"/>
          <w:sz w:val="28"/>
          <w:szCs w:val="28"/>
        </w:rPr>
        <w:t>三、技术/服务</w:t>
      </w:r>
      <w:r>
        <w:rPr>
          <w:rFonts w:ascii="宋体" w:hAnsi="宋体"/>
          <w:b/>
          <w:color w:val="000000"/>
          <w:sz w:val="28"/>
          <w:szCs w:val="28"/>
        </w:rPr>
        <w:t>要求</w:t>
      </w:r>
      <w:r>
        <w:rPr>
          <w:rFonts w:hint="eastAsia" w:ascii="宋体" w:hAnsi="宋体"/>
          <w:b/>
          <w:color w:val="000000"/>
          <w:sz w:val="28"/>
          <w:szCs w:val="28"/>
        </w:rPr>
        <w:t>（本项需求应在技术/服务应答表中进行应答）</w:t>
      </w:r>
    </w:p>
    <w:p>
      <w:pPr>
        <w:outlineLvl w:val="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01包：彩色多普勒超声诊断仪（1）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设备要求</w:t>
      </w:r>
      <w:r>
        <w:rPr>
          <w:rFonts w:hint="eastAsia" w:asciiTheme="minorEastAsia" w:hAnsiTheme="minorEastAsia" w:eastAsiaTheme="minorEastAsia"/>
          <w:sz w:val="24"/>
        </w:rPr>
        <w:t>：</w:t>
      </w:r>
      <w:r>
        <w:rPr>
          <w:rFonts w:asciiTheme="minorEastAsia" w:hAnsiTheme="minorEastAsia" w:eastAsiaTheme="minorEastAsia"/>
          <w:sz w:val="24"/>
        </w:rPr>
        <w:t>便携</w:t>
      </w:r>
      <w:r>
        <w:rPr>
          <w:rFonts w:hint="eastAsia" w:asciiTheme="minorEastAsia" w:hAnsiTheme="minorEastAsia" w:eastAsiaTheme="minorEastAsia"/>
          <w:sz w:val="24"/>
        </w:rPr>
        <w:t>式</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适用范围</w:t>
      </w:r>
      <w:r>
        <w:rPr>
          <w:rFonts w:hint="eastAsia" w:asciiTheme="minorEastAsia" w:hAnsiTheme="minorEastAsia" w:eastAsiaTheme="minorEastAsia"/>
          <w:sz w:val="24"/>
        </w:rPr>
        <w:t>：</w:t>
      </w:r>
      <w:r>
        <w:rPr>
          <w:rFonts w:asciiTheme="minorEastAsia" w:hAnsiTheme="minorEastAsia" w:eastAsiaTheme="minorEastAsia"/>
          <w:sz w:val="24"/>
        </w:rPr>
        <w:t>心脏/腹部/妇产科/肌骨/小器官/新生儿/术中/康复/神经及血管等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三、主要技术及系统概述</w:t>
      </w:r>
    </w:p>
    <w:p>
      <w:pPr>
        <w:spacing w:line="360" w:lineRule="auto"/>
        <w:rPr>
          <w:rFonts w:asciiTheme="minorEastAsia" w:hAnsiTheme="minorEastAsia" w:eastAsiaTheme="minorEastAsia"/>
          <w:sz w:val="24"/>
        </w:rPr>
      </w:pPr>
      <w:r>
        <w:rPr>
          <w:rFonts w:asciiTheme="minorEastAsia" w:hAnsiTheme="minorEastAsia" w:eastAsiaTheme="minorEastAsia"/>
          <w:sz w:val="24"/>
        </w:rPr>
        <w:t>1．技术参数及要求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1.1传统超声操作面板(整机一体式,非外接配件式)，专业操作系统和芯片技术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1.2开机到进入检查状态时间≤20秒,功能转换时间≤3秒</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1.3 LCD彩色液晶显示屏≥10英寸</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1.4通道数:128通道</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1.5灰阶: ≥256</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1.6系统动态范围: ≥165dB</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1.7具备图像增益功能</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1.7.1复合成像技术</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1.7.2高分辨率成像</w:t>
      </w:r>
      <w:r>
        <w:rPr>
          <w:rFonts w:hint="eastAsia" w:asciiTheme="minorEastAsia" w:hAnsiTheme="minorEastAsia" w:eastAsiaTheme="minorEastAsia"/>
          <w:sz w:val="24"/>
        </w:rPr>
        <w:t>技术</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1.7.3穿刺针显像增强技术：适用于线阵和凸阵探头，方向调节≥3</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1.7.4自适应成像技术</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1.7.5一键优化功能</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1.8显示方式: B/C、B/D、B/M、B/C/D</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1.9具双拼幅(图像中无间隙)显示及测量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1.10成像模式: </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1.10.1二维（2D）</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1.10.2 Color</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1.10.3 M型</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1.10.4彩色能量多普勒（CPD）</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1.10.5彩色血流（CDFI）</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1.10.6组织谐波成像（THI）</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1.10.7脉冲多普勒（PW）</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1.10.8连续多普勒（CW）</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1.10.9 组织多谱勒(TDI)</w:t>
      </w:r>
    </w:p>
    <w:p>
      <w:pPr>
        <w:spacing w:line="360" w:lineRule="auto"/>
        <w:ind w:firstLine="120" w:firstLineChars="50"/>
        <w:rPr>
          <w:rFonts w:asciiTheme="minorEastAsia" w:hAnsiTheme="minorEastAsia" w:eastAsiaTheme="minorEastAsia"/>
          <w:sz w:val="24"/>
        </w:rPr>
      </w:pPr>
      <w:r>
        <w:rPr>
          <w:rFonts w:asciiTheme="minorEastAsia" w:hAnsiTheme="minorEastAsia" w:eastAsiaTheme="minorEastAsia"/>
          <w:sz w:val="24"/>
        </w:rPr>
        <w:t>2．成像速度:</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2.1二维显示帧频:全视野,18cm深度时,≥ 50 帧/秒</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2.2彩色显示帧频:全视野,18cm深度时, ≥30帧/秒</w:t>
      </w:r>
    </w:p>
    <w:p>
      <w:pPr>
        <w:spacing w:line="360" w:lineRule="auto"/>
        <w:ind w:firstLine="120" w:firstLineChars="50"/>
        <w:rPr>
          <w:rFonts w:asciiTheme="minorEastAsia" w:hAnsiTheme="minorEastAsia" w:eastAsiaTheme="minorEastAsia"/>
          <w:sz w:val="24"/>
        </w:rPr>
      </w:pPr>
      <w:r>
        <w:rPr>
          <w:rFonts w:asciiTheme="minorEastAsia" w:hAnsiTheme="minorEastAsia" w:eastAsiaTheme="minorEastAsia"/>
          <w:sz w:val="24"/>
        </w:rPr>
        <w:t>3.测量和分析</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3.1腹部软件：容积、流量等</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3.2妇产科计算软件：包括胎儿的生长分析曲线、羊水、胎龄/胎重、双胞胎计算</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3.3心脏计算软件：M型、辛普森法、射血分数、二尖瓣瓣口面积（PHT）等</w:t>
      </w:r>
    </w:p>
    <w:p>
      <w:pPr>
        <w:spacing w:line="360" w:lineRule="auto"/>
        <w:ind w:firstLine="120" w:firstLineChars="50"/>
        <w:rPr>
          <w:rFonts w:asciiTheme="minorEastAsia" w:hAnsiTheme="minorEastAsia" w:eastAsiaTheme="minorEastAsia"/>
          <w:sz w:val="24"/>
        </w:rPr>
      </w:pPr>
      <w:r>
        <w:rPr>
          <w:rFonts w:asciiTheme="minorEastAsia" w:hAnsiTheme="minorEastAsia" w:eastAsiaTheme="minorEastAsia"/>
          <w:sz w:val="24"/>
        </w:rPr>
        <w:t xml:space="preserve">4．图像存储与回放: </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4.1 Loops 存储/回放 </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4.2支持PC直接连接，原始数据图像管理软件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 探头规格: 支持凸阵，线阵，相控阵,微凸阵，腔内、术中、</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经食道探头等，宽频带变频探头，频率≥</w:t>
      </w:r>
      <w:r>
        <w:rPr>
          <w:rFonts w:asciiTheme="minorEastAsia" w:hAnsiTheme="minorEastAsia" w:eastAsiaTheme="minorEastAsia"/>
          <w:sz w:val="24"/>
        </w:rPr>
        <w:t>3档可调节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5.1  超宽频线阵探头13-6MHz</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超宽频凸阵探头</w:t>
      </w:r>
      <w:r>
        <w:rPr>
          <w:rFonts w:asciiTheme="minorEastAsia" w:hAnsiTheme="minorEastAsia" w:eastAsiaTheme="minorEastAsia"/>
          <w:sz w:val="24"/>
        </w:rPr>
        <w:t>5-2MHz</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5.2 可选配经食道超声探头</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5.3探头连接方式：晶片触点式（非针孔式）插头连接，可热插拔  </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5.4配备专用台车及探头转换器，实现探头之间一键转换。</w:t>
      </w:r>
    </w:p>
    <w:p>
      <w:pPr>
        <w:spacing w:line="360" w:lineRule="auto"/>
        <w:ind w:firstLine="120" w:firstLineChars="50"/>
        <w:rPr>
          <w:rFonts w:asciiTheme="minorEastAsia" w:hAnsiTheme="minorEastAsia" w:eastAsiaTheme="minorEastAsia"/>
          <w:sz w:val="24"/>
        </w:rPr>
      </w:pPr>
      <w:r>
        <w:rPr>
          <w:rFonts w:asciiTheme="minorEastAsia" w:hAnsiTheme="minorEastAsia" w:eastAsiaTheme="minorEastAsia"/>
          <w:sz w:val="24"/>
        </w:rPr>
        <w:t>6.外部连接:</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6.1 LCD复合视频输出 (NTSC/PAL) 到视频录像机、视频打印机合外接显示器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6.2 USB连接电脑，可向外部PC机传送图像并用通用的图像软件来查看图像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6.3 S端、Ethernet、VGA 输出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6.4可连接心电图</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6.5电源要求：主机具备交、直流两用电源供电方式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6.6主机含电池重量小于4公斤</w:t>
      </w:r>
    </w:p>
    <w:p>
      <w:pPr>
        <w:spacing w:line="360" w:lineRule="auto"/>
        <w:ind w:firstLine="120" w:firstLineChars="50"/>
        <w:rPr>
          <w:rFonts w:asciiTheme="minorEastAsia" w:hAnsiTheme="minorEastAsia" w:eastAsiaTheme="minorEastAsia"/>
          <w:sz w:val="24"/>
        </w:rPr>
      </w:pPr>
      <w:r>
        <w:rPr>
          <w:rFonts w:asciiTheme="minorEastAsia" w:hAnsiTheme="minorEastAsia" w:eastAsiaTheme="minorEastAsia"/>
          <w:sz w:val="24"/>
        </w:rPr>
        <w:t>6.7 电池：连续扫描使用时间 ≥2小时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*四、配置：</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超宽频线阵探头</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超宽频凸阵探头</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*五、售后服务要求（本项须在商务要求中应答）</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整机质保5年，标配探头质保5年</w:t>
      </w:r>
    </w:p>
    <w:p>
      <w:pPr>
        <w:spacing w:line="360" w:lineRule="auto"/>
        <w:rPr>
          <w:rFonts w:asciiTheme="minorEastAsia" w:hAnsiTheme="minorEastAsia" w:eastAsiaTheme="minorEastAsia"/>
          <w:sz w:val="24"/>
        </w:rPr>
      </w:pPr>
    </w:p>
    <w:p>
      <w:pPr>
        <w:outlineLvl w:val="0"/>
        <w:rPr>
          <w:rFonts w:asciiTheme="minorEastAsia" w:hAnsiTheme="minorEastAsia" w:eastAsiaTheme="minorEastAsia"/>
          <w:b/>
          <w:bCs/>
          <w:sz w:val="28"/>
          <w:szCs w:val="28"/>
        </w:rPr>
      </w:pPr>
      <w:bookmarkStart w:id="503" w:name="_Toc25986"/>
      <w:bookmarkStart w:id="504" w:name="_Toc1451"/>
      <w:r>
        <w:rPr>
          <w:rFonts w:hint="eastAsia" w:asciiTheme="minorEastAsia" w:hAnsiTheme="minorEastAsia" w:eastAsiaTheme="minorEastAsia"/>
          <w:b/>
          <w:bCs/>
          <w:sz w:val="28"/>
          <w:szCs w:val="28"/>
        </w:rPr>
        <w:t>02包：</w:t>
      </w:r>
    </w:p>
    <w:p>
      <w:pPr>
        <w:outlineLvl w:val="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02-01：彩色多普勒超声诊断仪（2）</w:t>
      </w:r>
      <w:bookmarkEnd w:id="503"/>
      <w:bookmarkEnd w:id="504"/>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适用范围</w:t>
      </w:r>
      <w:r>
        <w:rPr>
          <w:rFonts w:hint="eastAsia" w:asciiTheme="minorEastAsia" w:hAnsiTheme="minorEastAsia" w:eastAsiaTheme="minorEastAsia"/>
          <w:sz w:val="24"/>
        </w:rPr>
        <w:t>：腹部、妇科、产科、心脏、小器官与浅表组织、血管、颅脑</w:t>
      </w:r>
      <w:r>
        <w:rPr>
          <w:rFonts w:asciiTheme="minorEastAsia" w:hAnsiTheme="minorEastAsia" w:eastAsiaTheme="minorEastAsia"/>
          <w:sz w:val="24"/>
        </w:rPr>
        <w:t>, 泌尿、</w:t>
      </w:r>
      <w:r>
        <w:rPr>
          <w:rFonts w:hint="eastAsia" w:asciiTheme="minorEastAsia" w:hAnsiTheme="minorEastAsia" w:eastAsiaTheme="minorEastAsia"/>
          <w:sz w:val="24"/>
        </w:rPr>
        <w:t>介入性超声、儿科、急诊、麻醉等全身应用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全数字化彩色多普勒超声诊断系统主机：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 ≥15寸高清晰、医用专业彩色LED显示屏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2数字波束增强器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3多倍波束合成</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4二维灰阶模式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5组织谐波成像模式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6组织特异性成像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7空间复合成像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8斑点抑制成像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9频率复合成像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10回波增强技术</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 xml:space="preserve"> </w:t>
      </w:r>
      <w:r>
        <w:rPr>
          <w:rFonts w:asciiTheme="minorEastAsia" w:hAnsiTheme="minorEastAsia" w:eastAsiaTheme="minorEastAsia"/>
          <w:sz w:val="24"/>
        </w:rPr>
        <w:t>M型模式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12彩色M型模式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13可选配解剖M型模式 ，要求M取样线≥2条，能360度任意旋转角度，同时要求支持实时扫描以及后处理离线分析过程中重构M型图像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14彩色多普勒成像（包括彩色、能量、方向能量多普勒模式）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15超宽动态血流技术</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16频谱多普勒成像（包括脉冲多普勒、高脉冲重复频率、连续波多普勒）</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17可选配组织多普勒成像，要求支持四种模式组织多普勒，TDI、TVI、TDI-PW、TDI-M</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18独立角度偏转（要求提供现场演示或图片证明）</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19扩展成像，要求凸阵、线阵探头可用</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20实时双幅对比成像</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21高分辨率血流成像</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22一键自动优化（包括应用于二维、彩色、频谱模式、TDI及造影）</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23智能多普勒自动优化频谱多普勒取样线角度，以及快速矫正取样角度</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24一键实现全屏放大</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25局部放大（支持前端、后端放大）</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26二维和彩色多谱勒双幅显示</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27可选配自动工作流协议，可根据医生习惯自定义检查规范，减少重复操作</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28支持穿刺针增强技术，要求具有双屏实时对比显示，增强前后效果，并同时支持增强平面多角度可调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29支持超声教学软件</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30支持DICOM 3.0</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31支持语言，英语,中文（包括键盘输入、注释、操作面板等）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测量和分析:</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1常规测量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2距离测量、椭圆及描迹测量面积周长、体积测量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3多普勒测量（自动或手动包络测量，自动计算测量参数）</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4全科测量包，自动生成报告</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5腹部、妇科、产科、心脏、泌尿、小器官、儿科、血管、神经、急诊科</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6心脏功能专用测量及分析，包括Simpson BP，Tei指数分析，PISA等</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 Auto-LV自动左心室收缩功能自动测量</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8可选配血管内中膜自动测量，可同时进行血管前、后壁的内中膜一段距离的自动描记、自动生成测量数据结果，并具有专业的评估报告和历史回顾分析功能</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9支持用户自定义测量项目以及公式编辑</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电影回放及原始数据处理</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1所有模式下支持手动、自动回放；支持向后存储和向前存储，时间长度可预置，向后存储≥5分钟的电影</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2支持保存后的图像对比分析（动态、静态）</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3原始数据处理，可对回放图像进行参数调节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4支持同步存储(支持单帧图像文件包含： DCM、TIFF、BMP、JEPG单帧，电影文件包括：CIN、AVI、DCM)，即后台存储或导出图像数据的同时前台可以完成实时扫描。直接一键存储至硬盘，突然关机或未结束检查关机资料不丢失</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5支持一键多功能输出，要求同一个自定义功能按键支持≥4个功能的输出。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检查存储和管理（内置超声工作站）</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1≥240G硬盘，为固态硬盘</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2内置超声工作站</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3多种导出图像格式：动态图像、静态图像以PC格式直接导出，无需特殊软件即能在普通PC 机上直接观看图像。导出、备份图像数据资料同时，可进行实时检查，不影响检查操作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六、</w:t>
      </w:r>
      <w:r>
        <w:rPr>
          <w:rFonts w:asciiTheme="minorEastAsia" w:hAnsiTheme="minorEastAsia" w:eastAsiaTheme="minorEastAsia"/>
          <w:sz w:val="24"/>
        </w:rPr>
        <w:t>技术参数及要求</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1系统通用功能</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1.1.监视器:≥15寸高分辨率、医用专业彩色LED显示屏</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1.2.探头接口选择:1个，可扩展到3个</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1.3.安全标准：符合商品安全质量要求</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1.4.整机重量≤6KG</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1.5.支持用户自定义按键数量≥4个</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2探头规格：支持单晶探头</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2.1.频率: 宽频带变频探头,两维和彩色独立变频</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2.2.凸阵探头具有≥7种频率的变频范围，常规扫描角度≥61度，扫描角度最大扩展后≥100度（不包括C11-3S探头，C11-3S常规扫描角度100度，扩展后120度）</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 xml:space="preserve">2.3.线阵探头具有≥6种频率的变频范围，支持T型扩展显示 </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2.4.相控阵探头具有≥6种频率的变频范围，扫描角度≥90度</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2.5.支持心脏经食道探头，具有≥6种频率的变频范围，扫描角度≥90度</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2.6.支持小儿心脏探头</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2.7.支持新生儿心脏探头</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2.8.支持矩阵探头</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2.9.穿刺导向:可选配穿刺导向装置</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3二维灰阶模式</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3.1.数字化声束形成器</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3.2.数字化全程动态聚焦，数字化可变孔径及动态变迹，A/D≥12 bit</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3.3.接收方式：发射、接收通道≥1024，多倍信号并行处理</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3.4.扫描线：每帧线密度≥512超声线</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3.5.发射声束聚焦：发射≥8段</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3.6.扫描频率：</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3.6.1电子凸阵：超声频率</w:t>
      </w:r>
      <w:r>
        <w:rPr>
          <w:rFonts w:asciiTheme="minorEastAsia" w:hAnsiTheme="minorEastAsia" w:eastAsiaTheme="minorEastAsia"/>
          <w:sz w:val="24"/>
        </w:rPr>
        <w:tab/>
      </w:r>
      <w:r>
        <w:rPr>
          <w:rFonts w:asciiTheme="minorEastAsia" w:hAnsiTheme="minorEastAsia" w:eastAsiaTheme="minorEastAsia"/>
          <w:sz w:val="24"/>
        </w:rPr>
        <w:t>1.3-6.0MHz</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3.6.2电子相控阵：超声频率1.5-4.5MHz</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3.6.3电子线阵：超声频率</w:t>
      </w:r>
      <w:r>
        <w:rPr>
          <w:rFonts w:asciiTheme="minorEastAsia" w:hAnsiTheme="minorEastAsia" w:eastAsiaTheme="minorEastAsia"/>
          <w:sz w:val="24"/>
        </w:rPr>
        <w:tab/>
      </w:r>
      <w:r>
        <w:rPr>
          <w:rFonts w:asciiTheme="minorEastAsia" w:hAnsiTheme="minorEastAsia" w:eastAsiaTheme="minorEastAsia"/>
          <w:sz w:val="24"/>
        </w:rPr>
        <w:t>5.4-13.5MHz</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3.6.4电子新生儿探头：4.0-10.0 MHz</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3.7.预设条件：针对不同的检查脏器，预置最佳图像检查条件</w:t>
      </w:r>
    </w:p>
    <w:p>
      <w:pPr>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3.8.最大显示深度:≥39cm（提供图片证明）</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3.9.最大帧率: ≥999 帧/秒</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3.10.TGC: ≥8段</w:t>
      </w:r>
    </w:p>
    <w:p>
      <w:pPr>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3.11.LGC: ≥4段</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3.12.二维灰阶：≥256</w:t>
      </w:r>
    </w:p>
    <w:p>
      <w:pPr>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3.13.动态范围: 30-190db（可视可调，提供图片证明）</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3.14.增益调节: B/M/D分别独立可调，≥100</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3.15.伪彩图谱: ≥8种</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3.16.体位标记：≥120种，可以自定义注释</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3.17.扫描帧率：诊断深度18cm，相控阵探头全视野时≥61帧／秒</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4彩色多普勒成像</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4.1.包括速度、速度方差、能量、方向能量显示等</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4.2.显示方式：B/C、B/C/M、B/POWER、B/C/PW</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4.3.取样框偏转: ≥±30度 (线阵探头)</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4.4.最大帧率: ≥244 帧/秒</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4.5.支持B/C 同宽（提供图片证明）</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5频谱多普勒模式</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5.1.包括脉冲多普勒、高脉冲重复频率、连续多普勒</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5.2.显示方式：B, PW，B/PW, B/C/PW, B/CW, B/C/CW等等</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5.3.显示控制：反转、零移位、B刷新、D扩展、B/D扩展等</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5.4.最大速度: ≥9.21m/s（连续多普勒速度: ≥35m/s）</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5.5.最小速度: ≤1 mm /s（非噪声信号）</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 xml:space="preserve">5.6.取样容积: 0.5-20mm </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5.7.偏转角度: ≥±30度 (线阵探头)</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5.8.零位移动：≥8 级</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5.9.快速角度校正</w:t>
      </w:r>
    </w:p>
    <w:p>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5.10.支持频谱自动测量</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七、</w:t>
      </w:r>
      <w:r>
        <w:rPr>
          <w:rFonts w:asciiTheme="minorEastAsia" w:hAnsiTheme="minorEastAsia" w:eastAsiaTheme="minorEastAsia"/>
          <w:sz w:val="24"/>
        </w:rPr>
        <w:t>连通性</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参考信号: 心电,呼吸波，并支持心电触发控制</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输入/输出信号:</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输入: VCR,外部视频, RGB彩色视频</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输出:高清影视频接口，复合视频, RGB彩色视频, S---视频</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支持数据无线传输</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w:t>
      </w:r>
      <w:r>
        <w:rPr>
          <w:rFonts w:asciiTheme="minorEastAsia" w:hAnsiTheme="minorEastAsia" w:eastAsiaTheme="minorEastAsia"/>
          <w:sz w:val="24"/>
        </w:rPr>
        <w:t>支持USB储存介质一键存储普通PC格式文件，无需转换</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w:t>
      </w:r>
      <w:r>
        <w:rPr>
          <w:rFonts w:asciiTheme="minorEastAsia" w:hAnsiTheme="minorEastAsia" w:eastAsiaTheme="minorEastAsia"/>
          <w:sz w:val="24"/>
        </w:rPr>
        <w:t xml:space="preserve">支持DICOM </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w:t>
      </w:r>
      <w:r>
        <w:rPr>
          <w:rFonts w:asciiTheme="minorEastAsia" w:hAnsiTheme="minorEastAsia" w:eastAsiaTheme="minorEastAsia"/>
          <w:sz w:val="24"/>
        </w:rPr>
        <w:t>USB 3.0接口</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w:t>
      </w:r>
      <w:r>
        <w:rPr>
          <w:rFonts w:asciiTheme="minorEastAsia" w:hAnsiTheme="minorEastAsia" w:eastAsiaTheme="minorEastAsia"/>
          <w:sz w:val="24"/>
        </w:rPr>
        <w:t>外设数据模块：包含下列接口：1 S---视频、2 VGA视频接口、高清音视频接口</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10</w:t>
      </w:r>
      <w:r>
        <w:rPr>
          <w:rFonts w:hint="eastAsia" w:asciiTheme="minorEastAsia" w:hAnsiTheme="minorEastAsia" w:eastAsiaTheme="minorEastAsia"/>
          <w:sz w:val="24"/>
        </w:rPr>
        <w:t>.</w:t>
      </w:r>
      <w:r>
        <w:rPr>
          <w:rFonts w:asciiTheme="minorEastAsia" w:hAnsiTheme="minorEastAsia" w:eastAsiaTheme="minorEastAsia"/>
          <w:sz w:val="24"/>
        </w:rPr>
        <w:t>音频接口</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w:t>
      </w:r>
      <w:r>
        <w:rPr>
          <w:rFonts w:asciiTheme="minorEastAsia" w:hAnsiTheme="minorEastAsia" w:eastAsiaTheme="minorEastAsia"/>
          <w:sz w:val="24"/>
        </w:rPr>
        <w:t>可升降多功能专用台车</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w:t>
      </w:r>
      <w:r>
        <w:rPr>
          <w:rFonts w:asciiTheme="minorEastAsia" w:hAnsiTheme="minorEastAsia" w:eastAsiaTheme="minorEastAsia"/>
          <w:sz w:val="24"/>
        </w:rPr>
        <w:t>支持机器防盗锁控制</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w:t>
      </w:r>
      <w:r>
        <w:rPr>
          <w:rFonts w:asciiTheme="minorEastAsia" w:hAnsiTheme="minorEastAsia" w:eastAsiaTheme="minorEastAsia"/>
          <w:sz w:val="24"/>
        </w:rPr>
        <w:t>支持扩展USB接口</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14</w:t>
      </w:r>
      <w:r>
        <w:rPr>
          <w:rFonts w:hint="eastAsia" w:asciiTheme="minorEastAsia" w:hAnsiTheme="minorEastAsia" w:eastAsiaTheme="minorEastAsia"/>
          <w:sz w:val="24"/>
        </w:rPr>
        <w:t>.</w:t>
      </w:r>
      <w:r>
        <w:rPr>
          <w:rFonts w:asciiTheme="minorEastAsia" w:hAnsiTheme="minorEastAsia" w:eastAsiaTheme="minorEastAsia"/>
          <w:sz w:val="24"/>
        </w:rPr>
        <w:t>具备可装卸探头扩展槽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*八、</w:t>
      </w:r>
      <w:r>
        <w:rPr>
          <w:rFonts w:asciiTheme="minorEastAsia" w:hAnsiTheme="minorEastAsia" w:eastAsiaTheme="minorEastAsia"/>
          <w:sz w:val="24"/>
        </w:rPr>
        <w:t>储物设备</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专用旅行箱，可装载主机、探头及相关备件</w:t>
      </w:r>
    </w:p>
    <w:p>
      <w:pPr>
        <w:spacing w:line="360" w:lineRule="auto"/>
        <w:ind w:firstLine="240" w:firstLineChars="100"/>
        <w:rPr>
          <w:rFonts w:asciiTheme="minorEastAsia" w:hAnsiTheme="minorEastAsia" w:eastAsiaTheme="minorEastAsia"/>
          <w:sz w:val="24"/>
        </w:rPr>
      </w:pPr>
      <w:r>
        <w:rPr>
          <w:rFonts w:hint="eastAsia" w:asciiTheme="minorEastAsia" w:hAnsiTheme="minorEastAsia" w:eastAsiaTheme="minorEastAsia"/>
          <w:sz w:val="24"/>
        </w:rPr>
        <w:t>2.专用推车</w:t>
      </w:r>
    </w:p>
    <w:p>
      <w:pPr>
        <w:pStyle w:val="2"/>
      </w:pPr>
    </w:p>
    <w:p>
      <w:pPr>
        <w:outlineLvl w:val="0"/>
        <w:rPr>
          <w:rFonts w:ascii="宋体" w:hAnsi="宋体"/>
          <w:b/>
          <w:bCs/>
          <w:sz w:val="28"/>
          <w:szCs w:val="28"/>
        </w:rPr>
      </w:pPr>
      <w:r>
        <w:rPr>
          <w:rFonts w:hint="eastAsia" w:ascii="宋体" w:hAnsi="宋体"/>
          <w:b/>
          <w:bCs/>
          <w:sz w:val="28"/>
          <w:szCs w:val="28"/>
        </w:rPr>
        <w:t>02-02：彩色多普勒超声仪器探头</w:t>
      </w:r>
    </w:p>
    <w:p>
      <w:pPr>
        <w:spacing w:line="360" w:lineRule="auto"/>
        <w:outlineLvl w:val="0"/>
        <w:rPr>
          <w:rFonts w:ascii="宋体" w:hAnsi="宋体"/>
          <w:bCs/>
          <w:sz w:val="24"/>
        </w:rPr>
      </w:pPr>
      <w:r>
        <w:rPr>
          <w:rFonts w:hint="eastAsia" w:ascii="宋体" w:hAnsi="宋体"/>
          <w:bCs/>
          <w:sz w:val="24"/>
        </w:rPr>
        <w:t>一、设备用途：</w:t>
      </w:r>
    </w:p>
    <w:p>
      <w:pPr>
        <w:spacing w:line="360" w:lineRule="auto"/>
        <w:ind w:firstLine="240" w:firstLineChars="100"/>
        <w:outlineLvl w:val="0"/>
        <w:rPr>
          <w:rFonts w:ascii="宋体" w:hAnsi="宋体"/>
          <w:bCs/>
          <w:sz w:val="24"/>
        </w:rPr>
      </w:pPr>
      <w:r>
        <w:rPr>
          <w:rFonts w:hint="eastAsia" w:ascii="宋体" w:hAnsi="宋体"/>
          <w:bCs/>
          <w:sz w:val="24"/>
        </w:rPr>
        <w:t>主要用于</w:t>
      </w:r>
      <w:r>
        <w:rPr>
          <w:rFonts w:ascii="宋体" w:hAnsi="宋体"/>
          <w:bCs/>
          <w:sz w:val="24"/>
        </w:rPr>
        <w:t>PICU\NICU\ICU、儿科，用于腹部、肌肉骨骼、小器官、产科、儿科、外周血管、微创介入等方面的临床超声诊断及介入治疗中。</w:t>
      </w:r>
    </w:p>
    <w:p>
      <w:pPr>
        <w:spacing w:line="360" w:lineRule="auto"/>
        <w:rPr>
          <w:rFonts w:ascii="宋体" w:hAnsi="宋体"/>
          <w:sz w:val="24"/>
        </w:rPr>
      </w:pPr>
      <w:r>
        <w:rPr>
          <w:rFonts w:hint="eastAsia" w:ascii="宋体" w:hAnsi="宋体"/>
          <w:sz w:val="24"/>
        </w:rPr>
        <w:t>二、微凸阵探头（数量1）</w:t>
      </w:r>
    </w:p>
    <w:p>
      <w:pPr>
        <w:spacing w:line="360" w:lineRule="auto"/>
        <w:ind w:firstLine="240" w:firstLineChars="100"/>
        <w:rPr>
          <w:rFonts w:ascii="宋体" w:hAnsi="宋体"/>
          <w:sz w:val="24"/>
        </w:rPr>
      </w:pPr>
      <w:r>
        <w:rPr>
          <w:rFonts w:ascii="宋体" w:hAnsi="宋体"/>
          <w:sz w:val="24"/>
        </w:rPr>
        <w:t>1.技术：宽带电子微凸阵探头</w:t>
      </w:r>
    </w:p>
    <w:p>
      <w:pPr>
        <w:spacing w:line="360" w:lineRule="auto"/>
        <w:ind w:firstLine="240" w:firstLineChars="100"/>
        <w:rPr>
          <w:rFonts w:ascii="宋体" w:hAnsi="宋体"/>
          <w:sz w:val="24"/>
        </w:rPr>
      </w:pPr>
      <w:r>
        <w:rPr>
          <w:rFonts w:ascii="宋体" w:hAnsi="宋体"/>
          <w:sz w:val="24"/>
        </w:rPr>
        <w:t>2.深度：0--140mm</w:t>
      </w:r>
    </w:p>
    <w:p>
      <w:pPr>
        <w:spacing w:line="360" w:lineRule="auto"/>
        <w:ind w:firstLine="240" w:firstLineChars="100"/>
        <w:rPr>
          <w:rFonts w:ascii="宋体" w:hAnsi="宋体"/>
          <w:sz w:val="24"/>
        </w:rPr>
      </w:pPr>
      <w:r>
        <w:rPr>
          <w:rFonts w:ascii="宋体" w:hAnsi="宋体"/>
          <w:sz w:val="24"/>
        </w:rPr>
        <w:t>3.扇扫角度：90度</w:t>
      </w:r>
    </w:p>
    <w:p>
      <w:pPr>
        <w:spacing w:line="360" w:lineRule="auto"/>
        <w:ind w:firstLine="240" w:firstLineChars="100"/>
        <w:rPr>
          <w:rFonts w:ascii="宋体" w:hAnsi="宋体"/>
          <w:sz w:val="24"/>
        </w:rPr>
      </w:pPr>
      <w:r>
        <w:rPr>
          <w:rFonts w:ascii="宋体" w:hAnsi="宋体"/>
          <w:sz w:val="24"/>
        </w:rPr>
        <w:t>4.工作带宽：3—9MHz</w:t>
      </w:r>
    </w:p>
    <w:p>
      <w:pPr>
        <w:spacing w:line="360" w:lineRule="auto"/>
        <w:ind w:firstLine="240" w:firstLineChars="100"/>
        <w:rPr>
          <w:rFonts w:ascii="宋体" w:hAnsi="宋体"/>
          <w:sz w:val="24"/>
        </w:rPr>
      </w:pPr>
      <w:r>
        <w:rPr>
          <w:rFonts w:ascii="宋体" w:hAnsi="宋体"/>
          <w:sz w:val="24"/>
        </w:rPr>
        <w:t>5.B--M模式频率：3（5.0--6.6--8.0MHZ）</w:t>
      </w:r>
    </w:p>
    <w:p>
      <w:pPr>
        <w:spacing w:line="360" w:lineRule="auto"/>
        <w:ind w:firstLine="240" w:firstLineChars="100"/>
        <w:rPr>
          <w:rFonts w:ascii="宋体" w:hAnsi="宋体"/>
          <w:sz w:val="24"/>
        </w:rPr>
      </w:pPr>
      <w:r>
        <w:rPr>
          <w:rFonts w:ascii="宋体" w:hAnsi="宋体"/>
          <w:sz w:val="24"/>
        </w:rPr>
        <w:t>6.CFM PW模式频率2（5.0--6.6MHZ）</w:t>
      </w:r>
    </w:p>
    <w:p>
      <w:pPr>
        <w:spacing w:line="360" w:lineRule="auto"/>
        <w:ind w:firstLine="240" w:firstLineChars="100"/>
        <w:rPr>
          <w:rFonts w:ascii="宋体" w:hAnsi="宋体"/>
          <w:sz w:val="24"/>
        </w:rPr>
      </w:pPr>
      <w:r>
        <w:rPr>
          <w:rFonts w:ascii="宋体" w:hAnsi="宋体"/>
          <w:sz w:val="24"/>
        </w:rPr>
        <w:t>7.TEI谐波频率：2（Res--Pen）</w:t>
      </w:r>
    </w:p>
    <w:p>
      <w:pPr>
        <w:spacing w:line="360" w:lineRule="auto"/>
        <w:rPr>
          <w:rFonts w:ascii="宋体" w:hAnsi="宋体"/>
          <w:sz w:val="24"/>
        </w:rPr>
      </w:pPr>
      <w:r>
        <w:rPr>
          <w:rFonts w:hint="eastAsia" w:ascii="宋体" w:hAnsi="宋体"/>
          <w:sz w:val="24"/>
        </w:rPr>
        <w:t>二、</w:t>
      </w:r>
      <w:r>
        <w:rPr>
          <w:rFonts w:ascii="宋体" w:hAnsi="宋体"/>
          <w:sz w:val="24"/>
        </w:rPr>
        <w:t>超高频线阵探头</w:t>
      </w:r>
      <w:r>
        <w:rPr>
          <w:rFonts w:hint="eastAsia" w:ascii="宋体" w:hAnsi="宋体"/>
          <w:sz w:val="24"/>
        </w:rPr>
        <w:t>（数量1）</w:t>
      </w:r>
    </w:p>
    <w:p>
      <w:pPr>
        <w:spacing w:line="360" w:lineRule="auto"/>
        <w:ind w:firstLine="240" w:firstLineChars="100"/>
        <w:rPr>
          <w:rFonts w:ascii="宋体" w:hAnsi="宋体"/>
          <w:sz w:val="24"/>
        </w:rPr>
      </w:pPr>
      <w:r>
        <w:rPr>
          <w:rFonts w:ascii="宋体" w:hAnsi="宋体"/>
          <w:sz w:val="24"/>
        </w:rPr>
        <w:t>1.技术：宽带电子线性阵列</w:t>
      </w:r>
    </w:p>
    <w:p>
      <w:pPr>
        <w:spacing w:line="360" w:lineRule="auto"/>
        <w:ind w:firstLine="240" w:firstLineChars="100"/>
        <w:rPr>
          <w:rFonts w:ascii="宋体" w:hAnsi="宋体"/>
          <w:sz w:val="24"/>
        </w:rPr>
      </w:pPr>
      <w:r>
        <w:rPr>
          <w:rFonts w:ascii="宋体" w:hAnsi="宋体"/>
          <w:sz w:val="24"/>
        </w:rPr>
        <w:t>2.扫查深度：0--90mm</w:t>
      </w:r>
    </w:p>
    <w:p>
      <w:pPr>
        <w:spacing w:line="360" w:lineRule="auto"/>
        <w:ind w:firstLine="240" w:firstLineChars="100"/>
        <w:rPr>
          <w:rFonts w:ascii="宋体" w:hAnsi="宋体"/>
          <w:sz w:val="24"/>
        </w:rPr>
      </w:pPr>
      <w:r>
        <w:rPr>
          <w:rFonts w:ascii="宋体" w:hAnsi="宋体"/>
          <w:sz w:val="24"/>
        </w:rPr>
        <w:t>3.探头规格：40×5mm</w:t>
      </w:r>
    </w:p>
    <w:p>
      <w:pPr>
        <w:spacing w:line="360" w:lineRule="auto"/>
        <w:ind w:firstLine="240" w:firstLineChars="100"/>
        <w:rPr>
          <w:rFonts w:ascii="宋体" w:hAnsi="宋体"/>
          <w:sz w:val="24"/>
        </w:rPr>
      </w:pPr>
      <w:r>
        <w:rPr>
          <w:rFonts w:ascii="宋体" w:hAnsi="宋体"/>
          <w:sz w:val="24"/>
        </w:rPr>
        <w:t>4.频率范围：6—18MHz</w:t>
      </w:r>
    </w:p>
    <w:p>
      <w:pPr>
        <w:spacing w:line="360" w:lineRule="auto"/>
        <w:ind w:firstLine="240" w:firstLineChars="100"/>
        <w:rPr>
          <w:rFonts w:ascii="宋体" w:hAnsi="宋体"/>
          <w:sz w:val="24"/>
        </w:rPr>
      </w:pPr>
      <w:r>
        <w:rPr>
          <w:rFonts w:ascii="宋体" w:hAnsi="宋体"/>
          <w:sz w:val="24"/>
        </w:rPr>
        <w:t>5.B--M模式频率：4（10--12--15--18MHZ）</w:t>
      </w:r>
    </w:p>
    <w:p>
      <w:pPr>
        <w:spacing w:line="360" w:lineRule="auto"/>
        <w:ind w:firstLine="240" w:firstLineChars="100"/>
        <w:rPr>
          <w:rFonts w:ascii="宋体" w:hAnsi="宋体"/>
          <w:sz w:val="24"/>
        </w:rPr>
      </w:pPr>
      <w:r>
        <w:rPr>
          <w:rFonts w:ascii="宋体" w:hAnsi="宋体"/>
          <w:sz w:val="24"/>
        </w:rPr>
        <w:t>6.CFM PW模式频率2（6.6--8MHZ）</w:t>
      </w:r>
    </w:p>
    <w:p>
      <w:pPr>
        <w:spacing w:line="360" w:lineRule="auto"/>
        <w:ind w:firstLine="240" w:firstLineChars="100"/>
        <w:rPr>
          <w:rFonts w:ascii="宋体" w:hAnsi="宋体"/>
          <w:sz w:val="24"/>
        </w:rPr>
      </w:pPr>
      <w:r>
        <w:rPr>
          <w:rFonts w:ascii="宋体" w:hAnsi="宋体"/>
          <w:sz w:val="24"/>
        </w:rPr>
        <w:t>7.转向角：7步</w:t>
      </w:r>
    </w:p>
    <w:p>
      <w:pPr>
        <w:spacing w:line="360" w:lineRule="auto"/>
        <w:rPr>
          <w:rFonts w:ascii="宋体" w:hAnsi="宋体"/>
          <w:sz w:val="24"/>
        </w:rPr>
      </w:pPr>
      <w:r>
        <w:rPr>
          <w:rFonts w:hint="eastAsia" w:ascii="宋体" w:hAnsi="宋体"/>
          <w:sz w:val="24"/>
        </w:rPr>
        <w:t>*三、探头能与科室现有的深圳百胜超声，</w:t>
      </w:r>
      <w:r>
        <w:rPr>
          <w:rFonts w:ascii="宋体" w:hAnsi="宋体"/>
          <w:sz w:val="24"/>
        </w:rPr>
        <w:t>MyLab 30CV型超声设备连接</w:t>
      </w:r>
      <w:r>
        <w:rPr>
          <w:rFonts w:hint="eastAsia" w:ascii="宋体" w:hAnsi="宋体"/>
          <w:sz w:val="24"/>
        </w:rPr>
        <w:t>使用</w:t>
      </w:r>
      <w:r>
        <w:rPr>
          <w:rFonts w:ascii="宋体" w:hAnsi="宋体"/>
          <w:sz w:val="24"/>
        </w:rPr>
        <w:t>。</w:t>
      </w:r>
    </w:p>
    <w:p>
      <w:pPr>
        <w:spacing w:line="360" w:lineRule="auto"/>
        <w:rPr>
          <w:rFonts w:ascii="宋体" w:hAnsi="宋体"/>
          <w:b/>
          <w:color w:val="000000"/>
          <w:sz w:val="28"/>
          <w:szCs w:val="28"/>
        </w:rPr>
      </w:pPr>
      <w:r>
        <w:rPr>
          <w:rFonts w:hint="eastAsia" w:ascii="宋体" w:hAnsi="宋体"/>
          <w:b/>
          <w:color w:val="000000"/>
          <w:sz w:val="28"/>
          <w:szCs w:val="28"/>
        </w:rPr>
        <w:t>四、商务要求（实质性要求，以下商务要求应在商务应答表中进行应答，如各包/各产品中有特殊要求的，按各包/各产品要求应答）</w:t>
      </w:r>
    </w:p>
    <w:p>
      <w:pPr>
        <w:spacing w:line="360" w:lineRule="auto"/>
        <w:ind w:firstLine="240" w:firstLineChars="100"/>
        <w:rPr>
          <w:rFonts w:ascii="宋体" w:hAnsi="宋体" w:cs="宋体"/>
          <w:kern w:val="0"/>
          <w:sz w:val="24"/>
        </w:rPr>
      </w:pPr>
      <w:r>
        <w:rPr>
          <w:rFonts w:hint="eastAsia" w:ascii="宋体" w:hAnsi="宋体" w:cs="宋体"/>
          <w:kern w:val="0"/>
          <w:sz w:val="24"/>
        </w:rPr>
        <w:t>1.交货时间：签订合同后国产设备30天内、进口设备90天内完成（运输、安装、调试等由中标人承担）。</w:t>
      </w:r>
    </w:p>
    <w:p>
      <w:pPr>
        <w:spacing w:line="360" w:lineRule="auto"/>
        <w:ind w:firstLine="240" w:firstLineChars="100"/>
        <w:rPr>
          <w:rFonts w:ascii="宋体" w:hAnsi="宋体" w:cs="宋体"/>
          <w:kern w:val="0"/>
          <w:sz w:val="24"/>
        </w:rPr>
      </w:pPr>
      <w:r>
        <w:rPr>
          <w:rFonts w:hint="eastAsia" w:ascii="宋体" w:hAnsi="宋体" w:cs="宋体"/>
          <w:kern w:val="0"/>
          <w:sz w:val="24"/>
        </w:rPr>
        <w:t>2.付款方式：验收合格后收到中标人提供的正式发票30天内支付合同金额的100%。</w:t>
      </w:r>
    </w:p>
    <w:p>
      <w:pPr>
        <w:spacing w:line="360" w:lineRule="auto"/>
        <w:ind w:firstLine="240" w:firstLineChars="100"/>
        <w:rPr>
          <w:rFonts w:ascii="宋体" w:hAnsi="宋体" w:cs="宋体"/>
          <w:kern w:val="0"/>
          <w:sz w:val="24"/>
        </w:rPr>
      </w:pPr>
      <w:r>
        <w:rPr>
          <w:rFonts w:hint="eastAsia" w:ascii="宋体" w:hAnsi="宋体" w:cs="宋体"/>
          <w:kern w:val="0"/>
          <w:sz w:val="24"/>
        </w:rPr>
        <w:t>3.应提供的伴随服务：</w:t>
      </w:r>
      <w:r>
        <w:rPr>
          <w:rFonts w:hint="eastAsia" w:ascii="宋体" w:hAnsi="宋体" w:cs="宋体"/>
          <w:kern w:val="0"/>
          <w:sz w:val="24"/>
        </w:rPr>
        <w:br w:type="textWrapping"/>
      </w:r>
      <w:r>
        <w:rPr>
          <w:rFonts w:hint="eastAsia" w:ascii="宋体" w:hAnsi="宋体" w:cs="宋体"/>
          <w:kern w:val="0"/>
          <w:sz w:val="24"/>
        </w:rPr>
        <w:t xml:space="preserve">   3.1货物到达安装现场后，卖方接到买方通知后15日内到达现场组织安装、调试，达到正常运行要求，保证买方正常使用。所需的费用包括在投标总价格中。</w:t>
      </w:r>
      <w:r>
        <w:rPr>
          <w:rFonts w:hint="eastAsia" w:ascii="宋体" w:hAnsi="宋体" w:cs="宋体"/>
          <w:kern w:val="0"/>
          <w:sz w:val="24"/>
        </w:rPr>
        <w:br w:type="textWrapping"/>
      </w:r>
      <w:r>
        <w:rPr>
          <w:rFonts w:hint="eastAsia" w:ascii="宋体" w:hAnsi="宋体" w:cs="宋体"/>
          <w:kern w:val="0"/>
          <w:sz w:val="24"/>
        </w:rPr>
        <w:t xml:space="preserve">   3.2卖方应就设备的安装、调试、操作、维修、保养等对买方维修技术人员进行培训。设备安装调试完毕后，卖方应对买方操作人员进行现场培训，直至买方的技术人员能独立操作，同时能完成一般常见故障的维修工作。</w:t>
      </w:r>
      <w:r>
        <w:rPr>
          <w:rFonts w:hint="eastAsia" w:ascii="宋体" w:hAnsi="宋体" w:cs="宋体"/>
          <w:kern w:val="0"/>
          <w:sz w:val="24"/>
        </w:rPr>
        <w:br w:type="textWrapping"/>
      </w:r>
      <w:r>
        <w:rPr>
          <w:rFonts w:hint="eastAsia" w:ascii="宋体" w:hAnsi="宋体" w:cs="宋体"/>
          <w:kern w:val="0"/>
          <w:sz w:val="24"/>
        </w:rPr>
        <w:t xml:space="preserve">   3.3卖方在国内应有24小时电话维修系统，签订合同时列出工程师名单、联系电话、通讯地址及备件库地址和备件的详细目录。</w:t>
      </w:r>
      <w:r>
        <w:rPr>
          <w:rFonts w:hint="eastAsia" w:ascii="宋体" w:hAnsi="宋体" w:cs="宋体"/>
          <w:kern w:val="0"/>
          <w:sz w:val="24"/>
        </w:rPr>
        <w:br w:type="textWrapping"/>
      </w:r>
      <w:r>
        <w:rPr>
          <w:rFonts w:hint="eastAsia" w:ascii="宋体" w:hAnsi="宋体" w:cs="宋体"/>
          <w:kern w:val="0"/>
          <w:sz w:val="24"/>
        </w:rPr>
        <w:t xml:space="preserve">   3.4在质保期内，2小时内作出响应，如4小时内无法电话解决问题，卖方维修工程师必须在接到故障报告后24小时内到达买方现场修理和更换零件，费用由卖方承担。</w:t>
      </w:r>
      <w:r>
        <w:rPr>
          <w:rFonts w:hint="eastAsia" w:ascii="宋体" w:hAnsi="宋体" w:cs="宋体"/>
          <w:kern w:val="0"/>
          <w:sz w:val="24"/>
        </w:rPr>
        <w:br w:type="textWrapping"/>
      </w:r>
      <w:r>
        <w:rPr>
          <w:rFonts w:hint="eastAsia" w:ascii="宋体" w:hAnsi="宋体" w:cs="宋体"/>
          <w:kern w:val="0"/>
          <w:sz w:val="24"/>
        </w:rPr>
        <w:t xml:space="preserve">   3.5卖方保证年开机率大于95％（365天/年计算）。</w:t>
      </w:r>
      <w:r>
        <w:rPr>
          <w:rFonts w:hint="eastAsia" w:ascii="宋体" w:hAnsi="宋体" w:cs="宋体"/>
          <w:kern w:val="0"/>
          <w:sz w:val="24"/>
        </w:rPr>
        <w:br w:type="textWrapping"/>
      </w:r>
      <w:r>
        <w:rPr>
          <w:rFonts w:hint="eastAsia" w:ascii="宋体" w:hAnsi="宋体" w:cs="宋体"/>
          <w:kern w:val="0"/>
          <w:sz w:val="24"/>
        </w:rPr>
        <w:t xml:space="preserve">   3.6技术要求提供的其它附加服务。</w:t>
      </w:r>
      <w:r>
        <w:rPr>
          <w:rFonts w:hint="eastAsia" w:ascii="宋体" w:hAnsi="宋体" w:cs="宋体"/>
          <w:kern w:val="0"/>
          <w:sz w:val="24"/>
        </w:rPr>
        <w:br w:type="textWrapping"/>
      </w:r>
      <w:r>
        <w:rPr>
          <w:rFonts w:hint="eastAsia" w:ascii="宋体" w:hAnsi="宋体" w:cs="宋体"/>
          <w:kern w:val="0"/>
          <w:sz w:val="24"/>
        </w:rPr>
        <w:t xml:space="preserve">   3.7备件送达期限：在设备的使用寿命期内，卖方应保证国内不超过7天，国外不超过15天。</w:t>
      </w:r>
      <w:r>
        <w:rPr>
          <w:rFonts w:hint="eastAsia" w:ascii="宋体" w:hAnsi="宋体" w:cs="宋体"/>
          <w:kern w:val="0"/>
          <w:sz w:val="24"/>
        </w:rPr>
        <w:br w:type="textWrapping"/>
      </w:r>
      <w:r>
        <w:rPr>
          <w:rFonts w:hint="eastAsia" w:ascii="宋体" w:hAnsi="宋体" w:cs="宋体"/>
          <w:kern w:val="0"/>
          <w:sz w:val="24"/>
        </w:rPr>
        <w:t xml:space="preserve">   3.8终身零配件供应：投标人应保证设备停产后的备件供应保证10年，并以优惠的价格提供该设备所需的维修零配件。</w:t>
      </w:r>
      <w:r>
        <w:rPr>
          <w:rFonts w:hint="eastAsia" w:ascii="宋体" w:hAnsi="宋体" w:cs="宋体"/>
          <w:kern w:val="0"/>
          <w:sz w:val="24"/>
        </w:rPr>
        <w:br w:type="textWrapping"/>
      </w:r>
      <w:r>
        <w:rPr>
          <w:rFonts w:hint="eastAsia" w:ascii="宋体" w:hAnsi="宋体" w:cs="宋体"/>
          <w:kern w:val="0"/>
          <w:sz w:val="24"/>
        </w:rPr>
        <w:t xml:space="preserve">   3.9备品备件要求：货物验收合格后运行1年所需的备件。</w:t>
      </w:r>
      <w:r>
        <w:rPr>
          <w:rFonts w:hint="eastAsia" w:ascii="宋体" w:hAnsi="宋体" w:cs="宋体"/>
          <w:kern w:val="0"/>
          <w:sz w:val="24"/>
        </w:rPr>
        <w:br w:type="textWrapping"/>
      </w:r>
      <w:r>
        <w:rPr>
          <w:rFonts w:hint="eastAsia" w:ascii="宋体" w:hAnsi="宋体" w:cs="宋体"/>
          <w:kern w:val="0"/>
          <w:sz w:val="24"/>
        </w:rPr>
        <w:t xml:space="preserve">   3.10安装调试及验收：</w:t>
      </w:r>
      <w:r>
        <w:rPr>
          <w:rFonts w:hint="eastAsia" w:ascii="宋体" w:hAnsi="宋体" w:cs="宋体"/>
          <w:kern w:val="0"/>
          <w:sz w:val="24"/>
        </w:rPr>
        <w:br w:type="textWrapping"/>
      </w:r>
      <w:r>
        <w:rPr>
          <w:rFonts w:hint="eastAsia" w:ascii="宋体" w:hAnsi="宋体" w:cs="宋体"/>
          <w:kern w:val="0"/>
          <w:sz w:val="24"/>
        </w:rPr>
        <w:t xml:space="preserve">    3.10.1卖方负责设备安装、调试。</w:t>
      </w:r>
      <w:r>
        <w:rPr>
          <w:rFonts w:hint="eastAsia" w:ascii="宋体" w:hAnsi="宋体" w:cs="宋体"/>
          <w:kern w:val="0"/>
          <w:sz w:val="24"/>
        </w:rPr>
        <w:br w:type="textWrapping"/>
      </w:r>
      <w:r>
        <w:rPr>
          <w:rFonts w:hint="eastAsia" w:ascii="宋体" w:hAnsi="宋体" w:cs="宋体"/>
          <w:kern w:val="0"/>
          <w:sz w:val="24"/>
        </w:rPr>
        <w:t xml:space="preserve">    3.10.2设备安装调试过程中，卖方对使用方相关人员进行技术培训，确保能够进行日常操作及维护保养。</w:t>
      </w:r>
      <w:r>
        <w:rPr>
          <w:rFonts w:hint="eastAsia" w:ascii="宋体" w:hAnsi="宋体" w:cs="宋体"/>
          <w:kern w:val="0"/>
          <w:sz w:val="24"/>
        </w:rPr>
        <w:br w:type="textWrapping"/>
      </w:r>
      <w:r>
        <w:rPr>
          <w:rFonts w:hint="eastAsia" w:ascii="宋体" w:hAnsi="宋体" w:cs="宋体"/>
          <w:kern w:val="0"/>
          <w:sz w:val="24"/>
        </w:rPr>
        <w:t xml:space="preserve">    3.10.3验收标准以招标文件技术参数及要求和相关行业标准为准。</w:t>
      </w:r>
    </w:p>
    <w:p>
      <w:pPr>
        <w:spacing w:line="360" w:lineRule="auto"/>
        <w:ind w:left="479" w:leftChars="228"/>
        <w:rPr>
          <w:rFonts w:ascii="宋体" w:hAnsi="宋体" w:cs="宋体"/>
          <w:kern w:val="0"/>
          <w:sz w:val="24"/>
        </w:rPr>
      </w:pPr>
      <w:r>
        <w:rPr>
          <w:rFonts w:hint="eastAsia" w:ascii="宋体" w:hAnsi="宋体" w:cs="宋体"/>
          <w:kern w:val="0"/>
          <w:sz w:val="24"/>
        </w:rPr>
        <w:t>3.10.4质保期内卖方应免费负责设备维修及抢修。</w:t>
      </w:r>
      <w:r>
        <w:rPr>
          <w:rFonts w:hint="eastAsia" w:ascii="宋体" w:hAnsi="宋体" w:cs="宋体"/>
          <w:kern w:val="0"/>
          <w:sz w:val="24"/>
        </w:rPr>
        <w:br w:type="textWrapping"/>
      </w:r>
      <w:r>
        <w:rPr>
          <w:rFonts w:hint="eastAsia" w:ascii="宋体" w:hAnsi="宋体" w:cs="宋体"/>
          <w:kern w:val="0"/>
          <w:sz w:val="24"/>
        </w:rPr>
        <w:t>3.10.5质保期后，卖方应向用户提供及时的、优质的、价格优惠的技术服</w:t>
      </w:r>
    </w:p>
    <w:p>
      <w:pPr>
        <w:spacing w:line="360" w:lineRule="auto"/>
        <w:rPr>
          <w:rFonts w:ascii="宋体" w:hAnsi="宋体" w:cs="宋体"/>
          <w:kern w:val="0"/>
          <w:sz w:val="24"/>
        </w:rPr>
      </w:pPr>
      <w:r>
        <w:rPr>
          <w:rFonts w:hint="eastAsia" w:ascii="宋体" w:hAnsi="宋体" w:cs="宋体"/>
          <w:kern w:val="0"/>
          <w:sz w:val="24"/>
        </w:rPr>
        <w:t>务和备品备件供应。</w:t>
      </w:r>
    </w:p>
    <w:p>
      <w:pPr>
        <w:spacing w:line="360" w:lineRule="auto"/>
        <w:ind w:firstLine="240" w:firstLineChars="100"/>
        <w:rPr>
          <w:rFonts w:ascii="宋体" w:hAnsi="宋体" w:cs="宋体"/>
          <w:kern w:val="0"/>
          <w:sz w:val="24"/>
        </w:rPr>
      </w:pPr>
      <w:r>
        <w:rPr>
          <w:rFonts w:hint="eastAsia" w:ascii="宋体" w:hAnsi="宋体" w:cs="宋体"/>
          <w:kern w:val="0"/>
          <w:sz w:val="24"/>
        </w:rPr>
        <w:t>3.11质保期：质保期24个月，质保期内免维修费用，终身免上门费。（如设备质保期有其他要求，按其要求执行）</w:t>
      </w:r>
    </w:p>
    <w:p>
      <w:pPr>
        <w:spacing w:line="360" w:lineRule="auto"/>
        <w:ind w:left="239" w:leftChars="114"/>
        <w:rPr>
          <w:rFonts w:ascii="宋体" w:hAnsi="宋体" w:cs="宋体"/>
          <w:kern w:val="0"/>
          <w:sz w:val="24"/>
        </w:rPr>
      </w:pPr>
      <w:r>
        <w:rPr>
          <w:rFonts w:hint="eastAsia" w:ascii="宋体" w:hAnsi="宋体" w:cs="宋体"/>
          <w:kern w:val="0"/>
          <w:sz w:val="24"/>
        </w:rPr>
        <w:t>3.12交货地点：采购人指定地点。</w:t>
      </w:r>
      <w:r>
        <w:rPr>
          <w:rFonts w:hint="eastAsia" w:ascii="宋体" w:hAnsi="宋体" w:cs="宋体"/>
          <w:kern w:val="0"/>
          <w:sz w:val="24"/>
        </w:rPr>
        <w:br w:type="textWrapping"/>
      </w:r>
      <w:r>
        <w:rPr>
          <w:rFonts w:hint="eastAsia" w:ascii="宋体" w:hAnsi="宋体" w:cs="宋体"/>
          <w:kern w:val="0"/>
          <w:sz w:val="24"/>
        </w:rPr>
        <w:t>3.13培训方式：免费培训，具体培训日期和时间长短由双方商议决定。</w:t>
      </w:r>
    </w:p>
    <w:p>
      <w:pPr>
        <w:spacing w:line="360" w:lineRule="auto"/>
        <w:ind w:firstLine="240" w:firstLineChars="100"/>
        <w:rPr>
          <w:rFonts w:ascii="宋体" w:hAnsi="宋体" w:cs="宋体"/>
          <w:kern w:val="0"/>
          <w:sz w:val="24"/>
        </w:rPr>
      </w:pPr>
      <w:r>
        <w:rPr>
          <w:rFonts w:hint="eastAsia" w:ascii="宋体" w:hAnsi="宋体" w:cs="宋体"/>
          <w:kern w:val="0"/>
          <w:sz w:val="24"/>
        </w:rPr>
        <w:t>3.14 如果上述各包设备涉及与医院现有HIS系统对接等需求的，要求随时完成与医院HIS系统的对接及一系列的升级、维护工作，且所有费用（包括但不限于系统的对接及一系列的升级、维护所必须用的设备材料等）均包含在本项目报价中。</w:t>
      </w:r>
    </w:p>
    <w:p>
      <w:pPr>
        <w:spacing w:line="360" w:lineRule="auto"/>
        <w:ind w:firstLine="240" w:firstLineChars="100"/>
        <w:rPr>
          <w:rFonts w:ascii="宋体" w:hAnsi="宋体" w:cs="宋体"/>
          <w:kern w:val="0"/>
          <w:sz w:val="24"/>
        </w:rPr>
      </w:pPr>
      <w:r>
        <w:rPr>
          <w:rFonts w:hint="eastAsia" w:ascii="宋体" w:hAnsi="宋体" w:cs="宋体"/>
          <w:kern w:val="0"/>
          <w:sz w:val="24"/>
        </w:rPr>
        <w:t>3.15本项目所有进口设备要求为交货日期前一年之内生产，国产设备要求为交货日期前六个月之内生产。</w:t>
      </w:r>
    </w:p>
    <w:p>
      <w:pPr>
        <w:spacing w:line="360" w:lineRule="auto"/>
        <w:ind w:firstLine="480" w:firstLineChars="200"/>
        <w:rPr>
          <w:rFonts w:ascii="宋体" w:hAnsi="宋体" w:cs="宋体"/>
          <w:kern w:val="0"/>
          <w:sz w:val="24"/>
        </w:rPr>
      </w:pPr>
    </w:p>
    <w:p>
      <w:pPr>
        <w:spacing w:line="360" w:lineRule="auto"/>
        <w:rPr>
          <w:rFonts w:ascii="宋体" w:hAnsi="宋体" w:cs="宋体"/>
          <w:b/>
          <w:bCs/>
          <w:sz w:val="24"/>
        </w:rPr>
      </w:pPr>
      <w:r>
        <w:rPr>
          <w:rFonts w:hint="eastAsia" w:ascii="宋体" w:hAnsi="宋体" w:cs="宋体"/>
          <w:b/>
          <w:bCs/>
          <w:sz w:val="24"/>
        </w:rPr>
        <w:t>注：</w:t>
      </w:r>
    </w:p>
    <w:p>
      <w:pPr>
        <w:spacing w:line="360" w:lineRule="auto"/>
        <w:rPr>
          <w:rFonts w:ascii="宋体" w:hAnsi="宋体" w:cs="宋体"/>
          <w:b/>
          <w:bCs/>
          <w:sz w:val="24"/>
        </w:rPr>
      </w:pPr>
      <w:r>
        <w:rPr>
          <w:rFonts w:hint="eastAsia" w:ascii="宋体" w:hAnsi="宋体" w:cs="宋体"/>
          <w:b/>
          <w:bCs/>
          <w:sz w:val="24"/>
        </w:rPr>
        <w:t>1.本章标注“*”要求为本项目实质性要求，不允许有负偏离。</w:t>
      </w:r>
    </w:p>
    <w:p>
      <w:pPr>
        <w:spacing w:line="360" w:lineRule="auto"/>
        <w:rPr>
          <w:rFonts w:ascii="宋体" w:hAnsi="宋体" w:cs="宋体"/>
          <w:b/>
          <w:bCs/>
          <w:sz w:val="24"/>
        </w:rPr>
      </w:pPr>
      <w:r>
        <w:rPr>
          <w:rFonts w:hint="eastAsia" w:ascii="宋体" w:hAnsi="宋体" w:cs="宋体"/>
          <w:b/>
          <w:bCs/>
          <w:sz w:val="24"/>
        </w:rPr>
        <w:t>2.本节商务要求中，如各产品有特殊要求的，以各产品要求为准。</w:t>
      </w:r>
    </w:p>
    <w:p>
      <w:pPr>
        <w:spacing w:line="360" w:lineRule="auto"/>
        <w:rPr>
          <w:rFonts w:ascii="宋体" w:hAnsi="宋体" w:cs="宋体"/>
          <w:b/>
          <w:bCs/>
          <w:sz w:val="24"/>
        </w:rPr>
      </w:pPr>
      <w:r>
        <w:rPr>
          <w:rFonts w:hint="eastAsia" w:ascii="宋体" w:hAnsi="宋体" w:cs="宋体"/>
          <w:b/>
          <w:bCs/>
          <w:sz w:val="24"/>
        </w:rPr>
        <w:t>3.项目要求中如列明品牌型号的，均为参考。投标人所投产品技术不低于所列品牌型号即可。</w:t>
      </w:r>
    </w:p>
    <w:p>
      <w:pPr>
        <w:spacing w:line="360" w:lineRule="auto"/>
        <w:rPr>
          <w:rFonts w:ascii="宋体" w:hAnsi="宋体" w:cs="宋体"/>
          <w:b/>
          <w:sz w:val="24"/>
        </w:rPr>
      </w:pPr>
      <w:r>
        <w:rPr>
          <w:rFonts w:hint="eastAsia" w:ascii="宋体" w:hAnsi="宋体" w:cs="宋体"/>
          <w:b/>
          <w:bCs/>
          <w:sz w:val="24"/>
        </w:rPr>
        <w:t>4.</w:t>
      </w:r>
      <w:r>
        <w:rPr>
          <w:rFonts w:hint="eastAsia" w:ascii="宋体" w:hAnsi="宋体" w:cs="宋体"/>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扫描件或认证结果信息发布平台的认证截图证明。</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pStyle w:val="2"/>
      </w:pPr>
    </w:p>
    <w:p/>
    <w:p/>
    <w:p>
      <w:pPr>
        <w:widowControl/>
        <w:jc w:val="left"/>
        <w:rPr>
          <w:rFonts w:ascii="宋体" w:hAnsi="宋体"/>
          <w:b/>
          <w:color w:val="000000"/>
          <w:sz w:val="36"/>
          <w:szCs w:val="36"/>
        </w:rPr>
      </w:pPr>
      <w:r>
        <w:rPr>
          <w:rFonts w:ascii="宋体" w:hAnsi="宋体"/>
          <w:b/>
          <w:color w:val="000000"/>
          <w:sz w:val="36"/>
          <w:szCs w:val="36"/>
        </w:rPr>
        <w:br w:type="page"/>
      </w:r>
    </w:p>
    <w:p>
      <w:pPr>
        <w:spacing w:line="360" w:lineRule="auto"/>
        <w:jc w:val="center"/>
        <w:rPr>
          <w:rFonts w:ascii="宋体" w:hAnsi="宋体" w:cs="宋体"/>
          <w:b/>
          <w:sz w:val="24"/>
        </w:rPr>
      </w:pPr>
      <w:r>
        <w:rPr>
          <w:rFonts w:hint="eastAsia" w:ascii="宋体" w:hAnsi="宋体"/>
          <w:b/>
          <w:color w:val="000000"/>
          <w:sz w:val="36"/>
          <w:szCs w:val="36"/>
        </w:rPr>
        <w:t>第六章  评标办法</w:t>
      </w:r>
      <w:bookmarkEnd w:id="500"/>
      <w:bookmarkEnd w:id="501"/>
      <w:bookmarkEnd w:id="502"/>
      <w:bookmarkStart w:id="505" w:name="_Hlt101846155"/>
      <w:bookmarkEnd w:id="505"/>
      <w:bookmarkStart w:id="506" w:name="_Toc183582280"/>
      <w:bookmarkStart w:id="507" w:name="_Toc208849007"/>
      <w:bookmarkStart w:id="508" w:name="_Toc217446097"/>
      <w:bookmarkStart w:id="509" w:name="_Toc183682415"/>
    </w:p>
    <w:p>
      <w:pPr>
        <w:spacing w:line="360" w:lineRule="auto"/>
        <w:rPr>
          <w:rFonts w:ascii="宋体" w:hAnsi="宋体"/>
          <w:b/>
          <w:color w:val="000000"/>
          <w:sz w:val="24"/>
        </w:rPr>
      </w:pPr>
      <w:r>
        <w:rPr>
          <w:rFonts w:hint="eastAsia" w:ascii="宋体" w:hAnsi="宋体"/>
          <w:b/>
          <w:color w:val="000000"/>
          <w:sz w:val="24"/>
        </w:rPr>
        <w:t>1. 总则</w:t>
      </w:r>
      <w:bookmarkEnd w:id="506"/>
      <w:bookmarkEnd w:id="507"/>
      <w:bookmarkEnd w:id="508"/>
      <w:bookmarkEnd w:id="509"/>
    </w:p>
    <w:p>
      <w:pPr>
        <w:spacing w:line="400" w:lineRule="exact"/>
        <w:ind w:firstLine="480" w:firstLineChars="200"/>
        <w:rPr>
          <w:rFonts w:ascii="宋体" w:hAnsi="宋体"/>
          <w:color w:val="000000"/>
          <w:sz w:val="24"/>
        </w:rPr>
      </w:pPr>
      <w:r>
        <w:rPr>
          <w:rFonts w:hint="eastAsia" w:ascii="宋体" w:hAnsi="宋体"/>
          <w:color w:val="000000"/>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宋体" w:hAnsi="宋体"/>
          <w:color w:val="000000"/>
          <w:sz w:val="24"/>
        </w:rPr>
      </w:pPr>
      <w:r>
        <w:rPr>
          <w:rFonts w:hint="eastAsia" w:ascii="宋体" w:hAnsi="宋体"/>
          <w:color w:val="000000"/>
          <w:sz w:val="24"/>
        </w:rPr>
        <w:t xml:space="preserve">1.2 </w:t>
      </w:r>
      <w:r>
        <w:rPr>
          <w:rFonts w:hint="eastAsia" w:ascii="宋体" w:hAnsi="宋体"/>
          <w:bCs/>
          <w:color w:val="000000"/>
          <w:sz w:val="24"/>
        </w:rPr>
        <w:t>评标工作由采购代理机构负责组织，具体评标事务由采购代理机构依法组建的评标委员会负责。评标委员会由采购人代表和有关技术等方面的专家组成。</w:t>
      </w:r>
    </w:p>
    <w:p>
      <w:pPr>
        <w:spacing w:line="400" w:lineRule="exact"/>
        <w:ind w:firstLine="480" w:firstLineChars="200"/>
        <w:rPr>
          <w:rFonts w:ascii="宋体" w:hAnsi="宋体"/>
          <w:color w:val="000000"/>
          <w:sz w:val="24"/>
        </w:rPr>
      </w:pPr>
      <w:r>
        <w:rPr>
          <w:rFonts w:hint="eastAsia" w:ascii="宋体" w:hAnsi="宋体"/>
          <w:color w:val="000000"/>
          <w:sz w:val="24"/>
        </w:rPr>
        <w:t>1.3 评标工作遵循公平、公正、科学及择优的原则，并以相同的评标程序和标准对待所有的投标人。</w:t>
      </w:r>
    </w:p>
    <w:p>
      <w:pPr>
        <w:spacing w:line="400" w:lineRule="exact"/>
        <w:ind w:firstLine="480" w:firstLineChars="200"/>
        <w:rPr>
          <w:rFonts w:ascii="宋体" w:hAnsi="宋体"/>
          <w:color w:val="000000"/>
          <w:sz w:val="24"/>
        </w:rPr>
      </w:pPr>
      <w:r>
        <w:rPr>
          <w:rFonts w:hint="eastAsia" w:ascii="宋体" w:hAnsi="宋体"/>
          <w:color w:val="000000"/>
          <w:sz w:val="24"/>
        </w:rPr>
        <w:t>1.4 评标委员会按照招标文件规定的评标方法和标准进行评标，并独立履行下列职责：</w:t>
      </w:r>
    </w:p>
    <w:p>
      <w:pPr>
        <w:numPr>
          <w:ilvl w:val="0"/>
          <w:numId w:val="9"/>
        </w:numPr>
        <w:spacing w:line="400" w:lineRule="exact"/>
        <w:ind w:firstLine="480" w:firstLineChars="200"/>
        <w:rPr>
          <w:rFonts w:ascii="宋体" w:hAnsi="宋体"/>
          <w:color w:val="000000"/>
          <w:sz w:val="24"/>
        </w:rPr>
      </w:pPr>
      <w:bookmarkStart w:id="510" w:name="_Toc217446098"/>
      <w:r>
        <w:rPr>
          <w:rFonts w:hint="eastAsia" w:ascii="宋体" w:hAnsi="宋体"/>
          <w:color w:val="000000"/>
          <w:sz w:val="24"/>
        </w:rPr>
        <w:t>审查、评价投标文件是否符合招标文件的商务、技术等实质性要求；</w:t>
      </w:r>
    </w:p>
    <w:p>
      <w:pPr>
        <w:spacing w:line="400" w:lineRule="exact"/>
        <w:ind w:firstLine="480" w:firstLineChars="200"/>
        <w:rPr>
          <w:rFonts w:ascii="宋体" w:hAnsi="宋体"/>
          <w:color w:val="000000"/>
          <w:sz w:val="24"/>
        </w:rPr>
      </w:pPr>
      <w:r>
        <w:rPr>
          <w:rFonts w:hint="eastAsia" w:ascii="宋体" w:hAnsi="宋体"/>
          <w:color w:val="000000"/>
          <w:sz w:val="24"/>
        </w:rPr>
        <w:t>（二）要求投标人对投标文件有关事项做出澄清或者说明；</w:t>
      </w:r>
    </w:p>
    <w:p>
      <w:pPr>
        <w:spacing w:line="400" w:lineRule="exact"/>
        <w:ind w:firstLine="480" w:firstLineChars="200"/>
        <w:rPr>
          <w:rFonts w:ascii="宋体" w:hAnsi="宋体"/>
          <w:color w:val="000000"/>
          <w:sz w:val="24"/>
        </w:rPr>
      </w:pPr>
      <w:r>
        <w:rPr>
          <w:rFonts w:hint="eastAsia" w:ascii="宋体" w:hAnsi="宋体"/>
          <w:color w:val="000000"/>
          <w:sz w:val="24"/>
        </w:rPr>
        <w:t>（三）确定中标候选人名单，以及根据采购人委托直接确定中标人；</w:t>
      </w:r>
    </w:p>
    <w:p>
      <w:pPr>
        <w:spacing w:line="400" w:lineRule="exact"/>
        <w:ind w:firstLine="480" w:firstLineChars="200"/>
        <w:rPr>
          <w:rFonts w:ascii="宋体" w:hAnsi="宋体"/>
          <w:color w:val="000000"/>
          <w:sz w:val="24"/>
        </w:rPr>
      </w:pPr>
      <w:r>
        <w:rPr>
          <w:rFonts w:hint="eastAsia" w:ascii="宋体" w:hAnsi="宋体"/>
          <w:color w:val="000000"/>
          <w:sz w:val="24"/>
        </w:rPr>
        <w:t>（四）向采购人、采购代理机构或者有关部门报告评标中发现的违法行为。</w:t>
      </w:r>
    </w:p>
    <w:p>
      <w:pPr>
        <w:spacing w:line="400" w:lineRule="exact"/>
        <w:ind w:firstLine="480" w:firstLineChars="200"/>
        <w:rPr>
          <w:rFonts w:ascii="宋体" w:hAnsi="宋体"/>
          <w:color w:val="000000"/>
          <w:sz w:val="24"/>
        </w:rPr>
      </w:pPr>
      <w:r>
        <w:rPr>
          <w:rFonts w:hint="eastAsia" w:ascii="宋体" w:hAnsi="宋体"/>
          <w:color w:val="000000"/>
          <w:sz w:val="24"/>
        </w:rPr>
        <w:t>（五）法律、法规和规章规定的其他职责。</w:t>
      </w:r>
    </w:p>
    <w:p>
      <w:pPr>
        <w:spacing w:line="400" w:lineRule="exact"/>
        <w:ind w:firstLine="480" w:firstLineChars="200"/>
        <w:rPr>
          <w:rFonts w:ascii="宋体" w:hAnsi="宋体"/>
          <w:color w:val="000000"/>
          <w:sz w:val="24"/>
        </w:rPr>
      </w:pPr>
      <w:r>
        <w:rPr>
          <w:rFonts w:hint="eastAsia" w:ascii="宋体" w:hAnsi="宋体"/>
          <w:color w:val="000000"/>
          <w:sz w:val="24"/>
        </w:rPr>
        <w:t>1.5 评标过程独立、保密。投标人非法干预评标评标过程的行为将导致其投标文件作为无效处理。</w:t>
      </w:r>
    </w:p>
    <w:p>
      <w:pPr>
        <w:spacing w:line="360" w:lineRule="auto"/>
        <w:rPr>
          <w:rFonts w:ascii="宋体" w:hAnsi="宋体"/>
          <w:b/>
          <w:color w:val="000000"/>
          <w:sz w:val="24"/>
        </w:rPr>
      </w:pPr>
      <w:r>
        <w:rPr>
          <w:rFonts w:hint="eastAsia" w:ascii="宋体" w:hAnsi="宋体"/>
          <w:b/>
          <w:color w:val="000000"/>
          <w:sz w:val="24"/>
        </w:rPr>
        <w:t>2．评标方法</w:t>
      </w:r>
    </w:p>
    <w:p>
      <w:pPr>
        <w:spacing w:line="400" w:lineRule="exact"/>
        <w:ind w:firstLine="480" w:firstLineChars="200"/>
        <w:rPr>
          <w:rFonts w:ascii="宋体" w:hAnsi="宋体"/>
          <w:color w:val="000000"/>
          <w:sz w:val="24"/>
        </w:rPr>
      </w:pPr>
      <w:r>
        <w:rPr>
          <w:rFonts w:hint="eastAsia" w:ascii="宋体" w:hAnsi="宋体"/>
          <w:color w:val="000000"/>
          <w:sz w:val="24"/>
        </w:rPr>
        <w:t>本项目评标方法为：综合评分法。</w:t>
      </w:r>
    </w:p>
    <w:p>
      <w:pPr>
        <w:spacing w:line="360" w:lineRule="auto"/>
        <w:rPr>
          <w:rFonts w:ascii="宋体" w:hAnsi="宋体"/>
          <w:b/>
          <w:color w:val="000000"/>
          <w:sz w:val="24"/>
        </w:rPr>
      </w:pPr>
      <w:r>
        <w:rPr>
          <w:rFonts w:hint="eastAsia" w:ascii="宋体" w:hAnsi="宋体"/>
          <w:b/>
          <w:color w:val="000000"/>
          <w:sz w:val="24"/>
        </w:rPr>
        <w:t>3．评标程序</w:t>
      </w:r>
      <w:bookmarkEnd w:id="510"/>
    </w:p>
    <w:p>
      <w:pPr>
        <w:spacing w:line="400" w:lineRule="exact"/>
        <w:ind w:firstLine="480" w:firstLineChars="200"/>
        <w:rPr>
          <w:rFonts w:ascii="宋体" w:hAnsi="宋体"/>
          <w:color w:val="000000"/>
          <w:sz w:val="24"/>
        </w:rPr>
      </w:pPr>
      <w:bookmarkStart w:id="511" w:name="_Toc217446103"/>
      <w:bookmarkStart w:id="512" w:name="_Toc217446099"/>
      <w:r>
        <w:rPr>
          <w:rFonts w:hint="eastAsia" w:ascii="宋体" w:hAnsi="宋体"/>
          <w:color w:val="000000"/>
          <w:sz w:val="24"/>
        </w:rPr>
        <w:t>3.1资格性检查。</w:t>
      </w:r>
    </w:p>
    <w:p>
      <w:pPr>
        <w:spacing w:line="400" w:lineRule="exact"/>
        <w:ind w:firstLine="482" w:firstLineChars="200"/>
        <w:rPr>
          <w:rFonts w:ascii="宋体" w:hAnsi="宋体"/>
          <w:b/>
          <w:bCs/>
          <w:color w:val="000000"/>
          <w:sz w:val="24"/>
        </w:rPr>
      </w:pPr>
      <w:r>
        <w:rPr>
          <w:rFonts w:hint="eastAsia" w:ascii="宋体" w:hAnsi="宋体"/>
          <w:b/>
          <w:bCs/>
          <w:color w:val="000000"/>
          <w:sz w:val="24"/>
        </w:rPr>
        <w:t>开标结束后，采购代理机构将依据本招标文件第四章的规定，对投标供应商提交的资格响应文件进行审查。若通过资格审查的投标供应商不足3家，将不进入评标程序。</w:t>
      </w:r>
    </w:p>
    <w:p>
      <w:pPr>
        <w:spacing w:line="400" w:lineRule="exact"/>
        <w:ind w:firstLine="480" w:firstLineChars="200"/>
        <w:rPr>
          <w:rFonts w:ascii="宋体" w:hAnsi="宋体"/>
          <w:color w:val="000000"/>
          <w:sz w:val="24"/>
        </w:rPr>
      </w:pPr>
      <w:r>
        <w:rPr>
          <w:rFonts w:hint="eastAsia" w:ascii="宋体" w:hAnsi="宋体"/>
          <w:color w:val="000000"/>
          <w:sz w:val="24"/>
        </w:rPr>
        <w:t>3.2熟悉和理解招标文件和停止评标。</w:t>
      </w:r>
    </w:p>
    <w:p>
      <w:pPr>
        <w:spacing w:line="400" w:lineRule="exact"/>
        <w:ind w:firstLine="480" w:firstLineChars="200"/>
        <w:rPr>
          <w:rFonts w:ascii="宋体" w:hAnsi="宋体"/>
          <w:color w:val="000000"/>
          <w:sz w:val="24"/>
        </w:rPr>
      </w:pPr>
      <w:r>
        <w:rPr>
          <w:rFonts w:hint="eastAsia" w:ascii="宋体" w:hAnsi="宋体"/>
          <w:color w:val="000000"/>
          <w:sz w:val="24"/>
        </w:rPr>
        <w:t>3.2.1评标委员会正式评标前，应当对招标文件进行熟悉和理解，内容主要包括招标文件中采购项目技术/服务和商务要求、评标方法和标准以及可能涉及签订政府采购合同的内容等。</w:t>
      </w:r>
    </w:p>
    <w:p>
      <w:pPr>
        <w:spacing w:line="400" w:lineRule="exact"/>
        <w:ind w:firstLine="480" w:firstLineChars="200"/>
        <w:rPr>
          <w:rFonts w:ascii="宋体" w:hAnsi="宋体"/>
          <w:color w:val="000000"/>
          <w:sz w:val="24"/>
        </w:rPr>
      </w:pPr>
      <w:r>
        <w:rPr>
          <w:rFonts w:hint="eastAsia" w:ascii="宋体" w:hAnsi="宋体"/>
          <w:color w:val="000000"/>
          <w:sz w:val="24"/>
        </w:rPr>
        <w:t>3.2.2评标委员会熟悉和理解招标文件以及评标过程中，发现本招标文件有下列情形之一的，评标委员会应当停止评标：</w:t>
      </w:r>
    </w:p>
    <w:p>
      <w:pPr>
        <w:spacing w:line="400" w:lineRule="exact"/>
        <w:ind w:firstLine="480" w:firstLineChars="200"/>
        <w:rPr>
          <w:rFonts w:ascii="宋体" w:hAnsi="宋体"/>
          <w:color w:val="000000"/>
          <w:sz w:val="24"/>
        </w:rPr>
      </w:pPr>
      <w:r>
        <w:rPr>
          <w:rFonts w:hint="eastAsia" w:ascii="宋体" w:hAnsi="宋体"/>
          <w:color w:val="000000"/>
          <w:sz w:val="24"/>
        </w:rPr>
        <w:t>（1）招标文件的规定存在歧义、重大缺陷的；</w:t>
      </w:r>
    </w:p>
    <w:p>
      <w:pPr>
        <w:spacing w:line="400" w:lineRule="exact"/>
        <w:ind w:firstLine="480" w:firstLineChars="200"/>
        <w:rPr>
          <w:rFonts w:ascii="宋体" w:hAnsi="宋体"/>
          <w:color w:val="000000"/>
          <w:sz w:val="24"/>
        </w:rPr>
      </w:pPr>
      <w:r>
        <w:rPr>
          <w:rFonts w:hint="eastAsia" w:ascii="宋体" w:hAnsi="宋体"/>
          <w:color w:val="000000"/>
          <w:sz w:val="24"/>
        </w:rPr>
        <w:t>（2）招标文件明显以不合理条件对供应商实行差别待遇或者歧视待遇的；</w:t>
      </w:r>
    </w:p>
    <w:p>
      <w:pPr>
        <w:spacing w:line="400" w:lineRule="exact"/>
        <w:ind w:firstLine="480" w:firstLineChars="200"/>
        <w:rPr>
          <w:rFonts w:ascii="宋体" w:hAnsi="宋体"/>
          <w:color w:val="000000"/>
          <w:sz w:val="24"/>
        </w:rPr>
      </w:pPr>
      <w:r>
        <w:rPr>
          <w:rFonts w:hint="eastAsia" w:ascii="宋体" w:hAnsi="宋体"/>
          <w:color w:val="000000"/>
          <w:sz w:val="24"/>
        </w:rPr>
        <w:t>（3）采购项目属于国家规定的优先、强制采购范围，但是招标文件未依法体现优先、强制采购相关规定的；</w:t>
      </w:r>
    </w:p>
    <w:p>
      <w:pPr>
        <w:spacing w:line="400" w:lineRule="exact"/>
        <w:ind w:firstLine="480" w:firstLineChars="200"/>
        <w:rPr>
          <w:rFonts w:ascii="宋体" w:hAnsi="宋体"/>
          <w:color w:val="000000"/>
          <w:sz w:val="24"/>
        </w:rPr>
      </w:pPr>
      <w:r>
        <w:rPr>
          <w:rFonts w:hint="eastAsia" w:ascii="宋体" w:hAnsi="宋体"/>
          <w:color w:val="000000"/>
          <w:sz w:val="24"/>
        </w:rPr>
        <w:t>（4）采购项目属于政府采购促进中小企业发展的范围，但是招标文件未依法体现促进中小企业发展相关规定的；</w:t>
      </w:r>
    </w:p>
    <w:p>
      <w:pPr>
        <w:spacing w:line="400" w:lineRule="exact"/>
        <w:ind w:firstLine="480" w:firstLineChars="200"/>
        <w:rPr>
          <w:rFonts w:ascii="宋体" w:hAnsi="宋体"/>
          <w:color w:val="000000"/>
          <w:sz w:val="24"/>
        </w:rPr>
      </w:pPr>
      <w:r>
        <w:rPr>
          <w:rFonts w:hint="eastAsia" w:ascii="宋体" w:hAnsi="宋体"/>
          <w:color w:val="000000"/>
          <w:sz w:val="24"/>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宋体" w:hAnsi="宋体"/>
          <w:color w:val="000000"/>
          <w:sz w:val="24"/>
        </w:rPr>
      </w:pPr>
      <w:r>
        <w:rPr>
          <w:rFonts w:hint="eastAsia" w:ascii="宋体" w:hAnsi="宋体"/>
          <w:color w:val="000000"/>
          <w:sz w:val="24"/>
        </w:rPr>
        <w:t>（6）招标文件将投标人的资格条件列为评分因素的；</w:t>
      </w:r>
    </w:p>
    <w:p>
      <w:pPr>
        <w:spacing w:line="400" w:lineRule="exact"/>
        <w:ind w:firstLine="480" w:firstLineChars="200"/>
        <w:rPr>
          <w:rFonts w:ascii="宋体" w:hAnsi="宋体"/>
          <w:color w:val="000000"/>
          <w:sz w:val="24"/>
        </w:rPr>
      </w:pPr>
      <w:r>
        <w:rPr>
          <w:rFonts w:hint="eastAsia" w:ascii="宋体" w:hAnsi="宋体"/>
          <w:color w:val="000000"/>
          <w:sz w:val="24"/>
        </w:rPr>
        <w:t>（7）招标文件有违反国家其他有关强制性规定的情形。</w:t>
      </w:r>
    </w:p>
    <w:p>
      <w:pPr>
        <w:spacing w:line="400" w:lineRule="exact"/>
        <w:ind w:firstLine="480" w:firstLineChars="200"/>
        <w:rPr>
          <w:rFonts w:ascii="宋体" w:hAnsi="宋体"/>
          <w:color w:val="000000"/>
          <w:sz w:val="24"/>
        </w:rPr>
      </w:pPr>
      <w:r>
        <w:rPr>
          <w:rFonts w:hint="eastAsia" w:ascii="宋体" w:hAnsi="宋体"/>
          <w:color w:val="000000"/>
          <w:sz w:val="24"/>
        </w:rPr>
        <w:t>3.2.3出现本条3.2.2规定应当停止评标情形的，评标委员会成员应当向招标采购单位书面说明情况。除本条规定和评标委员会无法依法组建的情形外，评标委员会成员不得以任何方式和理由停止评标。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宋体" w:hAnsi="宋体"/>
          <w:color w:val="000000"/>
          <w:sz w:val="24"/>
        </w:rPr>
      </w:pPr>
      <w:r>
        <w:rPr>
          <w:rFonts w:hint="eastAsia" w:ascii="宋体" w:hAnsi="宋体"/>
          <w:color w:val="000000"/>
          <w:sz w:val="24"/>
        </w:rPr>
        <w:t>3.3符合性检查。</w:t>
      </w:r>
    </w:p>
    <w:p>
      <w:pPr>
        <w:spacing w:line="400" w:lineRule="exact"/>
        <w:ind w:firstLine="480" w:firstLineChars="200"/>
        <w:rPr>
          <w:rFonts w:ascii="宋体" w:hAnsi="宋体"/>
          <w:color w:val="000000"/>
          <w:sz w:val="24"/>
        </w:rPr>
      </w:pPr>
      <w:r>
        <w:rPr>
          <w:rFonts w:hint="eastAsia" w:ascii="宋体" w:hAnsi="宋体"/>
          <w:color w:val="000000"/>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宋体" w:hAnsi="宋体"/>
          <w:b/>
          <w:bCs/>
          <w:color w:val="000000"/>
          <w:sz w:val="24"/>
        </w:rPr>
      </w:pPr>
      <w:r>
        <w:rPr>
          <w:rFonts w:hint="eastAsia" w:ascii="宋体" w:hAnsi="宋体"/>
          <w:color w:val="000000"/>
          <w:sz w:val="24"/>
        </w:rPr>
        <w:t>3.3.2</w:t>
      </w:r>
      <w:r>
        <w:rPr>
          <w:rFonts w:hint="eastAsia" w:ascii="宋体" w:hAnsi="宋体"/>
          <w:b/>
          <w:bCs/>
          <w:color w:val="000000"/>
          <w:sz w:val="24"/>
        </w:rPr>
        <w:t>符合性审查事项。</w:t>
      </w:r>
    </w:p>
    <w:p>
      <w:pPr>
        <w:spacing w:line="400" w:lineRule="exact"/>
        <w:ind w:firstLine="480" w:firstLineChars="200"/>
        <w:rPr>
          <w:rFonts w:ascii="宋体" w:hAnsi="宋体"/>
          <w:color w:val="000000"/>
          <w:sz w:val="24"/>
        </w:rPr>
      </w:pPr>
      <w:r>
        <w:rPr>
          <w:rFonts w:hint="eastAsia" w:ascii="宋体" w:hAnsi="宋体"/>
          <w:color w:val="000000"/>
          <w:sz w:val="24"/>
        </w:rPr>
        <w:t>本项目投标人或者其投标文件有下列情形之一的，作为无效投标处理：</w:t>
      </w:r>
    </w:p>
    <w:p>
      <w:pPr>
        <w:spacing w:line="400" w:lineRule="exact"/>
        <w:ind w:firstLine="480" w:firstLineChars="200"/>
        <w:rPr>
          <w:rFonts w:ascii="宋体" w:hAnsi="宋体"/>
          <w:color w:val="000000"/>
          <w:sz w:val="24"/>
        </w:rPr>
      </w:pPr>
      <w:r>
        <w:rPr>
          <w:rFonts w:hint="eastAsia" w:ascii="宋体" w:hAnsi="宋体"/>
          <w:color w:val="000000"/>
          <w:sz w:val="24"/>
        </w:rPr>
        <w:t>（一）投标文件正副本数量不足的；</w:t>
      </w:r>
    </w:p>
    <w:p>
      <w:pPr>
        <w:spacing w:line="400" w:lineRule="exact"/>
        <w:ind w:firstLine="480" w:firstLineChars="200"/>
        <w:rPr>
          <w:rFonts w:ascii="宋体" w:hAnsi="宋体"/>
          <w:color w:val="000000"/>
          <w:sz w:val="24"/>
        </w:rPr>
      </w:pPr>
      <w:r>
        <w:rPr>
          <w:rFonts w:hint="eastAsia" w:ascii="宋体" w:hAnsi="宋体"/>
          <w:color w:val="000000"/>
          <w:sz w:val="24"/>
        </w:rPr>
        <w:t>（二）投标文件的格式、语言、计量单位、报价货币、知识产权、投标有效期等不符合招标文件的规定，影响评标委员会评判的；</w:t>
      </w:r>
    </w:p>
    <w:p>
      <w:pPr>
        <w:spacing w:line="400" w:lineRule="exact"/>
        <w:ind w:firstLine="480" w:firstLineChars="200"/>
        <w:rPr>
          <w:rFonts w:ascii="宋体" w:hAnsi="宋体"/>
          <w:color w:val="000000"/>
          <w:sz w:val="24"/>
        </w:rPr>
      </w:pPr>
      <w:r>
        <w:rPr>
          <w:rFonts w:hint="eastAsia" w:ascii="宋体" w:hAnsi="宋体"/>
          <w:color w:val="000000"/>
          <w:sz w:val="24"/>
        </w:rPr>
        <w:t>（三）投标报价不符合招标文件规定的报价规定的；</w:t>
      </w:r>
    </w:p>
    <w:p>
      <w:pPr>
        <w:spacing w:line="400" w:lineRule="exact"/>
        <w:ind w:firstLine="480" w:firstLineChars="200"/>
        <w:rPr>
          <w:rFonts w:ascii="宋体" w:hAnsi="宋体"/>
          <w:color w:val="000000"/>
          <w:sz w:val="24"/>
        </w:rPr>
      </w:pPr>
      <w:r>
        <w:rPr>
          <w:rFonts w:hint="eastAsia" w:ascii="宋体" w:hAnsi="宋体"/>
          <w:color w:val="000000"/>
          <w:sz w:val="24"/>
        </w:rPr>
        <w:t>（四）技术应答内容完全或者绝大部分复制招标文件规定要求，且无相关证明材料的（主要适用于专用设备和电子信息化建设采购项目）；</w:t>
      </w:r>
    </w:p>
    <w:p>
      <w:pPr>
        <w:spacing w:line="400" w:lineRule="exact"/>
        <w:ind w:firstLine="480" w:firstLineChars="200"/>
        <w:rPr>
          <w:rFonts w:ascii="宋体" w:hAnsi="宋体"/>
          <w:color w:val="000000"/>
          <w:sz w:val="24"/>
        </w:rPr>
      </w:pPr>
      <w:r>
        <w:rPr>
          <w:rFonts w:hint="eastAsia" w:ascii="宋体" w:hAnsi="宋体"/>
          <w:color w:val="000000"/>
          <w:sz w:val="24"/>
        </w:rPr>
        <w:t>（五）技术、服务应答内容没有完全响应招标文件中的实质性要求的；</w:t>
      </w:r>
    </w:p>
    <w:p>
      <w:pPr>
        <w:spacing w:line="400" w:lineRule="exact"/>
        <w:ind w:firstLine="480" w:firstLineChars="200"/>
        <w:rPr>
          <w:rFonts w:ascii="宋体" w:hAnsi="宋体"/>
          <w:color w:val="000000"/>
          <w:sz w:val="24"/>
        </w:rPr>
      </w:pPr>
      <w:r>
        <w:rPr>
          <w:rFonts w:hint="eastAsia" w:ascii="宋体" w:hAnsi="宋体"/>
          <w:color w:val="000000"/>
          <w:sz w:val="24"/>
        </w:rPr>
        <w:t>（六）招标文件有明确要求，但投标文件未载明或者载明的采购项目履约时间、方式、数量与招标文件要求不一致的。</w:t>
      </w:r>
    </w:p>
    <w:p>
      <w:pPr>
        <w:spacing w:line="400" w:lineRule="exact"/>
        <w:ind w:firstLine="480" w:firstLineChars="200"/>
        <w:rPr>
          <w:rFonts w:ascii="宋体" w:hAnsi="宋体"/>
          <w:color w:val="000000"/>
          <w:sz w:val="24"/>
        </w:rPr>
      </w:pPr>
      <w:r>
        <w:rPr>
          <w:rFonts w:hint="eastAsia" w:ascii="宋体" w:hAnsi="宋体"/>
          <w:color w:val="000000"/>
          <w:sz w:val="24"/>
        </w:rPr>
        <w:t>（七）投标文件含有采购人不能接受的附加条件的。</w:t>
      </w:r>
    </w:p>
    <w:p>
      <w:pPr>
        <w:spacing w:line="400" w:lineRule="exact"/>
        <w:ind w:firstLine="480" w:firstLineChars="200"/>
        <w:rPr>
          <w:rFonts w:ascii="宋体" w:hAnsi="宋体"/>
          <w:color w:val="000000"/>
          <w:sz w:val="24"/>
        </w:rPr>
      </w:pPr>
      <w:r>
        <w:rPr>
          <w:rFonts w:hint="eastAsia" w:ascii="宋体" w:hAnsi="宋体"/>
          <w:color w:val="000000"/>
          <w:sz w:val="24"/>
        </w:rPr>
        <w:t>（八）其他不满足相关法律法规规定要求的。</w:t>
      </w:r>
    </w:p>
    <w:p>
      <w:pPr>
        <w:spacing w:line="400" w:lineRule="exact"/>
        <w:ind w:firstLine="480" w:firstLineChars="200"/>
        <w:rPr>
          <w:rFonts w:ascii="宋体" w:hAnsi="宋体"/>
          <w:color w:val="000000"/>
          <w:sz w:val="24"/>
        </w:rPr>
      </w:pPr>
      <w:r>
        <w:rPr>
          <w:rFonts w:hint="eastAsia" w:ascii="宋体" w:hAnsi="宋体"/>
          <w:color w:val="000000"/>
          <w:sz w:val="24"/>
        </w:rPr>
        <w:t>3.3.3投标文件（包括单独递交的开标一览表）有下列情形的，本项目不作为符合性审查事项，不得作为无效投标处理：</w:t>
      </w:r>
    </w:p>
    <w:p>
      <w:pPr>
        <w:spacing w:line="400" w:lineRule="exact"/>
        <w:ind w:firstLine="480" w:firstLineChars="200"/>
        <w:rPr>
          <w:rFonts w:ascii="宋体" w:hAnsi="宋体"/>
          <w:color w:val="000000"/>
          <w:sz w:val="24"/>
        </w:rPr>
      </w:pPr>
      <w:r>
        <w:rPr>
          <w:rFonts w:hint="eastAsia" w:ascii="宋体" w:hAnsi="宋体"/>
          <w:color w:val="000000"/>
          <w:sz w:val="24"/>
        </w:rPr>
        <w:t>（一）存在个别地方（不超过2个）没有法定代表人签字，但有法定代表人的私人印章或者有效授权代理人签字的；</w:t>
      </w:r>
    </w:p>
    <w:p>
      <w:pPr>
        <w:spacing w:line="400" w:lineRule="exact"/>
        <w:ind w:firstLine="480" w:firstLineChars="200"/>
        <w:rPr>
          <w:rFonts w:ascii="宋体" w:hAnsi="宋体"/>
          <w:color w:val="000000"/>
          <w:sz w:val="24"/>
        </w:rPr>
      </w:pPr>
      <w:r>
        <w:rPr>
          <w:rFonts w:hint="eastAsia" w:ascii="宋体" w:hAnsi="宋体"/>
          <w:color w:val="000000"/>
          <w:sz w:val="24"/>
        </w:rPr>
        <w:t>（二）除招标文件明确要求加盖单位(法人)公章的以外，其他地方以相关专用章加盖的；</w:t>
      </w:r>
    </w:p>
    <w:p>
      <w:pPr>
        <w:spacing w:line="400" w:lineRule="exact"/>
        <w:ind w:firstLine="480" w:firstLineChars="200"/>
        <w:rPr>
          <w:rFonts w:ascii="宋体" w:hAnsi="宋体"/>
          <w:color w:val="000000"/>
          <w:sz w:val="24"/>
        </w:rPr>
      </w:pPr>
      <w:r>
        <w:rPr>
          <w:rFonts w:hint="eastAsia" w:ascii="宋体" w:hAnsi="宋体"/>
          <w:color w:val="000000"/>
          <w:sz w:val="24"/>
        </w:rPr>
        <w:t>（三）以骑缝章的形式代替投标文件内容逐页盖章的（但是骑缝章模糊不清，印章名称无法辨认的除外）；</w:t>
      </w:r>
    </w:p>
    <w:p>
      <w:pPr>
        <w:spacing w:line="400" w:lineRule="exact"/>
        <w:ind w:firstLine="480" w:firstLineChars="200"/>
        <w:rPr>
          <w:rFonts w:ascii="宋体" w:hAnsi="宋体"/>
          <w:b/>
          <w:bCs/>
          <w:color w:val="000000"/>
          <w:sz w:val="24"/>
        </w:rPr>
      </w:pPr>
      <w:r>
        <w:rPr>
          <w:rFonts w:hint="eastAsia" w:ascii="宋体" w:hAnsi="宋体"/>
          <w:color w:val="000000"/>
          <w:sz w:val="24"/>
        </w:rPr>
        <w:t>（四）其他不影响采购项目实质性要求的情形。</w:t>
      </w:r>
    </w:p>
    <w:p>
      <w:pPr>
        <w:spacing w:line="400" w:lineRule="exact"/>
        <w:ind w:firstLine="480" w:firstLineChars="200"/>
        <w:rPr>
          <w:rFonts w:ascii="宋体" w:hAnsi="宋体"/>
          <w:color w:val="000000"/>
          <w:sz w:val="24"/>
        </w:rPr>
      </w:pPr>
      <w:r>
        <w:rPr>
          <w:rFonts w:hint="eastAsia" w:ascii="宋体" w:hAnsi="宋体"/>
          <w:color w:val="000000"/>
          <w:sz w:val="24"/>
        </w:rPr>
        <w:t>3.4比较与评价。按招标文件中规定的评标方法和标准，对未作无效投标处理的投标文件进行技术、服务、商务等方面评估，综合比较与评价。</w:t>
      </w:r>
    </w:p>
    <w:p>
      <w:pPr>
        <w:spacing w:line="400" w:lineRule="exact"/>
        <w:ind w:firstLine="480" w:firstLineChars="200"/>
        <w:rPr>
          <w:rFonts w:ascii="宋体" w:hAnsi="宋体"/>
          <w:color w:val="000000"/>
          <w:sz w:val="24"/>
        </w:rPr>
      </w:pPr>
      <w:r>
        <w:rPr>
          <w:rFonts w:hint="eastAsia" w:ascii="宋体" w:hAnsi="宋体"/>
          <w:color w:val="000000"/>
          <w:sz w:val="24"/>
        </w:rPr>
        <w:t>3.5复核。评分汇总结束后，评标委员会应当进行复核，特别要对拟推荐为中标候选供应商的、报价最低的、投标文件被认定为无效的进行重点复核。</w:t>
      </w:r>
    </w:p>
    <w:p>
      <w:pPr>
        <w:spacing w:line="400" w:lineRule="exact"/>
        <w:ind w:firstLine="480" w:firstLineChars="200"/>
        <w:rPr>
          <w:rFonts w:ascii="宋体" w:hAnsi="宋体"/>
          <w:color w:val="000000"/>
          <w:sz w:val="24"/>
        </w:rPr>
      </w:pPr>
      <w:r>
        <w:rPr>
          <w:rFonts w:hint="eastAsia" w:ascii="宋体" w:hAnsi="宋体"/>
          <w:color w:val="000000"/>
          <w:sz w:val="24"/>
        </w:rPr>
        <w:t>3.6推荐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00" w:lineRule="exact"/>
        <w:ind w:firstLine="480" w:firstLineChars="200"/>
        <w:rPr>
          <w:rFonts w:ascii="宋体" w:hAnsi="宋体"/>
          <w:color w:val="000000"/>
          <w:sz w:val="24"/>
        </w:rPr>
      </w:pPr>
      <w:r>
        <w:rPr>
          <w:rFonts w:hint="eastAsia" w:ascii="宋体" w:hAnsi="宋体"/>
          <w:color w:val="000000"/>
          <w:sz w:val="24"/>
        </w:rPr>
        <w:t>评标委员会可推荐的中标候选供应商数量不能满足招标文件规定的数量的，在获得采购人书面同意后，可以根据实际情况推荐中标候选供应商，但不得少于政府采购法律制度规定的数量。</w:t>
      </w:r>
    </w:p>
    <w:p>
      <w:pPr>
        <w:spacing w:line="400" w:lineRule="exact"/>
        <w:ind w:firstLine="480" w:firstLineChars="200"/>
        <w:rPr>
          <w:rFonts w:ascii="宋体" w:hAnsi="宋体"/>
          <w:color w:val="000000"/>
          <w:sz w:val="24"/>
        </w:rPr>
      </w:pPr>
      <w:r>
        <w:rPr>
          <w:rFonts w:hint="eastAsia" w:ascii="宋体" w:hAnsi="宋体"/>
          <w:color w:val="000000"/>
          <w:sz w:val="24"/>
        </w:rPr>
        <w:t>3.7出具评标报告。评标委员会推荐中标候选供应商后，应当具评标报告。评标报告应当包括下列内容：</w:t>
      </w:r>
    </w:p>
    <w:p>
      <w:pPr>
        <w:spacing w:line="400" w:lineRule="exact"/>
        <w:ind w:firstLine="480" w:firstLineChars="200"/>
        <w:rPr>
          <w:rFonts w:ascii="宋体" w:hAnsi="宋体"/>
          <w:color w:val="000000"/>
          <w:sz w:val="24"/>
        </w:rPr>
      </w:pPr>
      <w:r>
        <w:rPr>
          <w:rFonts w:hint="eastAsia" w:ascii="宋体" w:hAnsi="宋体"/>
          <w:color w:val="000000"/>
          <w:sz w:val="24"/>
        </w:rPr>
        <w:t>（一）招标公告刊登的媒体名称、开标日期和地点；</w:t>
      </w:r>
    </w:p>
    <w:p>
      <w:pPr>
        <w:spacing w:line="400" w:lineRule="exact"/>
        <w:ind w:firstLine="480" w:firstLineChars="200"/>
        <w:rPr>
          <w:rFonts w:ascii="宋体" w:hAnsi="宋体"/>
          <w:color w:val="000000"/>
          <w:sz w:val="24"/>
        </w:rPr>
      </w:pPr>
      <w:r>
        <w:rPr>
          <w:rFonts w:hint="eastAsia" w:ascii="宋体" w:hAnsi="宋体"/>
          <w:color w:val="000000"/>
          <w:sz w:val="24"/>
        </w:rPr>
        <w:t>（二）获取招标文件的投标供应商名单和评审委员会成员名单；</w:t>
      </w:r>
    </w:p>
    <w:p>
      <w:pPr>
        <w:spacing w:line="400" w:lineRule="exact"/>
        <w:ind w:firstLine="480" w:firstLineChars="200"/>
        <w:rPr>
          <w:rFonts w:ascii="宋体" w:hAnsi="宋体"/>
          <w:color w:val="000000"/>
          <w:sz w:val="24"/>
        </w:rPr>
      </w:pPr>
      <w:r>
        <w:rPr>
          <w:rFonts w:hint="eastAsia" w:ascii="宋体" w:hAnsi="宋体"/>
          <w:color w:val="000000"/>
          <w:sz w:val="24"/>
        </w:rPr>
        <w:t>（三）评标方法和标准；</w:t>
      </w:r>
    </w:p>
    <w:p>
      <w:pPr>
        <w:spacing w:line="400" w:lineRule="exact"/>
        <w:ind w:firstLine="480" w:firstLineChars="200"/>
        <w:rPr>
          <w:rFonts w:ascii="宋体" w:hAnsi="宋体"/>
          <w:color w:val="000000"/>
          <w:sz w:val="24"/>
        </w:rPr>
      </w:pPr>
      <w:r>
        <w:rPr>
          <w:rFonts w:hint="eastAsia" w:ascii="宋体" w:hAnsi="宋体"/>
          <w:color w:val="000000"/>
          <w:sz w:val="24"/>
        </w:rPr>
        <w:t>（四）开标记录和评标情况及说明，包括无效投标供应商名单及原因；</w:t>
      </w:r>
    </w:p>
    <w:p>
      <w:pPr>
        <w:spacing w:line="400" w:lineRule="exact"/>
        <w:ind w:firstLine="480" w:firstLineChars="200"/>
        <w:rPr>
          <w:rFonts w:ascii="宋体" w:hAnsi="宋体"/>
          <w:color w:val="000000"/>
          <w:sz w:val="24"/>
        </w:rPr>
      </w:pPr>
      <w:r>
        <w:rPr>
          <w:rFonts w:hint="eastAsia" w:ascii="宋体" w:hAnsi="宋体"/>
          <w:color w:val="000000"/>
          <w:sz w:val="24"/>
        </w:rPr>
        <w:t>（五）评标结果和中标候选供应商排序表；</w:t>
      </w:r>
    </w:p>
    <w:p>
      <w:pPr>
        <w:spacing w:line="400" w:lineRule="exact"/>
        <w:ind w:firstLine="480" w:firstLineChars="200"/>
        <w:rPr>
          <w:rFonts w:ascii="宋体" w:hAnsi="宋体"/>
          <w:color w:val="000000"/>
          <w:sz w:val="24"/>
        </w:rPr>
      </w:pPr>
      <w:r>
        <w:rPr>
          <w:rFonts w:hint="eastAsia" w:ascii="宋体" w:hAnsi="宋体"/>
          <w:color w:val="000000"/>
          <w:sz w:val="24"/>
        </w:rPr>
        <w:t>（六）评审委员会授标建议。</w:t>
      </w:r>
    </w:p>
    <w:p>
      <w:pPr>
        <w:spacing w:line="400" w:lineRule="exact"/>
        <w:ind w:firstLine="480" w:firstLineChars="200"/>
        <w:rPr>
          <w:rFonts w:ascii="宋体" w:hAnsi="宋体"/>
          <w:color w:val="000000"/>
          <w:sz w:val="24"/>
        </w:rPr>
      </w:pPr>
      <w:r>
        <w:rPr>
          <w:rFonts w:hint="eastAsia" w:ascii="宋体" w:hAnsi="宋体"/>
          <w:color w:val="000000"/>
          <w:sz w:val="24"/>
        </w:rPr>
        <w:t>（七）报价最高的投标供应商为中标候选供应商的，评审委员会应当对其报价的合理性予以特别说明。</w:t>
      </w:r>
    </w:p>
    <w:p>
      <w:pPr>
        <w:spacing w:line="400" w:lineRule="exact"/>
        <w:ind w:firstLine="480" w:firstLineChars="200"/>
        <w:rPr>
          <w:rFonts w:ascii="宋体" w:hAnsi="宋体"/>
          <w:color w:val="000000"/>
          <w:sz w:val="24"/>
        </w:rPr>
      </w:pPr>
      <w:r>
        <w:rPr>
          <w:rFonts w:hint="eastAsia" w:ascii="宋体" w:hAnsi="宋体"/>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宋体" w:hAnsi="宋体"/>
          <w:color w:val="000000"/>
          <w:sz w:val="24"/>
          <w:highlight w:val="yellow"/>
        </w:rPr>
      </w:pPr>
      <w:r>
        <w:rPr>
          <w:rFonts w:hint="eastAsia" w:ascii="宋体" w:hAnsi="宋体"/>
          <w:color w:val="000000"/>
          <w:sz w:val="24"/>
        </w:rPr>
        <w:t>3.8评标争议处理规则。评标委员会在评审过程中，评标委员会成员对需要共同认定的事项存在争议的，应当按照少数服从多数的原则作出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宋体" w:hAnsi="宋体"/>
          <w:color w:val="000000"/>
          <w:sz w:val="24"/>
        </w:rPr>
      </w:pPr>
      <w:r>
        <w:rPr>
          <w:rFonts w:hint="eastAsia" w:ascii="宋体" w:hAnsi="宋体"/>
          <w:color w:val="000000"/>
          <w:sz w:val="24"/>
        </w:rPr>
        <w:t>3.9供应商书面澄清、说明或者更正。</w:t>
      </w:r>
    </w:p>
    <w:p>
      <w:pPr>
        <w:spacing w:line="400" w:lineRule="exact"/>
        <w:ind w:firstLine="480" w:firstLineChars="200"/>
        <w:rPr>
          <w:rFonts w:ascii="宋体" w:hAnsi="宋体"/>
          <w:color w:val="000000"/>
          <w:sz w:val="24"/>
        </w:rPr>
      </w:pPr>
      <w:r>
        <w:rPr>
          <w:rFonts w:hint="eastAsia" w:ascii="宋体" w:hAnsi="宋体"/>
          <w:color w:val="000000"/>
          <w:sz w:val="24"/>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80" w:firstLineChars="200"/>
        <w:rPr>
          <w:rFonts w:ascii="宋体" w:hAnsi="宋体"/>
          <w:color w:val="000000"/>
          <w:sz w:val="24"/>
        </w:rPr>
      </w:pPr>
      <w:r>
        <w:rPr>
          <w:rFonts w:hint="eastAsia" w:ascii="宋体" w:hAnsi="宋体"/>
          <w:color w:val="000000"/>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rPr>
          <w:rFonts w:ascii="宋体" w:hAnsi="宋体"/>
          <w:color w:val="000000"/>
          <w:sz w:val="24"/>
        </w:rPr>
      </w:pPr>
      <w:r>
        <w:rPr>
          <w:rFonts w:hint="eastAsia" w:ascii="宋体" w:hAnsi="宋体"/>
          <w:color w:val="000000"/>
          <w:sz w:val="24"/>
        </w:rPr>
        <w:t>3.9.3评标委员会要求供应商澄清、说明或者更正，不得超出招标文件的范围，不得以此让供应商实质改变投标文件的内容，不得影响供应商公平竞争。本项目下列内容不得澄清：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ascii="宋体" w:hAnsi="宋体"/>
          <w:color w:val="000000"/>
          <w:sz w:val="24"/>
        </w:rPr>
      </w:pPr>
      <w:r>
        <w:rPr>
          <w:rFonts w:hint="eastAsia" w:ascii="宋体" w:hAnsi="宋体"/>
          <w:color w:val="000000"/>
          <w:sz w:val="24"/>
        </w:rPr>
        <w:t>（一）按财政部规定应当在评标时不予承认的投标文件内容事项；</w:t>
      </w:r>
    </w:p>
    <w:p>
      <w:pPr>
        <w:spacing w:line="360" w:lineRule="auto"/>
        <w:ind w:firstLine="480" w:firstLineChars="200"/>
        <w:rPr>
          <w:rFonts w:ascii="宋体" w:hAnsi="宋体"/>
          <w:color w:val="000000"/>
          <w:sz w:val="24"/>
        </w:rPr>
      </w:pPr>
      <w:r>
        <w:rPr>
          <w:rFonts w:hint="eastAsia" w:ascii="宋体" w:hAnsi="宋体"/>
          <w:color w:val="000000"/>
          <w:sz w:val="24"/>
        </w:rPr>
        <w:t>（二）投标文件中已经明确的内容事项；</w:t>
      </w:r>
    </w:p>
    <w:p>
      <w:pPr>
        <w:spacing w:line="360" w:lineRule="auto"/>
        <w:ind w:firstLine="480" w:firstLineChars="200"/>
        <w:rPr>
          <w:rFonts w:ascii="宋体" w:hAnsi="宋体"/>
          <w:color w:val="000000"/>
          <w:sz w:val="24"/>
        </w:rPr>
      </w:pPr>
      <w:r>
        <w:rPr>
          <w:rFonts w:hint="eastAsia" w:ascii="宋体" w:hAnsi="宋体"/>
          <w:color w:val="000000"/>
          <w:sz w:val="24"/>
        </w:rPr>
        <w:t>（三）投标文件未提供的材料。</w:t>
      </w:r>
    </w:p>
    <w:p>
      <w:pPr>
        <w:spacing w:line="360" w:lineRule="auto"/>
        <w:ind w:firstLine="480" w:firstLineChars="200"/>
        <w:rPr>
          <w:rFonts w:ascii="宋体" w:hAnsi="宋体"/>
          <w:color w:val="000000"/>
          <w:sz w:val="24"/>
        </w:rPr>
      </w:pPr>
      <w:r>
        <w:rPr>
          <w:rFonts w:hint="eastAsia" w:ascii="宋体" w:hAnsi="宋体"/>
          <w:color w:val="000000"/>
          <w:sz w:val="24"/>
        </w:rPr>
        <w:t>3.9.4 本项目采购过程中，投标文件出现下列情况的，投标文件报价出现前后不一致的，按照下列规定修正：</w:t>
      </w:r>
    </w:p>
    <w:p>
      <w:pPr>
        <w:spacing w:line="360" w:lineRule="auto"/>
        <w:ind w:firstLine="480" w:firstLineChars="200"/>
        <w:rPr>
          <w:rFonts w:ascii="宋体" w:hAnsi="宋体"/>
          <w:color w:val="000000"/>
          <w:sz w:val="24"/>
        </w:rPr>
      </w:pPr>
      <w:r>
        <w:rPr>
          <w:rFonts w:hint="eastAsia" w:ascii="宋体" w:hAnsi="宋体"/>
          <w:color w:val="000000"/>
          <w:sz w:val="24"/>
        </w:rPr>
        <w:t>（一）投标文件中开标一览表（报价表）内容与投标文件中相应内容不一致的，以开标一览表（报价表）为准；</w:t>
      </w:r>
    </w:p>
    <w:p>
      <w:pPr>
        <w:spacing w:line="360" w:lineRule="auto"/>
        <w:ind w:firstLine="480" w:firstLineChars="200"/>
        <w:rPr>
          <w:rFonts w:ascii="宋体" w:hAnsi="宋体"/>
          <w:color w:val="000000"/>
          <w:sz w:val="24"/>
        </w:rPr>
      </w:pPr>
      <w:r>
        <w:rPr>
          <w:rFonts w:hint="eastAsia" w:ascii="宋体" w:hAnsi="宋体"/>
          <w:color w:val="000000"/>
          <w:sz w:val="24"/>
        </w:rPr>
        <w:t>（二）大写金额和小写金额不一致的，以大写金额为准；</w:t>
      </w:r>
    </w:p>
    <w:p>
      <w:pPr>
        <w:spacing w:line="360" w:lineRule="auto"/>
        <w:ind w:firstLine="480" w:firstLineChars="200"/>
        <w:rPr>
          <w:rFonts w:ascii="宋体" w:hAnsi="宋体"/>
          <w:color w:val="000000"/>
          <w:sz w:val="24"/>
        </w:rPr>
      </w:pPr>
      <w:r>
        <w:rPr>
          <w:rFonts w:hint="eastAsia" w:ascii="宋体" w:hAnsi="宋体"/>
          <w:color w:val="000000"/>
          <w:sz w:val="24"/>
        </w:rPr>
        <w:t>（三）单价金额小数点或者百分比有明显错位的，以开标一览表的总价为准，并修改单价；</w:t>
      </w:r>
    </w:p>
    <w:p>
      <w:pPr>
        <w:spacing w:line="360" w:lineRule="auto"/>
        <w:ind w:firstLine="480" w:firstLineChars="200"/>
        <w:rPr>
          <w:rFonts w:ascii="宋体" w:hAnsi="宋体"/>
          <w:color w:val="000000"/>
          <w:sz w:val="24"/>
        </w:rPr>
      </w:pPr>
      <w:r>
        <w:rPr>
          <w:rFonts w:hint="eastAsia" w:ascii="宋体" w:hAnsi="宋体"/>
          <w:color w:val="000000"/>
          <w:sz w:val="24"/>
        </w:rPr>
        <w:t>（四）总价金额与按单价汇总金额不一致的，以单价金额计算结果为准。</w:t>
      </w:r>
    </w:p>
    <w:p>
      <w:pPr>
        <w:spacing w:line="360" w:lineRule="auto"/>
        <w:ind w:firstLine="480" w:firstLineChars="200"/>
        <w:rPr>
          <w:rFonts w:ascii="宋体" w:hAnsi="宋体"/>
          <w:color w:val="000000"/>
          <w:sz w:val="24"/>
        </w:rPr>
      </w:pPr>
      <w:r>
        <w:rPr>
          <w:rFonts w:hint="eastAsia" w:ascii="宋体" w:hAnsi="宋体"/>
          <w:color w:val="000000"/>
          <w:sz w:val="24"/>
        </w:rPr>
        <w:t>同时出现两种以上不一致的，按照前款规定的顺序修正。修正后的报价经投标人签字或盖章确认后产生约束力，投标人不确认的，其投标无效。</w:t>
      </w:r>
    </w:p>
    <w:p>
      <w:pPr>
        <w:spacing w:line="360" w:lineRule="auto"/>
        <w:ind w:firstLine="480" w:firstLineChars="200"/>
        <w:rPr>
          <w:rFonts w:ascii="宋体" w:hAnsi="宋体"/>
          <w:color w:val="000000"/>
          <w:sz w:val="24"/>
        </w:rPr>
      </w:pPr>
      <w:r>
        <w:rPr>
          <w:rFonts w:hint="eastAsia" w:ascii="宋体" w:hAnsi="宋体"/>
          <w:color w:val="000000"/>
          <w:sz w:val="24"/>
        </w:rPr>
        <w:t>出现本条第（四）项规定情形，单价汇总金额比总价金额高，且超过政府采购预算或者本项目最高限价的，供应商投标文件应作为无效投标处理。</w:t>
      </w:r>
    </w:p>
    <w:p>
      <w:pPr>
        <w:spacing w:line="360" w:lineRule="auto"/>
        <w:ind w:firstLine="482" w:firstLineChars="200"/>
        <w:rPr>
          <w:rFonts w:ascii="宋体" w:hAnsi="宋体"/>
          <w:b/>
          <w:color w:val="000000"/>
          <w:sz w:val="24"/>
        </w:rPr>
      </w:pPr>
      <w:r>
        <w:rPr>
          <w:rFonts w:hint="eastAsia" w:ascii="宋体" w:hAnsi="宋体"/>
          <w:b/>
          <w:color w:val="000000"/>
          <w:sz w:val="24"/>
        </w:rPr>
        <w:t>注：评标委员会当积极履行澄清、说明或者更正的职责，不得滥用权力。供应商的投标文件可以要求澄清、说明或者更正的，不得未经澄清、说明或者更正而直接作无效投标处理。</w:t>
      </w:r>
    </w:p>
    <w:p>
      <w:pPr>
        <w:pStyle w:val="42"/>
        <w:spacing w:line="360" w:lineRule="auto"/>
        <w:ind w:firstLine="480" w:firstLineChars="200"/>
        <w:jc w:val="both"/>
        <w:rPr>
          <w:color w:val="000000"/>
        </w:rPr>
      </w:pPr>
      <w:r>
        <w:rPr>
          <w:rFonts w:hint="eastAsia"/>
          <w:color w:val="000000"/>
        </w:rPr>
        <w:t>3.10 低于成本价投标处理。（详见投标人须知前附表）</w:t>
      </w:r>
    </w:p>
    <w:p>
      <w:pPr>
        <w:pStyle w:val="42"/>
        <w:spacing w:line="360" w:lineRule="auto"/>
        <w:ind w:firstLine="480" w:firstLineChars="200"/>
        <w:jc w:val="both"/>
        <w:rPr>
          <w:color w:val="000000"/>
        </w:rPr>
      </w:pPr>
      <w:r>
        <w:rPr>
          <w:rFonts w:hint="eastAsia"/>
          <w:color w:val="000000"/>
        </w:rPr>
        <w:t>3.11评标结果复核。</w:t>
      </w:r>
    </w:p>
    <w:p>
      <w:pPr>
        <w:pStyle w:val="42"/>
        <w:spacing w:line="360" w:lineRule="auto"/>
        <w:ind w:firstLine="480" w:firstLineChars="200"/>
        <w:jc w:val="both"/>
        <w:rPr>
          <w:color w:val="000000"/>
        </w:rPr>
      </w:pPr>
      <w:r>
        <w:rPr>
          <w:rFonts w:hint="eastAsia"/>
          <w:color w:val="000000"/>
        </w:rPr>
        <w:t>3.11.1评标报告签署前，经复核发现存在以下情形之一的，评标委员会应当当场修改评标结果，并在评标报告中记载。评标报告签署后，采购人或者采购代理机构发现存在以下情形之一的，将组织原评标委员会进行重新评审，重新评审改变评标结果的，书面报告本级财政部门。</w:t>
      </w:r>
    </w:p>
    <w:p>
      <w:pPr>
        <w:pStyle w:val="42"/>
        <w:spacing w:line="360" w:lineRule="auto"/>
        <w:ind w:firstLine="480" w:firstLineChars="200"/>
        <w:jc w:val="both"/>
        <w:rPr>
          <w:color w:val="000000"/>
        </w:rPr>
      </w:pPr>
      <w:r>
        <w:rPr>
          <w:rFonts w:hint="eastAsia"/>
          <w:color w:val="000000"/>
        </w:rPr>
        <w:t>（一）分值汇总计算错误的；</w:t>
      </w:r>
    </w:p>
    <w:p>
      <w:pPr>
        <w:pStyle w:val="42"/>
        <w:spacing w:line="360" w:lineRule="auto"/>
        <w:ind w:firstLine="480" w:firstLineChars="200"/>
        <w:jc w:val="both"/>
        <w:rPr>
          <w:color w:val="000000"/>
        </w:rPr>
      </w:pPr>
      <w:r>
        <w:rPr>
          <w:rFonts w:hint="eastAsia"/>
          <w:color w:val="000000"/>
        </w:rPr>
        <w:t>（二）分项评分超出评分标准范围的；</w:t>
      </w:r>
    </w:p>
    <w:p>
      <w:pPr>
        <w:pStyle w:val="42"/>
        <w:spacing w:line="360" w:lineRule="auto"/>
        <w:ind w:firstLine="480" w:firstLineChars="200"/>
        <w:jc w:val="both"/>
        <w:rPr>
          <w:color w:val="000000"/>
        </w:rPr>
      </w:pPr>
      <w:r>
        <w:rPr>
          <w:rFonts w:hint="eastAsia"/>
          <w:color w:val="000000"/>
        </w:rPr>
        <w:t>（三）评标委员会成员对客观评审因素评分不一致的；</w:t>
      </w:r>
    </w:p>
    <w:p>
      <w:pPr>
        <w:pStyle w:val="42"/>
        <w:spacing w:line="360" w:lineRule="auto"/>
        <w:ind w:firstLine="480" w:firstLineChars="200"/>
        <w:jc w:val="both"/>
        <w:rPr>
          <w:color w:val="000000"/>
        </w:rPr>
      </w:pPr>
      <w:r>
        <w:rPr>
          <w:rFonts w:hint="eastAsia"/>
          <w:color w:val="000000"/>
        </w:rPr>
        <w:t>（四）经评标委员会认定评分畸高、畸低的。</w:t>
      </w:r>
    </w:p>
    <w:p>
      <w:pPr>
        <w:spacing w:line="360" w:lineRule="auto"/>
        <w:rPr>
          <w:rFonts w:ascii="宋体" w:hAnsi="宋体"/>
          <w:b/>
          <w:color w:val="000000"/>
          <w:sz w:val="24"/>
        </w:rPr>
      </w:pPr>
      <w:r>
        <w:rPr>
          <w:rFonts w:hint="eastAsia" w:ascii="宋体" w:hAnsi="宋体"/>
          <w:b/>
          <w:color w:val="000000"/>
          <w:sz w:val="24"/>
        </w:rPr>
        <w:t>4. 评标办法、评标细则及标准</w:t>
      </w:r>
      <w:bookmarkEnd w:id="511"/>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4.1本次评标采用综合评分法。评标标准见综合评分明细表。</w:t>
      </w:r>
    </w:p>
    <w:p>
      <w:pPr>
        <w:pStyle w:val="42"/>
        <w:spacing w:line="360" w:lineRule="auto"/>
        <w:ind w:firstLine="480" w:firstLineChars="200"/>
        <w:jc w:val="both"/>
        <w:rPr>
          <w:color w:val="000000"/>
        </w:rPr>
      </w:pPr>
      <w:r>
        <w:rPr>
          <w:rFonts w:hint="eastAsia"/>
          <w:color w:val="000000"/>
        </w:rPr>
        <w:t>4.2 评标委员会成员应当根据自身专业情况对每个有效投标供应商的投标文件进行独立评分，汇总每项评分因素的得分，得出每个有效投标供应商的总分。</w:t>
      </w:r>
    </w:p>
    <w:p>
      <w:pPr>
        <w:pStyle w:val="11"/>
        <w:tabs>
          <w:tab w:val="left" w:pos="600"/>
        </w:tabs>
        <w:spacing w:line="360" w:lineRule="auto"/>
        <w:ind w:firstLine="480" w:firstLineChars="200"/>
        <w:rPr>
          <w:rFonts w:ascii="宋体" w:hAnsi="宋体"/>
          <w:color w:val="000000"/>
          <w:sz w:val="24"/>
          <w:szCs w:val="24"/>
        </w:rPr>
      </w:pPr>
      <w:r>
        <w:rPr>
          <w:rFonts w:hint="eastAsia" w:ascii="宋体" w:hAnsi="宋体"/>
          <w:color w:val="000000"/>
          <w:sz w:val="24"/>
          <w:szCs w:val="24"/>
        </w:rPr>
        <w:t>4.3综合评分明细表</w:t>
      </w:r>
    </w:p>
    <w:tbl>
      <w:tblPr>
        <w:tblStyle w:val="30"/>
        <w:tblW w:w="5040"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862"/>
        <w:gridCol w:w="716"/>
        <w:gridCol w:w="4676"/>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spacing w:line="360" w:lineRule="auto"/>
              <w:jc w:val="center"/>
              <w:rPr>
                <w:rFonts w:ascii="宋体" w:hAnsi="宋体" w:cs="宋体"/>
                <w:kern w:val="0"/>
                <w:szCs w:val="21"/>
              </w:rPr>
            </w:pPr>
            <w:r>
              <w:rPr>
                <w:rFonts w:hint="eastAsia" w:ascii="宋体" w:hAnsi="宋体" w:cs="宋体"/>
                <w:kern w:val="0"/>
                <w:szCs w:val="21"/>
              </w:rPr>
              <w:t>序号</w:t>
            </w:r>
          </w:p>
        </w:tc>
        <w:tc>
          <w:tcPr>
            <w:tcW w:w="465" w:type="pct"/>
            <w:vAlign w:val="center"/>
          </w:tcPr>
          <w:p>
            <w:pPr>
              <w:spacing w:line="360" w:lineRule="auto"/>
              <w:jc w:val="center"/>
              <w:rPr>
                <w:rFonts w:ascii="宋体" w:hAnsi="宋体" w:cs="宋体"/>
                <w:kern w:val="0"/>
                <w:szCs w:val="21"/>
              </w:rPr>
            </w:pPr>
            <w:r>
              <w:rPr>
                <w:rFonts w:hint="eastAsia" w:ascii="宋体" w:hAnsi="宋体" w:cs="宋体"/>
                <w:kern w:val="0"/>
                <w:szCs w:val="21"/>
              </w:rPr>
              <w:t>评分因素及权重</w:t>
            </w:r>
          </w:p>
        </w:tc>
        <w:tc>
          <w:tcPr>
            <w:tcW w:w="386" w:type="pct"/>
            <w:vAlign w:val="center"/>
          </w:tcPr>
          <w:p>
            <w:pPr>
              <w:spacing w:line="360" w:lineRule="auto"/>
              <w:jc w:val="center"/>
              <w:rPr>
                <w:rFonts w:ascii="宋体" w:hAnsi="宋体" w:cs="宋体"/>
                <w:kern w:val="0"/>
                <w:szCs w:val="21"/>
              </w:rPr>
            </w:pPr>
            <w:r>
              <w:rPr>
                <w:rFonts w:hint="eastAsia" w:ascii="宋体" w:hAnsi="宋体" w:cs="宋体"/>
                <w:kern w:val="0"/>
                <w:szCs w:val="21"/>
              </w:rPr>
              <w:t>分值</w:t>
            </w:r>
          </w:p>
        </w:tc>
        <w:tc>
          <w:tcPr>
            <w:tcW w:w="2522" w:type="pct"/>
            <w:vAlign w:val="center"/>
          </w:tcPr>
          <w:p>
            <w:pPr>
              <w:spacing w:line="360" w:lineRule="auto"/>
              <w:jc w:val="center"/>
              <w:rPr>
                <w:rFonts w:ascii="宋体" w:hAnsi="宋体" w:cs="宋体"/>
                <w:kern w:val="0"/>
                <w:szCs w:val="21"/>
              </w:rPr>
            </w:pPr>
            <w:r>
              <w:rPr>
                <w:rFonts w:hint="eastAsia" w:ascii="宋体" w:hAnsi="宋体" w:cs="宋体"/>
                <w:kern w:val="0"/>
                <w:szCs w:val="21"/>
              </w:rPr>
              <w:t>评分标准</w:t>
            </w:r>
          </w:p>
        </w:tc>
        <w:tc>
          <w:tcPr>
            <w:tcW w:w="1214" w:type="pct"/>
            <w:vAlign w:val="center"/>
          </w:tcPr>
          <w:p>
            <w:pPr>
              <w:spacing w:line="360" w:lineRule="auto"/>
              <w:jc w:val="center"/>
              <w:rPr>
                <w:rFonts w:ascii="宋体" w:hAnsi="宋体" w:cs="宋体"/>
                <w:kern w:val="0"/>
                <w:szCs w:val="21"/>
              </w:rPr>
            </w:pPr>
            <w:r>
              <w:rPr>
                <w:rFonts w:hint="eastAsia" w:ascii="宋体" w:hAnsi="宋体" w:cs="宋体"/>
                <w:kern w:val="0"/>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spacing w:line="360" w:lineRule="auto"/>
              <w:jc w:val="center"/>
              <w:rPr>
                <w:rFonts w:ascii="宋体" w:hAnsi="宋体" w:cs="宋体"/>
                <w:kern w:val="0"/>
                <w:szCs w:val="21"/>
              </w:rPr>
            </w:pPr>
            <w:r>
              <w:rPr>
                <w:rFonts w:hint="eastAsia" w:ascii="宋体" w:hAnsi="宋体" w:cs="宋体"/>
                <w:kern w:val="0"/>
                <w:szCs w:val="21"/>
              </w:rPr>
              <w:t>1</w:t>
            </w:r>
          </w:p>
        </w:tc>
        <w:tc>
          <w:tcPr>
            <w:tcW w:w="465" w:type="pct"/>
            <w:vAlign w:val="center"/>
          </w:tcPr>
          <w:p>
            <w:pPr>
              <w:spacing w:line="360" w:lineRule="auto"/>
              <w:rPr>
                <w:rFonts w:ascii="宋体" w:hAnsi="宋体" w:cs="宋体"/>
                <w:kern w:val="0"/>
                <w:szCs w:val="21"/>
              </w:rPr>
            </w:pPr>
            <w:r>
              <w:rPr>
                <w:rFonts w:hint="eastAsia" w:ascii="宋体" w:hAnsi="宋体" w:cs="宋体"/>
                <w:kern w:val="0"/>
                <w:szCs w:val="21"/>
              </w:rPr>
              <w:t>报价30%</w:t>
            </w:r>
          </w:p>
        </w:tc>
        <w:tc>
          <w:tcPr>
            <w:tcW w:w="386" w:type="pct"/>
            <w:vAlign w:val="center"/>
          </w:tcPr>
          <w:p>
            <w:pPr>
              <w:spacing w:line="360" w:lineRule="auto"/>
              <w:rPr>
                <w:rFonts w:ascii="宋体" w:hAnsi="宋体" w:cs="宋体"/>
                <w:kern w:val="0"/>
                <w:szCs w:val="21"/>
              </w:rPr>
            </w:pPr>
            <w:r>
              <w:rPr>
                <w:rFonts w:hint="eastAsia" w:ascii="宋体" w:hAnsi="宋体" w:cs="宋体"/>
                <w:kern w:val="0"/>
                <w:szCs w:val="21"/>
              </w:rPr>
              <w:t>30分</w:t>
            </w:r>
          </w:p>
        </w:tc>
        <w:tc>
          <w:tcPr>
            <w:tcW w:w="2522" w:type="pct"/>
            <w:vAlign w:val="center"/>
          </w:tcPr>
          <w:p>
            <w:pPr>
              <w:spacing w:line="360" w:lineRule="auto"/>
              <w:rPr>
                <w:rFonts w:ascii="宋体" w:hAnsi="宋体" w:cs="宋体"/>
                <w:kern w:val="0"/>
                <w:szCs w:val="21"/>
              </w:rPr>
            </w:pPr>
            <w:r>
              <w:rPr>
                <w:rFonts w:hint="eastAsia" w:ascii="宋体" w:hAnsi="宋体" w:cs="宋体"/>
                <w:kern w:val="0"/>
                <w:szCs w:val="21"/>
              </w:rPr>
              <w:t>以本次经评审合格的</w:t>
            </w:r>
            <w:bookmarkStart w:id="533" w:name="_GoBack"/>
            <w:bookmarkEnd w:id="533"/>
            <w:r>
              <w:rPr>
                <w:rFonts w:hint="eastAsia" w:ascii="宋体" w:hAnsi="宋体" w:cs="宋体"/>
                <w:kern w:val="0"/>
                <w:szCs w:val="21"/>
              </w:rPr>
              <w:t>最低投标报价为基准价（得满分），投标报价得分=(基准价／投标报价)×30</w:t>
            </w:r>
          </w:p>
        </w:tc>
        <w:tc>
          <w:tcPr>
            <w:tcW w:w="1214" w:type="pct"/>
            <w:vAlign w:val="center"/>
          </w:tcPr>
          <w:p>
            <w:pPr>
              <w:spacing w:line="360" w:lineRule="auto"/>
              <w:rPr>
                <w:rFonts w:ascii="宋体" w:hAnsi="宋体" w:cs="宋体"/>
                <w:kern w:val="0"/>
                <w:szCs w:val="21"/>
              </w:rPr>
            </w:pPr>
            <w:r>
              <w:rPr>
                <w:rFonts w:hint="eastAsia" w:ascii="宋体" w:hAnsi="宋体" w:cs="宋体"/>
                <w:kern w:val="0"/>
                <w:szCs w:val="21"/>
              </w:rPr>
              <w:t>如涉及价格扣除和加成的按照本采购文件须知前附表规定执行。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spacing w:line="360" w:lineRule="auto"/>
              <w:jc w:val="center"/>
              <w:rPr>
                <w:rFonts w:ascii="宋体" w:hAnsi="宋体" w:cs="宋体"/>
                <w:kern w:val="0"/>
                <w:szCs w:val="21"/>
              </w:rPr>
            </w:pPr>
            <w:r>
              <w:rPr>
                <w:rFonts w:hint="eastAsia" w:ascii="宋体" w:hAnsi="宋体" w:cs="宋体"/>
                <w:kern w:val="0"/>
                <w:szCs w:val="21"/>
              </w:rPr>
              <w:t>2</w:t>
            </w:r>
          </w:p>
        </w:tc>
        <w:tc>
          <w:tcPr>
            <w:tcW w:w="465" w:type="pct"/>
            <w:vAlign w:val="center"/>
          </w:tcPr>
          <w:p>
            <w:pPr>
              <w:spacing w:line="360" w:lineRule="auto"/>
              <w:rPr>
                <w:rFonts w:ascii="宋体" w:hAnsi="宋体" w:cs="宋体"/>
                <w:kern w:val="0"/>
                <w:szCs w:val="21"/>
              </w:rPr>
            </w:pPr>
            <w:r>
              <w:rPr>
                <w:rFonts w:hint="eastAsia" w:ascii="宋体" w:hAnsi="宋体" w:cs="宋体"/>
                <w:kern w:val="0"/>
                <w:szCs w:val="21"/>
              </w:rPr>
              <w:t>技术指标和配置60%</w:t>
            </w:r>
          </w:p>
        </w:tc>
        <w:tc>
          <w:tcPr>
            <w:tcW w:w="386" w:type="pct"/>
            <w:vAlign w:val="center"/>
          </w:tcPr>
          <w:p>
            <w:pPr>
              <w:spacing w:line="360" w:lineRule="auto"/>
              <w:rPr>
                <w:rFonts w:ascii="宋体" w:hAnsi="宋体" w:cs="宋体"/>
                <w:kern w:val="0"/>
                <w:szCs w:val="21"/>
              </w:rPr>
            </w:pPr>
            <w:r>
              <w:rPr>
                <w:rFonts w:hint="eastAsia" w:ascii="宋体" w:hAnsi="宋体" w:cs="宋体"/>
                <w:kern w:val="0"/>
                <w:szCs w:val="21"/>
              </w:rPr>
              <w:t>60分</w:t>
            </w:r>
          </w:p>
        </w:tc>
        <w:tc>
          <w:tcPr>
            <w:tcW w:w="2522" w:type="pct"/>
            <w:vAlign w:val="center"/>
          </w:tcPr>
          <w:p>
            <w:pPr>
              <w:spacing w:line="360" w:lineRule="auto"/>
              <w:rPr>
                <w:rFonts w:ascii="宋体" w:hAnsi="宋体" w:cs="宋体"/>
                <w:kern w:val="0"/>
                <w:szCs w:val="21"/>
              </w:rPr>
            </w:pPr>
            <w:r>
              <w:rPr>
                <w:rFonts w:hint="eastAsia" w:ascii="宋体" w:hAnsi="宋体" w:cs="宋体"/>
                <w:kern w:val="0"/>
                <w:szCs w:val="21"/>
              </w:rPr>
              <w:t>技术指标和配置的评分按包、以逐项累计扣分的方法进行评审，完全符合招标文件要求没有负偏离得60分；一般条款负偏离一项扣5分，“</w:t>
            </w:r>
            <w:r>
              <w:rPr>
                <w:rFonts w:hint="eastAsia" w:asciiTheme="minorEastAsia" w:hAnsiTheme="minorEastAsia" w:eastAsiaTheme="minorEastAsia"/>
                <w:szCs w:val="21"/>
              </w:rPr>
              <w:t>★</w:t>
            </w:r>
            <w:r>
              <w:rPr>
                <w:rFonts w:hint="eastAsia" w:ascii="宋体" w:hAnsi="宋体" w:cs="宋体"/>
                <w:kern w:val="0"/>
                <w:szCs w:val="21"/>
              </w:rPr>
              <w:t>”号条款负偏离一项扣10分，扣完为止。</w:t>
            </w:r>
          </w:p>
        </w:tc>
        <w:tc>
          <w:tcPr>
            <w:tcW w:w="1214" w:type="pct"/>
            <w:vAlign w:val="center"/>
          </w:tcPr>
          <w:p>
            <w:pPr>
              <w:spacing w:line="360" w:lineRule="auto"/>
              <w:rPr>
                <w:rFonts w:ascii="宋体" w:hAnsi="宋体" w:cs="宋体"/>
                <w:kern w:val="0"/>
                <w:szCs w:val="21"/>
              </w:rPr>
            </w:pPr>
            <w:r>
              <w:rPr>
                <w:rFonts w:hint="eastAsia" w:asciiTheme="minorEastAsia" w:hAnsiTheme="minorEastAsia" w:eastAsiaTheme="minorEastAsia"/>
                <w:szCs w:val="21"/>
              </w:rPr>
              <w:t>★</w:t>
            </w:r>
            <w:r>
              <w:rPr>
                <w:rFonts w:hint="eastAsia" w:ascii="宋体" w:hAnsi="宋体" w:cs="宋体"/>
                <w:kern w:val="0"/>
                <w:szCs w:val="21"/>
              </w:rPr>
              <w:t>号条款参数须提供相关证明材料佐证，否则视为不响应。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spacing w:line="360" w:lineRule="auto"/>
              <w:jc w:val="center"/>
              <w:rPr>
                <w:rFonts w:ascii="宋体" w:hAnsi="宋体" w:cs="宋体"/>
                <w:kern w:val="0"/>
                <w:szCs w:val="21"/>
              </w:rPr>
            </w:pPr>
            <w:r>
              <w:rPr>
                <w:rFonts w:hint="eastAsia" w:ascii="宋体" w:hAnsi="宋体" w:cs="宋体"/>
                <w:kern w:val="0"/>
                <w:szCs w:val="21"/>
              </w:rPr>
              <w:t>3</w:t>
            </w:r>
          </w:p>
        </w:tc>
        <w:tc>
          <w:tcPr>
            <w:tcW w:w="465" w:type="pct"/>
            <w:vAlign w:val="center"/>
          </w:tcPr>
          <w:p>
            <w:pPr>
              <w:spacing w:line="360" w:lineRule="auto"/>
              <w:rPr>
                <w:rFonts w:ascii="宋体" w:hAnsi="宋体" w:cs="宋体"/>
                <w:kern w:val="0"/>
                <w:szCs w:val="21"/>
              </w:rPr>
            </w:pPr>
            <w:r>
              <w:rPr>
                <w:rFonts w:hint="eastAsia" w:ascii="宋体" w:hAnsi="宋体" w:cs="宋体"/>
                <w:kern w:val="0"/>
                <w:szCs w:val="21"/>
              </w:rPr>
              <w:t>业绩5%</w:t>
            </w:r>
          </w:p>
        </w:tc>
        <w:tc>
          <w:tcPr>
            <w:tcW w:w="386" w:type="pct"/>
            <w:vAlign w:val="center"/>
          </w:tcPr>
          <w:p>
            <w:pPr>
              <w:spacing w:line="360" w:lineRule="auto"/>
              <w:rPr>
                <w:rFonts w:ascii="宋体" w:hAnsi="宋体" w:cs="宋体"/>
                <w:kern w:val="0"/>
                <w:szCs w:val="21"/>
              </w:rPr>
            </w:pPr>
            <w:r>
              <w:rPr>
                <w:rFonts w:hint="eastAsia" w:ascii="宋体" w:hAnsi="宋体" w:cs="宋体"/>
                <w:kern w:val="0"/>
                <w:szCs w:val="21"/>
              </w:rPr>
              <w:t>5分</w:t>
            </w:r>
          </w:p>
        </w:tc>
        <w:tc>
          <w:tcPr>
            <w:tcW w:w="2522" w:type="pct"/>
            <w:vAlign w:val="center"/>
          </w:tcPr>
          <w:p>
            <w:pPr>
              <w:spacing w:line="360" w:lineRule="auto"/>
              <w:rPr>
                <w:rFonts w:ascii="宋体" w:hAnsi="宋体" w:cs="宋体"/>
                <w:kern w:val="0"/>
                <w:szCs w:val="21"/>
              </w:rPr>
            </w:pPr>
            <w:r>
              <w:rPr>
                <w:rFonts w:hint="eastAsia" w:ascii="宋体" w:hAnsi="宋体" w:cs="宋体"/>
                <w:kern w:val="0"/>
                <w:szCs w:val="21"/>
              </w:rPr>
              <w:t>投标人具有一个类似业绩得1分，最多得5分。</w:t>
            </w:r>
          </w:p>
        </w:tc>
        <w:tc>
          <w:tcPr>
            <w:tcW w:w="1214" w:type="pct"/>
            <w:vAlign w:val="center"/>
          </w:tcPr>
          <w:p>
            <w:pPr>
              <w:spacing w:line="360" w:lineRule="auto"/>
              <w:rPr>
                <w:rFonts w:ascii="宋体" w:hAnsi="宋体" w:cs="宋体"/>
                <w:kern w:val="0"/>
                <w:szCs w:val="21"/>
              </w:rPr>
            </w:pPr>
            <w:r>
              <w:rPr>
                <w:rFonts w:hint="eastAsia" w:ascii="宋体" w:hAnsi="宋体" w:cs="宋体"/>
                <w:kern w:val="0"/>
                <w:szCs w:val="21"/>
              </w:rPr>
              <w:t>提供中标通知书或采购合同扫描件（加盖公章）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4</w:t>
            </w:r>
          </w:p>
        </w:tc>
        <w:tc>
          <w:tcPr>
            <w:tcW w:w="46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售后服务3%</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3分</w:t>
            </w:r>
          </w:p>
        </w:tc>
        <w:tc>
          <w:tcPr>
            <w:tcW w:w="252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根据各投标人编制的服务方案，其中应对售后服务内容、人员配备、技术培训等进行详细描述，经评审后：完全满足招标文件要求的得3分，上述内容缺项或不符合招标文件要求，每项扣1分，扣完为止。</w:t>
            </w:r>
          </w:p>
        </w:tc>
        <w:tc>
          <w:tcPr>
            <w:tcW w:w="12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方案自拟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5</w:t>
            </w:r>
          </w:p>
        </w:tc>
        <w:tc>
          <w:tcPr>
            <w:tcW w:w="465"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kern w:val="0"/>
                <w:szCs w:val="21"/>
              </w:rPr>
            </w:pPr>
            <w:r>
              <w:rPr>
                <w:rFonts w:hint="eastAsia" w:ascii="宋体" w:hAnsi="宋体" w:cs="宋体"/>
                <w:kern w:val="0"/>
                <w:szCs w:val="21"/>
              </w:rPr>
              <w:t>节能、环境</w:t>
            </w:r>
          </w:p>
          <w:p>
            <w:pPr>
              <w:spacing w:line="360" w:lineRule="auto"/>
              <w:ind w:firstLine="28"/>
              <w:jc w:val="center"/>
              <w:rPr>
                <w:rFonts w:ascii="宋体" w:hAnsi="宋体" w:cs="宋体"/>
                <w:kern w:val="0"/>
                <w:szCs w:val="21"/>
              </w:rPr>
            </w:pPr>
            <w:r>
              <w:rPr>
                <w:rFonts w:hint="eastAsia" w:ascii="宋体" w:hAnsi="宋体" w:cs="宋体"/>
                <w:kern w:val="0"/>
                <w:szCs w:val="21"/>
              </w:rPr>
              <w:t>标志、无线局域网产品2%</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kern w:val="0"/>
                <w:szCs w:val="21"/>
              </w:rPr>
            </w:pPr>
            <w:r>
              <w:rPr>
                <w:rFonts w:hint="eastAsia" w:ascii="宋体" w:hAnsi="宋体" w:cs="宋体"/>
                <w:kern w:val="0"/>
                <w:szCs w:val="21"/>
              </w:rPr>
              <w:t>2分</w:t>
            </w:r>
          </w:p>
        </w:tc>
        <w:tc>
          <w:tcPr>
            <w:tcW w:w="2522"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
              <w:rPr>
                <w:rFonts w:ascii="宋体" w:hAnsi="宋体" w:cs="宋体"/>
                <w:kern w:val="0"/>
                <w:szCs w:val="21"/>
              </w:rPr>
            </w:pPr>
            <w:r>
              <w:rPr>
                <w:rFonts w:hint="eastAsia" w:ascii="宋体" w:hAnsi="宋体" w:cs="宋体"/>
                <w:kern w:val="0"/>
                <w:szCs w:val="21"/>
              </w:rPr>
              <w:t>认定为政府采购节能产品或者政府采购环境标志产品或者无线局域网产品的得1分，本项最多得2分。非政府采购节能、环境标志产品的、无线局域网产品的不得分。</w:t>
            </w:r>
          </w:p>
          <w:p>
            <w:pPr>
              <w:spacing w:line="360" w:lineRule="auto"/>
              <w:ind w:firstLine="28"/>
              <w:rPr>
                <w:rFonts w:ascii="宋体" w:hAnsi="宋体" w:cs="宋体"/>
                <w:kern w:val="0"/>
                <w:szCs w:val="21"/>
              </w:rPr>
            </w:pPr>
            <w:r>
              <w:rPr>
                <w:rFonts w:hint="eastAsia" w:ascii="宋体" w:hAnsi="宋体" w:cs="宋体"/>
                <w:kern w:val="0"/>
                <w:szCs w:val="21"/>
              </w:rPr>
              <w:t>（强制要求采购节能产品的除外）</w:t>
            </w:r>
          </w:p>
        </w:tc>
        <w:tc>
          <w:tcPr>
            <w:tcW w:w="1214" w:type="pct"/>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kern w:val="0"/>
                <w:szCs w:val="21"/>
              </w:rPr>
            </w:pPr>
            <w:r>
              <w:rPr>
                <w:rFonts w:hint="eastAsia" w:ascii="宋体" w:hAnsi="宋体" w:cs="宋体"/>
                <w:kern w:val="0"/>
                <w:szCs w:val="21"/>
              </w:rPr>
              <w:t>注：以财政部会同国务院有关部门机构认定的为准。</w:t>
            </w:r>
          </w:p>
        </w:tc>
      </w:tr>
    </w:tbl>
    <w:p>
      <w:pPr>
        <w:pStyle w:val="11"/>
        <w:tabs>
          <w:tab w:val="left" w:pos="600"/>
        </w:tabs>
        <w:spacing w:line="360" w:lineRule="auto"/>
        <w:ind w:firstLine="0"/>
        <w:rPr>
          <w:rFonts w:ascii="宋体" w:hAnsi="宋体"/>
          <w:color w:val="000000"/>
          <w:sz w:val="24"/>
          <w:szCs w:val="24"/>
        </w:rPr>
      </w:pPr>
    </w:p>
    <w:p>
      <w:pPr>
        <w:spacing w:line="360" w:lineRule="auto"/>
        <w:rPr>
          <w:rFonts w:ascii="宋体" w:hAnsi="宋体"/>
          <w:b/>
          <w:color w:val="000000"/>
          <w:sz w:val="24"/>
        </w:rPr>
      </w:pPr>
      <w:bookmarkStart w:id="513" w:name="_Toc217446060"/>
      <w:r>
        <w:rPr>
          <w:rFonts w:hint="eastAsia" w:ascii="宋体" w:hAnsi="宋体"/>
          <w:b/>
          <w:color w:val="000000"/>
          <w:sz w:val="24"/>
        </w:rPr>
        <w:t>5．废标</w:t>
      </w:r>
    </w:p>
    <w:p>
      <w:pPr>
        <w:spacing w:line="400" w:lineRule="exact"/>
        <w:ind w:firstLine="480" w:firstLineChars="200"/>
        <w:rPr>
          <w:rFonts w:ascii="宋体" w:hAnsi="宋体"/>
          <w:color w:val="000000"/>
          <w:sz w:val="24"/>
        </w:rPr>
      </w:pPr>
      <w:r>
        <w:rPr>
          <w:rFonts w:hint="eastAsia" w:ascii="宋体" w:hAnsi="宋体"/>
          <w:color w:val="000000"/>
          <w:sz w:val="24"/>
        </w:rPr>
        <w:t>5.1本次政府采购活动中，出现下列情形之一的，废标：</w:t>
      </w:r>
    </w:p>
    <w:p>
      <w:pPr>
        <w:spacing w:line="400" w:lineRule="exact"/>
        <w:ind w:firstLine="480" w:firstLineChars="200"/>
        <w:rPr>
          <w:rFonts w:ascii="宋体" w:hAnsi="宋体"/>
          <w:color w:val="000000"/>
          <w:sz w:val="24"/>
        </w:rPr>
      </w:pPr>
      <w:r>
        <w:rPr>
          <w:rFonts w:hint="eastAsia" w:ascii="宋体" w:hAnsi="宋体"/>
          <w:color w:val="000000"/>
          <w:sz w:val="24"/>
        </w:rPr>
        <w:t>（一）符合专业条件的供应商或者对招标文件作实质响应的供应商不足三家的；</w:t>
      </w:r>
    </w:p>
    <w:p>
      <w:pPr>
        <w:spacing w:line="400" w:lineRule="exact"/>
        <w:ind w:firstLine="480" w:firstLineChars="200"/>
        <w:rPr>
          <w:rFonts w:ascii="宋体" w:hAnsi="宋体"/>
          <w:color w:val="000000"/>
          <w:sz w:val="24"/>
        </w:rPr>
      </w:pPr>
      <w:r>
        <w:rPr>
          <w:rFonts w:hint="eastAsia" w:ascii="宋体" w:hAnsi="宋体"/>
          <w:color w:val="000000"/>
          <w:sz w:val="24"/>
        </w:rPr>
        <w:t>（二）出现影响采购公正的违法、违规行为的；</w:t>
      </w:r>
    </w:p>
    <w:p>
      <w:pPr>
        <w:spacing w:line="400" w:lineRule="exact"/>
        <w:ind w:firstLine="480" w:firstLineChars="200"/>
        <w:rPr>
          <w:rFonts w:ascii="宋体" w:hAnsi="宋体"/>
          <w:color w:val="000000"/>
          <w:sz w:val="24"/>
        </w:rPr>
      </w:pPr>
      <w:r>
        <w:rPr>
          <w:rFonts w:hint="eastAsia" w:ascii="宋体" w:hAnsi="宋体"/>
          <w:color w:val="000000"/>
          <w:sz w:val="24"/>
        </w:rPr>
        <w:t>（三）投标人的报价均超过了采购预算，采购人不能支付的；</w:t>
      </w:r>
    </w:p>
    <w:p>
      <w:pPr>
        <w:spacing w:line="400" w:lineRule="exact"/>
        <w:ind w:firstLine="480" w:firstLineChars="200"/>
        <w:rPr>
          <w:rFonts w:ascii="宋体" w:hAnsi="宋体"/>
          <w:color w:val="000000"/>
          <w:sz w:val="24"/>
        </w:rPr>
      </w:pPr>
      <w:r>
        <w:rPr>
          <w:rFonts w:hint="eastAsia" w:ascii="宋体" w:hAnsi="宋体"/>
          <w:color w:val="000000"/>
          <w:sz w:val="24"/>
        </w:rPr>
        <w:t>（四）因重大变故，采购任务取消的。</w:t>
      </w:r>
    </w:p>
    <w:p>
      <w:pPr>
        <w:spacing w:line="400" w:lineRule="exact"/>
        <w:ind w:firstLine="480" w:firstLineChars="200"/>
        <w:rPr>
          <w:rFonts w:ascii="宋体" w:hAnsi="宋体"/>
          <w:color w:val="000000"/>
          <w:sz w:val="24"/>
        </w:rPr>
      </w:pPr>
      <w:r>
        <w:rPr>
          <w:rFonts w:hint="eastAsia" w:ascii="宋体" w:hAnsi="宋体"/>
          <w:color w:val="000000"/>
          <w:sz w:val="24"/>
        </w:rPr>
        <w:t>废标后，采购代理机构将在四川政府采购网上公告，并公告废标的情形。投标人需要知晓导致废标情形的具体原因和理由的，可以通过书面形式询问采购代理机构。</w:t>
      </w:r>
    </w:p>
    <w:p>
      <w:pPr>
        <w:spacing w:line="360" w:lineRule="auto"/>
        <w:ind w:firstLine="480" w:firstLineChars="200"/>
        <w:rPr>
          <w:rFonts w:ascii="宋体" w:hAnsi="宋体"/>
          <w:color w:val="000000"/>
          <w:sz w:val="24"/>
        </w:rPr>
      </w:pPr>
      <w:r>
        <w:rPr>
          <w:rFonts w:hint="eastAsia" w:ascii="宋体" w:hAnsi="宋体"/>
          <w:color w:val="000000"/>
          <w:sz w:val="24"/>
        </w:rPr>
        <w:t>5.2对于评标过程中废标的采购项目，评标委员会应当对招标文件是否存在倾向性和歧视性、是否存在不合理条款进行论证，并出具书面论证意见。</w:t>
      </w:r>
    </w:p>
    <w:p>
      <w:pPr>
        <w:spacing w:line="360" w:lineRule="auto"/>
        <w:rPr>
          <w:rFonts w:ascii="宋体" w:hAnsi="宋体"/>
          <w:b/>
          <w:color w:val="000000"/>
          <w:sz w:val="24"/>
        </w:rPr>
      </w:pPr>
      <w:r>
        <w:rPr>
          <w:rFonts w:hint="eastAsia" w:ascii="宋体" w:hAnsi="宋体"/>
          <w:b/>
          <w:color w:val="000000"/>
          <w:sz w:val="24"/>
        </w:rPr>
        <w:t>6．定标</w:t>
      </w:r>
      <w:bookmarkEnd w:id="513"/>
      <w:bookmarkStart w:id="514" w:name="_Toc217446061"/>
    </w:p>
    <w:p>
      <w:pPr>
        <w:spacing w:line="360" w:lineRule="auto"/>
        <w:ind w:firstLine="480" w:firstLineChars="200"/>
        <w:rPr>
          <w:rFonts w:ascii="宋体" w:hAnsi="宋体"/>
          <w:color w:val="000000"/>
          <w:sz w:val="24"/>
        </w:rPr>
      </w:pPr>
      <w:r>
        <w:rPr>
          <w:rFonts w:hint="eastAsia" w:ascii="宋体" w:hAnsi="宋体"/>
          <w:color w:val="000000"/>
          <w:sz w:val="24"/>
        </w:rPr>
        <w:t>6.1. 定标原则</w:t>
      </w:r>
      <w:bookmarkEnd w:id="514"/>
      <w:r>
        <w:rPr>
          <w:rFonts w:hint="eastAsia" w:ascii="宋体" w:hAnsi="宋体"/>
          <w:color w:val="000000"/>
          <w:sz w:val="24"/>
        </w:rPr>
        <w:t>：本项目根据评标委员会推荐的中标候选供应商名单，按顺序确定中标供应商。</w:t>
      </w:r>
    </w:p>
    <w:p>
      <w:pPr>
        <w:spacing w:line="400" w:lineRule="exact"/>
        <w:ind w:firstLine="480" w:firstLineChars="200"/>
        <w:rPr>
          <w:rFonts w:ascii="宋体" w:hAnsi="宋体"/>
          <w:color w:val="000000"/>
          <w:sz w:val="24"/>
        </w:rPr>
      </w:pPr>
      <w:bookmarkStart w:id="515" w:name="_Toc217446062"/>
      <w:r>
        <w:rPr>
          <w:rFonts w:hint="eastAsia" w:ascii="宋体" w:hAnsi="宋体"/>
          <w:color w:val="000000"/>
          <w:sz w:val="24"/>
        </w:rPr>
        <w:t>6.2. 定标程序</w:t>
      </w:r>
      <w:bookmarkEnd w:id="515"/>
    </w:p>
    <w:p>
      <w:pPr>
        <w:spacing w:line="400" w:lineRule="exact"/>
        <w:ind w:firstLine="480" w:firstLineChars="200"/>
        <w:rPr>
          <w:rFonts w:ascii="宋体" w:hAnsi="宋体"/>
          <w:color w:val="000000"/>
          <w:sz w:val="24"/>
        </w:rPr>
      </w:pPr>
      <w:r>
        <w:rPr>
          <w:rFonts w:hint="eastAsia" w:ascii="宋体" w:hAnsi="宋体"/>
          <w:color w:val="000000"/>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且按照评审因素的量化指标评审得分最高的投标人为排名第一的中标候选人。价相同且满足招标文件全部实质性要求且按照评审因素的量化指标评审得分也相同的并列，由采购人自主采取公平、择优的方式选择中标供应商。</w:t>
      </w:r>
    </w:p>
    <w:p>
      <w:pPr>
        <w:spacing w:line="400" w:lineRule="exact"/>
        <w:ind w:firstLine="480" w:firstLineChars="200"/>
        <w:rPr>
          <w:rFonts w:ascii="宋体" w:hAnsi="宋体"/>
          <w:color w:val="000000"/>
          <w:sz w:val="24"/>
        </w:rPr>
      </w:pPr>
      <w:r>
        <w:rPr>
          <w:rFonts w:hint="eastAsia" w:ascii="宋体" w:hAnsi="宋体"/>
          <w:color w:val="000000"/>
          <w:sz w:val="24"/>
        </w:rPr>
        <w:t>6.2.2 采购代理机构在评标结束后2个工作日内将评标报告送采购人。</w:t>
      </w:r>
    </w:p>
    <w:p>
      <w:pPr>
        <w:spacing w:line="400" w:lineRule="exact"/>
        <w:ind w:firstLine="480" w:firstLineChars="200"/>
        <w:rPr>
          <w:rFonts w:ascii="宋体" w:hAnsi="宋体"/>
          <w:color w:val="000000"/>
          <w:sz w:val="24"/>
        </w:rPr>
      </w:pPr>
      <w:r>
        <w:rPr>
          <w:rFonts w:hint="eastAsia" w:ascii="宋体" w:hAnsi="宋体"/>
          <w:color w:val="000000"/>
          <w:sz w:val="24"/>
        </w:rPr>
        <w:t>6.2.3 采购人在收到评标报告之日起3个工作日内，按照评标报告中推荐的中标候选供应商顺序确定中标供应商。采购人在收到评标报告3个工作日内未按评标报告推荐的中标候选人顺序确定中标人，又不能说明合法理由的，视同按评标报告推荐的顺序确定排名第一的中标候选人为中标人。</w:t>
      </w:r>
    </w:p>
    <w:p>
      <w:pPr>
        <w:spacing w:line="400" w:lineRule="exact"/>
        <w:ind w:firstLine="482" w:firstLineChars="200"/>
        <w:rPr>
          <w:rFonts w:ascii="宋体" w:hAnsi="宋体"/>
          <w:color w:val="000000"/>
          <w:sz w:val="24"/>
        </w:rPr>
      </w:pPr>
      <w:r>
        <w:rPr>
          <w:rFonts w:hint="eastAsia" w:ascii="宋体" w:hAnsi="宋体"/>
          <w:b/>
          <w:color w:val="000000"/>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360" w:lineRule="auto"/>
        <w:ind w:firstLine="480" w:firstLineChars="200"/>
        <w:rPr>
          <w:rFonts w:ascii="宋体" w:hAnsi="宋体"/>
          <w:color w:val="000000"/>
          <w:sz w:val="24"/>
        </w:rPr>
      </w:pPr>
      <w:r>
        <w:rPr>
          <w:rFonts w:hint="eastAsia" w:ascii="宋体" w:hAnsi="宋体"/>
          <w:color w:val="000000"/>
          <w:sz w:val="24"/>
        </w:rPr>
        <w:t>6.2.4 采购人或者采购代理机构自中标人确定之日起2个工作日内，在四川政府采购网上公告中标结果，招标文件随中标结果同时公告。</w:t>
      </w:r>
    </w:p>
    <w:p>
      <w:pPr>
        <w:spacing w:line="360" w:lineRule="auto"/>
        <w:ind w:firstLine="480" w:firstLineChars="200"/>
        <w:rPr>
          <w:rFonts w:ascii="宋体" w:hAnsi="宋体"/>
          <w:color w:val="000000"/>
          <w:sz w:val="24"/>
        </w:rPr>
      </w:pPr>
      <w:r>
        <w:rPr>
          <w:rFonts w:hint="eastAsia" w:ascii="宋体" w:hAnsi="宋体"/>
          <w:color w:val="000000"/>
          <w:sz w:val="24"/>
        </w:rPr>
        <w:t>6.2.5中标结果公告期限为1个工作日。</w:t>
      </w:r>
    </w:p>
    <w:p>
      <w:pPr>
        <w:spacing w:line="360" w:lineRule="auto"/>
        <w:ind w:firstLine="480" w:firstLineChars="200"/>
        <w:rPr>
          <w:rFonts w:ascii="宋体" w:hAnsi="宋体"/>
          <w:color w:val="000000"/>
          <w:sz w:val="24"/>
        </w:rPr>
      </w:pPr>
      <w:r>
        <w:rPr>
          <w:rFonts w:hint="eastAsia" w:ascii="宋体" w:hAnsi="宋体"/>
          <w:color w:val="000000"/>
          <w:sz w:val="24"/>
        </w:rPr>
        <w:t>6.2.6 本项目不退回投标人投标文件和其他投标资料。</w:t>
      </w:r>
    </w:p>
    <w:bookmarkEnd w:id="512"/>
    <w:p>
      <w:pPr>
        <w:spacing w:line="360" w:lineRule="auto"/>
        <w:rPr>
          <w:rFonts w:ascii="宋体" w:hAnsi="宋体"/>
          <w:b/>
          <w:color w:val="000000"/>
          <w:sz w:val="24"/>
        </w:rPr>
      </w:pPr>
      <w:r>
        <w:rPr>
          <w:rFonts w:hint="eastAsia" w:ascii="宋体" w:hAnsi="宋体"/>
          <w:b/>
          <w:color w:val="000000"/>
          <w:sz w:val="24"/>
        </w:rPr>
        <w:t>7．中标</w:t>
      </w:r>
    </w:p>
    <w:p>
      <w:pPr>
        <w:spacing w:line="360" w:lineRule="auto"/>
        <w:ind w:firstLine="480" w:firstLineChars="200"/>
        <w:rPr>
          <w:rFonts w:ascii="宋体" w:hAnsi="宋体"/>
          <w:color w:val="000000"/>
          <w:sz w:val="24"/>
        </w:rPr>
      </w:pPr>
      <w:r>
        <w:rPr>
          <w:rFonts w:hint="eastAsia" w:ascii="宋体" w:hAnsi="宋体"/>
          <w:color w:val="000000"/>
          <w:sz w:val="24"/>
        </w:rPr>
        <w:t>7.1.1中标人按代理机构要求领取中标通知书。</w:t>
      </w:r>
    </w:p>
    <w:p>
      <w:pPr>
        <w:spacing w:line="360" w:lineRule="auto"/>
        <w:ind w:firstLine="480" w:firstLineChars="200"/>
        <w:rPr>
          <w:rFonts w:ascii="宋体" w:hAnsi="宋体"/>
          <w:color w:val="000000"/>
          <w:sz w:val="24"/>
        </w:rPr>
      </w:pPr>
      <w:r>
        <w:rPr>
          <w:rFonts w:hint="eastAsia" w:ascii="宋体" w:hAnsi="宋体"/>
          <w:color w:val="000000"/>
          <w:sz w:val="24"/>
        </w:rPr>
        <w:t>7.1.2中标通知书发出后，采购人不得违法改变中标结果，中标人无正当理由不得放弃中标。</w:t>
      </w:r>
    </w:p>
    <w:p>
      <w:pPr>
        <w:spacing w:line="360" w:lineRule="auto"/>
        <w:ind w:firstLine="480" w:firstLineChars="200"/>
        <w:rPr>
          <w:rFonts w:ascii="宋体" w:hAnsi="宋体"/>
          <w:color w:val="000000"/>
          <w:sz w:val="24"/>
        </w:rPr>
      </w:pPr>
      <w:r>
        <w:rPr>
          <w:rFonts w:hint="eastAsia" w:ascii="宋体" w:hAnsi="宋体"/>
          <w:color w:val="000000"/>
          <w:sz w:val="24"/>
        </w:rPr>
        <w:t>7.1.3采购人应当自中标通知书发出之日起30日内，按照招标文件合和中标人投标文件的规定，与中标人签订书面合同。所签订的合同不得对招标文件确定的事项和中标人投标文件作实质性修改。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b/>
          <w:color w:val="000000"/>
          <w:sz w:val="24"/>
        </w:rPr>
      </w:pPr>
      <w:r>
        <w:rPr>
          <w:rFonts w:hint="eastAsia" w:ascii="宋体" w:hAnsi="宋体"/>
          <w:color w:val="000000"/>
          <w:sz w:val="24"/>
        </w:rPr>
        <w:t>7.1.4采购人不得向中标人提出任何不合理的要求作为签订合同的条件。</w:t>
      </w:r>
    </w:p>
    <w:p>
      <w:pPr>
        <w:spacing w:line="360" w:lineRule="auto"/>
        <w:rPr>
          <w:rFonts w:ascii="宋体" w:hAnsi="宋体"/>
          <w:b/>
          <w:color w:val="000000"/>
          <w:sz w:val="24"/>
        </w:rPr>
      </w:pPr>
      <w:r>
        <w:rPr>
          <w:rFonts w:hint="eastAsia" w:ascii="宋体" w:hAnsi="宋体"/>
          <w:b/>
          <w:color w:val="000000"/>
          <w:sz w:val="24"/>
        </w:rPr>
        <w:t>8. 评标专家在政府采购活动中承担以下义务</w:t>
      </w:r>
    </w:p>
    <w:p>
      <w:pPr>
        <w:spacing w:line="400" w:lineRule="exact"/>
        <w:ind w:firstLine="480" w:firstLineChars="200"/>
        <w:rPr>
          <w:rFonts w:ascii="宋体" w:hAnsi="宋体"/>
          <w:color w:val="000000"/>
          <w:sz w:val="24"/>
        </w:rPr>
      </w:pPr>
      <w:r>
        <w:rPr>
          <w:rFonts w:hint="eastAsia" w:ascii="宋体" w:hAnsi="宋体"/>
          <w:color w:val="000000"/>
          <w:sz w:val="24"/>
        </w:rPr>
        <w:t xml:space="preserve">（一）遵守评审工作纪律； </w:t>
      </w:r>
    </w:p>
    <w:p>
      <w:pPr>
        <w:spacing w:line="400" w:lineRule="exact"/>
        <w:ind w:firstLine="480" w:firstLineChars="200"/>
        <w:rPr>
          <w:rFonts w:ascii="宋体" w:hAnsi="宋体"/>
          <w:color w:val="000000"/>
          <w:sz w:val="24"/>
        </w:rPr>
      </w:pPr>
      <w:r>
        <w:rPr>
          <w:rFonts w:hint="eastAsia" w:ascii="宋体" w:hAnsi="宋体"/>
          <w:color w:val="000000"/>
          <w:sz w:val="24"/>
        </w:rPr>
        <w:t>（二）按照客观、公正、审慎的原则，根据采购文件规定的评审程序、评审方法和评审标准进行独立评审；</w:t>
      </w:r>
    </w:p>
    <w:p>
      <w:pPr>
        <w:spacing w:line="400" w:lineRule="exact"/>
        <w:ind w:firstLine="480" w:firstLineChars="200"/>
        <w:rPr>
          <w:rFonts w:ascii="宋体" w:hAnsi="宋体"/>
          <w:color w:val="000000"/>
          <w:sz w:val="24"/>
        </w:rPr>
      </w:pPr>
      <w:r>
        <w:rPr>
          <w:rFonts w:hint="eastAsia" w:ascii="宋体" w:hAnsi="宋体"/>
          <w:color w:val="000000"/>
          <w:sz w:val="24"/>
        </w:rPr>
        <w:t>（三）不得泄露评审文件、评审情况和在评审过程中获悉的商业秘密；</w:t>
      </w:r>
    </w:p>
    <w:p>
      <w:pPr>
        <w:spacing w:line="400" w:lineRule="exact"/>
        <w:ind w:firstLine="480" w:firstLineChars="200"/>
        <w:rPr>
          <w:rFonts w:ascii="宋体" w:hAnsi="宋体"/>
          <w:color w:val="000000"/>
          <w:sz w:val="24"/>
        </w:rPr>
      </w:pPr>
      <w:r>
        <w:rPr>
          <w:rFonts w:hint="eastAsia" w:ascii="宋体" w:hAnsi="宋体"/>
          <w:color w:val="000000"/>
          <w:sz w:val="24"/>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ascii="宋体" w:hAnsi="宋体"/>
          <w:color w:val="000000"/>
          <w:sz w:val="24"/>
        </w:rPr>
      </w:pPr>
      <w:r>
        <w:rPr>
          <w:rFonts w:hint="eastAsia" w:ascii="宋体" w:hAnsi="宋体"/>
          <w:color w:val="000000"/>
          <w:sz w:val="24"/>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ascii="宋体" w:hAnsi="宋体"/>
          <w:color w:val="000000"/>
          <w:sz w:val="24"/>
        </w:rPr>
      </w:pPr>
      <w:r>
        <w:rPr>
          <w:rFonts w:hint="eastAsia" w:ascii="宋体" w:hAnsi="宋体"/>
          <w:color w:val="000000"/>
          <w:sz w:val="24"/>
        </w:rPr>
        <w:t>（六）配合答复处理供应商的询问、质疑和投诉等事项；</w:t>
      </w:r>
    </w:p>
    <w:p>
      <w:pPr>
        <w:spacing w:line="360" w:lineRule="auto"/>
        <w:ind w:firstLine="480" w:firstLineChars="200"/>
        <w:rPr>
          <w:rFonts w:ascii="宋体" w:hAnsi="宋体"/>
          <w:color w:val="000000"/>
          <w:sz w:val="24"/>
        </w:rPr>
      </w:pPr>
      <w:r>
        <w:rPr>
          <w:rFonts w:hint="eastAsia" w:ascii="宋体" w:hAnsi="宋体"/>
          <w:color w:val="000000"/>
          <w:sz w:val="24"/>
        </w:rPr>
        <w:t>（七）法律、法规和规章规定的其他义务。</w:t>
      </w:r>
    </w:p>
    <w:p>
      <w:pPr>
        <w:spacing w:line="360" w:lineRule="auto"/>
        <w:rPr>
          <w:rFonts w:ascii="宋体" w:hAnsi="宋体"/>
          <w:b/>
          <w:color w:val="000000"/>
          <w:sz w:val="24"/>
        </w:rPr>
      </w:pPr>
      <w:r>
        <w:rPr>
          <w:rFonts w:hint="eastAsia" w:ascii="宋体" w:hAnsi="宋体"/>
          <w:b/>
          <w:color w:val="000000"/>
          <w:sz w:val="24"/>
        </w:rPr>
        <w:t>9. 评标专家在政府采购活动中应当遵守以下工作纪律</w:t>
      </w:r>
    </w:p>
    <w:p>
      <w:pPr>
        <w:spacing w:line="360" w:lineRule="auto"/>
        <w:ind w:firstLine="480" w:firstLineChars="200"/>
        <w:rPr>
          <w:rFonts w:ascii="宋体" w:hAnsi="宋体"/>
          <w:color w:val="000000"/>
          <w:sz w:val="24"/>
        </w:rPr>
      </w:pPr>
      <w:r>
        <w:rPr>
          <w:rFonts w:hint="eastAsia" w:ascii="宋体" w:hAnsi="宋体"/>
          <w:color w:val="000000"/>
          <w:sz w:val="24"/>
        </w:rPr>
        <w:t>（一）遵行《政府采购法》第十二条和《政府采购法实施条例》第九条及财政部关于回避的规定。</w:t>
      </w:r>
    </w:p>
    <w:p>
      <w:pPr>
        <w:spacing w:line="400" w:lineRule="exact"/>
        <w:ind w:firstLine="480" w:firstLineChars="200"/>
        <w:rPr>
          <w:rFonts w:ascii="宋体" w:hAnsi="宋体"/>
          <w:color w:val="000000"/>
          <w:sz w:val="24"/>
        </w:rPr>
      </w:pPr>
      <w:r>
        <w:rPr>
          <w:rFonts w:hint="eastAsia" w:ascii="宋体" w:hAnsi="宋体"/>
          <w:color w:val="000000"/>
          <w:sz w:val="24"/>
        </w:rPr>
        <w:t>（二）评标前，应当将通讯工具或者相关电子设备交由招标采购单位统一保管。</w:t>
      </w:r>
    </w:p>
    <w:p>
      <w:pPr>
        <w:spacing w:line="400" w:lineRule="exact"/>
        <w:ind w:firstLine="480" w:firstLineChars="200"/>
        <w:rPr>
          <w:rFonts w:ascii="宋体" w:hAnsi="宋体"/>
          <w:color w:val="000000"/>
          <w:sz w:val="24"/>
        </w:rPr>
      </w:pPr>
      <w:r>
        <w:rPr>
          <w:rFonts w:hint="eastAsia" w:ascii="宋体" w:hAnsi="宋体"/>
          <w:color w:val="000000"/>
          <w:sz w:val="24"/>
        </w:rPr>
        <w:t>（三）评标过程中，不得与外界联系，因发生不可预见情况，确实需要与外界联系的，应当在监督人员监督之下办理。</w:t>
      </w:r>
    </w:p>
    <w:p>
      <w:pPr>
        <w:spacing w:line="400" w:lineRule="exact"/>
        <w:ind w:firstLine="480" w:firstLineChars="200"/>
        <w:rPr>
          <w:rFonts w:ascii="宋体" w:hAnsi="宋体"/>
          <w:color w:val="000000"/>
          <w:sz w:val="24"/>
        </w:rPr>
      </w:pPr>
      <w:r>
        <w:rPr>
          <w:rFonts w:hint="eastAsia" w:ascii="宋体" w:hAnsi="宋体"/>
          <w:color w:val="000000"/>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宋体" w:hAnsi="宋体"/>
          <w:color w:val="000000"/>
          <w:sz w:val="24"/>
        </w:rPr>
      </w:pPr>
      <w:r>
        <w:rPr>
          <w:rFonts w:hint="eastAsia" w:ascii="宋体" w:hAnsi="宋体"/>
          <w:color w:val="000000"/>
          <w:sz w:val="24"/>
        </w:rPr>
        <w:t>（五）在评标过程中和评标结束后，不得记录、复制或带走任何评标资料，除因规定的义务外，不得向外界透露评标内容。</w:t>
      </w:r>
    </w:p>
    <w:p>
      <w:pPr>
        <w:spacing w:line="400" w:lineRule="exact"/>
        <w:ind w:firstLine="480" w:firstLineChars="200"/>
        <w:rPr>
          <w:rFonts w:ascii="宋体" w:hAnsi="宋体"/>
          <w:color w:val="000000"/>
          <w:sz w:val="24"/>
        </w:rPr>
      </w:pPr>
      <w:r>
        <w:rPr>
          <w:rFonts w:hint="eastAsia" w:ascii="宋体" w:hAnsi="宋体"/>
          <w:color w:val="000000"/>
          <w:sz w:val="24"/>
        </w:rPr>
        <w:t>（六）服从评标现场招标采购单位的现场秩序管理，接受评标现场监督人员的合法监督。</w:t>
      </w:r>
    </w:p>
    <w:p>
      <w:pPr>
        <w:spacing w:line="400" w:lineRule="exact"/>
        <w:ind w:firstLine="480" w:firstLineChars="200"/>
        <w:rPr>
          <w:rFonts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（七）遵守有关廉洁自律规定，不得私下接触供应商，不得收受供应商及有关业务单位和个人的财物或好处，不得接受采购组织单位的请托。</w:t>
      </w: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pStyle w:val="39"/>
        <w:spacing w:line="480" w:lineRule="auto"/>
        <w:rPr>
          <w:rFonts w:ascii="宋体" w:hAnsi="宋体"/>
          <w:color w:val="000000"/>
          <w:sz w:val="36"/>
          <w:szCs w:val="36"/>
        </w:rPr>
      </w:pPr>
      <w:bookmarkStart w:id="516" w:name="_Toc6308731"/>
      <w:bookmarkStart w:id="517" w:name="_Toc6308559"/>
      <w:r>
        <w:rPr>
          <w:rFonts w:hint="eastAsia" w:ascii="宋体" w:hAnsi="宋体"/>
          <w:color w:val="000000"/>
          <w:sz w:val="36"/>
          <w:szCs w:val="36"/>
        </w:rPr>
        <w:br w:type="page"/>
      </w:r>
      <w:bookmarkStart w:id="518" w:name="_Toc69141851"/>
      <w:r>
        <w:rPr>
          <w:rFonts w:hint="eastAsia" w:ascii="宋体" w:hAnsi="宋体"/>
          <w:color w:val="000000"/>
          <w:sz w:val="36"/>
          <w:szCs w:val="36"/>
        </w:rPr>
        <w:t>第七章  政府采购合同</w:t>
      </w:r>
      <w:bookmarkEnd w:id="516"/>
      <w:bookmarkEnd w:id="517"/>
      <w:bookmarkEnd w:id="518"/>
    </w:p>
    <w:p>
      <w:pPr>
        <w:spacing w:line="400" w:lineRule="exact"/>
        <w:jc w:val="center"/>
        <w:rPr>
          <w:rFonts w:ascii="宋体" w:hAnsi="宋体"/>
          <w:color w:val="000000"/>
          <w:kern w:val="0"/>
          <w:szCs w:val="21"/>
        </w:rPr>
      </w:pPr>
      <w:r>
        <w:rPr>
          <w:rFonts w:ascii="宋体" w:hAnsi="宋体"/>
          <w:b/>
          <w:color w:val="000000"/>
          <w:szCs w:val="21"/>
        </w:rPr>
        <w:t>合同主要条款仅供参考；</w:t>
      </w:r>
      <w:r>
        <w:rPr>
          <w:rFonts w:ascii="宋体" w:hAnsi="宋体"/>
          <w:color w:val="000000"/>
          <w:kern w:val="0"/>
          <w:szCs w:val="21"/>
        </w:rPr>
        <w:t>特别提醒：采购合同的签订不得偏离</w:t>
      </w:r>
      <w:r>
        <w:rPr>
          <w:rFonts w:hint="eastAsia" w:ascii="宋体" w:hAnsi="宋体"/>
          <w:color w:val="000000"/>
          <w:kern w:val="0"/>
          <w:szCs w:val="21"/>
        </w:rPr>
        <w:t>采购</w:t>
      </w:r>
      <w:r>
        <w:rPr>
          <w:rFonts w:ascii="宋体" w:hAnsi="宋体"/>
          <w:color w:val="000000"/>
          <w:kern w:val="0"/>
          <w:szCs w:val="21"/>
        </w:rPr>
        <w:t>文件要约及响应文件承诺的实质性内容）</w:t>
      </w:r>
    </w:p>
    <w:p>
      <w:pPr>
        <w:spacing w:line="360" w:lineRule="auto"/>
        <w:rPr>
          <w:rFonts w:ascii="宋体" w:hAnsi="宋体"/>
          <w:b/>
          <w:color w:val="000000"/>
          <w:sz w:val="28"/>
          <w:szCs w:val="28"/>
        </w:rPr>
      </w:pPr>
    </w:p>
    <w:p>
      <w:pPr>
        <w:spacing w:line="360" w:lineRule="auto"/>
        <w:rPr>
          <w:rFonts w:ascii="宋体" w:hAnsi="宋体"/>
          <w:sz w:val="24"/>
        </w:rPr>
      </w:pPr>
      <w:r>
        <w:rPr>
          <w:rFonts w:hint="eastAsia" w:ascii="宋体" w:hAnsi="宋体"/>
          <w:sz w:val="24"/>
        </w:rPr>
        <w:t>合同编号：XXXX。</w:t>
      </w:r>
    </w:p>
    <w:p>
      <w:pPr>
        <w:spacing w:line="360" w:lineRule="auto"/>
        <w:rPr>
          <w:rFonts w:ascii="宋体" w:hAnsi="宋体"/>
          <w:sz w:val="24"/>
        </w:rPr>
      </w:pPr>
      <w:r>
        <w:rPr>
          <w:rFonts w:hint="eastAsia" w:ascii="宋体" w:hAnsi="宋体"/>
          <w:sz w:val="24"/>
        </w:rPr>
        <w:t>签订地点：XXXX。</w:t>
      </w:r>
    </w:p>
    <w:p>
      <w:pPr>
        <w:spacing w:line="360" w:lineRule="auto"/>
        <w:rPr>
          <w:rFonts w:ascii="宋体" w:hAnsi="宋体"/>
          <w:sz w:val="24"/>
        </w:rPr>
      </w:pPr>
      <w:r>
        <w:rPr>
          <w:rFonts w:hint="eastAsia" w:ascii="宋体" w:hAnsi="宋体"/>
          <w:sz w:val="24"/>
        </w:rPr>
        <w:t>签订时间：XXXX年XX月XX日。</w:t>
      </w:r>
    </w:p>
    <w:p>
      <w:pPr>
        <w:spacing w:line="360" w:lineRule="auto"/>
        <w:rPr>
          <w:rFonts w:ascii="宋体" w:hAnsi="宋体"/>
          <w:sz w:val="24"/>
        </w:rPr>
      </w:pPr>
      <w:r>
        <w:rPr>
          <w:rFonts w:hint="eastAsia" w:ascii="宋体" w:hAnsi="宋体"/>
          <w:sz w:val="24"/>
        </w:rPr>
        <w:t xml:space="preserve">采购人（甲方）：                              </w:t>
      </w:r>
    </w:p>
    <w:p>
      <w:pPr>
        <w:spacing w:line="360" w:lineRule="auto"/>
        <w:rPr>
          <w:rFonts w:ascii="宋体" w:hAnsi="宋体"/>
          <w:sz w:val="24"/>
        </w:rPr>
      </w:pPr>
      <w:r>
        <w:rPr>
          <w:rFonts w:hint="eastAsia" w:ascii="宋体" w:hAnsi="宋体"/>
          <w:sz w:val="24"/>
        </w:rPr>
        <w:t>供应商（乙</w:t>
      </w:r>
      <w:r>
        <w:rPr>
          <w:rFonts w:ascii="宋体" w:hAnsi="宋体"/>
          <w:sz w:val="24"/>
        </w:rPr>
        <w:t>方</w:t>
      </w:r>
      <w:r>
        <w:rPr>
          <w:rFonts w:hint="eastAsia" w:ascii="宋体" w:hAnsi="宋体"/>
          <w:sz w:val="24"/>
        </w:rPr>
        <w:t>）</w:t>
      </w:r>
      <w:r>
        <w:rPr>
          <w:rFonts w:ascii="宋体" w:hAnsi="宋体"/>
          <w:sz w:val="24"/>
        </w:rPr>
        <w:t xml:space="preserve">： </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spacing w:line="360" w:lineRule="auto"/>
        <w:ind w:firstLine="480" w:firstLineChars="200"/>
        <w:rPr>
          <w:rFonts w:ascii="宋体" w:hAnsi="宋体"/>
          <w:sz w:val="24"/>
        </w:rPr>
      </w:pPr>
      <w:bookmarkStart w:id="519" w:name="_Toc217446107"/>
      <w:r>
        <w:rPr>
          <w:rFonts w:hint="eastAsia" w:ascii="宋体" w:hAnsi="宋体"/>
          <w:sz w:val="24"/>
        </w:rPr>
        <w:t>一、合同货物</w:t>
      </w:r>
      <w:bookmarkEnd w:id="519"/>
    </w:p>
    <w:tbl>
      <w:tblPr>
        <w:tblStyle w:val="30"/>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货物品名</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规格</w:t>
            </w:r>
          </w:p>
          <w:p>
            <w:pPr>
              <w:spacing w:line="360" w:lineRule="auto"/>
              <w:rPr>
                <w:rFonts w:ascii="宋体" w:hAnsi="宋体"/>
                <w:sz w:val="24"/>
              </w:rPr>
            </w:pPr>
            <w:r>
              <w:rPr>
                <w:rFonts w:hint="eastAsia" w:ascii="宋体" w:hAnsi="宋体"/>
                <w:sz w:val="24"/>
              </w:rPr>
              <w:t>型号</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单位</w:t>
            </w: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数量</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单价</w:t>
            </w:r>
          </w:p>
          <w:p>
            <w:pPr>
              <w:spacing w:line="360" w:lineRule="auto"/>
              <w:rPr>
                <w:rFonts w:ascii="宋体" w:hAnsi="宋体"/>
                <w:sz w:val="24"/>
              </w:rPr>
            </w:pPr>
            <w:r>
              <w:rPr>
                <w:rFonts w:hint="eastAsia" w:ascii="宋体" w:hAnsi="宋体"/>
                <w:sz w:val="24"/>
              </w:rPr>
              <w:t>（万元）</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总价</w:t>
            </w:r>
          </w:p>
          <w:p>
            <w:pPr>
              <w:spacing w:line="360" w:lineRule="auto"/>
              <w:rPr>
                <w:rFonts w:ascii="宋体" w:hAnsi="宋体"/>
                <w:sz w:val="24"/>
              </w:rPr>
            </w:pPr>
            <w:r>
              <w:rPr>
                <w:rFonts w:hint="eastAsia" w:ascii="宋体" w:hAnsi="宋体"/>
                <w:sz w:val="24"/>
              </w:rPr>
              <w:t>（万元）</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随机</w:t>
            </w:r>
          </w:p>
          <w:p>
            <w:pPr>
              <w:spacing w:line="360" w:lineRule="auto"/>
              <w:rPr>
                <w:rFonts w:ascii="宋体" w:hAnsi="宋体"/>
                <w:sz w:val="24"/>
              </w:rPr>
            </w:pPr>
            <w:r>
              <w:rPr>
                <w:rFonts w:hint="eastAsia" w:ascii="宋体" w:hAnsi="宋体"/>
                <w:sz w:val="24"/>
              </w:rPr>
              <w:t>配件</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r>
    </w:tbl>
    <w:p>
      <w:pPr>
        <w:spacing w:line="360" w:lineRule="auto"/>
        <w:ind w:firstLine="480" w:firstLineChars="200"/>
        <w:rPr>
          <w:rFonts w:ascii="宋体" w:hAnsi="宋体"/>
          <w:sz w:val="24"/>
        </w:rPr>
      </w:pPr>
      <w:bookmarkStart w:id="520" w:name="_Toc217446108"/>
      <w:r>
        <w:rPr>
          <w:rFonts w:hint="eastAsia" w:ascii="宋体" w:hAnsi="宋体"/>
          <w:sz w:val="24"/>
        </w:rPr>
        <w:t>二、合同总价</w:t>
      </w:r>
      <w:bookmarkEnd w:id="520"/>
    </w:p>
    <w:p>
      <w:pPr>
        <w:spacing w:line="360" w:lineRule="auto"/>
        <w:ind w:firstLine="480" w:firstLineChars="200"/>
        <w:rPr>
          <w:rFonts w:ascii="宋体" w:hAnsi="宋体"/>
          <w:sz w:val="24"/>
        </w:rPr>
      </w:pPr>
      <w:r>
        <w:rPr>
          <w:rFonts w:hint="eastAsia" w:ascii="宋体" w:hAnsi="宋体"/>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360" w:lineRule="auto"/>
        <w:ind w:firstLine="480" w:firstLineChars="200"/>
        <w:rPr>
          <w:rFonts w:ascii="宋体" w:hAnsi="宋体"/>
          <w:sz w:val="24"/>
        </w:rPr>
      </w:pPr>
      <w:bookmarkStart w:id="521" w:name="_Toc217446109"/>
      <w:r>
        <w:rPr>
          <w:rFonts w:hint="eastAsia" w:ascii="宋体" w:hAnsi="宋体"/>
          <w:sz w:val="24"/>
        </w:rPr>
        <w:t>三、质量要求</w:t>
      </w:r>
      <w:bookmarkEnd w:id="521"/>
    </w:p>
    <w:p>
      <w:pPr>
        <w:spacing w:line="360" w:lineRule="auto"/>
        <w:ind w:firstLine="480" w:firstLineChars="200"/>
        <w:rPr>
          <w:rFonts w:ascii="宋体" w:hAnsi="宋体"/>
          <w:sz w:val="24"/>
        </w:rPr>
      </w:pPr>
      <w:r>
        <w:rPr>
          <w:rFonts w:hint="eastAsia" w:ascii="宋体" w:hAnsi="宋体"/>
          <w:sz w:val="24"/>
        </w:rPr>
        <w:t>1、乙方须提供全新的货物（含零部件、配件等），表面无划伤、无碰撞痕迹，且权属清楚，不得侵害他人的知识产权。</w:t>
      </w:r>
    </w:p>
    <w:p>
      <w:pPr>
        <w:spacing w:line="360" w:lineRule="auto"/>
        <w:ind w:firstLine="480" w:firstLineChars="200"/>
        <w:rPr>
          <w:rFonts w:ascii="宋体" w:hAnsi="宋体"/>
          <w:sz w:val="24"/>
        </w:rPr>
      </w:pPr>
      <w:r>
        <w:rPr>
          <w:rFonts w:hint="eastAsia" w:ascii="宋体" w:hAnsi="宋体"/>
          <w:sz w:val="24"/>
        </w:rPr>
        <w:t>2、货物必须符合或优于国家（行业）          标准，以及本项目招标文件的质量要求和技术指标与出厂标准。</w:t>
      </w:r>
    </w:p>
    <w:p>
      <w:pPr>
        <w:spacing w:line="360" w:lineRule="auto"/>
        <w:ind w:firstLine="480" w:firstLineChars="200"/>
        <w:rPr>
          <w:rFonts w:ascii="宋体" w:hAnsi="宋体"/>
          <w:sz w:val="24"/>
        </w:rPr>
      </w:pPr>
      <w:r>
        <w:rPr>
          <w:rFonts w:hint="eastAsia" w:ascii="宋体" w:hAnsi="宋体"/>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pPr>
        <w:spacing w:line="360" w:lineRule="auto"/>
        <w:ind w:firstLine="480" w:firstLineChars="200"/>
        <w:rPr>
          <w:rFonts w:ascii="宋体" w:hAnsi="宋体"/>
          <w:sz w:val="24"/>
        </w:rPr>
      </w:pPr>
      <w:r>
        <w:rPr>
          <w:rFonts w:hint="eastAsia" w:ascii="宋体" w:hAnsi="宋体"/>
          <w:sz w:val="24"/>
        </w:rPr>
        <w:t>4、货物制造质量出现问题，乙方应负责三包（包修、包换、包退），费用由乙方负担，甲方有权到乙方生产场地检查货物质量和生产进度。</w:t>
      </w:r>
    </w:p>
    <w:p>
      <w:pPr>
        <w:spacing w:line="360" w:lineRule="auto"/>
        <w:ind w:firstLine="480" w:firstLineChars="200"/>
        <w:rPr>
          <w:rFonts w:ascii="宋体" w:hAnsi="宋体"/>
          <w:sz w:val="24"/>
        </w:rPr>
      </w:pPr>
      <w:r>
        <w:rPr>
          <w:rFonts w:hint="eastAsia" w:ascii="宋体" w:hAnsi="宋体"/>
          <w:sz w:val="24"/>
        </w:rPr>
        <w:t>5、货到现场后由于甲方保管不当造成的质量问题，乙方亦应负责修理，但费用由甲方负担。</w:t>
      </w:r>
    </w:p>
    <w:p>
      <w:pPr>
        <w:spacing w:line="360" w:lineRule="auto"/>
        <w:ind w:firstLine="480" w:firstLineChars="200"/>
        <w:rPr>
          <w:rFonts w:ascii="宋体" w:hAnsi="宋体"/>
          <w:sz w:val="24"/>
        </w:rPr>
      </w:pPr>
      <w:bookmarkStart w:id="522" w:name="_Toc217446110"/>
      <w:r>
        <w:rPr>
          <w:rFonts w:hint="eastAsia" w:ascii="宋体" w:hAnsi="宋体"/>
          <w:sz w:val="24"/>
        </w:rPr>
        <w:t>四、交货及验收</w:t>
      </w:r>
      <w:bookmarkEnd w:id="522"/>
    </w:p>
    <w:p>
      <w:pPr>
        <w:spacing w:line="360" w:lineRule="auto"/>
        <w:ind w:firstLine="480" w:firstLineChars="200"/>
        <w:rPr>
          <w:rFonts w:ascii="宋体" w:hAnsi="宋体"/>
          <w:sz w:val="24"/>
        </w:rPr>
      </w:pPr>
      <w:r>
        <w:rPr>
          <w:rFonts w:hint="eastAsia" w:ascii="宋体" w:hAnsi="宋体"/>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spacing w:line="360" w:lineRule="auto"/>
        <w:ind w:firstLine="480" w:firstLineChars="200"/>
        <w:rPr>
          <w:rFonts w:ascii="宋体" w:hAnsi="宋体"/>
          <w:sz w:val="24"/>
        </w:rPr>
      </w:pPr>
      <w:r>
        <w:rPr>
          <w:rFonts w:hint="eastAsia" w:ascii="宋体" w:hAnsi="宋体"/>
          <w:sz w:val="24"/>
        </w:rPr>
        <w:t>2、验收由甲方组织，乙方配合进行：</w:t>
      </w:r>
    </w:p>
    <w:p>
      <w:pPr>
        <w:spacing w:line="360" w:lineRule="auto"/>
        <w:ind w:firstLine="480" w:firstLineChars="200"/>
        <w:rPr>
          <w:rFonts w:ascii="宋体" w:hAnsi="宋体"/>
          <w:sz w:val="24"/>
        </w:rPr>
      </w:pPr>
      <w:r>
        <w:rPr>
          <w:rFonts w:hint="eastAsia" w:ascii="宋体" w:hAnsi="宋体"/>
          <w:sz w:val="24"/>
        </w:rPr>
        <w:t>(1) 货物在乙方通知安装调试完毕后    日内初步验收。初步验收合格后，进入    试用期；试用期间发生重大质量问题，修复后试用相应顺延；试用期结束后    日内完成最终验收；</w:t>
      </w:r>
    </w:p>
    <w:p>
      <w:pPr>
        <w:spacing w:line="360" w:lineRule="auto"/>
        <w:ind w:firstLine="480" w:firstLineChars="200"/>
        <w:rPr>
          <w:rFonts w:ascii="宋体" w:hAnsi="宋体"/>
          <w:sz w:val="24"/>
        </w:rPr>
      </w:pPr>
      <w:r>
        <w:rPr>
          <w:rFonts w:hint="eastAsia" w:ascii="宋体" w:hAnsi="宋体"/>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line="360" w:lineRule="auto"/>
        <w:ind w:firstLine="480" w:firstLineChars="200"/>
        <w:rPr>
          <w:rFonts w:ascii="宋体" w:hAnsi="宋体"/>
          <w:sz w:val="24"/>
        </w:rPr>
      </w:pPr>
      <w:r>
        <w:rPr>
          <w:rFonts w:hint="eastAsia" w:ascii="宋体" w:hAnsi="宋体"/>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ascii="宋体" w:hAnsi="宋体"/>
          <w:sz w:val="24"/>
        </w:rPr>
      </w:pPr>
      <w:r>
        <w:rPr>
          <w:rFonts w:hint="eastAsia" w:ascii="宋体" w:hAnsi="宋体"/>
          <w:sz w:val="24"/>
        </w:rPr>
        <w:t>(4) 如质量验收合格，双方签署质量验收报告。</w:t>
      </w:r>
    </w:p>
    <w:p>
      <w:pPr>
        <w:spacing w:line="360" w:lineRule="auto"/>
        <w:ind w:firstLine="480" w:firstLineChars="200"/>
        <w:rPr>
          <w:rFonts w:ascii="宋体" w:hAnsi="宋体"/>
          <w:sz w:val="24"/>
        </w:rPr>
      </w:pPr>
      <w:r>
        <w:rPr>
          <w:rFonts w:hint="eastAsia" w:ascii="宋体" w:hAnsi="宋体"/>
          <w:sz w:val="24"/>
        </w:rPr>
        <w:t>3、货物安装完成后     日内，甲方无故不进行验收工作并已使用货物的，视同已安装调试完成并验收合格。</w:t>
      </w:r>
    </w:p>
    <w:p>
      <w:pPr>
        <w:spacing w:line="360" w:lineRule="auto"/>
        <w:ind w:firstLine="480" w:firstLineChars="200"/>
        <w:rPr>
          <w:rFonts w:ascii="宋体" w:hAnsi="宋体"/>
          <w:sz w:val="24"/>
        </w:rPr>
      </w:pPr>
      <w:r>
        <w:rPr>
          <w:rFonts w:hint="eastAsia" w:ascii="宋体" w:hAnsi="宋体"/>
          <w:sz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80" w:firstLineChars="200"/>
        <w:rPr>
          <w:rFonts w:ascii="宋体" w:hAnsi="宋体"/>
          <w:sz w:val="24"/>
        </w:rPr>
      </w:pPr>
      <w:r>
        <w:rPr>
          <w:rFonts w:hint="eastAsia" w:ascii="宋体" w:hAnsi="宋体"/>
          <w:sz w:val="24"/>
        </w:rPr>
        <w:t>5、如货物经乙方   次维修仍不能达到合同约定的质量标准，甲方有权退货，并视作乙方不能交付货物而须支付违约赔偿金给甲方，甲方还可依法追究乙方的违约责任。 </w:t>
      </w:r>
    </w:p>
    <w:p>
      <w:pPr>
        <w:spacing w:line="360" w:lineRule="auto"/>
        <w:ind w:firstLine="480" w:firstLineChars="200"/>
        <w:rPr>
          <w:rFonts w:ascii="宋体" w:hAnsi="宋体"/>
          <w:sz w:val="24"/>
        </w:rPr>
      </w:pPr>
      <w:r>
        <w:rPr>
          <w:rFonts w:hint="eastAsia" w:ascii="宋体" w:hAnsi="宋体"/>
          <w:sz w:val="24"/>
        </w:rPr>
        <w:t>6、其他未尽事宜应严格按照《四川省政府采购项目需求论证和履约验收管理办法》（川财采〔2015〕32号）的要求进行。</w:t>
      </w:r>
    </w:p>
    <w:p>
      <w:pPr>
        <w:spacing w:line="360" w:lineRule="auto"/>
        <w:ind w:firstLine="480" w:firstLineChars="200"/>
        <w:rPr>
          <w:rFonts w:ascii="宋体" w:hAnsi="宋体"/>
          <w:sz w:val="24"/>
        </w:rPr>
      </w:pPr>
      <w:bookmarkStart w:id="523" w:name="_Toc217446111"/>
      <w:r>
        <w:rPr>
          <w:rFonts w:hint="eastAsia" w:ascii="宋体" w:hAnsi="宋体"/>
          <w:sz w:val="24"/>
        </w:rPr>
        <w:t>五、付款方式</w:t>
      </w:r>
      <w:bookmarkEnd w:id="523"/>
    </w:p>
    <w:p>
      <w:pPr>
        <w:spacing w:line="360" w:lineRule="auto"/>
        <w:ind w:firstLine="240" w:firstLineChars="100"/>
        <w:rPr>
          <w:rFonts w:ascii="宋体" w:hAnsi="宋体"/>
          <w:sz w:val="24"/>
        </w:rPr>
      </w:pPr>
      <w:r>
        <w:rPr>
          <w:rFonts w:hint="eastAsia" w:ascii="宋体" w:hAnsi="宋体"/>
          <w:sz w:val="24"/>
        </w:rPr>
        <w:t>（一）适用于无预付款采购项目</w:t>
      </w:r>
    </w:p>
    <w:p>
      <w:pPr>
        <w:spacing w:line="360" w:lineRule="auto"/>
        <w:ind w:firstLine="480" w:firstLineChars="200"/>
        <w:rPr>
          <w:rFonts w:ascii="宋体" w:hAnsi="宋体"/>
          <w:sz w:val="24"/>
        </w:rPr>
      </w:pPr>
      <w:r>
        <w:rPr>
          <w:rFonts w:hint="eastAsia" w:ascii="宋体" w:hAnsi="宋体"/>
          <w:sz w:val="24"/>
        </w:rPr>
        <w:t>1、全部货物安装调试完毕并验收合格之日起，甲方接到乙方通知与票据凭证资料以后的      日内，按照财政性资金支付有关规定，向乙方支付合同价款￥     元，人民币大写    元整；</w:t>
      </w:r>
    </w:p>
    <w:p>
      <w:pPr>
        <w:spacing w:line="360" w:lineRule="auto"/>
        <w:ind w:firstLine="480" w:firstLineChars="200"/>
        <w:rPr>
          <w:rFonts w:ascii="宋体" w:hAnsi="宋体"/>
          <w:sz w:val="24"/>
        </w:rPr>
      </w:pPr>
      <w:r>
        <w:rPr>
          <w:rFonts w:hint="eastAsia" w:ascii="宋体" w:hAnsi="宋体"/>
          <w:sz w:val="24"/>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pPr>
        <w:spacing w:line="360" w:lineRule="auto"/>
        <w:ind w:firstLine="480" w:firstLineChars="200"/>
        <w:rPr>
          <w:rFonts w:ascii="宋体" w:hAnsi="宋体"/>
          <w:sz w:val="24"/>
        </w:rPr>
      </w:pPr>
      <w:r>
        <w:rPr>
          <w:rFonts w:hint="eastAsia" w:ascii="宋体" w:hAnsi="宋体"/>
          <w:sz w:val="24"/>
        </w:rPr>
        <w:t>3、乙方须向甲方出具合法有效完整的完税发票及凭证资料进行支付结算。</w:t>
      </w:r>
    </w:p>
    <w:p>
      <w:pPr>
        <w:spacing w:line="360" w:lineRule="auto"/>
        <w:ind w:firstLine="240" w:firstLineChars="100"/>
        <w:rPr>
          <w:rFonts w:ascii="宋体" w:hAnsi="宋体"/>
          <w:sz w:val="24"/>
        </w:rPr>
      </w:pPr>
      <w:r>
        <w:rPr>
          <w:rFonts w:hint="eastAsia" w:ascii="宋体" w:hAnsi="宋体"/>
          <w:sz w:val="24"/>
        </w:rPr>
        <w:t>（二）适用于有预付款采购项目（预付款建议不超过政府采购合同金额的30%）</w:t>
      </w:r>
    </w:p>
    <w:p>
      <w:pPr>
        <w:spacing w:line="360" w:lineRule="auto"/>
        <w:ind w:firstLine="480" w:firstLineChars="200"/>
        <w:rPr>
          <w:rFonts w:ascii="宋体" w:hAnsi="宋体"/>
          <w:sz w:val="24"/>
        </w:rPr>
      </w:pPr>
      <w:r>
        <w:rPr>
          <w:rFonts w:hint="eastAsia" w:ascii="宋体" w:hAnsi="宋体"/>
          <w:sz w:val="24"/>
        </w:rPr>
        <w:t>1、甲方在本合同签订生效之日起接到乙方通知和票据凭证资料以及乙方交给甲方的合同履约保证金（按合同总价的百分之  计算款额￥             元，人民币大写：                            元整）后的    日内支付合同金额百分之     的价款；</w:t>
      </w:r>
    </w:p>
    <w:p>
      <w:pPr>
        <w:spacing w:line="360" w:lineRule="auto"/>
        <w:ind w:firstLine="480" w:firstLineChars="200"/>
        <w:rPr>
          <w:rFonts w:ascii="宋体" w:hAnsi="宋体"/>
          <w:sz w:val="24"/>
        </w:rPr>
      </w:pPr>
      <w:r>
        <w:rPr>
          <w:rFonts w:hint="eastAsia" w:ascii="宋体" w:hAnsi="宋体"/>
          <w:sz w:val="24"/>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pPr>
        <w:spacing w:line="360" w:lineRule="auto"/>
        <w:ind w:firstLine="480" w:firstLineChars="200"/>
        <w:rPr>
          <w:rFonts w:ascii="宋体" w:hAnsi="宋体"/>
          <w:sz w:val="24"/>
        </w:rPr>
      </w:pPr>
      <w:r>
        <w:rPr>
          <w:rFonts w:hint="eastAsia" w:ascii="宋体" w:hAnsi="宋体"/>
          <w:sz w:val="24"/>
        </w:rPr>
        <w:t>3、履约保证金退还：在货物验收合格满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pPr>
        <w:spacing w:line="360" w:lineRule="auto"/>
        <w:ind w:firstLine="480" w:firstLineChars="200"/>
        <w:rPr>
          <w:rFonts w:ascii="宋体" w:hAnsi="宋体"/>
          <w:sz w:val="24"/>
        </w:rPr>
      </w:pPr>
      <w:r>
        <w:rPr>
          <w:rFonts w:hint="eastAsia" w:ascii="宋体" w:hAnsi="宋体"/>
          <w:sz w:val="24"/>
        </w:rPr>
        <w:t>4、乙方须向甲方出具合法有效完整的完税发票及凭证资料进行支付结算。</w:t>
      </w:r>
    </w:p>
    <w:p>
      <w:pPr>
        <w:spacing w:line="360" w:lineRule="auto"/>
        <w:ind w:firstLine="480" w:firstLineChars="200"/>
        <w:rPr>
          <w:rFonts w:ascii="宋体" w:hAnsi="宋体"/>
          <w:sz w:val="24"/>
        </w:rPr>
      </w:pPr>
      <w:bookmarkStart w:id="524" w:name="_Toc217446112"/>
      <w:r>
        <w:rPr>
          <w:rFonts w:hint="eastAsia" w:ascii="宋体" w:hAnsi="宋体"/>
          <w:sz w:val="24"/>
        </w:rPr>
        <w:t>六、售后服务</w:t>
      </w:r>
      <w:bookmarkEnd w:id="524"/>
    </w:p>
    <w:p>
      <w:pPr>
        <w:spacing w:line="360" w:lineRule="auto"/>
        <w:ind w:firstLine="480" w:firstLineChars="200"/>
        <w:rPr>
          <w:rFonts w:ascii="宋体" w:hAnsi="宋体"/>
          <w:sz w:val="24"/>
        </w:rPr>
      </w:pPr>
      <w:r>
        <w:rPr>
          <w:rFonts w:hint="eastAsia" w:ascii="宋体" w:hAnsi="宋体"/>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480" w:firstLineChars="200"/>
        <w:rPr>
          <w:rFonts w:ascii="宋体" w:hAnsi="宋体"/>
          <w:sz w:val="24"/>
        </w:rPr>
      </w:pPr>
      <w:r>
        <w:rPr>
          <w:rFonts w:hint="eastAsia" w:ascii="宋体" w:hAnsi="宋体"/>
          <w:sz w:val="24"/>
        </w:rPr>
        <w:t>2、乙方须指派专人负责与甲方联系售后服务事宜。 </w:t>
      </w:r>
    </w:p>
    <w:p>
      <w:pPr>
        <w:spacing w:line="360" w:lineRule="auto"/>
        <w:ind w:firstLine="480" w:firstLineChars="200"/>
        <w:rPr>
          <w:rFonts w:ascii="宋体" w:hAnsi="宋体"/>
          <w:sz w:val="24"/>
        </w:rPr>
      </w:pPr>
      <w:bookmarkStart w:id="525" w:name="_Toc217446113"/>
      <w:r>
        <w:rPr>
          <w:rFonts w:hint="eastAsia" w:ascii="宋体" w:hAnsi="宋体"/>
          <w:sz w:val="24"/>
        </w:rPr>
        <w:t>七、违约责任</w:t>
      </w:r>
      <w:bookmarkEnd w:id="525"/>
    </w:p>
    <w:p>
      <w:pPr>
        <w:spacing w:line="360" w:lineRule="auto"/>
        <w:ind w:firstLine="480" w:firstLineChars="200"/>
        <w:rPr>
          <w:rFonts w:ascii="宋体" w:hAnsi="宋体"/>
          <w:sz w:val="24"/>
        </w:rPr>
      </w:pPr>
      <w:r>
        <w:rPr>
          <w:rFonts w:hint="eastAsia" w:ascii="宋体" w:hAnsi="宋体"/>
          <w:sz w:val="24"/>
        </w:rPr>
        <w:t>1、甲方违约责任</w:t>
      </w:r>
    </w:p>
    <w:p>
      <w:pPr>
        <w:spacing w:line="360" w:lineRule="auto"/>
        <w:ind w:firstLine="240" w:firstLineChars="100"/>
        <w:rPr>
          <w:rFonts w:ascii="宋体" w:hAnsi="宋体"/>
          <w:sz w:val="24"/>
        </w:rPr>
      </w:pPr>
      <w:r>
        <w:rPr>
          <w:rFonts w:hint="eastAsia" w:ascii="宋体" w:hAnsi="宋体"/>
          <w:sz w:val="24"/>
        </w:rPr>
        <w:t>（1） 甲方无正当理由拒收货物的，甲方应偿付合同总价百分之  的违约金；</w:t>
      </w:r>
    </w:p>
    <w:p>
      <w:pPr>
        <w:spacing w:line="360" w:lineRule="auto"/>
        <w:ind w:firstLine="240" w:firstLineChars="100"/>
        <w:rPr>
          <w:rFonts w:ascii="宋体" w:hAnsi="宋体"/>
          <w:sz w:val="24"/>
        </w:rPr>
      </w:pPr>
      <w:r>
        <w:rPr>
          <w:rFonts w:hint="eastAsia" w:ascii="宋体" w:hAnsi="宋体"/>
          <w:sz w:val="24"/>
        </w:rPr>
        <w:t>（2） 甲方逾期支付货款的，除应及时付足货款外，应向乙方偿付欠款总额万分之</w:t>
      </w:r>
    </w:p>
    <w:p>
      <w:pPr>
        <w:spacing w:line="360" w:lineRule="auto"/>
        <w:ind w:firstLine="240" w:firstLineChars="100"/>
        <w:rPr>
          <w:rFonts w:ascii="宋体" w:hAnsi="宋体"/>
          <w:sz w:val="24"/>
        </w:rPr>
      </w:pPr>
      <w:r>
        <w:rPr>
          <w:rFonts w:hint="eastAsia" w:ascii="宋体" w:hAnsi="宋体"/>
          <w:sz w:val="24"/>
        </w:rPr>
        <w:t xml:space="preserve">   /天的违约金；逾期付款超过  天的，乙方有权终止合同；</w:t>
      </w:r>
    </w:p>
    <w:p>
      <w:pPr>
        <w:spacing w:line="360" w:lineRule="auto"/>
        <w:ind w:firstLine="240" w:firstLineChars="100"/>
        <w:rPr>
          <w:rFonts w:ascii="宋体" w:hAnsi="宋体"/>
          <w:sz w:val="24"/>
        </w:rPr>
      </w:pPr>
      <w:r>
        <w:rPr>
          <w:rFonts w:hint="eastAsia" w:ascii="宋体" w:hAnsi="宋体"/>
          <w:sz w:val="24"/>
        </w:rPr>
        <w:t>（3） 甲方偿付的违约金不足以弥补乙方损失的，还应按乙方损失尚未弥补的部分，支付赔偿金给乙方。</w:t>
      </w:r>
    </w:p>
    <w:p>
      <w:pPr>
        <w:spacing w:line="360" w:lineRule="auto"/>
        <w:ind w:firstLine="480" w:firstLineChars="200"/>
        <w:rPr>
          <w:rFonts w:ascii="宋体" w:hAnsi="宋体"/>
          <w:sz w:val="24"/>
        </w:rPr>
      </w:pPr>
      <w:r>
        <w:rPr>
          <w:rFonts w:hint="eastAsia" w:ascii="宋体" w:hAnsi="宋体"/>
          <w:sz w:val="24"/>
        </w:rPr>
        <w:t>2、乙方违约责任</w:t>
      </w:r>
    </w:p>
    <w:p>
      <w:pPr>
        <w:spacing w:line="360" w:lineRule="auto"/>
        <w:ind w:firstLine="240" w:firstLineChars="100"/>
        <w:rPr>
          <w:rFonts w:ascii="宋体" w:hAnsi="宋体"/>
          <w:sz w:val="24"/>
        </w:rPr>
      </w:pPr>
      <w:r>
        <w:rPr>
          <w:rFonts w:hint="eastAsia" w:ascii="宋体" w:hAnsi="宋体"/>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pPr>
        <w:spacing w:line="360" w:lineRule="auto"/>
        <w:ind w:firstLine="240" w:firstLineChars="100"/>
        <w:rPr>
          <w:rFonts w:ascii="宋体" w:hAnsi="宋体"/>
          <w:sz w:val="24"/>
        </w:rPr>
      </w:pPr>
      <w:r>
        <w:rPr>
          <w:rFonts w:hint="eastAsia" w:ascii="宋体" w:hAnsi="宋体"/>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pPr>
        <w:spacing w:line="360" w:lineRule="auto"/>
        <w:ind w:firstLine="240" w:firstLineChars="100"/>
        <w:rPr>
          <w:rFonts w:ascii="宋体" w:hAnsi="宋体"/>
          <w:sz w:val="24"/>
        </w:rPr>
      </w:pPr>
      <w:r>
        <w:rPr>
          <w:rFonts w:hint="eastAsia" w:ascii="宋体" w:hAnsi="宋体"/>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pPr>
        <w:spacing w:line="360" w:lineRule="auto"/>
        <w:ind w:firstLine="240" w:firstLineChars="100"/>
        <w:rPr>
          <w:rFonts w:ascii="宋体" w:hAnsi="宋体"/>
          <w:sz w:val="24"/>
        </w:rPr>
      </w:pPr>
      <w:r>
        <w:rPr>
          <w:rFonts w:hint="eastAsia" w:ascii="宋体" w:hAnsi="宋体"/>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spacing w:line="360" w:lineRule="auto"/>
        <w:ind w:firstLine="240" w:firstLineChars="100"/>
        <w:rPr>
          <w:rFonts w:ascii="宋体" w:hAnsi="宋体"/>
          <w:sz w:val="24"/>
        </w:rPr>
      </w:pPr>
      <w:r>
        <w:rPr>
          <w:rFonts w:hint="eastAsia" w:ascii="宋体" w:hAnsi="宋体"/>
          <w:sz w:val="24"/>
        </w:rPr>
        <w:t>（5）乙方偿付的违约金不足以弥补甲方损失的，还应按甲方损失尚未弥补的部分，支付赔偿金给甲方。</w:t>
      </w:r>
    </w:p>
    <w:p>
      <w:pPr>
        <w:spacing w:line="360" w:lineRule="auto"/>
        <w:ind w:firstLine="480" w:firstLineChars="200"/>
        <w:rPr>
          <w:rFonts w:ascii="宋体" w:hAnsi="宋体"/>
          <w:sz w:val="24"/>
        </w:rPr>
      </w:pPr>
      <w:bookmarkStart w:id="526" w:name="_Toc217446114"/>
      <w:r>
        <w:rPr>
          <w:rFonts w:hint="eastAsia" w:ascii="宋体" w:hAnsi="宋体"/>
          <w:sz w:val="24"/>
        </w:rPr>
        <w:t>八、争议解决办法</w:t>
      </w:r>
      <w:bookmarkEnd w:id="526"/>
    </w:p>
    <w:p>
      <w:pPr>
        <w:spacing w:line="360" w:lineRule="auto"/>
        <w:ind w:firstLine="480" w:firstLineChars="200"/>
        <w:rPr>
          <w:rFonts w:ascii="宋体" w:hAnsi="宋体"/>
          <w:sz w:val="24"/>
        </w:rPr>
      </w:pPr>
      <w:r>
        <w:rPr>
          <w:rFonts w:hint="eastAsia" w:ascii="宋体" w:hAnsi="宋体"/>
          <w:sz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ascii="宋体" w:hAnsi="宋体"/>
          <w:sz w:val="24"/>
        </w:rPr>
      </w:pPr>
      <w:r>
        <w:rPr>
          <w:rFonts w:hint="eastAsia" w:ascii="宋体" w:hAnsi="宋体"/>
          <w:sz w:val="24"/>
        </w:rPr>
        <w:t>2、合同履行期间,若双方发生争议，可协商或由有关部门调解解决，协商或调解不成的，由当事人依法维护其合法权益。</w:t>
      </w:r>
    </w:p>
    <w:p>
      <w:pPr>
        <w:spacing w:line="360" w:lineRule="auto"/>
        <w:ind w:firstLine="480" w:firstLineChars="200"/>
        <w:rPr>
          <w:rFonts w:ascii="宋体" w:hAnsi="宋体"/>
          <w:sz w:val="24"/>
        </w:rPr>
      </w:pPr>
      <w:bookmarkStart w:id="527" w:name="_Toc217446115"/>
      <w:r>
        <w:rPr>
          <w:rFonts w:hint="eastAsia" w:ascii="宋体" w:hAnsi="宋体"/>
          <w:sz w:val="24"/>
        </w:rPr>
        <w:t>九、其他</w:t>
      </w:r>
      <w:bookmarkEnd w:id="527"/>
    </w:p>
    <w:p>
      <w:pPr>
        <w:spacing w:line="360" w:lineRule="auto"/>
        <w:ind w:firstLine="480" w:firstLineChars="200"/>
        <w:rPr>
          <w:rFonts w:ascii="宋体" w:hAnsi="宋体"/>
          <w:sz w:val="24"/>
        </w:rPr>
      </w:pPr>
      <w:r>
        <w:rPr>
          <w:rFonts w:hint="eastAsia" w:ascii="宋体" w:hAnsi="宋体"/>
          <w:sz w:val="24"/>
        </w:rPr>
        <w:t>1、如有未尽事宜，由双方依法订立补充合同。</w:t>
      </w:r>
    </w:p>
    <w:p>
      <w:pPr>
        <w:spacing w:line="360" w:lineRule="auto"/>
        <w:ind w:firstLine="480" w:firstLineChars="200"/>
        <w:rPr>
          <w:rFonts w:ascii="宋体" w:hAnsi="宋体"/>
          <w:sz w:val="24"/>
        </w:rPr>
      </w:pPr>
      <w:r>
        <w:rPr>
          <w:rFonts w:hint="eastAsia" w:ascii="宋体" w:hAnsi="宋体"/>
          <w:sz w:val="24"/>
        </w:rPr>
        <w:t>2、本合同一式六份，自双方签章之日起生效。甲方三份，乙方、政府采购管理部门、采购代理机构各一份。</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甲方：   （盖章）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乙方：   （盖章）</w:t>
      </w:r>
    </w:p>
    <w:p>
      <w:pPr>
        <w:spacing w:line="360" w:lineRule="auto"/>
        <w:ind w:firstLine="480" w:firstLineChars="200"/>
        <w:rPr>
          <w:rFonts w:ascii="宋体" w:hAnsi="宋体"/>
          <w:sz w:val="24"/>
        </w:rPr>
      </w:pPr>
      <w:r>
        <w:rPr>
          <w:rFonts w:hint="eastAsia" w:ascii="宋体" w:hAnsi="宋体"/>
          <w:sz w:val="24"/>
        </w:rPr>
        <w:t>法定代表人（授权代表）：            法定代表人（授权代表）：</w:t>
      </w:r>
    </w:p>
    <w:p>
      <w:pPr>
        <w:spacing w:line="360" w:lineRule="auto"/>
        <w:ind w:firstLine="480" w:firstLineChars="200"/>
        <w:rPr>
          <w:rFonts w:ascii="宋体" w:hAnsi="宋体"/>
          <w:sz w:val="24"/>
        </w:rPr>
      </w:pPr>
      <w:r>
        <w:rPr>
          <w:rFonts w:hint="eastAsia" w:ascii="宋体" w:hAnsi="宋体"/>
          <w:sz w:val="24"/>
        </w:rPr>
        <w:t>地    址：                         地    址：</w:t>
      </w:r>
    </w:p>
    <w:p>
      <w:pPr>
        <w:spacing w:line="360" w:lineRule="auto"/>
        <w:ind w:firstLine="480" w:firstLineChars="200"/>
        <w:rPr>
          <w:rFonts w:ascii="宋体" w:hAnsi="宋体"/>
          <w:sz w:val="24"/>
        </w:rPr>
      </w:pPr>
      <w:r>
        <w:rPr>
          <w:rFonts w:hint="eastAsia" w:ascii="宋体" w:hAnsi="宋体"/>
          <w:sz w:val="24"/>
        </w:rPr>
        <w:t>开户银行：                         开户银行：</w:t>
      </w:r>
    </w:p>
    <w:p>
      <w:pPr>
        <w:spacing w:line="360" w:lineRule="auto"/>
        <w:ind w:firstLine="480" w:firstLineChars="200"/>
        <w:rPr>
          <w:rFonts w:ascii="宋体" w:hAnsi="宋体"/>
          <w:sz w:val="24"/>
        </w:rPr>
      </w:pPr>
      <w:r>
        <w:rPr>
          <w:rFonts w:hint="eastAsia" w:ascii="宋体" w:hAnsi="宋体"/>
          <w:sz w:val="24"/>
        </w:rPr>
        <w:t>账号：                             账号：</w:t>
      </w:r>
    </w:p>
    <w:p>
      <w:pPr>
        <w:spacing w:line="360" w:lineRule="auto"/>
        <w:ind w:firstLine="480" w:firstLineChars="200"/>
        <w:rPr>
          <w:rFonts w:ascii="宋体" w:hAnsi="宋体"/>
          <w:sz w:val="24"/>
        </w:rPr>
      </w:pPr>
      <w:r>
        <w:rPr>
          <w:rFonts w:hint="eastAsia" w:ascii="宋体" w:hAnsi="宋体"/>
          <w:sz w:val="24"/>
        </w:rPr>
        <w:t>电    话：                         电    话：</w:t>
      </w:r>
    </w:p>
    <w:p>
      <w:pPr>
        <w:spacing w:line="360" w:lineRule="auto"/>
        <w:ind w:firstLine="480" w:firstLineChars="200"/>
        <w:rPr>
          <w:rFonts w:ascii="宋体" w:hAnsi="宋体"/>
          <w:sz w:val="24"/>
        </w:rPr>
      </w:pPr>
      <w:r>
        <w:rPr>
          <w:rFonts w:hint="eastAsia" w:ascii="宋体" w:hAnsi="宋体"/>
          <w:sz w:val="24"/>
        </w:rPr>
        <w:t>传    真：                         传    真：</w:t>
      </w:r>
    </w:p>
    <w:p>
      <w:pPr>
        <w:spacing w:line="360" w:lineRule="auto"/>
        <w:ind w:firstLine="480" w:firstLineChars="200"/>
        <w:rPr>
          <w:rFonts w:ascii="宋体" w:hAnsi="宋体"/>
          <w:sz w:val="24"/>
        </w:rPr>
      </w:pPr>
      <w:r>
        <w:rPr>
          <w:rFonts w:hint="eastAsia" w:ascii="宋体" w:hAnsi="宋体"/>
          <w:sz w:val="24"/>
        </w:rPr>
        <w:t xml:space="preserve">签约日期：XX年XX月XX日 </w:t>
      </w:r>
      <w:r>
        <w:rPr>
          <w:rFonts w:hint="eastAsia" w:ascii="宋体" w:hAnsi="宋体"/>
          <w:sz w:val="24"/>
        </w:rPr>
        <w:tab/>
      </w:r>
      <w:r>
        <w:rPr>
          <w:rFonts w:hint="eastAsia" w:ascii="宋体" w:hAnsi="宋体"/>
          <w:sz w:val="24"/>
        </w:rPr>
        <w:tab/>
      </w:r>
      <w:r>
        <w:rPr>
          <w:rFonts w:hint="eastAsia" w:ascii="宋体" w:hAnsi="宋体"/>
          <w:sz w:val="24"/>
        </w:rPr>
        <w:t>签约日期：XX年XX月XX日</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ind w:firstLine="482" w:firstLineChars="200"/>
        <w:rPr>
          <w:rFonts w:ascii="宋体" w:hAnsi="宋体" w:cs="宋体"/>
          <w:sz w:val="24"/>
        </w:rPr>
      </w:pPr>
      <w:r>
        <w:rPr>
          <w:rFonts w:hint="eastAsia" w:ascii="宋体" w:hAnsi="宋体" w:cs="宋体"/>
          <w:b/>
          <w:sz w:val="24"/>
        </w:rPr>
        <w:br w:type="page"/>
      </w:r>
      <w:r>
        <w:rPr>
          <w:rFonts w:hint="eastAsia" w:ascii="宋体" w:hAnsi="宋体" w:cs="宋体"/>
          <w:b/>
          <w:sz w:val="24"/>
        </w:rPr>
        <w:t>附件1：</w:t>
      </w:r>
    </w:p>
    <w:tbl>
      <w:tblPr>
        <w:tblStyle w:val="30"/>
        <w:tblW w:w="0" w:type="auto"/>
        <w:jc w:val="center"/>
        <w:tblLayout w:type="fixed"/>
        <w:tblCellMar>
          <w:top w:w="0" w:type="dxa"/>
          <w:left w:w="108" w:type="dxa"/>
          <w:bottom w:w="0" w:type="dxa"/>
          <w:right w:w="108" w:type="dxa"/>
        </w:tblCellMar>
      </w:tblPr>
      <w:tblGrid>
        <w:gridCol w:w="602"/>
        <w:gridCol w:w="947"/>
        <w:gridCol w:w="1422"/>
        <w:gridCol w:w="63"/>
        <w:gridCol w:w="1209"/>
        <w:gridCol w:w="4285"/>
      </w:tblGrid>
      <w:tr>
        <w:tblPrEx>
          <w:tblCellMar>
            <w:top w:w="0" w:type="dxa"/>
            <w:left w:w="108" w:type="dxa"/>
            <w:bottom w:w="0" w:type="dxa"/>
            <w:right w:w="108" w:type="dxa"/>
          </w:tblCellMar>
        </w:tblPrEx>
        <w:trPr>
          <w:trHeight w:val="799" w:hRule="atLeast"/>
          <w:jc w:val="center"/>
        </w:trPr>
        <w:tc>
          <w:tcPr>
            <w:tcW w:w="8528" w:type="dxa"/>
            <w:gridSpan w:val="6"/>
            <w:tcBorders>
              <w:top w:val="nil"/>
              <w:left w:val="nil"/>
              <w:bottom w:val="single" w:color="auto" w:sz="4" w:space="0"/>
              <w:right w:val="nil"/>
            </w:tcBorders>
            <w:noWrap/>
            <w:vAlign w:val="center"/>
          </w:tcPr>
          <w:p>
            <w:pPr>
              <w:widowControl/>
              <w:adjustRightInd w:val="0"/>
              <w:snapToGrid w:val="0"/>
              <w:spacing w:line="276" w:lineRule="auto"/>
              <w:ind w:firstLine="560"/>
              <w:jc w:val="center"/>
              <w:rPr>
                <w:rFonts w:ascii="宋体" w:hAnsi="宋体" w:cs="宋体"/>
                <w:b/>
                <w:bCs/>
                <w:kern w:val="0"/>
              </w:rPr>
            </w:pPr>
            <w:r>
              <w:rPr>
                <w:rFonts w:hint="eastAsia" w:ascii="宋体" w:hAnsi="宋体" w:cs="宋体"/>
                <w:b/>
                <w:bCs/>
                <w:kern w:val="0"/>
              </w:rPr>
              <w:t>各行政监管领域“较大数额罚款"标准一览表</w:t>
            </w:r>
          </w:p>
        </w:tc>
      </w:tr>
      <w:tr>
        <w:tblPrEx>
          <w:tblCellMar>
            <w:top w:w="0" w:type="dxa"/>
            <w:left w:w="108" w:type="dxa"/>
            <w:bottom w:w="0" w:type="dxa"/>
            <w:right w:w="108" w:type="dxa"/>
          </w:tblCellMar>
        </w:tblPrEx>
        <w:trPr>
          <w:trHeight w:val="60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序号</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部委</w:t>
            </w:r>
          </w:p>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名称</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规章名称</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规章条文</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「较大数额罚款」简易标准</w:t>
            </w:r>
          </w:p>
        </w:tc>
      </w:tr>
      <w:tr>
        <w:tblPrEx>
          <w:tblCellMar>
            <w:top w:w="0" w:type="dxa"/>
            <w:left w:w="108" w:type="dxa"/>
            <w:bottom w:w="0" w:type="dxa"/>
            <w:right w:w="108" w:type="dxa"/>
          </w:tblCellMar>
        </w:tblPrEx>
        <w:trPr>
          <w:trHeight w:val="600" w:hRule="atLeast"/>
          <w:jc w:val="center"/>
        </w:trPr>
        <w:tc>
          <w:tcPr>
            <w:tcW w:w="8528" w:type="dxa"/>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b/>
                <w:bCs/>
                <w:kern w:val="0"/>
              </w:rPr>
            </w:pPr>
            <w:r>
              <w:rPr>
                <w:rFonts w:hint="eastAsia" w:ascii="宋体" w:hAnsi="宋体" w:cs="宋体"/>
                <w:b/>
                <w:bCs/>
                <w:kern w:val="0"/>
              </w:rPr>
              <w:t>国务院组成部门</w:t>
            </w:r>
          </w:p>
        </w:tc>
      </w:tr>
      <w:tr>
        <w:tblPrEx>
          <w:tblCellMar>
            <w:top w:w="0" w:type="dxa"/>
            <w:left w:w="108" w:type="dxa"/>
            <w:bottom w:w="0" w:type="dxa"/>
            <w:right w:w="108" w:type="dxa"/>
          </w:tblCellMar>
        </w:tblPrEx>
        <w:trPr>
          <w:trHeight w:val="2805"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公安部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《公安机关办理行政案件程序规定》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第一百二十三条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在作出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tc>
      </w:tr>
      <w:tr>
        <w:tblPrEx>
          <w:tblCellMar>
            <w:top w:w="0" w:type="dxa"/>
            <w:left w:w="108" w:type="dxa"/>
            <w:bottom w:w="0" w:type="dxa"/>
            <w:right w:w="108" w:type="dxa"/>
          </w:tblCellMar>
        </w:tblPrEx>
        <w:trPr>
          <w:trHeight w:val="34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财政部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《财政机关行政处罚听证实施办法》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w:t>
            </w:r>
          </w:p>
        </w:tc>
      </w:tr>
      <w:tr>
        <w:tblPrEx>
          <w:tblCellMar>
            <w:top w:w="0" w:type="dxa"/>
            <w:left w:w="108" w:type="dxa"/>
            <w:bottom w:w="0" w:type="dxa"/>
            <w:right w:w="108" w:type="dxa"/>
          </w:tblCellMar>
        </w:tblPrEx>
        <w:trPr>
          <w:trHeight w:val="581"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3</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教育部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《教育行政处罚暂行实施</w:t>
            </w:r>
          </w:p>
          <w:p>
            <w:pPr>
              <w:widowControl/>
              <w:adjustRightInd w:val="0"/>
              <w:snapToGrid w:val="0"/>
              <w:spacing w:line="276" w:lineRule="auto"/>
              <w:jc w:val="center"/>
              <w:rPr>
                <w:rFonts w:ascii="宋体" w:hAnsi="宋体" w:cs="宋体"/>
                <w:kern w:val="0"/>
              </w:rPr>
            </w:pPr>
            <w:r>
              <w:rPr>
                <w:rFonts w:hint="eastAsia" w:ascii="宋体" w:hAnsi="宋体" w:cs="宋体"/>
                <w:kern w:val="0"/>
              </w:rPr>
              <w:t>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第二十七条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教育行政部门在作出本办法第九条第（三）、（四）、（五）、（六）、（七）、（八）、（九）项之一以及较大数额罚款的处罚决定前，除应当告知作出处罚决定的事实、理由和依据外，还应当书面告知当事人有要求举行听证的权利。前款所指的较大数额的罚款，标准为：由国务院教育行政部门作出罚款决定的，为五千元以上；由地方人民政府教育行政部门作出罚款决定的，具体标准由省一级人民政府决定。当事人在教育行政部门告知后三日内提出举行听证要求的，教育行政部门应当按照《中华人民共和国行政处罚法》第四十二条的规定，组织听证。</w:t>
            </w:r>
          </w:p>
        </w:tc>
      </w:tr>
      <w:tr>
        <w:tblPrEx>
          <w:tblCellMar>
            <w:top w:w="0" w:type="dxa"/>
            <w:left w:w="108" w:type="dxa"/>
            <w:bottom w:w="0" w:type="dxa"/>
            <w:right w:w="108" w:type="dxa"/>
          </w:tblCellMar>
        </w:tblPrEx>
        <w:trPr>
          <w:trHeight w:val="162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4</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司法部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《司法行政机关行政处罚听证程序规定》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第二十条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司法行政机关在作出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tblPrEx>
          <w:tblCellMar>
            <w:top w:w="0" w:type="dxa"/>
            <w:left w:w="108" w:type="dxa"/>
            <w:bottom w:w="0" w:type="dxa"/>
            <w:right w:w="108" w:type="dxa"/>
          </w:tblCellMar>
        </w:tblPrEx>
        <w:trPr>
          <w:trHeight w:val="243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5</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应急管理部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《安全生产违法行为行政处罚办法》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第三十二条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tblPrEx>
          <w:tblCellMar>
            <w:top w:w="0" w:type="dxa"/>
            <w:left w:w="108" w:type="dxa"/>
            <w:bottom w:w="0" w:type="dxa"/>
            <w:right w:w="108" w:type="dxa"/>
          </w:tblCellMar>
        </w:tblPrEx>
        <w:trPr>
          <w:trHeight w:val="297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6</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生态环境部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《环境行政处罚听证程序</w:t>
            </w:r>
          </w:p>
          <w:p>
            <w:pPr>
              <w:widowControl/>
              <w:adjustRightInd w:val="0"/>
              <w:snapToGrid w:val="0"/>
              <w:spacing w:line="276" w:lineRule="auto"/>
              <w:jc w:val="center"/>
              <w:rPr>
                <w:rFonts w:ascii="宋体" w:hAnsi="宋体" w:cs="宋体"/>
                <w:kern w:val="0"/>
              </w:rPr>
            </w:pPr>
            <w:r>
              <w:rPr>
                <w:rFonts w:hint="eastAsia" w:ascii="宋体" w:hAnsi="宋体" w:cs="宋体"/>
                <w:kern w:val="0"/>
              </w:rPr>
              <w:t>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环境保护主管部门在作出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tblPrEx>
          <w:tblCellMar>
            <w:top w:w="0" w:type="dxa"/>
            <w:left w:w="108" w:type="dxa"/>
            <w:bottom w:w="0" w:type="dxa"/>
            <w:right w:w="108" w:type="dxa"/>
          </w:tblCellMar>
        </w:tblPrEx>
        <w:trPr>
          <w:trHeight w:val="180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7</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人力资源与社会保</w:t>
            </w:r>
          </w:p>
          <w:p>
            <w:pPr>
              <w:widowControl/>
              <w:adjustRightInd w:val="0"/>
              <w:snapToGrid w:val="0"/>
              <w:spacing w:line="276" w:lineRule="auto"/>
              <w:jc w:val="center"/>
              <w:rPr>
                <w:rFonts w:ascii="宋体" w:hAnsi="宋体" w:cs="宋体"/>
                <w:kern w:val="0"/>
              </w:rPr>
            </w:pPr>
            <w:r>
              <w:rPr>
                <w:rFonts w:hint="eastAsia" w:ascii="宋体" w:hAnsi="宋体" w:cs="宋体"/>
                <w:kern w:val="0"/>
              </w:rPr>
              <w:t>障部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《劳动行政处罚听证程序</w:t>
            </w:r>
          </w:p>
          <w:p>
            <w:pPr>
              <w:widowControl/>
              <w:adjustRightInd w:val="0"/>
              <w:snapToGrid w:val="0"/>
              <w:spacing w:line="276" w:lineRule="auto"/>
              <w:jc w:val="center"/>
              <w:rPr>
                <w:rFonts w:ascii="宋体" w:hAnsi="宋体" w:cs="宋体"/>
                <w:kern w:val="0"/>
              </w:rPr>
            </w:pPr>
            <w:r>
              <w:rPr>
                <w:rFonts w:hint="eastAsia" w:ascii="宋体" w:hAnsi="宋体" w:cs="宋体"/>
                <w:kern w:val="0"/>
              </w:rPr>
              <w:t>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劳动行政部门作出责令停产停业、吊销许可证、较大数额罚款等行政处罚决定之前，应当告知当事人有要求听证的权利；当事人要求听证的，劳动行政部门应当组织听证。当事人不承担组织听证的费用。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tblPrEx>
          <w:tblCellMar>
            <w:top w:w="0" w:type="dxa"/>
            <w:left w:w="108" w:type="dxa"/>
            <w:bottom w:w="0" w:type="dxa"/>
            <w:right w:w="108" w:type="dxa"/>
          </w:tblCellMar>
        </w:tblPrEx>
        <w:trPr>
          <w:trHeight w:val="1757"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8</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工业和信息</w:t>
            </w:r>
          </w:p>
          <w:p>
            <w:pPr>
              <w:widowControl/>
              <w:adjustRightInd w:val="0"/>
              <w:snapToGrid w:val="0"/>
              <w:spacing w:line="276" w:lineRule="auto"/>
              <w:jc w:val="center"/>
              <w:rPr>
                <w:rFonts w:ascii="宋体" w:hAnsi="宋体" w:cs="宋体"/>
                <w:kern w:val="0"/>
              </w:rPr>
            </w:pPr>
            <w:r>
              <w:rPr>
                <w:rFonts w:hint="eastAsia" w:ascii="宋体" w:hAnsi="宋体" w:cs="宋体"/>
                <w:kern w:val="0"/>
              </w:rPr>
              <w:t>化部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《通信行政处罚程序规定》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tblPrEx>
          <w:tblCellMar>
            <w:top w:w="0" w:type="dxa"/>
            <w:left w:w="108" w:type="dxa"/>
            <w:bottom w:w="0" w:type="dxa"/>
            <w:right w:w="108" w:type="dxa"/>
          </w:tblCellMar>
        </w:tblPrEx>
        <w:trPr>
          <w:trHeight w:val="2430" w:hRule="atLeast"/>
          <w:jc w:val="center"/>
        </w:trPr>
        <w:tc>
          <w:tcPr>
            <w:tcW w:w="602"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9</w:t>
            </w:r>
          </w:p>
        </w:tc>
        <w:tc>
          <w:tcPr>
            <w:tcW w:w="947"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自然资源部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《测绘行政处罚程序规定》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第二十六条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测绘主管部门在作出下列行政处罚决定之前，应当告知当事人有要求举行听证的权利，当事人要求听证的，作出行政处罚决定的测绘主管部门应当依照法律法规的规定组织听证：(一)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tblPrEx>
          <w:tblCellMar>
            <w:top w:w="0" w:type="dxa"/>
            <w:left w:w="108" w:type="dxa"/>
            <w:bottom w:w="0" w:type="dxa"/>
            <w:right w:w="108" w:type="dxa"/>
          </w:tblCellMar>
        </w:tblPrEx>
        <w:trPr>
          <w:trHeight w:val="2430" w:hRule="atLeast"/>
          <w:jc w:val="center"/>
        </w:trPr>
        <w:tc>
          <w:tcPr>
            <w:tcW w:w="602" w:type="dxa"/>
            <w:vMerge w:val="continue"/>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p>
        </w:tc>
        <w:tc>
          <w:tcPr>
            <w:tcW w:w="947" w:type="dxa"/>
            <w:vMerge w:val="continue"/>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《海洋行政处罚实施办法》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第四十一条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tblPrEx>
          <w:tblCellMar>
            <w:top w:w="0" w:type="dxa"/>
            <w:left w:w="108" w:type="dxa"/>
            <w:bottom w:w="0" w:type="dxa"/>
            <w:right w:w="108" w:type="dxa"/>
          </w:tblCellMar>
        </w:tblPrEx>
        <w:trPr>
          <w:trHeight w:val="1615"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10</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国家卫生健康   委员会</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《卫生行政处罚程序》</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卫生行政机关在作出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tblPrEx>
          <w:tblCellMar>
            <w:top w:w="0" w:type="dxa"/>
            <w:left w:w="108" w:type="dxa"/>
            <w:bottom w:w="0" w:type="dxa"/>
            <w:right w:w="108" w:type="dxa"/>
          </w:tblCellMar>
        </w:tblPrEx>
        <w:trPr>
          <w:trHeight w:val="765"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11</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交通运输部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《交通远输行政执法程序规定》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第七十六条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执法部门作出下列行政处罚决定之前，应当在送达《违法行为通知书》时告知当事人有要求举行听证的权利：（一）责令停产停业；（二）吊销许可证或者执照；（三）较大数额罚款；（四）法律、法规和规章规定的当事人可以要求举行听证的其他情形。前款第（三）项规定的较大数额，地方执法部门按照省级人大常委会或者人民政府规定或者其授权部门规定的标准执行。海事执法部门按照对自然人处1万元以上、对法人或者其他组织10万元以上执行。</w:t>
            </w:r>
          </w:p>
        </w:tc>
      </w:tr>
      <w:tr>
        <w:tblPrEx>
          <w:tblCellMar>
            <w:top w:w="0" w:type="dxa"/>
            <w:left w:w="108" w:type="dxa"/>
            <w:bottom w:w="0" w:type="dxa"/>
            <w:right w:w="108" w:type="dxa"/>
          </w:tblCellMar>
        </w:tblPrEx>
        <w:trPr>
          <w:trHeight w:val="135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12</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水利部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《水行政处罚实施办法》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第三十四条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tc>
      </w:tr>
      <w:tr>
        <w:tblPrEx>
          <w:tblCellMar>
            <w:top w:w="0" w:type="dxa"/>
            <w:left w:w="108" w:type="dxa"/>
            <w:bottom w:w="0" w:type="dxa"/>
            <w:right w:w="108" w:type="dxa"/>
          </w:tblCellMar>
        </w:tblPrEx>
        <w:trPr>
          <w:trHeight w:val="298"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13</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农业农村部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《农业行政处罚程序规定》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第五十九条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tblPrEx>
          <w:tblCellMar>
            <w:top w:w="0" w:type="dxa"/>
            <w:left w:w="108" w:type="dxa"/>
            <w:bottom w:w="0" w:type="dxa"/>
            <w:right w:w="108" w:type="dxa"/>
          </w:tblCellMar>
        </w:tblPrEx>
        <w:trPr>
          <w:trHeight w:val="270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14</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商务部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《商务部行政处罚实施</w:t>
            </w:r>
          </w:p>
          <w:p>
            <w:pPr>
              <w:widowControl/>
              <w:adjustRightInd w:val="0"/>
              <w:snapToGrid w:val="0"/>
              <w:spacing w:line="276" w:lineRule="auto"/>
              <w:jc w:val="center"/>
              <w:rPr>
                <w:rFonts w:ascii="宋体" w:hAnsi="宋体" w:cs="宋体"/>
                <w:kern w:val="0"/>
              </w:rPr>
            </w:pPr>
            <w:r>
              <w:rPr>
                <w:rFonts w:hint="eastAsia" w:ascii="宋体" w:hAnsi="宋体" w:cs="宋体"/>
                <w:kern w:val="0"/>
              </w:rPr>
              <w:t>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第十九条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tblPrEx>
          <w:tblCellMar>
            <w:top w:w="0" w:type="dxa"/>
            <w:left w:w="108" w:type="dxa"/>
            <w:bottom w:w="0" w:type="dxa"/>
            <w:right w:w="108" w:type="dxa"/>
          </w:tblCellMar>
        </w:tblPrEx>
        <w:trPr>
          <w:trHeight w:val="297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15</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国家文化与    旅游部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《旅游行政处罚办法》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第三十八条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旅游主管部门作出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tblPrEx>
          <w:tblCellMar>
            <w:top w:w="0" w:type="dxa"/>
            <w:left w:w="108" w:type="dxa"/>
            <w:bottom w:w="0" w:type="dxa"/>
            <w:right w:w="108" w:type="dxa"/>
          </w:tblCellMar>
        </w:tblPrEx>
        <w:trPr>
          <w:trHeight w:val="135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16</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中国人民银行</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《关于确定中国人民银行举行听证的较大数额罚款幅度的通知》</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为保障中国人民银行听证工作的顺利进行，现规定中国人民银行举行听证的“较大数额的罚款”为：县级支行五万元以上，地（市）级分行二十万元以上，省级分行五十万元以上，总行三百万元以上（均不含本数）。</w:t>
            </w:r>
          </w:p>
        </w:tc>
      </w:tr>
      <w:tr>
        <w:tblPrEx>
          <w:tblCellMar>
            <w:top w:w="0" w:type="dxa"/>
            <w:left w:w="108" w:type="dxa"/>
            <w:bottom w:w="0" w:type="dxa"/>
            <w:right w:w="108" w:type="dxa"/>
          </w:tblCellMar>
        </w:tblPrEx>
        <w:trPr>
          <w:trHeight w:val="600" w:hRule="atLeast"/>
          <w:jc w:val="center"/>
        </w:trPr>
        <w:tc>
          <w:tcPr>
            <w:tcW w:w="424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b/>
                <w:bCs/>
                <w:kern w:val="0"/>
              </w:rPr>
            </w:pPr>
            <w:r>
              <w:rPr>
                <w:rFonts w:hint="eastAsia" w:ascii="宋体" w:hAnsi="宋体" w:cs="宋体"/>
                <w:b/>
                <w:bCs/>
                <w:kern w:val="0"/>
              </w:rPr>
              <w:t>国务院直属机构</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135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17</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海关</w:t>
            </w:r>
          </w:p>
          <w:p>
            <w:pPr>
              <w:widowControl/>
              <w:adjustRightInd w:val="0"/>
              <w:snapToGrid w:val="0"/>
              <w:spacing w:line="276" w:lineRule="auto"/>
              <w:jc w:val="center"/>
              <w:rPr>
                <w:rFonts w:ascii="宋体" w:hAnsi="宋体" w:cs="宋体"/>
                <w:kern w:val="0"/>
              </w:rPr>
            </w:pPr>
            <w:r>
              <w:rPr>
                <w:rFonts w:hint="eastAsia" w:ascii="宋体" w:hAnsi="宋体" w:cs="宋体"/>
                <w:kern w:val="0"/>
              </w:rPr>
              <w:t>总署</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《中华人民共和国海关行政处罚听证</w:t>
            </w:r>
          </w:p>
          <w:p>
            <w:pPr>
              <w:widowControl/>
              <w:adjustRightInd w:val="0"/>
              <w:snapToGrid w:val="0"/>
              <w:spacing w:line="276" w:lineRule="auto"/>
              <w:jc w:val="center"/>
              <w:rPr>
                <w:rFonts w:ascii="宋体" w:hAnsi="宋体" w:cs="宋体"/>
                <w:kern w:val="0"/>
              </w:rPr>
            </w:pPr>
            <w:r>
              <w:rPr>
                <w:rFonts w:hint="eastAsia" w:ascii="宋体" w:hAnsi="宋体" w:cs="宋体"/>
                <w:kern w:val="0"/>
              </w:rPr>
              <w:t>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海关作出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tblPrEx>
          <w:tblCellMar>
            <w:top w:w="0" w:type="dxa"/>
            <w:left w:w="108" w:type="dxa"/>
            <w:bottom w:w="0" w:type="dxa"/>
            <w:right w:w="108" w:type="dxa"/>
          </w:tblCellMar>
        </w:tblPrEx>
        <w:trPr>
          <w:trHeight w:val="243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18</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国家市场监督管理</w:t>
            </w:r>
          </w:p>
          <w:p>
            <w:pPr>
              <w:widowControl/>
              <w:adjustRightInd w:val="0"/>
              <w:snapToGrid w:val="0"/>
              <w:spacing w:line="276" w:lineRule="auto"/>
              <w:jc w:val="center"/>
              <w:rPr>
                <w:rFonts w:ascii="宋体" w:hAnsi="宋体" w:cs="宋体"/>
                <w:kern w:val="0"/>
              </w:rPr>
            </w:pPr>
            <w:r>
              <w:rPr>
                <w:rFonts w:hint="eastAsia" w:ascii="宋体" w:hAnsi="宋体" w:cs="宋体"/>
                <w:kern w:val="0"/>
              </w:rPr>
              <w:t>总局</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《市场监督管理行政处罚听证暂行办法》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市场监督管理部门作出下列行政处罚决定之前，应当告知当事人有要求举行听证的权利：（一）责令停产停业；（二）吊销许可证或者执照；（三）对自然人处以一万元以上、对法人或者其他组织处以十万元以上罚款；（四）对自然人、法人或者其他组织作出没收违法所得和非法财物价值达到第三项所列数额的行政处罚。各省、自治区、直辖市人大常委会或者人民政府对前款第三项、第四项所列罚没数额有具体规定的，可以从其规定。</w:t>
            </w:r>
          </w:p>
        </w:tc>
      </w:tr>
      <w:tr>
        <w:tblPrEx>
          <w:tblCellMar>
            <w:top w:w="0" w:type="dxa"/>
            <w:left w:w="108" w:type="dxa"/>
            <w:bottom w:w="0" w:type="dxa"/>
            <w:right w:w="108" w:type="dxa"/>
          </w:tblCellMar>
        </w:tblPrEx>
        <w:trPr>
          <w:trHeight w:val="189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19</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国家税务总局</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《税务行政处罚听证程序实施办法</w:t>
            </w:r>
          </w:p>
          <w:p>
            <w:pPr>
              <w:widowControl/>
              <w:adjustRightInd w:val="0"/>
              <w:snapToGrid w:val="0"/>
              <w:spacing w:line="276" w:lineRule="auto"/>
              <w:jc w:val="center"/>
              <w:rPr>
                <w:rFonts w:ascii="宋体" w:hAnsi="宋体" w:cs="宋体"/>
                <w:kern w:val="0"/>
              </w:rPr>
            </w:pPr>
            <w:r>
              <w:rPr>
                <w:rFonts w:hint="eastAsia" w:ascii="宋体" w:hAnsi="宋体" w:cs="宋体"/>
                <w:kern w:val="0"/>
              </w:rPr>
              <w:t>（试行）》</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税务机关对公民作出2000元以上（含本数）罚款或者对法人或者其他组织作出１万元以上（含本数）罚款或者对法人或者其他组织作出１万元以上（含本数）罚款的行政处罚之前，告知当事人送达《税务行政处罚事项告知书》，告知当事人已经查明的违法事实、证据、行政处罚的法律依据和拟将给予的行政处罚，并告知有要求举行听证的权利。</w:t>
            </w:r>
          </w:p>
        </w:tc>
      </w:tr>
      <w:tr>
        <w:tblPrEx>
          <w:tblCellMar>
            <w:top w:w="0" w:type="dxa"/>
            <w:left w:w="108" w:type="dxa"/>
            <w:bottom w:w="0" w:type="dxa"/>
            <w:right w:w="108" w:type="dxa"/>
          </w:tblCellMar>
        </w:tblPrEx>
        <w:trPr>
          <w:trHeight w:val="162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20</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国家版权局</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《著作权行政处罚实施</w:t>
            </w:r>
          </w:p>
          <w:p>
            <w:pPr>
              <w:widowControl/>
              <w:adjustRightInd w:val="0"/>
              <w:snapToGrid w:val="0"/>
              <w:spacing w:line="276" w:lineRule="auto"/>
              <w:jc w:val="center"/>
              <w:rPr>
                <w:rFonts w:ascii="宋体" w:hAnsi="宋体" w:cs="宋体"/>
                <w:kern w:val="0"/>
              </w:rPr>
            </w:pPr>
            <w:r>
              <w:rPr>
                <w:rFonts w:hint="eastAsia" w:ascii="宋体" w:hAnsi="宋体" w:cs="宋体"/>
                <w:kern w:val="0"/>
              </w:rPr>
              <w:t>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著作权行政管理部门作出较大数额罚款决定或者法律、行政法规规定应当听证的其他行政处罚决定前，应当告知当事人有要求举行听证的权利。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tblPrEx>
          <w:tblCellMar>
            <w:top w:w="0" w:type="dxa"/>
            <w:left w:w="108" w:type="dxa"/>
            <w:bottom w:w="0" w:type="dxa"/>
            <w:right w:w="108" w:type="dxa"/>
          </w:tblCellMar>
        </w:tblPrEx>
        <w:trPr>
          <w:trHeight w:val="108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21</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国家广播电视  总局</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《广播电影电视行政处罚程序暂行规定》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第三十八条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对较大数额罚款的听证标准，按省、自治区、直辖市人大常委会或人民政府制定的标准执行。 广播电影电视部决定罚款十万元以上（含十万元）的，当事人可以要求听证。</w:t>
            </w:r>
          </w:p>
        </w:tc>
      </w:tr>
      <w:tr>
        <w:tblPrEx>
          <w:tblCellMar>
            <w:top w:w="0" w:type="dxa"/>
            <w:left w:w="108" w:type="dxa"/>
            <w:bottom w:w="0" w:type="dxa"/>
            <w:right w:w="108" w:type="dxa"/>
          </w:tblCellMar>
        </w:tblPrEx>
        <w:trPr>
          <w:trHeight w:val="600" w:hRule="atLeast"/>
          <w:jc w:val="center"/>
        </w:trPr>
        <w:tc>
          <w:tcPr>
            <w:tcW w:w="8528" w:type="dxa"/>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b/>
                <w:bCs/>
                <w:kern w:val="0"/>
              </w:rPr>
              <w:t>国务院直事业单位</w:t>
            </w:r>
            <w:r>
              <w:rPr>
                <w:rFonts w:hint="eastAsia" w:ascii="宋体" w:hAnsi="宋体" w:cs="宋体"/>
                <w:kern w:val="0"/>
              </w:rPr>
              <w:t>　</w:t>
            </w:r>
          </w:p>
        </w:tc>
      </w:tr>
      <w:tr>
        <w:tblPrEx>
          <w:tblCellMar>
            <w:top w:w="0" w:type="dxa"/>
            <w:left w:w="108" w:type="dxa"/>
            <w:bottom w:w="0" w:type="dxa"/>
            <w:right w:w="108" w:type="dxa"/>
          </w:tblCellMar>
        </w:tblPrEx>
        <w:trPr>
          <w:trHeight w:val="162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22</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中国气象局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《气象行政处罚办法》</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tblPrEx>
          <w:tblCellMar>
            <w:top w:w="0" w:type="dxa"/>
            <w:left w:w="108" w:type="dxa"/>
            <w:bottom w:w="0" w:type="dxa"/>
            <w:right w:w="108" w:type="dxa"/>
          </w:tblCellMar>
        </w:tblPrEx>
        <w:trPr>
          <w:trHeight w:val="324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23</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中国证券监督管理委员会</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《中国证券监督管理委员会行政处罚听证规则》</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中国证监会或其派出机构拟对当事人作出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tblPrEx>
          <w:tblCellMar>
            <w:top w:w="0" w:type="dxa"/>
            <w:left w:w="108" w:type="dxa"/>
            <w:bottom w:w="0" w:type="dxa"/>
            <w:right w:w="108" w:type="dxa"/>
          </w:tblCellMar>
        </w:tblPrEx>
        <w:trPr>
          <w:trHeight w:val="2124"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24</w:t>
            </w:r>
          </w:p>
        </w:tc>
        <w:tc>
          <w:tcPr>
            <w:tcW w:w="947"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中国银行保险监督管理委</w:t>
            </w:r>
          </w:p>
          <w:p>
            <w:pPr>
              <w:widowControl/>
              <w:adjustRightInd w:val="0"/>
              <w:snapToGrid w:val="0"/>
              <w:spacing w:line="276" w:lineRule="auto"/>
              <w:jc w:val="center"/>
              <w:rPr>
                <w:rFonts w:ascii="宋体" w:hAnsi="宋体" w:cs="宋体"/>
                <w:kern w:val="0"/>
              </w:rPr>
            </w:pPr>
            <w:r>
              <w:rPr>
                <w:rFonts w:hint="eastAsia" w:ascii="宋体" w:hAnsi="宋体" w:cs="宋体"/>
                <w:kern w:val="0"/>
              </w:rPr>
              <w:t>员会</w:t>
            </w:r>
          </w:p>
        </w:tc>
        <w:tc>
          <w:tcPr>
            <w:tcW w:w="1485" w:type="dxa"/>
            <w:gridSpan w:val="2"/>
            <w:tcBorders>
              <w:top w:val="nil"/>
              <w:left w:val="nil"/>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《中国银保监会行政处罚办法》</w:t>
            </w:r>
          </w:p>
        </w:tc>
        <w:tc>
          <w:tcPr>
            <w:tcW w:w="1209" w:type="dxa"/>
            <w:tcBorders>
              <w:top w:val="nil"/>
              <w:left w:val="nil"/>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第六十条</w:t>
            </w:r>
          </w:p>
          <w:p>
            <w:pPr>
              <w:widowControl/>
              <w:adjustRightInd w:val="0"/>
              <w:snapToGrid w:val="0"/>
              <w:spacing w:line="276" w:lineRule="auto"/>
              <w:jc w:val="center"/>
              <w:rPr>
                <w:rFonts w:ascii="宋体" w:hAnsi="宋体" w:cs="宋体"/>
                <w:kern w:val="0"/>
              </w:rPr>
            </w:pP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rPr>
            </w:pPr>
            <w:r>
              <w:rPr>
                <w:rFonts w:hint="eastAsia" w:ascii="宋体" w:hAnsi="宋体" w:cs="宋体"/>
              </w:rPr>
              <w:t>银保监会及其派出机构拟作出以下行政处罚决定前，应当在行政处罚事先告知书中告知当事人有要求举行听证的权利：（一）作出较大数额的罚款；</w:t>
            </w:r>
          </w:p>
          <w:p>
            <w:pPr>
              <w:widowControl/>
              <w:adjustRightInd w:val="0"/>
              <w:snapToGrid w:val="0"/>
              <w:spacing w:line="276" w:lineRule="auto"/>
              <w:jc w:val="left"/>
              <w:rPr>
                <w:rFonts w:ascii="宋体" w:hAnsi="宋体" w:cs="宋体"/>
              </w:rPr>
            </w:pPr>
            <w:r>
              <w:rPr>
                <w:rFonts w:hint="eastAsia" w:ascii="宋体" w:hAnsi="宋体" w:cs="宋体"/>
              </w:rPr>
              <w:t>前款所称较大数额的罚款是指：</w:t>
            </w:r>
          </w:p>
          <w:p>
            <w:pPr>
              <w:widowControl/>
              <w:adjustRightInd w:val="0"/>
              <w:snapToGrid w:val="0"/>
              <w:spacing w:line="276" w:lineRule="auto"/>
              <w:jc w:val="left"/>
              <w:rPr>
                <w:rFonts w:ascii="宋体" w:hAnsi="宋体" w:cs="宋体"/>
              </w:rPr>
            </w:pPr>
            <w:r>
              <w:rPr>
                <w:rFonts w:hint="eastAsia" w:ascii="宋体" w:hAnsi="宋体" w:cs="宋体"/>
              </w:rPr>
              <w:t>（一）银保监会对实施银行业违法行为的单位作出的五百万元以上（不含本数，下同）罚款、对实施银行业违法行为的个人作出的五十万元以上罚款，对实施保险业违法行为的单位作出的一百五十万元以上罚款、对实施保险业违法行为的个人作出的十万元以上罚款；</w:t>
            </w:r>
          </w:p>
          <w:p>
            <w:pPr>
              <w:widowControl/>
              <w:adjustRightInd w:val="0"/>
              <w:snapToGrid w:val="0"/>
              <w:spacing w:line="276" w:lineRule="auto"/>
              <w:jc w:val="left"/>
              <w:rPr>
                <w:rFonts w:ascii="宋体" w:hAnsi="宋体" w:cs="宋体"/>
              </w:rPr>
            </w:pPr>
            <w:r>
              <w:rPr>
                <w:rFonts w:hint="eastAsia" w:ascii="宋体" w:hAnsi="宋体" w:cs="宋体"/>
              </w:rPr>
              <w:t>（二）银保监局对实施银行业违法行为的单位作出的三百万元以上罚款、对实施银行业违法行为的个人作出的三十万元以上罚款，对实施保险业违法行为的单位作出的五十万元以上罚款、对实施保险业违法行为的个人作出的七万元以上罚款；</w:t>
            </w:r>
          </w:p>
          <w:p>
            <w:pPr>
              <w:widowControl/>
              <w:adjustRightInd w:val="0"/>
              <w:snapToGrid w:val="0"/>
              <w:spacing w:line="276" w:lineRule="auto"/>
              <w:jc w:val="left"/>
              <w:rPr>
                <w:rFonts w:ascii="宋体" w:hAnsi="宋体" w:cs="宋体"/>
              </w:rPr>
            </w:pPr>
            <w:r>
              <w:rPr>
                <w:rFonts w:hint="eastAsia" w:ascii="宋体" w:hAnsi="宋体" w:cs="宋体"/>
              </w:rPr>
              <w:t>（三）银保监分局对实施银行业违法行为的单位作出的一百万元以上罚款、对实施银行业违法行为的个人作出的十万元以上罚款，对实施保险业违法行为的单位作出的三十万元以上罚款、对实施保险业违法行为的个人作出的五万元以上罚款。</w:t>
            </w:r>
          </w:p>
          <w:p>
            <w:pPr>
              <w:widowControl/>
              <w:adjustRightInd w:val="0"/>
              <w:snapToGrid w:val="0"/>
              <w:spacing w:line="276" w:lineRule="auto"/>
              <w:jc w:val="left"/>
              <w:rPr>
                <w:rFonts w:ascii="宋体" w:hAnsi="宋体" w:cs="宋体"/>
                <w:kern w:val="0"/>
              </w:rPr>
            </w:pPr>
            <w:r>
              <w:rPr>
                <w:rFonts w:hint="eastAsia" w:ascii="宋体" w:hAnsi="宋体" w:cs="宋体"/>
              </w:rPr>
              <w:t>本条第一款所称没收较大数额的违法所得是指银保监会作出的没收五百万元以上违法所得，银保监局作出的没收一百万元以上违法所得，银保监分局作出的没收五十万元以上违法所得。</w:t>
            </w:r>
          </w:p>
        </w:tc>
      </w:tr>
      <w:tr>
        <w:tblPrEx>
          <w:tblCellMar>
            <w:top w:w="0" w:type="dxa"/>
            <w:left w:w="108" w:type="dxa"/>
            <w:bottom w:w="0" w:type="dxa"/>
            <w:right w:w="108" w:type="dxa"/>
          </w:tblCellMar>
        </w:tblPrEx>
        <w:trPr>
          <w:trHeight w:val="600" w:hRule="atLeast"/>
          <w:jc w:val="center"/>
        </w:trPr>
        <w:tc>
          <w:tcPr>
            <w:tcW w:w="8528" w:type="dxa"/>
            <w:gridSpan w:val="6"/>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276" w:lineRule="auto"/>
              <w:jc w:val="left"/>
              <w:rPr>
                <w:rFonts w:ascii="宋体" w:hAnsi="宋体" w:cs="宋体"/>
                <w:b/>
                <w:bCs/>
                <w:kern w:val="0"/>
              </w:rPr>
            </w:pPr>
            <w:r>
              <w:rPr>
                <w:rFonts w:hint="eastAsia" w:ascii="宋体" w:hAnsi="宋体" w:cs="宋体"/>
                <w:b/>
                <w:bCs/>
                <w:kern w:val="0"/>
              </w:rPr>
              <w:t>国务院部委管理的国家局</w:t>
            </w:r>
          </w:p>
        </w:tc>
      </w:tr>
      <w:tr>
        <w:tblPrEx>
          <w:tblCellMar>
            <w:top w:w="0" w:type="dxa"/>
            <w:left w:w="108" w:type="dxa"/>
            <w:bottom w:w="0" w:type="dxa"/>
            <w:right w:w="108" w:type="dxa"/>
          </w:tblCellMar>
        </w:tblPrEx>
        <w:trPr>
          <w:trHeight w:val="243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25</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国家外汇管</w:t>
            </w:r>
          </w:p>
          <w:p>
            <w:pPr>
              <w:widowControl/>
              <w:adjustRightInd w:val="0"/>
              <w:snapToGrid w:val="0"/>
              <w:spacing w:line="276" w:lineRule="auto"/>
              <w:jc w:val="center"/>
              <w:rPr>
                <w:rFonts w:ascii="宋体" w:hAnsi="宋体" w:cs="宋体"/>
                <w:kern w:val="0"/>
              </w:rPr>
            </w:pPr>
            <w:r>
              <w:rPr>
                <w:rFonts w:hint="eastAsia" w:ascii="宋体" w:hAnsi="宋体" w:cs="宋体"/>
                <w:kern w:val="0"/>
              </w:rPr>
              <w:t>理局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《国家外汇管理局行政处罚听证程序》</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外汇局作出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称较大数额罚没款，是指对自然人的违法行为处以5万元人民币以上，对法人或者其他经济组织经营活动中的违法行为处以100万元人民币以上的罚没款。</w:t>
            </w:r>
          </w:p>
        </w:tc>
      </w:tr>
      <w:tr>
        <w:tblPrEx>
          <w:tblCellMar>
            <w:top w:w="0" w:type="dxa"/>
            <w:left w:w="108" w:type="dxa"/>
            <w:bottom w:w="0" w:type="dxa"/>
            <w:right w:w="108" w:type="dxa"/>
          </w:tblCellMar>
        </w:tblPrEx>
        <w:trPr>
          <w:trHeight w:val="243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26</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国家烟草专</w:t>
            </w:r>
          </w:p>
          <w:p>
            <w:pPr>
              <w:widowControl/>
              <w:adjustRightInd w:val="0"/>
              <w:snapToGrid w:val="0"/>
              <w:spacing w:line="276" w:lineRule="auto"/>
              <w:jc w:val="center"/>
              <w:rPr>
                <w:rFonts w:ascii="宋体" w:hAnsi="宋体" w:cs="宋体"/>
                <w:kern w:val="0"/>
              </w:rPr>
            </w:pPr>
            <w:r>
              <w:rPr>
                <w:rFonts w:hint="eastAsia" w:ascii="宋体" w:hAnsi="宋体" w:cs="宋体"/>
                <w:kern w:val="0"/>
              </w:rPr>
              <w:t>卖局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《烟草专卖行政处罚程序规定》</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第四十四条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烟草专卖行政主管部门在作出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tblPrEx>
          <w:tblCellMar>
            <w:top w:w="0" w:type="dxa"/>
            <w:left w:w="108" w:type="dxa"/>
            <w:bottom w:w="0" w:type="dxa"/>
            <w:right w:w="108" w:type="dxa"/>
          </w:tblCellMar>
        </w:tblPrEx>
        <w:trPr>
          <w:trHeight w:val="216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27</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国家林业和草原局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《林业行政处罚听证规则》</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林业行政主管部门依法作出责令停产停业、吊销许可证或者执照、较大数额罚款等林业行政处罚决定之前，应当告知当事人有要求举行听证的权利，并制作林业行政处罚听证权利告知书。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国家林业局依法作出十万元以上(含十万元)罚款决定的，应当告知当事人有要求举行听证的权利。</w:t>
            </w:r>
          </w:p>
        </w:tc>
      </w:tr>
      <w:tr>
        <w:tblPrEx>
          <w:tblCellMar>
            <w:top w:w="0" w:type="dxa"/>
            <w:left w:w="108" w:type="dxa"/>
            <w:bottom w:w="0" w:type="dxa"/>
            <w:right w:w="108" w:type="dxa"/>
          </w:tblCellMar>
        </w:tblPrEx>
        <w:trPr>
          <w:trHeight w:val="54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28</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国家铁路局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《违反&lt;铁路安全管理条例&gt;行政处罚实施办法》</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第七十六条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 xml:space="preserve">本办法所称“较大数额罚款”，是指对个人处以1万元以上的罚款，对单位处以10万元以上的罚款。 </w:t>
            </w:r>
          </w:p>
        </w:tc>
      </w:tr>
      <w:tr>
        <w:tblPrEx>
          <w:tblCellMar>
            <w:top w:w="0" w:type="dxa"/>
            <w:left w:w="108" w:type="dxa"/>
            <w:bottom w:w="0" w:type="dxa"/>
            <w:right w:w="108" w:type="dxa"/>
          </w:tblCellMar>
        </w:tblPrEx>
        <w:trPr>
          <w:trHeight w:val="378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29</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中国民用航</w:t>
            </w:r>
          </w:p>
          <w:p>
            <w:pPr>
              <w:widowControl/>
              <w:adjustRightInd w:val="0"/>
              <w:snapToGrid w:val="0"/>
              <w:spacing w:line="276" w:lineRule="auto"/>
              <w:jc w:val="center"/>
              <w:rPr>
                <w:rFonts w:ascii="宋体" w:hAnsi="宋体" w:cs="宋体"/>
                <w:kern w:val="0"/>
              </w:rPr>
            </w:pPr>
            <w:r>
              <w:rPr>
                <w:rFonts w:hint="eastAsia" w:ascii="宋体" w:hAnsi="宋体" w:cs="宋体"/>
                <w:kern w:val="0"/>
              </w:rPr>
              <w:t>空局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《中国民用航空行政处罚实施办法》</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第四十一条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民航行政机关法制职能部门收到案件承办部门提出的民用航空行政案件调查报告后，应当进行初步审查。对拟同意进行下列行政处罚的，应当在报民航行政机关作出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不属于本条第一款规定情形的，不组织听证，由法制职能部门提出行政处罚意见，报民航行政机关作出行政处罚决定。</w:t>
            </w:r>
          </w:p>
        </w:tc>
      </w:tr>
      <w:tr>
        <w:tblPrEx>
          <w:tblCellMar>
            <w:top w:w="0" w:type="dxa"/>
            <w:left w:w="108" w:type="dxa"/>
            <w:bottom w:w="0" w:type="dxa"/>
            <w:right w:w="108" w:type="dxa"/>
          </w:tblCellMar>
        </w:tblPrEx>
        <w:trPr>
          <w:trHeight w:val="162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30</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国家邮政局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《邮政行政处罚程序规定》</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第四十二条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邮政管理部门作出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tblPrEx>
          <w:tblCellMar>
            <w:top w:w="0" w:type="dxa"/>
            <w:left w:w="108" w:type="dxa"/>
            <w:bottom w:w="0" w:type="dxa"/>
            <w:right w:w="108" w:type="dxa"/>
          </w:tblCellMar>
        </w:tblPrEx>
        <w:trPr>
          <w:trHeight w:val="135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31</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国家档案局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《档案行政处罚程序暂行</w:t>
            </w:r>
          </w:p>
          <w:p>
            <w:pPr>
              <w:widowControl/>
              <w:adjustRightInd w:val="0"/>
              <w:snapToGrid w:val="0"/>
              <w:spacing w:line="276" w:lineRule="auto"/>
              <w:jc w:val="center"/>
              <w:rPr>
                <w:rFonts w:ascii="宋体" w:hAnsi="宋体" w:cs="宋体"/>
                <w:kern w:val="0"/>
              </w:rPr>
            </w:pPr>
            <w:r>
              <w:rPr>
                <w:rFonts w:hint="eastAsia" w:ascii="宋体" w:hAnsi="宋体" w:cs="宋体"/>
                <w:kern w:val="0"/>
              </w:rPr>
              <w:t>规定》</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第二十三条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tblPrEx>
          <w:tblCellMar>
            <w:top w:w="0" w:type="dxa"/>
            <w:left w:w="108" w:type="dxa"/>
            <w:bottom w:w="0" w:type="dxa"/>
            <w:right w:w="108" w:type="dxa"/>
          </w:tblCellMar>
        </w:tblPrEx>
        <w:trPr>
          <w:trHeight w:val="1065" w:hRule="atLeast"/>
          <w:jc w:val="center"/>
        </w:trPr>
        <w:tc>
          <w:tcPr>
            <w:tcW w:w="8528" w:type="dxa"/>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
                <w:bCs/>
                <w:kern w:val="0"/>
              </w:rPr>
            </w:pPr>
            <w:r>
              <w:rPr>
                <w:rFonts w:hint="eastAsia" w:ascii="宋体" w:hAnsi="宋体" w:cs="宋体"/>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pPr>
        <w:rPr>
          <w:rFonts w:ascii="宋体" w:hAnsi="宋体" w:cs="宋体"/>
        </w:rPr>
      </w:pPr>
    </w:p>
    <w:p>
      <w:pPr>
        <w:pStyle w:val="10"/>
        <w:rPr>
          <w:rFonts w:ascii="宋体" w:hAnsi="宋体" w:cs="宋体"/>
        </w:rPr>
      </w:pPr>
    </w:p>
    <w:p>
      <w:pPr>
        <w:spacing w:after="240"/>
        <w:rPr>
          <w:rFonts w:ascii="宋体" w:hAnsi="宋体" w:cs="宋体"/>
          <w:b/>
          <w:szCs w:val="21"/>
        </w:rPr>
      </w:pPr>
      <w:r>
        <w:rPr>
          <w:rFonts w:hint="eastAsia" w:ascii="宋体" w:hAnsi="宋体" w:cs="宋体"/>
        </w:rPr>
        <w:br w:type="page"/>
      </w:r>
      <w:r>
        <w:rPr>
          <w:rFonts w:hint="eastAsia" w:ascii="宋体" w:hAnsi="宋体" w:cs="宋体"/>
          <w:b/>
          <w:szCs w:val="21"/>
        </w:rPr>
        <w:t>附件2：</w:t>
      </w:r>
    </w:p>
    <w:p>
      <w:pPr>
        <w:widowControl/>
        <w:shd w:val="clear" w:color="auto" w:fill="FFFFFF"/>
        <w:spacing w:line="420" w:lineRule="atLeast"/>
        <w:jc w:val="center"/>
        <w:textAlignment w:val="baseline"/>
        <w:rPr>
          <w:rFonts w:ascii="宋体" w:hAnsi="宋体" w:cs="宋体"/>
          <w:kern w:val="0"/>
          <w:szCs w:val="21"/>
        </w:rPr>
      </w:pPr>
      <w:r>
        <w:rPr>
          <w:rFonts w:hint="eastAsia" w:ascii="宋体" w:hAnsi="宋体" w:cs="宋体"/>
          <w:szCs w:val="21"/>
        </w:rPr>
        <w:t>关于印发中小企业划型标准规定的通知</w:t>
      </w:r>
    </w:p>
    <w:p>
      <w:pPr>
        <w:pStyle w:val="4"/>
        <w:shd w:val="clear" w:color="auto" w:fill="FFFFFF"/>
        <w:spacing w:before="0" w:after="0" w:line="750" w:lineRule="atLeast"/>
        <w:jc w:val="center"/>
        <w:textAlignment w:val="baseline"/>
        <w:rPr>
          <w:rFonts w:ascii="宋体" w:hAnsi="宋体" w:eastAsia="宋体" w:cs="宋体"/>
          <w:b w:val="0"/>
          <w:bCs w:val="0"/>
          <w:sz w:val="21"/>
          <w:szCs w:val="21"/>
        </w:rPr>
      </w:pPr>
      <w:bookmarkStart w:id="528" w:name="_Toc9227"/>
      <w:bookmarkStart w:id="529" w:name="_Toc60305875"/>
      <w:bookmarkStart w:id="530" w:name="_Toc26155"/>
      <w:bookmarkStart w:id="531" w:name="_Toc69141852"/>
      <w:bookmarkStart w:id="532" w:name="_Toc4137"/>
      <w:r>
        <w:rPr>
          <w:rFonts w:hint="eastAsia" w:ascii="宋体" w:hAnsi="宋体" w:eastAsia="宋体" w:cs="宋体"/>
          <w:b w:val="0"/>
          <w:bCs w:val="0"/>
          <w:sz w:val="21"/>
          <w:szCs w:val="21"/>
        </w:rPr>
        <w:t>工信部联企业〔2011〕300号</w:t>
      </w:r>
      <w:bookmarkEnd w:id="528"/>
      <w:bookmarkEnd w:id="529"/>
      <w:bookmarkEnd w:id="530"/>
      <w:bookmarkEnd w:id="531"/>
      <w:bookmarkEnd w:id="532"/>
    </w:p>
    <w:p>
      <w:pPr>
        <w:pStyle w:val="27"/>
        <w:shd w:val="clear" w:color="auto" w:fill="FFFFFF"/>
        <w:spacing w:before="0" w:beforeAutospacing="0" w:after="0" w:afterAutospacing="0" w:line="560" w:lineRule="atLeast"/>
        <w:textAlignment w:val="baseline"/>
        <w:rPr>
          <w:rFonts w:hAnsi="宋体" w:cs="宋体"/>
          <w:sz w:val="21"/>
          <w:szCs w:val="21"/>
        </w:rPr>
      </w:pPr>
      <w:r>
        <w:rPr>
          <w:rFonts w:hint="eastAsia" w:hAnsi="宋体" w:cs="宋体"/>
          <w:sz w:val="21"/>
          <w:szCs w:val="21"/>
        </w:rPr>
        <w:t>各省、自治区、直辖市人民政府，国务院各部委、各直属机构及有关单位：</w:t>
      </w:r>
      <w:r>
        <w:rPr>
          <w:rFonts w:hint="eastAsia" w:hAnsi="宋体" w:cs="宋体"/>
          <w:sz w:val="21"/>
          <w:szCs w:val="21"/>
        </w:rPr>
        <w:br w:type="textWrapping"/>
      </w:r>
      <w:r>
        <w:rPr>
          <w:rFonts w:hint="eastAsia" w:hAnsi="宋体" w:cs="宋体"/>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7"/>
        <w:shd w:val="clear" w:color="auto" w:fill="FFFFFF"/>
        <w:spacing w:before="0" w:beforeAutospacing="0" w:after="0" w:afterAutospacing="0" w:line="560" w:lineRule="atLeast"/>
        <w:jc w:val="right"/>
        <w:textAlignment w:val="baseline"/>
        <w:rPr>
          <w:rFonts w:hAnsi="宋体" w:cs="宋体"/>
          <w:sz w:val="21"/>
          <w:szCs w:val="21"/>
        </w:rPr>
      </w:pPr>
      <w:r>
        <w:rPr>
          <w:rFonts w:hint="eastAsia" w:hAnsi="宋体" w:cs="宋体"/>
          <w:sz w:val="21"/>
          <w:szCs w:val="21"/>
        </w:rPr>
        <w:t>工业和信息化部</w:t>
      </w:r>
      <w:r>
        <w:rPr>
          <w:rFonts w:hint="eastAsia" w:hAnsi="宋体" w:cs="宋体"/>
          <w:sz w:val="21"/>
          <w:szCs w:val="21"/>
        </w:rPr>
        <w:br w:type="textWrapping"/>
      </w:r>
      <w:r>
        <w:rPr>
          <w:rFonts w:hint="eastAsia" w:hAnsi="宋体" w:cs="宋体"/>
          <w:sz w:val="21"/>
          <w:szCs w:val="21"/>
        </w:rPr>
        <w:t>国家统计局</w:t>
      </w:r>
      <w:r>
        <w:rPr>
          <w:rFonts w:hint="eastAsia" w:hAnsi="宋体" w:cs="宋体"/>
          <w:sz w:val="21"/>
          <w:szCs w:val="21"/>
        </w:rPr>
        <w:br w:type="textWrapping"/>
      </w:r>
      <w:r>
        <w:rPr>
          <w:rFonts w:hint="eastAsia" w:hAnsi="宋体" w:cs="宋体"/>
          <w:sz w:val="21"/>
          <w:szCs w:val="21"/>
        </w:rPr>
        <w:t>国家发展和改革委员会</w:t>
      </w:r>
      <w:r>
        <w:rPr>
          <w:rFonts w:hint="eastAsia" w:hAnsi="宋体" w:cs="宋体"/>
          <w:sz w:val="21"/>
          <w:szCs w:val="21"/>
        </w:rPr>
        <w:br w:type="textWrapping"/>
      </w:r>
      <w:r>
        <w:rPr>
          <w:rFonts w:hint="eastAsia" w:hAnsi="宋体" w:cs="宋体"/>
          <w:sz w:val="21"/>
          <w:szCs w:val="21"/>
        </w:rPr>
        <w:t>财政部</w:t>
      </w:r>
      <w:r>
        <w:rPr>
          <w:rFonts w:hint="eastAsia" w:hAnsi="宋体" w:cs="宋体"/>
          <w:sz w:val="21"/>
          <w:szCs w:val="21"/>
        </w:rPr>
        <w:br w:type="textWrapping"/>
      </w:r>
      <w:r>
        <w:rPr>
          <w:rFonts w:hint="eastAsia" w:hAnsi="宋体" w:cs="宋体"/>
          <w:sz w:val="21"/>
          <w:szCs w:val="21"/>
        </w:rPr>
        <w:t>二○一一年六月十八日</w:t>
      </w:r>
    </w:p>
    <w:p>
      <w:pPr>
        <w:pStyle w:val="27"/>
        <w:shd w:val="clear" w:color="auto" w:fill="FFFFFF"/>
        <w:spacing w:before="0" w:beforeAutospacing="0" w:after="0" w:afterAutospacing="0" w:line="560" w:lineRule="atLeast"/>
        <w:jc w:val="center"/>
        <w:textAlignment w:val="baseline"/>
        <w:rPr>
          <w:rFonts w:hAnsi="宋体" w:cs="宋体"/>
          <w:sz w:val="21"/>
          <w:szCs w:val="21"/>
        </w:rPr>
      </w:pPr>
      <w:r>
        <w:rPr>
          <w:rStyle w:val="32"/>
          <w:rFonts w:hint="eastAsia" w:hAnsi="宋体" w:cs="宋体"/>
          <w:sz w:val="21"/>
          <w:szCs w:val="21"/>
        </w:rPr>
        <w:br w:type="page"/>
      </w:r>
      <w:r>
        <w:rPr>
          <w:rStyle w:val="32"/>
          <w:rFonts w:hint="eastAsia" w:hAnsi="宋体" w:cs="宋体"/>
          <w:sz w:val="21"/>
          <w:szCs w:val="21"/>
        </w:rPr>
        <w:t>中小企业划型标准规定</w:t>
      </w:r>
    </w:p>
    <w:p>
      <w:pPr>
        <w:pStyle w:val="27"/>
        <w:shd w:val="clear" w:color="auto" w:fill="FFFFFF"/>
        <w:spacing w:before="0" w:beforeAutospacing="0" w:after="0" w:afterAutospacing="0" w:line="560" w:lineRule="atLeast"/>
        <w:ind w:firstLine="420"/>
        <w:textAlignment w:val="baseline"/>
        <w:rPr>
          <w:rFonts w:hAnsi="宋体" w:cs="宋体"/>
          <w:sz w:val="21"/>
          <w:szCs w:val="21"/>
        </w:rPr>
      </w:pPr>
      <w:r>
        <w:rPr>
          <w:rFonts w:hint="eastAsia" w:hAnsi="宋体" w:cs="宋体"/>
          <w:sz w:val="21"/>
          <w:szCs w:val="21"/>
        </w:rPr>
        <w:t>一、根据《中华人民共和国中小企业促进法》和《国务院关于进一步促进中小企业发展的若干意见》(国发〔2009〕36号)，制定本规定。</w:t>
      </w:r>
      <w:r>
        <w:rPr>
          <w:rFonts w:hint="eastAsia" w:hAnsi="宋体" w:cs="宋体"/>
          <w:sz w:val="21"/>
          <w:szCs w:val="21"/>
        </w:rPr>
        <w:br w:type="textWrapping"/>
      </w:r>
      <w:r>
        <w:rPr>
          <w:rFonts w:hint="eastAsia" w:hAnsi="宋体" w:cs="宋体"/>
          <w:sz w:val="21"/>
          <w:szCs w:val="21"/>
        </w:rPr>
        <w:t>　　二、中小企业划分为中型、小型、微型三种类型，具体标准根据企业从业人员、营业收入、资产总额等指标，结合行业特点制定。</w:t>
      </w:r>
      <w:r>
        <w:rPr>
          <w:rFonts w:hint="eastAsia" w:hAnsi="宋体" w:cs="宋体"/>
          <w:sz w:val="21"/>
          <w:szCs w:val="21"/>
        </w:rPr>
        <w:br w:type="textWrapping"/>
      </w:r>
      <w:r>
        <w:rPr>
          <w:rFonts w:hint="eastAsia" w:hAnsi="宋体" w:cs="宋体"/>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hAnsi="宋体" w:cs="宋体"/>
          <w:sz w:val="21"/>
          <w:szCs w:val="21"/>
        </w:rPr>
        <w:br w:type="textWrapping"/>
      </w:r>
      <w:r>
        <w:rPr>
          <w:rFonts w:hint="eastAsia" w:hAnsi="宋体" w:cs="宋体"/>
          <w:sz w:val="21"/>
          <w:szCs w:val="21"/>
        </w:rPr>
        <w:t>　　四、各行业划型标准为：</w:t>
      </w:r>
      <w:r>
        <w:rPr>
          <w:rFonts w:hint="eastAsia" w:hAnsi="宋体" w:cs="宋体"/>
          <w:sz w:val="21"/>
          <w:szCs w:val="21"/>
        </w:rPr>
        <w:br w:type="textWrapping"/>
      </w:r>
      <w:r>
        <w:rPr>
          <w:rFonts w:hint="eastAsia" w:hAnsi="宋体" w:cs="宋体"/>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hAnsi="宋体" w:cs="宋体"/>
          <w:sz w:val="21"/>
          <w:szCs w:val="21"/>
        </w:rPr>
        <w:br w:type="textWrapping"/>
      </w:r>
      <w:r>
        <w:rPr>
          <w:rFonts w:hint="eastAsia" w:hAnsi="宋体" w:cs="宋体"/>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hAnsi="宋体" w:cs="宋体"/>
          <w:sz w:val="21"/>
          <w:szCs w:val="21"/>
        </w:rPr>
        <w:br w:type="textWrapping"/>
      </w:r>
      <w:r>
        <w:rPr>
          <w:rFonts w:hint="eastAsia" w:hAnsi="宋体" w:cs="宋体"/>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hAnsi="宋体" w:cs="宋体"/>
          <w:sz w:val="21"/>
          <w:szCs w:val="21"/>
        </w:rPr>
        <w:br w:type="textWrapping"/>
      </w:r>
      <w:r>
        <w:rPr>
          <w:rFonts w:hint="eastAsia" w:hAnsi="宋体" w:cs="宋体"/>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hAnsi="宋体" w:cs="宋体"/>
          <w:sz w:val="21"/>
          <w:szCs w:val="21"/>
        </w:rPr>
        <w:br w:type="textWrapping"/>
      </w:r>
      <w:r>
        <w:rPr>
          <w:rFonts w:hint="eastAsia" w:hAnsi="宋体" w:cs="宋体"/>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hAnsi="宋体" w:cs="宋体"/>
          <w:sz w:val="21"/>
          <w:szCs w:val="21"/>
        </w:rPr>
        <w:br w:type="textWrapping"/>
      </w:r>
      <w:r>
        <w:rPr>
          <w:rFonts w:hint="eastAsia" w:hAnsi="宋体" w:cs="宋体"/>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hAnsi="宋体" w:cs="宋体"/>
          <w:sz w:val="21"/>
          <w:szCs w:val="21"/>
        </w:rPr>
        <w:br w:type="textWrapping"/>
      </w:r>
      <w:r>
        <w:rPr>
          <w:rFonts w:hint="eastAsia" w:hAnsi="宋体" w:cs="宋体"/>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hAnsi="宋体" w:cs="宋体"/>
          <w:sz w:val="21"/>
          <w:szCs w:val="21"/>
        </w:rPr>
        <w:br w:type="textWrapping"/>
      </w:r>
      <w:r>
        <w:rPr>
          <w:rFonts w:hint="eastAsia" w:hAnsi="宋体" w:cs="宋体"/>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hAnsi="宋体" w:cs="宋体"/>
          <w:sz w:val="21"/>
          <w:szCs w:val="21"/>
        </w:rPr>
        <w:br w:type="textWrapping"/>
      </w:r>
      <w:r>
        <w:rPr>
          <w:rFonts w:hint="eastAsia" w:hAnsi="宋体" w:cs="宋体"/>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hAnsi="宋体" w:cs="宋体"/>
          <w:sz w:val="21"/>
          <w:szCs w:val="21"/>
        </w:rPr>
        <w:br w:type="textWrapping"/>
      </w:r>
      <w:r>
        <w:rPr>
          <w:rFonts w:hint="eastAsia" w:hAnsi="宋体" w:cs="宋体"/>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hAnsi="宋体" w:cs="宋体"/>
          <w:sz w:val="21"/>
          <w:szCs w:val="21"/>
        </w:rPr>
        <w:br w:type="textWrapping"/>
      </w:r>
      <w:r>
        <w:rPr>
          <w:rFonts w:hint="eastAsia" w:hAnsi="宋体" w:cs="宋体"/>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hAnsi="宋体" w:cs="宋体"/>
          <w:sz w:val="21"/>
          <w:szCs w:val="21"/>
        </w:rPr>
        <w:br w:type="textWrapping"/>
      </w:r>
      <w:r>
        <w:rPr>
          <w:rFonts w:hint="eastAsia" w:hAnsi="宋体" w:cs="宋体"/>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hAnsi="宋体" w:cs="宋体"/>
          <w:sz w:val="21"/>
          <w:szCs w:val="21"/>
        </w:rPr>
        <w:br w:type="textWrapping"/>
      </w:r>
      <w:r>
        <w:rPr>
          <w:rFonts w:hint="eastAsia" w:hAnsi="宋体" w:cs="宋体"/>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hAnsi="宋体" w:cs="宋体"/>
          <w:sz w:val="21"/>
          <w:szCs w:val="21"/>
        </w:rPr>
        <w:br w:type="textWrapping"/>
      </w:r>
      <w:r>
        <w:rPr>
          <w:rFonts w:hint="eastAsia" w:hAnsi="宋体" w:cs="宋体"/>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hAnsi="宋体" w:cs="宋体"/>
          <w:sz w:val="21"/>
          <w:szCs w:val="21"/>
        </w:rPr>
        <w:br w:type="textWrapping"/>
      </w:r>
      <w:r>
        <w:rPr>
          <w:rFonts w:hint="eastAsia" w:hAnsi="宋体" w:cs="宋体"/>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hAnsi="宋体" w:cs="宋体"/>
          <w:sz w:val="21"/>
          <w:szCs w:val="21"/>
        </w:rPr>
        <w:br w:type="textWrapping"/>
      </w:r>
      <w:r>
        <w:rPr>
          <w:rFonts w:hint="eastAsia" w:hAnsi="宋体" w:cs="宋体"/>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hAnsi="宋体" w:cs="宋体"/>
          <w:sz w:val="21"/>
          <w:szCs w:val="21"/>
        </w:rPr>
        <w:br w:type="textWrapping"/>
      </w:r>
      <w:r>
        <w:rPr>
          <w:rFonts w:hint="eastAsia" w:hAnsi="宋体" w:cs="宋体"/>
          <w:sz w:val="21"/>
          <w:szCs w:val="21"/>
        </w:rPr>
        <w:t>　　五、企业类型的划分以统计部门的统计数据为依据。</w:t>
      </w:r>
      <w:r>
        <w:rPr>
          <w:rFonts w:hint="eastAsia" w:hAnsi="宋体" w:cs="宋体"/>
          <w:sz w:val="21"/>
          <w:szCs w:val="21"/>
        </w:rPr>
        <w:br w:type="textWrapping"/>
      </w:r>
      <w:r>
        <w:rPr>
          <w:rFonts w:hint="eastAsia" w:hAnsi="宋体" w:cs="宋体"/>
          <w:sz w:val="21"/>
          <w:szCs w:val="21"/>
        </w:rPr>
        <w:t>　　六、本规定适用于在中华人民共和国境内依法设立的各类所有制和各种组织形式的企业。个体工商户和本规定以外的行业，参照本规定进行划型。</w:t>
      </w:r>
      <w:r>
        <w:rPr>
          <w:rFonts w:hint="eastAsia" w:hAnsi="宋体" w:cs="宋体"/>
          <w:sz w:val="21"/>
          <w:szCs w:val="21"/>
        </w:rPr>
        <w:br w:type="textWrapping"/>
      </w:r>
      <w:r>
        <w:rPr>
          <w:rFonts w:hint="eastAsia" w:hAnsi="宋体" w:cs="宋体"/>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hAnsi="宋体" w:cs="宋体"/>
          <w:sz w:val="21"/>
          <w:szCs w:val="21"/>
        </w:rPr>
        <w:br w:type="textWrapping"/>
      </w:r>
      <w:r>
        <w:rPr>
          <w:rFonts w:hint="eastAsia" w:hAnsi="宋体" w:cs="宋体"/>
          <w:sz w:val="21"/>
          <w:szCs w:val="21"/>
        </w:rPr>
        <w:t>　　八、本规定由工业和信息化部、国家统计局会同有关部门根据《国民经济行业分类》修订情况和企业发展变化情况适时修订。</w:t>
      </w:r>
      <w:r>
        <w:rPr>
          <w:rFonts w:hint="eastAsia" w:hAnsi="宋体" w:cs="宋体"/>
          <w:sz w:val="21"/>
          <w:szCs w:val="21"/>
        </w:rPr>
        <w:br w:type="textWrapping"/>
      </w:r>
      <w:r>
        <w:rPr>
          <w:rFonts w:hint="eastAsia" w:hAnsi="宋体" w:cs="宋体"/>
          <w:sz w:val="21"/>
          <w:szCs w:val="21"/>
        </w:rPr>
        <w:t>　　九、本规定由工业和信息化部、国家统计局会同有关部门负责解释。</w:t>
      </w:r>
      <w:r>
        <w:rPr>
          <w:rFonts w:hint="eastAsia" w:hAnsi="宋体" w:cs="宋体"/>
          <w:sz w:val="21"/>
          <w:szCs w:val="21"/>
        </w:rPr>
        <w:br w:type="textWrapping"/>
      </w:r>
      <w:r>
        <w:rPr>
          <w:rFonts w:hint="eastAsia" w:hAnsi="宋体" w:cs="宋体"/>
          <w:sz w:val="21"/>
          <w:szCs w:val="21"/>
        </w:rPr>
        <w:t>　　十、本规定自发布之日起执行，原国家经贸委、原国家计委、财政部和国家统计局2003年颁布的《中小企业标准暂行规定》同时废止。</w:t>
      </w: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p>
      <w:pPr>
        <w:pStyle w:val="27"/>
        <w:shd w:val="clear" w:color="auto" w:fill="FFFFFF"/>
        <w:spacing w:before="0" w:beforeAutospacing="0" w:after="0" w:afterAutospacing="0" w:line="560" w:lineRule="atLeast"/>
        <w:ind w:firstLine="420"/>
        <w:textAlignment w:val="baseline"/>
        <w:rPr>
          <w:rFonts w:hAnsi="宋体" w:cs="宋体"/>
          <w:sz w:val="21"/>
          <w:szCs w:val="21"/>
        </w:rPr>
        <w:sectPr>
          <w:headerReference r:id="rId3" w:type="default"/>
          <w:footerReference r:id="rId4" w:type="default"/>
          <w:pgSz w:w="11906" w:h="16838"/>
          <w:pgMar w:top="1440" w:right="1133" w:bottom="935" w:left="1797" w:header="851" w:footer="992" w:gutter="0"/>
          <w:pgNumType w:fmt="numberInDash"/>
          <w:cols w:space="720" w:num="1"/>
          <w:docGrid w:type="lines" w:linePitch="312" w:charSpace="0"/>
        </w:sectPr>
      </w:pPr>
    </w:p>
    <w:p>
      <w:pPr>
        <w:outlineLvl w:val="1"/>
        <w:rPr>
          <w:rFonts w:ascii="宋体" w:hAnsi="宋体" w:cs="宋体"/>
          <w:b/>
          <w:bCs/>
          <w:sz w:val="24"/>
          <w:szCs w:val="32"/>
          <w:highlight w:val="yellow"/>
        </w:rPr>
      </w:pPr>
      <w:r>
        <w:rPr>
          <w:rFonts w:hint="eastAsia" w:ascii="宋体" w:hAnsi="宋体" w:cs="宋体"/>
          <w:b/>
          <w:bCs/>
          <w:sz w:val="24"/>
          <w:szCs w:val="32"/>
          <w:highlight w:val="yellow"/>
        </w:rPr>
        <w:t>附件三：政府采购云平台使用介绍</w:t>
      </w:r>
    </w:p>
    <w:p>
      <w:pPr>
        <w:rPr>
          <w:rFonts w:ascii="宋体" w:hAnsi="宋体" w:cs="宋体"/>
          <w:b/>
          <w:bCs/>
          <w:sz w:val="24"/>
          <w:szCs w:val="32"/>
          <w:highlight w:val="yellow"/>
        </w:rPr>
      </w:pPr>
      <w:r>
        <w:rPr>
          <w:rFonts w:hint="eastAsia" w:ascii="宋体" w:hAnsi="宋体" w:cs="宋体"/>
          <w:b/>
          <w:bCs/>
          <w:sz w:val="24"/>
          <w:szCs w:val="32"/>
          <w:highlight w:val="yellow"/>
        </w:rPr>
        <w:t>1.输入网址：</w:t>
      </w:r>
      <w:r>
        <w:fldChar w:fldCharType="begin"/>
      </w:r>
      <w:r>
        <w:instrText xml:space="preserve"> HYPERLINK "https://www.zcygov.cn" </w:instrText>
      </w:r>
      <w:r>
        <w:fldChar w:fldCharType="separate"/>
      </w:r>
      <w:r>
        <w:rPr>
          <w:rStyle w:val="35"/>
          <w:rFonts w:hint="eastAsia" w:ascii="宋体" w:hAnsi="宋体" w:cs="宋体"/>
          <w:b/>
          <w:bCs/>
          <w:sz w:val="24"/>
          <w:szCs w:val="32"/>
        </w:rPr>
        <w:t>https://www.zcygov.cn</w:t>
      </w:r>
      <w:r>
        <w:rPr>
          <w:rStyle w:val="35"/>
          <w:rFonts w:hint="eastAsia" w:ascii="宋体" w:hAnsi="宋体" w:cs="宋体"/>
          <w:b/>
          <w:bCs/>
          <w:sz w:val="24"/>
          <w:szCs w:val="32"/>
        </w:rPr>
        <w:fldChar w:fldCharType="end"/>
      </w:r>
    </w:p>
    <w:p>
      <w:pPr>
        <w:rPr>
          <w:rFonts w:ascii="宋体" w:hAnsi="宋体" w:cs="宋体"/>
          <w:b/>
          <w:bCs/>
          <w:sz w:val="24"/>
          <w:szCs w:val="32"/>
          <w:highlight w:val="yellow"/>
        </w:rPr>
      </w:pPr>
      <w:r>
        <w:rPr>
          <w:rFonts w:hint="eastAsia" w:ascii="宋体" w:hAnsi="宋体" w:cs="宋体"/>
          <w:b/>
          <w:bCs/>
          <w:sz w:val="24"/>
          <w:szCs w:val="32"/>
          <w:highlight w:val="yellow"/>
        </w:rPr>
        <w:t>2.选择与项目对应的行政区域如：四川省-成都市-成都市本级</w:t>
      </w:r>
    </w:p>
    <w:p>
      <w:pPr>
        <w:rPr>
          <w:highlight w:val="yellow"/>
        </w:rPr>
      </w:pPr>
      <w:r>
        <w:drawing>
          <wp:inline distT="0" distB="0" distL="0" distR="0">
            <wp:extent cx="6689090" cy="418338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7" cstate="print"/>
                    <a:srcRect/>
                    <a:stretch>
                      <a:fillRect/>
                    </a:stretch>
                  </pic:blipFill>
                  <pic:spPr>
                    <a:xfrm>
                      <a:off x="0" y="0"/>
                      <a:ext cx="6689090" cy="4183380"/>
                    </a:xfrm>
                    <a:prstGeom prst="rect">
                      <a:avLst/>
                    </a:prstGeom>
                    <a:noFill/>
                    <a:ln w="9525">
                      <a:noFill/>
                      <a:miter lim="800000"/>
                      <a:headEnd/>
                      <a:tailEnd/>
                    </a:ln>
                  </pic:spPr>
                </pic:pic>
              </a:graphicData>
            </a:graphic>
          </wp:inline>
        </w:drawing>
      </w:r>
    </w:p>
    <w:p>
      <w:pPr>
        <w:pStyle w:val="10"/>
      </w:pPr>
    </w:p>
    <w:p/>
    <w:p>
      <w:pPr>
        <w:pStyle w:val="2"/>
      </w:pPr>
    </w:p>
    <w:p>
      <w:pPr>
        <w:numPr>
          <w:ilvl w:val="0"/>
          <w:numId w:val="10"/>
        </w:numPr>
        <w:rPr>
          <w:rFonts w:ascii="宋体" w:hAnsi="宋体" w:cs="宋体"/>
          <w:b/>
          <w:bCs/>
          <w:sz w:val="24"/>
          <w:szCs w:val="32"/>
          <w:highlight w:val="yellow"/>
        </w:rPr>
      </w:pPr>
      <w:r>
        <w:rPr>
          <w:rFonts w:hint="eastAsia" w:ascii="宋体" w:hAnsi="宋体" w:cs="宋体"/>
          <w:b/>
          <w:bCs/>
          <w:sz w:val="24"/>
          <w:szCs w:val="32"/>
          <w:highlight w:val="yellow"/>
        </w:rPr>
        <w:t>点击操作指南-供应商</w:t>
      </w:r>
    </w:p>
    <w:p>
      <w:pPr>
        <w:rPr>
          <w:b/>
          <w:bCs/>
          <w:highlight w:val="yellow"/>
        </w:rPr>
      </w:pPr>
      <w:r>
        <w:drawing>
          <wp:inline distT="0" distB="0" distL="0" distR="0">
            <wp:extent cx="8855710" cy="4586605"/>
            <wp:effectExtent l="19050" t="0" r="254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8" cstate="print"/>
                    <a:srcRect/>
                    <a:stretch>
                      <a:fillRect/>
                    </a:stretch>
                  </pic:blipFill>
                  <pic:spPr>
                    <a:xfrm>
                      <a:off x="0" y="0"/>
                      <a:ext cx="8855710" cy="4586605"/>
                    </a:xfrm>
                    <a:prstGeom prst="rect">
                      <a:avLst/>
                    </a:prstGeom>
                    <a:noFill/>
                    <a:ln w="9525">
                      <a:noFill/>
                      <a:miter lim="800000"/>
                      <a:headEnd/>
                      <a:tailEnd/>
                    </a:ln>
                  </pic:spPr>
                </pic:pic>
              </a:graphicData>
            </a:graphic>
          </wp:inline>
        </w:drawing>
      </w:r>
      <w:r>
        <w:rPr>
          <w:highlight w:val="yellow"/>
        </w:rPr>
        <w:br w:type="page"/>
      </w:r>
      <w:r>
        <w:rPr>
          <w:rFonts w:hint="eastAsia" w:ascii="宋体" w:hAnsi="宋体" w:cs="宋体"/>
          <w:b/>
          <w:bCs/>
          <w:sz w:val="24"/>
          <w:szCs w:val="32"/>
          <w:highlight w:val="yellow"/>
        </w:rPr>
        <w:t>4.进入政采云供应商学习专题页面</w:t>
      </w:r>
      <w:r>
        <w:rPr>
          <w:rFonts w:hint="eastAsia"/>
          <w:b/>
          <w:bCs/>
          <w:highlight w:val="yellow"/>
        </w:rPr>
        <w:t>（https://edu.zcygov.cn/luban/xxzt-chengdu-gys?utm=a0017.b1347.cl50.5.0917bc90b7bb11eb807c353645758db6）</w:t>
      </w:r>
    </w:p>
    <w:p>
      <w:pPr>
        <w:rPr>
          <w:highlight w:val="yellow"/>
        </w:rPr>
      </w:pPr>
      <w:r>
        <w:drawing>
          <wp:inline distT="0" distB="0" distL="0" distR="0">
            <wp:extent cx="9258935" cy="4608195"/>
            <wp:effectExtent l="1905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9" cstate="print"/>
                    <a:srcRect/>
                    <a:stretch>
                      <a:fillRect/>
                    </a:stretch>
                  </pic:blipFill>
                  <pic:spPr>
                    <a:xfrm>
                      <a:off x="0" y="0"/>
                      <a:ext cx="9258935" cy="4608195"/>
                    </a:xfrm>
                    <a:prstGeom prst="rect">
                      <a:avLst/>
                    </a:prstGeom>
                    <a:noFill/>
                    <a:ln w="9525">
                      <a:noFill/>
                      <a:miter lim="800000"/>
                      <a:headEnd/>
                      <a:tailEnd/>
                    </a:ln>
                  </pic:spPr>
                </pic:pic>
              </a:graphicData>
            </a:graphic>
          </wp:inline>
        </w:drawing>
      </w:r>
    </w:p>
    <w:p>
      <w:pPr>
        <w:rPr>
          <w:rFonts w:ascii="宋体" w:hAnsi="宋体" w:cs="宋体"/>
          <w:b/>
          <w:bCs/>
          <w:sz w:val="24"/>
          <w:szCs w:val="32"/>
          <w:highlight w:val="yellow"/>
        </w:rPr>
      </w:pPr>
      <w:r>
        <w:rPr>
          <w:rFonts w:hint="eastAsia"/>
          <w:highlight w:val="yellow"/>
        </w:rPr>
        <w:br w:type="page"/>
      </w:r>
      <w:r>
        <w:rPr>
          <w:rFonts w:hint="eastAsia" w:ascii="宋体" w:hAnsi="宋体" w:cs="宋体"/>
          <w:b/>
          <w:bCs/>
          <w:sz w:val="24"/>
          <w:szCs w:val="32"/>
          <w:highlight w:val="yellow"/>
        </w:rPr>
        <w:t>5.供应商资讯服务渠道</w:t>
      </w:r>
    </w:p>
    <w:p>
      <w:pPr>
        <w:rPr>
          <w:highlight w:val="yellow"/>
        </w:rPr>
      </w:pPr>
      <w:r>
        <w:drawing>
          <wp:inline distT="0" distB="0" distL="0" distR="0">
            <wp:extent cx="9381490" cy="33623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srcRect/>
                    <a:stretch>
                      <a:fillRect/>
                    </a:stretch>
                  </pic:blipFill>
                  <pic:spPr>
                    <a:xfrm>
                      <a:off x="0" y="0"/>
                      <a:ext cx="9381490" cy="3362325"/>
                    </a:xfrm>
                    <a:prstGeom prst="rect">
                      <a:avLst/>
                    </a:prstGeom>
                    <a:noFill/>
                    <a:ln w="9525">
                      <a:noFill/>
                      <a:miter lim="800000"/>
                      <a:headEnd/>
                      <a:tailEnd/>
                    </a:ln>
                  </pic:spPr>
                </pic:pic>
              </a:graphicData>
            </a:graphic>
          </wp:inline>
        </w:drawing>
      </w:r>
    </w:p>
    <w:p>
      <w:pPr>
        <w:rPr>
          <w:highlight w:val="yellow"/>
        </w:rPr>
      </w:pPr>
      <w:r>
        <w:rPr>
          <w:highlight w:val="yellow"/>
        </w:rPr>
        <w:br w:type="page"/>
      </w:r>
      <w:r>
        <w:rPr>
          <w:rFonts w:hint="eastAsia" w:ascii="宋体" w:hAnsi="宋体" w:cs="宋体"/>
          <w:b/>
          <w:bCs/>
          <w:sz w:val="24"/>
          <w:szCs w:val="32"/>
          <w:highlight w:val="yellow"/>
        </w:rPr>
        <w:t>6.入驻政府采购云平台（注册）</w:t>
      </w:r>
    </w:p>
    <w:p>
      <w:pPr>
        <w:rPr>
          <w:highlight w:val="yellow"/>
        </w:rPr>
      </w:pPr>
      <w:r>
        <w:drawing>
          <wp:inline distT="0" distB="0" distL="0" distR="0">
            <wp:extent cx="8855710" cy="3607435"/>
            <wp:effectExtent l="1905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srcRect/>
                    <a:stretch>
                      <a:fillRect/>
                    </a:stretch>
                  </pic:blipFill>
                  <pic:spPr>
                    <a:xfrm>
                      <a:off x="0" y="0"/>
                      <a:ext cx="8855710" cy="3607435"/>
                    </a:xfrm>
                    <a:prstGeom prst="rect">
                      <a:avLst/>
                    </a:prstGeom>
                    <a:noFill/>
                    <a:ln w="9525">
                      <a:noFill/>
                      <a:miter lim="800000"/>
                      <a:headEnd/>
                      <a:tailEnd/>
                    </a:ln>
                  </pic:spPr>
                </pic:pic>
              </a:graphicData>
            </a:graphic>
          </wp:inline>
        </w:drawing>
      </w:r>
    </w:p>
    <w:p>
      <w:pPr>
        <w:rPr>
          <w:highlight w:val="yellow"/>
        </w:rPr>
      </w:pPr>
      <w:r>
        <w:rPr>
          <w:highlight w:val="yellow"/>
        </w:rPr>
        <w:br w:type="page"/>
      </w:r>
      <w:r>
        <w:rPr>
          <w:rFonts w:hint="eastAsia" w:ascii="宋体" w:hAnsi="宋体" w:cs="宋体"/>
          <w:b/>
          <w:bCs/>
          <w:sz w:val="24"/>
          <w:szCs w:val="32"/>
          <w:highlight w:val="yellow"/>
        </w:rPr>
        <w:t>7.下载《供应商政府采购项目电子交易操作指南》</w:t>
      </w:r>
    </w:p>
    <w:p>
      <w:pPr>
        <w:pStyle w:val="39"/>
        <w:spacing w:line="480" w:lineRule="auto"/>
        <w:jc w:val="both"/>
        <w:rPr>
          <w:rFonts w:ascii="黑体" w:hAnsi="黑体" w:eastAsia="黑体"/>
          <w:color w:val="000000"/>
          <w:sz w:val="36"/>
          <w:szCs w:val="36"/>
        </w:rPr>
      </w:pPr>
      <w:r>
        <w:drawing>
          <wp:inline distT="0" distB="0" distL="0" distR="0">
            <wp:extent cx="8085455" cy="4478655"/>
            <wp:effectExtent l="19050" t="0" r="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noChangeArrowheads="1"/>
                    </pic:cNvPicPr>
                  </pic:nvPicPr>
                  <pic:blipFill>
                    <a:blip r:embed="rId12" cstate="print"/>
                    <a:srcRect/>
                    <a:stretch>
                      <a:fillRect/>
                    </a:stretch>
                  </pic:blipFill>
                  <pic:spPr>
                    <a:xfrm>
                      <a:off x="0" y="0"/>
                      <a:ext cx="8085455" cy="4478655"/>
                    </a:xfrm>
                    <a:prstGeom prst="rect">
                      <a:avLst/>
                    </a:prstGeom>
                    <a:noFill/>
                    <a:ln w="9525">
                      <a:noFill/>
                      <a:miter lim="800000"/>
                      <a:headEnd/>
                      <a:tailEnd/>
                    </a:ln>
                    <a:effectLst/>
                  </pic:spPr>
                </pic:pic>
              </a:graphicData>
            </a:graphic>
          </wp:inline>
        </w:drawing>
      </w:r>
    </w:p>
    <w:p>
      <w:pPr>
        <w:rPr>
          <w:color w:val="000000"/>
        </w:rPr>
      </w:pPr>
    </w:p>
    <w:p>
      <w:pPr>
        <w:pStyle w:val="27"/>
        <w:shd w:val="clear" w:color="auto" w:fill="FFFFFF"/>
        <w:spacing w:before="0" w:beforeAutospacing="0" w:after="0" w:afterAutospacing="0" w:line="560" w:lineRule="atLeast"/>
        <w:ind w:firstLine="420"/>
        <w:textAlignment w:val="baseline"/>
        <w:rPr>
          <w:rFonts w:hAnsi="宋体" w:cs="宋体"/>
          <w:sz w:val="21"/>
          <w:szCs w:val="21"/>
        </w:rPr>
      </w:pPr>
    </w:p>
    <w:sectPr>
      <w:pgSz w:w="16838" w:h="11906" w:orient="landscape"/>
      <w:pgMar w:top="1797" w:right="1440" w:bottom="1134" w:left="936"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Segoe UI Emoji">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文本框 2"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v:path/>
          <v:fill on="f" focussize="0,0"/>
          <v:stroke on="f" joinstyle="miter"/>
          <v:imagedata o:title=""/>
          <o:lock v:ext="edit"/>
          <v:textbox inset="0mm,0mm,0mm,0mm" style="mso-fit-shape-to-text:t;">
            <w:txbxContent>
              <w:p>
                <w:pPr>
                  <w:pStyle w:val="18"/>
                  <w:jc w:val="center"/>
                </w:pPr>
                <w:r>
                  <w:fldChar w:fldCharType="begin"/>
                </w:r>
                <w:r>
                  <w:instrText xml:space="preserve">PAGE   \* MERGEFORMAT</w:instrText>
                </w:r>
                <w:r>
                  <w:fldChar w:fldCharType="separate"/>
                </w:r>
                <w:r>
                  <w:rPr>
                    <w:lang w:val="zh-CN"/>
                  </w:rPr>
                  <w:t>-</w:t>
                </w:r>
                <w:r>
                  <w:t xml:space="preserve"> 42 -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3784C"/>
    <w:multiLevelType w:val="singleLevel"/>
    <w:tmpl w:val="A263784C"/>
    <w:lvl w:ilvl="0" w:tentative="0">
      <w:start w:val="1"/>
      <w:numFmt w:val="decimal"/>
      <w:suff w:val="nothing"/>
      <w:lvlText w:val="（%1）"/>
      <w:lvlJc w:val="left"/>
    </w:lvl>
  </w:abstractNum>
  <w:abstractNum w:abstractNumId="1">
    <w:nsid w:val="E746B36A"/>
    <w:multiLevelType w:val="singleLevel"/>
    <w:tmpl w:val="E746B36A"/>
    <w:lvl w:ilvl="0" w:tentative="0">
      <w:start w:val="1"/>
      <w:numFmt w:val="decimal"/>
      <w:suff w:val="space"/>
      <w:lvlText w:val="（%1）"/>
      <w:lvlJc w:val="left"/>
    </w:lvl>
  </w:abstractNum>
  <w:abstractNum w:abstractNumId="2">
    <w:nsid w:val="0F096BDF"/>
    <w:multiLevelType w:val="singleLevel"/>
    <w:tmpl w:val="0F096BDF"/>
    <w:lvl w:ilvl="0" w:tentative="0">
      <w:start w:val="1"/>
      <w:numFmt w:val="decimal"/>
      <w:lvlText w:val="%1."/>
      <w:lvlJc w:val="left"/>
      <w:pPr>
        <w:tabs>
          <w:tab w:val="left" w:pos="312"/>
        </w:tabs>
      </w:pPr>
    </w:lvl>
  </w:abstractNum>
  <w:abstractNum w:abstractNumId="3">
    <w:nsid w:val="1517B247"/>
    <w:multiLevelType w:val="singleLevel"/>
    <w:tmpl w:val="1517B247"/>
    <w:lvl w:ilvl="0" w:tentative="0">
      <w:start w:val="3"/>
      <w:numFmt w:val="decimal"/>
      <w:lvlText w:val="%1."/>
      <w:lvlJc w:val="left"/>
      <w:pPr>
        <w:tabs>
          <w:tab w:val="left" w:pos="312"/>
        </w:tabs>
      </w:pPr>
    </w:lvl>
  </w:abstractNum>
  <w:abstractNum w:abstractNumId="4">
    <w:nsid w:val="5918003C"/>
    <w:multiLevelType w:val="singleLevel"/>
    <w:tmpl w:val="5918003C"/>
    <w:lvl w:ilvl="0" w:tentative="0">
      <w:start w:val="1"/>
      <w:numFmt w:val="decimal"/>
      <w:suff w:val="nothing"/>
      <w:lvlText w:val="%1、"/>
      <w:lvlJc w:val="left"/>
    </w:lvl>
  </w:abstractNum>
  <w:abstractNum w:abstractNumId="5">
    <w:nsid w:val="59BB425C"/>
    <w:multiLevelType w:val="singleLevel"/>
    <w:tmpl w:val="59BB425C"/>
    <w:lvl w:ilvl="0" w:tentative="0">
      <w:start w:val="1"/>
      <w:numFmt w:val="chineseCounting"/>
      <w:suff w:val="nothing"/>
      <w:lvlText w:val="（%1）"/>
      <w:lvlJc w:val="left"/>
    </w:lvl>
  </w:abstractNum>
  <w:abstractNum w:abstractNumId="6">
    <w:nsid w:val="59E6C638"/>
    <w:multiLevelType w:val="singleLevel"/>
    <w:tmpl w:val="59E6C638"/>
    <w:lvl w:ilvl="0" w:tentative="0">
      <w:start w:val="1"/>
      <w:numFmt w:val="decimal"/>
      <w:lvlText w:val="%1."/>
      <w:lvlJc w:val="left"/>
      <w:pPr>
        <w:ind w:left="425" w:hanging="425"/>
      </w:pPr>
      <w:rPr>
        <w:rFonts w:hint="default"/>
      </w:rPr>
    </w:lvl>
  </w:abstractNum>
  <w:abstractNum w:abstractNumId="7">
    <w:nsid w:val="61A4ACBA"/>
    <w:multiLevelType w:val="singleLevel"/>
    <w:tmpl w:val="61A4ACBA"/>
    <w:lvl w:ilvl="0" w:tentative="0">
      <w:start w:val="1"/>
      <w:numFmt w:val="decimal"/>
      <w:suff w:val="space"/>
      <w:lvlText w:val="%1."/>
      <w:lvlJc w:val="left"/>
    </w:lvl>
  </w:abstractNum>
  <w:abstractNum w:abstractNumId="8">
    <w:nsid w:val="6A6D7A30"/>
    <w:multiLevelType w:val="singleLevel"/>
    <w:tmpl w:val="6A6D7A30"/>
    <w:lvl w:ilvl="0" w:tentative="0">
      <w:start w:val="1"/>
      <w:numFmt w:val="decimal"/>
      <w:lvlText w:val="%1."/>
      <w:lvlJc w:val="left"/>
      <w:pPr>
        <w:tabs>
          <w:tab w:val="left" w:pos="312"/>
        </w:tabs>
      </w:pPr>
    </w:lvl>
  </w:abstractNum>
  <w:abstractNum w:abstractNumId="9">
    <w:nsid w:val="7B726789"/>
    <w:multiLevelType w:val="singleLevel"/>
    <w:tmpl w:val="7B726789"/>
    <w:lvl w:ilvl="0" w:tentative="0">
      <w:start w:val="1"/>
      <w:numFmt w:val="chineseCounting"/>
      <w:suff w:val="nothing"/>
      <w:lvlText w:val="%1、"/>
      <w:lvlJc w:val="left"/>
      <w:rPr>
        <w:rFonts w:hint="eastAsia"/>
      </w:rPr>
    </w:lvl>
  </w:abstractNum>
  <w:num w:numId="1">
    <w:abstractNumId w:val="2"/>
  </w:num>
  <w:num w:numId="2">
    <w:abstractNumId w:val="8"/>
  </w:num>
  <w:num w:numId="3">
    <w:abstractNumId w:val="1"/>
  </w:num>
  <w:num w:numId="4">
    <w:abstractNumId w:val="0"/>
  </w:num>
  <w:num w:numId="5">
    <w:abstractNumId w:val="7"/>
  </w:num>
  <w:num w:numId="6">
    <w:abstractNumId w:val="9"/>
  </w:num>
  <w:num w:numId="7">
    <w:abstractNumId w:val="4"/>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D5061D"/>
    <w:rsid w:val="0000743D"/>
    <w:rsid w:val="00007A8F"/>
    <w:rsid w:val="000173CA"/>
    <w:rsid w:val="00026A8C"/>
    <w:rsid w:val="000437A1"/>
    <w:rsid w:val="000448FA"/>
    <w:rsid w:val="00044D94"/>
    <w:rsid w:val="00050DFB"/>
    <w:rsid w:val="00051D7B"/>
    <w:rsid w:val="00052FCE"/>
    <w:rsid w:val="00054838"/>
    <w:rsid w:val="000549F2"/>
    <w:rsid w:val="00060BC0"/>
    <w:rsid w:val="00061C36"/>
    <w:rsid w:val="00065D62"/>
    <w:rsid w:val="00070042"/>
    <w:rsid w:val="000701A3"/>
    <w:rsid w:val="00080123"/>
    <w:rsid w:val="00083F01"/>
    <w:rsid w:val="00085EE8"/>
    <w:rsid w:val="0009152E"/>
    <w:rsid w:val="000917AF"/>
    <w:rsid w:val="00092FA6"/>
    <w:rsid w:val="00096DEB"/>
    <w:rsid w:val="00097490"/>
    <w:rsid w:val="00097A4C"/>
    <w:rsid w:val="000C5129"/>
    <w:rsid w:val="000D3857"/>
    <w:rsid w:val="000D53CE"/>
    <w:rsid w:val="000E4C43"/>
    <w:rsid w:val="001022AB"/>
    <w:rsid w:val="00110EB1"/>
    <w:rsid w:val="0011160E"/>
    <w:rsid w:val="001159A4"/>
    <w:rsid w:val="00130E82"/>
    <w:rsid w:val="001416BF"/>
    <w:rsid w:val="00143591"/>
    <w:rsid w:val="00145C22"/>
    <w:rsid w:val="00160460"/>
    <w:rsid w:val="00161F33"/>
    <w:rsid w:val="00166AB7"/>
    <w:rsid w:val="001741EF"/>
    <w:rsid w:val="0017503B"/>
    <w:rsid w:val="001801D5"/>
    <w:rsid w:val="001844E6"/>
    <w:rsid w:val="00197EE8"/>
    <w:rsid w:val="001A1E1B"/>
    <w:rsid w:val="001A22E9"/>
    <w:rsid w:val="001B172A"/>
    <w:rsid w:val="001B30C6"/>
    <w:rsid w:val="001C10C1"/>
    <w:rsid w:val="001C34D4"/>
    <w:rsid w:val="001D56B2"/>
    <w:rsid w:val="001E216D"/>
    <w:rsid w:val="001E219E"/>
    <w:rsid w:val="001F04B1"/>
    <w:rsid w:val="002277E0"/>
    <w:rsid w:val="00231FE1"/>
    <w:rsid w:val="002333BB"/>
    <w:rsid w:val="002363D8"/>
    <w:rsid w:val="0023694D"/>
    <w:rsid w:val="002459D4"/>
    <w:rsid w:val="00257A4C"/>
    <w:rsid w:val="00280115"/>
    <w:rsid w:val="00283977"/>
    <w:rsid w:val="002878EE"/>
    <w:rsid w:val="002A0DE3"/>
    <w:rsid w:val="002A34C9"/>
    <w:rsid w:val="002A7F94"/>
    <w:rsid w:val="002D2DEB"/>
    <w:rsid w:val="002D50E9"/>
    <w:rsid w:val="002D571B"/>
    <w:rsid w:val="002D7385"/>
    <w:rsid w:val="002D76D5"/>
    <w:rsid w:val="002E133E"/>
    <w:rsid w:val="002E2CCC"/>
    <w:rsid w:val="002E2E56"/>
    <w:rsid w:val="002F0042"/>
    <w:rsid w:val="002F0188"/>
    <w:rsid w:val="002F2EA0"/>
    <w:rsid w:val="002F6BB4"/>
    <w:rsid w:val="00301BE9"/>
    <w:rsid w:val="00307C44"/>
    <w:rsid w:val="00311F60"/>
    <w:rsid w:val="0031463A"/>
    <w:rsid w:val="003151AC"/>
    <w:rsid w:val="0032096F"/>
    <w:rsid w:val="00327F7F"/>
    <w:rsid w:val="00340070"/>
    <w:rsid w:val="00345947"/>
    <w:rsid w:val="003502EC"/>
    <w:rsid w:val="00370C78"/>
    <w:rsid w:val="00382B32"/>
    <w:rsid w:val="00396E38"/>
    <w:rsid w:val="003974FD"/>
    <w:rsid w:val="003A0206"/>
    <w:rsid w:val="003A084A"/>
    <w:rsid w:val="003A376E"/>
    <w:rsid w:val="003A6CAD"/>
    <w:rsid w:val="003B1322"/>
    <w:rsid w:val="003B2226"/>
    <w:rsid w:val="003C22C8"/>
    <w:rsid w:val="003C52C6"/>
    <w:rsid w:val="003D0130"/>
    <w:rsid w:val="003D67A0"/>
    <w:rsid w:val="003D7CF5"/>
    <w:rsid w:val="003F0DC5"/>
    <w:rsid w:val="003F353D"/>
    <w:rsid w:val="00400370"/>
    <w:rsid w:val="0040150B"/>
    <w:rsid w:val="0041072B"/>
    <w:rsid w:val="00413688"/>
    <w:rsid w:val="00413734"/>
    <w:rsid w:val="00422F7B"/>
    <w:rsid w:val="004244B5"/>
    <w:rsid w:val="004311FD"/>
    <w:rsid w:val="0043225A"/>
    <w:rsid w:val="004335D1"/>
    <w:rsid w:val="00444350"/>
    <w:rsid w:val="0046036C"/>
    <w:rsid w:val="004621CD"/>
    <w:rsid w:val="00472FE9"/>
    <w:rsid w:val="00473247"/>
    <w:rsid w:val="004736A7"/>
    <w:rsid w:val="00476A97"/>
    <w:rsid w:val="00477110"/>
    <w:rsid w:val="004834D3"/>
    <w:rsid w:val="00484378"/>
    <w:rsid w:val="004A33E1"/>
    <w:rsid w:val="004A4C36"/>
    <w:rsid w:val="004A6300"/>
    <w:rsid w:val="004B009B"/>
    <w:rsid w:val="004E6A4F"/>
    <w:rsid w:val="00500787"/>
    <w:rsid w:val="005121B1"/>
    <w:rsid w:val="00516A9C"/>
    <w:rsid w:val="00517EA2"/>
    <w:rsid w:val="00520897"/>
    <w:rsid w:val="00522B0A"/>
    <w:rsid w:val="00525CB7"/>
    <w:rsid w:val="005261A0"/>
    <w:rsid w:val="00534088"/>
    <w:rsid w:val="0053442D"/>
    <w:rsid w:val="00536FC4"/>
    <w:rsid w:val="00542D7A"/>
    <w:rsid w:val="00551E86"/>
    <w:rsid w:val="0055785C"/>
    <w:rsid w:val="00564831"/>
    <w:rsid w:val="00565C59"/>
    <w:rsid w:val="00566CBC"/>
    <w:rsid w:val="00567137"/>
    <w:rsid w:val="005701E9"/>
    <w:rsid w:val="00575A12"/>
    <w:rsid w:val="00580BA9"/>
    <w:rsid w:val="00592FB9"/>
    <w:rsid w:val="005A4544"/>
    <w:rsid w:val="005B3A03"/>
    <w:rsid w:val="005C7D45"/>
    <w:rsid w:val="005D71F0"/>
    <w:rsid w:val="005F5C01"/>
    <w:rsid w:val="00603203"/>
    <w:rsid w:val="0060346A"/>
    <w:rsid w:val="00617C3C"/>
    <w:rsid w:val="00623C6A"/>
    <w:rsid w:val="00635CFB"/>
    <w:rsid w:val="0063602A"/>
    <w:rsid w:val="006401AC"/>
    <w:rsid w:val="0064355D"/>
    <w:rsid w:val="0066083D"/>
    <w:rsid w:val="006658A5"/>
    <w:rsid w:val="00666B4E"/>
    <w:rsid w:val="00675E54"/>
    <w:rsid w:val="00676227"/>
    <w:rsid w:val="0067728B"/>
    <w:rsid w:val="00683877"/>
    <w:rsid w:val="00685C36"/>
    <w:rsid w:val="006938BA"/>
    <w:rsid w:val="006963A1"/>
    <w:rsid w:val="00696D5A"/>
    <w:rsid w:val="006A5A1C"/>
    <w:rsid w:val="006A6058"/>
    <w:rsid w:val="006B1C97"/>
    <w:rsid w:val="006B362C"/>
    <w:rsid w:val="006B528D"/>
    <w:rsid w:val="006C4009"/>
    <w:rsid w:val="006E142F"/>
    <w:rsid w:val="00701A52"/>
    <w:rsid w:val="00707D33"/>
    <w:rsid w:val="00710880"/>
    <w:rsid w:val="007135C3"/>
    <w:rsid w:val="00721344"/>
    <w:rsid w:val="00721FFA"/>
    <w:rsid w:val="007276E6"/>
    <w:rsid w:val="00735F71"/>
    <w:rsid w:val="00751AC0"/>
    <w:rsid w:val="00753E50"/>
    <w:rsid w:val="00753E8E"/>
    <w:rsid w:val="00754D64"/>
    <w:rsid w:val="00765ABF"/>
    <w:rsid w:val="007808F8"/>
    <w:rsid w:val="00781799"/>
    <w:rsid w:val="007941FC"/>
    <w:rsid w:val="007C041C"/>
    <w:rsid w:val="007C3CD1"/>
    <w:rsid w:val="007C4853"/>
    <w:rsid w:val="007C63C1"/>
    <w:rsid w:val="007C7304"/>
    <w:rsid w:val="007D6032"/>
    <w:rsid w:val="007D6CED"/>
    <w:rsid w:val="007E6CCD"/>
    <w:rsid w:val="007F488B"/>
    <w:rsid w:val="007F7840"/>
    <w:rsid w:val="0080492F"/>
    <w:rsid w:val="00820A75"/>
    <w:rsid w:val="00825313"/>
    <w:rsid w:val="00831AB0"/>
    <w:rsid w:val="00836043"/>
    <w:rsid w:val="008378EA"/>
    <w:rsid w:val="00846133"/>
    <w:rsid w:val="00852E93"/>
    <w:rsid w:val="00854071"/>
    <w:rsid w:val="00856BBF"/>
    <w:rsid w:val="00865575"/>
    <w:rsid w:val="0086595D"/>
    <w:rsid w:val="00870542"/>
    <w:rsid w:val="00872C76"/>
    <w:rsid w:val="00874227"/>
    <w:rsid w:val="008758FA"/>
    <w:rsid w:val="008764C9"/>
    <w:rsid w:val="00880EDD"/>
    <w:rsid w:val="0088240C"/>
    <w:rsid w:val="00886A5B"/>
    <w:rsid w:val="00897DE6"/>
    <w:rsid w:val="008A100A"/>
    <w:rsid w:val="008A1752"/>
    <w:rsid w:val="008A5176"/>
    <w:rsid w:val="008B3E5F"/>
    <w:rsid w:val="008C247C"/>
    <w:rsid w:val="008C3285"/>
    <w:rsid w:val="008C685A"/>
    <w:rsid w:val="008D05ED"/>
    <w:rsid w:val="008D17AA"/>
    <w:rsid w:val="008D7F30"/>
    <w:rsid w:val="008E0B29"/>
    <w:rsid w:val="008E513F"/>
    <w:rsid w:val="008F18ED"/>
    <w:rsid w:val="008F1A25"/>
    <w:rsid w:val="008F7185"/>
    <w:rsid w:val="0091157C"/>
    <w:rsid w:val="009124F4"/>
    <w:rsid w:val="00912629"/>
    <w:rsid w:val="00917C90"/>
    <w:rsid w:val="00920FEB"/>
    <w:rsid w:val="00927596"/>
    <w:rsid w:val="00936B42"/>
    <w:rsid w:val="00943EB9"/>
    <w:rsid w:val="009512AA"/>
    <w:rsid w:val="0096220F"/>
    <w:rsid w:val="00965504"/>
    <w:rsid w:val="00970005"/>
    <w:rsid w:val="00971D1C"/>
    <w:rsid w:val="00974872"/>
    <w:rsid w:val="00977972"/>
    <w:rsid w:val="009840A7"/>
    <w:rsid w:val="009855C7"/>
    <w:rsid w:val="00986A2E"/>
    <w:rsid w:val="009A1216"/>
    <w:rsid w:val="009A66C1"/>
    <w:rsid w:val="009A78E7"/>
    <w:rsid w:val="009B39F0"/>
    <w:rsid w:val="009B3AE1"/>
    <w:rsid w:val="009B562B"/>
    <w:rsid w:val="009C0DB2"/>
    <w:rsid w:val="009C2670"/>
    <w:rsid w:val="009C5330"/>
    <w:rsid w:val="009D3801"/>
    <w:rsid w:val="009D48C9"/>
    <w:rsid w:val="009D4E74"/>
    <w:rsid w:val="009D5786"/>
    <w:rsid w:val="009E32D2"/>
    <w:rsid w:val="009F1E7D"/>
    <w:rsid w:val="00A13975"/>
    <w:rsid w:val="00A151A2"/>
    <w:rsid w:val="00A37B7C"/>
    <w:rsid w:val="00A40907"/>
    <w:rsid w:val="00A411B3"/>
    <w:rsid w:val="00A45CC2"/>
    <w:rsid w:val="00A46355"/>
    <w:rsid w:val="00A4687A"/>
    <w:rsid w:val="00A47FEF"/>
    <w:rsid w:val="00A54241"/>
    <w:rsid w:val="00A542AB"/>
    <w:rsid w:val="00A55C3B"/>
    <w:rsid w:val="00A63487"/>
    <w:rsid w:val="00A6777F"/>
    <w:rsid w:val="00A67B06"/>
    <w:rsid w:val="00A75FF0"/>
    <w:rsid w:val="00A81C21"/>
    <w:rsid w:val="00A84761"/>
    <w:rsid w:val="00A94EEC"/>
    <w:rsid w:val="00A97723"/>
    <w:rsid w:val="00AA001E"/>
    <w:rsid w:val="00AA077C"/>
    <w:rsid w:val="00AA1F2D"/>
    <w:rsid w:val="00AA41CA"/>
    <w:rsid w:val="00AB0359"/>
    <w:rsid w:val="00AB24FE"/>
    <w:rsid w:val="00AB31F4"/>
    <w:rsid w:val="00AC6084"/>
    <w:rsid w:val="00AD2357"/>
    <w:rsid w:val="00AD27FA"/>
    <w:rsid w:val="00AF24DA"/>
    <w:rsid w:val="00AF48BE"/>
    <w:rsid w:val="00B23EEC"/>
    <w:rsid w:val="00B24F75"/>
    <w:rsid w:val="00B31D56"/>
    <w:rsid w:val="00B337AF"/>
    <w:rsid w:val="00B35A30"/>
    <w:rsid w:val="00B523FD"/>
    <w:rsid w:val="00B56938"/>
    <w:rsid w:val="00B57619"/>
    <w:rsid w:val="00B57B34"/>
    <w:rsid w:val="00B63E83"/>
    <w:rsid w:val="00B6414C"/>
    <w:rsid w:val="00B71543"/>
    <w:rsid w:val="00B728FA"/>
    <w:rsid w:val="00B77D94"/>
    <w:rsid w:val="00B87F59"/>
    <w:rsid w:val="00BA0AAD"/>
    <w:rsid w:val="00BA3C56"/>
    <w:rsid w:val="00BA616C"/>
    <w:rsid w:val="00BB792D"/>
    <w:rsid w:val="00BC17EA"/>
    <w:rsid w:val="00BC5F73"/>
    <w:rsid w:val="00BC6360"/>
    <w:rsid w:val="00BE0AA4"/>
    <w:rsid w:val="00BE1A73"/>
    <w:rsid w:val="00BE548D"/>
    <w:rsid w:val="00BE7410"/>
    <w:rsid w:val="00BF6552"/>
    <w:rsid w:val="00BF6B00"/>
    <w:rsid w:val="00C112A0"/>
    <w:rsid w:val="00C21E20"/>
    <w:rsid w:val="00C2211A"/>
    <w:rsid w:val="00C30052"/>
    <w:rsid w:val="00C31144"/>
    <w:rsid w:val="00C319F9"/>
    <w:rsid w:val="00C33D19"/>
    <w:rsid w:val="00C35FF7"/>
    <w:rsid w:val="00C412D9"/>
    <w:rsid w:val="00C44AB9"/>
    <w:rsid w:val="00C46211"/>
    <w:rsid w:val="00C571FC"/>
    <w:rsid w:val="00C5782A"/>
    <w:rsid w:val="00C712F0"/>
    <w:rsid w:val="00C71BB2"/>
    <w:rsid w:val="00C750CE"/>
    <w:rsid w:val="00C777C1"/>
    <w:rsid w:val="00C8262B"/>
    <w:rsid w:val="00C82E74"/>
    <w:rsid w:val="00C84B09"/>
    <w:rsid w:val="00C8550C"/>
    <w:rsid w:val="00CA232D"/>
    <w:rsid w:val="00CA7B2D"/>
    <w:rsid w:val="00CB2840"/>
    <w:rsid w:val="00CC62B4"/>
    <w:rsid w:val="00CC69F6"/>
    <w:rsid w:val="00CD2507"/>
    <w:rsid w:val="00CD3B23"/>
    <w:rsid w:val="00CE0916"/>
    <w:rsid w:val="00CE78F7"/>
    <w:rsid w:val="00CF1B98"/>
    <w:rsid w:val="00D06117"/>
    <w:rsid w:val="00D13CAA"/>
    <w:rsid w:val="00D16768"/>
    <w:rsid w:val="00D171D9"/>
    <w:rsid w:val="00D2072F"/>
    <w:rsid w:val="00D25429"/>
    <w:rsid w:val="00D26D02"/>
    <w:rsid w:val="00D32D6C"/>
    <w:rsid w:val="00D33D97"/>
    <w:rsid w:val="00D34CD3"/>
    <w:rsid w:val="00D3653F"/>
    <w:rsid w:val="00D3658A"/>
    <w:rsid w:val="00D43ECA"/>
    <w:rsid w:val="00D4537E"/>
    <w:rsid w:val="00D46EA9"/>
    <w:rsid w:val="00D5061D"/>
    <w:rsid w:val="00D5572B"/>
    <w:rsid w:val="00D558A8"/>
    <w:rsid w:val="00D60052"/>
    <w:rsid w:val="00D61221"/>
    <w:rsid w:val="00D674D6"/>
    <w:rsid w:val="00D741F1"/>
    <w:rsid w:val="00D7564A"/>
    <w:rsid w:val="00DA2BEA"/>
    <w:rsid w:val="00DA5671"/>
    <w:rsid w:val="00DA57BD"/>
    <w:rsid w:val="00DB0C04"/>
    <w:rsid w:val="00DB112D"/>
    <w:rsid w:val="00DB16E4"/>
    <w:rsid w:val="00DD5D81"/>
    <w:rsid w:val="00DE4CF4"/>
    <w:rsid w:val="00DE5C30"/>
    <w:rsid w:val="00E02B51"/>
    <w:rsid w:val="00E14F55"/>
    <w:rsid w:val="00E200DC"/>
    <w:rsid w:val="00E212FF"/>
    <w:rsid w:val="00E213AB"/>
    <w:rsid w:val="00E2286E"/>
    <w:rsid w:val="00E26E51"/>
    <w:rsid w:val="00E3387A"/>
    <w:rsid w:val="00E34F72"/>
    <w:rsid w:val="00E46F97"/>
    <w:rsid w:val="00E47331"/>
    <w:rsid w:val="00E56987"/>
    <w:rsid w:val="00E57ACE"/>
    <w:rsid w:val="00E667C0"/>
    <w:rsid w:val="00E675C8"/>
    <w:rsid w:val="00E75430"/>
    <w:rsid w:val="00E82524"/>
    <w:rsid w:val="00E92B7D"/>
    <w:rsid w:val="00E96A23"/>
    <w:rsid w:val="00EA10E9"/>
    <w:rsid w:val="00EA26CD"/>
    <w:rsid w:val="00EA6683"/>
    <w:rsid w:val="00EB03C9"/>
    <w:rsid w:val="00EB530C"/>
    <w:rsid w:val="00EC1B98"/>
    <w:rsid w:val="00ED03E5"/>
    <w:rsid w:val="00ED74F5"/>
    <w:rsid w:val="00EE2F9A"/>
    <w:rsid w:val="00EF2535"/>
    <w:rsid w:val="00EF5CE7"/>
    <w:rsid w:val="00F06064"/>
    <w:rsid w:val="00F06EC4"/>
    <w:rsid w:val="00F11785"/>
    <w:rsid w:val="00F27328"/>
    <w:rsid w:val="00F32513"/>
    <w:rsid w:val="00F3699A"/>
    <w:rsid w:val="00F36DF3"/>
    <w:rsid w:val="00F37470"/>
    <w:rsid w:val="00F4380E"/>
    <w:rsid w:val="00F52095"/>
    <w:rsid w:val="00F57AAC"/>
    <w:rsid w:val="00F603AB"/>
    <w:rsid w:val="00F637F8"/>
    <w:rsid w:val="00F66C8A"/>
    <w:rsid w:val="00F861FE"/>
    <w:rsid w:val="00F92644"/>
    <w:rsid w:val="00F93AA0"/>
    <w:rsid w:val="00FA37FB"/>
    <w:rsid w:val="00FA6B53"/>
    <w:rsid w:val="00FA6E6C"/>
    <w:rsid w:val="00FA7C90"/>
    <w:rsid w:val="00FB3DB7"/>
    <w:rsid w:val="00FB49EC"/>
    <w:rsid w:val="00FC1B03"/>
    <w:rsid w:val="00FC4BCF"/>
    <w:rsid w:val="00FC5F8B"/>
    <w:rsid w:val="00FD5FBF"/>
    <w:rsid w:val="00FD6677"/>
    <w:rsid w:val="00FD686E"/>
    <w:rsid w:val="00FD7D19"/>
    <w:rsid w:val="00FF3D6F"/>
    <w:rsid w:val="00FF7050"/>
    <w:rsid w:val="023356FA"/>
    <w:rsid w:val="02B900C5"/>
    <w:rsid w:val="02C535B6"/>
    <w:rsid w:val="02EA098E"/>
    <w:rsid w:val="03973298"/>
    <w:rsid w:val="042A6C22"/>
    <w:rsid w:val="043047A6"/>
    <w:rsid w:val="04447020"/>
    <w:rsid w:val="05626613"/>
    <w:rsid w:val="05893766"/>
    <w:rsid w:val="05BD4143"/>
    <w:rsid w:val="062A6008"/>
    <w:rsid w:val="0655785B"/>
    <w:rsid w:val="071074B2"/>
    <w:rsid w:val="07EC1433"/>
    <w:rsid w:val="086F43BC"/>
    <w:rsid w:val="0B0B5C87"/>
    <w:rsid w:val="0CD00436"/>
    <w:rsid w:val="0D465200"/>
    <w:rsid w:val="0D9E2369"/>
    <w:rsid w:val="0E382A86"/>
    <w:rsid w:val="0F6B5466"/>
    <w:rsid w:val="10DA312C"/>
    <w:rsid w:val="126800BD"/>
    <w:rsid w:val="12794DF4"/>
    <w:rsid w:val="13090D87"/>
    <w:rsid w:val="130B7219"/>
    <w:rsid w:val="13F82040"/>
    <w:rsid w:val="155B4F68"/>
    <w:rsid w:val="16840386"/>
    <w:rsid w:val="16BF124E"/>
    <w:rsid w:val="173B7452"/>
    <w:rsid w:val="17AB5E6A"/>
    <w:rsid w:val="17C17CBB"/>
    <w:rsid w:val="18716904"/>
    <w:rsid w:val="18893FA6"/>
    <w:rsid w:val="1889702D"/>
    <w:rsid w:val="19881EAD"/>
    <w:rsid w:val="19885EE1"/>
    <w:rsid w:val="1A326F98"/>
    <w:rsid w:val="1A6721C7"/>
    <w:rsid w:val="1AD27E86"/>
    <w:rsid w:val="1C725EA4"/>
    <w:rsid w:val="1CFA0318"/>
    <w:rsid w:val="1D301776"/>
    <w:rsid w:val="1F2032D0"/>
    <w:rsid w:val="20487F5A"/>
    <w:rsid w:val="20BB1B1C"/>
    <w:rsid w:val="210B61AE"/>
    <w:rsid w:val="215B264D"/>
    <w:rsid w:val="2172252D"/>
    <w:rsid w:val="219352CC"/>
    <w:rsid w:val="226B0B1E"/>
    <w:rsid w:val="23900A53"/>
    <w:rsid w:val="23AB0FB7"/>
    <w:rsid w:val="23FD53FA"/>
    <w:rsid w:val="25F0354A"/>
    <w:rsid w:val="269B0651"/>
    <w:rsid w:val="276F5EF8"/>
    <w:rsid w:val="2ACA7BBB"/>
    <w:rsid w:val="2B854319"/>
    <w:rsid w:val="2BCA7BE5"/>
    <w:rsid w:val="2D08128E"/>
    <w:rsid w:val="2E3F46E1"/>
    <w:rsid w:val="2E8C32DF"/>
    <w:rsid w:val="2EA22EE8"/>
    <w:rsid w:val="302A2C5F"/>
    <w:rsid w:val="30BC5337"/>
    <w:rsid w:val="314B29C9"/>
    <w:rsid w:val="32B107E3"/>
    <w:rsid w:val="32C70961"/>
    <w:rsid w:val="332E69FC"/>
    <w:rsid w:val="33F132B1"/>
    <w:rsid w:val="34BE6ABA"/>
    <w:rsid w:val="363E5A1F"/>
    <w:rsid w:val="366F168D"/>
    <w:rsid w:val="36EE4BE8"/>
    <w:rsid w:val="372F1DA2"/>
    <w:rsid w:val="38657923"/>
    <w:rsid w:val="386B60E5"/>
    <w:rsid w:val="386F3EEE"/>
    <w:rsid w:val="391B2EA3"/>
    <w:rsid w:val="3C0300D9"/>
    <w:rsid w:val="3C2E573B"/>
    <w:rsid w:val="3CB129FD"/>
    <w:rsid w:val="3CE14109"/>
    <w:rsid w:val="3D887B16"/>
    <w:rsid w:val="3E3E1FE6"/>
    <w:rsid w:val="3F673365"/>
    <w:rsid w:val="40A500BB"/>
    <w:rsid w:val="40F5562D"/>
    <w:rsid w:val="412A688F"/>
    <w:rsid w:val="41642502"/>
    <w:rsid w:val="41CB62FD"/>
    <w:rsid w:val="41FD233B"/>
    <w:rsid w:val="42B10714"/>
    <w:rsid w:val="42BF7D27"/>
    <w:rsid w:val="44961CEE"/>
    <w:rsid w:val="44B7526A"/>
    <w:rsid w:val="46CE0130"/>
    <w:rsid w:val="46F640BC"/>
    <w:rsid w:val="47183AED"/>
    <w:rsid w:val="476A16A2"/>
    <w:rsid w:val="49B27DB8"/>
    <w:rsid w:val="4A0D1F8A"/>
    <w:rsid w:val="4A6F4984"/>
    <w:rsid w:val="4C353CED"/>
    <w:rsid w:val="4C554D09"/>
    <w:rsid w:val="4D3A6771"/>
    <w:rsid w:val="4D4464B9"/>
    <w:rsid w:val="4D5C5089"/>
    <w:rsid w:val="4DAD4E02"/>
    <w:rsid w:val="4DF946A8"/>
    <w:rsid w:val="4EC125E5"/>
    <w:rsid w:val="4EF8760D"/>
    <w:rsid w:val="4F115D39"/>
    <w:rsid w:val="4F2C6F4D"/>
    <w:rsid w:val="508B593B"/>
    <w:rsid w:val="51935DC2"/>
    <w:rsid w:val="519B0712"/>
    <w:rsid w:val="52E86BFA"/>
    <w:rsid w:val="53E70989"/>
    <w:rsid w:val="54B84DE4"/>
    <w:rsid w:val="55A61CD7"/>
    <w:rsid w:val="55E477C7"/>
    <w:rsid w:val="55FE418B"/>
    <w:rsid w:val="56AE4B02"/>
    <w:rsid w:val="56BC788B"/>
    <w:rsid w:val="56F0748B"/>
    <w:rsid w:val="57381D99"/>
    <w:rsid w:val="57B83E3F"/>
    <w:rsid w:val="589F3E37"/>
    <w:rsid w:val="58A3737F"/>
    <w:rsid w:val="595B0574"/>
    <w:rsid w:val="599436ED"/>
    <w:rsid w:val="5ACA0C17"/>
    <w:rsid w:val="5ACF3930"/>
    <w:rsid w:val="5B8A1F98"/>
    <w:rsid w:val="5D227FD8"/>
    <w:rsid w:val="5DB66D38"/>
    <w:rsid w:val="5DD03539"/>
    <w:rsid w:val="5EE31DC2"/>
    <w:rsid w:val="5F877A06"/>
    <w:rsid w:val="60A44555"/>
    <w:rsid w:val="60F67397"/>
    <w:rsid w:val="60F74EF3"/>
    <w:rsid w:val="615F28E8"/>
    <w:rsid w:val="62BD0FF8"/>
    <w:rsid w:val="631101E4"/>
    <w:rsid w:val="63191183"/>
    <w:rsid w:val="63660F9F"/>
    <w:rsid w:val="63C8722F"/>
    <w:rsid w:val="64290C2E"/>
    <w:rsid w:val="64430186"/>
    <w:rsid w:val="656A6BB9"/>
    <w:rsid w:val="65C26448"/>
    <w:rsid w:val="66945422"/>
    <w:rsid w:val="6753037D"/>
    <w:rsid w:val="67F31D30"/>
    <w:rsid w:val="69206784"/>
    <w:rsid w:val="6A344EB8"/>
    <w:rsid w:val="6A53713F"/>
    <w:rsid w:val="6B2B1EF7"/>
    <w:rsid w:val="6BD41301"/>
    <w:rsid w:val="6CDB64A9"/>
    <w:rsid w:val="6F1F5CBA"/>
    <w:rsid w:val="6F9E26CD"/>
    <w:rsid w:val="701846EA"/>
    <w:rsid w:val="70CC52A2"/>
    <w:rsid w:val="71804D78"/>
    <w:rsid w:val="719E2A79"/>
    <w:rsid w:val="72124944"/>
    <w:rsid w:val="725C7016"/>
    <w:rsid w:val="73841026"/>
    <w:rsid w:val="742166BA"/>
    <w:rsid w:val="74A93B41"/>
    <w:rsid w:val="76115330"/>
    <w:rsid w:val="77684DEB"/>
    <w:rsid w:val="780A430C"/>
    <w:rsid w:val="7B101C72"/>
    <w:rsid w:val="7B291D0F"/>
    <w:rsid w:val="7B600372"/>
    <w:rsid w:val="7B6C4D41"/>
    <w:rsid w:val="7C0C052C"/>
    <w:rsid w:val="7C7F59E8"/>
    <w:rsid w:val="7D6C498F"/>
    <w:rsid w:val="7EE82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name="Date"/>
    <w:lsdException w:qFormat="1" w:uiPriority="99" w:semiHidden="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2">
    <w:name w:val="heading 4"/>
    <w:basedOn w:val="1"/>
    <w:next w:val="1"/>
    <w:qFormat/>
    <w:uiPriority w:val="9"/>
    <w:pPr>
      <w:keepNext/>
      <w:spacing w:before="240" w:after="60"/>
      <w:jc w:val="center"/>
      <w:outlineLvl w:val="3"/>
    </w:pPr>
    <w:rPr>
      <w:b/>
      <w:bCs/>
      <w:sz w:val="28"/>
      <w:szCs w:val="28"/>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szCs w:val="22"/>
    </w:rPr>
  </w:style>
  <w:style w:type="paragraph" w:styleId="7">
    <w:name w:val="Normal Indent"/>
    <w:basedOn w:val="1"/>
    <w:qFormat/>
    <w:uiPriority w:val="0"/>
    <w:pPr>
      <w:ind w:firstLine="200" w:firstLineChars="200"/>
    </w:pPr>
  </w:style>
  <w:style w:type="paragraph" w:styleId="8">
    <w:name w:val="Document Map"/>
    <w:basedOn w:val="1"/>
    <w:semiHidden/>
    <w:qFormat/>
    <w:uiPriority w:val="0"/>
    <w:pPr>
      <w:shd w:val="clear" w:color="auto" w:fill="000080"/>
    </w:pPr>
  </w:style>
  <w:style w:type="paragraph" w:styleId="9">
    <w:name w:val="annotation text"/>
    <w:basedOn w:val="1"/>
    <w:link w:val="57"/>
    <w:qFormat/>
    <w:uiPriority w:val="0"/>
    <w:pPr>
      <w:jc w:val="left"/>
    </w:pPr>
    <w:rPr>
      <w:rFonts w:ascii="Calibri" w:hAnsi="Calibri"/>
    </w:rPr>
  </w:style>
  <w:style w:type="paragraph" w:styleId="10">
    <w:name w:val="Body Text"/>
    <w:basedOn w:val="1"/>
    <w:next w:val="1"/>
    <w:link w:val="55"/>
    <w:qFormat/>
    <w:uiPriority w:val="0"/>
    <w:pPr>
      <w:spacing w:after="120"/>
    </w:pPr>
  </w:style>
  <w:style w:type="paragraph" w:styleId="11">
    <w:name w:val="Body Text Indent"/>
    <w:basedOn w:val="1"/>
    <w:link w:val="61"/>
    <w:qFormat/>
    <w:uiPriority w:val="0"/>
    <w:pPr>
      <w:ind w:firstLine="630"/>
    </w:pPr>
    <w:rPr>
      <w:rFonts w:ascii="Calibri" w:hAnsi="Calibri"/>
      <w:sz w:val="32"/>
      <w:szCs w:val="20"/>
    </w:rPr>
  </w:style>
  <w:style w:type="paragraph" w:styleId="12">
    <w:name w:val="toc 5"/>
    <w:basedOn w:val="1"/>
    <w:next w:val="1"/>
    <w:unhideWhenUsed/>
    <w:qFormat/>
    <w:uiPriority w:val="39"/>
    <w:pPr>
      <w:ind w:left="1680" w:leftChars="800"/>
    </w:pPr>
    <w:rPr>
      <w:rFonts w:ascii="Calibri" w:hAnsi="Calibri"/>
      <w:szCs w:val="22"/>
    </w:rPr>
  </w:style>
  <w:style w:type="paragraph" w:styleId="13">
    <w:name w:val="toc 3"/>
    <w:basedOn w:val="1"/>
    <w:next w:val="1"/>
    <w:qFormat/>
    <w:uiPriority w:val="39"/>
    <w:pPr>
      <w:ind w:left="840" w:leftChars="400"/>
    </w:pPr>
  </w:style>
  <w:style w:type="paragraph" w:styleId="14">
    <w:name w:val="Plain Text"/>
    <w:basedOn w:val="1"/>
    <w:link w:val="82"/>
    <w:qFormat/>
    <w:uiPriority w:val="0"/>
    <w:pPr>
      <w:autoSpaceDE w:val="0"/>
      <w:autoSpaceDN w:val="0"/>
      <w:adjustRightInd w:val="0"/>
    </w:pPr>
    <w:rPr>
      <w:rFonts w:ascii="宋体" w:hAnsi="Tms Rmn"/>
      <w:kern w:val="0"/>
      <w:szCs w:val="20"/>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Date"/>
    <w:basedOn w:val="1"/>
    <w:next w:val="1"/>
    <w:link w:val="56"/>
    <w:semiHidden/>
    <w:qFormat/>
    <w:uiPriority w:val="0"/>
    <w:rPr>
      <w:szCs w:val="20"/>
    </w:rPr>
  </w:style>
  <w:style w:type="paragraph" w:styleId="17">
    <w:name w:val="Balloon Text"/>
    <w:basedOn w:val="1"/>
    <w:link w:val="60"/>
    <w:semiHidden/>
    <w:qFormat/>
    <w:uiPriority w:val="0"/>
    <w:rPr>
      <w:rFonts w:ascii="Calibri" w:hAnsi="Calibri"/>
      <w:sz w:val="18"/>
      <w:szCs w:val="18"/>
    </w:rPr>
  </w:style>
  <w:style w:type="paragraph" w:styleId="18">
    <w:name w:val="footer"/>
    <w:basedOn w:val="1"/>
    <w:link w:val="63"/>
    <w:qFormat/>
    <w:uiPriority w:val="99"/>
    <w:pPr>
      <w:tabs>
        <w:tab w:val="center" w:pos="4153"/>
        <w:tab w:val="right" w:pos="8306"/>
      </w:tabs>
      <w:snapToGrid w:val="0"/>
      <w:jc w:val="left"/>
    </w:pPr>
    <w:rPr>
      <w:rFonts w:ascii="Calibri" w:hAnsi="Calibri"/>
      <w:sz w:val="18"/>
      <w:szCs w:val="20"/>
    </w:rPr>
  </w:style>
  <w:style w:type="paragraph" w:styleId="19">
    <w:name w:val="header"/>
    <w:basedOn w:val="1"/>
    <w:link w:val="54"/>
    <w:qFormat/>
    <w:uiPriority w:val="0"/>
    <w:pPr>
      <w:pBdr>
        <w:bottom w:val="single" w:color="auto" w:sz="6" w:space="1"/>
      </w:pBdr>
      <w:tabs>
        <w:tab w:val="center" w:pos="4153"/>
        <w:tab w:val="right" w:pos="8306"/>
      </w:tabs>
      <w:snapToGrid w:val="0"/>
      <w:jc w:val="center"/>
    </w:pPr>
    <w:rPr>
      <w:rFonts w:ascii="Calibri" w:hAnsi="Calibri"/>
      <w:sz w:val="18"/>
      <w:szCs w:val="20"/>
    </w:rPr>
  </w:style>
  <w:style w:type="paragraph" w:styleId="20">
    <w:name w:val="toc 1"/>
    <w:basedOn w:val="1"/>
    <w:next w:val="1"/>
    <w:qFormat/>
    <w:uiPriority w:val="39"/>
    <w:pPr>
      <w:tabs>
        <w:tab w:val="right" w:leader="dot" w:pos="8398"/>
      </w:tabs>
    </w:pPr>
    <w:rPr>
      <w:rFonts w:ascii="黑体" w:hAnsi="黑体"/>
    </w:rPr>
  </w:style>
  <w:style w:type="paragraph" w:styleId="21">
    <w:name w:val="toc 4"/>
    <w:basedOn w:val="1"/>
    <w:next w:val="1"/>
    <w:unhideWhenUsed/>
    <w:qFormat/>
    <w:uiPriority w:val="39"/>
    <w:pPr>
      <w:ind w:left="1260" w:leftChars="600"/>
    </w:pPr>
    <w:rPr>
      <w:rFonts w:ascii="Calibri" w:hAnsi="Calibri"/>
      <w:szCs w:val="22"/>
    </w:rPr>
  </w:style>
  <w:style w:type="paragraph" w:styleId="22">
    <w:name w:val="Subtitle"/>
    <w:basedOn w:val="1"/>
    <w:next w:val="1"/>
    <w:link w:val="64"/>
    <w:qFormat/>
    <w:uiPriority w:val="0"/>
    <w:rPr>
      <w:sz w:val="28"/>
    </w:rPr>
  </w:style>
  <w:style w:type="paragraph" w:styleId="23">
    <w:name w:val="footnote text"/>
    <w:basedOn w:val="1"/>
    <w:link w:val="65"/>
    <w:qFormat/>
    <w:uiPriority w:val="0"/>
    <w:pPr>
      <w:snapToGrid w:val="0"/>
      <w:jc w:val="left"/>
    </w:pPr>
    <w:rPr>
      <w:sz w:val="18"/>
      <w:szCs w:val="18"/>
    </w:rPr>
  </w:style>
  <w:style w:type="paragraph" w:styleId="24">
    <w:name w:val="toc 6"/>
    <w:basedOn w:val="1"/>
    <w:next w:val="1"/>
    <w:unhideWhenUsed/>
    <w:qFormat/>
    <w:uiPriority w:val="39"/>
    <w:pPr>
      <w:ind w:left="2100" w:leftChars="1000"/>
    </w:pPr>
    <w:rPr>
      <w:rFonts w:ascii="Calibri" w:hAnsi="Calibri"/>
      <w:szCs w:val="22"/>
    </w:rPr>
  </w:style>
  <w:style w:type="paragraph" w:styleId="25">
    <w:name w:val="toc 2"/>
    <w:basedOn w:val="1"/>
    <w:next w:val="1"/>
    <w:qFormat/>
    <w:uiPriority w:val="39"/>
    <w:pPr>
      <w:ind w:left="200" w:leftChars="200"/>
    </w:pPr>
    <w:rPr>
      <w:rFonts w:eastAsia="黑体"/>
    </w:rPr>
  </w:style>
  <w:style w:type="paragraph" w:styleId="26">
    <w:name w:val="toc 9"/>
    <w:basedOn w:val="1"/>
    <w:next w:val="1"/>
    <w:unhideWhenUsed/>
    <w:qFormat/>
    <w:uiPriority w:val="39"/>
    <w:pPr>
      <w:ind w:left="3360" w:leftChars="1600"/>
    </w:pPr>
    <w:rPr>
      <w:rFonts w:ascii="Calibri" w:hAnsi="Calibri"/>
      <w:szCs w:val="22"/>
    </w:rPr>
  </w:style>
  <w:style w:type="paragraph" w:styleId="27">
    <w:name w:val="Normal (Web)"/>
    <w:basedOn w:val="1"/>
    <w:qFormat/>
    <w:uiPriority w:val="0"/>
    <w:pPr>
      <w:widowControl/>
      <w:spacing w:before="100" w:beforeAutospacing="1" w:after="100" w:afterAutospacing="1"/>
      <w:jc w:val="left"/>
    </w:pPr>
    <w:rPr>
      <w:rFonts w:ascii="宋体"/>
      <w:kern w:val="0"/>
      <w:sz w:val="18"/>
      <w:szCs w:val="18"/>
    </w:rPr>
  </w:style>
  <w:style w:type="paragraph" w:styleId="28">
    <w:name w:val="annotation subject"/>
    <w:basedOn w:val="9"/>
    <w:next w:val="9"/>
    <w:link w:val="66"/>
    <w:semiHidden/>
    <w:qFormat/>
    <w:uiPriority w:val="0"/>
    <w:rPr>
      <w:b/>
      <w:bCs/>
    </w:rPr>
  </w:style>
  <w:style w:type="paragraph" w:styleId="29">
    <w:name w:val="Body Text First Indent"/>
    <w:basedOn w:val="10"/>
    <w:link w:val="62"/>
    <w:unhideWhenUsed/>
    <w:qFormat/>
    <w:uiPriority w:val="99"/>
    <w:pPr>
      <w:ind w:firstLine="420" w:firstLineChars="100"/>
    </w:pPr>
  </w:style>
  <w:style w:type="character" w:styleId="32">
    <w:name w:val="Strong"/>
    <w:qFormat/>
    <w:uiPriority w:val="22"/>
    <w:rPr>
      <w:b/>
      <w:bCs/>
    </w:rPr>
  </w:style>
  <w:style w:type="character" w:styleId="33">
    <w:name w:val="page number"/>
    <w:qFormat/>
    <w:uiPriority w:val="0"/>
  </w:style>
  <w:style w:type="character" w:styleId="34">
    <w:name w:val="FollowedHyperlink"/>
    <w:qFormat/>
    <w:uiPriority w:val="0"/>
    <w:rPr>
      <w:rFonts w:hint="eastAsia" w:ascii="微软雅黑" w:hAnsi="微软雅黑" w:eastAsia="微软雅黑" w:cs="微软雅黑"/>
      <w:color w:val="02396F"/>
      <w:u w:val="single"/>
    </w:rPr>
  </w:style>
  <w:style w:type="character" w:styleId="35">
    <w:name w:val="Hyperlink"/>
    <w:unhideWhenUsed/>
    <w:qFormat/>
    <w:uiPriority w:val="99"/>
    <w:rPr>
      <w:rFonts w:ascii="微软雅黑" w:hAnsi="微软雅黑" w:eastAsia="宋体" w:cs="微软雅黑"/>
      <w:color w:val="02396F"/>
      <w:sz w:val="21"/>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paragraph" w:customStyle="1" w:styleId="38">
    <w:name w:val="彩色列表 - 强调文字颜色 11"/>
    <w:basedOn w:val="1"/>
    <w:link w:val="73"/>
    <w:qFormat/>
    <w:uiPriority w:val="0"/>
    <w:pPr>
      <w:ind w:firstLine="420" w:firstLineChars="200"/>
    </w:pPr>
  </w:style>
  <w:style w:type="paragraph" w:customStyle="1" w:styleId="39">
    <w:name w:val="样式1"/>
    <w:basedOn w:val="3"/>
    <w:link w:val="69"/>
    <w:qFormat/>
    <w:uiPriority w:val="0"/>
    <w:pPr>
      <w:spacing w:before="120" w:after="120"/>
      <w:jc w:val="center"/>
    </w:pPr>
    <w:rPr>
      <w:sz w:val="32"/>
      <w:szCs w:val="32"/>
    </w:rPr>
  </w:style>
  <w:style w:type="paragraph" w:customStyle="1" w:styleId="40">
    <w:name w:val="样式2"/>
    <w:basedOn w:val="39"/>
    <w:link w:val="70"/>
    <w:qFormat/>
    <w:uiPriority w:val="0"/>
    <w:rPr>
      <w:rFonts w:ascii="黑体" w:hAnsi="黑体" w:eastAsia="黑体"/>
      <w:sz w:val="36"/>
      <w:szCs w:val="36"/>
    </w:rPr>
  </w:style>
  <w:style w:type="paragraph" w:customStyle="1" w:styleId="41">
    <w:name w:val="彩色底纹 - 强调文字颜色 11"/>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样式 首行缩进:  2 字符"/>
    <w:basedOn w:val="1"/>
    <w:qFormat/>
    <w:uiPriority w:val="0"/>
    <w:pPr>
      <w:spacing w:line="400" w:lineRule="exact"/>
      <w:ind w:firstLine="200" w:firstLineChars="200"/>
    </w:pPr>
    <w:rPr>
      <w:rFonts w:cs="宋体"/>
      <w:sz w:val="24"/>
    </w:rPr>
  </w:style>
  <w:style w:type="paragraph" w:customStyle="1" w:styleId="4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45">
    <w:name w:val="CM13"/>
    <w:basedOn w:val="44"/>
    <w:next w:val="44"/>
    <w:qFormat/>
    <w:uiPriority w:val="99"/>
    <w:pPr>
      <w:spacing w:line="520" w:lineRule="atLeast"/>
    </w:pPr>
    <w:rPr>
      <w:color w:val="auto"/>
    </w:rPr>
  </w:style>
  <w:style w:type="paragraph" w:customStyle="1" w:styleId="46">
    <w:name w:val="正文首行缩进两字符"/>
    <w:basedOn w:val="1"/>
    <w:qFormat/>
    <w:uiPriority w:val="0"/>
    <w:pPr>
      <w:spacing w:line="360" w:lineRule="auto"/>
      <w:ind w:firstLine="200" w:firstLineChars="200"/>
    </w:pPr>
  </w:style>
  <w:style w:type="paragraph" w:customStyle="1" w:styleId="47">
    <w:name w:val="列出段落1"/>
    <w:basedOn w:val="1"/>
    <w:qFormat/>
    <w:uiPriority w:val="34"/>
    <w:pPr>
      <w:ind w:firstLine="420" w:firstLineChars="200"/>
    </w:pPr>
    <w:rPr>
      <w:sz w:val="18"/>
      <w:szCs w:val="18"/>
    </w:rPr>
  </w:style>
  <w:style w:type="paragraph" w:customStyle="1" w:styleId="48">
    <w:name w:val="CM11"/>
    <w:basedOn w:val="44"/>
    <w:next w:val="44"/>
    <w:qFormat/>
    <w:uiPriority w:val="99"/>
    <w:pPr>
      <w:spacing w:line="520" w:lineRule="atLeast"/>
    </w:pPr>
    <w:rPr>
      <w:color w:val="auto"/>
    </w:rPr>
  </w:style>
  <w:style w:type="paragraph" w:customStyle="1" w:styleId="49">
    <w:name w:val="CM19"/>
    <w:basedOn w:val="44"/>
    <w:next w:val="44"/>
    <w:qFormat/>
    <w:uiPriority w:val="99"/>
    <w:rPr>
      <w:color w:val="auto"/>
    </w:rPr>
  </w:style>
  <w:style w:type="paragraph" w:customStyle="1" w:styleId="50">
    <w:name w:val="CM14"/>
    <w:basedOn w:val="44"/>
    <w:next w:val="44"/>
    <w:qFormat/>
    <w:uiPriority w:val="99"/>
    <w:pPr>
      <w:spacing w:line="546" w:lineRule="atLeast"/>
    </w:pPr>
    <w:rPr>
      <w:color w:val="auto"/>
    </w:rPr>
  </w:style>
  <w:style w:type="paragraph" w:customStyle="1" w:styleId="51">
    <w:name w:val="BodyText"/>
    <w:basedOn w:val="1"/>
    <w:qFormat/>
    <w:uiPriority w:val="0"/>
    <w:pPr>
      <w:spacing w:after="120" w:line="312" w:lineRule="atLeast"/>
      <w:textAlignment w:val="baseline"/>
    </w:pPr>
  </w:style>
  <w:style w:type="paragraph" w:customStyle="1" w:styleId="52">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53">
    <w:name w:val="列出段落2"/>
    <w:basedOn w:val="1"/>
    <w:qFormat/>
    <w:uiPriority w:val="0"/>
    <w:pPr>
      <w:ind w:left="720"/>
      <w:contextualSpacing/>
    </w:pPr>
  </w:style>
  <w:style w:type="character" w:customStyle="1" w:styleId="54">
    <w:name w:val="页眉 Char"/>
    <w:link w:val="19"/>
    <w:semiHidden/>
    <w:qFormat/>
    <w:locked/>
    <w:uiPriority w:val="0"/>
    <w:rPr>
      <w:rFonts w:ascii="Calibri" w:hAnsi="Calibri" w:eastAsia="宋体"/>
      <w:kern w:val="2"/>
      <w:sz w:val="18"/>
      <w:lang w:val="en-US" w:eastAsia="zh-CN" w:bidi="ar-SA"/>
    </w:rPr>
  </w:style>
  <w:style w:type="character" w:customStyle="1" w:styleId="55">
    <w:name w:val="正文文本 Char1"/>
    <w:link w:val="10"/>
    <w:qFormat/>
    <w:uiPriority w:val="0"/>
    <w:rPr>
      <w:kern w:val="2"/>
      <w:sz w:val="21"/>
      <w:szCs w:val="24"/>
    </w:rPr>
  </w:style>
  <w:style w:type="character" w:customStyle="1" w:styleId="56">
    <w:name w:val="日期 Char"/>
    <w:link w:val="16"/>
    <w:semiHidden/>
    <w:qFormat/>
    <w:locked/>
    <w:uiPriority w:val="0"/>
    <w:rPr>
      <w:rFonts w:eastAsia="宋体"/>
      <w:kern w:val="2"/>
      <w:sz w:val="21"/>
      <w:lang w:val="en-US" w:eastAsia="zh-CN" w:bidi="ar-SA"/>
    </w:rPr>
  </w:style>
  <w:style w:type="character" w:customStyle="1" w:styleId="57">
    <w:name w:val="批注文字 Char"/>
    <w:link w:val="9"/>
    <w:semiHidden/>
    <w:qFormat/>
    <w:locked/>
    <w:uiPriority w:val="0"/>
    <w:rPr>
      <w:rFonts w:ascii="Calibri" w:hAnsi="Calibri" w:eastAsia="宋体"/>
      <w:kern w:val="2"/>
      <w:sz w:val="21"/>
      <w:szCs w:val="24"/>
      <w:lang w:val="en-US" w:eastAsia="zh-CN" w:bidi="ar-SA"/>
    </w:rPr>
  </w:style>
  <w:style w:type="character" w:customStyle="1" w:styleId="58">
    <w:name w:val="标题 2 Char"/>
    <w:link w:val="4"/>
    <w:qFormat/>
    <w:uiPriority w:val="0"/>
    <w:rPr>
      <w:rFonts w:ascii="Arial" w:hAnsi="Arial" w:eastAsia="黑体"/>
      <w:b/>
      <w:bCs/>
      <w:kern w:val="2"/>
      <w:sz w:val="32"/>
      <w:szCs w:val="32"/>
    </w:rPr>
  </w:style>
  <w:style w:type="character" w:customStyle="1" w:styleId="59">
    <w:name w:val="标题 1 Char"/>
    <w:link w:val="3"/>
    <w:qFormat/>
    <w:uiPriority w:val="0"/>
    <w:rPr>
      <w:b/>
      <w:bCs/>
      <w:kern w:val="44"/>
      <w:sz w:val="44"/>
      <w:szCs w:val="44"/>
    </w:rPr>
  </w:style>
  <w:style w:type="character" w:customStyle="1" w:styleId="60">
    <w:name w:val="批注框文本 Char"/>
    <w:link w:val="17"/>
    <w:semiHidden/>
    <w:qFormat/>
    <w:locked/>
    <w:uiPriority w:val="0"/>
    <w:rPr>
      <w:rFonts w:ascii="Calibri" w:hAnsi="Calibri" w:eastAsia="宋体"/>
      <w:kern w:val="2"/>
      <w:sz w:val="18"/>
      <w:szCs w:val="18"/>
      <w:lang w:val="en-US" w:eastAsia="zh-CN" w:bidi="ar-SA"/>
    </w:rPr>
  </w:style>
  <w:style w:type="character" w:customStyle="1" w:styleId="61">
    <w:name w:val="正文文本缩进 Char"/>
    <w:link w:val="11"/>
    <w:semiHidden/>
    <w:qFormat/>
    <w:locked/>
    <w:uiPriority w:val="0"/>
    <w:rPr>
      <w:rFonts w:ascii="Calibri" w:hAnsi="Calibri" w:eastAsia="宋体"/>
      <w:kern w:val="2"/>
      <w:sz w:val="32"/>
      <w:lang w:val="en-US" w:eastAsia="zh-CN" w:bidi="ar-SA"/>
    </w:rPr>
  </w:style>
  <w:style w:type="character" w:customStyle="1" w:styleId="62">
    <w:name w:val="正文首行缩进 Char"/>
    <w:link w:val="29"/>
    <w:qFormat/>
    <w:uiPriority w:val="99"/>
  </w:style>
  <w:style w:type="character" w:customStyle="1" w:styleId="63">
    <w:name w:val="页脚 Char"/>
    <w:link w:val="18"/>
    <w:qFormat/>
    <w:locked/>
    <w:uiPriority w:val="99"/>
    <w:rPr>
      <w:rFonts w:ascii="Calibri" w:hAnsi="Calibri" w:eastAsia="宋体"/>
      <w:kern w:val="2"/>
      <w:sz w:val="18"/>
      <w:lang w:val="en-US" w:eastAsia="zh-CN" w:bidi="ar-SA"/>
    </w:rPr>
  </w:style>
  <w:style w:type="character" w:customStyle="1" w:styleId="64">
    <w:name w:val="副标题 Char"/>
    <w:link w:val="22"/>
    <w:qFormat/>
    <w:uiPriority w:val="0"/>
    <w:rPr>
      <w:kern w:val="2"/>
      <w:sz w:val="28"/>
      <w:szCs w:val="24"/>
    </w:rPr>
  </w:style>
  <w:style w:type="character" w:customStyle="1" w:styleId="65">
    <w:name w:val="脚注文本 Char"/>
    <w:link w:val="23"/>
    <w:qFormat/>
    <w:uiPriority w:val="0"/>
    <w:rPr>
      <w:kern w:val="2"/>
      <w:sz w:val="18"/>
      <w:szCs w:val="18"/>
    </w:rPr>
  </w:style>
  <w:style w:type="character" w:customStyle="1" w:styleId="66">
    <w:name w:val="批注主题 Char"/>
    <w:link w:val="28"/>
    <w:semiHidden/>
    <w:qFormat/>
    <w:locked/>
    <w:uiPriority w:val="0"/>
    <w:rPr>
      <w:rFonts w:ascii="Calibri" w:hAnsi="Calibri" w:eastAsia="宋体"/>
      <w:b/>
      <w:bCs/>
      <w:kern w:val="2"/>
      <w:sz w:val="21"/>
      <w:szCs w:val="24"/>
      <w:lang w:val="en-US" w:eastAsia="zh-CN" w:bidi="ar-SA"/>
    </w:rPr>
  </w:style>
  <w:style w:type="character" w:customStyle="1" w:styleId="67">
    <w:name w:val="gjfg"/>
    <w:qFormat/>
    <w:uiPriority w:val="0"/>
  </w:style>
  <w:style w:type="character" w:customStyle="1" w:styleId="68">
    <w:name w:val="redfilefwwh"/>
    <w:qFormat/>
    <w:uiPriority w:val="0"/>
    <w:rPr>
      <w:color w:val="BA2636"/>
      <w:sz w:val="14"/>
      <w:szCs w:val="14"/>
    </w:rPr>
  </w:style>
  <w:style w:type="character" w:customStyle="1" w:styleId="69">
    <w:name w:val="样式1 Char"/>
    <w:link w:val="39"/>
    <w:qFormat/>
    <w:uiPriority w:val="0"/>
    <w:rPr>
      <w:b/>
      <w:bCs/>
      <w:kern w:val="44"/>
      <w:sz w:val="32"/>
      <w:szCs w:val="32"/>
    </w:rPr>
  </w:style>
  <w:style w:type="character" w:customStyle="1" w:styleId="70">
    <w:name w:val="样式2 Char"/>
    <w:link w:val="40"/>
    <w:qFormat/>
    <w:uiPriority w:val="0"/>
    <w:rPr>
      <w:rFonts w:ascii="黑体" w:hAnsi="黑体" w:eastAsia="黑体"/>
      <w:b/>
      <w:bCs/>
      <w:kern w:val="44"/>
      <w:sz w:val="36"/>
      <w:szCs w:val="36"/>
    </w:rPr>
  </w:style>
  <w:style w:type="character" w:customStyle="1" w:styleId="71">
    <w:name w:val="displayarti"/>
    <w:qFormat/>
    <w:uiPriority w:val="0"/>
    <w:rPr>
      <w:color w:val="FFFFFF"/>
      <w:shd w:val="clear" w:color="auto" w:fill="A00000"/>
    </w:rPr>
  </w:style>
  <w:style w:type="character" w:customStyle="1" w:styleId="72">
    <w:name w:val="cfdate"/>
    <w:qFormat/>
    <w:uiPriority w:val="0"/>
    <w:rPr>
      <w:color w:val="333333"/>
      <w:sz w:val="14"/>
      <w:szCs w:val="14"/>
    </w:rPr>
  </w:style>
  <w:style w:type="character" w:customStyle="1" w:styleId="73">
    <w:name w:val="彩色列表 - 强调文字颜色 1 Char"/>
    <w:link w:val="38"/>
    <w:qFormat/>
    <w:uiPriority w:val="0"/>
    <w:rPr>
      <w:rFonts w:eastAsia="宋体"/>
      <w:kern w:val="2"/>
      <w:sz w:val="21"/>
      <w:szCs w:val="24"/>
      <w:lang w:val="en-US" w:eastAsia="zh-CN" w:bidi="ar-SA"/>
    </w:rPr>
  </w:style>
  <w:style w:type="character" w:customStyle="1" w:styleId="74">
    <w:name w:val="apple-converted-space"/>
    <w:qFormat/>
    <w:uiPriority w:val="0"/>
    <w:rPr>
      <w:rFonts w:cs="Times New Roman"/>
    </w:rPr>
  </w:style>
  <w:style w:type="character" w:customStyle="1" w:styleId="75">
    <w:name w:val="redfilenumber"/>
    <w:qFormat/>
    <w:uiPriority w:val="0"/>
    <w:rPr>
      <w:color w:val="BA2636"/>
      <w:sz w:val="14"/>
      <w:szCs w:val="14"/>
    </w:rPr>
  </w:style>
  <w:style w:type="character" w:customStyle="1" w:styleId="76">
    <w:name w:val="qxdate"/>
    <w:qFormat/>
    <w:uiPriority w:val="0"/>
    <w:rPr>
      <w:color w:val="333333"/>
      <w:sz w:val="14"/>
      <w:szCs w:val="14"/>
    </w:rPr>
  </w:style>
  <w:style w:type="character" w:customStyle="1" w:styleId="77">
    <w:name w:val="正文文本 Char"/>
    <w:qFormat/>
    <w:uiPriority w:val="0"/>
    <w:rPr>
      <w:kern w:val="2"/>
      <w:sz w:val="21"/>
      <w:szCs w:val="24"/>
    </w:rPr>
  </w:style>
  <w:style w:type="paragraph" w:customStyle="1" w:styleId="7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7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msolistparagraph"/>
    <w:basedOn w:val="1"/>
    <w:qFormat/>
    <w:uiPriority w:val="0"/>
    <w:pPr>
      <w:ind w:firstLine="420" w:firstLineChars="200"/>
    </w:pPr>
    <w:rPr>
      <w:rFonts w:ascii="Calibri" w:hAnsi="Calibri"/>
      <w:szCs w:val="22"/>
    </w:rPr>
  </w:style>
  <w:style w:type="character" w:customStyle="1" w:styleId="81">
    <w:name w:val="纯文本 Char"/>
    <w:link w:val="14"/>
    <w:unhideWhenUsed/>
    <w:qFormat/>
    <w:uiPriority w:val="0"/>
    <w:rPr>
      <w:rFonts w:ascii="宋体" w:hAnsi="Tms Rmn"/>
      <w:sz w:val="21"/>
    </w:rPr>
  </w:style>
  <w:style w:type="character" w:customStyle="1" w:styleId="82">
    <w:name w:val="纯文本 Char1"/>
    <w:basedOn w:val="31"/>
    <w:link w:val="14"/>
    <w:semiHidden/>
    <w:qFormat/>
    <w:uiPriority w:val="0"/>
    <w:rPr>
      <w:rFonts w:ascii="宋体" w:hAnsi="Courier New" w:cs="Courier New"/>
      <w:kern w:val="2"/>
      <w:sz w:val="21"/>
      <w:szCs w:val="21"/>
    </w:rPr>
  </w:style>
  <w:style w:type="paragraph" w:styleId="83">
    <w:name w:val="List Paragraph"/>
    <w:basedOn w:val="1"/>
    <w:unhideWhenUsed/>
    <w:qFormat/>
    <w:uiPriority w:val="99"/>
    <w:pPr>
      <w:ind w:firstLine="420" w:firstLineChars="200"/>
    </w:pPr>
  </w:style>
  <w:style w:type="paragraph" w:customStyle="1" w:styleId="84">
    <w:name w:val="二级条标题"/>
    <w:basedOn w:val="1"/>
    <w:next w:val="85"/>
    <w:qFormat/>
    <w:uiPriority w:val="0"/>
    <w:pPr>
      <w:widowControl/>
      <w:jc w:val="left"/>
      <w:outlineLvl w:val="3"/>
    </w:pPr>
    <w:rPr>
      <w:rFonts w:ascii="Calibri" w:hAnsi="Calibri" w:eastAsia="黑体"/>
      <w:kern w:val="0"/>
      <w:szCs w:val="22"/>
    </w:rPr>
  </w:style>
  <w:style w:type="paragraph" w:customStyle="1" w:styleId="85">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94</Pages>
  <Words>8025</Words>
  <Characters>45745</Characters>
  <Lines>381</Lines>
  <Paragraphs>107</Paragraphs>
  <TotalTime>92</TotalTime>
  <ScaleCrop>false</ScaleCrop>
  <LinksUpToDate>false</LinksUpToDate>
  <CharactersWithSpaces>53663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2021-09-14T07:25:00Z</dcterms:created>
  <dc:creator>s</dc:creator>
  <cp:lastModifiedBy>璐</cp:lastModifiedBy>
  <dcterms:modified xsi:type="dcterms:W3CDTF">2021-09-15T03:44:32Z</dcterms:modified>
  <dc:title>招标编号：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A2A627CD3B1B4179842CE2435E7F595B</vt:lpwstr>
  </property>
</Properties>
</file>