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spacing w:after="120"/>
        <w:jc w:val="center"/>
        <w:rPr>
          <w:rFonts w:hint="default" w:ascii="宋体" w:hAnsi="宋体" w:eastAsia="宋体"/>
          <w:b/>
          <w:color w:val="auto"/>
          <w:sz w:val="28"/>
          <w:szCs w:val="48"/>
          <w:highlight w:val="none"/>
          <w:lang w:val="en-US" w:eastAsia="zh-CN"/>
        </w:rPr>
      </w:pPr>
      <w:bookmarkStart w:id="0" w:name="_Toc11335"/>
      <w:r>
        <w:rPr>
          <w:rFonts w:hint="eastAsia" w:ascii="宋体" w:hAnsi="宋体"/>
          <w:b/>
          <w:color w:val="auto"/>
          <w:sz w:val="28"/>
          <w:szCs w:val="48"/>
          <w:highlight w:val="none"/>
          <w:lang w:val="en-US" w:eastAsia="zh-CN"/>
        </w:rPr>
        <w:t xml:space="preserve">                           </w:t>
      </w:r>
      <w:r>
        <w:rPr>
          <w:rFonts w:hint="eastAsia" w:ascii="宋体" w:hAnsi="宋体"/>
          <w:b/>
          <w:color w:val="auto"/>
          <w:sz w:val="28"/>
          <w:szCs w:val="48"/>
          <w:highlight w:val="none"/>
        </w:rPr>
        <w:t>交易登记号：GQCG2022003</w:t>
      </w:r>
    </w:p>
    <w:p>
      <w:pPr>
        <w:spacing w:after="120"/>
        <w:jc w:val="center"/>
        <w:rPr>
          <w:rFonts w:ascii="宋体" w:hAnsi="宋体"/>
          <w:b/>
          <w:color w:val="auto"/>
          <w:sz w:val="48"/>
          <w:szCs w:val="48"/>
          <w:highlight w:val="none"/>
        </w:rPr>
      </w:pPr>
    </w:p>
    <w:p>
      <w:pPr>
        <w:spacing w:after="120"/>
        <w:jc w:val="center"/>
        <w:rPr>
          <w:rFonts w:ascii="宋体" w:hAnsi="宋体"/>
          <w:b/>
          <w:color w:val="auto"/>
          <w:sz w:val="48"/>
          <w:szCs w:val="48"/>
          <w:highlight w:val="none"/>
        </w:rPr>
      </w:pPr>
      <w:r>
        <w:rPr>
          <w:rFonts w:hint="eastAsia" w:ascii="宋体" w:hAnsi="宋体"/>
          <w:b/>
          <w:color w:val="auto"/>
          <w:sz w:val="48"/>
          <w:szCs w:val="48"/>
          <w:highlight w:val="none"/>
        </w:rPr>
        <w:t>政 府 采 购 项 目</w:t>
      </w:r>
    </w:p>
    <w:p>
      <w:pPr>
        <w:spacing w:after="120"/>
        <w:jc w:val="center"/>
        <w:rPr>
          <w:rFonts w:ascii="宋体" w:hAnsi="宋体"/>
          <w:b/>
          <w:color w:val="auto"/>
          <w:sz w:val="72"/>
          <w:highlight w:val="none"/>
        </w:rPr>
      </w:pPr>
      <w:r>
        <w:rPr>
          <w:rFonts w:hint="eastAsia" w:ascii="宋体" w:hAnsi="宋体"/>
          <w:b/>
          <w:color w:val="auto"/>
          <w:sz w:val="72"/>
          <w:highlight w:val="none"/>
        </w:rPr>
        <w:t>公开招标采购文件</w:t>
      </w:r>
    </w:p>
    <w:p>
      <w:pPr>
        <w:spacing w:after="120"/>
        <w:jc w:val="center"/>
        <w:rPr>
          <w:rFonts w:ascii="宋体" w:hAnsi="宋体"/>
          <w:b/>
          <w:color w:val="auto"/>
          <w:sz w:val="28"/>
          <w:szCs w:val="28"/>
          <w:highlight w:val="none"/>
        </w:rPr>
      </w:pPr>
    </w:p>
    <w:p>
      <w:pPr>
        <w:spacing w:after="120"/>
        <w:jc w:val="center"/>
        <w:rPr>
          <w:rFonts w:ascii="宋体" w:hAnsi="宋体"/>
          <w:b/>
          <w:color w:val="auto"/>
          <w:sz w:val="28"/>
          <w:szCs w:val="28"/>
          <w:highlight w:val="none"/>
        </w:rPr>
      </w:pPr>
    </w:p>
    <w:p>
      <w:pPr>
        <w:jc w:val="center"/>
        <w:rPr>
          <w:rFonts w:ascii="宋体" w:hAnsi="宋体"/>
          <w:b/>
          <w:color w:val="auto"/>
          <w:sz w:val="44"/>
          <w:szCs w:val="44"/>
          <w:highlight w:val="none"/>
        </w:rPr>
      </w:pPr>
      <w:r>
        <w:rPr>
          <w:rFonts w:hint="eastAsia" w:ascii="宋体" w:hAnsi="宋体"/>
          <w:b/>
          <w:color w:val="auto"/>
          <w:sz w:val="44"/>
          <w:szCs w:val="44"/>
          <w:highlight w:val="none"/>
        </w:rPr>
        <w:t>(全册)</w:t>
      </w:r>
    </w:p>
    <w:p>
      <w:pPr>
        <w:jc w:val="center"/>
        <w:rPr>
          <w:rFonts w:ascii="宋体" w:hAnsi="宋体"/>
          <w:b/>
          <w:color w:val="auto"/>
          <w:szCs w:val="21"/>
          <w:highlight w:val="none"/>
        </w:rPr>
      </w:pPr>
    </w:p>
    <w:p>
      <w:pPr>
        <w:jc w:val="center"/>
        <w:rPr>
          <w:rFonts w:ascii="宋体" w:hAnsi="宋体"/>
          <w:b/>
          <w:color w:val="auto"/>
          <w:highlight w:val="none"/>
        </w:rPr>
      </w:pPr>
    </w:p>
    <w:p>
      <w:pPr>
        <w:jc w:val="center"/>
        <w:rPr>
          <w:rFonts w:ascii="宋体" w:hAnsi="宋体"/>
          <w:b/>
          <w:color w:val="auto"/>
          <w:highlight w:val="none"/>
        </w:rPr>
      </w:pPr>
    </w:p>
    <w:p>
      <w:pPr>
        <w:jc w:val="center"/>
        <w:rPr>
          <w:rFonts w:ascii="宋体" w:hAnsi="宋体"/>
          <w:b/>
          <w:color w:val="auto"/>
          <w:highlight w:val="none"/>
        </w:rPr>
      </w:pPr>
    </w:p>
    <w:p>
      <w:pPr>
        <w:jc w:val="center"/>
        <w:rPr>
          <w:rFonts w:ascii="宋体" w:hAnsi="宋体"/>
          <w:b/>
          <w:color w:val="auto"/>
          <w:highlight w:val="none"/>
        </w:rPr>
      </w:pPr>
    </w:p>
    <w:p>
      <w:pPr>
        <w:pStyle w:val="12"/>
        <w:snapToGrid w:val="0"/>
        <w:spacing w:before="156" w:after="156" w:line="360" w:lineRule="auto"/>
        <w:ind w:firstLine="602" w:firstLineChars="200"/>
        <w:rPr>
          <w:rFonts w:hint="eastAsia" w:ascii="宋体" w:hAnsi="宋体" w:eastAsia="宋体" w:cs="宋体"/>
          <w:b/>
          <w:bCs/>
          <w:color w:val="auto"/>
          <w:w w:val="95"/>
          <w:sz w:val="30"/>
          <w:szCs w:val="30"/>
          <w:highlight w:val="none"/>
          <w:lang w:eastAsia="zh-CN"/>
        </w:rPr>
      </w:pPr>
      <w:r>
        <w:rPr>
          <w:rFonts w:hint="eastAsia" w:ascii="宋体" w:hAnsi="宋体" w:eastAsia="宋体" w:cs="宋体"/>
          <w:b/>
          <w:bCs/>
          <w:color w:val="auto"/>
          <w:sz w:val="30"/>
          <w:szCs w:val="30"/>
          <w:highlight w:val="none"/>
        </w:rPr>
        <w:t>项目编号：</w:t>
      </w:r>
      <w:r>
        <w:rPr>
          <w:rFonts w:hint="eastAsia" w:ascii="宋体" w:hAnsi="宋体" w:eastAsia="宋体" w:cs="宋体"/>
          <w:b/>
          <w:bCs/>
          <w:color w:val="auto"/>
          <w:w w:val="95"/>
          <w:sz w:val="30"/>
          <w:szCs w:val="30"/>
          <w:highlight w:val="none"/>
        </w:rPr>
        <w:t>TC229Y001</w:t>
      </w:r>
    </w:p>
    <w:p>
      <w:pPr>
        <w:pStyle w:val="12"/>
        <w:snapToGrid w:val="0"/>
        <w:spacing w:before="156" w:after="156" w:line="360" w:lineRule="auto"/>
        <w:ind w:firstLine="602" w:firstLineChars="200"/>
        <w:rPr>
          <w:rFonts w:hint="eastAsia" w:ascii="宋体" w:hAnsi="宋体" w:eastAsia="宋体" w:cs="宋体"/>
          <w:b/>
          <w:color w:val="auto"/>
          <w:sz w:val="30"/>
          <w:szCs w:val="72"/>
          <w:highlight w:val="none"/>
          <w:u w:val="single"/>
        </w:rPr>
      </w:pPr>
      <w:r>
        <w:rPr>
          <w:rFonts w:hint="eastAsia" w:ascii="宋体" w:hAnsi="宋体" w:eastAsia="宋体" w:cs="宋体"/>
          <w:b/>
          <w:color w:val="auto"/>
          <w:sz w:val="30"/>
          <w:szCs w:val="72"/>
          <w:highlight w:val="none"/>
        </w:rPr>
        <w:t>项目名称：</w:t>
      </w:r>
      <w:r>
        <w:rPr>
          <w:rFonts w:hint="eastAsia" w:ascii="宋体" w:hAnsi="宋体" w:eastAsia="宋体" w:cs="宋体"/>
          <w:b/>
          <w:bCs/>
          <w:color w:val="auto"/>
          <w:w w:val="95"/>
          <w:sz w:val="30"/>
          <w:szCs w:val="30"/>
          <w:highlight w:val="none"/>
        </w:rPr>
        <w:t>谢嘉丽苑公共租赁住房小区物业管理服务项目</w:t>
      </w:r>
    </w:p>
    <w:p>
      <w:pPr>
        <w:snapToGrid w:val="0"/>
        <w:spacing w:before="156" w:beforeLines="50" w:line="360" w:lineRule="auto"/>
        <w:ind w:left="1436" w:hanging="1431" w:hangingChars="500"/>
        <w:rPr>
          <w:rFonts w:hint="eastAsia" w:ascii="宋体" w:hAnsi="宋体" w:eastAsia="宋体" w:cs="宋体"/>
          <w:b/>
          <w:bCs/>
          <w:color w:val="auto"/>
          <w:w w:val="95"/>
          <w:sz w:val="30"/>
          <w:szCs w:val="30"/>
          <w:highlight w:val="none"/>
        </w:rPr>
      </w:pPr>
    </w:p>
    <w:p>
      <w:pPr>
        <w:snapToGrid w:val="0"/>
        <w:spacing w:before="156" w:beforeLines="50" w:line="360" w:lineRule="auto"/>
        <w:ind w:left="1436" w:hanging="1431" w:hangingChars="500"/>
        <w:rPr>
          <w:rFonts w:hint="eastAsia" w:ascii="宋体" w:hAnsi="宋体" w:eastAsia="宋体" w:cs="宋体"/>
          <w:b/>
          <w:bCs/>
          <w:color w:val="auto"/>
          <w:w w:val="95"/>
          <w:sz w:val="30"/>
          <w:szCs w:val="30"/>
          <w:highlight w:val="none"/>
        </w:rPr>
      </w:pPr>
    </w:p>
    <w:p>
      <w:pPr>
        <w:pStyle w:val="12"/>
        <w:snapToGrid w:val="0"/>
        <w:spacing w:before="156" w:after="156" w:line="360" w:lineRule="auto"/>
        <w:ind w:firstLine="572" w:firstLineChars="200"/>
        <w:rPr>
          <w:rFonts w:hint="eastAsia" w:ascii="宋体" w:hAnsi="宋体" w:eastAsia="宋体" w:cs="宋体"/>
          <w:b/>
          <w:bCs/>
          <w:color w:val="auto"/>
          <w:w w:val="95"/>
          <w:sz w:val="30"/>
          <w:szCs w:val="30"/>
          <w:highlight w:val="none"/>
        </w:rPr>
      </w:pPr>
      <w:r>
        <w:rPr>
          <w:rFonts w:hint="eastAsia" w:ascii="宋体" w:hAnsi="宋体" w:eastAsia="宋体" w:cs="宋体"/>
          <w:b/>
          <w:bCs/>
          <w:color w:val="auto"/>
          <w:w w:val="95"/>
          <w:sz w:val="30"/>
          <w:szCs w:val="30"/>
          <w:highlight w:val="none"/>
        </w:rPr>
        <w:t>采 购 人：宁波市江北区</w:t>
      </w:r>
      <w:r>
        <w:rPr>
          <w:rFonts w:hint="eastAsia" w:ascii="宋体" w:hAnsi="宋体" w:eastAsia="宋体" w:cs="宋体"/>
          <w:b/>
          <w:bCs/>
          <w:color w:val="auto"/>
          <w:w w:val="95"/>
          <w:sz w:val="30"/>
          <w:szCs w:val="30"/>
          <w:highlight w:val="none"/>
          <w:lang w:val="en-US" w:eastAsia="zh-CN"/>
        </w:rPr>
        <w:t>城市建设投资发展</w:t>
      </w:r>
      <w:r>
        <w:rPr>
          <w:rFonts w:hint="eastAsia" w:ascii="宋体" w:hAnsi="宋体" w:eastAsia="宋体" w:cs="宋体"/>
          <w:b/>
          <w:bCs/>
          <w:color w:val="auto"/>
          <w:w w:val="95"/>
          <w:sz w:val="30"/>
          <w:szCs w:val="30"/>
          <w:highlight w:val="none"/>
        </w:rPr>
        <w:t>有限公司</w:t>
      </w:r>
    </w:p>
    <w:p>
      <w:pPr>
        <w:pStyle w:val="12"/>
        <w:snapToGrid w:val="0"/>
        <w:spacing w:before="156" w:after="156" w:line="360" w:lineRule="auto"/>
        <w:ind w:firstLine="572" w:firstLineChars="200"/>
        <w:rPr>
          <w:rFonts w:hint="eastAsia" w:ascii="宋体" w:hAnsi="宋体" w:eastAsia="宋体" w:cs="宋体"/>
          <w:b/>
          <w:bCs/>
          <w:color w:val="auto"/>
          <w:w w:val="95"/>
          <w:sz w:val="30"/>
          <w:szCs w:val="30"/>
          <w:highlight w:val="none"/>
        </w:rPr>
      </w:pPr>
      <w:r>
        <w:rPr>
          <w:rFonts w:hint="eastAsia" w:ascii="宋体" w:hAnsi="宋体" w:eastAsia="宋体" w:cs="宋体"/>
          <w:b/>
          <w:bCs/>
          <w:color w:val="auto"/>
          <w:w w:val="95"/>
          <w:sz w:val="30"/>
          <w:szCs w:val="30"/>
          <w:highlight w:val="none"/>
        </w:rPr>
        <w:t>采购代理机构：中招国际招标有限公司</w:t>
      </w:r>
    </w:p>
    <w:p>
      <w:pPr>
        <w:pStyle w:val="12"/>
        <w:snapToGrid w:val="0"/>
        <w:spacing w:before="156" w:after="156" w:line="360" w:lineRule="auto"/>
        <w:rPr>
          <w:rFonts w:ascii="宋体" w:hAnsi="宋体"/>
          <w:bCs/>
          <w:color w:val="auto"/>
          <w:w w:val="95"/>
          <w:sz w:val="30"/>
          <w:szCs w:val="30"/>
          <w:highlight w:val="none"/>
        </w:rPr>
      </w:pPr>
    </w:p>
    <w:p>
      <w:pPr>
        <w:snapToGrid w:val="0"/>
        <w:spacing w:before="156" w:beforeLines="50" w:line="360" w:lineRule="auto"/>
        <w:ind w:right="1136"/>
        <w:jc w:val="center"/>
        <w:rPr>
          <w:rFonts w:ascii="宋体" w:hAnsi="宋体"/>
          <w:b/>
          <w:color w:val="auto"/>
          <w:sz w:val="30"/>
          <w:szCs w:val="20"/>
          <w:highlight w:val="none"/>
        </w:rPr>
      </w:pPr>
      <w:r>
        <w:rPr>
          <w:rFonts w:hint="eastAsia" w:ascii="宋体" w:hAnsi="宋体"/>
          <w:b/>
          <w:bCs/>
          <w:color w:val="auto"/>
          <w:w w:val="95"/>
          <w:sz w:val="30"/>
          <w:szCs w:val="30"/>
          <w:highlight w:val="none"/>
        </w:rPr>
        <w:t xml:space="preserve">        202</w:t>
      </w:r>
      <w:r>
        <w:rPr>
          <w:rFonts w:hint="eastAsia" w:ascii="宋体" w:hAnsi="宋体"/>
          <w:b/>
          <w:bCs/>
          <w:color w:val="auto"/>
          <w:w w:val="95"/>
          <w:sz w:val="30"/>
          <w:szCs w:val="30"/>
          <w:highlight w:val="none"/>
          <w:lang w:val="en-US" w:eastAsia="zh-CN"/>
        </w:rPr>
        <w:t>2</w:t>
      </w:r>
      <w:r>
        <w:rPr>
          <w:rFonts w:hint="eastAsia" w:ascii="宋体" w:hAnsi="宋体"/>
          <w:b/>
          <w:bCs/>
          <w:color w:val="auto"/>
          <w:w w:val="95"/>
          <w:sz w:val="30"/>
          <w:szCs w:val="30"/>
          <w:highlight w:val="none"/>
        </w:rPr>
        <w:t>年</w:t>
      </w:r>
      <w:r>
        <w:rPr>
          <w:rFonts w:hint="eastAsia" w:ascii="宋体" w:hAnsi="宋体"/>
          <w:b/>
          <w:bCs/>
          <w:color w:val="auto"/>
          <w:w w:val="95"/>
          <w:sz w:val="30"/>
          <w:szCs w:val="30"/>
          <w:highlight w:val="none"/>
          <w:lang w:val="en-US" w:eastAsia="zh-CN"/>
        </w:rPr>
        <w:t>1</w:t>
      </w:r>
      <w:r>
        <w:rPr>
          <w:rFonts w:hint="eastAsia" w:ascii="宋体" w:hAnsi="宋体"/>
          <w:b/>
          <w:bCs/>
          <w:color w:val="auto"/>
          <w:w w:val="95"/>
          <w:sz w:val="30"/>
          <w:szCs w:val="30"/>
          <w:highlight w:val="none"/>
        </w:rPr>
        <w:t>月</w:t>
      </w:r>
      <w:r>
        <w:rPr>
          <w:rFonts w:hint="eastAsia" w:ascii="宋体" w:hAnsi="宋体"/>
          <w:b/>
          <w:color w:val="auto"/>
          <w:sz w:val="28"/>
          <w:szCs w:val="48"/>
          <w:highlight w:val="none"/>
        </w:rPr>
        <w:t xml:space="preserve">                       </w:t>
      </w:r>
    </w:p>
    <w:p>
      <w:pPr>
        <w:wordWrap w:val="0"/>
        <w:spacing w:after="120"/>
        <w:jc w:val="center"/>
        <w:rPr>
          <w:rFonts w:ascii="宋体" w:hAnsi="宋体" w:cs="宋体"/>
          <w:color w:val="auto"/>
          <w:sz w:val="32"/>
          <w:szCs w:val="32"/>
          <w:highlight w:val="none"/>
          <w:lang w:val="zh-CN"/>
        </w:rPr>
      </w:pPr>
      <w:r>
        <w:rPr>
          <w:rFonts w:hint="eastAsia" w:ascii="宋体" w:hAnsi="宋体" w:cs="宋体"/>
          <w:color w:val="auto"/>
          <w:sz w:val="32"/>
          <w:szCs w:val="32"/>
          <w:highlight w:val="none"/>
          <w:lang w:val="zh-CN"/>
        </w:rPr>
        <w:br w:type="page"/>
      </w:r>
      <w:r>
        <w:rPr>
          <w:rFonts w:hint="eastAsia" w:ascii="宋体" w:hAnsi="宋体" w:cs="宋体"/>
          <w:color w:val="auto"/>
          <w:sz w:val="32"/>
          <w:szCs w:val="32"/>
          <w:highlight w:val="none"/>
          <w:lang w:val="zh-CN"/>
        </w:rPr>
        <w:t>目  录</w:t>
      </w:r>
      <w:bookmarkEnd w:id="0"/>
    </w:p>
    <w:p>
      <w:pPr>
        <w:ind w:firstLine="420"/>
        <w:rPr>
          <w:rFonts w:ascii="宋体" w:hAnsi="宋体" w:cs="宋体"/>
          <w:color w:val="auto"/>
          <w:highlight w:val="none"/>
          <w:lang w:val="zh-CN"/>
        </w:rPr>
      </w:pPr>
    </w:p>
    <w:p>
      <w:pPr>
        <w:pStyle w:val="15"/>
        <w:rPr>
          <w:rFonts w:ascii="宋体" w:hAnsi="宋体" w:eastAsia="宋体" w:cs="宋体"/>
          <w:color w:val="auto"/>
          <w:highlight w:val="none"/>
        </w:rPr>
      </w:pPr>
      <w:r>
        <w:rPr>
          <w:rFonts w:hint="eastAsia" w:ascii="宋体" w:hAnsi="宋体" w:eastAsia="宋体" w:cs="宋体"/>
          <w:color w:val="auto"/>
          <w:sz w:val="24"/>
          <w:highlight w:val="none"/>
        </w:rPr>
        <w:fldChar w:fldCharType="begin"/>
      </w:r>
      <w:r>
        <w:rPr>
          <w:rFonts w:hint="eastAsia" w:ascii="宋体" w:hAnsi="宋体" w:eastAsia="宋体" w:cs="宋体"/>
          <w:color w:val="auto"/>
          <w:sz w:val="24"/>
          <w:highlight w:val="none"/>
        </w:rPr>
        <w:instrText xml:space="preserve"> TOC \o "1-1" \h \z \u </w:instrText>
      </w:r>
      <w:r>
        <w:rPr>
          <w:rFonts w:hint="eastAsia" w:ascii="宋体" w:hAnsi="宋体" w:eastAsia="宋体" w:cs="宋体"/>
          <w:color w:val="auto"/>
          <w:sz w:val="24"/>
          <w:highlight w:val="none"/>
        </w:rPr>
        <w:fldChar w:fldCharType="separate"/>
      </w:r>
    </w:p>
    <w:p>
      <w:pPr>
        <w:pStyle w:val="15"/>
        <w:rPr>
          <w:rFonts w:ascii="宋体" w:hAnsi="宋体" w:eastAsia="宋体" w:cs="宋体"/>
          <w:color w:val="auto"/>
          <w:highlight w:val="none"/>
        </w:rPr>
      </w:pPr>
      <w:r>
        <w:rPr>
          <w:color w:val="auto"/>
          <w:highlight w:val="none"/>
        </w:rPr>
        <w:fldChar w:fldCharType="begin"/>
      </w:r>
      <w:r>
        <w:rPr>
          <w:color w:val="auto"/>
          <w:highlight w:val="none"/>
        </w:rPr>
        <w:instrText xml:space="preserve"> HYPERLINK "file:///C:\\Users\\86138\\Desktop\\宁波老外滩24小时有声城市书房服务采购项目定稿（已定时间）.doc" \l "_Toc2418" </w:instrText>
      </w:r>
      <w:r>
        <w:rPr>
          <w:color w:val="auto"/>
          <w:highlight w:val="none"/>
        </w:rPr>
        <w:fldChar w:fldCharType="separate"/>
      </w:r>
      <w:r>
        <w:rPr>
          <w:rStyle w:val="30"/>
          <w:rFonts w:hint="eastAsia" w:ascii="宋体" w:hAnsi="宋体" w:eastAsia="宋体" w:cs="宋体"/>
          <w:bCs/>
          <w:color w:val="auto"/>
          <w:highlight w:val="none"/>
          <w:lang w:eastAsia="zh-CN"/>
        </w:rPr>
        <w:t xml:space="preserve">第一部分 </w:t>
      </w:r>
      <w:r>
        <w:rPr>
          <w:rStyle w:val="30"/>
          <w:rFonts w:hint="eastAsia" w:ascii="宋体" w:hAnsi="宋体" w:eastAsia="宋体" w:cs="宋体"/>
          <w:bCs/>
          <w:color w:val="auto"/>
          <w:highlight w:val="none"/>
          <w:lang w:val="en-US" w:eastAsia="zh-CN"/>
        </w:rPr>
        <w:t>采购</w:t>
      </w:r>
      <w:r>
        <w:rPr>
          <w:rStyle w:val="30"/>
          <w:rFonts w:hint="eastAsia" w:ascii="宋体" w:hAnsi="宋体" w:eastAsia="宋体" w:cs="宋体"/>
          <w:bCs/>
          <w:color w:val="auto"/>
          <w:highlight w:val="none"/>
          <w:lang w:eastAsia="zh-CN"/>
        </w:rPr>
        <w:t>公告</w:t>
      </w:r>
      <w:r>
        <w:rPr>
          <w:rStyle w:val="30"/>
          <w:rFonts w:hint="eastAsia" w:ascii="宋体" w:hAnsi="宋体" w:eastAsia="宋体" w:cs="宋体"/>
          <w:color w:val="auto"/>
          <w:highlight w:val="none"/>
        </w:rPr>
        <w:tab/>
      </w:r>
      <w:r>
        <w:rPr>
          <w:rStyle w:val="30"/>
          <w:rFonts w:hint="eastAsia" w:ascii="宋体" w:hAnsi="宋体" w:eastAsia="宋体" w:cs="宋体"/>
          <w:color w:val="auto"/>
          <w:highlight w:val="none"/>
          <w:lang w:val="en-US" w:eastAsia="zh-CN"/>
        </w:rPr>
        <w:t>3</w:t>
      </w:r>
      <w:r>
        <w:rPr>
          <w:rStyle w:val="30"/>
          <w:rFonts w:hint="eastAsia" w:ascii="宋体" w:hAnsi="宋体" w:eastAsia="宋体" w:cs="宋体"/>
          <w:color w:val="auto"/>
          <w:highlight w:val="none"/>
          <w:lang w:eastAsia="zh-CN"/>
        </w:rPr>
        <w:fldChar w:fldCharType="end"/>
      </w:r>
    </w:p>
    <w:p>
      <w:pPr>
        <w:pStyle w:val="15"/>
        <w:rPr>
          <w:rFonts w:ascii="宋体" w:hAnsi="宋体" w:eastAsia="宋体" w:cs="宋体"/>
          <w:color w:val="auto"/>
          <w:highlight w:val="none"/>
        </w:rPr>
      </w:pPr>
      <w:r>
        <w:rPr>
          <w:color w:val="auto"/>
          <w:highlight w:val="none"/>
        </w:rPr>
        <w:fldChar w:fldCharType="begin"/>
      </w:r>
      <w:r>
        <w:rPr>
          <w:color w:val="auto"/>
          <w:highlight w:val="none"/>
        </w:rPr>
        <w:instrText xml:space="preserve"> HYPERLINK "file:///C:\\Users\\86138\\Desktop\\宁波老外滩24小时有声城市书房服务采购项目定稿（已定时间）.doc" \l "_Toc20566" </w:instrText>
      </w:r>
      <w:r>
        <w:rPr>
          <w:color w:val="auto"/>
          <w:highlight w:val="none"/>
        </w:rPr>
        <w:fldChar w:fldCharType="separate"/>
      </w:r>
      <w:r>
        <w:rPr>
          <w:rStyle w:val="30"/>
          <w:rFonts w:hint="eastAsia" w:ascii="宋体" w:hAnsi="宋体" w:eastAsia="宋体" w:cs="宋体"/>
          <w:bCs/>
          <w:color w:val="auto"/>
          <w:highlight w:val="none"/>
          <w:lang w:eastAsia="zh-CN"/>
        </w:rPr>
        <w:t xml:space="preserve">第二部分 </w:t>
      </w:r>
      <w:r>
        <w:rPr>
          <w:rStyle w:val="30"/>
          <w:rFonts w:hint="eastAsia" w:ascii="宋体" w:hAnsi="宋体" w:eastAsia="宋体" w:cs="宋体"/>
          <w:bCs/>
          <w:color w:val="auto"/>
          <w:highlight w:val="none"/>
        </w:rPr>
        <w:t>采购需求</w:t>
      </w:r>
      <w:r>
        <w:rPr>
          <w:rStyle w:val="30"/>
          <w:rFonts w:hint="eastAsia" w:ascii="宋体" w:hAnsi="宋体" w:eastAsia="宋体" w:cs="宋体"/>
          <w:color w:val="auto"/>
          <w:highlight w:val="none"/>
        </w:rPr>
        <w:tab/>
      </w:r>
      <w:r>
        <w:rPr>
          <w:rStyle w:val="30"/>
          <w:rFonts w:hint="eastAsia" w:ascii="宋体" w:hAnsi="宋体" w:eastAsia="宋体" w:cs="宋体"/>
          <w:color w:val="auto"/>
          <w:highlight w:val="none"/>
        </w:rPr>
        <w:fldChar w:fldCharType="begin"/>
      </w:r>
      <w:r>
        <w:rPr>
          <w:rStyle w:val="30"/>
          <w:rFonts w:hint="eastAsia" w:ascii="宋体" w:hAnsi="宋体" w:eastAsia="宋体" w:cs="宋体"/>
          <w:color w:val="auto"/>
          <w:highlight w:val="none"/>
        </w:rPr>
        <w:instrText xml:space="preserve"> PAGEREF _Toc20566 </w:instrText>
      </w:r>
      <w:r>
        <w:rPr>
          <w:rStyle w:val="30"/>
          <w:rFonts w:hint="eastAsia" w:ascii="宋体" w:hAnsi="宋体" w:eastAsia="宋体" w:cs="宋体"/>
          <w:color w:val="auto"/>
          <w:highlight w:val="none"/>
        </w:rPr>
        <w:fldChar w:fldCharType="separate"/>
      </w:r>
      <w:r>
        <w:rPr>
          <w:rStyle w:val="30"/>
          <w:rFonts w:hint="eastAsia" w:ascii="宋体" w:hAnsi="宋体" w:eastAsia="宋体" w:cs="宋体"/>
          <w:color w:val="auto"/>
          <w:highlight w:val="none"/>
        </w:rPr>
        <w:t>6</w:t>
      </w:r>
      <w:r>
        <w:rPr>
          <w:rStyle w:val="30"/>
          <w:rFonts w:hint="eastAsia" w:ascii="宋体" w:hAnsi="宋体" w:eastAsia="宋体" w:cs="宋体"/>
          <w:color w:val="auto"/>
          <w:highlight w:val="none"/>
        </w:rPr>
        <w:fldChar w:fldCharType="end"/>
      </w:r>
      <w:r>
        <w:rPr>
          <w:rStyle w:val="30"/>
          <w:rFonts w:hint="eastAsia" w:ascii="宋体" w:hAnsi="宋体" w:eastAsia="宋体" w:cs="宋体"/>
          <w:color w:val="auto"/>
          <w:highlight w:val="none"/>
        </w:rPr>
        <w:fldChar w:fldCharType="end"/>
      </w:r>
    </w:p>
    <w:p>
      <w:pPr>
        <w:pStyle w:val="15"/>
        <w:rPr>
          <w:rFonts w:hint="eastAsia" w:ascii="宋体" w:hAnsi="宋体" w:eastAsia="宋体" w:cs="宋体"/>
          <w:color w:val="auto"/>
          <w:highlight w:val="none"/>
          <w:lang w:val="en-US" w:eastAsia="zh-CN"/>
        </w:rPr>
      </w:pPr>
      <w:r>
        <w:rPr>
          <w:color w:val="auto"/>
          <w:highlight w:val="none"/>
        </w:rPr>
        <w:fldChar w:fldCharType="begin"/>
      </w:r>
      <w:r>
        <w:rPr>
          <w:color w:val="auto"/>
          <w:highlight w:val="none"/>
        </w:rPr>
        <w:instrText xml:space="preserve"> HYPERLINK "file:///C:\\Users\\86138\\Desktop\\宁波老外滩24小时有声城市书房服务采购项目定稿（已定时间）.doc" \l "_Toc26798" </w:instrText>
      </w:r>
      <w:r>
        <w:rPr>
          <w:color w:val="auto"/>
          <w:highlight w:val="none"/>
        </w:rPr>
        <w:fldChar w:fldCharType="separate"/>
      </w:r>
      <w:r>
        <w:rPr>
          <w:rStyle w:val="30"/>
          <w:rFonts w:hint="eastAsia" w:ascii="宋体" w:hAnsi="宋体" w:eastAsia="宋体" w:cs="宋体"/>
          <w:bCs/>
          <w:color w:val="auto"/>
          <w:highlight w:val="none"/>
        </w:rPr>
        <w:t>第三部分</w:t>
      </w:r>
      <w:r>
        <w:rPr>
          <w:rStyle w:val="30"/>
          <w:rFonts w:hint="eastAsia" w:ascii="宋体" w:hAnsi="宋体" w:eastAsia="宋体" w:cs="宋体"/>
          <w:bCs/>
          <w:color w:val="auto"/>
          <w:highlight w:val="none"/>
          <w:lang w:eastAsia="zh-CN"/>
        </w:rPr>
        <w:t xml:space="preserve"> 供应商</w:t>
      </w:r>
      <w:r>
        <w:rPr>
          <w:rStyle w:val="30"/>
          <w:rFonts w:hint="eastAsia" w:ascii="宋体" w:hAnsi="宋体" w:eastAsia="宋体" w:cs="宋体"/>
          <w:bCs/>
          <w:color w:val="auto"/>
          <w:highlight w:val="none"/>
        </w:rPr>
        <w:t>须知</w:t>
      </w:r>
      <w:r>
        <w:rPr>
          <w:rStyle w:val="30"/>
          <w:rFonts w:hint="eastAsia" w:ascii="宋体" w:hAnsi="宋体" w:eastAsia="宋体" w:cs="宋体"/>
          <w:color w:val="auto"/>
          <w:highlight w:val="none"/>
        </w:rPr>
        <w:tab/>
      </w:r>
      <w:r>
        <w:rPr>
          <w:rStyle w:val="30"/>
          <w:rFonts w:hint="eastAsia" w:ascii="宋体" w:hAnsi="宋体" w:eastAsia="宋体" w:cs="宋体"/>
          <w:color w:val="auto"/>
          <w:highlight w:val="none"/>
          <w:lang w:val="en-US" w:eastAsia="zh-CN"/>
        </w:rPr>
        <w:t>1</w:t>
      </w:r>
      <w:r>
        <w:rPr>
          <w:rStyle w:val="30"/>
          <w:rFonts w:hint="eastAsia" w:ascii="宋体" w:hAnsi="宋体" w:eastAsia="宋体" w:cs="宋体"/>
          <w:color w:val="auto"/>
          <w:highlight w:val="none"/>
        </w:rPr>
        <w:fldChar w:fldCharType="end"/>
      </w:r>
      <w:r>
        <w:rPr>
          <w:rStyle w:val="30"/>
          <w:rFonts w:hint="eastAsia" w:ascii="宋体" w:hAnsi="宋体" w:eastAsia="宋体" w:cs="宋体"/>
          <w:color w:val="auto"/>
          <w:highlight w:val="none"/>
          <w:lang w:val="en-US" w:eastAsia="zh-CN"/>
        </w:rPr>
        <w:t>9</w:t>
      </w:r>
    </w:p>
    <w:p>
      <w:pPr>
        <w:pStyle w:val="15"/>
        <w:rPr>
          <w:rFonts w:ascii="宋体" w:hAnsi="宋体" w:eastAsia="宋体" w:cs="宋体"/>
          <w:color w:val="auto"/>
          <w:highlight w:val="none"/>
        </w:rPr>
      </w:pPr>
      <w:r>
        <w:rPr>
          <w:color w:val="auto"/>
          <w:highlight w:val="none"/>
        </w:rPr>
        <w:fldChar w:fldCharType="begin"/>
      </w:r>
      <w:r>
        <w:rPr>
          <w:color w:val="auto"/>
          <w:highlight w:val="none"/>
        </w:rPr>
        <w:instrText xml:space="preserve"> HYPERLINK "file:///C:\\Users\\86138\\Desktop\\宁波老外滩24小时有声城市书房服务采购项目定稿（已定时间）.doc" \l "_Toc13" </w:instrText>
      </w:r>
      <w:r>
        <w:rPr>
          <w:color w:val="auto"/>
          <w:highlight w:val="none"/>
        </w:rPr>
        <w:fldChar w:fldCharType="separate"/>
      </w:r>
      <w:r>
        <w:rPr>
          <w:rStyle w:val="30"/>
          <w:rFonts w:hint="eastAsia" w:ascii="宋体" w:hAnsi="宋体" w:eastAsia="宋体" w:cs="宋体"/>
          <w:bCs/>
          <w:color w:val="auto"/>
          <w:highlight w:val="none"/>
        </w:rPr>
        <w:t>第四部分</w:t>
      </w:r>
      <w:r>
        <w:rPr>
          <w:rStyle w:val="30"/>
          <w:rFonts w:hint="eastAsia" w:ascii="宋体" w:hAnsi="宋体" w:eastAsia="宋体" w:cs="宋体"/>
          <w:bCs/>
          <w:color w:val="auto"/>
          <w:highlight w:val="none"/>
          <w:lang w:eastAsia="zh-CN"/>
        </w:rPr>
        <w:t xml:space="preserve"> </w:t>
      </w:r>
      <w:r>
        <w:rPr>
          <w:rStyle w:val="30"/>
          <w:rFonts w:hint="eastAsia" w:ascii="宋体" w:hAnsi="宋体" w:eastAsia="宋体" w:cs="宋体"/>
          <w:bCs/>
          <w:color w:val="auto"/>
          <w:highlight w:val="none"/>
        </w:rPr>
        <w:t>评标办法及评分标准</w:t>
      </w:r>
      <w:r>
        <w:rPr>
          <w:rStyle w:val="30"/>
          <w:rFonts w:hint="eastAsia" w:ascii="宋体" w:hAnsi="宋体" w:eastAsia="宋体" w:cs="宋体"/>
          <w:color w:val="auto"/>
          <w:highlight w:val="none"/>
        </w:rPr>
        <w:tab/>
      </w:r>
      <w:r>
        <w:rPr>
          <w:rStyle w:val="30"/>
          <w:rFonts w:hint="eastAsia" w:ascii="宋体" w:hAnsi="宋体" w:eastAsia="宋体" w:cs="宋体"/>
          <w:color w:val="auto"/>
          <w:highlight w:val="none"/>
        </w:rPr>
        <w:fldChar w:fldCharType="begin"/>
      </w:r>
      <w:r>
        <w:rPr>
          <w:rStyle w:val="30"/>
          <w:rFonts w:hint="eastAsia" w:ascii="宋体" w:hAnsi="宋体" w:eastAsia="宋体" w:cs="宋体"/>
          <w:color w:val="auto"/>
          <w:highlight w:val="none"/>
        </w:rPr>
        <w:instrText xml:space="preserve"> PAGEREF _Toc13 </w:instrText>
      </w:r>
      <w:r>
        <w:rPr>
          <w:rStyle w:val="30"/>
          <w:rFonts w:hint="eastAsia" w:ascii="宋体" w:hAnsi="宋体" w:eastAsia="宋体" w:cs="宋体"/>
          <w:color w:val="auto"/>
          <w:highlight w:val="none"/>
        </w:rPr>
        <w:fldChar w:fldCharType="separate"/>
      </w:r>
      <w:r>
        <w:rPr>
          <w:rStyle w:val="30"/>
          <w:rFonts w:hint="eastAsia" w:ascii="宋体" w:hAnsi="宋体" w:eastAsia="宋体" w:cs="宋体"/>
          <w:color w:val="auto"/>
          <w:highlight w:val="none"/>
        </w:rPr>
        <w:t>29</w:t>
      </w:r>
      <w:r>
        <w:rPr>
          <w:rStyle w:val="30"/>
          <w:rFonts w:hint="eastAsia" w:ascii="宋体" w:hAnsi="宋体" w:eastAsia="宋体" w:cs="宋体"/>
          <w:color w:val="auto"/>
          <w:highlight w:val="none"/>
        </w:rPr>
        <w:fldChar w:fldCharType="end"/>
      </w:r>
      <w:r>
        <w:rPr>
          <w:rStyle w:val="30"/>
          <w:rFonts w:hint="eastAsia" w:ascii="宋体" w:hAnsi="宋体" w:eastAsia="宋体" w:cs="宋体"/>
          <w:color w:val="auto"/>
          <w:highlight w:val="none"/>
        </w:rPr>
        <w:fldChar w:fldCharType="end"/>
      </w:r>
    </w:p>
    <w:p>
      <w:pPr>
        <w:pStyle w:val="15"/>
        <w:rPr>
          <w:rFonts w:ascii="宋体" w:hAnsi="宋体" w:eastAsia="宋体" w:cs="宋体"/>
          <w:color w:val="auto"/>
          <w:highlight w:val="none"/>
        </w:rPr>
      </w:pPr>
      <w:r>
        <w:rPr>
          <w:color w:val="auto"/>
          <w:highlight w:val="none"/>
        </w:rPr>
        <w:fldChar w:fldCharType="begin"/>
      </w:r>
      <w:r>
        <w:rPr>
          <w:color w:val="auto"/>
          <w:highlight w:val="none"/>
        </w:rPr>
        <w:instrText xml:space="preserve"> HYPERLINK "file:///C:\\Users\\86138\\Desktop\\宁波老外滩24小时有声城市书房服务采购项目定稿（已定时间）.doc" \l "_Toc25195" </w:instrText>
      </w:r>
      <w:r>
        <w:rPr>
          <w:color w:val="auto"/>
          <w:highlight w:val="none"/>
        </w:rPr>
        <w:fldChar w:fldCharType="separate"/>
      </w:r>
      <w:r>
        <w:rPr>
          <w:rStyle w:val="30"/>
          <w:rFonts w:hint="eastAsia" w:ascii="宋体" w:hAnsi="宋体" w:eastAsia="宋体" w:cs="宋体"/>
          <w:bCs/>
          <w:color w:val="auto"/>
          <w:highlight w:val="none"/>
          <w:lang w:eastAsia="zh-CN"/>
        </w:rPr>
        <w:t xml:space="preserve">第五部分 </w:t>
      </w:r>
      <w:r>
        <w:rPr>
          <w:rStyle w:val="30"/>
          <w:rFonts w:hint="eastAsia" w:ascii="宋体" w:hAnsi="宋体" w:eastAsia="宋体" w:cs="宋体"/>
          <w:bCs/>
          <w:color w:val="auto"/>
          <w:highlight w:val="none"/>
          <w:lang w:val="en-US" w:eastAsia="zh-CN"/>
        </w:rPr>
        <w:t>采购合同样本</w:t>
      </w:r>
      <w:r>
        <w:rPr>
          <w:rStyle w:val="30"/>
          <w:rFonts w:hint="eastAsia" w:ascii="宋体" w:hAnsi="宋体" w:eastAsia="宋体" w:cs="宋体"/>
          <w:bCs/>
          <w:color w:val="auto"/>
          <w:highlight w:val="none"/>
        </w:rPr>
        <w:tab/>
      </w:r>
      <w:r>
        <w:rPr>
          <w:rStyle w:val="30"/>
          <w:rFonts w:hint="eastAsia" w:ascii="宋体" w:hAnsi="宋体" w:eastAsia="宋体" w:cs="宋体"/>
          <w:color w:val="auto"/>
          <w:highlight w:val="none"/>
        </w:rPr>
        <w:fldChar w:fldCharType="begin"/>
      </w:r>
      <w:r>
        <w:rPr>
          <w:rStyle w:val="30"/>
          <w:rFonts w:hint="eastAsia" w:ascii="宋体" w:hAnsi="宋体" w:eastAsia="宋体" w:cs="宋体"/>
          <w:color w:val="auto"/>
          <w:highlight w:val="none"/>
        </w:rPr>
        <w:instrText xml:space="preserve"> PAGEREF _Toc25195 </w:instrText>
      </w:r>
      <w:r>
        <w:rPr>
          <w:rStyle w:val="30"/>
          <w:rFonts w:hint="eastAsia" w:ascii="宋体" w:hAnsi="宋体" w:eastAsia="宋体" w:cs="宋体"/>
          <w:color w:val="auto"/>
          <w:highlight w:val="none"/>
        </w:rPr>
        <w:fldChar w:fldCharType="separate"/>
      </w:r>
      <w:r>
        <w:rPr>
          <w:rStyle w:val="30"/>
          <w:rFonts w:hint="eastAsia" w:ascii="宋体" w:hAnsi="宋体" w:eastAsia="宋体" w:cs="宋体"/>
          <w:color w:val="auto"/>
          <w:highlight w:val="none"/>
        </w:rPr>
        <w:t>33</w:t>
      </w:r>
      <w:r>
        <w:rPr>
          <w:rStyle w:val="30"/>
          <w:rFonts w:hint="eastAsia" w:ascii="宋体" w:hAnsi="宋体" w:eastAsia="宋体" w:cs="宋体"/>
          <w:color w:val="auto"/>
          <w:highlight w:val="none"/>
        </w:rPr>
        <w:fldChar w:fldCharType="end"/>
      </w:r>
      <w:r>
        <w:rPr>
          <w:rStyle w:val="30"/>
          <w:rFonts w:hint="eastAsia" w:ascii="宋体" w:hAnsi="宋体" w:eastAsia="宋体" w:cs="宋体"/>
          <w:color w:val="auto"/>
          <w:highlight w:val="none"/>
        </w:rPr>
        <w:fldChar w:fldCharType="end"/>
      </w:r>
    </w:p>
    <w:p>
      <w:pPr>
        <w:pStyle w:val="15"/>
        <w:rPr>
          <w:rFonts w:hint="default" w:ascii="宋体" w:hAnsi="宋体" w:eastAsia="宋体" w:cs="宋体"/>
          <w:color w:val="auto"/>
          <w:highlight w:val="none"/>
          <w:lang w:val="en-US"/>
        </w:rPr>
      </w:pPr>
      <w:r>
        <w:rPr>
          <w:color w:val="auto"/>
          <w:highlight w:val="none"/>
        </w:rPr>
        <w:fldChar w:fldCharType="begin"/>
      </w:r>
      <w:r>
        <w:rPr>
          <w:color w:val="auto"/>
          <w:highlight w:val="none"/>
        </w:rPr>
        <w:instrText xml:space="preserve"> HYPERLINK "file:///C:\\Users\\86138\\Desktop\\宁波老外滩24小时有声城市书房服务采购项目定稿（已定时间）.doc" \l "_Toc9423" </w:instrText>
      </w:r>
      <w:r>
        <w:rPr>
          <w:color w:val="auto"/>
          <w:highlight w:val="none"/>
        </w:rPr>
        <w:fldChar w:fldCharType="separate"/>
      </w:r>
      <w:r>
        <w:rPr>
          <w:rStyle w:val="30"/>
          <w:rFonts w:hint="eastAsia" w:ascii="宋体" w:hAnsi="宋体" w:eastAsia="宋体" w:cs="宋体"/>
          <w:bCs/>
          <w:color w:val="auto"/>
          <w:highlight w:val="none"/>
          <w:lang w:eastAsia="zh-CN"/>
        </w:rPr>
        <w:t>第六部分 投标文件格式</w:t>
      </w:r>
      <w:r>
        <w:rPr>
          <w:rStyle w:val="30"/>
          <w:rFonts w:hint="eastAsia" w:ascii="宋体" w:hAnsi="宋体" w:eastAsia="宋体" w:cs="宋体"/>
          <w:bCs/>
          <w:color w:val="auto"/>
          <w:highlight w:val="none"/>
          <w:lang w:eastAsia="zh-CN"/>
        </w:rPr>
        <w:tab/>
      </w:r>
      <w:r>
        <w:rPr>
          <w:rStyle w:val="30"/>
          <w:rFonts w:hint="eastAsia" w:ascii="宋体" w:hAnsi="宋体" w:eastAsia="宋体" w:cs="宋体"/>
          <w:bCs/>
          <w:color w:val="auto"/>
          <w:highlight w:val="none"/>
          <w:lang w:val="en-US" w:eastAsia="zh-CN"/>
        </w:rPr>
        <w:t>3</w:t>
      </w:r>
      <w:r>
        <w:rPr>
          <w:rStyle w:val="30"/>
          <w:rFonts w:hint="eastAsia" w:ascii="宋体" w:hAnsi="宋体" w:eastAsia="宋体" w:cs="宋体"/>
          <w:bCs/>
          <w:color w:val="auto"/>
          <w:highlight w:val="none"/>
          <w:lang w:eastAsia="zh-CN"/>
        </w:rPr>
        <w:fldChar w:fldCharType="end"/>
      </w:r>
      <w:r>
        <w:rPr>
          <w:rStyle w:val="30"/>
          <w:rFonts w:hint="eastAsia" w:ascii="宋体" w:hAnsi="宋体" w:eastAsia="宋体" w:cs="宋体"/>
          <w:bCs/>
          <w:color w:val="auto"/>
          <w:highlight w:val="none"/>
          <w:lang w:val="en-US" w:eastAsia="zh-CN"/>
        </w:rPr>
        <w:t>7</w:t>
      </w:r>
    </w:p>
    <w:p>
      <w:pPr>
        <w:jc w:val="center"/>
        <w:rPr>
          <w:rFonts w:ascii="宋体" w:hAnsi="宋体" w:cs="宋体"/>
          <w:b/>
          <w:bCs/>
          <w:color w:val="auto"/>
          <w:highlight w:val="none"/>
          <w:lang w:val="zh-CN"/>
        </w:rPr>
      </w:pPr>
      <w:r>
        <w:rPr>
          <w:rFonts w:hint="eastAsia" w:ascii="宋体" w:hAnsi="宋体" w:cs="宋体"/>
          <w:color w:val="auto"/>
          <w:highlight w:val="none"/>
        </w:rPr>
        <w:fldChar w:fldCharType="end"/>
      </w:r>
    </w:p>
    <w:p>
      <w:pPr>
        <w:widowControl/>
        <w:jc w:val="left"/>
        <w:rPr>
          <w:rFonts w:ascii="宋体" w:hAnsi="宋体" w:cs="宋体"/>
          <w:color w:val="auto"/>
          <w:sz w:val="28"/>
          <w:szCs w:val="28"/>
          <w:highlight w:val="none"/>
        </w:rPr>
        <w:sectPr>
          <w:headerReference r:id="rId5" w:type="first"/>
          <w:footerReference r:id="rId8" w:type="first"/>
          <w:headerReference r:id="rId3" w:type="default"/>
          <w:footerReference r:id="rId6" w:type="default"/>
          <w:headerReference r:id="rId4" w:type="even"/>
          <w:footerReference r:id="rId7" w:type="even"/>
          <w:pgSz w:w="11906" w:h="16838"/>
          <w:pgMar w:top="1440" w:right="1286" w:bottom="1318" w:left="1380" w:header="851" w:footer="992" w:gutter="0"/>
          <w:pgBorders>
            <w:top w:val="none" w:sz="0" w:space="0"/>
            <w:left w:val="none" w:sz="0" w:space="0"/>
            <w:bottom w:val="none" w:sz="0" w:space="0"/>
            <w:right w:val="none" w:sz="0" w:space="0"/>
          </w:pgBorders>
          <w:cols w:space="720" w:num="1"/>
          <w:docGrid w:type="lines" w:linePitch="312" w:charSpace="0"/>
        </w:sectPr>
      </w:pPr>
    </w:p>
    <w:p>
      <w:pPr>
        <w:pStyle w:val="20"/>
        <w:rPr>
          <w:rFonts w:ascii="Times New Roman" w:hAnsi="Times New Roman"/>
          <w:color w:val="auto"/>
          <w:sz w:val="30"/>
          <w:szCs w:val="30"/>
          <w:highlight w:val="none"/>
        </w:rPr>
      </w:pPr>
      <w:bookmarkStart w:id="1" w:name="_Toc55980947"/>
      <w:bookmarkEnd w:id="1"/>
      <w:bookmarkStart w:id="2" w:name="_Toc263083249"/>
      <w:bookmarkStart w:id="3" w:name="_Toc262312595"/>
      <w:bookmarkStart w:id="4" w:name="_Toc41850764"/>
      <w:r>
        <w:rPr>
          <w:rFonts w:hint="eastAsia" w:ascii="Times New Roman" w:hAnsi="Times New Roman"/>
          <w:color w:val="auto"/>
          <w:highlight w:val="none"/>
        </w:rPr>
        <w:t>第一部分</w:t>
      </w:r>
      <w:bookmarkEnd w:id="2"/>
      <w:bookmarkEnd w:id="3"/>
      <w:r>
        <w:rPr>
          <w:rFonts w:ascii="Times New Roman" w:hAnsi="Times New Roman"/>
          <w:color w:val="auto"/>
          <w:sz w:val="30"/>
          <w:szCs w:val="30"/>
          <w:highlight w:val="none"/>
        </w:rPr>
        <w:t xml:space="preserve"> </w:t>
      </w:r>
      <w:r>
        <w:rPr>
          <w:rFonts w:hint="eastAsia" w:ascii="Times New Roman" w:hAnsi="Times New Roman"/>
          <w:color w:val="auto"/>
          <w:highlight w:val="none"/>
        </w:rPr>
        <w:t>采购公告</w:t>
      </w:r>
      <w:bookmarkEnd w:id="4"/>
    </w:p>
    <w:p>
      <w:pPr>
        <w:pBdr>
          <w:top w:val="single" w:color="auto" w:sz="4" w:space="1"/>
          <w:left w:val="single" w:color="auto" w:sz="4" w:space="4"/>
          <w:bottom w:val="single" w:color="auto" w:sz="4" w:space="1"/>
          <w:right w:val="single" w:color="auto" w:sz="4" w:space="4"/>
        </w:pBdr>
        <w:spacing w:line="400" w:lineRule="exact"/>
        <w:rPr>
          <w:color w:val="auto"/>
          <w:szCs w:val="21"/>
          <w:highlight w:val="none"/>
        </w:rPr>
      </w:pPr>
      <w:r>
        <w:rPr>
          <w:rFonts w:hint="eastAsia"/>
          <w:color w:val="auto"/>
          <w:szCs w:val="21"/>
          <w:highlight w:val="none"/>
        </w:rPr>
        <w:t>项目概况</w:t>
      </w:r>
    </w:p>
    <w:p>
      <w:pPr>
        <w:pBdr>
          <w:top w:val="single" w:color="auto" w:sz="4" w:space="1"/>
          <w:left w:val="single" w:color="auto" w:sz="4" w:space="4"/>
          <w:bottom w:val="single" w:color="auto" w:sz="4" w:space="1"/>
          <w:right w:val="single" w:color="auto" w:sz="4" w:space="4"/>
        </w:pBdr>
        <w:spacing w:line="400" w:lineRule="exact"/>
        <w:ind w:firstLine="420" w:firstLineChars="200"/>
        <w:rPr>
          <w:color w:val="auto"/>
          <w:szCs w:val="21"/>
          <w:highlight w:val="none"/>
          <w:u w:val="single"/>
        </w:rPr>
      </w:pPr>
      <w:r>
        <w:rPr>
          <w:rFonts w:hint="eastAsia" w:cs="Times New Roman"/>
          <w:color w:val="auto"/>
          <w:szCs w:val="21"/>
          <w:highlight w:val="none"/>
          <w:u w:val="single"/>
          <w:lang w:val="en-US" w:eastAsia="zh-CN"/>
        </w:rPr>
        <w:t>谢嘉丽苑公共租赁住房小区物业管理服务</w:t>
      </w:r>
      <w:r>
        <w:rPr>
          <w:rFonts w:hint="eastAsia" w:eastAsia="宋体" w:cs="Times New Roman"/>
          <w:color w:val="auto"/>
          <w:szCs w:val="21"/>
          <w:highlight w:val="none"/>
          <w:u w:val="single"/>
        </w:rPr>
        <w:t>项</w:t>
      </w:r>
      <w:r>
        <w:rPr>
          <w:rFonts w:hint="eastAsia"/>
          <w:color w:val="auto"/>
          <w:szCs w:val="21"/>
          <w:highlight w:val="none"/>
          <w:u w:val="single"/>
        </w:rPr>
        <w:t>目</w:t>
      </w:r>
      <w:r>
        <w:rPr>
          <w:rFonts w:hint="eastAsia"/>
          <w:color w:val="auto"/>
          <w:szCs w:val="21"/>
          <w:highlight w:val="none"/>
        </w:rPr>
        <w:t>的潜在供应商应在</w:t>
      </w:r>
      <w:r>
        <w:rPr>
          <w:rFonts w:hint="eastAsia"/>
          <w:color w:val="auto"/>
          <w:szCs w:val="21"/>
          <w:highlight w:val="none"/>
          <w:lang w:val="en-US" w:eastAsia="zh-CN"/>
        </w:rPr>
        <w:t>采购项目报名期内进入</w:t>
      </w:r>
      <w:r>
        <w:rPr>
          <w:rFonts w:hint="eastAsia"/>
          <w:color w:val="auto"/>
          <w:szCs w:val="21"/>
          <w:highlight w:val="none"/>
          <w:u w:val="single"/>
        </w:rPr>
        <w:t>政采云平台</w:t>
      </w:r>
      <w:r>
        <w:rPr>
          <w:rFonts w:hint="eastAsia"/>
          <w:color w:val="auto"/>
          <w:szCs w:val="21"/>
          <w:highlight w:val="none"/>
        </w:rPr>
        <w:t>获取招标文件，并于</w:t>
      </w:r>
      <w:r>
        <w:rPr>
          <w:color w:val="auto"/>
          <w:szCs w:val="21"/>
          <w:highlight w:val="none"/>
        </w:rPr>
        <w:t>202</w:t>
      </w:r>
      <w:r>
        <w:rPr>
          <w:rFonts w:hint="eastAsia"/>
          <w:color w:val="auto"/>
          <w:szCs w:val="21"/>
          <w:highlight w:val="none"/>
          <w:lang w:val="en-US" w:eastAsia="zh-CN"/>
        </w:rPr>
        <w:t>2</w:t>
      </w:r>
      <w:r>
        <w:rPr>
          <w:rFonts w:hint="eastAsia"/>
          <w:bCs/>
          <w:color w:val="auto"/>
          <w:szCs w:val="21"/>
          <w:highlight w:val="none"/>
        </w:rPr>
        <w:t>年</w:t>
      </w:r>
      <w:r>
        <w:rPr>
          <w:rFonts w:hint="eastAsia"/>
          <w:bCs/>
          <w:color w:val="auto"/>
          <w:szCs w:val="21"/>
          <w:highlight w:val="none"/>
          <w:lang w:val="en-US" w:eastAsia="zh-CN"/>
        </w:rPr>
        <w:t>02</w:t>
      </w:r>
      <w:r>
        <w:rPr>
          <w:rFonts w:hint="eastAsia"/>
          <w:bCs/>
          <w:color w:val="auto"/>
          <w:szCs w:val="21"/>
          <w:highlight w:val="none"/>
        </w:rPr>
        <w:t>月</w:t>
      </w:r>
      <w:r>
        <w:rPr>
          <w:rFonts w:hint="eastAsia"/>
          <w:bCs/>
          <w:color w:val="auto"/>
          <w:szCs w:val="21"/>
          <w:highlight w:val="none"/>
          <w:lang w:val="en-US" w:eastAsia="zh-CN"/>
        </w:rPr>
        <w:t>18</w:t>
      </w:r>
      <w:r>
        <w:rPr>
          <w:rFonts w:hint="eastAsia"/>
          <w:bCs/>
          <w:color w:val="auto"/>
          <w:szCs w:val="21"/>
          <w:highlight w:val="none"/>
        </w:rPr>
        <w:t>日</w:t>
      </w:r>
      <w:r>
        <w:rPr>
          <w:rFonts w:hint="eastAsia"/>
          <w:bCs/>
          <w:color w:val="auto"/>
          <w:szCs w:val="21"/>
          <w:highlight w:val="none"/>
          <w:lang w:val="en-US" w:eastAsia="zh-CN"/>
        </w:rPr>
        <w:t>09</w:t>
      </w:r>
      <w:r>
        <w:rPr>
          <w:rFonts w:hint="eastAsia"/>
          <w:bCs/>
          <w:color w:val="auto"/>
          <w:szCs w:val="21"/>
          <w:highlight w:val="none"/>
        </w:rPr>
        <w:t>点</w:t>
      </w:r>
      <w:r>
        <w:rPr>
          <w:rFonts w:hint="eastAsia"/>
          <w:bCs/>
          <w:color w:val="auto"/>
          <w:szCs w:val="21"/>
          <w:highlight w:val="none"/>
          <w:lang w:val="en-US" w:eastAsia="zh-CN"/>
        </w:rPr>
        <w:t>0</w:t>
      </w:r>
      <w:r>
        <w:rPr>
          <w:bCs/>
          <w:color w:val="auto"/>
          <w:szCs w:val="21"/>
          <w:highlight w:val="none"/>
        </w:rPr>
        <w:t>0</w:t>
      </w:r>
      <w:r>
        <w:rPr>
          <w:rFonts w:hint="eastAsia"/>
          <w:bCs/>
          <w:color w:val="auto"/>
          <w:szCs w:val="21"/>
          <w:highlight w:val="none"/>
        </w:rPr>
        <w:t>分（北京时间）前递交</w:t>
      </w:r>
      <w:r>
        <w:rPr>
          <w:rFonts w:hint="eastAsia"/>
          <w:bCs/>
          <w:color w:val="auto"/>
          <w:szCs w:val="21"/>
          <w:highlight w:val="none"/>
          <w:lang w:eastAsia="zh-CN"/>
        </w:rPr>
        <w:t>（</w:t>
      </w:r>
      <w:r>
        <w:rPr>
          <w:rFonts w:hint="eastAsia"/>
          <w:bCs/>
          <w:color w:val="auto"/>
          <w:szCs w:val="21"/>
          <w:highlight w:val="none"/>
          <w:lang w:val="en-US" w:eastAsia="zh-CN"/>
        </w:rPr>
        <w:t>上传</w:t>
      </w:r>
      <w:r>
        <w:rPr>
          <w:rFonts w:hint="eastAsia"/>
          <w:bCs/>
          <w:color w:val="auto"/>
          <w:szCs w:val="21"/>
          <w:highlight w:val="none"/>
          <w:lang w:eastAsia="zh-CN"/>
        </w:rPr>
        <w:t>）</w:t>
      </w:r>
      <w:r>
        <w:rPr>
          <w:rFonts w:hint="eastAsia"/>
          <w:bCs/>
          <w:color w:val="auto"/>
          <w:szCs w:val="21"/>
          <w:highlight w:val="none"/>
        </w:rPr>
        <w:t>投标文件</w:t>
      </w:r>
      <w:r>
        <w:rPr>
          <w:rFonts w:hint="eastAsia"/>
          <w:color w:val="auto"/>
          <w:szCs w:val="21"/>
          <w:highlight w:val="none"/>
        </w:rPr>
        <w:t>。</w:t>
      </w:r>
    </w:p>
    <w:p>
      <w:pPr>
        <w:widowControl/>
        <w:spacing w:line="400" w:lineRule="exact"/>
        <w:rPr>
          <w:rFonts w:cs="宋体"/>
          <w:color w:val="auto"/>
          <w:kern w:val="0"/>
          <w:szCs w:val="21"/>
          <w:highlight w:val="none"/>
        </w:rPr>
      </w:pPr>
      <w:r>
        <w:rPr>
          <w:rFonts w:hint="eastAsia" w:cs="宋体"/>
          <w:b/>
          <w:bCs/>
          <w:color w:val="auto"/>
          <w:kern w:val="0"/>
          <w:szCs w:val="21"/>
          <w:highlight w:val="none"/>
        </w:rPr>
        <w:t>一、项目基本情况</w:t>
      </w:r>
      <w:r>
        <w:rPr>
          <w:rFonts w:cs="宋体"/>
          <w:color w:val="auto"/>
          <w:kern w:val="0"/>
          <w:szCs w:val="21"/>
          <w:highlight w:val="none"/>
        </w:rPr>
        <w:t> </w:t>
      </w:r>
    </w:p>
    <w:p>
      <w:pPr>
        <w:widowControl/>
        <w:spacing w:line="400" w:lineRule="exact"/>
        <w:ind w:firstLine="420" w:firstLineChars="200"/>
        <w:rPr>
          <w:rFonts w:hint="eastAsia" w:cs="宋体"/>
          <w:color w:val="auto"/>
          <w:kern w:val="0"/>
          <w:szCs w:val="21"/>
          <w:highlight w:val="none"/>
        </w:rPr>
      </w:pPr>
      <w:r>
        <w:rPr>
          <w:rFonts w:hint="eastAsia" w:cs="宋体"/>
          <w:color w:val="auto"/>
          <w:kern w:val="0"/>
          <w:szCs w:val="21"/>
          <w:highlight w:val="none"/>
        </w:rPr>
        <w:t>项目编号</w:t>
      </w:r>
      <w:r>
        <w:rPr>
          <w:rFonts w:hint="eastAsia" w:ascii="宋体" w:hAnsi="宋体" w:cs="宋体"/>
          <w:color w:val="auto"/>
          <w:highlight w:val="none"/>
        </w:rPr>
        <w:t>：TC229Y001（交易登记号：GQCG2022003）</w:t>
      </w:r>
    </w:p>
    <w:p>
      <w:pPr>
        <w:widowControl/>
        <w:spacing w:line="400" w:lineRule="exact"/>
        <w:ind w:firstLine="420" w:firstLineChars="200"/>
        <w:rPr>
          <w:rFonts w:cs="宋体"/>
          <w:color w:val="auto"/>
          <w:kern w:val="0"/>
          <w:szCs w:val="21"/>
          <w:highlight w:val="none"/>
        </w:rPr>
      </w:pPr>
      <w:r>
        <w:rPr>
          <w:rFonts w:hint="eastAsia" w:cs="宋体"/>
          <w:color w:val="auto"/>
          <w:kern w:val="0"/>
          <w:szCs w:val="21"/>
          <w:highlight w:val="none"/>
        </w:rPr>
        <w:t>项目名称：</w:t>
      </w:r>
      <w:r>
        <w:rPr>
          <w:rFonts w:hint="eastAsia" w:ascii="宋体" w:hAnsi="宋体" w:cs="宋体"/>
          <w:color w:val="auto"/>
          <w:highlight w:val="none"/>
        </w:rPr>
        <w:t>谢嘉丽苑公共租赁住房小区物业管理服务项目</w:t>
      </w:r>
    </w:p>
    <w:p>
      <w:pPr>
        <w:widowControl/>
        <w:spacing w:line="400" w:lineRule="exact"/>
        <w:ind w:firstLine="420" w:firstLineChars="200"/>
        <w:rPr>
          <w:rFonts w:hint="default" w:eastAsia="宋体" w:cs="宋体"/>
          <w:color w:val="auto"/>
          <w:kern w:val="0"/>
          <w:szCs w:val="21"/>
          <w:highlight w:val="none"/>
          <w:lang w:val="en-US" w:eastAsia="zh-CN"/>
        </w:rPr>
      </w:pPr>
      <w:r>
        <w:rPr>
          <w:rFonts w:hint="eastAsia" w:cs="宋体"/>
          <w:color w:val="auto"/>
          <w:kern w:val="0"/>
          <w:szCs w:val="21"/>
          <w:highlight w:val="none"/>
        </w:rPr>
        <w:t>预算金额（元）：</w:t>
      </w:r>
      <w:r>
        <w:rPr>
          <w:rFonts w:hint="eastAsia" w:cs="宋体"/>
          <w:color w:val="auto"/>
          <w:kern w:val="0"/>
          <w:szCs w:val="21"/>
          <w:highlight w:val="none"/>
          <w:lang w:val="en-US" w:eastAsia="zh-CN"/>
        </w:rPr>
        <w:t>1020000</w:t>
      </w:r>
    </w:p>
    <w:p>
      <w:pPr>
        <w:widowControl/>
        <w:spacing w:line="400" w:lineRule="exact"/>
        <w:ind w:firstLine="420" w:firstLineChars="200"/>
        <w:rPr>
          <w:rFonts w:hint="eastAsia" w:cs="宋体"/>
          <w:color w:val="auto"/>
          <w:kern w:val="0"/>
          <w:szCs w:val="21"/>
          <w:highlight w:val="none"/>
          <w:lang w:val="en-US" w:eastAsia="zh-CN"/>
        </w:rPr>
      </w:pPr>
      <w:r>
        <w:rPr>
          <w:rFonts w:hint="eastAsia" w:cs="宋体"/>
          <w:color w:val="auto"/>
          <w:kern w:val="0"/>
          <w:szCs w:val="21"/>
          <w:highlight w:val="none"/>
        </w:rPr>
        <w:t>最高限价（元）：</w:t>
      </w:r>
      <w:r>
        <w:rPr>
          <w:rFonts w:hint="eastAsia" w:cs="宋体"/>
          <w:color w:val="auto"/>
          <w:kern w:val="0"/>
          <w:szCs w:val="21"/>
          <w:highlight w:val="none"/>
          <w:lang w:val="en-US" w:eastAsia="zh-CN"/>
        </w:rPr>
        <w:t>1020000</w:t>
      </w:r>
    </w:p>
    <w:p>
      <w:pPr>
        <w:widowControl/>
        <w:spacing w:line="400" w:lineRule="exact"/>
        <w:ind w:firstLine="420" w:firstLineChars="200"/>
        <w:rPr>
          <w:rFonts w:cs="宋体"/>
          <w:color w:val="auto"/>
          <w:kern w:val="0"/>
          <w:szCs w:val="21"/>
          <w:highlight w:val="none"/>
        </w:rPr>
      </w:pPr>
      <w:r>
        <w:rPr>
          <w:rFonts w:hint="eastAsia" w:cs="宋体"/>
          <w:color w:val="auto"/>
          <w:kern w:val="0"/>
          <w:szCs w:val="21"/>
          <w:highlight w:val="none"/>
        </w:rPr>
        <w:t>采购需求：</w:t>
      </w:r>
    </w:p>
    <w:p>
      <w:pPr>
        <w:widowControl/>
        <w:spacing w:line="400" w:lineRule="exact"/>
        <w:ind w:firstLine="420" w:firstLineChars="200"/>
        <w:rPr>
          <w:rFonts w:cs="宋体"/>
          <w:color w:val="auto"/>
          <w:szCs w:val="21"/>
          <w:highlight w:val="none"/>
        </w:rPr>
      </w:pPr>
      <w:r>
        <w:rPr>
          <w:rFonts w:hint="eastAsia" w:cs="宋体"/>
          <w:color w:val="auto"/>
          <w:szCs w:val="21"/>
          <w:highlight w:val="none"/>
        </w:rPr>
        <w:t>标项一：</w:t>
      </w:r>
    </w:p>
    <w:p>
      <w:pPr>
        <w:widowControl/>
        <w:spacing w:line="400" w:lineRule="exact"/>
        <w:ind w:firstLine="420" w:firstLineChars="200"/>
        <w:rPr>
          <w:rFonts w:hint="eastAsia" w:eastAsia="宋体" w:cs="Times New Roman"/>
          <w:color w:val="auto"/>
          <w:szCs w:val="21"/>
          <w:highlight w:val="none"/>
          <w:u w:val="single"/>
        </w:rPr>
      </w:pPr>
      <w:r>
        <w:rPr>
          <w:rFonts w:hint="eastAsia" w:cs="宋体"/>
          <w:color w:val="auto"/>
          <w:szCs w:val="21"/>
          <w:highlight w:val="none"/>
        </w:rPr>
        <w:t>标项名称：</w:t>
      </w:r>
      <w:r>
        <w:rPr>
          <w:rFonts w:hint="eastAsia" w:eastAsia="宋体" w:cs="Times New Roman"/>
          <w:color w:val="auto"/>
          <w:szCs w:val="21"/>
          <w:highlight w:val="none"/>
          <w:u w:val="single"/>
        </w:rPr>
        <w:t>谢嘉丽苑公共租赁住房小区物业管理服务项目</w:t>
      </w:r>
    </w:p>
    <w:p>
      <w:pPr>
        <w:widowControl/>
        <w:spacing w:line="400" w:lineRule="exact"/>
        <w:ind w:firstLine="420" w:firstLineChars="200"/>
        <w:rPr>
          <w:rFonts w:cs="宋体"/>
          <w:color w:val="auto"/>
          <w:szCs w:val="21"/>
          <w:highlight w:val="none"/>
        </w:rPr>
      </w:pPr>
      <w:r>
        <w:rPr>
          <w:rFonts w:hint="eastAsia" w:cs="宋体"/>
          <w:color w:val="auto"/>
          <w:szCs w:val="21"/>
          <w:highlight w:val="none"/>
        </w:rPr>
        <w:t>数量：</w:t>
      </w:r>
      <w:r>
        <w:rPr>
          <w:rFonts w:cs="宋体"/>
          <w:color w:val="auto"/>
          <w:szCs w:val="21"/>
          <w:highlight w:val="none"/>
        </w:rPr>
        <w:t>1</w:t>
      </w:r>
    </w:p>
    <w:p>
      <w:pPr>
        <w:widowControl/>
        <w:spacing w:line="400" w:lineRule="exact"/>
        <w:ind w:firstLine="420" w:firstLineChars="200"/>
        <w:rPr>
          <w:rFonts w:hint="default" w:eastAsia="宋体" w:cs="宋体"/>
          <w:color w:val="auto"/>
          <w:kern w:val="0"/>
          <w:szCs w:val="21"/>
          <w:highlight w:val="none"/>
          <w:lang w:val="en-US" w:eastAsia="zh-CN"/>
        </w:rPr>
      </w:pPr>
      <w:r>
        <w:rPr>
          <w:rFonts w:hint="eastAsia" w:cs="宋体"/>
          <w:color w:val="auto"/>
          <w:szCs w:val="21"/>
          <w:highlight w:val="none"/>
        </w:rPr>
        <w:t>预算金额（元）：</w:t>
      </w:r>
      <w:r>
        <w:rPr>
          <w:rFonts w:hint="eastAsia" w:cs="宋体"/>
          <w:color w:val="auto"/>
          <w:kern w:val="0"/>
          <w:szCs w:val="21"/>
          <w:highlight w:val="none"/>
          <w:lang w:val="en-US" w:eastAsia="zh-CN"/>
        </w:rPr>
        <w:t>1020000</w:t>
      </w:r>
    </w:p>
    <w:p>
      <w:pPr>
        <w:pStyle w:val="19"/>
        <w:spacing w:before="0" w:beforeAutospacing="0" w:after="0" w:afterAutospacing="0" w:line="400" w:lineRule="exact"/>
        <w:ind w:firstLine="420" w:firstLineChars="200"/>
        <w:contextualSpacing/>
        <w:jc w:val="both"/>
        <w:rPr>
          <w:rFonts w:ascii="Times New Roman" w:hAnsi="Times New Roman" w:cs="宋体"/>
          <w:color w:val="auto"/>
          <w:sz w:val="21"/>
          <w:szCs w:val="21"/>
          <w:highlight w:val="none"/>
        </w:rPr>
      </w:pPr>
      <w:r>
        <w:rPr>
          <w:rFonts w:hint="eastAsia" w:ascii="Times New Roman" w:hAnsi="Times New Roman" w:cs="宋体"/>
          <w:color w:val="auto"/>
          <w:sz w:val="21"/>
          <w:szCs w:val="21"/>
          <w:highlight w:val="none"/>
        </w:rPr>
        <w:t>简要规格描述或项目基本概况介绍、用途：谢嘉丽苑公共租赁住房小区物业管理服务项</w:t>
      </w:r>
      <w:r>
        <w:rPr>
          <w:rFonts w:hint="eastAsia" w:ascii="Times New Roman" w:hAnsi="Times New Roman" w:cs="宋体"/>
          <w:color w:val="auto"/>
          <w:sz w:val="21"/>
          <w:szCs w:val="21"/>
          <w:highlight w:val="none"/>
          <w:lang w:val="en-US" w:eastAsia="zh-CN"/>
        </w:rPr>
        <w:t>目</w:t>
      </w:r>
      <w:r>
        <w:rPr>
          <w:rFonts w:hint="eastAsia" w:ascii="Times New Roman" w:hAnsi="Times New Roman" w:cs="宋体"/>
          <w:color w:val="auto"/>
          <w:sz w:val="21"/>
          <w:szCs w:val="21"/>
          <w:highlight w:val="none"/>
        </w:rPr>
        <w:t>，详见采购文件“第二部分 采购需求”。</w:t>
      </w:r>
    </w:p>
    <w:p>
      <w:pPr>
        <w:pStyle w:val="19"/>
        <w:spacing w:before="0" w:beforeAutospacing="0" w:after="0" w:afterAutospacing="0" w:line="400" w:lineRule="exact"/>
        <w:ind w:firstLine="420" w:firstLineChars="200"/>
        <w:contextualSpacing/>
        <w:jc w:val="both"/>
        <w:rPr>
          <w:rFonts w:ascii="Times New Roman" w:hAnsi="Times New Roman" w:cs="宋体"/>
          <w:color w:val="auto"/>
          <w:sz w:val="21"/>
          <w:szCs w:val="21"/>
          <w:highlight w:val="none"/>
        </w:rPr>
      </w:pPr>
      <w:r>
        <w:rPr>
          <w:rFonts w:hint="eastAsia" w:ascii="Times New Roman" w:hAnsi="Times New Roman" w:cs="宋体"/>
          <w:color w:val="auto"/>
          <w:sz w:val="21"/>
          <w:szCs w:val="21"/>
          <w:highlight w:val="none"/>
        </w:rPr>
        <w:t>合同履约期限：</w:t>
      </w:r>
      <w:r>
        <w:rPr>
          <w:rFonts w:hint="eastAsia" w:ascii="宋体" w:hAnsi="宋体"/>
          <w:color w:val="auto"/>
          <w:sz w:val="21"/>
          <w:szCs w:val="21"/>
          <w:highlight w:val="none"/>
        </w:rPr>
        <w:t>三年，合同一年一签</w:t>
      </w:r>
      <w:r>
        <w:rPr>
          <w:rFonts w:hint="eastAsia" w:ascii="宋体" w:hAnsi="宋体" w:cs="宋体"/>
          <w:color w:val="auto"/>
          <w:sz w:val="21"/>
          <w:szCs w:val="21"/>
          <w:highlight w:val="none"/>
        </w:rPr>
        <w:t>。</w:t>
      </w:r>
    </w:p>
    <w:p>
      <w:pPr>
        <w:widowControl/>
        <w:spacing w:line="400" w:lineRule="exact"/>
        <w:ind w:firstLine="420" w:firstLineChars="200"/>
        <w:rPr>
          <w:rFonts w:cs="宋体"/>
          <w:color w:val="auto"/>
          <w:kern w:val="0"/>
          <w:szCs w:val="21"/>
          <w:highlight w:val="none"/>
        </w:rPr>
      </w:pPr>
      <w:r>
        <w:rPr>
          <w:rFonts w:hint="eastAsia" w:cs="宋体"/>
          <w:color w:val="auto"/>
          <w:kern w:val="0"/>
          <w:szCs w:val="21"/>
          <w:highlight w:val="none"/>
        </w:rPr>
        <w:t>本项目（否）接受联合体投标。</w:t>
      </w:r>
    </w:p>
    <w:p>
      <w:pPr>
        <w:widowControl/>
        <w:spacing w:line="400" w:lineRule="exact"/>
        <w:jc w:val="left"/>
        <w:rPr>
          <w:rFonts w:cs="宋体"/>
          <w:color w:val="auto"/>
          <w:kern w:val="0"/>
          <w:szCs w:val="21"/>
          <w:highlight w:val="none"/>
        </w:rPr>
      </w:pPr>
      <w:r>
        <w:rPr>
          <w:rFonts w:hint="eastAsia" w:cs="宋体"/>
          <w:b/>
          <w:bCs/>
          <w:color w:val="auto"/>
          <w:kern w:val="0"/>
          <w:szCs w:val="21"/>
          <w:highlight w:val="none"/>
        </w:rPr>
        <w:t>二、申请人的资格要求：</w:t>
      </w:r>
    </w:p>
    <w:p>
      <w:pPr>
        <w:widowControl/>
        <w:spacing w:line="400" w:lineRule="exact"/>
        <w:ind w:firstLine="420" w:firstLineChars="200"/>
        <w:rPr>
          <w:rFonts w:cs="宋体"/>
          <w:color w:val="auto"/>
          <w:kern w:val="0"/>
          <w:szCs w:val="21"/>
          <w:highlight w:val="none"/>
        </w:rPr>
      </w:pPr>
      <w:r>
        <w:rPr>
          <w:rFonts w:cs="宋体"/>
          <w:color w:val="auto"/>
          <w:kern w:val="0"/>
          <w:szCs w:val="21"/>
          <w:highlight w:val="none"/>
        </w:rPr>
        <w:t>1</w:t>
      </w:r>
      <w:r>
        <w:rPr>
          <w:rFonts w:hint="eastAsia" w:cs="宋体"/>
          <w:color w:val="auto"/>
          <w:kern w:val="0"/>
          <w:szCs w:val="21"/>
          <w:highlight w:val="none"/>
        </w:rPr>
        <w:t>、满足《中华人民共和国政府采购法》第二十二条规定；未</w:t>
      </w:r>
      <w:r>
        <w:rPr>
          <w:rFonts w:hint="eastAsia" w:ascii="宋体" w:hAnsi="宋体" w:cs="宋体"/>
          <w:color w:val="auto"/>
          <w:kern w:val="0"/>
          <w:szCs w:val="21"/>
          <w:highlight w:val="none"/>
        </w:rPr>
        <w:t>被“信用中国”</w:t>
      </w:r>
      <w:r>
        <w:rPr>
          <w:rFonts w:hint="eastAsia" w:cs="宋体"/>
          <w:color w:val="auto"/>
          <w:kern w:val="0"/>
          <w:szCs w:val="21"/>
          <w:highlight w:val="none"/>
        </w:rPr>
        <w:t>（</w:t>
      </w:r>
      <w:r>
        <w:rPr>
          <w:rFonts w:cs="宋体"/>
          <w:color w:val="auto"/>
          <w:kern w:val="0"/>
          <w:szCs w:val="21"/>
          <w:highlight w:val="none"/>
        </w:rPr>
        <w:t>www.creditchina.gov.cn)</w:t>
      </w:r>
      <w:r>
        <w:rPr>
          <w:rFonts w:hint="eastAsia" w:cs="宋体"/>
          <w:color w:val="auto"/>
          <w:kern w:val="0"/>
          <w:szCs w:val="21"/>
          <w:highlight w:val="none"/>
        </w:rPr>
        <w:t>、中国政府采购网（</w:t>
      </w:r>
      <w:r>
        <w:rPr>
          <w:rFonts w:cs="宋体"/>
          <w:color w:val="auto"/>
          <w:kern w:val="0"/>
          <w:szCs w:val="21"/>
          <w:highlight w:val="none"/>
        </w:rPr>
        <w:t>www.ccgp.gov.cn</w:t>
      </w:r>
      <w:r>
        <w:rPr>
          <w:rFonts w:hint="eastAsia" w:cs="宋体"/>
          <w:color w:val="auto"/>
          <w:kern w:val="0"/>
          <w:szCs w:val="21"/>
          <w:highlight w:val="none"/>
        </w:rPr>
        <w:t>）列入失信被执行人、重大税收违法案件当事人名单、政府采购严重违法失信行为记录名单。</w:t>
      </w:r>
    </w:p>
    <w:p>
      <w:pPr>
        <w:widowControl/>
        <w:spacing w:line="400" w:lineRule="exact"/>
        <w:ind w:firstLine="420" w:firstLineChars="200"/>
        <w:rPr>
          <w:rFonts w:cs="宋体"/>
          <w:color w:val="auto"/>
          <w:kern w:val="0"/>
          <w:szCs w:val="21"/>
          <w:highlight w:val="none"/>
        </w:rPr>
      </w:pPr>
      <w:r>
        <w:rPr>
          <w:rFonts w:cs="宋体"/>
          <w:color w:val="auto"/>
          <w:kern w:val="0"/>
          <w:szCs w:val="21"/>
          <w:highlight w:val="none"/>
        </w:rPr>
        <w:t>2</w:t>
      </w:r>
      <w:r>
        <w:rPr>
          <w:rFonts w:hint="eastAsia" w:cs="宋体"/>
          <w:color w:val="auto"/>
          <w:kern w:val="0"/>
          <w:szCs w:val="21"/>
          <w:highlight w:val="none"/>
        </w:rPr>
        <w:t>、落实政府采购政策需满足的资格要求：无</w:t>
      </w:r>
    </w:p>
    <w:p>
      <w:pPr>
        <w:widowControl/>
        <w:spacing w:line="400" w:lineRule="exact"/>
        <w:ind w:firstLine="420" w:firstLineChars="200"/>
        <w:rPr>
          <w:rFonts w:hint="eastAsia" w:eastAsia="宋体" w:cs="宋体"/>
          <w:color w:val="auto"/>
          <w:kern w:val="0"/>
          <w:szCs w:val="21"/>
          <w:highlight w:val="none"/>
          <w:lang w:val="en-US" w:eastAsia="zh-CN"/>
        </w:rPr>
      </w:pPr>
      <w:r>
        <w:rPr>
          <w:rFonts w:cs="宋体"/>
          <w:color w:val="auto"/>
          <w:kern w:val="0"/>
          <w:szCs w:val="21"/>
          <w:highlight w:val="none"/>
        </w:rPr>
        <w:t>3</w:t>
      </w:r>
      <w:r>
        <w:rPr>
          <w:rFonts w:hint="eastAsia" w:cs="宋体"/>
          <w:color w:val="auto"/>
          <w:kern w:val="0"/>
          <w:szCs w:val="21"/>
          <w:highlight w:val="none"/>
        </w:rPr>
        <w:t>、本项目的特定资格要求：</w:t>
      </w:r>
      <w:r>
        <w:rPr>
          <w:rFonts w:hint="eastAsia" w:cs="宋体"/>
          <w:color w:val="auto"/>
          <w:kern w:val="0"/>
          <w:szCs w:val="21"/>
          <w:highlight w:val="none"/>
          <w:lang w:val="en-US" w:eastAsia="zh-CN"/>
        </w:rPr>
        <w:t>无</w:t>
      </w:r>
    </w:p>
    <w:p>
      <w:pPr>
        <w:spacing w:line="400" w:lineRule="exact"/>
        <w:rPr>
          <w:rFonts w:ascii="宋体" w:hAnsi="宋体" w:cs="宋体"/>
          <w:b/>
          <w:bCs/>
          <w:color w:val="auto"/>
          <w:highlight w:val="none"/>
        </w:rPr>
      </w:pPr>
      <w:r>
        <w:rPr>
          <w:rFonts w:hint="eastAsia" w:ascii="宋体" w:hAnsi="宋体" w:cs="宋体"/>
          <w:b/>
          <w:bCs/>
          <w:color w:val="auto"/>
          <w:highlight w:val="none"/>
        </w:rPr>
        <w:t>三、获取招标文件及报名</w:t>
      </w:r>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时间：</w:t>
      </w:r>
      <w:r>
        <w:rPr>
          <w:rFonts w:hint="eastAsia" w:ascii="宋体" w:hAnsi="宋体" w:cs="宋体"/>
          <w:color w:val="auto"/>
          <w:highlight w:val="none"/>
          <w:lang w:val="en-US" w:eastAsia="zh-CN"/>
        </w:rPr>
        <w:t>2022年01月27日</w:t>
      </w:r>
      <w:r>
        <w:rPr>
          <w:rFonts w:hint="eastAsia" w:ascii="宋体" w:hAnsi="宋体" w:cs="宋体"/>
          <w:color w:val="auto"/>
          <w:highlight w:val="none"/>
        </w:rPr>
        <w:t>至202</w:t>
      </w:r>
      <w:r>
        <w:rPr>
          <w:rFonts w:hint="eastAsia" w:ascii="宋体" w:hAnsi="宋体" w:cs="宋体"/>
          <w:color w:val="auto"/>
          <w:highlight w:val="none"/>
          <w:lang w:val="en-US" w:eastAsia="zh-CN"/>
        </w:rPr>
        <w:t>2</w:t>
      </w:r>
      <w:r>
        <w:rPr>
          <w:rFonts w:hint="eastAsia" w:ascii="宋体" w:hAnsi="宋体" w:cs="宋体"/>
          <w:color w:val="auto"/>
          <w:highlight w:val="none"/>
        </w:rPr>
        <w:t>年</w:t>
      </w:r>
      <w:r>
        <w:rPr>
          <w:rFonts w:hint="eastAsia" w:ascii="宋体" w:hAnsi="宋体" w:cs="宋体"/>
          <w:color w:val="auto"/>
          <w:highlight w:val="none"/>
          <w:lang w:val="en-US" w:eastAsia="zh-CN"/>
        </w:rPr>
        <w:t>02</w:t>
      </w:r>
      <w:r>
        <w:rPr>
          <w:rFonts w:hint="eastAsia" w:ascii="宋体" w:hAnsi="宋体" w:cs="宋体"/>
          <w:color w:val="auto"/>
          <w:highlight w:val="none"/>
        </w:rPr>
        <w:t>月</w:t>
      </w:r>
      <w:r>
        <w:rPr>
          <w:rFonts w:hint="eastAsia" w:ascii="宋体" w:hAnsi="宋体" w:cs="宋体"/>
          <w:color w:val="auto"/>
          <w:highlight w:val="none"/>
          <w:lang w:val="en-US" w:eastAsia="zh-CN"/>
        </w:rPr>
        <w:t>18</w:t>
      </w:r>
      <w:r>
        <w:rPr>
          <w:rFonts w:hint="eastAsia" w:ascii="宋体" w:hAnsi="宋体" w:cs="宋体"/>
          <w:color w:val="auto"/>
          <w:highlight w:val="none"/>
        </w:rPr>
        <w:t>日，每天上午00:00至12:00，下午12:00至23:59（北京时间，线上获取法定节假日均可，线下获取文件法定节假日除外）</w:t>
      </w:r>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地点（网址）：浙江政府采购云平台（http://zfcg.czt.zj.gov.cn/）</w:t>
      </w:r>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 xml:space="preserve">方式：1.本项目招标文件实行“政府采购云平台”在线获取，不提供招标文件纸质版。供应商获取招标文件前应先完成“政府采购云平台”的账号注册；2.潜在供应商登陆政采云平台，在线申请获取招标文件（进入“项目采购”应用，在获取招标文件菜单中选择项目，申请获取招标文件，本项目招标文件不收取工本费；仅需浏览招标文件的供应商可点击“游客，浏览招标文件”直接下载招标文件浏览）；3.招标公告附件内的招标文件（或采购需求）仅供阅览使用，供应商只有在“政府采购云平台”完成获取招标文件申请并下载了招标文件后才视作依法获取招标文件（法律法规所指的供应商获取招标文件时间以供应商完成获取招标文件申请后下载招标文件的时间为准）。 </w:t>
      </w:r>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 xml:space="preserve">注：请供应商按上述要求获取招标文件，如未在“政采云”系统内完成相关流程，引起的投标无效责任自负。 </w:t>
      </w:r>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 xml:space="preserve">售价（元）：0 </w:t>
      </w:r>
    </w:p>
    <w:p>
      <w:pPr>
        <w:spacing w:line="400" w:lineRule="exact"/>
        <w:rPr>
          <w:rFonts w:ascii="宋体" w:hAnsi="宋体" w:cs="宋体"/>
          <w:b/>
          <w:bCs/>
          <w:color w:val="auto"/>
          <w:highlight w:val="none"/>
        </w:rPr>
      </w:pPr>
      <w:r>
        <w:rPr>
          <w:rFonts w:hint="eastAsia" w:ascii="宋体" w:hAnsi="宋体" w:cs="宋体"/>
          <w:b/>
          <w:bCs/>
          <w:color w:val="auto"/>
          <w:highlight w:val="none"/>
        </w:rPr>
        <w:t>四、提交投标文件截止时间、开标时间和地点</w:t>
      </w:r>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提交投标文件截止时间：202</w:t>
      </w:r>
      <w:r>
        <w:rPr>
          <w:rFonts w:hint="eastAsia" w:ascii="宋体" w:hAnsi="宋体" w:cs="宋体"/>
          <w:color w:val="auto"/>
          <w:highlight w:val="none"/>
          <w:lang w:val="en-US" w:eastAsia="zh-CN"/>
        </w:rPr>
        <w:t>2</w:t>
      </w:r>
      <w:r>
        <w:rPr>
          <w:rFonts w:hint="eastAsia" w:ascii="宋体" w:hAnsi="宋体" w:cs="宋体"/>
          <w:color w:val="auto"/>
          <w:highlight w:val="none"/>
        </w:rPr>
        <w:t>年</w:t>
      </w:r>
      <w:r>
        <w:rPr>
          <w:rFonts w:hint="eastAsia" w:ascii="宋体" w:hAnsi="宋体" w:cs="宋体"/>
          <w:color w:val="auto"/>
          <w:highlight w:val="none"/>
          <w:lang w:val="en-US" w:eastAsia="zh-CN"/>
        </w:rPr>
        <w:t>02</w:t>
      </w:r>
      <w:r>
        <w:rPr>
          <w:rFonts w:hint="eastAsia" w:ascii="宋体" w:hAnsi="宋体" w:cs="宋体"/>
          <w:color w:val="auto"/>
          <w:highlight w:val="none"/>
        </w:rPr>
        <w:t>月</w:t>
      </w:r>
      <w:r>
        <w:rPr>
          <w:rFonts w:hint="eastAsia" w:ascii="宋体" w:hAnsi="宋体" w:cs="宋体"/>
          <w:color w:val="auto"/>
          <w:highlight w:val="none"/>
          <w:lang w:val="en-US" w:eastAsia="zh-CN"/>
        </w:rPr>
        <w:t>18</w:t>
      </w:r>
      <w:r>
        <w:rPr>
          <w:rFonts w:hint="eastAsia" w:ascii="宋体" w:hAnsi="宋体" w:cs="宋体"/>
          <w:color w:val="auto"/>
          <w:highlight w:val="none"/>
        </w:rPr>
        <w:t>日</w:t>
      </w:r>
      <w:r>
        <w:rPr>
          <w:rFonts w:hint="eastAsia" w:ascii="宋体" w:hAnsi="宋体" w:cs="宋体"/>
          <w:color w:val="auto"/>
          <w:highlight w:val="none"/>
          <w:lang w:val="en-US" w:eastAsia="zh-CN"/>
        </w:rPr>
        <w:t>09</w:t>
      </w:r>
      <w:r>
        <w:rPr>
          <w:rFonts w:hint="eastAsia" w:ascii="宋体" w:hAnsi="宋体" w:cs="宋体"/>
          <w:color w:val="auto"/>
          <w:highlight w:val="none"/>
        </w:rPr>
        <w:t>点</w:t>
      </w:r>
      <w:r>
        <w:rPr>
          <w:rFonts w:hint="eastAsia" w:ascii="宋体" w:hAnsi="宋体" w:cs="宋体"/>
          <w:color w:val="auto"/>
          <w:highlight w:val="none"/>
          <w:lang w:val="en-US" w:eastAsia="zh-CN"/>
        </w:rPr>
        <w:t>0</w:t>
      </w:r>
      <w:r>
        <w:rPr>
          <w:rFonts w:hint="eastAsia" w:ascii="宋体" w:hAnsi="宋体" w:cs="宋体"/>
          <w:color w:val="auto"/>
          <w:highlight w:val="none"/>
        </w:rPr>
        <w:t>0分（北京时间）</w:t>
      </w:r>
    </w:p>
    <w:p>
      <w:pPr>
        <w:pStyle w:val="19"/>
        <w:widowControl w:val="0"/>
        <w:spacing w:before="0" w:beforeAutospacing="0" w:after="0" w:afterAutospacing="0" w:line="460" w:lineRule="exact"/>
        <w:ind w:firstLine="420"/>
        <w:rPr>
          <w:rFonts w:ascii="宋体" w:hAnsi="宋体" w:cs="宋体"/>
          <w:color w:val="auto"/>
          <w:highlight w:val="none"/>
        </w:rPr>
      </w:pPr>
      <w:r>
        <w:rPr>
          <w:rFonts w:hint="eastAsia" w:ascii="宋体" w:hAnsi="宋体" w:cs="宋体"/>
          <w:color w:val="auto"/>
          <w:highlight w:val="none"/>
        </w:rPr>
        <w:t>投标地点（网址）：宁波市江北区公共资源交易中心开标室（江北区育才路138号北投大厦南楼7楼）</w:t>
      </w:r>
      <w:r>
        <w:rPr>
          <w:rFonts w:hint="eastAsia" w:ascii="宋体" w:hAnsi="宋体" w:cs="宋体"/>
          <w:color w:val="auto"/>
          <w:highlight w:val="none"/>
          <w:lang w:eastAsia="zh-CN"/>
        </w:rPr>
        <w:t>。</w:t>
      </w:r>
      <w:r>
        <w:rPr>
          <w:rFonts w:hint="eastAsia" w:ascii="宋体" w:hAnsi="宋体" w:eastAsia="宋体" w:cs="宋体"/>
          <w:color w:val="auto"/>
          <w:kern w:val="2"/>
          <w:sz w:val="21"/>
          <w:szCs w:val="21"/>
          <w:highlight w:val="none"/>
          <w:lang w:bidi="ar"/>
        </w:rPr>
        <w:t>供应商应于上述时间前将电子投标文件上传到政府采购云平台www.zcygov.cn，未上传电子投标文件，视为供应商放弃投标。供应商如提供备份投标文件的，应于提交投标文件截止时间前，将以U盘存储的电子备份投标文件和纸质备份投标文件分别密封，递交至上述地点，逾期送达或未密封将予以拒收。供应商仅提供备份投标文件（包括以U盘存储的电子备份投标文件或纸质备份投标文件）的，投标无效。</w:t>
      </w:r>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开标时间：202</w:t>
      </w:r>
      <w:r>
        <w:rPr>
          <w:rFonts w:hint="eastAsia" w:ascii="宋体" w:hAnsi="宋体" w:cs="宋体"/>
          <w:color w:val="auto"/>
          <w:highlight w:val="none"/>
          <w:lang w:val="en-US" w:eastAsia="zh-CN"/>
        </w:rPr>
        <w:t>2</w:t>
      </w:r>
      <w:r>
        <w:rPr>
          <w:rFonts w:hint="eastAsia" w:ascii="宋体" w:hAnsi="宋体" w:cs="宋体"/>
          <w:color w:val="auto"/>
          <w:highlight w:val="none"/>
        </w:rPr>
        <w:t>年</w:t>
      </w:r>
      <w:r>
        <w:rPr>
          <w:rFonts w:hint="eastAsia" w:ascii="宋体" w:hAnsi="宋体" w:cs="宋体"/>
          <w:color w:val="auto"/>
          <w:highlight w:val="none"/>
          <w:lang w:val="en-US" w:eastAsia="zh-CN"/>
        </w:rPr>
        <w:t>02</w:t>
      </w:r>
      <w:r>
        <w:rPr>
          <w:rFonts w:hint="eastAsia" w:ascii="宋体" w:hAnsi="宋体" w:cs="宋体"/>
          <w:color w:val="auto"/>
          <w:highlight w:val="none"/>
        </w:rPr>
        <w:t>月</w:t>
      </w:r>
      <w:r>
        <w:rPr>
          <w:rFonts w:hint="eastAsia" w:ascii="宋体" w:hAnsi="宋体" w:cs="宋体"/>
          <w:color w:val="auto"/>
          <w:highlight w:val="none"/>
          <w:lang w:val="en-US" w:eastAsia="zh-CN"/>
        </w:rPr>
        <w:t>18</w:t>
      </w:r>
      <w:bookmarkStart w:id="23" w:name="_GoBack"/>
      <w:bookmarkEnd w:id="23"/>
      <w:r>
        <w:rPr>
          <w:rFonts w:hint="eastAsia" w:ascii="宋体" w:hAnsi="宋体" w:cs="宋体"/>
          <w:color w:val="auto"/>
          <w:highlight w:val="none"/>
        </w:rPr>
        <w:t>日</w:t>
      </w:r>
      <w:r>
        <w:rPr>
          <w:rFonts w:hint="eastAsia" w:ascii="宋体" w:hAnsi="宋体" w:cs="宋体"/>
          <w:color w:val="auto"/>
          <w:highlight w:val="none"/>
          <w:lang w:val="en-US" w:eastAsia="zh-CN"/>
        </w:rPr>
        <w:t>09</w:t>
      </w:r>
      <w:r>
        <w:rPr>
          <w:rFonts w:hint="eastAsia" w:ascii="宋体" w:hAnsi="宋体" w:cs="宋体"/>
          <w:color w:val="auto"/>
          <w:highlight w:val="none"/>
        </w:rPr>
        <w:t>点</w:t>
      </w:r>
      <w:r>
        <w:rPr>
          <w:rFonts w:hint="eastAsia" w:ascii="宋体" w:hAnsi="宋体" w:cs="宋体"/>
          <w:color w:val="auto"/>
          <w:highlight w:val="none"/>
          <w:lang w:val="en-US" w:eastAsia="zh-CN"/>
        </w:rPr>
        <w:t>0</w:t>
      </w:r>
      <w:r>
        <w:rPr>
          <w:rFonts w:hint="eastAsia" w:ascii="宋体" w:hAnsi="宋体" w:cs="宋体"/>
          <w:color w:val="auto"/>
          <w:highlight w:val="none"/>
        </w:rPr>
        <w:t>0分   </w:t>
      </w:r>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开标地点（网址）：宁波市江北区公共资源交易中心开标室（江北区育才路138号北投大厦南楼7楼）</w:t>
      </w:r>
    </w:p>
    <w:p>
      <w:pPr>
        <w:spacing w:line="400" w:lineRule="exact"/>
        <w:rPr>
          <w:rFonts w:ascii="宋体" w:hAnsi="宋体" w:cs="宋体"/>
          <w:b/>
          <w:bCs/>
          <w:color w:val="auto"/>
          <w:highlight w:val="none"/>
        </w:rPr>
      </w:pPr>
      <w:r>
        <w:rPr>
          <w:rFonts w:hint="eastAsia" w:ascii="宋体" w:hAnsi="宋体" w:cs="宋体"/>
          <w:b/>
          <w:bCs/>
          <w:color w:val="auto"/>
          <w:highlight w:val="none"/>
        </w:rPr>
        <w:t>五、公告期限</w:t>
      </w:r>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自本公告发布之日起5个工作日。</w:t>
      </w:r>
    </w:p>
    <w:p>
      <w:pPr>
        <w:spacing w:line="400" w:lineRule="exact"/>
        <w:rPr>
          <w:rFonts w:ascii="宋体" w:hAnsi="宋体" w:cs="宋体"/>
          <w:b/>
          <w:bCs/>
          <w:color w:val="auto"/>
          <w:highlight w:val="none"/>
        </w:rPr>
      </w:pPr>
      <w:r>
        <w:rPr>
          <w:rFonts w:hint="eastAsia" w:ascii="宋体" w:hAnsi="宋体" w:cs="宋体"/>
          <w:b/>
          <w:bCs/>
          <w:color w:val="auto"/>
          <w:highlight w:val="none"/>
        </w:rPr>
        <w:t>六、其他补充事宜</w:t>
      </w:r>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1.供应商认为采购文件使自己的权益受到损害的，可以自获取采购文件之日或者采购文件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400" w:lineRule="exact"/>
        <w:ind w:firstLine="420" w:firstLineChars="200"/>
        <w:rPr>
          <w:rFonts w:hint="eastAsia" w:ascii="宋体" w:hAnsi="宋体" w:cs="宋体"/>
          <w:color w:val="auto"/>
          <w:highlight w:val="none"/>
        </w:rPr>
      </w:pPr>
      <w:r>
        <w:rPr>
          <w:rFonts w:hint="eastAsia" w:ascii="宋体" w:hAnsi="宋体" w:cs="宋体"/>
          <w:color w:val="auto"/>
          <w:highlight w:val="none"/>
        </w:rPr>
        <w:t>2.其他事项：</w:t>
      </w:r>
    </w:p>
    <w:p>
      <w:pPr>
        <w:spacing w:line="400" w:lineRule="exact"/>
        <w:ind w:firstLine="420" w:firstLineChars="200"/>
        <w:rPr>
          <w:rFonts w:hint="eastAsia" w:ascii="宋体" w:hAnsi="宋体" w:cs="宋体"/>
          <w:color w:val="auto"/>
          <w:highlight w:val="none"/>
        </w:rPr>
      </w:pPr>
      <w:r>
        <w:rPr>
          <w:rFonts w:hint="eastAsia" w:ascii="宋体" w:hAnsi="宋体" w:cs="宋体"/>
          <w:color w:val="auto"/>
          <w:highlight w:val="none"/>
          <w:lang w:val="en-US" w:eastAsia="zh-CN"/>
        </w:rPr>
        <w:t>2.</w:t>
      </w:r>
      <w:r>
        <w:rPr>
          <w:rFonts w:hint="eastAsia" w:ascii="宋体" w:hAnsi="宋体" w:cs="宋体"/>
          <w:color w:val="auto"/>
          <w:highlight w:val="none"/>
        </w:rPr>
        <w:t>1参加投标的供应商应于投标前到“浙江政府采购网(zfcg.czt.zj.gov.cn)”上进行供应商注册申请，并通过财政部门的终审后登记加入到“浙江省政府采购供应商库”。 中标或成交供应商必须注册并登记加入“浙江省政府采购供应商库”。具体要求及注册申请流程详见《浙江省政府采购供应商注册及诚信管理暂行办法》(浙财采监字〔2009〕28号)和浙江政府采购网“网上办事指南”的“供应商注册申请”。</w:t>
      </w:r>
    </w:p>
    <w:p>
      <w:pPr>
        <w:spacing w:line="400" w:lineRule="exact"/>
        <w:ind w:firstLine="420" w:firstLineChars="200"/>
        <w:rPr>
          <w:rFonts w:hint="eastAsia" w:ascii="宋体" w:hAnsi="宋体" w:cs="宋体"/>
          <w:color w:val="auto"/>
          <w:highlight w:val="none"/>
        </w:rPr>
      </w:pPr>
      <w:r>
        <w:rPr>
          <w:rFonts w:hint="eastAsia" w:ascii="宋体" w:hAnsi="宋体" w:cs="宋体"/>
          <w:color w:val="auto"/>
          <w:highlight w:val="none"/>
        </w:rPr>
        <w:t>2</w:t>
      </w:r>
      <w:r>
        <w:rPr>
          <w:rFonts w:hint="eastAsia" w:ascii="宋体" w:hAnsi="宋体" w:cs="宋体"/>
          <w:color w:val="auto"/>
          <w:highlight w:val="none"/>
          <w:lang w:val="en-US" w:eastAsia="zh-CN"/>
        </w:rPr>
        <w:t>.2</w:t>
      </w:r>
      <w:r>
        <w:rPr>
          <w:rFonts w:hint="eastAsia" w:ascii="宋体" w:hAnsi="宋体" w:cs="宋体"/>
          <w:color w:val="auto"/>
          <w:highlight w:val="none"/>
        </w:rPr>
        <w:t>本项目需要落实的政府采购政策：《政府采购促进中小企业发展管理办法》（财库〔2020〕46 号）、《关于环境标志产品政府采购实施的意见》（财库〔2006〕90号、《节能产品政府采购实施意见》的通知（财库〔2004〕185号）、据《财政部司法部关于政府采购支持监狱企业发展有关问题的通知》（财库〔2014〕68号）、《关于促进残疾人就业政府采购政策的通知》（财库[2017]141号）等。</w:t>
      </w:r>
    </w:p>
    <w:p>
      <w:pPr>
        <w:spacing w:line="400" w:lineRule="exact"/>
        <w:ind w:firstLine="420" w:firstLineChars="200"/>
        <w:rPr>
          <w:rFonts w:hint="eastAsia" w:ascii="宋体" w:hAnsi="宋体" w:cs="宋体"/>
          <w:color w:val="auto"/>
          <w:highlight w:val="none"/>
        </w:rPr>
      </w:pPr>
      <w:r>
        <w:rPr>
          <w:rFonts w:hint="eastAsia" w:ascii="宋体" w:hAnsi="宋体" w:cs="宋体"/>
          <w:color w:val="auto"/>
          <w:highlight w:val="none"/>
          <w:lang w:val="en-US" w:eastAsia="zh-CN"/>
        </w:rPr>
        <w:t>2.</w:t>
      </w:r>
      <w:r>
        <w:rPr>
          <w:rFonts w:hint="eastAsia" w:ascii="宋体" w:hAnsi="宋体" w:cs="宋体"/>
          <w:color w:val="auto"/>
          <w:highlight w:val="none"/>
        </w:rPr>
        <w:t>3发布本次招标公告、中标公告的媒体：浙江政府采购网：https://zfcg.czt.zj.gov.cn/；宁波政府采购网：</w:t>
      </w:r>
      <w:r>
        <w:rPr>
          <w:color w:val="auto"/>
          <w:highlight w:val="none"/>
        </w:rPr>
        <w:fldChar w:fldCharType="begin"/>
      </w:r>
      <w:r>
        <w:rPr>
          <w:color w:val="auto"/>
          <w:highlight w:val="none"/>
        </w:rPr>
        <w:instrText xml:space="preserve"> HYPERLINK "http://www.nbzfcg.cn/" </w:instrText>
      </w:r>
      <w:r>
        <w:rPr>
          <w:color w:val="auto"/>
          <w:highlight w:val="none"/>
        </w:rPr>
        <w:fldChar w:fldCharType="separate"/>
      </w:r>
      <w:r>
        <w:rPr>
          <w:rStyle w:val="30"/>
          <w:rFonts w:hint="eastAsia" w:ascii="宋体" w:hAnsi="宋体" w:cs="宋体"/>
          <w:color w:val="auto"/>
          <w:highlight w:val="none"/>
        </w:rPr>
        <w:t>http://www.nbzfcg.cn/</w:t>
      </w:r>
      <w:r>
        <w:rPr>
          <w:rStyle w:val="30"/>
          <w:rFonts w:hint="eastAsia" w:ascii="宋体" w:hAnsi="宋体" w:cs="宋体"/>
          <w:color w:val="auto"/>
          <w:highlight w:val="none"/>
        </w:rPr>
        <w:fldChar w:fldCharType="end"/>
      </w:r>
      <w:r>
        <w:rPr>
          <w:rFonts w:hint="eastAsia" w:ascii="宋体" w:hAnsi="宋体" w:cs="宋体"/>
          <w:color w:val="auto"/>
          <w:highlight w:val="none"/>
        </w:rPr>
        <w:t xml:space="preserve"> ；宁波公共资源交易网江北分区分网：</w:t>
      </w:r>
      <w:r>
        <w:rPr>
          <w:rFonts w:hint="eastAsia" w:ascii="宋体" w:hAnsi="宋体" w:cs="宋体"/>
          <w:color w:val="auto"/>
          <w:highlight w:val="none"/>
        </w:rPr>
        <w:fldChar w:fldCharType="begin"/>
      </w:r>
      <w:r>
        <w:rPr>
          <w:rFonts w:hint="eastAsia" w:ascii="宋体" w:hAnsi="宋体" w:cs="宋体"/>
          <w:color w:val="auto"/>
          <w:highlight w:val="none"/>
        </w:rPr>
        <w:instrText xml:space="preserve"> HYPERLINK "http://bidding.ningbo.gov.cn/330205.html。" </w:instrText>
      </w:r>
      <w:r>
        <w:rPr>
          <w:rFonts w:hint="eastAsia" w:ascii="宋体" w:hAnsi="宋体" w:cs="宋体"/>
          <w:color w:val="auto"/>
          <w:highlight w:val="none"/>
        </w:rPr>
        <w:fldChar w:fldCharType="separate"/>
      </w:r>
      <w:r>
        <w:rPr>
          <w:rStyle w:val="30"/>
          <w:rFonts w:hint="eastAsia" w:ascii="宋体" w:hAnsi="宋体" w:cs="宋体"/>
          <w:color w:val="auto"/>
          <w:highlight w:val="none"/>
        </w:rPr>
        <w:t>http://bidding.ningbo.gov.cn/330205.html。</w:t>
      </w:r>
      <w:r>
        <w:rPr>
          <w:rFonts w:hint="eastAsia" w:ascii="宋体" w:hAnsi="宋体" w:cs="宋体"/>
          <w:color w:val="auto"/>
          <w:highlight w:val="none"/>
        </w:rPr>
        <w:fldChar w:fldCharType="end"/>
      </w:r>
    </w:p>
    <w:p>
      <w:pPr>
        <w:spacing w:line="400" w:lineRule="exact"/>
        <w:ind w:firstLine="420" w:firstLineChars="200"/>
        <w:rPr>
          <w:rFonts w:hint="eastAsia" w:ascii="宋体" w:hAnsi="宋体" w:cs="宋体"/>
          <w:color w:val="auto"/>
          <w:highlight w:val="none"/>
        </w:rPr>
      </w:pPr>
      <w:r>
        <w:rPr>
          <w:rFonts w:hint="eastAsia" w:ascii="宋体" w:hAnsi="宋体" w:cs="宋体"/>
          <w:color w:val="auto"/>
          <w:highlight w:val="none"/>
          <w:lang w:val="en-US" w:eastAsia="zh-CN"/>
        </w:rPr>
        <w:t>2.</w:t>
      </w:r>
      <w:r>
        <w:rPr>
          <w:rFonts w:hint="eastAsia" w:ascii="宋体" w:hAnsi="宋体" w:cs="宋体"/>
          <w:color w:val="auto"/>
          <w:highlight w:val="none"/>
        </w:rPr>
        <w:t xml:space="preserve">4供应商未被列入“信用中国”网站(www.creditchina.gov.cn)中的“失信被执行人或重大税收违法案件当事人名单或政府采购严重违法失信名单”，不处于中国政府采购网(www.ccgp.gov.cn)“政府采购严重违法失信行为记录名单”处罚结果确定为禁止参加政府采购活动期间。（以采购代理机构于投标截止日当天在信用中国网站及中国政府采购网查询结果为准；若在开标当天因不可抗力事件导致无法查询且一时无法恢复查询的，可在中标公告前对中标候选人进行事后查询。中标候选人被列入失信被执行人、重大税收违法案件当事人名单或政府采购严重违法失信名单、政府采购严重违法失信行为记录名单处罚结果确定为禁止参加政府采购活动期间的，采购人将依法取消其中标资格。） </w:t>
      </w:r>
    </w:p>
    <w:p>
      <w:pPr>
        <w:spacing w:line="400" w:lineRule="exact"/>
        <w:ind w:firstLine="420" w:firstLineChars="200"/>
        <w:rPr>
          <w:rFonts w:hint="eastAsia" w:ascii="宋体" w:hAnsi="宋体" w:cs="宋体"/>
          <w:color w:val="auto"/>
          <w:highlight w:val="none"/>
        </w:rPr>
      </w:pPr>
      <w:r>
        <w:rPr>
          <w:rFonts w:hint="eastAsia" w:ascii="宋体" w:hAnsi="宋体" w:cs="宋体"/>
          <w:color w:val="auto"/>
          <w:highlight w:val="none"/>
          <w:lang w:val="en-US" w:eastAsia="zh-CN"/>
        </w:rPr>
        <w:t>2.</w:t>
      </w:r>
      <w:r>
        <w:rPr>
          <w:rFonts w:hint="eastAsia" w:ascii="宋体" w:hAnsi="宋体" w:cs="宋体"/>
          <w:color w:val="auto"/>
          <w:highlight w:val="none"/>
        </w:rPr>
        <w:t>5单位负责人为同一人或者存在直接控股、管理关系的不同供应商，不得参加同一标项下的政府采购活动。为采购项目提供整体设计、规范编制或者项目管理、监理、检测等服务的供应商，不得再参加本项目投标。</w:t>
      </w:r>
    </w:p>
    <w:p>
      <w:pPr>
        <w:pStyle w:val="21"/>
        <w:spacing w:line="360" w:lineRule="auto"/>
        <w:ind w:firstLine="420" w:firstLineChars="200"/>
        <w:rPr>
          <w:rFonts w:hint="eastAsia" w:ascii="宋体" w:hAnsi="宋体" w:eastAsia="宋体" w:cs="宋体"/>
          <w:color w:val="auto"/>
          <w:kern w:val="2"/>
          <w:sz w:val="21"/>
          <w:szCs w:val="24"/>
          <w:highlight w:val="none"/>
          <w:lang w:val="en-US" w:eastAsia="zh-CN" w:bidi="ar-SA"/>
        </w:rPr>
      </w:pPr>
      <w:r>
        <w:rPr>
          <w:rFonts w:hint="eastAsia" w:ascii="宋体" w:hAnsi="宋体" w:eastAsia="宋体" w:cs="宋体"/>
          <w:color w:val="auto"/>
          <w:kern w:val="2"/>
          <w:sz w:val="21"/>
          <w:szCs w:val="24"/>
          <w:highlight w:val="none"/>
          <w:lang w:val="en-US" w:eastAsia="zh-CN" w:bidi="ar-SA"/>
        </w:rPr>
        <w:t>2.6、关于在线投标与开标注意事项：</w:t>
      </w:r>
    </w:p>
    <w:p>
      <w:pPr>
        <w:pStyle w:val="19"/>
        <w:spacing w:before="0" w:beforeAutospacing="0" w:after="0" w:afterAutospacing="0" w:line="460" w:lineRule="exact"/>
        <w:ind w:firstLine="420"/>
        <w:rPr>
          <w:rFonts w:hint="eastAsia" w:ascii="宋体" w:hAnsi="宋体" w:eastAsia="宋体" w:cs="宋体"/>
          <w:color w:val="auto"/>
          <w:kern w:val="2"/>
          <w:sz w:val="21"/>
          <w:szCs w:val="21"/>
          <w:highlight w:val="none"/>
          <w:lang w:bidi="ar"/>
        </w:rPr>
      </w:pPr>
      <w:r>
        <w:rPr>
          <w:rFonts w:hint="eastAsia" w:ascii="宋体" w:hAnsi="宋体" w:eastAsia="宋体" w:cs="宋体"/>
          <w:color w:val="auto"/>
          <w:kern w:val="2"/>
          <w:sz w:val="21"/>
          <w:szCs w:val="21"/>
          <w:highlight w:val="none"/>
          <w:lang w:bidi="ar"/>
        </w:rPr>
        <w:t>2.</w:t>
      </w:r>
      <w:r>
        <w:rPr>
          <w:rFonts w:hint="eastAsia" w:ascii="宋体" w:hAnsi="宋体" w:eastAsia="宋体" w:cs="宋体"/>
          <w:color w:val="auto"/>
          <w:kern w:val="2"/>
          <w:sz w:val="21"/>
          <w:szCs w:val="21"/>
          <w:highlight w:val="none"/>
          <w:lang w:val="en-US" w:eastAsia="zh-CN" w:bidi="ar"/>
        </w:rPr>
        <w:t>6</w:t>
      </w:r>
      <w:r>
        <w:rPr>
          <w:rFonts w:hint="eastAsia" w:ascii="宋体" w:hAnsi="宋体" w:eastAsia="宋体" w:cs="宋体"/>
          <w:color w:val="auto"/>
          <w:kern w:val="2"/>
          <w:sz w:val="21"/>
          <w:szCs w:val="21"/>
          <w:highlight w:val="none"/>
          <w:lang w:bidi="ar"/>
        </w:rPr>
        <w:t>.1本项目实行网上投标，采用电子投标文件。若供应商参与投标，自行承担投标一切费用。</w:t>
      </w:r>
    </w:p>
    <w:p>
      <w:pPr>
        <w:pStyle w:val="19"/>
        <w:widowControl w:val="0"/>
        <w:spacing w:before="0" w:beforeAutospacing="0" w:after="0" w:afterAutospacing="0" w:line="460" w:lineRule="exact"/>
        <w:ind w:firstLine="420"/>
        <w:rPr>
          <w:rFonts w:hint="eastAsia" w:ascii="宋体" w:hAnsi="宋体" w:eastAsia="宋体" w:cs="宋体"/>
          <w:color w:val="auto"/>
          <w:kern w:val="2"/>
          <w:sz w:val="21"/>
          <w:szCs w:val="21"/>
          <w:highlight w:val="none"/>
          <w:lang w:bidi="ar"/>
        </w:rPr>
      </w:pPr>
      <w:r>
        <w:rPr>
          <w:rFonts w:hint="eastAsia" w:ascii="宋体" w:hAnsi="宋体" w:eastAsia="宋体" w:cs="宋体"/>
          <w:color w:val="auto"/>
          <w:kern w:val="2"/>
          <w:sz w:val="21"/>
          <w:szCs w:val="21"/>
          <w:highlight w:val="none"/>
          <w:lang w:bidi="ar"/>
        </w:rPr>
        <w:t>2.</w:t>
      </w:r>
      <w:r>
        <w:rPr>
          <w:rFonts w:hint="eastAsia" w:ascii="宋体" w:hAnsi="宋体" w:eastAsia="宋体" w:cs="宋体"/>
          <w:color w:val="auto"/>
          <w:kern w:val="2"/>
          <w:sz w:val="21"/>
          <w:szCs w:val="21"/>
          <w:highlight w:val="none"/>
          <w:lang w:val="en-US" w:eastAsia="zh-CN" w:bidi="ar"/>
        </w:rPr>
        <w:t>6</w:t>
      </w:r>
      <w:r>
        <w:rPr>
          <w:rFonts w:hint="eastAsia" w:ascii="宋体" w:hAnsi="宋体" w:eastAsia="宋体" w:cs="宋体"/>
          <w:color w:val="auto"/>
          <w:kern w:val="2"/>
          <w:sz w:val="21"/>
          <w:szCs w:val="21"/>
          <w:highlight w:val="none"/>
          <w:lang w:bidi="ar"/>
        </w:rPr>
        <w:t>.2标前准备：各供应商应在开标前确保成为浙江政府采购网正式注册入库供应商，并完成CA数字证书办理。因未注册入库、未办理CA数字证书等原因造成无法投标或投标失败等后果由供应商自行承担（具体操作详见供应商-CA申领操作指南https://help.zcygov.cn/web/site_2/2018/11-29/2452.html）。</w:t>
      </w:r>
    </w:p>
    <w:p>
      <w:pPr>
        <w:pStyle w:val="19"/>
        <w:widowControl w:val="0"/>
        <w:spacing w:before="0" w:beforeAutospacing="0" w:after="0" w:afterAutospacing="0" w:line="460" w:lineRule="exact"/>
        <w:ind w:firstLine="420"/>
        <w:rPr>
          <w:rFonts w:hint="eastAsia" w:ascii="宋体" w:hAnsi="宋体" w:eastAsia="宋体" w:cs="宋体"/>
          <w:color w:val="auto"/>
          <w:kern w:val="2"/>
          <w:sz w:val="21"/>
          <w:szCs w:val="21"/>
          <w:highlight w:val="none"/>
          <w:lang w:bidi="ar"/>
        </w:rPr>
      </w:pPr>
      <w:r>
        <w:rPr>
          <w:rFonts w:hint="eastAsia" w:ascii="宋体" w:hAnsi="宋体" w:eastAsia="宋体" w:cs="宋体"/>
          <w:color w:val="auto"/>
          <w:kern w:val="2"/>
          <w:sz w:val="21"/>
          <w:szCs w:val="21"/>
          <w:highlight w:val="none"/>
          <w:lang w:bidi="ar"/>
        </w:rPr>
        <w:t>2.</w:t>
      </w:r>
      <w:r>
        <w:rPr>
          <w:rFonts w:hint="eastAsia" w:ascii="宋体" w:hAnsi="宋体" w:eastAsia="宋体" w:cs="宋体"/>
          <w:color w:val="auto"/>
          <w:kern w:val="2"/>
          <w:sz w:val="21"/>
          <w:szCs w:val="21"/>
          <w:highlight w:val="none"/>
          <w:lang w:val="en-US" w:eastAsia="zh-CN" w:bidi="ar"/>
        </w:rPr>
        <w:t>6</w:t>
      </w:r>
      <w:r>
        <w:rPr>
          <w:rFonts w:hint="eastAsia" w:ascii="宋体" w:hAnsi="宋体" w:eastAsia="宋体" w:cs="宋体"/>
          <w:color w:val="auto"/>
          <w:kern w:val="2"/>
          <w:sz w:val="21"/>
          <w:szCs w:val="21"/>
          <w:highlight w:val="none"/>
          <w:lang w:bidi="ar"/>
        </w:rPr>
        <w:t xml:space="preserve">.3投标文件制作： </w:t>
      </w:r>
    </w:p>
    <w:p>
      <w:pPr>
        <w:pStyle w:val="19"/>
        <w:widowControl w:val="0"/>
        <w:spacing w:before="0" w:beforeAutospacing="0" w:after="0" w:afterAutospacing="0" w:line="460" w:lineRule="exact"/>
        <w:ind w:firstLine="420"/>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lang w:bidi="ar"/>
        </w:rPr>
        <w:t>2.</w:t>
      </w:r>
      <w:r>
        <w:rPr>
          <w:rFonts w:hint="eastAsia" w:ascii="宋体" w:hAnsi="宋体" w:eastAsia="宋体" w:cs="宋体"/>
          <w:color w:val="auto"/>
          <w:kern w:val="2"/>
          <w:sz w:val="21"/>
          <w:szCs w:val="21"/>
          <w:highlight w:val="none"/>
          <w:lang w:val="en-US" w:eastAsia="zh-CN" w:bidi="ar"/>
        </w:rPr>
        <w:t>6</w:t>
      </w:r>
      <w:r>
        <w:rPr>
          <w:rFonts w:hint="eastAsia" w:ascii="宋体" w:hAnsi="宋体" w:eastAsia="宋体" w:cs="宋体"/>
          <w:color w:val="auto"/>
          <w:kern w:val="2"/>
          <w:sz w:val="21"/>
          <w:szCs w:val="21"/>
          <w:highlight w:val="none"/>
          <w:lang w:bidi="ar"/>
        </w:rPr>
        <w:t>.3.1应按照本项目招标文件和政府采购云平台的要求编制、加密并递交投标文件。供应商在使用系统进行投标的过程中遇到涉及平台使用的任何问题，可致电政府采购云平台技术支持热线咨询，联系方式：400-8817190。</w:t>
      </w:r>
    </w:p>
    <w:p>
      <w:pPr>
        <w:pStyle w:val="19"/>
        <w:widowControl w:val="0"/>
        <w:spacing w:before="0" w:beforeAutospacing="0" w:after="0" w:afterAutospacing="0" w:line="460" w:lineRule="exact"/>
        <w:ind w:firstLine="420"/>
        <w:rPr>
          <w:rFonts w:hint="eastAsia" w:ascii="宋体" w:hAnsi="宋体" w:eastAsia="宋体" w:cs="宋体"/>
          <w:color w:val="auto"/>
          <w:kern w:val="2"/>
          <w:sz w:val="21"/>
          <w:szCs w:val="21"/>
          <w:highlight w:val="none"/>
          <w:lang w:bidi="ar"/>
        </w:rPr>
      </w:pPr>
      <w:r>
        <w:rPr>
          <w:rFonts w:hint="eastAsia" w:ascii="宋体" w:hAnsi="宋体" w:eastAsia="宋体" w:cs="宋体"/>
          <w:color w:val="auto"/>
          <w:kern w:val="2"/>
          <w:sz w:val="21"/>
          <w:szCs w:val="21"/>
          <w:highlight w:val="none"/>
          <w:lang w:bidi="ar"/>
        </w:rPr>
        <w:t>2.</w:t>
      </w:r>
      <w:r>
        <w:rPr>
          <w:rFonts w:hint="eastAsia" w:ascii="宋体" w:hAnsi="宋体" w:eastAsia="宋体" w:cs="宋体"/>
          <w:color w:val="auto"/>
          <w:kern w:val="2"/>
          <w:sz w:val="21"/>
          <w:szCs w:val="21"/>
          <w:highlight w:val="none"/>
          <w:lang w:val="en-US" w:eastAsia="zh-CN" w:bidi="ar"/>
        </w:rPr>
        <w:t>6</w:t>
      </w:r>
      <w:r>
        <w:rPr>
          <w:rFonts w:hint="eastAsia" w:ascii="宋体" w:hAnsi="宋体" w:eastAsia="宋体" w:cs="宋体"/>
          <w:color w:val="auto"/>
          <w:kern w:val="2"/>
          <w:sz w:val="21"/>
          <w:szCs w:val="21"/>
          <w:highlight w:val="none"/>
          <w:lang w:bidi="ar"/>
        </w:rPr>
        <w:t>.3.2供应商通过政府采购云平台电子投标工具制作投标文件，电子投标工具请供应商自行前往浙江政府采购网下载并安装，投标文件制作具体流程详见政采云供应商-政府采购项目电子交易操作指南。</w:t>
      </w:r>
    </w:p>
    <w:p>
      <w:pPr>
        <w:pStyle w:val="19"/>
        <w:spacing w:before="0" w:beforeAutospacing="0" w:after="0" w:afterAutospacing="0" w:line="460" w:lineRule="exact"/>
        <w:ind w:firstLine="420"/>
        <w:rPr>
          <w:rFonts w:hint="eastAsia" w:ascii="宋体" w:hAnsi="宋体" w:eastAsia="宋体" w:cs="宋体"/>
          <w:color w:val="auto"/>
          <w:kern w:val="2"/>
          <w:sz w:val="21"/>
          <w:szCs w:val="21"/>
          <w:highlight w:val="none"/>
          <w:lang w:bidi="ar"/>
        </w:rPr>
      </w:pPr>
      <w:r>
        <w:rPr>
          <w:rFonts w:hint="eastAsia" w:ascii="宋体" w:hAnsi="宋体" w:eastAsia="宋体" w:cs="宋体"/>
          <w:color w:val="auto"/>
          <w:kern w:val="2"/>
          <w:sz w:val="21"/>
          <w:szCs w:val="21"/>
          <w:highlight w:val="none"/>
          <w:lang w:bidi="ar"/>
        </w:rPr>
        <w:t>2.</w:t>
      </w:r>
      <w:r>
        <w:rPr>
          <w:rFonts w:hint="eastAsia" w:ascii="宋体" w:hAnsi="宋体" w:eastAsia="宋体" w:cs="宋体"/>
          <w:color w:val="auto"/>
          <w:kern w:val="2"/>
          <w:sz w:val="21"/>
          <w:szCs w:val="21"/>
          <w:highlight w:val="none"/>
          <w:lang w:val="en-US" w:eastAsia="zh-CN" w:bidi="ar"/>
        </w:rPr>
        <w:t>6</w:t>
      </w:r>
      <w:r>
        <w:rPr>
          <w:rFonts w:hint="eastAsia" w:ascii="宋体" w:hAnsi="宋体" w:eastAsia="宋体" w:cs="宋体"/>
          <w:color w:val="auto"/>
          <w:kern w:val="2"/>
          <w:sz w:val="21"/>
          <w:szCs w:val="21"/>
          <w:highlight w:val="none"/>
          <w:lang w:bidi="ar"/>
        </w:rPr>
        <w:t>.3.3以U盘存储的电子备份投标文件1份，按政府采购云平台要求制作的电子备份文件，以用于异常情况处理。</w:t>
      </w:r>
    </w:p>
    <w:p>
      <w:pPr>
        <w:pStyle w:val="19"/>
        <w:spacing w:before="0" w:beforeAutospacing="0" w:after="0" w:afterAutospacing="0" w:line="460" w:lineRule="exact"/>
        <w:ind w:firstLine="420" w:firstLineChars="200"/>
        <w:rPr>
          <w:rFonts w:hint="eastAsia" w:ascii="宋体" w:hAnsi="宋体" w:eastAsia="宋体" w:cs="宋体"/>
          <w:color w:val="auto"/>
          <w:kern w:val="2"/>
          <w:sz w:val="21"/>
          <w:szCs w:val="21"/>
          <w:highlight w:val="none"/>
          <w:lang w:bidi="ar"/>
        </w:rPr>
      </w:pPr>
      <w:r>
        <w:rPr>
          <w:rFonts w:hint="eastAsia" w:ascii="宋体" w:hAnsi="宋体" w:eastAsia="宋体" w:cs="宋体"/>
          <w:color w:val="auto"/>
          <w:kern w:val="2"/>
          <w:sz w:val="21"/>
          <w:szCs w:val="21"/>
          <w:highlight w:val="none"/>
          <w:lang w:bidi="ar"/>
        </w:rPr>
        <w:t>2.</w:t>
      </w:r>
      <w:r>
        <w:rPr>
          <w:rFonts w:hint="eastAsia" w:ascii="宋体" w:hAnsi="宋体" w:eastAsia="宋体" w:cs="宋体"/>
          <w:color w:val="auto"/>
          <w:kern w:val="2"/>
          <w:sz w:val="21"/>
          <w:szCs w:val="21"/>
          <w:highlight w:val="none"/>
          <w:lang w:val="en-US" w:eastAsia="zh-CN" w:bidi="ar"/>
        </w:rPr>
        <w:t>6</w:t>
      </w:r>
      <w:r>
        <w:rPr>
          <w:rFonts w:hint="eastAsia" w:ascii="宋体" w:hAnsi="宋体" w:eastAsia="宋体" w:cs="宋体"/>
          <w:color w:val="auto"/>
          <w:kern w:val="2"/>
          <w:sz w:val="21"/>
          <w:szCs w:val="21"/>
          <w:highlight w:val="none"/>
          <w:lang w:bidi="ar"/>
        </w:rPr>
        <w:t xml:space="preserve">.3.4本项目供应商仍应准备纸质投标文件。当电子开评标无法正常进行时，即转为线下评标。若在此种情况下，由于供应商未提交纸质投标文件而导致该供应商放弃投标，由供应商自行承担。 </w:t>
      </w:r>
    </w:p>
    <w:p>
      <w:pPr>
        <w:pStyle w:val="19"/>
        <w:spacing w:before="0" w:beforeAutospacing="0" w:after="0" w:afterAutospacing="0" w:line="460" w:lineRule="exact"/>
        <w:ind w:firstLine="420"/>
        <w:rPr>
          <w:rFonts w:hint="eastAsia" w:ascii="宋体" w:hAnsi="宋体" w:eastAsia="宋体" w:cs="宋体"/>
          <w:color w:val="auto"/>
          <w:kern w:val="2"/>
          <w:sz w:val="21"/>
          <w:szCs w:val="21"/>
          <w:highlight w:val="none"/>
          <w:lang w:bidi="ar"/>
        </w:rPr>
      </w:pPr>
      <w:r>
        <w:rPr>
          <w:rFonts w:hint="eastAsia" w:ascii="宋体" w:hAnsi="宋体" w:eastAsia="宋体" w:cs="宋体"/>
          <w:color w:val="auto"/>
          <w:kern w:val="2"/>
          <w:sz w:val="21"/>
          <w:szCs w:val="21"/>
          <w:highlight w:val="none"/>
          <w:lang w:bidi="ar"/>
        </w:rPr>
        <w:t>2.</w:t>
      </w:r>
      <w:r>
        <w:rPr>
          <w:rFonts w:hint="eastAsia" w:ascii="宋体" w:hAnsi="宋体" w:eastAsia="宋体" w:cs="宋体"/>
          <w:color w:val="auto"/>
          <w:kern w:val="2"/>
          <w:sz w:val="21"/>
          <w:szCs w:val="21"/>
          <w:highlight w:val="none"/>
          <w:lang w:val="en-US" w:eastAsia="zh-CN" w:bidi="ar"/>
        </w:rPr>
        <w:t>7</w:t>
      </w:r>
      <w:r>
        <w:rPr>
          <w:rFonts w:hint="eastAsia" w:ascii="宋体" w:hAnsi="宋体" w:eastAsia="宋体" w:cs="宋体"/>
          <w:color w:val="auto"/>
          <w:kern w:val="2"/>
          <w:sz w:val="21"/>
          <w:szCs w:val="21"/>
          <w:highlight w:val="none"/>
          <w:lang w:bidi="ar"/>
        </w:rPr>
        <w:t xml:space="preserve">本招标公告附件中的招标文件仅供阅览使用，供应商应在规定的招标文件获取期限内在政采云平台登录供应商注册的账号后获取招标文件，未按上述方式获取招标文件的，不得对招标文件提起质疑投诉。 </w:t>
      </w:r>
    </w:p>
    <w:p>
      <w:pPr>
        <w:pStyle w:val="19"/>
        <w:spacing w:before="0" w:beforeAutospacing="0" w:after="0" w:afterAutospacing="0" w:line="460" w:lineRule="exact"/>
        <w:ind w:firstLine="420"/>
        <w:rPr>
          <w:rFonts w:hint="eastAsia" w:ascii="宋体" w:hAnsi="宋体" w:eastAsia="宋体" w:cs="宋体"/>
          <w:color w:val="auto"/>
          <w:kern w:val="2"/>
          <w:sz w:val="21"/>
          <w:szCs w:val="21"/>
          <w:highlight w:val="none"/>
          <w:lang w:bidi="ar"/>
        </w:rPr>
      </w:pPr>
      <w:r>
        <w:rPr>
          <w:rFonts w:hint="eastAsia" w:ascii="宋体" w:hAnsi="宋体" w:eastAsia="宋体" w:cs="宋体"/>
          <w:color w:val="auto"/>
          <w:kern w:val="2"/>
          <w:sz w:val="21"/>
          <w:szCs w:val="21"/>
          <w:highlight w:val="none"/>
          <w:lang w:bidi="ar"/>
        </w:rPr>
        <w:t>2.</w:t>
      </w:r>
      <w:r>
        <w:rPr>
          <w:rFonts w:hint="eastAsia" w:ascii="宋体" w:hAnsi="宋体" w:eastAsia="宋体" w:cs="宋体"/>
          <w:color w:val="auto"/>
          <w:kern w:val="2"/>
          <w:sz w:val="21"/>
          <w:szCs w:val="21"/>
          <w:highlight w:val="none"/>
          <w:lang w:val="en-US" w:eastAsia="zh-CN" w:bidi="ar"/>
        </w:rPr>
        <w:t>8</w:t>
      </w:r>
      <w:r>
        <w:rPr>
          <w:rFonts w:hint="eastAsia" w:ascii="宋体" w:hAnsi="宋体" w:eastAsia="宋体" w:cs="宋体"/>
          <w:color w:val="auto"/>
          <w:kern w:val="2"/>
          <w:sz w:val="21"/>
          <w:szCs w:val="21"/>
          <w:highlight w:val="none"/>
          <w:lang w:bidi="ar"/>
        </w:rPr>
        <w:t>供应商应于投标截止时间前将电子投标文件上传到政府采购云平台www.zcygov.cn，未上传电子投标文件，视为供应商放弃投标。</w:t>
      </w:r>
    </w:p>
    <w:p>
      <w:pPr>
        <w:pStyle w:val="19"/>
        <w:spacing w:before="0" w:beforeAutospacing="0" w:after="0" w:afterAutospacing="0" w:line="460" w:lineRule="exact"/>
        <w:ind w:firstLine="420"/>
        <w:rPr>
          <w:rFonts w:hint="eastAsia" w:ascii="宋体" w:hAnsi="宋体" w:eastAsia="宋体" w:cs="宋体"/>
          <w:color w:val="auto"/>
          <w:kern w:val="2"/>
          <w:sz w:val="21"/>
          <w:szCs w:val="21"/>
          <w:highlight w:val="none"/>
          <w:lang w:bidi="ar"/>
        </w:rPr>
      </w:pPr>
      <w:r>
        <w:rPr>
          <w:rFonts w:hint="eastAsia" w:ascii="宋体" w:hAnsi="宋体" w:eastAsia="宋体" w:cs="宋体"/>
          <w:color w:val="auto"/>
          <w:kern w:val="2"/>
          <w:sz w:val="21"/>
          <w:szCs w:val="21"/>
          <w:highlight w:val="none"/>
          <w:lang w:bidi="ar"/>
        </w:rPr>
        <w:t>2.</w:t>
      </w:r>
      <w:r>
        <w:rPr>
          <w:rFonts w:hint="eastAsia" w:ascii="宋体" w:hAnsi="宋体" w:eastAsia="宋体" w:cs="宋体"/>
          <w:color w:val="auto"/>
          <w:kern w:val="2"/>
          <w:sz w:val="21"/>
          <w:szCs w:val="21"/>
          <w:highlight w:val="none"/>
          <w:lang w:val="en-US" w:eastAsia="zh-CN" w:bidi="ar"/>
        </w:rPr>
        <w:t>9</w:t>
      </w:r>
      <w:r>
        <w:rPr>
          <w:rFonts w:hint="eastAsia" w:ascii="宋体" w:hAnsi="宋体" w:eastAsia="宋体" w:cs="宋体"/>
          <w:color w:val="auto"/>
          <w:kern w:val="2"/>
          <w:sz w:val="21"/>
          <w:szCs w:val="21"/>
          <w:highlight w:val="none"/>
          <w:lang w:bidi="ar"/>
        </w:rPr>
        <w:t xml:space="preserve">供应商如提供备份投标文件的，应于提交投标文件截止时间前，将以U盘存储的电子备份投标文件和纸质备份投标文件分别密封，递交至投标地点，逾期送达或未密封将予以拒收。供应商仅提供备份投标文件（包括以U盘存储的电子备份投标文件或纸质备份投标文件）的，投标无效。 </w:t>
      </w:r>
    </w:p>
    <w:p>
      <w:pPr>
        <w:pStyle w:val="19"/>
        <w:widowControl w:val="0"/>
        <w:spacing w:before="0" w:beforeAutospacing="0" w:after="0" w:afterAutospacing="0" w:line="460" w:lineRule="exact"/>
        <w:ind w:firstLine="420"/>
        <w:rPr>
          <w:rFonts w:hint="eastAsia" w:ascii="宋体" w:hAnsi="宋体" w:eastAsia="宋体" w:cs="宋体"/>
          <w:color w:val="auto"/>
          <w:kern w:val="2"/>
          <w:sz w:val="21"/>
          <w:szCs w:val="21"/>
          <w:highlight w:val="none"/>
          <w:lang w:bidi="ar"/>
        </w:rPr>
      </w:pPr>
      <w:r>
        <w:rPr>
          <w:rFonts w:hint="eastAsia" w:ascii="宋体" w:hAnsi="宋体" w:eastAsia="宋体" w:cs="宋体"/>
          <w:color w:val="auto"/>
          <w:kern w:val="2"/>
          <w:sz w:val="21"/>
          <w:szCs w:val="21"/>
          <w:highlight w:val="none"/>
          <w:lang w:bidi="ar"/>
        </w:rPr>
        <w:t>2.</w:t>
      </w:r>
      <w:r>
        <w:rPr>
          <w:rFonts w:hint="eastAsia" w:ascii="宋体" w:hAnsi="宋体" w:eastAsia="宋体" w:cs="宋体"/>
          <w:color w:val="auto"/>
          <w:kern w:val="2"/>
          <w:sz w:val="21"/>
          <w:szCs w:val="21"/>
          <w:highlight w:val="none"/>
          <w:lang w:val="en-US" w:eastAsia="zh-CN" w:bidi="ar"/>
        </w:rPr>
        <w:t>10</w:t>
      </w:r>
      <w:r>
        <w:rPr>
          <w:rFonts w:hint="eastAsia" w:ascii="宋体" w:hAnsi="宋体" w:eastAsia="宋体" w:cs="宋体"/>
          <w:color w:val="auto"/>
          <w:kern w:val="2"/>
          <w:sz w:val="21"/>
          <w:szCs w:val="21"/>
          <w:highlight w:val="none"/>
          <w:lang w:bidi="ar"/>
        </w:rPr>
        <w:t xml:space="preserve">采购代理机构将在招标文件规定的开标时间通过政府采购云平台组织开标、开启投标文件，所有供应商均应准时在线参加。开标时间后30分钟内供应商可以登录政府采购云平台www.zcygov.cn，用“项目采购-开标评标”功能进行解密投标文件。若供应商在开标时间后30分钟内无法解密或解密失败，可使用备份电子投标文件进行或使用纸质投标文件进行线下评标。 </w:t>
      </w:r>
    </w:p>
    <w:p>
      <w:pPr>
        <w:pStyle w:val="19"/>
        <w:widowControl w:val="0"/>
        <w:spacing w:before="0" w:beforeAutospacing="0" w:after="0" w:afterAutospacing="0" w:line="460" w:lineRule="exact"/>
        <w:ind w:firstLine="420" w:firstLineChars="200"/>
        <w:rPr>
          <w:rFonts w:hint="eastAsia" w:ascii="宋体" w:hAnsi="宋体" w:eastAsia="宋体" w:cs="宋体"/>
          <w:color w:val="auto"/>
          <w:kern w:val="2"/>
          <w:sz w:val="21"/>
          <w:szCs w:val="21"/>
          <w:highlight w:val="none"/>
          <w:lang w:bidi="ar"/>
        </w:rPr>
      </w:pPr>
      <w:r>
        <w:rPr>
          <w:rFonts w:hint="eastAsia" w:ascii="宋体" w:hAnsi="宋体" w:eastAsia="宋体" w:cs="宋体"/>
          <w:color w:val="auto"/>
          <w:kern w:val="2"/>
          <w:sz w:val="21"/>
          <w:szCs w:val="21"/>
          <w:highlight w:val="none"/>
          <w:lang w:bidi="ar"/>
        </w:rPr>
        <w:t>2.1</w:t>
      </w:r>
      <w:r>
        <w:rPr>
          <w:rFonts w:hint="eastAsia" w:ascii="宋体" w:hAnsi="宋体" w:eastAsia="宋体" w:cs="宋体"/>
          <w:color w:val="auto"/>
          <w:kern w:val="2"/>
          <w:sz w:val="21"/>
          <w:szCs w:val="21"/>
          <w:highlight w:val="none"/>
          <w:lang w:val="en-US" w:eastAsia="zh-CN" w:bidi="ar"/>
        </w:rPr>
        <w:t>1</w:t>
      </w:r>
      <w:r>
        <w:rPr>
          <w:rFonts w:hint="eastAsia" w:ascii="宋体" w:hAnsi="宋体" w:eastAsia="宋体" w:cs="宋体"/>
          <w:color w:val="auto"/>
          <w:kern w:val="2"/>
          <w:sz w:val="21"/>
          <w:szCs w:val="21"/>
          <w:highlight w:val="none"/>
          <w:lang w:bidi="ar"/>
        </w:rPr>
        <w:t xml:space="preserve"> 疫情期间特别提醒事项：投标人员须做好佩戴口罩、手套等防护措施，自觉接受体温检测、接受防疫询问，并如实告知相关情况，在投标文件递交工作完成后应立即离开，无故不得在现场逗留。投标人员还需配合做好疫情防控“五个一律”：一律全面消毒、一律体温检测、一律承诺登记、一律按序办事、一律服从管理。本项目开标及评审过程，所有工作人员及评审小组成员均全程佩戴口罩、一次性手套等防护工具，评标室内所有人员座位间距保持安全距离，评审过程开窗通风。疫情防控期间，请投标人遵守江北区公共资源交易中心各项防疫措施规定。本项目如有变更或补充，另行通知。 </w:t>
      </w:r>
    </w:p>
    <w:p>
      <w:pPr>
        <w:pStyle w:val="19"/>
        <w:widowControl w:val="0"/>
        <w:spacing w:before="0" w:beforeAutospacing="0" w:after="0" w:afterAutospacing="0" w:line="460" w:lineRule="exact"/>
        <w:ind w:firstLine="420" w:firstLineChars="200"/>
        <w:rPr>
          <w:rFonts w:hint="eastAsia" w:ascii="宋体" w:hAnsi="宋体" w:eastAsia="宋体" w:cs="宋体"/>
          <w:color w:val="auto"/>
          <w:kern w:val="2"/>
          <w:sz w:val="21"/>
          <w:szCs w:val="21"/>
          <w:highlight w:val="none"/>
          <w:lang w:bidi="ar"/>
        </w:rPr>
      </w:pPr>
      <w:r>
        <w:rPr>
          <w:rFonts w:hint="eastAsia" w:ascii="宋体" w:hAnsi="宋体" w:eastAsia="宋体" w:cs="宋体"/>
          <w:color w:val="auto"/>
          <w:kern w:val="2"/>
          <w:sz w:val="21"/>
          <w:szCs w:val="21"/>
          <w:highlight w:val="none"/>
          <w:lang w:bidi="ar"/>
        </w:rPr>
        <w:t>2.1</w:t>
      </w:r>
      <w:r>
        <w:rPr>
          <w:rFonts w:hint="eastAsia" w:ascii="宋体" w:hAnsi="宋体" w:eastAsia="宋体" w:cs="宋体"/>
          <w:color w:val="auto"/>
          <w:kern w:val="2"/>
          <w:sz w:val="21"/>
          <w:szCs w:val="21"/>
          <w:highlight w:val="none"/>
          <w:lang w:val="en-US" w:eastAsia="zh-CN" w:bidi="ar"/>
        </w:rPr>
        <w:t>2</w:t>
      </w:r>
      <w:r>
        <w:rPr>
          <w:rFonts w:hint="eastAsia" w:ascii="宋体" w:hAnsi="宋体" w:eastAsia="宋体" w:cs="宋体"/>
          <w:color w:val="auto"/>
          <w:kern w:val="2"/>
          <w:sz w:val="21"/>
          <w:szCs w:val="21"/>
          <w:highlight w:val="none"/>
          <w:lang w:bidi="ar"/>
        </w:rPr>
        <w:t xml:space="preserve"> 如本项目改为线下评标，供应商须在纸质备份投标文件（资格审查文件）中提供（1）指定作出澄清、说明或补正的电子邮箱、传真号码；（2）法定代表人或授权代表的微信号。评审过程中有关澄清、说明或者补正，采购代理机构将通过以下电子邮箱进行收发。电子邮箱：laihong@cntcitc.com.cn </w:t>
      </w:r>
    </w:p>
    <w:p>
      <w:pPr>
        <w:pStyle w:val="19"/>
        <w:widowControl w:val="0"/>
        <w:spacing w:before="0" w:beforeAutospacing="0" w:after="0" w:afterAutospacing="0" w:line="460" w:lineRule="exact"/>
        <w:ind w:firstLine="420" w:firstLineChars="200"/>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2.1</w:t>
      </w:r>
      <w:r>
        <w:rPr>
          <w:rFonts w:hint="eastAsia" w:ascii="宋体" w:hAnsi="宋体" w:eastAsia="宋体" w:cs="宋体"/>
          <w:color w:val="auto"/>
          <w:kern w:val="2"/>
          <w:sz w:val="21"/>
          <w:szCs w:val="21"/>
          <w:highlight w:val="none"/>
          <w:lang w:val="en-US" w:eastAsia="zh-CN"/>
        </w:rPr>
        <w:t>3</w:t>
      </w:r>
      <w:r>
        <w:rPr>
          <w:rFonts w:hint="eastAsia" w:ascii="宋体" w:hAnsi="宋体" w:eastAsia="宋体" w:cs="宋体"/>
          <w:color w:val="auto"/>
          <w:kern w:val="2"/>
          <w:sz w:val="21"/>
          <w:szCs w:val="21"/>
          <w:highlight w:val="none"/>
        </w:rPr>
        <w:t xml:space="preserve"> 疫情期间，请各供应商遵守宁波市江北区公共资源交易中心各项防疫措施规定。  </w:t>
      </w:r>
    </w:p>
    <w:p>
      <w:pPr>
        <w:spacing w:line="400" w:lineRule="exact"/>
        <w:rPr>
          <w:rFonts w:ascii="宋体" w:hAnsi="宋体" w:cs="宋体"/>
          <w:b/>
          <w:bCs/>
          <w:color w:val="auto"/>
          <w:highlight w:val="none"/>
        </w:rPr>
      </w:pPr>
      <w:r>
        <w:rPr>
          <w:rFonts w:hint="eastAsia" w:ascii="宋体" w:hAnsi="宋体" w:cs="宋体"/>
          <w:b/>
          <w:bCs/>
          <w:color w:val="auto"/>
          <w:highlight w:val="none"/>
        </w:rPr>
        <w:t>七、对本次招标提出询问，请按以下方式联系</w:t>
      </w:r>
    </w:p>
    <w:p>
      <w:pPr>
        <w:spacing w:line="400" w:lineRule="exact"/>
        <w:ind w:firstLine="315" w:firstLineChars="150"/>
        <w:jc w:val="left"/>
        <w:rPr>
          <w:rFonts w:ascii="宋体" w:hAnsi="宋体" w:cs="宋体"/>
          <w:color w:val="auto"/>
          <w:highlight w:val="none"/>
        </w:rPr>
      </w:pPr>
      <w:r>
        <w:rPr>
          <w:rFonts w:hint="eastAsia" w:ascii="宋体" w:hAnsi="宋体" w:cs="宋体"/>
          <w:color w:val="auto"/>
          <w:highlight w:val="none"/>
        </w:rPr>
        <w:t>1.采购人信息</w:t>
      </w:r>
    </w:p>
    <w:p>
      <w:pPr>
        <w:spacing w:line="400" w:lineRule="exact"/>
        <w:ind w:firstLine="420" w:firstLineChars="200"/>
        <w:rPr>
          <w:rFonts w:hint="eastAsia" w:ascii="宋体" w:hAnsi="宋体" w:eastAsia="宋体" w:cs="宋体"/>
          <w:color w:val="auto"/>
          <w:highlight w:val="none"/>
          <w:lang w:eastAsia="zh-CN"/>
        </w:rPr>
      </w:pPr>
      <w:r>
        <w:rPr>
          <w:rFonts w:hint="eastAsia" w:ascii="宋体" w:hAnsi="宋体" w:cs="宋体"/>
          <w:color w:val="auto"/>
          <w:highlight w:val="none"/>
        </w:rPr>
        <w:t>名    称：</w:t>
      </w:r>
      <w:r>
        <w:rPr>
          <w:rFonts w:hint="eastAsia" w:ascii="宋体" w:hAnsi="宋体" w:cs="宋体"/>
          <w:color w:val="auto"/>
          <w:highlight w:val="none"/>
          <w:lang w:eastAsia="zh-CN"/>
        </w:rPr>
        <w:t>宁波市江北区城市建设投资发展有限公司</w:t>
      </w:r>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地    址：</w:t>
      </w:r>
      <w:r>
        <w:rPr>
          <w:rFonts w:hint="eastAsia" w:ascii="宋体" w:hAnsi="宋体" w:cs="宋体"/>
          <w:color w:val="auto"/>
          <w:kern w:val="0"/>
          <w:highlight w:val="none"/>
        </w:rPr>
        <w:t>浙江省宁波市江北区北岸财富中心7幢</w:t>
      </w:r>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传    真： /</w:t>
      </w:r>
    </w:p>
    <w:p>
      <w:pPr>
        <w:spacing w:line="400" w:lineRule="exact"/>
        <w:ind w:firstLine="420" w:firstLineChars="200"/>
        <w:rPr>
          <w:rFonts w:hint="eastAsia" w:ascii="宋体" w:hAnsi="宋体" w:cs="宋体"/>
          <w:color w:val="auto"/>
          <w:highlight w:val="none"/>
          <w:lang w:val="en-US" w:eastAsia="zh-CN"/>
        </w:rPr>
      </w:pPr>
      <w:r>
        <w:rPr>
          <w:rFonts w:hint="eastAsia" w:ascii="宋体" w:hAnsi="宋体" w:cs="宋体"/>
          <w:color w:val="auto"/>
          <w:highlight w:val="none"/>
        </w:rPr>
        <w:t>项目联系人（询问）：</w:t>
      </w:r>
      <w:r>
        <w:rPr>
          <w:rFonts w:hint="eastAsia" w:ascii="宋体" w:hAnsi="宋体" w:cs="宋体"/>
          <w:color w:val="auto"/>
          <w:kern w:val="0"/>
          <w:highlight w:val="none"/>
          <w:lang w:val="en-US" w:eastAsia="zh-CN"/>
        </w:rPr>
        <w:t>王</w:t>
      </w:r>
      <w:r>
        <w:rPr>
          <w:rFonts w:hint="eastAsia" w:ascii="宋体" w:hAnsi="宋体" w:cs="宋体"/>
          <w:color w:val="auto"/>
          <w:kern w:val="0"/>
          <w:highlight w:val="none"/>
        </w:rPr>
        <w:t>老师</w:t>
      </w:r>
    </w:p>
    <w:p>
      <w:pPr>
        <w:spacing w:line="360" w:lineRule="auto"/>
        <w:ind w:firstLine="420" w:firstLineChars="200"/>
        <w:rPr>
          <w:rFonts w:hint="default" w:ascii="宋体" w:hAnsi="宋体" w:eastAsia="宋体" w:cs="宋体"/>
          <w:color w:val="auto"/>
          <w:highlight w:val="none"/>
          <w:lang w:val="en-US" w:eastAsia="zh-CN"/>
        </w:rPr>
      </w:pPr>
      <w:r>
        <w:rPr>
          <w:rFonts w:hint="eastAsia" w:ascii="宋体" w:hAnsi="宋体" w:cs="宋体"/>
          <w:color w:val="auto"/>
          <w:highlight w:val="none"/>
        </w:rPr>
        <w:t>项目联系方式（询问）：0574-</w:t>
      </w:r>
      <w:r>
        <w:rPr>
          <w:rFonts w:hint="eastAsia" w:ascii="宋体" w:hAnsi="宋体" w:cs="宋体"/>
          <w:color w:val="auto"/>
          <w:kern w:val="0"/>
          <w:highlight w:val="none"/>
        </w:rPr>
        <w:t>87</w:t>
      </w:r>
      <w:r>
        <w:rPr>
          <w:rFonts w:hint="eastAsia" w:ascii="宋体" w:hAnsi="宋体" w:cs="宋体"/>
          <w:color w:val="auto"/>
          <w:kern w:val="0"/>
          <w:highlight w:val="none"/>
          <w:lang w:val="en-US" w:eastAsia="zh-CN"/>
        </w:rPr>
        <w:t>217632</w:t>
      </w:r>
    </w:p>
    <w:p>
      <w:pPr>
        <w:spacing w:line="400" w:lineRule="exact"/>
        <w:ind w:firstLine="315" w:firstLineChars="150"/>
        <w:jc w:val="left"/>
        <w:rPr>
          <w:rFonts w:ascii="宋体" w:hAnsi="宋体" w:cs="宋体"/>
          <w:color w:val="auto"/>
          <w:highlight w:val="none"/>
        </w:rPr>
      </w:pPr>
      <w:r>
        <w:rPr>
          <w:rFonts w:hint="eastAsia" w:ascii="宋体" w:hAnsi="宋体" w:cs="宋体"/>
          <w:color w:val="auto"/>
          <w:highlight w:val="none"/>
        </w:rPr>
        <w:t>2.采购代理机构信息            </w:t>
      </w:r>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名称：中招国际招标有限公司             </w:t>
      </w:r>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地址：宁波市江北区白沙路1号</w:t>
      </w:r>
      <w:r>
        <w:rPr>
          <w:rFonts w:hint="eastAsia" w:ascii="宋体" w:hAnsi="宋体" w:cs="宋体"/>
          <w:color w:val="auto"/>
          <w:highlight w:val="none"/>
          <w:lang w:val="en-US" w:eastAsia="zh-CN"/>
        </w:rPr>
        <w:t>茗</w:t>
      </w:r>
      <w:r>
        <w:rPr>
          <w:rFonts w:hint="eastAsia" w:ascii="宋体" w:hAnsi="宋体" w:cs="宋体"/>
          <w:color w:val="auto"/>
          <w:highlight w:val="none"/>
        </w:rPr>
        <w:t>雅苑大厦6层     </w:t>
      </w:r>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传真：0574-87167311           </w:t>
      </w:r>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项目联系人（询问）：王工             </w:t>
      </w:r>
    </w:p>
    <w:p>
      <w:pPr>
        <w:spacing w:line="400" w:lineRule="exact"/>
        <w:ind w:firstLine="420" w:firstLineChars="200"/>
        <w:rPr>
          <w:rFonts w:hint="default" w:ascii="宋体" w:hAnsi="宋体" w:eastAsia="宋体" w:cs="宋体"/>
          <w:color w:val="auto"/>
          <w:highlight w:val="none"/>
          <w:lang w:val="en-US" w:eastAsia="zh-CN"/>
        </w:rPr>
      </w:pPr>
      <w:r>
        <w:rPr>
          <w:rFonts w:hint="eastAsia" w:ascii="宋体" w:hAnsi="宋体" w:cs="宋体"/>
          <w:color w:val="auto"/>
          <w:highlight w:val="none"/>
        </w:rPr>
        <w:t>项目联系方式（询问）：1898931</w:t>
      </w:r>
      <w:r>
        <w:rPr>
          <w:rFonts w:hint="eastAsia" w:ascii="宋体" w:hAnsi="宋体" w:cs="宋体"/>
          <w:color w:val="auto"/>
          <w:highlight w:val="none"/>
          <w:lang w:val="en-US" w:eastAsia="zh-CN"/>
        </w:rPr>
        <w:t>9878</w:t>
      </w:r>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质疑联系人：赖</w:t>
      </w:r>
      <w:r>
        <w:rPr>
          <w:rFonts w:hint="eastAsia" w:ascii="宋体" w:hAnsi="宋体" w:cs="宋体"/>
          <w:color w:val="auto"/>
          <w:highlight w:val="none"/>
          <w:lang w:val="en-US" w:eastAsia="zh-CN"/>
        </w:rPr>
        <w:t>工</w:t>
      </w:r>
      <w:r>
        <w:rPr>
          <w:rFonts w:hint="eastAsia" w:ascii="宋体" w:hAnsi="宋体" w:cs="宋体"/>
          <w:color w:val="auto"/>
          <w:highlight w:val="none"/>
        </w:rPr>
        <w:t>            </w:t>
      </w:r>
    </w:p>
    <w:p>
      <w:pPr>
        <w:spacing w:line="400" w:lineRule="exact"/>
        <w:ind w:left="420" w:leftChars="200"/>
        <w:rPr>
          <w:rFonts w:ascii="宋体" w:hAnsi="宋体" w:cs="宋体"/>
          <w:color w:val="auto"/>
          <w:highlight w:val="none"/>
        </w:rPr>
      </w:pPr>
      <w:r>
        <w:rPr>
          <w:rFonts w:hint="eastAsia" w:ascii="宋体" w:hAnsi="宋体" w:cs="宋体"/>
          <w:color w:val="auto"/>
          <w:highlight w:val="none"/>
        </w:rPr>
        <w:t>质疑联系方式：0574-87811096</w:t>
      </w:r>
    </w:p>
    <w:p>
      <w:pPr>
        <w:spacing w:line="400" w:lineRule="exact"/>
        <w:ind w:firstLine="315" w:firstLineChars="150"/>
        <w:rPr>
          <w:rFonts w:ascii="宋体" w:hAnsi="宋体" w:cs="宋体"/>
          <w:color w:val="auto"/>
          <w:highlight w:val="none"/>
        </w:rPr>
      </w:pPr>
      <w:r>
        <w:rPr>
          <w:rFonts w:hint="eastAsia" w:ascii="宋体" w:hAnsi="宋体" w:cs="宋体"/>
          <w:color w:val="auto"/>
          <w:highlight w:val="none"/>
        </w:rPr>
        <w:t>3.同级政府采购监督管理部门            </w:t>
      </w:r>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名称：</w:t>
      </w:r>
      <w:r>
        <w:rPr>
          <w:rFonts w:hint="eastAsia" w:ascii="宋体" w:hAnsi="宋体" w:cs="宋体"/>
          <w:color w:val="auto"/>
          <w:highlight w:val="none"/>
          <w:lang w:eastAsia="zh-CN"/>
        </w:rPr>
        <w:t>宁波市江北区城市建设投资发展有限公司</w:t>
      </w:r>
      <w:r>
        <w:rPr>
          <w:rFonts w:hint="eastAsia" w:ascii="宋体" w:hAnsi="宋体" w:cs="宋体"/>
          <w:color w:val="auto"/>
          <w:highlight w:val="none"/>
        </w:rPr>
        <w:t>           </w:t>
      </w:r>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地址：</w:t>
      </w:r>
      <w:r>
        <w:rPr>
          <w:rFonts w:hint="eastAsia" w:ascii="宋体" w:hAnsi="宋体" w:cs="宋体"/>
          <w:color w:val="auto"/>
          <w:kern w:val="0"/>
          <w:highlight w:val="none"/>
        </w:rPr>
        <w:t>浙江省宁波市江北区北岸财富中心7幢</w:t>
      </w:r>
      <w:r>
        <w:rPr>
          <w:rFonts w:hint="eastAsia" w:ascii="宋体" w:hAnsi="宋体" w:cs="宋体"/>
          <w:color w:val="auto"/>
          <w:highlight w:val="none"/>
        </w:rPr>
        <w:t>            </w:t>
      </w:r>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传真：/             </w:t>
      </w:r>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联系人 ：</w:t>
      </w:r>
      <w:r>
        <w:rPr>
          <w:rFonts w:hint="eastAsia" w:ascii="宋体" w:hAnsi="宋体" w:cs="宋体"/>
          <w:color w:val="auto"/>
          <w:kern w:val="0"/>
          <w:highlight w:val="none"/>
          <w:lang w:val="en-US" w:eastAsia="zh-CN"/>
        </w:rPr>
        <w:t>王</w:t>
      </w:r>
      <w:r>
        <w:rPr>
          <w:rFonts w:hint="eastAsia" w:ascii="宋体" w:hAnsi="宋体" w:cs="宋体"/>
          <w:color w:val="auto"/>
          <w:kern w:val="0"/>
          <w:highlight w:val="none"/>
        </w:rPr>
        <w:t>老师</w:t>
      </w:r>
      <w:r>
        <w:rPr>
          <w:rFonts w:hint="eastAsia" w:ascii="宋体" w:hAnsi="宋体" w:cs="宋体"/>
          <w:color w:val="auto"/>
          <w:highlight w:val="none"/>
        </w:rPr>
        <w:t>             </w:t>
      </w:r>
    </w:p>
    <w:p>
      <w:pPr>
        <w:spacing w:line="400" w:lineRule="exact"/>
        <w:ind w:firstLine="420" w:firstLineChars="200"/>
        <w:jc w:val="left"/>
        <w:rPr>
          <w:rFonts w:ascii="宋体" w:hAnsi="宋体" w:cs="宋体"/>
          <w:color w:val="auto"/>
          <w:highlight w:val="none"/>
        </w:rPr>
      </w:pPr>
      <w:r>
        <w:rPr>
          <w:rFonts w:hint="eastAsia" w:ascii="宋体" w:hAnsi="宋体" w:cs="宋体"/>
          <w:color w:val="auto"/>
          <w:highlight w:val="none"/>
        </w:rPr>
        <w:t>监督投诉电话：0574-</w:t>
      </w:r>
      <w:r>
        <w:rPr>
          <w:rFonts w:hint="eastAsia" w:ascii="宋体" w:hAnsi="宋体" w:cs="宋体"/>
          <w:color w:val="auto"/>
          <w:kern w:val="0"/>
          <w:highlight w:val="none"/>
        </w:rPr>
        <w:t>87</w:t>
      </w:r>
      <w:r>
        <w:rPr>
          <w:rFonts w:hint="eastAsia" w:ascii="宋体" w:hAnsi="宋体" w:cs="宋体"/>
          <w:color w:val="auto"/>
          <w:kern w:val="0"/>
          <w:highlight w:val="none"/>
          <w:lang w:val="en-US" w:eastAsia="zh-CN"/>
        </w:rPr>
        <w:t>217632</w:t>
      </w:r>
    </w:p>
    <w:p>
      <w:pPr>
        <w:spacing w:line="400" w:lineRule="exact"/>
        <w:ind w:firstLine="420" w:firstLineChars="200"/>
        <w:jc w:val="left"/>
        <w:rPr>
          <w:rFonts w:ascii="宋体" w:hAnsi="宋体" w:cs="宋体"/>
          <w:color w:val="auto"/>
          <w:highlight w:val="none"/>
        </w:rPr>
      </w:pPr>
      <w:r>
        <w:rPr>
          <w:rFonts w:hint="eastAsia" w:ascii="宋体" w:hAnsi="宋体" w:cs="宋体"/>
          <w:color w:val="auto"/>
          <w:highlight w:val="none"/>
        </w:rPr>
        <w:t xml:space="preserve">若对项目采购电子交易系统操作有疑问，可登录政采云（https://www.zcygov.cn/），点击右侧咨询小采，获取采小蜜智能服务管家帮助，或拨打政采云服务热线400-881-7190获取热线服务帮助。       </w:t>
      </w:r>
    </w:p>
    <w:p>
      <w:pPr>
        <w:pStyle w:val="37"/>
        <w:rPr>
          <w:color w:val="auto"/>
          <w:highlight w:val="none"/>
        </w:rPr>
      </w:pPr>
      <w:r>
        <w:rPr>
          <w:rFonts w:hint="eastAsia" w:ascii="宋体" w:hAnsi="宋体" w:cs="宋体"/>
          <w:color w:val="auto"/>
          <w:highlight w:val="none"/>
        </w:rPr>
        <w:t>CA问题联系电话（人工）：汇信CA 400-888-4636；天谷CA 400-087-819</w:t>
      </w:r>
      <w:r>
        <w:rPr>
          <w:rFonts w:hint="eastAsia" w:ascii="宋体" w:hAnsi="宋体" w:cs="宋体"/>
          <w:color w:val="auto"/>
          <w:highlight w:val="none"/>
          <w:lang w:val="en-US" w:eastAsia="zh-CN"/>
        </w:rPr>
        <w:t>8</w:t>
      </w:r>
      <w:r>
        <w:rPr>
          <w:rFonts w:hint="eastAsia" w:ascii="宋体" w:hAnsi="宋体" w:cs="宋体"/>
          <w:color w:val="auto"/>
          <w:highlight w:val="none"/>
        </w:rPr>
        <w:t>。</w:t>
      </w:r>
    </w:p>
    <w:p>
      <w:pPr>
        <w:widowControl/>
        <w:adjustRightInd w:val="0"/>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 xml:space="preserve">          </w:t>
      </w:r>
    </w:p>
    <w:p>
      <w:pPr>
        <w:widowControl/>
        <w:jc w:val="left"/>
        <w:rPr>
          <w:rFonts w:ascii="宋体" w:hAnsi="宋体" w:cs="宋体"/>
          <w:color w:val="auto"/>
          <w:sz w:val="28"/>
          <w:highlight w:val="none"/>
        </w:rPr>
        <w:sectPr>
          <w:pgSz w:w="11906" w:h="16838"/>
          <w:pgMar w:top="1440" w:right="1286" w:bottom="1318" w:left="1380" w:header="851" w:footer="992" w:gutter="0"/>
          <w:pgBorders>
            <w:top w:val="none" w:sz="0" w:space="0"/>
            <w:left w:val="none" w:sz="0" w:space="0"/>
            <w:bottom w:val="none" w:sz="0" w:space="0"/>
            <w:right w:val="none" w:sz="0" w:space="0"/>
          </w:pgBorders>
          <w:cols w:space="720" w:num="1"/>
          <w:docGrid w:type="lines" w:linePitch="312" w:charSpace="0"/>
        </w:sectPr>
      </w:pPr>
    </w:p>
    <w:p>
      <w:pPr>
        <w:tabs>
          <w:tab w:val="left" w:pos="921"/>
        </w:tabs>
        <w:jc w:val="center"/>
        <w:rPr>
          <w:rFonts w:hint="eastAsia" w:ascii="宋体" w:hAnsi="宋体" w:eastAsia="宋体" w:cs="宋体"/>
          <w:b/>
          <w:bCs/>
          <w:color w:val="auto"/>
          <w:sz w:val="28"/>
          <w:szCs w:val="28"/>
          <w:highlight w:val="none"/>
          <w:lang w:eastAsia="zh-CN"/>
        </w:rPr>
      </w:pPr>
      <w:bookmarkStart w:id="5" w:name="_Toc20566"/>
      <w:bookmarkStart w:id="6" w:name="_Toc55909254"/>
      <w:r>
        <w:rPr>
          <w:rFonts w:hint="eastAsia" w:ascii="宋体" w:hAnsi="宋体" w:cs="宋体"/>
          <w:b/>
          <w:bCs/>
          <w:color w:val="auto"/>
          <w:sz w:val="28"/>
          <w:szCs w:val="28"/>
          <w:highlight w:val="none"/>
        </w:rPr>
        <w:t>第二部分 采购需求</w:t>
      </w:r>
      <w:bookmarkEnd w:id="5"/>
      <w:bookmarkEnd w:id="6"/>
    </w:p>
    <w:p>
      <w:pPr>
        <w:widowControl/>
        <w:spacing w:before="156" w:beforeLines="50" w:after="156" w:afterLines="50" w:line="360" w:lineRule="auto"/>
        <w:rPr>
          <w:rFonts w:hint="eastAsia" w:ascii="宋体" w:hAnsi="宋体" w:cs="宋体"/>
          <w:color w:val="auto"/>
          <w:highlight w:val="none"/>
        </w:rPr>
      </w:pPr>
      <w:bookmarkStart w:id="7" w:name="_Toc26798"/>
      <w:bookmarkStart w:id="8" w:name="_Toc55909255"/>
      <w:r>
        <w:rPr>
          <w:rFonts w:hint="eastAsia" w:ascii="宋体" w:hAnsi="宋体" w:cs="宋体"/>
          <w:bCs/>
          <w:color w:val="auto"/>
          <w:highlight w:val="none"/>
        </w:rPr>
        <w:t>一、项目概况</w:t>
      </w:r>
    </w:p>
    <w:p>
      <w:pPr>
        <w:widowControl/>
        <w:spacing w:line="400" w:lineRule="exact"/>
        <w:ind w:firstLine="420" w:firstLineChars="200"/>
        <w:rPr>
          <w:rFonts w:hint="default" w:ascii="宋体" w:hAnsi="宋体" w:cs="宋体"/>
          <w:color w:val="auto"/>
          <w:highlight w:val="none"/>
          <w:lang w:val="en-US"/>
        </w:rPr>
      </w:pPr>
      <w:r>
        <w:rPr>
          <w:rFonts w:hint="eastAsia" w:ascii="宋体" w:hAnsi="宋体" w:cs="宋体"/>
          <w:color w:val="auto"/>
          <w:highlight w:val="none"/>
        </w:rPr>
        <w:t>本项目坐落于宁波市庄桥街道谢家村，东至规划路，南至云飞路，西至北海路，北至规划路。总用地面积为25560㎡，总建筑面积为60690.18m</w:t>
      </w:r>
      <w:r>
        <w:rPr>
          <w:rFonts w:hint="eastAsia" w:ascii="宋体" w:hAnsi="宋体" w:cs="宋体"/>
          <w:color w:val="auto"/>
          <w:highlight w:val="none"/>
          <w:vertAlign w:val="superscript"/>
        </w:rPr>
        <w:t>2</w:t>
      </w:r>
      <w:r>
        <w:rPr>
          <w:rFonts w:hint="eastAsia" w:ascii="宋体" w:hAnsi="宋体" w:cs="宋体"/>
          <w:color w:val="auto"/>
          <w:highlight w:val="none"/>
        </w:rPr>
        <w:t xml:space="preserve">（以最终实测面积为准）,由6幢房子组成，均为沿东西向布置，其中1号楼至4号楼为住宅，层数6至18层不等，均为电梯公寓，户型包括40㎡和60㎡两种，全部为精装修标配房间，总户数为814户；5号楼、6号楼为商业用房、配套用房、社区配套服务用房等。本项目主、次入口各一个，均位于项目北侧规划路。本项目考虑局部人车分流设计，配备地下停车场，共152个，并充分考虑承租户的非机动车停放问题，按每户2个非机动车位标准配备，半地下室及地下室为集中停放非机动车。项目已于2011年9月开工，2014年5月竣工。 </w:t>
      </w:r>
      <w:r>
        <w:rPr>
          <w:rFonts w:hint="eastAsia" w:ascii="宋体" w:hAnsi="宋体" w:cs="宋体"/>
          <w:color w:val="auto"/>
          <w:highlight w:val="none"/>
          <w:lang w:val="en-US" w:eastAsia="zh-CN"/>
        </w:rPr>
        <w:t>本项目的预算金额为</w:t>
      </w:r>
      <w:r>
        <w:rPr>
          <w:rFonts w:hint="eastAsia" w:cs="宋体"/>
          <w:color w:val="auto"/>
          <w:kern w:val="0"/>
          <w:szCs w:val="21"/>
          <w:highlight w:val="none"/>
          <w:lang w:val="en-US" w:eastAsia="zh-CN"/>
        </w:rPr>
        <w:t>1020000元/年。</w:t>
      </w:r>
    </w:p>
    <w:p>
      <w:pPr>
        <w:widowControl/>
        <w:spacing w:line="360" w:lineRule="auto"/>
        <w:ind w:firstLine="420" w:firstLineChars="200"/>
        <w:jc w:val="left"/>
        <w:rPr>
          <w:rFonts w:hint="eastAsia" w:ascii="宋体" w:hAnsi="宋体" w:cs="宋体"/>
          <w:color w:val="auto"/>
          <w:highlight w:val="none"/>
        </w:rPr>
      </w:pPr>
      <w:r>
        <w:rPr>
          <w:rFonts w:hint="eastAsia" w:ascii="宋体" w:hAnsi="宋体" w:cs="宋体"/>
          <w:color w:val="auto"/>
          <w:highlight w:val="none"/>
        </w:rPr>
        <w:t>本项目为公共租赁房小区，承租住户为江北区符合公共租赁住房保障条件的家庭或个人，其租赁资格由江北区住房保障中心核准，合同租期1～3年，实施动态管理。</w:t>
      </w:r>
    </w:p>
    <w:p>
      <w:pPr>
        <w:widowControl/>
        <w:spacing w:line="360" w:lineRule="auto"/>
        <w:ind w:firstLine="420" w:firstLineChars="200"/>
        <w:jc w:val="left"/>
        <w:rPr>
          <w:rFonts w:hint="eastAsia" w:ascii="宋体" w:hAnsi="宋体" w:cs="宋体"/>
          <w:color w:val="auto"/>
          <w:highlight w:val="none"/>
        </w:rPr>
      </w:pPr>
      <w:r>
        <w:rPr>
          <w:rFonts w:hint="eastAsia" w:ascii="宋体" w:hAnsi="宋体" w:cs="宋体"/>
          <w:color w:val="auto"/>
          <w:highlight w:val="none"/>
        </w:rPr>
        <w:t>（一） 主要技术经济指标（面积以产权登记为准）：</w:t>
      </w:r>
    </w:p>
    <w:p>
      <w:pPr>
        <w:widowControl/>
        <w:spacing w:line="360" w:lineRule="auto"/>
        <w:ind w:firstLine="420" w:firstLineChars="200"/>
        <w:jc w:val="left"/>
        <w:rPr>
          <w:rFonts w:hint="eastAsia" w:ascii="宋体" w:hAnsi="宋体" w:cs="宋体"/>
          <w:color w:val="auto"/>
          <w:highlight w:val="none"/>
        </w:rPr>
      </w:pPr>
      <w:r>
        <w:rPr>
          <w:rFonts w:hint="eastAsia" w:ascii="宋体" w:hAnsi="宋体" w:cs="宋体"/>
          <w:color w:val="auto"/>
          <w:highlight w:val="none"/>
        </w:rPr>
        <w:t>1、小区总用地面积25560 m²；</w:t>
      </w:r>
    </w:p>
    <w:p>
      <w:pPr>
        <w:widowControl/>
        <w:spacing w:line="360" w:lineRule="auto"/>
        <w:ind w:firstLine="420" w:firstLineChars="200"/>
        <w:jc w:val="left"/>
        <w:rPr>
          <w:rFonts w:hint="eastAsia" w:ascii="宋体" w:hAnsi="宋体" w:cs="宋体"/>
          <w:color w:val="auto"/>
          <w:highlight w:val="none"/>
        </w:rPr>
      </w:pPr>
      <w:r>
        <w:rPr>
          <w:rFonts w:hint="eastAsia" w:ascii="宋体" w:hAnsi="宋体" w:cs="宋体"/>
          <w:color w:val="auto"/>
          <w:highlight w:val="none"/>
        </w:rPr>
        <w:t>2、总建筑面积60690.18 m²；</w:t>
      </w:r>
    </w:p>
    <w:p>
      <w:pPr>
        <w:widowControl/>
        <w:spacing w:line="360" w:lineRule="auto"/>
        <w:ind w:firstLine="420" w:firstLineChars="200"/>
        <w:jc w:val="left"/>
        <w:rPr>
          <w:rFonts w:hint="eastAsia" w:ascii="宋体" w:hAnsi="宋体" w:cs="宋体"/>
          <w:color w:val="auto"/>
          <w:highlight w:val="none"/>
        </w:rPr>
      </w:pPr>
      <w:r>
        <w:rPr>
          <w:rFonts w:hint="eastAsia" w:ascii="宋体" w:hAnsi="宋体" w:cs="宋体"/>
          <w:color w:val="auto"/>
          <w:highlight w:val="none"/>
        </w:rPr>
        <w:t>3、住宅面积39651.61 m²，其中高层物业费1.90元/月/m²，小高层物业费1.55元/月/m²，多层物业费1.10元/月/m²，办公面积3008.13m²，物业费2.50元/月/m²，商业面积2912.72 m²，物业费2.20元/月/m²；</w:t>
      </w:r>
    </w:p>
    <w:p>
      <w:pPr>
        <w:widowControl/>
        <w:spacing w:line="360" w:lineRule="auto"/>
        <w:ind w:firstLine="420" w:firstLineChars="200"/>
        <w:jc w:val="left"/>
        <w:rPr>
          <w:rFonts w:hint="eastAsia" w:ascii="宋体" w:hAnsi="宋体" w:cs="宋体"/>
          <w:color w:val="auto"/>
          <w:highlight w:val="none"/>
        </w:rPr>
      </w:pPr>
      <w:r>
        <w:rPr>
          <w:rFonts w:hint="eastAsia" w:ascii="宋体" w:hAnsi="宋体" w:cs="宋体"/>
          <w:color w:val="auto"/>
          <w:highlight w:val="none"/>
        </w:rPr>
        <w:t>4、社区用房412.95 m²；</w:t>
      </w:r>
    </w:p>
    <w:p>
      <w:pPr>
        <w:widowControl/>
        <w:spacing w:line="360" w:lineRule="auto"/>
        <w:ind w:firstLine="420" w:firstLineChars="200"/>
        <w:jc w:val="left"/>
        <w:rPr>
          <w:rFonts w:hint="eastAsia" w:ascii="宋体" w:hAnsi="宋体" w:cs="宋体"/>
          <w:color w:val="auto"/>
          <w:highlight w:val="none"/>
        </w:rPr>
      </w:pPr>
      <w:r>
        <w:rPr>
          <w:rFonts w:hint="eastAsia" w:ascii="宋体" w:hAnsi="宋体" w:cs="宋体"/>
          <w:color w:val="auto"/>
          <w:highlight w:val="none"/>
        </w:rPr>
        <w:t>5、物业管理用房162.16 m²，物业经营用房232.30 m²，增配物业经营用房229 m²；</w:t>
      </w:r>
    </w:p>
    <w:p>
      <w:pPr>
        <w:widowControl/>
        <w:spacing w:line="360" w:lineRule="auto"/>
        <w:ind w:firstLine="420" w:firstLineChars="200"/>
        <w:jc w:val="left"/>
        <w:rPr>
          <w:rFonts w:hint="eastAsia" w:ascii="宋体" w:hAnsi="宋体" w:cs="宋体"/>
          <w:color w:val="auto"/>
          <w:highlight w:val="none"/>
        </w:rPr>
      </w:pPr>
      <w:r>
        <w:rPr>
          <w:rFonts w:hint="eastAsia" w:ascii="宋体" w:hAnsi="宋体" w:cs="宋体"/>
          <w:color w:val="auto"/>
          <w:highlight w:val="none"/>
        </w:rPr>
        <w:t>6、租赁服务中心用房986 m²；</w:t>
      </w:r>
    </w:p>
    <w:p>
      <w:pPr>
        <w:widowControl/>
        <w:spacing w:line="360" w:lineRule="auto"/>
        <w:ind w:firstLine="420" w:firstLineChars="200"/>
        <w:jc w:val="left"/>
        <w:rPr>
          <w:rFonts w:hint="eastAsia" w:ascii="宋体" w:hAnsi="宋体" w:cs="宋体"/>
          <w:color w:val="auto"/>
          <w:highlight w:val="none"/>
        </w:rPr>
      </w:pPr>
      <w:r>
        <w:rPr>
          <w:rFonts w:hint="eastAsia" w:ascii="宋体" w:hAnsi="宋体" w:cs="宋体"/>
          <w:color w:val="auto"/>
          <w:highlight w:val="none"/>
        </w:rPr>
        <w:t>7、电信、电视机房及设备间56.07 m²，门卫、消控室、垃圾房107.12 m²；</w:t>
      </w:r>
    </w:p>
    <w:p>
      <w:pPr>
        <w:widowControl/>
        <w:spacing w:line="360" w:lineRule="auto"/>
        <w:ind w:firstLine="420" w:firstLineChars="200"/>
        <w:jc w:val="left"/>
        <w:rPr>
          <w:rFonts w:hint="eastAsia" w:ascii="宋体" w:hAnsi="宋体" w:cs="宋体"/>
          <w:color w:val="auto"/>
          <w:highlight w:val="none"/>
        </w:rPr>
      </w:pPr>
      <w:r>
        <w:rPr>
          <w:rFonts w:hint="eastAsia" w:ascii="宋体" w:hAnsi="宋体" w:cs="宋体"/>
          <w:color w:val="auto"/>
          <w:highlight w:val="none"/>
        </w:rPr>
        <w:t>8、配电房191.06 m²；</w:t>
      </w:r>
    </w:p>
    <w:p>
      <w:pPr>
        <w:widowControl/>
        <w:spacing w:line="360" w:lineRule="auto"/>
        <w:ind w:firstLine="420" w:firstLineChars="200"/>
        <w:jc w:val="left"/>
        <w:rPr>
          <w:rFonts w:hint="eastAsia" w:ascii="宋体" w:hAnsi="宋体" w:cs="宋体"/>
          <w:color w:val="auto"/>
          <w:highlight w:val="none"/>
        </w:rPr>
      </w:pPr>
      <w:r>
        <w:rPr>
          <w:rFonts w:hint="eastAsia" w:ascii="宋体" w:hAnsi="宋体" w:cs="宋体"/>
          <w:color w:val="auto"/>
          <w:highlight w:val="none"/>
        </w:rPr>
        <w:t>9、半地下室非机动车库及设备用房2797.73 m²，地下停车库、设备用房6080.09 m²；</w:t>
      </w:r>
    </w:p>
    <w:p>
      <w:pPr>
        <w:widowControl/>
        <w:spacing w:line="360" w:lineRule="auto"/>
        <w:ind w:firstLine="420" w:firstLineChars="200"/>
        <w:jc w:val="left"/>
        <w:rPr>
          <w:rFonts w:hint="eastAsia" w:ascii="宋体" w:hAnsi="宋体" w:cs="宋体"/>
          <w:color w:val="auto"/>
          <w:highlight w:val="none"/>
        </w:rPr>
      </w:pPr>
      <w:r>
        <w:rPr>
          <w:rFonts w:hint="eastAsia" w:ascii="宋体" w:hAnsi="宋体" w:cs="宋体"/>
          <w:color w:val="auto"/>
          <w:highlight w:val="none"/>
        </w:rPr>
        <w:t>10、停车位共计178辆，其中地面停车位26辆，地下停车位152辆；</w:t>
      </w:r>
    </w:p>
    <w:p>
      <w:pPr>
        <w:widowControl/>
        <w:spacing w:line="360" w:lineRule="auto"/>
        <w:ind w:firstLine="420" w:firstLineChars="200"/>
        <w:jc w:val="left"/>
        <w:rPr>
          <w:rFonts w:hint="eastAsia" w:ascii="宋体" w:hAnsi="宋体" w:cs="宋体"/>
          <w:color w:val="auto"/>
          <w:highlight w:val="none"/>
        </w:rPr>
      </w:pPr>
      <w:r>
        <w:rPr>
          <w:rFonts w:hint="eastAsia" w:ascii="宋体" w:hAnsi="宋体" w:cs="宋体"/>
          <w:color w:val="auto"/>
          <w:highlight w:val="none"/>
        </w:rPr>
        <w:t>11、人防工程建筑面积为3497.05 m²；</w:t>
      </w:r>
    </w:p>
    <w:p>
      <w:pPr>
        <w:widowControl/>
        <w:spacing w:line="360" w:lineRule="auto"/>
        <w:ind w:firstLine="420" w:firstLineChars="200"/>
        <w:jc w:val="left"/>
        <w:rPr>
          <w:rFonts w:hint="eastAsia" w:ascii="宋体" w:hAnsi="宋体" w:cs="宋体"/>
          <w:color w:val="auto"/>
          <w:highlight w:val="none"/>
        </w:rPr>
      </w:pPr>
      <w:r>
        <w:rPr>
          <w:rFonts w:hint="eastAsia" w:ascii="宋体" w:hAnsi="宋体" w:cs="宋体"/>
          <w:color w:val="auto"/>
          <w:highlight w:val="none"/>
        </w:rPr>
        <w:t>12、住宅总户数为814户。</w:t>
      </w:r>
    </w:p>
    <w:p>
      <w:pPr>
        <w:widowControl/>
        <w:spacing w:line="360" w:lineRule="auto"/>
        <w:ind w:firstLine="420" w:firstLineChars="200"/>
        <w:jc w:val="left"/>
        <w:rPr>
          <w:rFonts w:hint="eastAsia" w:ascii="宋体" w:hAnsi="宋体" w:cs="宋体"/>
          <w:color w:val="auto"/>
          <w:highlight w:val="none"/>
        </w:rPr>
      </w:pPr>
      <w:r>
        <w:rPr>
          <w:rFonts w:hint="eastAsia" w:ascii="宋体" w:hAnsi="宋体" w:cs="宋体"/>
          <w:color w:val="auto"/>
          <w:highlight w:val="none"/>
        </w:rPr>
        <w:t>（二）总平面规划</w:t>
      </w:r>
    </w:p>
    <w:p>
      <w:pPr>
        <w:widowControl/>
        <w:spacing w:line="360" w:lineRule="auto"/>
        <w:ind w:firstLine="420" w:firstLineChars="200"/>
        <w:jc w:val="left"/>
        <w:rPr>
          <w:rFonts w:hint="eastAsia" w:ascii="宋体" w:hAnsi="宋体" w:cs="宋体"/>
          <w:color w:val="auto"/>
          <w:highlight w:val="none"/>
        </w:rPr>
      </w:pPr>
      <w:r>
        <w:rPr>
          <w:rFonts w:hint="eastAsia" w:ascii="宋体" w:hAnsi="宋体" w:cs="宋体"/>
          <w:color w:val="auto"/>
          <w:highlight w:val="none"/>
        </w:rPr>
        <w:t>1、平面布置</w:t>
      </w:r>
    </w:p>
    <w:p>
      <w:pPr>
        <w:widowControl/>
        <w:spacing w:line="360" w:lineRule="auto"/>
        <w:ind w:firstLine="420" w:firstLineChars="200"/>
        <w:jc w:val="left"/>
        <w:rPr>
          <w:rFonts w:hint="eastAsia" w:ascii="宋体" w:hAnsi="宋体" w:cs="宋体"/>
          <w:color w:val="auto"/>
          <w:highlight w:val="none"/>
        </w:rPr>
      </w:pPr>
      <w:r>
        <w:rPr>
          <w:rFonts w:hint="eastAsia" w:ascii="宋体" w:hAnsi="宋体" w:cs="宋体"/>
          <w:color w:val="auto"/>
          <w:highlight w:val="none"/>
        </w:rPr>
        <w:t>小区有6幢单体住宅，分为2幢高层、1幢小高层和3幢多层；小区独立配置租赁服务中心，并辅以商业及相关配套设施。</w:t>
      </w:r>
    </w:p>
    <w:p>
      <w:pPr>
        <w:widowControl/>
        <w:spacing w:line="360" w:lineRule="auto"/>
        <w:ind w:firstLine="420" w:firstLineChars="200"/>
        <w:jc w:val="left"/>
        <w:rPr>
          <w:rFonts w:hint="eastAsia" w:ascii="宋体" w:hAnsi="宋体" w:cs="宋体"/>
          <w:color w:val="auto"/>
          <w:highlight w:val="none"/>
        </w:rPr>
      </w:pPr>
      <w:r>
        <w:rPr>
          <w:rFonts w:hint="eastAsia" w:ascii="宋体" w:hAnsi="宋体" w:cs="宋体"/>
          <w:color w:val="auto"/>
          <w:highlight w:val="none"/>
        </w:rPr>
        <w:t>2、道路规划</w:t>
      </w:r>
    </w:p>
    <w:p>
      <w:pPr>
        <w:widowControl/>
        <w:spacing w:line="360" w:lineRule="auto"/>
        <w:ind w:firstLine="420" w:firstLineChars="200"/>
        <w:jc w:val="left"/>
        <w:rPr>
          <w:rFonts w:hint="eastAsia" w:ascii="宋体" w:hAnsi="宋体" w:cs="宋体"/>
          <w:color w:val="auto"/>
          <w:highlight w:val="none"/>
        </w:rPr>
      </w:pPr>
      <w:r>
        <w:rPr>
          <w:rFonts w:hint="eastAsia" w:ascii="宋体" w:hAnsi="宋体" w:cs="宋体"/>
          <w:color w:val="auto"/>
          <w:highlight w:val="none"/>
        </w:rPr>
        <w:t>小区主次入口各一个，均布置在小区北面，沿规划路。</w:t>
      </w:r>
    </w:p>
    <w:p>
      <w:pPr>
        <w:widowControl/>
        <w:spacing w:line="360" w:lineRule="auto"/>
        <w:ind w:firstLine="420" w:firstLineChars="200"/>
        <w:jc w:val="left"/>
        <w:rPr>
          <w:rFonts w:hint="eastAsia" w:ascii="宋体" w:hAnsi="宋体" w:cs="宋体"/>
          <w:color w:val="auto"/>
          <w:highlight w:val="none"/>
        </w:rPr>
      </w:pPr>
      <w:r>
        <w:rPr>
          <w:rFonts w:hint="eastAsia" w:ascii="宋体" w:hAnsi="宋体" w:cs="宋体"/>
          <w:color w:val="auto"/>
          <w:highlight w:val="none"/>
        </w:rPr>
        <w:t>3、小区绿化</w:t>
      </w:r>
    </w:p>
    <w:p>
      <w:pPr>
        <w:widowControl/>
        <w:spacing w:line="360" w:lineRule="auto"/>
        <w:ind w:firstLine="420" w:firstLineChars="200"/>
        <w:jc w:val="left"/>
        <w:rPr>
          <w:rFonts w:hint="eastAsia" w:ascii="宋体" w:hAnsi="宋体" w:cs="宋体"/>
          <w:color w:val="auto"/>
          <w:highlight w:val="none"/>
        </w:rPr>
      </w:pPr>
      <w:r>
        <w:rPr>
          <w:rFonts w:hint="eastAsia" w:ascii="宋体" w:hAnsi="宋体" w:cs="宋体"/>
          <w:color w:val="auto"/>
          <w:highlight w:val="none"/>
        </w:rPr>
        <w:t>小区景观体现均好性，并配置一些休闲健身设施。</w:t>
      </w:r>
    </w:p>
    <w:p>
      <w:pPr>
        <w:widowControl/>
        <w:spacing w:line="360" w:lineRule="auto"/>
        <w:ind w:firstLine="420" w:firstLineChars="200"/>
        <w:jc w:val="left"/>
        <w:rPr>
          <w:rFonts w:hint="eastAsia" w:ascii="宋体" w:hAnsi="宋体" w:cs="宋体"/>
          <w:color w:val="auto"/>
          <w:highlight w:val="none"/>
        </w:rPr>
      </w:pPr>
      <w:r>
        <w:rPr>
          <w:rFonts w:hint="eastAsia" w:ascii="宋体" w:hAnsi="宋体" w:cs="宋体"/>
          <w:color w:val="auto"/>
          <w:highlight w:val="none"/>
        </w:rPr>
        <w:t>4、配套设施</w:t>
      </w:r>
    </w:p>
    <w:p>
      <w:pPr>
        <w:widowControl/>
        <w:spacing w:line="360" w:lineRule="auto"/>
        <w:ind w:firstLine="420" w:firstLineChars="200"/>
        <w:jc w:val="left"/>
        <w:rPr>
          <w:rFonts w:hint="eastAsia" w:ascii="宋体" w:hAnsi="宋体" w:cs="宋体"/>
          <w:color w:val="auto"/>
          <w:highlight w:val="none"/>
        </w:rPr>
      </w:pPr>
      <w:r>
        <w:rPr>
          <w:rFonts w:hint="eastAsia" w:ascii="宋体" w:hAnsi="宋体" w:cs="宋体"/>
          <w:color w:val="auto"/>
          <w:highlight w:val="none"/>
        </w:rPr>
        <w:t>小区按规定配置社区配套用房、物业管理用房、物业经营用房。停车位以地下停车位为主，并辅以地面停车位相结合。独立配置租赁服务中心。另外，在半地下室及地下室的位置配置非机动车位。</w:t>
      </w:r>
    </w:p>
    <w:p>
      <w:pPr>
        <w:widowControl/>
        <w:spacing w:line="360" w:lineRule="auto"/>
        <w:ind w:firstLine="420" w:firstLineChars="200"/>
        <w:jc w:val="left"/>
        <w:rPr>
          <w:rFonts w:hint="eastAsia" w:ascii="宋体" w:hAnsi="宋体" w:cs="宋体"/>
          <w:color w:val="auto"/>
          <w:highlight w:val="none"/>
        </w:rPr>
      </w:pPr>
      <w:r>
        <w:rPr>
          <w:rFonts w:hint="eastAsia" w:ascii="宋体" w:hAnsi="宋体" w:cs="宋体"/>
          <w:color w:val="auto"/>
          <w:highlight w:val="none"/>
        </w:rPr>
        <w:t>5、弱电及自动化系统</w:t>
      </w:r>
    </w:p>
    <w:p>
      <w:pPr>
        <w:widowControl/>
        <w:spacing w:line="360" w:lineRule="auto"/>
        <w:ind w:firstLine="420" w:firstLineChars="200"/>
        <w:jc w:val="left"/>
        <w:rPr>
          <w:rFonts w:hint="eastAsia" w:ascii="宋体" w:hAnsi="宋体" w:cs="宋体"/>
          <w:color w:val="auto"/>
          <w:highlight w:val="none"/>
        </w:rPr>
      </w:pPr>
      <w:r>
        <w:rPr>
          <w:rFonts w:hint="eastAsia" w:ascii="宋体" w:hAnsi="宋体" w:cs="宋体"/>
          <w:color w:val="auto"/>
          <w:highlight w:val="none"/>
        </w:rPr>
        <w:t>（1）电信机房设置在1幢的西侧，有线电视机房设置在1幢的东侧。多媒体用户箱内设电话及信息终端；有线电视每户设一路电视电缆进线；在小区中心绿地、道路交汇等处设音箱等放音设备，由管理中心控制播放音乐及广播。智能化：在小区的管理中心配置一台可视管理中心机，单元一层设置可视对讲门口机，住户室内设置彩色可视室内分机。</w:t>
      </w:r>
    </w:p>
    <w:p>
      <w:pPr>
        <w:widowControl/>
        <w:spacing w:line="360" w:lineRule="auto"/>
        <w:ind w:firstLine="420" w:firstLineChars="200"/>
        <w:jc w:val="left"/>
        <w:rPr>
          <w:rFonts w:hint="eastAsia" w:ascii="宋体" w:hAnsi="宋体" w:cs="宋体"/>
          <w:color w:val="auto"/>
          <w:highlight w:val="none"/>
        </w:rPr>
      </w:pPr>
      <w:r>
        <w:rPr>
          <w:rFonts w:hint="eastAsia" w:ascii="宋体" w:hAnsi="宋体" w:cs="宋体"/>
          <w:color w:val="auto"/>
          <w:highlight w:val="none"/>
        </w:rPr>
        <w:t>（2）闭路电视摄像监控系统：小区的周边外围、小区标准层的外廊，主次出入口、地下车库出入口、地下室及小区内主要公共配套设施、道路或路口设置摄像机，中心控制室设置在5#楼底层的西侧监控室内。</w:t>
      </w:r>
    </w:p>
    <w:p>
      <w:pPr>
        <w:widowControl/>
        <w:spacing w:line="360" w:lineRule="auto"/>
        <w:ind w:firstLine="420" w:firstLineChars="200"/>
        <w:jc w:val="left"/>
        <w:rPr>
          <w:rFonts w:hint="eastAsia" w:ascii="宋体" w:hAnsi="宋体" w:cs="宋体"/>
          <w:color w:val="auto"/>
          <w:highlight w:val="none"/>
        </w:rPr>
      </w:pPr>
      <w:r>
        <w:rPr>
          <w:rFonts w:hint="eastAsia" w:ascii="宋体" w:hAnsi="宋体" w:cs="宋体"/>
          <w:color w:val="auto"/>
          <w:highlight w:val="none"/>
        </w:rPr>
        <w:t>（3）保安电子巡更系统：在小区各个公告区域，主要出入口及重要部位制定保安人员巡更路线，并安装巡更站点。</w:t>
      </w:r>
    </w:p>
    <w:p>
      <w:pPr>
        <w:widowControl/>
        <w:spacing w:line="360" w:lineRule="auto"/>
        <w:ind w:firstLine="420" w:firstLineChars="200"/>
        <w:jc w:val="left"/>
        <w:rPr>
          <w:rFonts w:hint="eastAsia" w:ascii="宋体" w:hAnsi="宋体" w:cs="宋体"/>
          <w:color w:val="auto"/>
          <w:highlight w:val="none"/>
        </w:rPr>
      </w:pPr>
      <w:r>
        <w:rPr>
          <w:rFonts w:hint="eastAsia" w:ascii="宋体" w:hAnsi="宋体" w:cs="宋体"/>
          <w:color w:val="auto"/>
          <w:highlight w:val="none"/>
        </w:rPr>
        <w:t>（4）停车场管理系统：在小区的两个出入口和两个地下车库出入口设置停车管理系统、非接触式读卡器、自动闸门机组成停车场管理系统，系统与管理中心联网。</w:t>
      </w:r>
    </w:p>
    <w:p>
      <w:pPr>
        <w:widowControl/>
        <w:spacing w:line="360" w:lineRule="auto"/>
        <w:ind w:firstLine="420" w:firstLineChars="200"/>
        <w:jc w:val="left"/>
        <w:rPr>
          <w:rFonts w:hint="eastAsia" w:ascii="宋体" w:hAnsi="宋体" w:cs="宋体"/>
          <w:color w:val="auto"/>
          <w:highlight w:val="none"/>
        </w:rPr>
      </w:pPr>
      <w:r>
        <w:rPr>
          <w:rFonts w:hint="eastAsia" w:ascii="宋体" w:hAnsi="宋体" w:cs="宋体"/>
          <w:color w:val="auto"/>
          <w:highlight w:val="none"/>
        </w:rPr>
        <w:t>（5）门禁系统：单元入口设置IC卡门禁系统。</w:t>
      </w:r>
    </w:p>
    <w:p>
      <w:pPr>
        <w:widowControl/>
        <w:spacing w:line="360" w:lineRule="auto"/>
        <w:ind w:firstLine="420" w:firstLineChars="200"/>
        <w:jc w:val="left"/>
        <w:rPr>
          <w:rFonts w:hint="eastAsia" w:ascii="宋体" w:hAnsi="宋体" w:cs="宋体"/>
          <w:color w:val="auto"/>
          <w:highlight w:val="none"/>
        </w:rPr>
      </w:pPr>
      <w:r>
        <w:rPr>
          <w:rFonts w:hint="eastAsia" w:ascii="宋体" w:hAnsi="宋体" w:cs="宋体"/>
          <w:color w:val="auto"/>
          <w:highlight w:val="none"/>
        </w:rPr>
        <w:t>6、给水系统</w:t>
      </w:r>
    </w:p>
    <w:p>
      <w:pPr>
        <w:widowControl/>
        <w:spacing w:line="360" w:lineRule="auto"/>
        <w:ind w:firstLine="420" w:firstLineChars="200"/>
        <w:jc w:val="left"/>
        <w:rPr>
          <w:rFonts w:hint="eastAsia" w:ascii="宋体" w:hAnsi="宋体" w:cs="宋体"/>
          <w:color w:val="auto"/>
          <w:highlight w:val="none"/>
        </w:rPr>
      </w:pPr>
      <w:r>
        <w:rPr>
          <w:rFonts w:hint="eastAsia" w:ascii="宋体" w:hAnsi="宋体" w:cs="宋体"/>
          <w:color w:val="auto"/>
          <w:highlight w:val="none"/>
        </w:rPr>
        <w:t>住宅、商铺和物业采用一户一表计量；小区供水分为直供及高中区加压供水。</w:t>
      </w:r>
    </w:p>
    <w:p>
      <w:pPr>
        <w:widowControl/>
        <w:spacing w:line="360" w:lineRule="auto"/>
        <w:ind w:firstLine="420" w:firstLineChars="200"/>
        <w:jc w:val="left"/>
        <w:rPr>
          <w:rFonts w:hint="eastAsia" w:ascii="宋体" w:hAnsi="宋体" w:cs="宋体"/>
          <w:color w:val="auto"/>
          <w:highlight w:val="none"/>
        </w:rPr>
      </w:pPr>
      <w:r>
        <w:rPr>
          <w:rFonts w:hint="eastAsia" w:ascii="宋体" w:hAnsi="宋体" w:cs="宋体"/>
          <w:color w:val="auto"/>
          <w:highlight w:val="none"/>
        </w:rPr>
        <w:t>7、供电系统</w:t>
      </w:r>
    </w:p>
    <w:p>
      <w:pPr>
        <w:widowControl/>
        <w:spacing w:line="360" w:lineRule="auto"/>
        <w:ind w:firstLine="420" w:firstLineChars="200"/>
        <w:jc w:val="left"/>
        <w:rPr>
          <w:rFonts w:hint="eastAsia" w:ascii="宋体" w:hAnsi="宋体" w:cs="宋体"/>
          <w:color w:val="auto"/>
          <w:highlight w:val="none"/>
        </w:rPr>
      </w:pPr>
      <w:r>
        <w:rPr>
          <w:rFonts w:hint="eastAsia" w:ascii="宋体" w:hAnsi="宋体" w:cs="宋体"/>
          <w:color w:val="auto"/>
          <w:highlight w:val="none"/>
        </w:rPr>
        <w:t>小区内设小区变2座，配电变压器容量为4×800KVA，物业专变1个，变压器容量为2×400 KVA，商业专变1个，变压器容量为1×600 KVA。</w:t>
      </w:r>
    </w:p>
    <w:p>
      <w:pPr>
        <w:widowControl/>
        <w:spacing w:line="360" w:lineRule="auto"/>
        <w:ind w:firstLine="420" w:firstLineChars="200"/>
        <w:jc w:val="left"/>
        <w:rPr>
          <w:rFonts w:hint="eastAsia" w:ascii="宋体" w:hAnsi="宋体" w:cs="宋体"/>
          <w:color w:val="auto"/>
          <w:highlight w:val="none"/>
        </w:rPr>
      </w:pPr>
      <w:r>
        <w:rPr>
          <w:rFonts w:hint="eastAsia" w:ascii="宋体" w:hAnsi="宋体" w:cs="宋体"/>
          <w:color w:val="auto"/>
          <w:highlight w:val="none"/>
        </w:rPr>
        <w:t>8、消防系统</w:t>
      </w:r>
    </w:p>
    <w:p>
      <w:pPr>
        <w:widowControl/>
        <w:spacing w:line="360" w:lineRule="auto"/>
        <w:ind w:firstLine="420" w:firstLineChars="200"/>
        <w:jc w:val="left"/>
        <w:rPr>
          <w:rFonts w:hint="eastAsia" w:ascii="宋体" w:hAnsi="宋体" w:cs="宋体"/>
          <w:color w:val="auto"/>
          <w:highlight w:val="none"/>
        </w:rPr>
      </w:pPr>
      <w:r>
        <w:rPr>
          <w:rFonts w:hint="eastAsia" w:ascii="宋体" w:hAnsi="宋体" w:cs="宋体"/>
          <w:color w:val="auto"/>
          <w:highlight w:val="none"/>
        </w:rPr>
        <w:t>小区按规定留置消防登高面，消控中心在5#楼一层西侧。</w:t>
      </w:r>
    </w:p>
    <w:p>
      <w:pPr>
        <w:widowControl/>
        <w:spacing w:line="360" w:lineRule="auto"/>
        <w:ind w:firstLine="420" w:firstLineChars="200"/>
        <w:jc w:val="left"/>
        <w:rPr>
          <w:rFonts w:hint="eastAsia" w:ascii="宋体" w:hAnsi="宋体" w:cs="宋体"/>
          <w:color w:val="auto"/>
          <w:highlight w:val="none"/>
        </w:rPr>
      </w:pPr>
      <w:r>
        <w:rPr>
          <w:rFonts w:hint="eastAsia" w:ascii="宋体" w:hAnsi="宋体" w:cs="宋体"/>
          <w:color w:val="auto"/>
          <w:highlight w:val="none"/>
        </w:rPr>
        <w:t>消防主要设施设备：火灾自动报警系统一套，自动喷淋系统一套，每层设置消防箱，并按规定在建筑物四周设置消防栓。</w:t>
      </w:r>
    </w:p>
    <w:p>
      <w:pPr>
        <w:widowControl/>
        <w:spacing w:line="360" w:lineRule="auto"/>
        <w:ind w:firstLine="420" w:firstLineChars="200"/>
        <w:jc w:val="left"/>
        <w:rPr>
          <w:rFonts w:hint="eastAsia" w:ascii="宋体" w:hAnsi="宋体" w:cs="宋体"/>
          <w:color w:val="auto"/>
          <w:highlight w:val="none"/>
        </w:rPr>
      </w:pPr>
      <w:r>
        <w:rPr>
          <w:rFonts w:hint="eastAsia" w:ascii="宋体" w:hAnsi="宋体" w:cs="宋体"/>
          <w:color w:val="auto"/>
          <w:highlight w:val="none"/>
        </w:rPr>
        <w:t>9、排水工程</w:t>
      </w:r>
    </w:p>
    <w:p>
      <w:pPr>
        <w:widowControl/>
        <w:spacing w:line="360" w:lineRule="auto"/>
        <w:ind w:firstLine="420" w:firstLineChars="200"/>
        <w:jc w:val="left"/>
        <w:rPr>
          <w:rFonts w:hint="eastAsia" w:ascii="宋体" w:hAnsi="宋体" w:cs="宋体"/>
          <w:color w:val="auto"/>
          <w:highlight w:val="none"/>
        </w:rPr>
      </w:pPr>
      <w:r>
        <w:rPr>
          <w:rFonts w:hint="eastAsia" w:ascii="宋体" w:hAnsi="宋体" w:cs="宋体"/>
          <w:color w:val="auto"/>
          <w:highlight w:val="none"/>
        </w:rPr>
        <w:t>小区雨、污水分别采用独立系统排出室外，其中污水经化粪池处理后排入小区污水管网。</w:t>
      </w:r>
    </w:p>
    <w:p>
      <w:pPr>
        <w:widowControl/>
        <w:spacing w:line="360" w:lineRule="auto"/>
        <w:ind w:firstLine="420" w:firstLineChars="200"/>
        <w:jc w:val="left"/>
        <w:rPr>
          <w:rFonts w:hint="eastAsia" w:ascii="宋体" w:hAnsi="宋体" w:cs="宋体"/>
          <w:color w:val="auto"/>
          <w:highlight w:val="none"/>
        </w:rPr>
      </w:pPr>
      <w:r>
        <w:rPr>
          <w:rFonts w:hint="eastAsia" w:ascii="宋体" w:hAnsi="宋体" w:cs="宋体"/>
          <w:color w:val="auto"/>
          <w:highlight w:val="none"/>
        </w:rPr>
        <w:t>10、排风系统</w:t>
      </w:r>
    </w:p>
    <w:p>
      <w:pPr>
        <w:widowControl/>
        <w:spacing w:line="360" w:lineRule="auto"/>
        <w:ind w:firstLine="420" w:firstLineChars="200"/>
        <w:jc w:val="left"/>
        <w:rPr>
          <w:rFonts w:hint="eastAsia" w:ascii="宋体" w:hAnsi="宋体" w:cs="宋体"/>
          <w:color w:val="auto"/>
          <w:highlight w:val="none"/>
        </w:rPr>
      </w:pPr>
      <w:r>
        <w:rPr>
          <w:rFonts w:hint="eastAsia" w:ascii="宋体" w:hAnsi="宋体" w:cs="宋体"/>
          <w:color w:val="auto"/>
          <w:highlight w:val="none"/>
        </w:rPr>
        <w:t>地下室设通风系统，平时可用作通风换气，送风采用自然进风的方式。</w:t>
      </w:r>
    </w:p>
    <w:p>
      <w:pPr>
        <w:widowControl/>
        <w:spacing w:line="360" w:lineRule="auto"/>
        <w:ind w:firstLine="420" w:firstLineChars="200"/>
        <w:jc w:val="left"/>
        <w:rPr>
          <w:rFonts w:hint="eastAsia" w:ascii="宋体" w:hAnsi="宋体" w:cs="宋体"/>
          <w:color w:val="auto"/>
          <w:highlight w:val="none"/>
        </w:rPr>
      </w:pPr>
      <w:r>
        <w:rPr>
          <w:rFonts w:hint="eastAsia" w:ascii="宋体" w:hAnsi="宋体" w:cs="宋体"/>
          <w:color w:val="auto"/>
          <w:highlight w:val="none"/>
        </w:rPr>
        <w:t>11、电梯</w:t>
      </w:r>
    </w:p>
    <w:p>
      <w:pPr>
        <w:widowControl/>
        <w:spacing w:line="360" w:lineRule="auto"/>
        <w:ind w:firstLine="420" w:firstLineChars="200"/>
        <w:jc w:val="left"/>
        <w:rPr>
          <w:rFonts w:hint="eastAsia" w:ascii="宋体" w:hAnsi="宋体" w:cs="宋体"/>
          <w:color w:val="auto"/>
          <w:highlight w:val="none"/>
        </w:rPr>
      </w:pPr>
      <w:r>
        <w:rPr>
          <w:rFonts w:hint="eastAsia" w:ascii="宋体" w:hAnsi="宋体" w:cs="宋体"/>
          <w:color w:val="auto"/>
          <w:highlight w:val="none"/>
        </w:rPr>
        <w:t>电梯采用蒂森电梯，共17台。</w:t>
      </w:r>
    </w:p>
    <w:p>
      <w:pPr>
        <w:widowControl/>
        <w:spacing w:line="360" w:lineRule="auto"/>
        <w:ind w:firstLine="420" w:firstLineChars="200"/>
        <w:jc w:val="left"/>
        <w:rPr>
          <w:rFonts w:hint="eastAsia" w:ascii="宋体" w:hAnsi="宋体" w:cs="宋体"/>
          <w:color w:val="auto"/>
          <w:highlight w:val="none"/>
        </w:rPr>
      </w:pPr>
      <w:r>
        <w:rPr>
          <w:rFonts w:hint="eastAsia" w:ascii="宋体" w:hAnsi="宋体" w:cs="宋体"/>
          <w:color w:val="auto"/>
          <w:highlight w:val="none"/>
        </w:rPr>
        <w:t>12、太阳能系统</w:t>
      </w:r>
    </w:p>
    <w:p>
      <w:pPr>
        <w:widowControl/>
        <w:spacing w:line="360" w:lineRule="auto"/>
        <w:ind w:firstLine="420" w:firstLineChars="200"/>
        <w:jc w:val="left"/>
        <w:rPr>
          <w:rFonts w:hint="eastAsia" w:ascii="宋体" w:hAnsi="宋体" w:cs="宋体"/>
          <w:color w:val="auto"/>
          <w:highlight w:val="none"/>
        </w:rPr>
      </w:pPr>
      <w:r>
        <w:rPr>
          <w:rFonts w:hint="eastAsia" w:ascii="宋体" w:hAnsi="宋体" w:cs="宋体"/>
          <w:color w:val="auto"/>
          <w:highlight w:val="none"/>
        </w:rPr>
        <w:t>本小区1至4号楼逆二层、6号楼太阳能均采用单机系统，5号楼太阳能采用集中供热系统，并具备电辅助加热功能。</w:t>
      </w:r>
    </w:p>
    <w:p>
      <w:pPr>
        <w:widowControl/>
        <w:spacing w:line="360" w:lineRule="auto"/>
        <w:ind w:firstLine="420" w:firstLineChars="200"/>
        <w:jc w:val="left"/>
        <w:rPr>
          <w:rFonts w:hint="eastAsia" w:ascii="宋体" w:hAnsi="宋体" w:cs="宋体"/>
          <w:color w:val="auto"/>
          <w:highlight w:val="none"/>
        </w:rPr>
      </w:pPr>
      <w:r>
        <w:rPr>
          <w:rFonts w:hint="eastAsia" w:ascii="宋体" w:hAnsi="宋体" w:cs="宋体"/>
          <w:color w:val="auto"/>
          <w:highlight w:val="none"/>
        </w:rPr>
        <w:t>招标文件提供的数据资料仅为投标参考使用，详细信息投标人应自行调查核实。</w:t>
      </w:r>
    </w:p>
    <w:p>
      <w:pPr>
        <w:widowControl/>
        <w:spacing w:line="360" w:lineRule="auto"/>
        <w:jc w:val="left"/>
        <w:rPr>
          <w:rFonts w:hint="eastAsia" w:ascii="宋体" w:hAnsi="宋体" w:cs="宋体"/>
          <w:color w:val="auto"/>
          <w:highlight w:val="none"/>
        </w:rPr>
      </w:pPr>
      <w:r>
        <w:rPr>
          <w:rFonts w:hint="eastAsia" w:ascii="宋体" w:hAnsi="宋体" w:cs="宋体"/>
          <w:color w:val="auto"/>
          <w:highlight w:val="none"/>
        </w:rPr>
        <w:t>二、根据招标人实际需求，总服务人员设定为</w:t>
      </w:r>
      <w:r>
        <w:rPr>
          <w:rFonts w:hint="eastAsia" w:ascii="宋体" w:hAnsi="宋体" w:cs="宋体"/>
          <w:color w:val="auto"/>
          <w:highlight w:val="none"/>
          <w:lang w:val="en-US" w:eastAsia="zh-CN"/>
        </w:rPr>
        <w:t>20</w:t>
      </w:r>
      <w:r>
        <w:rPr>
          <w:rFonts w:hint="eastAsia" w:ascii="宋体" w:hAnsi="宋体" w:cs="宋体"/>
          <w:color w:val="auto"/>
          <w:highlight w:val="none"/>
        </w:rPr>
        <w:t>人。</w:t>
      </w:r>
    </w:p>
    <w:p>
      <w:pPr>
        <w:widowControl/>
        <w:spacing w:line="360" w:lineRule="auto"/>
        <w:ind w:firstLine="420" w:firstLineChars="200"/>
        <w:jc w:val="left"/>
        <w:rPr>
          <w:rFonts w:hint="eastAsia" w:ascii="宋体" w:hAnsi="宋体" w:cs="宋体"/>
          <w:color w:val="auto"/>
          <w:highlight w:val="none"/>
        </w:rPr>
      </w:pPr>
      <w:r>
        <w:rPr>
          <w:rFonts w:hint="eastAsia" w:ascii="宋体" w:hAnsi="宋体" w:cs="宋体"/>
          <w:color w:val="auto"/>
          <w:highlight w:val="none"/>
        </w:rPr>
        <w:t>项目负责人1人：中专及以上相关专业学历，2年及以上物业管理工作经验，有担任过小区物业管理负责人（物业处主任或副主任）的经历，熟悉物业管理法规，专业技能熟练，有较强的组织领导能力和协调能力，年龄50周岁以下；</w:t>
      </w:r>
    </w:p>
    <w:p>
      <w:pPr>
        <w:widowControl/>
        <w:spacing w:line="360" w:lineRule="auto"/>
        <w:ind w:firstLine="420" w:firstLineChars="200"/>
        <w:jc w:val="left"/>
        <w:rPr>
          <w:rFonts w:hint="eastAsia" w:ascii="宋体" w:hAnsi="宋体" w:cs="宋体"/>
          <w:color w:val="auto"/>
          <w:highlight w:val="none"/>
        </w:rPr>
      </w:pPr>
      <w:r>
        <w:rPr>
          <w:rFonts w:hint="eastAsia" w:ascii="宋体" w:hAnsi="宋体" w:cs="宋体"/>
          <w:color w:val="auto"/>
          <w:highlight w:val="none"/>
        </w:rPr>
        <w:t>经理助理1人：中专及以上学历，2年及以上物业管理工作经验，熟悉物业管理法规，专业技能熟练，有较强的组织领导能力和协调能力</w:t>
      </w:r>
    </w:p>
    <w:p>
      <w:pPr>
        <w:widowControl/>
        <w:spacing w:line="360" w:lineRule="auto"/>
        <w:ind w:firstLine="420" w:firstLineChars="200"/>
        <w:jc w:val="left"/>
        <w:rPr>
          <w:rFonts w:hint="eastAsia" w:ascii="宋体" w:hAnsi="宋体" w:cs="宋体"/>
          <w:color w:val="auto"/>
          <w:highlight w:val="none"/>
        </w:rPr>
      </w:pPr>
      <w:r>
        <w:rPr>
          <w:rFonts w:hint="eastAsia" w:ascii="宋体" w:hAnsi="宋体" w:cs="宋体"/>
          <w:color w:val="auto"/>
          <w:highlight w:val="none"/>
        </w:rPr>
        <w:t>保安9人：须有一名保安主管，50周岁及以下人员不少于80%，有保安上岗证；</w:t>
      </w:r>
    </w:p>
    <w:p>
      <w:pPr>
        <w:widowControl/>
        <w:spacing w:line="360" w:lineRule="auto"/>
        <w:ind w:firstLine="420" w:firstLineChars="200"/>
        <w:jc w:val="left"/>
        <w:rPr>
          <w:rFonts w:hint="eastAsia" w:ascii="宋体" w:hAnsi="宋体" w:cs="宋体"/>
          <w:color w:val="auto"/>
          <w:highlight w:val="none"/>
        </w:rPr>
      </w:pPr>
      <w:r>
        <w:rPr>
          <w:rFonts w:hint="eastAsia" w:ascii="宋体" w:hAnsi="宋体" w:cs="宋体"/>
          <w:color w:val="auto"/>
          <w:highlight w:val="none"/>
        </w:rPr>
        <w:t>保洁人员4人：要求女性50周岁以下，男性60周岁以下，身体健康无缺陷；</w:t>
      </w:r>
    </w:p>
    <w:p>
      <w:pPr>
        <w:widowControl/>
        <w:spacing w:line="360" w:lineRule="auto"/>
        <w:ind w:firstLine="420" w:firstLineChars="200"/>
        <w:jc w:val="left"/>
        <w:rPr>
          <w:rFonts w:hint="eastAsia" w:ascii="宋体" w:hAnsi="宋体" w:cs="宋体"/>
          <w:color w:val="auto"/>
          <w:highlight w:val="none"/>
        </w:rPr>
      </w:pPr>
      <w:r>
        <w:rPr>
          <w:rFonts w:hint="eastAsia" w:ascii="宋体" w:hAnsi="宋体" w:cs="宋体"/>
          <w:color w:val="auto"/>
          <w:highlight w:val="none"/>
        </w:rPr>
        <w:t>客服</w:t>
      </w:r>
      <w:r>
        <w:rPr>
          <w:rFonts w:hint="eastAsia" w:ascii="宋体" w:hAnsi="宋体" w:cs="宋体"/>
          <w:color w:val="auto"/>
          <w:highlight w:val="none"/>
          <w:lang w:val="en-US" w:eastAsia="zh-CN"/>
        </w:rPr>
        <w:t>主管</w:t>
      </w:r>
      <w:r>
        <w:rPr>
          <w:rFonts w:hint="eastAsia" w:ascii="宋体" w:hAnsi="宋体" w:cs="宋体"/>
          <w:color w:val="auto"/>
          <w:highlight w:val="none"/>
        </w:rPr>
        <w:t>1人：女性45周岁以下，</w:t>
      </w:r>
      <w:r>
        <w:rPr>
          <w:rFonts w:hint="eastAsia" w:ascii="宋体" w:hAnsi="宋体" w:cs="宋体"/>
          <w:color w:val="auto"/>
          <w:highlight w:val="none"/>
          <w:lang w:val="en-US" w:eastAsia="zh-CN"/>
        </w:rPr>
        <w:t>大专</w:t>
      </w:r>
      <w:r>
        <w:rPr>
          <w:rFonts w:hint="eastAsia" w:ascii="宋体" w:hAnsi="宋体" w:cs="宋体"/>
          <w:color w:val="auto"/>
          <w:highlight w:val="none"/>
        </w:rPr>
        <w:t>及以上学历。</w:t>
      </w:r>
    </w:p>
    <w:p>
      <w:pPr>
        <w:widowControl/>
        <w:spacing w:line="360" w:lineRule="auto"/>
        <w:ind w:firstLine="420" w:firstLineChars="200"/>
        <w:jc w:val="left"/>
        <w:rPr>
          <w:rFonts w:hint="eastAsia" w:ascii="宋体" w:hAnsi="宋体" w:cs="宋体"/>
          <w:color w:val="auto"/>
          <w:highlight w:val="none"/>
        </w:rPr>
      </w:pPr>
      <w:r>
        <w:rPr>
          <w:rFonts w:hint="eastAsia" w:ascii="宋体" w:hAnsi="宋体" w:cs="宋体"/>
          <w:color w:val="auto"/>
          <w:highlight w:val="none"/>
        </w:rPr>
        <w:t>客服1人：女性45周岁以下，高中及以上学历。</w:t>
      </w:r>
    </w:p>
    <w:p>
      <w:pPr>
        <w:widowControl/>
        <w:spacing w:line="360" w:lineRule="auto"/>
        <w:ind w:firstLine="420" w:firstLineChars="200"/>
        <w:jc w:val="left"/>
        <w:rPr>
          <w:rFonts w:hint="eastAsia" w:ascii="宋体" w:hAnsi="宋体" w:cs="宋体"/>
          <w:color w:val="auto"/>
          <w:highlight w:val="none"/>
        </w:rPr>
      </w:pPr>
      <w:r>
        <w:rPr>
          <w:rFonts w:hint="eastAsia" w:ascii="宋体" w:hAnsi="宋体" w:cs="宋体"/>
          <w:color w:val="auto"/>
          <w:highlight w:val="none"/>
        </w:rPr>
        <w:t>工程维修</w:t>
      </w:r>
      <w:r>
        <w:rPr>
          <w:rFonts w:hint="eastAsia" w:ascii="宋体" w:hAnsi="宋体" w:cs="宋体"/>
          <w:color w:val="auto"/>
          <w:highlight w:val="none"/>
          <w:lang w:val="en-US" w:eastAsia="zh-CN"/>
        </w:rPr>
        <w:t>3</w:t>
      </w:r>
      <w:r>
        <w:rPr>
          <w:rFonts w:hint="eastAsia" w:ascii="宋体" w:hAnsi="宋体" w:cs="宋体"/>
          <w:color w:val="auto"/>
          <w:highlight w:val="none"/>
        </w:rPr>
        <w:t>人：男性50周岁以下，具有水电工上岗操作证。</w:t>
      </w:r>
    </w:p>
    <w:p>
      <w:pPr>
        <w:widowControl/>
        <w:spacing w:line="360" w:lineRule="auto"/>
        <w:jc w:val="left"/>
        <w:rPr>
          <w:rFonts w:hint="eastAsia" w:ascii="宋体" w:hAnsi="宋体" w:cs="宋体"/>
          <w:color w:val="auto"/>
          <w:highlight w:val="none"/>
        </w:rPr>
      </w:pPr>
      <w:r>
        <w:rPr>
          <w:rFonts w:hint="eastAsia" w:ascii="宋体" w:hAnsi="宋体" w:cs="宋体"/>
          <w:color w:val="auto"/>
          <w:highlight w:val="none"/>
        </w:rPr>
        <w:t>三、物业管理总体要求</w:t>
      </w:r>
    </w:p>
    <w:p>
      <w:pPr>
        <w:widowControl/>
        <w:spacing w:line="360" w:lineRule="auto"/>
        <w:ind w:firstLine="420" w:firstLineChars="200"/>
        <w:jc w:val="left"/>
        <w:rPr>
          <w:rFonts w:hint="eastAsia" w:ascii="宋体" w:hAnsi="宋体" w:cs="宋体"/>
          <w:color w:val="auto"/>
          <w:highlight w:val="none"/>
        </w:rPr>
      </w:pPr>
      <w:r>
        <w:rPr>
          <w:rFonts w:hint="eastAsia" w:ascii="宋体" w:hAnsi="宋体" w:cs="宋体"/>
          <w:color w:val="auto"/>
          <w:highlight w:val="none"/>
        </w:rPr>
        <w:t>本小区采取租赁管理、物业服务一体化管理模式，管理采用一卡通管理，本次招标内容为：本小区的物业管理服务和小区公共租赁房租赁服务管理。</w:t>
      </w:r>
    </w:p>
    <w:p>
      <w:pPr>
        <w:spacing w:line="360" w:lineRule="auto"/>
        <w:ind w:firstLine="422" w:firstLineChars="200"/>
        <w:rPr>
          <w:rFonts w:hint="eastAsia" w:ascii="宋体" w:hAnsi="宋体" w:cs="宋体"/>
          <w:b/>
          <w:color w:val="auto"/>
          <w:highlight w:val="none"/>
        </w:rPr>
      </w:pPr>
      <w:r>
        <w:rPr>
          <w:rFonts w:hint="eastAsia" w:ascii="宋体" w:hAnsi="宋体" w:cs="宋体"/>
          <w:b/>
          <w:color w:val="auto"/>
          <w:highlight w:val="none"/>
        </w:rPr>
        <w:t>A、小区物业管理服务</w:t>
      </w:r>
    </w:p>
    <w:p>
      <w:pPr>
        <w:widowControl/>
        <w:spacing w:line="360" w:lineRule="auto"/>
        <w:ind w:firstLine="422" w:firstLineChars="200"/>
        <w:jc w:val="left"/>
        <w:rPr>
          <w:rFonts w:hint="eastAsia" w:ascii="宋体" w:hAnsi="宋体" w:cs="宋体"/>
          <w:color w:val="auto"/>
          <w:highlight w:val="none"/>
        </w:rPr>
      </w:pPr>
      <w:r>
        <w:rPr>
          <w:rFonts w:hint="eastAsia" w:ascii="宋体" w:hAnsi="宋体" w:cs="宋体"/>
          <w:b/>
          <w:color w:val="auto"/>
          <w:highlight w:val="none"/>
        </w:rPr>
        <w:t>（</w:t>
      </w:r>
      <w:r>
        <w:rPr>
          <w:rFonts w:hint="eastAsia" w:ascii="宋体" w:hAnsi="宋体" w:cs="宋体"/>
          <w:color w:val="auto"/>
          <w:highlight w:val="none"/>
        </w:rPr>
        <w:t>一）小区物业管理服务内容及要求</w:t>
      </w:r>
    </w:p>
    <w:p>
      <w:pPr>
        <w:widowControl/>
        <w:spacing w:line="360" w:lineRule="auto"/>
        <w:ind w:firstLine="420" w:firstLineChars="200"/>
        <w:jc w:val="left"/>
        <w:rPr>
          <w:rFonts w:hint="eastAsia" w:ascii="宋体" w:hAnsi="宋体" w:cs="宋体"/>
          <w:color w:val="auto"/>
          <w:highlight w:val="none"/>
        </w:rPr>
      </w:pPr>
      <w:r>
        <w:rPr>
          <w:rFonts w:hint="eastAsia" w:ascii="宋体" w:hAnsi="宋体" w:cs="宋体"/>
          <w:color w:val="auto"/>
          <w:highlight w:val="none"/>
        </w:rPr>
        <w:t>按照《物业管理条例》、《浙江省物业管理条例》、《宁波市住宅小区物业管理条例》、《宁波市物业管理服务基本标准》等规定和要求做好以下工作：</w:t>
      </w:r>
    </w:p>
    <w:p>
      <w:pPr>
        <w:widowControl/>
        <w:spacing w:line="360" w:lineRule="auto"/>
        <w:ind w:firstLine="420" w:firstLineChars="200"/>
        <w:jc w:val="left"/>
        <w:rPr>
          <w:rFonts w:hint="eastAsia" w:ascii="宋体" w:hAnsi="宋体" w:cs="宋体"/>
          <w:color w:val="auto"/>
          <w:highlight w:val="none"/>
        </w:rPr>
      </w:pPr>
      <w:r>
        <w:rPr>
          <w:rFonts w:hint="eastAsia" w:ascii="宋体" w:hAnsi="宋体" w:cs="宋体"/>
          <w:color w:val="auto"/>
          <w:highlight w:val="none"/>
        </w:rPr>
        <w:t>1、综合管理服务</w:t>
      </w:r>
    </w:p>
    <w:p>
      <w:pPr>
        <w:widowControl/>
        <w:spacing w:line="360" w:lineRule="auto"/>
        <w:ind w:firstLine="420" w:firstLineChars="200"/>
        <w:jc w:val="left"/>
        <w:rPr>
          <w:rFonts w:hint="eastAsia" w:ascii="宋体" w:hAnsi="宋体" w:cs="宋体"/>
          <w:color w:val="auto"/>
          <w:highlight w:val="none"/>
        </w:rPr>
      </w:pPr>
      <w:r>
        <w:rPr>
          <w:rFonts w:hint="eastAsia" w:ascii="宋体" w:hAnsi="宋体" w:cs="宋体"/>
          <w:color w:val="auto"/>
          <w:highlight w:val="none"/>
        </w:rPr>
        <w:t>⑴建立12小时值班制度，公示服务联系电话，统一受理承租户的咨询、投诉和费用交纳。</w:t>
      </w:r>
    </w:p>
    <w:p>
      <w:pPr>
        <w:widowControl/>
        <w:spacing w:line="360" w:lineRule="auto"/>
        <w:ind w:firstLine="420" w:firstLineChars="200"/>
        <w:jc w:val="left"/>
        <w:rPr>
          <w:rFonts w:hint="eastAsia" w:ascii="宋体" w:hAnsi="宋体" w:cs="宋体"/>
          <w:color w:val="auto"/>
          <w:highlight w:val="none"/>
        </w:rPr>
      </w:pPr>
      <w:r>
        <w:rPr>
          <w:rFonts w:hint="eastAsia" w:ascii="宋体" w:hAnsi="宋体" w:cs="宋体"/>
          <w:color w:val="auto"/>
          <w:highlight w:val="none"/>
        </w:rPr>
        <w:t>⑵对承租户的投诉在3天内答复处理或报有关部门处理。</w:t>
      </w:r>
    </w:p>
    <w:p>
      <w:pPr>
        <w:widowControl/>
        <w:spacing w:line="360" w:lineRule="auto"/>
        <w:ind w:firstLine="420" w:firstLineChars="200"/>
        <w:jc w:val="left"/>
        <w:rPr>
          <w:rFonts w:hint="eastAsia" w:ascii="宋体" w:hAnsi="宋体" w:cs="宋体"/>
          <w:color w:val="auto"/>
          <w:highlight w:val="none"/>
        </w:rPr>
      </w:pPr>
      <w:r>
        <w:rPr>
          <w:rFonts w:hint="eastAsia" w:ascii="宋体" w:hAnsi="宋体" w:cs="宋体"/>
          <w:color w:val="auto"/>
          <w:highlight w:val="none"/>
        </w:rPr>
        <w:t>⑶承租户紧急报修不超过20分钟到达现场处理。</w:t>
      </w:r>
    </w:p>
    <w:p>
      <w:pPr>
        <w:widowControl/>
        <w:spacing w:line="360" w:lineRule="auto"/>
        <w:ind w:firstLine="420" w:firstLineChars="200"/>
        <w:jc w:val="left"/>
        <w:rPr>
          <w:rFonts w:hint="eastAsia" w:ascii="宋体" w:hAnsi="宋体" w:cs="宋体"/>
          <w:color w:val="auto"/>
          <w:highlight w:val="none"/>
        </w:rPr>
      </w:pPr>
      <w:r>
        <w:rPr>
          <w:rFonts w:hint="eastAsia" w:ascii="宋体" w:hAnsi="宋体" w:cs="宋体"/>
          <w:color w:val="auto"/>
          <w:highlight w:val="none"/>
        </w:rPr>
        <w:t>⑷承租户共用设施、共用部位一般报修不超过24小时完成（屋面除外）。</w:t>
      </w:r>
    </w:p>
    <w:p>
      <w:pPr>
        <w:widowControl/>
        <w:spacing w:line="360" w:lineRule="auto"/>
        <w:ind w:firstLine="420" w:firstLineChars="200"/>
        <w:jc w:val="left"/>
        <w:rPr>
          <w:rFonts w:hint="eastAsia" w:ascii="宋体" w:hAnsi="宋体" w:cs="宋体"/>
          <w:color w:val="auto"/>
          <w:highlight w:val="none"/>
        </w:rPr>
      </w:pPr>
      <w:r>
        <w:rPr>
          <w:rFonts w:hint="eastAsia" w:ascii="宋体" w:hAnsi="宋体" w:cs="宋体"/>
          <w:color w:val="auto"/>
          <w:highlight w:val="none"/>
        </w:rPr>
        <w:t>⑸承租户室内设备、设施报修2小时内通知保修单位，并监督保修单位在收到通知后及时完成维修。</w:t>
      </w:r>
    </w:p>
    <w:p>
      <w:pPr>
        <w:widowControl/>
        <w:spacing w:line="360" w:lineRule="auto"/>
        <w:ind w:firstLine="420" w:firstLineChars="200"/>
        <w:jc w:val="left"/>
        <w:rPr>
          <w:rFonts w:hint="eastAsia" w:ascii="宋体" w:hAnsi="宋体" w:cs="宋体"/>
          <w:color w:val="auto"/>
          <w:highlight w:val="none"/>
        </w:rPr>
      </w:pPr>
      <w:r>
        <w:rPr>
          <w:rFonts w:hint="eastAsia" w:ascii="宋体" w:hAnsi="宋体" w:cs="宋体"/>
          <w:color w:val="auto"/>
          <w:highlight w:val="none"/>
        </w:rPr>
        <w:t>⑹采取走访、恳谈会、问卷调查、通讯等多种形式与业主或住户进行沟通并征询意见，每年的沟通面达到小区实际入住住户的100％。</w:t>
      </w:r>
    </w:p>
    <w:p>
      <w:pPr>
        <w:widowControl/>
        <w:spacing w:line="360" w:lineRule="auto"/>
        <w:ind w:firstLine="420" w:firstLineChars="200"/>
        <w:jc w:val="left"/>
        <w:rPr>
          <w:rFonts w:hint="eastAsia" w:ascii="宋体" w:hAnsi="宋体" w:cs="宋体"/>
          <w:color w:val="auto"/>
          <w:highlight w:val="none"/>
        </w:rPr>
      </w:pPr>
      <w:r>
        <w:rPr>
          <w:rFonts w:hint="eastAsia" w:ascii="宋体" w:hAnsi="宋体" w:cs="宋体"/>
          <w:color w:val="auto"/>
          <w:highlight w:val="none"/>
        </w:rPr>
        <w:t>2、公共区域秩序维护服务</w:t>
      </w:r>
    </w:p>
    <w:p>
      <w:pPr>
        <w:widowControl/>
        <w:spacing w:line="360" w:lineRule="auto"/>
        <w:ind w:firstLine="420" w:firstLineChars="200"/>
        <w:jc w:val="left"/>
        <w:rPr>
          <w:rFonts w:hint="eastAsia" w:ascii="宋体" w:hAnsi="宋体" w:cs="宋体"/>
          <w:color w:val="auto"/>
          <w:highlight w:val="none"/>
        </w:rPr>
      </w:pPr>
      <w:r>
        <w:rPr>
          <w:rFonts w:hint="eastAsia" w:ascii="宋体" w:hAnsi="宋体" w:cs="宋体"/>
          <w:color w:val="auto"/>
          <w:highlight w:val="none"/>
        </w:rPr>
        <w:t>⑴小区出入口24小时值班看守，并有交接班记录和外来车辆的登记记录。</w:t>
      </w:r>
    </w:p>
    <w:p>
      <w:pPr>
        <w:widowControl/>
        <w:spacing w:line="360" w:lineRule="auto"/>
        <w:ind w:firstLine="420" w:firstLineChars="200"/>
        <w:jc w:val="left"/>
        <w:rPr>
          <w:rFonts w:hint="eastAsia" w:ascii="宋体" w:hAnsi="宋体" w:cs="宋体"/>
          <w:color w:val="auto"/>
          <w:highlight w:val="none"/>
        </w:rPr>
      </w:pPr>
      <w:r>
        <w:rPr>
          <w:rFonts w:hint="eastAsia" w:ascii="宋体" w:hAnsi="宋体" w:cs="宋体"/>
          <w:color w:val="auto"/>
          <w:highlight w:val="none"/>
        </w:rPr>
        <w:t>⑵对外来送货人员进行记录，阻止小商小贩进入小区。</w:t>
      </w:r>
    </w:p>
    <w:p>
      <w:pPr>
        <w:widowControl/>
        <w:spacing w:line="360" w:lineRule="auto"/>
        <w:ind w:firstLine="420" w:firstLineChars="200"/>
        <w:jc w:val="left"/>
        <w:rPr>
          <w:rFonts w:hint="eastAsia" w:ascii="宋体" w:hAnsi="宋体" w:cs="宋体"/>
          <w:color w:val="auto"/>
          <w:highlight w:val="none"/>
        </w:rPr>
      </w:pPr>
      <w:r>
        <w:rPr>
          <w:rFonts w:hint="eastAsia" w:ascii="宋体" w:hAnsi="宋体" w:cs="宋体"/>
          <w:color w:val="auto"/>
          <w:highlight w:val="none"/>
        </w:rPr>
        <w:t>⑶对进出小区的车辆进行管理和疏导，保持出入口环境整洁、有序、道路畅通。</w:t>
      </w:r>
    </w:p>
    <w:p>
      <w:pPr>
        <w:widowControl/>
        <w:spacing w:line="360" w:lineRule="auto"/>
        <w:ind w:firstLine="420" w:firstLineChars="200"/>
        <w:jc w:val="left"/>
        <w:rPr>
          <w:rFonts w:hint="eastAsia" w:ascii="宋体" w:hAnsi="宋体" w:cs="宋体"/>
          <w:color w:val="auto"/>
          <w:highlight w:val="none"/>
        </w:rPr>
      </w:pPr>
      <w:r>
        <w:rPr>
          <w:rFonts w:hint="eastAsia" w:ascii="宋体" w:hAnsi="宋体" w:cs="宋体"/>
          <w:color w:val="auto"/>
          <w:highlight w:val="none"/>
        </w:rPr>
        <w:t>⑷对大型物件搬出实行记录。</w:t>
      </w:r>
    </w:p>
    <w:p>
      <w:pPr>
        <w:widowControl/>
        <w:spacing w:line="360" w:lineRule="auto"/>
        <w:ind w:firstLine="420" w:firstLineChars="200"/>
        <w:jc w:val="left"/>
        <w:rPr>
          <w:rFonts w:hint="eastAsia" w:ascii="宋体" w:hAnsi="宋体" w:cs="宋体"/>
          <w:color w:val="auto"/>
          <w:highlight w:val="none"/>
        </w:rPr>
      </w:pPr>
      <w:r>
        <w:rPr>
          <w:rFonts w:hint="eastAsia" w:ascii="宋体" w:hAnsi="宋体" w:cs="宋体"/>
          <w:color w:val="auto"/>
          <w:highlight w:val="none"/>
        </w:rPr>
        <w:t>⑸白天、夜间定时巡逻，重点部位有明确的巡逻要求，并有巡逻记录。</w:t>
      </w:r>
    </w:p>
    <w:p>
      <w:pPr>
        <w:widowControl/>
        <w:spacing w:line="360" w:lineRule="auto"/>
        <w:ind w:firstLine="420" w:firstLineChars="200"/>
        <w:jc w:val="left"/>
        <w:rPr>
          <w:rFonts w:hint="eastAsia" w:ascii="宋体" w:hAnsi="宋体" w:cs="宋体"/>
          <w:color w:val="auto"/>
          <w:highlight w:val="none"/>
        </w:rPr>
      </w:pPr>
      <w:r>
        <w:rPr>
          <w:rFonts w:hint="eastAsia" w:ascii="宋体" w:hAnsi="宋体" w:cs="宋体"/>
          <w:color w:val="auto"/>
          <w:highlight w:val="none"/>
        </w:rPr>
        <w:t>⑹监控中心收到报警信号后，保安人员应及时赶到现场进行处理，同时应接受用户救助的要求，解答用户的询问。</w:t>
      </w:r>
    </w:p>
    <w:p>
      <w:pPr>
        <w:widowControl/>
        <w:spacing w:line="360" w:lineRule="auto"/>
        <w:ind w:firstLine="420" w:firstLineChars="200"/>
        <w:jc w:val="left"/>
        <w:rPr>
          <w:rFonts w:hint="eastAsia" w:ascii="宋体" w:hAnsi="宋体" w:cs="宋体"/>
          <w:color w:val="auto"/>
          <w:highlight w:val="none"/>
        </w:rPr>
      </w:pPr>
      <w:r>
        <w:rPr>
          <w:rFonts w:hint="eastAsia" w:ascii="宋体" w:hAnsi="宋体" w:cs="宋体"/>
          <w:color w:val="auto"/>
          <w:highlight w:val="none"/>
        </w:rPr>
        <w:t>⑺制定火灾防范措施和消防预案，向承租户宣传消防知识，定期组织本小区工作人员的消防培训，保证消防疏散通道畅通，登高地不被占用，消防器材功能正常，疏散标志醒目、齐全、完好。</w:t>
      </w:r>
    </w:p>
    <w:p>
      <w:pPr>
        <w:widowControl/>
        <w:spacing w:line="360" w:lineRule="auto"/>
        <w:ind w:firstLine="420" w:firstLineChars="200"/>
        <w:jc w:val="left"/>
        <w:rPr>
          <w:rFonts w:hint="eastAsia" w:ascii="宋体" w:hAnsi="宋体" w:cs="宋体"/>
          <w:color w:val="auto"/>
          <w:highlight w:val="none"/>
        </w:rPr>
      </w:pPr>
      <w:r>
        <w:rPr>
          <w:rFonts w:hint="eastAsia" w:ascii="宋体" w:hAnsi="宋体" w:cs="宋体"/>
          <w:color w:val="auto"/>
          <w:highlight w:val="none"/>
        </w:rPr>
        <w:t>⑻建立与项目匹配的停车管理制度</w:t>
      </w:r>
    </w:p>
    <w:p>
      <w:pPr>
        <w:widowControl/>
        <w:spacing w:line="360" w:lineRule="auto"/>
        <w:ind w:firstLine="420" w:firstLineChars="200"/>
        <w:jc w:val="left"/>
        <w:rPr>
          <w:rFonts w:hint="eastAsia" w:ascii="宋体" w:hAnsi="宋体" w:cs="宋体"/>
          <w:color w:val="auto"/>
          <w:highlight w:val="none"/>
        </w:rPr>
      </w:pPr>
      <w:r>
        <w:rPr>
          <w:rFonts w:hint="eastAsia" w:ascii="宋体" w:hAnsi="宋体" w:cs="宋体"/>
          <w:color w:val="auto"/>
          <w:highlight w:val="none"/>
        </w:rPr>
        <w:t>⑼道路、行车标识牌醒目、齐全、完好。</w:t>
      </w:r>
    </w:p>
    <w:p>
      <w:pPr>
        <w:widowControl/>
        <w:spacing w:line="360" w:lineRule="auto"/>
        <w:ind w:firstLine="420" w:firstLineChars="200"/>
        <w:jc w:val="left"/>
        <w:rPr>
          <w:rFonts w:hint="eastAsia" w:ascii="宋体" w:hAnsi="宋体" w:cs="宋体"/>
          <w:color w:val="auto"/>
          <w:highlight w:val="none"/>
        </w:rPr>
      </w:pPr>
      <w:r>
        <w:rPr>
          <w:rFonts w:hint="eastAsia" w:ascii="宋体" w:hAnsi="宋体" w:cs="宋体"/>
          <w:color w:val="auto"/>
          <w:highlight w:val="none"/>
        </w:rPr>
        <w:t>3、公共区域保洁服务</w:t>
      </w:r>
    </w:p>
    <w:p>
      <w:pPr>
        <w:widowControl/>
        <w:spacing w:line="360" w:lineRule="auto"/>
        <w:ind w:firstLine="420" w:firstLineChars="200"/>
        <w:jc w:val="left"/>
        <w:rPr>
          <w:rFonts w:hint="eastAsia" w:ascii="宋体" w:hAnsi="宋体" w:cs="宋体"/>
          <w:color w:val="auto"/>
          <w:highlight w:val="none"/>
        </w:rPr>
      </w:pPr>
      <w:r>
        <w:rPr>
          <w:rFonts w:hint="eastAsia" w:ascii="宋体" w:hAnsi="宋体" w:cs="宋体"/>
          <w:color w:val="auto"/>
          <w:highlight w:val="none"/>
        </w:rPr>
        <w:t>⑴定期对建筑物内公共部位进行日常保洁和对楼道玻璃、电梯不锈钢等进行清洁。不定期对公共部位、绿化地进行保洁。</w:t>
      </w:r>
    </w:p>
    <w:p>
      <w:pPr>
        <w:widowControl/>
        <w:spacing w:line="360" w:lineRule="auto"/>
        <w:ind w:firstLine="420" w:firstLineChars="200"/>
        <w:jc w:val="left"/>
        <w:rPr>
          <w:rFonts w:hint="eastAsia" w:ascii="宋体" w:hAnsi="宋体" w:cs="宋体"/>
          <w:color w:val="auto"/>
          <w:highlight w:val="none"/>
        </w:rPr>
      </w:pPr>
      <w:r>
        <w:rPr>
          <w:rFonts w:hint="eastAsia" w:ascii="宋体" w:hAnsi="宋体" w:cs="宋体"/>
          <w:color w:val="auto"/>
          <w:highlight w:val="none"/>
        </w:rPr>
        <w:t>⑵负责垃圾收集，做到日产日清，定期清掏化粪池。</w:t>
      </w:r>
    </w:p>
    <w:p>
      <w:pPr>
        <w:widowControl/>
        <w:spacing w:line="360" w:lineRule="auto"/>
        <w:ind w:firstLine="420" w:firstLineChars="200"/>
        <w:jc w:val="left"/>
        <w:rPr>
          <w:rFonts w:hint="eastAsia" w:ascii="宋体" w:hAnsi="宋体" w:cs="宋体"/>
          <w:color w:val="auto"/>
          <w:highlight w:val="none"/>
        </w:rPr>
      </w:pPr>
      <w:r>
        <w:rPr>
          <w:rFonts w:hint="eastAsia" w:ascii="宋体" w:hAnsi="宋体" w:cs="宋体"/>
          <w:color w:val="auto"/>
          <w:highlight w:val="none"/>
        </w:rPr>
        <w:t>⑶加强鼠、蚊、蝇、蟑螂和白蚁消杀以及其它虫害防治。</w:t>
      </w:r>
    </w:p>
    <w:p>
      <w:pPr>
        <w:widowControl/>
        <w:spacing w:line="360" w:lineRule="auto"/>
        <w:ind w:firstLine="420" w:firstLineChars="200"/>
        <w:jc w:val="left"/>
        <w:rPr>
          <w:rFonts w:hint="eastAsia" w:ascii="宋体" w:hAnsi="宋体" w:cs="宋体"/>
          <w:color w:val="auto"/>
          <w:highlight w:val="none"/>
        </w:rPr>
      </w:pPr>
      <w:r>
        <w:rPr>
          <w:rFonts w:hint="eastAsia" w:ascii="宋体" w:hAnsi="宋体" w:cs="宋体"/>
          <w:color w:val="auto"/>
          <w:highlight w:val="none"/>
        </w:rPr>
        <w:t>4、建筑物共用部位及共用设备设施管理维护服务</w:t>
      </w:r>
    </w:p>
    <w:p>
      <w:pPr>
        <w:widowControl/>
        <w:spacing w:line="360" w:lineRule="auto"/>
        <w:ind w:firstLine="420" w:firstLineChars="200"/>
        <w:jc w:val="left"/>
        <w:rPr>
          <w:rFonts w:hint="eastAsia" w:ascii="宋体" w:hAnsi="宋体" w:cs="宋体"/>
          <w:color w:val="auto"/>
          <w:highlight w:val="none"/>
        </w:rPr>
      </w:pPr>
      <w:r>
        <w:rPr>
          <w:rFonts w:hint="eastAsia" w:ascii="宋体" w:hAnsi="宋体" w:cs="宋体"/>
          <w:color w:val="auto"/>
          <w:highlight w:val="none"/>
        </w:rPr>
        <w:t>建筑物内共用部位（以下简称共用部位）、建筑区划内共用设施设备（以下简称共用设施设备）的保修按《宁波市物业专项维修资金管理办法》实施意见、房屋保修书及本市住宅小区保修的有关规定执行。</w:t>
      </w:r>
    </w:p>
    <w:p>
      <w:pPr>
        <w:widowControl/>
        <w:spacing w:line="360" w:lineRule="auto"/>
        <w:ind w:firstLine="420" w:firstLineChars="200"/>
        <w:jc w:val="left"/>
        <w:rPr>
          <w:rFonts w:hint="eastAsia" w:ascii="宋体" w:hAnsi="宋体" w:cs="宋体"/>
          <w:color w:val="auto"/>
          <w:highlight w:val="none"/>
        </w:rPr>
      </w:pPr>
      <w:r>
        <w:rPr>
          <w:rFonts w:hint="eastAsia" w:ascii="宋体" w:hAnsi="宋体" w:cs="宋体"/>
          <w:color w:val="auto"/>
          <w:highlight w:val="none"/>
        </w:rPr>
        <w:t>⑴制定房屋年度养护计划，建立设备设施管理制度，加强日常维护和住房安全管理，定期对住房进行安全情况检查，并做好记录。</w:t>
      </w:r>
    </w:p>
    <w:p>
      <w:pPr>
        <w:widowControl/>
        <w:spacing w:line="360" w:lineRule="auto"/>
        <w:ind w:firstLine="420" w:firstLineChars="200"/>
        <w:jc w:val="left"/>
        <w:rPr>
          <w:rFonts w:hint="eastAsia" w:ascii="宋体" w:hAnsi="宋体" w:cs="宋体"/>
          <w:color w:val="auto"/>
          <w:highlight w:val="none"/>
        </w:rPr>
      </w:pPr>
      <w:r>
        <w:rPr>
          <w:rFonts w:hint="eastAsia" w:ascii="宋体" w:hAnsi="宋体" w:cs="宋体"/>
          <w:color w:val="auto"/>
          <w:highlight w:val="none"/>
        </w:rPr>
        <w:t>⑵保修期内共用部位、共用设备设施原则上由施工单位负责保修，也可通过签订协议委托中标单位保修。保修期外的共用部位、共用设施设备保修委托小区物业管理公司实施。</w:t>
      </w:r>
    </w:p>
    <w:p>
      <w:pPr>
        <w:widowControl/>
        <w:spacing w:line="360" w:lineRule="auto"/>
        <w:ind w:firstLine="420" w:firstLineChars="200"/>
        <w:jc w:val="left"/>
        <w:rPr>
          <w:rFonts w:hint="eastAsia" w:ascii="宋体" w:hAnsi="宋体" w:cs="宋体"/>
          <w:color w:val="auto"/>
          <w:highlight w:val="none"/>
        </w:rPr>
      </w:pPr>
      <w:r>
        <w:rPr>
          <w:rFonts w:hint="eastAsia" w:ascii="宋体" w:hAnsi="宋体" w:cs="宋体"/>
          <w:color w:val="auto"/>
          <w:highlight w:val="none"/>
        </w:rPr>
        <w:t>⑶保修期内中标单位接到报修后应及时通知保修单位，并配合和跟踪维修进展情况，对维修完成情况进行验收和存档，并及时反馈给招标单位。</w:t>
      </w:r>
    </w:p>
    <w:p>
      <w:pPr>
        <w:widowControl/>
        <w:spacing w:line="360" w:lineRule="auto"/>
        <w:ind w:firstLine="420" w:firstLineChars="200"/>
        <w:jc w:val="left"/>
        <w:rPr>
          <w:rFonts w:hint="eastAsia" w:ascii="宋体" w:hAnsi="宋体" w:cs="宋体"/>
          <w:color w:val="auto"/>
          <w:highlight w:val="none"/>
        </w:rPr>
      </w:pPr>
      <w:r>
        <w:rPr>
          <w:rFonts w:hint="eastAsia" w:ascii="宋体" w:hAnsi="宋体" w:cs="宋体"/>
          <w:color w:val="auto"/>
          <w:highlight w:val="none"/>
        </w:rPr>
        <w:t>⑷保修期外共用部位、共用设备设施中大修以上，中标单位须按《宁波市物业专项维修资金管理办法》实施意见等有关规定执行。</w:t>
      </w:r>
    </w:p>
    <w:p>
      <w:pPr>
        <w:widowControl/>
        <w:spacing w:line="360" w:lineRule="auto"/>
        <w:ind w:firstLine="420" w:firstLineChars="200"/>
        <w:jc w:val="left"/>
        <w:rPr>
          <w:rFonts w:hint="eastAsia" w:ascii="宋体" w:hAnsi="宋体" w:cs="宋体"/>
          <w:color w:val="auto"/>
          <w:highlight w:val="none"/>
        </w:rPr>
      </w:pPr>
      <w:r>
        <w:rPr>
          <w:rFonts w:hint="eastAsia" w:ascii="宋体" w:hAnsi="宋体" w:cs="宋体"/>
          <w:color w:val="auto"/>
          <w:highlight w:val="none"/>
        </w:rPr>
        <w:t>5、停车管理</w:t>
      </w:r>
    </w:p>
    <w:p>
      <w:pPr>
        <w:widowControl/>
        <w:spacing w:line="360" w:lineRule="auto"/>
        <w:ind w:firstLine="420" w:firstLineChars="200"/>
        <w:jc w:val="left"/>
        <w:rPr>
          <w:rFonts w:hint="eastAsia" w:ascii="宋体" w:hAnsi="宋体" w:cs="宋体"/>
          <w:color w:val="auto"/>
          <w:highlight w:val="none"/>
        </w:rPr>
      </w:pPr>
      <w:r>
        <w:rPr>
          <w:rFonts w:hint="eastAsia" w:ascii="宋体" w:hAnsi="宋体" w:cs="宋体"/>
          <w:color w:val="auto"/>
          <w:highlight w:val="none"/>
        </w:rPr>
        <w:t>车辆有序停放在规定范围内；地下停车库应有专人管理，并应保持有照明、通风良好和无积水，不得私自改变用途。</w:t>
      </w:r>
    </w:p>
    <w:p>
      <w:pPr>
        <w:widowControl/>
        <w:spacing w:line="360" w:lineRule="auto"/>
        <w:ind w:firstLine="420" w:firstLineChars="200"/>
        <w:jc w:val="left"/>
        <w:rPr>
          <w:rFonts w:hint="eastAsia" w:ascii="宋体" w:hAnsi="宋体" w:cs="宋体"/>
          <w:color w:val="auto"/>
          <w:highlight w:val="none"/>
        </w:rPr>
      </w:pPr>
      <w:r>
        <w:rPr>
          <w:rFonts w:hint="eastAsia" w:ascii="宋体" w:hAnsi="宋体" w:cs="宋体"/>
          <w:color w:val="auto"/>
          <w:highlight w:val="none"/>
        </w:rPr>
        <w:t>6、公共区域绿化及景观日常养护</w:t>
      </w:r>
    </w:p>
    <w:p>
      <w:pPr>
        <w:widowControl/>
        <w:spacing w:line="360" w:lineRule="auto"/>
        <w:ind w:firstLine="420" w:firstLineChars="200"/>
        <w:jc w:val="left"/>
        <w:rPr>
          <w:rFonts w:hint="eastAsia" w:ascii="宋体" w:hAnsi="宋体" w:cs="宋体"/>
          <w:color w:val="auto"/>
          <w:highlight w:val="none"/>
        </w:rPr>
      </w:pPr>
      <w:r>
        <w:rPr>
          <w:rFonts w:hint="eastAsia" w:ascii="宋体" w:hAnsi="宋体" w:cs="宋体"/>
          <w:color w:val="auto"/>
          <w:highlight w:val="none"/>
        </w:rPr>
        <w:t>⑴做好小区树木、草坪和花坛管理养护工作。</w:t>
      </w:r>
    </w:p>
    <w:p>
      <w:pPr>
        <w:widowControl/>
        <w:spacing w:line="360" w:lineRule="auto"/>
        <w:ind w:firstLine="420" w:firstLineChars="200"/>
        <w:jc w:val="left"/>
        <w:rPr>
          <w:rFonts w:hint="eastAsia" w:ascii="宋体" w:hAnsi="宋体" w:cs="宋体"/>
          <w:color w:val="auto"/>
          <w:highlight w:val="none"/>
        </w:rPr>
      </w:pPr>
      <w:r>
        <w:rPr>
          <w:rFonts w:hint="eastAsia" w:ascii="宋体" w:hAnsi="宋体" w:cs="宋体"/>
          <w:color w:val="auto"/>
          <w:highlight w:val="none"/>
        </w:rPr>
        <w:t>⑵保持小区内的植物整洁、美观、有型、无病虫害和枯、死枝。</w:t>
      </w:r>
    </w:p>
    <w:p>
      <w:pPr>
        <w:widowControl/>
        <w:spacing w:line="360" w:lineRule="auto"/>
        <w:ind w:firstLine="420" w:firstLineChars="200"/>
        <w:jc w:val="left"/>
        <w:rPr>
          <w:rFonts w:hint="eastAsia" w:ascii="宋体" w:hAnsi="宋体" w:cs="宋体"/>
          <w:color w:val="auto"/>
          <w:highlight w:val="none"/>
        </w:rPr>
      </w:pPr>
      <w:r>
        <w:rPr>
          <w:rFonts w:hint="eastAsia" w:ascii="宋体" w:hAnsi="宋体" w:cs="宋体"/>
          <w:color w:val="auto"/>
          <w:highlight w:val="none"/>
        </w:rPr>
        <w:t>⑶保持小区内健身休闲设施的整洁、完好和正常使用功能。</w:t>
      </w:r>
    </w:p>
    <w:p>
      <w:pPr>
        <w:widowControl/>
        <w:spacing w:line="360" w:lineRule="auto"/>
        <w:ind w:firstLine="420" w:firstLineChars="200"/>
        <w:jc w:val="left"/>
        <w:rPr>
          <w:rFonts w:hint="eastAsia" w:ascii="宋体" w:hAnsi="宋体" w:cs="宋体"/>
          <w:color w:val="auto"/>
          <w:highlight w:val="none"/>
        </w:rPr>
      </w:pPr>
      <w:r>
        <w:rPr>
          <w:rFonts w:hint="eastAsia" w:ascii="宋体" w:hAnsi="宋体" w:cs="宋体"/>
          <w:color w:val="auto"/>
          <w:highlight w:val="none"/>
        </w:rPr>
        <w:t>7、社区文化建设和特色服务</w:t>
      </w:r>
    </w:p>
    <w:p>
      <w:pPr>
        <w:widowControl/>
        <w:spacing w:line="360" w:lineRule="auto"/>
        <w:ind w:firstLine="420" w:firstLineChars="200"/>
        <w:jc w:val="left"/>
        <w:rPr>
          <w:rFonts w:hint="eastAsia" w:ascii="宋体" w:hAnsi="宋体" w:cs="宋体"/>
          <w:color w:val="auto"/>
          <w:highlight w:val="none"/>
        </w:rPr>
      </w:pPr>
      <w:r>
        <w:rPr>
          <w:rFonts w:hint="eastAsia" w:ascii="宋体" w:hAnsi="宋体" w:cs="宋体"/>
          <w:color w:val="auto"/>
          <w:highlight w:val="none"/>
        </w:rPr>
        <w:t>⑴配合街道和社区开展社区文化建设等工作。并针对小区住户特点，组织有特色的社区文化活动，开展有助于防范风险和增加自救能力的消防和医疗救护等培训活动。</w:t>
      </w:r>
    </w:p>
    <w:p>
      <w:pPr>
        <w:widowControl/>
        <w:spacing w:line="360" w:lineRule="auto"/>
        <w:ind w:firstLine="420" w:firstLineChars="200"/>
        <w:jc w:val="left"/>
        <w:rPr>
          <w:rFonts w:hint="eastAsia" w:ascii="宋体" w:hAnsi="宋体" w:cs="宋体"/>
          <w:color w:val="auto"/>
          <w:highlight w:val="none"/>
        </w:rPr>
      </w:pPr>
      <w:r>
        <w:rPr>
          <w:rFonts w:hint="eastAsia" w:ascii="宋体" w:hAnsi="宋体" w:cs="宋体"/>
          <w:color w:val="auto"/>
          <w:highlight w:val="none"/>
        </w:rPr>
        <w:t>⑵楼宇外观形象管理符合属地规划和城管部位的相关要求。</w:t>
      </w:r>
    </w:p>
    <w:p>
      <w:pPr>
        <w:widowControl/>
        <w:spacing w:line="360" w:lineRule="auto"/>
        <w:ind w:firstLine="420" w:firstLineChars="200"/>
        <w:jc w:val="left"/>
        <w:rPr>
          <w:rFonts w:hint="eastAsia" w:ascii="宋体" w:hAnsi="宋体" w:cs="宋体"/>
          <w:color w:val="auto"/>
          <w:highlight w:val="none"/>
        </w:rPr>
      </w:pPr>
      <w:r>
        <w:rPr>
          <w:rFonts w:hint="eastAsia" w:ascii="宋体" w:hAnsi="宋体" w:cs="宋体"/>
          <w:color w:val="auto"/>
          <w:highlight w:val="none"/>
        </w:rPr>
        <w:t>⑶配合有关供给单位及时开通和关闭水、电、气、电话、网络、有线电视等。</w:t>
      </w:r>
    </w:p>
    <w:p>
      <w:pPr>
        <w:widowControl/>
        <w:spacing w:line="360" w:lineRule="auto"/>
        <w:ind w:firstLine="420" w:firstLineChars="200"/>
        <w:jc w:val="left"/>
        <w:rPr>
          <w:rFonts w:hint="eastAsia" w:ascii="宋体" w:hAnsi="宋体" w:cs="宋体"/>
          <w:color w:val="auto"/>
          <w:kern w:val="0"/>
          <w:highlight w:val="none"/>
        </w:rPr>
      </w:pPr>
      <w:r>
        <w:rPr>
          <w:rFonts w:hint="eastAsia" w:ascii="宋体" w:hAnsi="宋体" w:cs="宋体"/>
          <w:color w:val="auto"/>
          <w:highlight w:val="none"/>
        </w:rPr>
        <w:t>（二）</w:t>
      </w:r>
      <w:r>
        <w:rPr>
          <w:rFonts w:hint="eastAsia" w:ascii="宋体" w:hAnsi="宋体" w:cs="宋体"/>
          <w:color w:val="auto"/>
          <w:kern w:val="0"/>
          <w:highlight w:val="none"/>
        </w:rPr>
        <w:t>服务管理目标</w:t>
      </w:r>
    </w:p>
    <w:p>
      <w:pPr>
        <w:widowControl/>
        <w:spacing w:line="360" w:lineRule="auto"/>
        <w:ind w:firstLine="420" w:firstLineChars="200"/>
        <w:jc w:val="left"/>
        <w:rPr>
          <w:rFonts w:hint="eastAsia" w:ascii="宋体" w:hAnsi="宋体" w:cs="宋体"/>
          <w:color w:val="auto"/>
          <w:highlight w:val="none"/>
        </w:rPr>
      </w:pPr>
      <w:r>
        <w:rPr>
          <w:rFonts w:hint="eastAsia" w:ascii="宋体" w:hAnsi="宋体" w:cs="宋体"/>
          <w:color w:val="auto"/>
          <w:highlight w:val="none"/>
        </w:rPr>
        <w:t>1、按上述要求完成所有工作内容，并通过招标单位组织的年度考核目标。</w:t>
      </w:r>
    </w:p>
    <w:p>
      <w:pPr>
        <w:widowControl/>
        <w:spacing w:line="360" w:lineRule="auto"/>
        <w:ind w:firstLine="420" w:firstLineChars="200"/>
        <w:jc w:val="left"/>
        <w:rPr>
          <w:rFonts w:hint="eastAsia" w:ascii="宋体" w:hAnsi="宋体" w:cs="宋体"/>
          <w:color w:val="auto"/>
          <w:highlight w:val="none"/>
        </w:rPr>
      </w:pPr>
      <w:r>
        <w:rPr>
          <w:rFonts w:hint="eastAsia" w:ascii="宋体" w:hAnsi="宋体" w:cs="宋体"/>
          <w:color w:val="auto"/>
          <w:highlight w:val="none"/>
        </w:rPr>
        <w:t>2、承租户咨询及有效投诉办结率为100%。</w:t>
      </w:r>
    </w:p>
    <w:p>
      <w:pPr>
        <w:widowControl/>
        <w:spacing w:line="360" w:lineRule="auto"/>
        <w:ind w:firstLine="420" w:firstLineChars="200"/>
        <w:jc w:val="left"/>
        <w:rPr>
          <w:rFonts w:hint="eastAsia" w:ascii="宋体" w:hAnsi="宋体" w:cs="宋体"/>
          <w:color w:val="auto"/>
          <w:highlight w:val="none"/>
        </w:rPr>
      </w:pPr>
      <w:r>
        <w:rPr>
          <w:rFonts w:hint="eastAsia" w:ascii="宋体" w:hAnsi="宋体" w:cs="宋体"/>
          <w:color w:val="auto"/>
          <w:highlight w:val="none"/>
        </w:rPr>
        <w:t>（三）物业服务和停车管理收费标准和结算支付方式</w:t>
      </w:r>
    </w:p>
    <w:p>
      <w:pPr>
        <w:widowControl/>
        <w:spacing w:line="360" w:lineRule="auto"/>
        <w:ind w:firstLine="420" w:firstLineChars="200"/>
        <w:jc w:val="left"/>
        <w:rPr>
          <w:rFonts w:hint="eastAsia" w:ascii="宋体" w:hAnsi="宋体" w:cs="宋体"/>
          <w:color w:val="auto"/>
          <w:highlight w:val="none"/>
        </w:rPr>
      </w:pPr>
      <w:r>
        <w:rPr>
          <w:rFonts w:hint="eastAsia" w:ascii="宋体" w:hAnsi="宋体" w:cs="宋体"/>
          <w:color w:val="auto"/>
          <w:highlight w:val="none"/>
        </w:rPr>
        <w:t>1、本小区经物价部门审核，遵照甬物价审批[2014]30号文件规定，确定物业服务收费标准为：多层住宅每月每平方米1.1元，小高层住宅每月每平方米1.55元，高层住宅每月每平方米1.9元，商业用房每月每平方米2.2元，办公用房每月每平方米2.5元。</w:t>
      </w:r>
    </w:p>
    <w:p>
      <w:pPr>
        <w:widowControl/>
        <w:spacing w:line="360" w:lineRule="auto"/>
        <w:ind w:firstLine="420" w:firstLineChars="200"/>
        <w:jc w:val="left"/>
        <w:rPr>
          <w:rFonts w:hint="eastAsia" w:ascii="宋体" w:hAnsi="宋体" w:cs="宋体"/>
          <w:color w:val="auto"/>
          <w:highlight w:val="none"/>
        </w:rPr>
      </w:pPr>
      <w:r>
        <w:rPr>
          <w:rFonts w:hint="eastAsia" w:ascii="宋体" w:hAnsi="宋体" w:cs="宋体"/>
          <w:color w:val="auto"/>
          <w:highlight w:val="none"/>
        </w:rPr>
        <w:t>2、停车管理费按照市场价标准向停车人收取。</w:t>
      </w:r>
    </w:p>
    <w:p>
      <w:pPr>
        <w:widowControl/>
        <w:spacing w:line="360" w:lineRule="auto"/>
        <w:ind w:firstLine="420" w:firstLineChars="200"/>
        <w:jc w:val="left"/>
        <w:rPr>
          <w:rFonts w:hint="eastAsia" w:ascii="宋体" w:hAnsi="宋体" w:cs="宋体"/>
          <w:color w:val="auto"/>
          <w:highlight w:val="none"/>
        </w:rPr>
      </w:pPr>
      <w:r>
        <w:rPr>
          <w:rFonts w:hint="eastAsia" w:ascii="宋体" w:hAnsi="宋体" w:cs="宋体"/>
          <w:color w:val="auto"/>
          <w:highlight w:val="none"/>
        </w:rPr>
        <w:t>3、物业管理服务费的结算与支付方式：</w:t>
      </w:r>
    </w:p>
    <w:p>
      <w:pPr>
        <w:spacing w:line="360" w:lineRule="auto"/>
        <w:ind w:firstLine="420" w:firstLineChars="200"/>
        <w:rPr>
          <w:rFonts w:hint="eastAsia" w:ascii="宋体" w:hAnsi="宋体" w:cs="宋体"/>
          <w:color w:val="auto"/>
          <w:highlight w:val="none"/>
        </w:rPr>
      </w:pPr>
      <w:r>
        <w:rPr>
          <w:rFonts w:hint="eastAsia" w:ascii="宋体" w:hAnsi="宋体" w:cs="宋体"/>
          <w:color w:val="auto"/>
          <w:highlight w:val="none"/>
        </w:rPr>
        <w:t>⑴住宅部分</w:t>
      </w:r>
    </w:p>
    <w:p>
      <w:pPr>
        <w:widowControl/>
        <w:spacing w:line="360" w:lineRule="auto"/>
        <w:ind w:firstLine="420" w:firstLineChars="200"/>
        <w:jc w:val="left"/>
        <w:rPr>
          <w:rFonts w:hint="eastAsia" w:ascii="宋体" w:hAnsi="宋体" w:cs="宋体"/>
          <w:color w:val="auto"/>
          <w:highlight w:val="none"/>
        </w:rPr>
      </w:pPr>
      <w:r>
        <w:rPr>
          <w:rFonts w:hint="eastAsia" w:ascii="宋体" w:hAnsi="宋体" w:cs="宋体"/>
          <w:color w:val="auto"/>
          <w:highlight w:val="none"/>
        </w:rPr>
        <w:t>本小区住宅（含空关房）部分物业服务管理费统一由江北区住房保障中心支付给中标人，并采用年度物业服务费包干与业绩考核相结合的原则。江北区住房保障中心每半年向中标单位支付应支付额的40%，剩余20%在当年年度业绩考核后，按合同及考核细则相关规定予以支付。</w:t>
      </w:r>
    </w:p>
    <w:p>
      <w:pPr>
        <w:widowControl/>
        <w:spacing w:line="360" w:lineRule="auto"/>
        <w:ind w:firstLine="420" w:firstLineChars="200"/>
        <w:jc w:val="left"/>
        <w:rPr>
          <w:rFonts w:hint="eastAsia" w:ascii="宋体" w:hAnsi="宋体" w:cs="宋体"/>
          <w:color w:val="auto"/>
          <w:highlight w:val="none"/>
        </w:rPr>
      </w:pPr>
      <w:r>
        <w:rPr>
          <w:rFonts w:hint="eastAsia" w:ascii="宋体" w:hAnsi="宋体" w:cs="宋体"/>
          <w:color w:val="auto"/>
          <w:highlight w:val="none"/>
        </w:rPr>
        <w:t>⑵配套设施部分</w:t>
      </w:r>
    </w:p>
    <w:p>
      <w:pPr>
        <w:widowControl/>
        <w:spacing w:line="360" w:lineRule="auto"/>
        <w:ind w:firstLine="420" w:firstLineChars="200"/>
        <w:jc w:val="left"/>
        <w:rPr>
          <w:rFonts w:hint="eastAsia" w:ascii="宋体" w:hAnsi="宋体" w:cs="宋体"/>
          <w:color w:val="auto"/>
          <w:highlight w:val="none"/>
        </w:rPr>
      </w:pPr>
      <w:r>
        <w:rPr>
          <w:rFonts w:hint="eastAsia" w:ascii="宋体" w:hAnsi="宋体" w:cs="宋体"/>
          <w:color w:val="auto"/>
          <w:highlight w:val="none"/>
        </w:rPr>
        <w:t>①本小区未出售或未出租的商业和办公用房物业服务管理费统一由招标人支付给中标人，费用按住宅部分支付方式予以支付。</w:t>
      </w:r>
    </w:p>
    <w:p>
      <w:pPr>
        <w:widowControl/>
        <w:numPr>
          <w:ilvl w:val="0"/>
          <w:numId w:val="1"/>
        </w:numPr>
        <w:spacing w:line="360" w:lineRule="auto"/>
        <w:jc w:val="left"/>
        <w:rPr>
          <w:rFonts w:hint="eastAsia" w:ascii="宋体" w:hAnsi="宋体" w:cs="宋体"/>
          <w:color w:val="auto"/>
          <w:highlight w:val="none"/>
        </w:rPr>
      </w:pPr>
      <w:r>
        <w:rPr>
          <w:rFonts w:hint="eastAsia" w:ascii="宋体" w:hAnsi="宋体" w:cs="宋体"/>
          <w:color w:val="auto"/>
          <w:highlight w:val="none"/>
        </w:rPr>
        <w:t>本小区出售或出租的商业和办公用房物业服务管理费由中标单位按相关收费标准向住户或承租户收取。</w:t>
      </w:r>
    </w:p>
    <w:p>
      <w:pPr>
        <w:widowControl/>
        <w:spacing w:line="360" w:lineRule="auto"/>
        <w:ind w:firstLine="420" w:firstLineChars="200"/>
        <w:jc w:val="left"/>
        <w:rPr>
          <w:rFonts w:hint="eastAsia" w:ascii="宋体" w:hAnsi="宋体" w:cs="宋体"/>
          <w:color w:val="auto"/>
          <w:highlight w:val="none"/>
        </w:rPr>
      </w:pPr>
      <w:r>
        <w:rPr>
          <w:rFonts w:hint="eastAsia" w:ascii="宋体" w:hAnsi="宋体" w:cs="宋体"/>
          <w:color w:val="auto"/>
          <w:highlight w:val="none"/>
        </w:rPr>
        <w:t>③小区租赁服务中心、社区用房、活动中心、半地下非机动车停车位及地下停车位招标单位均不另行支付物业管理服务费。</w:t>
      </w:r>
    </w:p>
    <w:p>
      <w:pPr>
        <w:widowControl/>
        <w:spacing w:line="360" w:lineRule="auto"/>
        <w:ind w:firstLine="420" w:firstLineChars="200"/>
        <w:jc w:val="left"/>
        <w:rPr>
          <w:rFonts w:hint="eastAsia" w:ascii="宋体" w:hAnsi="宋体" w:cs="宋体"/>
          <w:color w:val="auto"/>
          <w:highlight w:val="none"/>
        </w:rPr>
      </w:pPr>
      <w:r>
        <w:rPr>
          <w:rFonts w:hint="eastAsia" w:ascii="宋体" w:hAnsi="宋体" w:cs="宋体"/>
          <w:color w:val="auto"/>
          <w:highlight w:val="none"/>
        </w:rPr>
        <w:t>4、物业经营用房收入和小区停车位收费等各项经营收入属招标人所有，中标单位应单独列帐。其中物业经营用房及各项经营性收益委托中标单位用于小区共用部位、共用设施设备维修及小区物业服务品质提升开支；小区停车费委托中标单位全部用于地下室各项维护开支，中标单位不得挪作他用。</w:t>
      </w:r>
    </w:p>
    <w:p>
      <w:pPr>
        <w:widowControl/>
        <w:spacing w:line="360" w:lineRule="auto"/>
        <w:ind w:firstLine="420" w:firstLineChars="200"/>
        <w:jc w:val="left"/>
        <w:rPr>
          <w:rFonts w:hint="eastAsia" w:ascii="宋体" w:hAnsi="宋体" w:cs="宋体"/>
          <w:color w:val="auto"/>
          <w:highlight w:val="none"/>
        </w:rPr>
      </w:pPr>
      <w:r>
        <w:rPr>
          <w:rFonts w:hint="eastAsia" w:ascii="宋体" w:hAnsi="宋体" w:cs="宋体"/>
          <w:color w:val="auto"/>
          <w:highlight w:val="none"/>
        </w:rPr>
        <w:t>5、住宅部分电梯能耗、公共照明、半地下室非机动车停车位照明、增压水泵等公共能耗费在中标单位管理服务成本中列支；商业、办公电梯能耗、公共照明等公共能耗由中标单位按规定向住户或承租户收取。</w:t>
      </w:r>
    </w:p>
    <w:p>
      <w:pPr>
        <w:spacing w:line="360" w:lineRule="auto"/>
        <w:ind w:firstLine="422" w:firstLineChars="200"/>
        <w:rPr>
          <w:rFonts w:hint="eastAsia" w:ascii="宋体" w:hAnsi="宋体" w:cs="宋体"/>
          <w:b/>
          <w:color w:val="auto"/>
          <w:highlight w:val="none"/>
        </w:rPr>
      </w:pPr>
      <w:r>
        <w:rPr>
          <w:rFonts w:hint="eastAsia" w:ascii="宋体" w:hAnsi="宋体" w:cs="宋体"/>
          <w:b/>
          <w:color w:val="auto"/>
          <w:highlight w:val="none"/>
        </w:rPr>
        <w:t>B、住宅租赁服务管理</w:t>
      </w:r>
    </w:p>
    <w:p>
      <w:pPr>
        <w:spacing w:line="360" w:lineRule="auto"/>
        <w:ind w:firstLine="420" w:firstLineChars="200"/>
        <w:rPr>
          <w:rFonts w:hint="eastAsia" w:ascii="宋体" w:hAnsi="宋体" w:cs="宋体"/>
          <w:color w:val="auto"/>
          <w:highlight w:val="none"/>
        </w:rPr>
      </w:pPr>
      <w:r>
        <w:rPr>
          <w:rFonts w:hint="eastAsia" w:ascii="宋体" w:hAnsi="宋体" w:cs="宋体"/>
          <w:color w:val="auto"/>
          <w:highlight w:val="none"/>
        </w:rPr>
        <w:t>招标单位将本小区所有公共租赁住房部分的日常租赁服务及管理委托给中标单位。</w:t>
      </w:r>
    </w:p>
    <w:p>
      <w:pPr>
        <w:spacing w:line="360" w:lineRule="auto"/>
        <w:ind w:firstLine="420" w:firstLineChars="200"/>
        <w:rPr>
          <w:rFonts w:hint="eastAsia" w:ascii="宋体" w:hAnsi="宋体" w:cs="宋体"/>
          <w:color w:val="auto"/>
          <w:highlight w:val="none"/>
        </w:rPr>
      </w:pPr>
      <w:r>
        <w:rPr>
          <w:rFonts w:hint="eastAsia" w:ascii="宋体" w:hAnsi="宋体" w:cs="宋体"/>
          <w:color w:val="auto"/>
          <w:highlight w:val="none"/>
        </w:rPr>
        <w:t>（一）租赁服务管理内容</w:t>
      </w:r>
    </w:p>
    <w:p>
      <w:pPr>
        <w:widowControl/>
        <w:spacing w:line="360" w:lineRule="auto"/>
        <w:ind w:firstLine="420" w:firstLineChars="200"/>
        <w:jc w:val="left"/>
        <w:rPr>
          <w:rFonts w:hint="eastAsia" w:ascii="宋体" w:hAnsi="宋体" w:cs="宋体"/>
          <w:color w:val="auto"/>
          <w:highlight w:val="none"/>
        </w:rPr>
      </w:pPr>
      <w:r>
        <w:rPr>
          <w:rFonts w:hint="eastAsia" w:ascii="宋体" w:hAnsi="宋体" w:cs="宋体"/>
          <w:color w:val="auto"/>
          <w:highlight w:val="none"/>
        </w:rPr>
        <w:t>1、合同档案管理</w:t>
      </w:r>
    </w:p>
    <w:p>
      <w:pPr>
        <w:widowControl/>
        <w:spacing w:line="360" w:lineRule="auto"/>
        <w:ind w:firstLine="420" w:firstLineChars="200"/>
        <w:jc w:val="left"/>
        <w:rPr>
          <w:rFonts w:hint="eastAsia" w:ascii="宋体" w:hAnsi="宋体" w:cs="宋体"/>
          <w:color w:val="auto"/>
          <w:highlight w:val="none"/>
        </w:rPr>
      </w:pPr>
      <w:r>
        <w:rPr>
          <w:rFonts w:hint="eastAsia" w:ascii="宋体" w:hAnsi="宋体" w:cs="宋体"/>
          <w:color w:val="auto"/>
          <w:highlight w:val="none"/>
        </w:rPr>
        <w:t>中标单位凭招标单位委托与承租住户签订《公共租赁住房租赁合同》，按招标单位提供的租后信息化管理系统要求做好承租住户信息、档案管理、数据统计等工作。</w:t>
      </w:r>
    </w:p>
    <w:p>
      <w:pPr>
        <w:widowControl/>
        <w:spacing w:line="360" w:lineRule="auto"/>
        <w:ind w:firstLine="420" w:firstLineChars="200"/>
        <w:jc w:val="left"/>
        <w:rPr>
          <w:rFonts w:hint="eastAsia" w:ascii="宋体" w:hAnsi="宋体" w:cs="宋体"/>
          <w:color w:val="auto"/>
          <w:highlight w:val="none"/>
        </w:rPr>
      </w:pPr>
      <w:r>
        <w:rPr>
          <w:rFonts w:hint="eastAsia" w:ascii="宋体" w:hAnsi="宋体" w:cs="宋体"/>
          <w:color w:val="auto"/>
          <w:highlight w:val="none"/>
        </w:rPr>
        <w:t>2、日常配租管理</w:t>
      </w:r>
    </w:p>
    <w:p>
      <w:pPr>
        <w:widowControl/>
        <w:spacing w:line="360" w:lineRule="auto"/>
        <w:ind w:firstLine="420" w:firstLineChars="200"/>
        <w:jc w:val="left"/>
        <w:rPr>
          <w:rFonts w:hint="eastAsia" w:ascii="宋体" w:hAnsi="宋体" w:cs="宋体"/>
          <w:color w:val="auto"/>
          <w:highlight w:val="none"/>
        </w:rPr>
      </w:pPr>
      <w:r>
        <w:rPr>
          <w:rFonts w:hint="eastAsia" w:ascii="宋体" w:hAnsi="宋体" w:cs="宋体"/>
          <w:color w:val="auto"/>
          <w:highlight w:val="none"/>
        </w:rPr>
        <w:t>⑴办理入住和退租手续。中标单位应组织人员对入住或退出时房屋设施完好情况进行检查，确认《房屋设施交验记录》；记录水、电、煤气表读数；退出时收回身份识别卡和钥匙；对人为损坏或擅自装修行为予以处理和备案。</w:t>
      </w:r>
    </w:p>
    <w:p>
      <w:pPr>
        <w:widowControl/>
        <w:spacing w:line="360" w:lineRule="auto"/>
        <w:ind w:firstLine="420" w:firstLineChars="200"/>
        <w:jc w:val="left"/>
        <w:rPr>
          <w:rFonts w:hint="eastAsia" w:ascii="宋体" w:hAnsi="宋体" w:cs="宋体"/>
          <w:color w:val="auto"/>
          <w:highlight w:val="none"/>
        </w:rPr>
      </w:pPr>
      <w:r>
        <w:rPr>
          <w:rFonts w:hint="eastAsia" w:ascii="宋体" w:hAnsi="宋体" w:cs="宋体"/>
          <w:color w:val="auto"/>
          <w:highlight w:val="none"/>
        </w:rPr>
        <w:t>⑵入户调查工作。中标单位应积极协助有关部门做好入户调查工作，及时掌握承租住户有关情况，入户调查每户每年不少于两次，主要内容：</w:t>
      </w:r>
    </w:p>
    <w:p>
      <w:pPr>
        <w:widowControl/>
        <w:spacing w:line="360" w:lineRule="auto"/>
        <w:ind w:firstLine="420" w:firstLineChars="200"/>
        <w:jc w:val="left"/>
        <w:rPr>
          <w:rFonts w:hint="eastAsia" w:ascii="宋体" w:hAnsi="宋体" w:cs="宋体"/>
          <w:color w:val="auto"/>
          <w:highlight w:val="none"/>
        </w:rPr>
      </w:pPr>
      <w:r>
        <w:rPr>
          <w:rFonts w:hint="eastAsia" w:ascii="宋体" w:hAnsi="宋体" w:cs="宋体"/>
          <w:color w:val="auto"/>
          <w:highlight w:val="none"/>
        </w:rPr>
        <w:t>①有无转借、转租或擅自调换所承租住房；</w:t>
      </w:r>
    </w:p>
    <w:p>
      <w:pPr>
        <w:widowControl/>
        <w:spacing w:line="360" w:lineRule="auto"/>
        <w:ind w:firstLine="420" w:firstLineChars="200"/>
        <w:jc w:val="left"/>
        <w:rPr>
          <w:rFonts w:hint="eastAsia" w:ascii="宋体" w:hAnsi="宋体" w:cs="宋体"/>
          <w:color w:val="auto"/>
          <w:highlight w:val="none"/>
        </w:rPr>
      </w:pPr>
      <w:r>
        <w:rPr>
          <w:rFonts w:hint="eastAsia" w:ascii="宋体" w:hAnsi="宋体" w:cs="宋体"/>
          <w:color w:val="auto"/>
          <w:highlight w:val="none"/>
        </w:rPr>
        <w:t>②有无改变所承租住房用途；</w:t>
      </w:r>
    </w:p>
    <w:p>
      <w:pPr>
        <w:widowControl/>
        <w:spacing w:line="360" w:lineRule="auto"/>
        <w:ind w:firstLine="420" w:firstLineChars="200"/>
        <w:jc w:val="left"/>
        <w:rPr>
          <w:rFonts w:hint="eastAsia" w:ascii="宋体" w:hAnsi="宋体" w:cs="宋体"/>
          <w:color w:val="auto"/>
          <w:highlight w:val="none"/>
        </w:rPr>
      </w:pPr>
      <w:r>
        <w:rPr>
          <w:rFonts w:hint="eastAsia" w:ascii="宋体" w:hAnsi="宋体" w:cs="宋体"/>
          <w:color w:val="auto"/>
          <w:highlight w:val="none"/>
        </w:rPr>
        <w:t>③有无破坏或者擅自装修；</w:t>
      </w:r>
    </w:p>
    <w:p>
      <w:pPr>
        <w:widowControl/>
        <w:spacing w:line="360" w:lineRule="auto"/>
        <w:ind w:firstLine="420" w:firstLineChars="200"/>
        <w:jc w:val="left"/>
        <w:rPr>
          <w:rFonts w:hint="eastAsia" w:ascii="宋体" w:hAnsi="宋体" w:cs="宋体"/>
          <w:color w:val="auto"/>
          <w:highlight w:val="none"/>
        </w:rPr>
      </w:pPr>
      <w:r>
        <w:rPr>
          <w:rFonts w:hint="eastAsia" w:ascii="宋体" w:hAnsi="宋体" w:cs="宋体"/>
          <w:color w:val="auto"/>
          <w:highlight w:val="none"/>
        </w:rPr>
        <w:t>④有无从事违法活动；</w:t>
      </w:r>
    </w:p>
    <w:p>
      <w:pPr>
        <w:widowControl/>
        <w:spacing w:line="360" w:lineRule="auto"/>
        <w:ind w:firstLine="420" w:firstLineChars="200"/>
        <w:jc w:val="left"/>
        <w:rPr>
          <w:rFonts w:hint="eastAsia" w:ascii="宋体" w:hAnsi="宋体" w:cs="宋体"/>
          <w:color w:val="auto"/>
          <w:highlight w:val="none"/>
        </w:rPr>
      </w:pPr>
      <w:r>
        <w:rPr>
          <w:rFonts w:hint="eastAsia" w:ascii="宋体" w:hAnsi="宋体" w:cs="宋体"/>
          <w:color w:val="auto"/>
          <w:highlight w:val="none"/>
        </w:rPr>
        <w:t>⑤有无连续3个月以上闲置住房；</w:t>
      </w:r>
    </w:p>
    <w:p>
      <w:pPr>
        <w:widowControl/>
        <w:spacing w:line="360" w:lineRule="auto"/>
        <w:ind w:firstLine="420" w:firstLineChars="200"/>
        <w:jc w:val="left"/>
        <w:rPr>
          <w:rFonts w:hint="eastAsia" w:ascii="宋体" w:hAnsi="宋体" w:cs="宋体"/>
          <w:color w:val="auto"/>
          <w:highlight w:val="none"/>
        </w:rPr>
      </w:pPr>
      <w:r>
        <w:rPr>
          <w:rFonts w:hint="eastAsia" w:ascii="宋体" w:hAnsi="宋体" w:cs="宋体"/>
          <w:color w:val="auto"/>
          <w:highlight w:val="none"/>
        </w:rPr>
        <w:t>⑥有无其他有违反规定行为等情况。　</w:t>
      </w:r>
    </w:p>
    <w:p>
      <w:pPr>
        <w:widowControl/>
        <w:spacing w:line="360" w:lineRule="auto"/>
        <w:ind w:firstLine="420" w:firstLineChars="200"/>
        <w:jc w:val="left"/>
        <w:rPr>
          <w:rFonts w:hint="eastAsia" w:ascii="宋体" w:hAnsi="宋体" w:cs="宋体"/>
          <w:color w:val="auto"/>
          <w:highlight w:val="none"/>
        </w:rPr>
      </w:pPr>
      <w:r>
        <w:rPr>
          <w:rFonts w:hint="eastAsia" w:ascii="宋体" w:hAnsi="宋体" w:cs="宋体"/>
          <w:color w:val="auto"/>
          <w:highlight w:val="none"/>
        </w:rPr>
        <w:t>如发现存在上述情形的，中标单位应予以制止、责令改正并及时报告有关部门。</w:t>
      </w:r>
    </w:p>
    <w:p>
      <w:pPr>
        <w:widowControl/>
        <w:spacing w:line="360" w:lineRule="auto"/>
        <w:ind w:firstLine="420" w:firstLineChars="200"/>
        <w:jc w:val="left"/>
        <w:rPr>
          <w:rFonts w:hint="eastAsia" w:ascii="宋体" w:hAnsi="宋体" w:cs="宋体"/>
          <w:color w:val="auto"/>
          <w:highlight w:val="none"/>
        </w:rPr>
      </w:pPr>
      <w:r>
        <w:rPr>
          <w:rFonts w:hint="eastAsia" w:ascii="宋体" w:hAnsi="宋体" w:cs="宋体"/>
          <w:color w:val="auto"/>
          <w:highlight w:val="none"/>
        </w:rPr>
        <w:t>⑶做好公租房的租金及相关费用的催缴工作。</w:t>
      </w:r>
    </w:p>
    <w:p>
      <w:pPr>
        <w:widowControl/>
        <w:spacing w:line="360" w:lineRule="auto"/>
        <w:ind w:firstLine="420" w:firstLineChars="200"/>
        <w:jc w:val="left"/>
        <w:rPr>
          <w:rFonts w:hint="eastAsia" w:ascii="宋体" w:hAnsi="宋体" w:cs="宋体"/>
          <w:color w:val="auto"/>
          <w:highlight w:val="none"/>
        </w:rPr>
      </w:pPr>
      <w:r>
        <w:rPr>
          <w:rFonts w:hint="eastAsia" w:ascii="宋体" w:hAnsi="宋体" w:cs="宋体"/>
          <w:color w:val="auto"/>
          <w:highlight w:val="none"/>
        </w:rPr>
        <w:t>⑷配合江北区住房保障中心对承租住户的年审工作。</w:t>
      </w:r>
    </w:p>
    <w:p>
      <w:pPr>
        <w:widowControl/>
        <w:spacing w:line="360" w:lineRule="auto"/>
        <w:ind w:firstLine="420" w:firstLineChars="200"/>
        <w:jc w:val="left"/>
        <w:rPr>
          <w:rFonts w:hint="eastAsia" w:ascii="宋体" w:hAnsi="宋体" w:cs="宋体"/>
          <w:color w:val="auto"/>
          <w:highlight w:val="none"/>
        </w:rPr>
      </w:pPr>
      <w:r>
        <w:rPr>
          <w:rFonts w:hint="eastAsia" w:ascii="宋体" w:hAnsi="宋体" w:cs="宋体"/>
          <w:color w:val="auto"/>
          <w:highlight w:val="none"/>
        </w:rPr>
        <w:t>⑸室内装饰、设施设备的维护与保修</w:t>
      </w:r>
    </w:p>
    <w:p>
      <w:pPr>
        <w:widowControl/>
        <w:spacing w:line="360" w:lineRule="auto"/>
        <w:ind w:firstLine="420" w:firstLineChars="200"/>
        <w:jc w:val="left"/>
        <w:rPr>
          <w:rFonts w:hint="eastAsia" w:ascii="宋体" w:hAnsi="宋体" w:cs="宋体"/>
          <w:color w:val="auto"/>
          <w:highlight w:val="none"/>
        </w:rPr>
      </w:pPr>
      <w:r>
        <w:rPr>
          <w:rFonts w:hint="eastAsia" w:ascii="宋体" w:hAnsi="宋体" w:cs="宋体"/>
          <w:color w:val="auto"/>
          <w:highlight w:val="none"/>
        </w:rPr>
        <w:t>①招标单位委托中标单位进行建筑物室内装修及设施、设备管理与维护，使之能正常使用。</w:t>
      </w:r>
    </w:p>
    <w:p>
      <w:pPr>
        <w:widowControl/>
        <w:spacing w:line="360" w:lineRule="auto"/>
        <w:ind w:firstLine="420" w:firstLineChars="200"/>
        <w:jc w:val="left"/>
        <w:rPr>
          <w:rFonts w:hint="eastAsia" w:ascii="宋体" w:hAnsi="宋体" w:cs="宋体"/>
          <w:color w:val="auto"/>
          <w:highlight w:val="none"/>
        </w:rPr>
      </w:pPr>
      <w:r>
        <w:rPr>
          <w:rFonts w:hint="eastAsia" w:ascii="宋体" w:hAnsi="宋体" w:cs="宋体"/>
          <w:color w:val="auto"/>
          <w:highlight w:val="none"/>
        </w:rPr>
        <w:t>②保修期内原则上由原项目施工单位负责维修。如中标单位接到室内装修及设备设施的报修，须及时通知保修责任单位，并配合和跟踪维修进展情况，对维修完成情况进行验收和记录存档。招标单位不另行支付费用。</w:t>
      </w:r>
    </w:p>
    <w:p>
      <w:pPr>
        <w:spacing w:line="360" w:lineRule="auto"/>
        <w:ind w:firstLine="420" w:firstLineChars="200"/>
        <w:rPr>
          <w:rFonts w:hint="eastAsia" w:ascii="宋体" w:hAnsi="宋体" w:cs="宋体"/>
          <w:color w:val="auto"/>
          <w:highlight w:val="none"/>
        </w:rPr>
      </w:pPr>
      <w:r>
        <w:rPr>
          <w:rFonts w:hint="eastAsia" w:ascii="宋体" w:hAnsi="宋体" w:cs="宋体"/>
          <w:color w:val="auto"/>
          <w:highlight w:val="none"/>
        </w:rPr>
        <w:t>③保修期外，中标单位应定期编制室内装饰及设施设备维保计划、施工方案和维修预算，报招标单位备案同意后组织实施维修，维修费用按实结算，招标单位按工程费用的5%支付管理费。</w:t>
      </w:r>
    </w:p>
    <w:p>
      <w:pPr>
        <w:spacing w:line="360" w:lineRule="auto"/>
        <w:ind w:left="149" w:leftChars="71" w:firstLine="315" w:firstLineChars="150"/>
        <w:rPr>
          <w:rFonts w:hint="eastAsia" w:ascii="宋体" w:hAnsi="宋体" w:cs="宋体"/>
          <w:color w:val="auto"/>
          <w:highlight w:val="none"/>
        </w:rPr>
      </w:pPr>
      <w:r>
        <w:rPr>
          <w:rFonts w:hint="eastAsia" w:ascii="宋体" w:hAnsi="宋体" w:cs="宋体"/>
          <w:color w:val="auto"/>
          <w:highlight w:val="none"/>
        </w:rPr>
        <w:t>④零星维护、清理费用由中标单位承担。</w:t>
      </w:r>
    </w:p>
    <w:p>
      <w:pPr>
        <w:spacing w:line="360" w:lineRule="auto"/>
        <w:ind w:firstLine="420" w:firstLineChars="200"/>
        <w:rPr>
          <w:rFonts w:hint="eastAsia" w:ascii="宋体" w:hAnsi="宋体" w:cs="宋体"/>
          <w:color w:val="auto"/>
          <w:highlight w:val="none"/>
        </w:rPr>
      </w:pPr>
      <w:r>
        <w:rPr>
          <w:rFonts w:hint="eastAsia" w:ascii="宋体" w:hAnsi="宋体" w:cs="宋体"/>
          <w:color w:val="auto"/>
          <w:highlight w:val="none"/>
        </w:rPr>
        <w:t>3、信息系统运营管理</w:t>
      </w:r>
    </w:p>
    <w:p>
      <w:pPr>
        <w:spacing w:line="360" w:lineRule="auto"/>
        <w:ind w:firstLine="420" w:firstLineChars="200"/>
        <w:rPr>
          <w:rFonts w:hint="eastAsia" w:ascii="宋体" w:hAnsi="宋体" w:cs="宋体"/>
          <w:b/>
          <w:color w:val="auto"/>
          <w:highlight w:val="none"/>
        </w:rPr>
      </w:pPr>
      <w:r>
        <w:rPr>
          <w:rFonts w:hint="eastAsia" w:ascii="宋体" w:hAnsi="宋体" w:cs="宋体"/>
          <w:color w:val="auto"/>
          <w:highlight w:val="none"/>
        </w:rPr>
        <w:t>中标单位应采用“公共租赁住房租后信息化管理系统”进行管理，并承担该系统的维护费用。</w:t>
      </w:r>
    </w:p>
    <w:p>
      <w:pPr>
        <w:spacing w:line="360" w:lineRule="auto"/>
        <w:ind w:firstLine="420" w:firstLineChars="200"/>
        <w:rPr>
          <w:rFonts w:hint="eastAsia" w:ascii="宋体" w:hAnsi="宋体" w:cs="宋体"/>
          <w:color w:val="auto"/>
          <w:highlight w:val="none"/>
        </w:rPr>
      </w:pPr>
      <w:r>
        <w:rPr>
          <w:rFonts w:hint="eastAsia" w:ascii="宋体" w:hAnsi="宋体" w:cs="宋体"/>
          <w:color w:val="auto"/>
          <w:highlight w:val="none"/>
        </w:rPr>
        <w:t>（二）租赁服务管理要求</w:t>
      </w:r>
    </w:p>
    <w:p>
      <w:pPr>
        <w:spacing w:line="360" w:lineRule="auto"/>
        <w:ind w:firstLine="420" w:firstLineChars="200"/>
        <w:rPr>
          <w:rFonts w:hint="eastAsia" w:ascii="宋体" w:hAnsi="宋体" w:cs="宋体"/>
          <w:color w:val="auto"/>
          <w:highlight w:val="none"/>
        </w:rPr>
      </w:pPr>
      <w:r>
        <w:rPr>
          <w:rFonts w:hint="eastAsia" w:ascii="宋体" w:hAnsi="宋体" w:cs="宋体"/>
          <w:color w:val="auto"/>
          <w:highlight w:val="none"/>
        </w:rPr>
        <w:t>1、中标单位应组织相关人员做好项目交接工作，配合招标单位做好承租住户接待及各种资料移交、归档等工作；</w:t>
      </w:r>
    </w:p>
    <w:p>
      <w:pPr>
        <w:spacing w:line="360" w:lineRule="auto"/>
        <w:ind w:firstLine="420" w:firstLineChars="200"/>
        <w:rPr>
          <w:rFonts w:hint="eastAsia" w:ascii="宋体" w:hAnsi="宋体" w:cs="宋体"/>
          <w:color w:val="auto"/>
          <w:highlight w:val="none"/>
        </w:rPr>
      </w:pPr>
      <w:r>
        <w:rPr>
          <w:rFonts w:hint="eastAsia" w:ascii="宋体" w:hAnsi="宋体" w:cs="宋体"/>
          <w:color w:val="auto"/>
          <w:highlight w:val="none"/>
        </w:rPr>
        <w:t>2、中标单位应建立完善的租金催缴工作制度，做好相关记录并妥善保留相关证据。</w:t>
      </w:r>
    </w:p>
    <w:p>
      <w:pPr>
        <w:spacing w:line="360" w:lineRule="auto"/>
        <w:ind w:firstLine="420" w:firstLineChars="200"/>
        <w:rPr>
          <w:rFonts w:hint="eastAsia" w:ascii="宋体" w:hAnsi="宋体" w:cs="宋体"/>
          <w:color w:val="auto"/>
          <w:highlight w:val="none"/>
        </w:rPr>
      </w:pPr>
      <w:r>
        <w:rPr>
          <w:rFonts w:hint="eastAsia" w:ascii="宋体" w:hAnsi="宋体" w:cs="宋体"/>
          <w:color w:val="auto"/>
          <w:highlight w:val="none"/>
        </w:rPr>
        <w:t>3、</w:t>
      </w:r>
      <w:r>
        <w:rPr>
          <w:rFonts w:hint="eastAsia" w:ascii="宋体" w:hAnsi="宋体" w:cs="宋体"/>
          <w:bCs/>
          <w:color w:val="auto"/>
          <w:highlight w:val="none"/>
        </w:rPr>
        <w:t>建立空关房巡查制度，定期对空关房进行保洁和设施设备维护，并做好相关记录。</w:t>
      </w:r>
    </w:p>
    <w:p>
      <w:pPr>
        <w:spacing w:line="360" w:lineRule="auto"/>
        <w:ind w:firstLine="420" w:firstLineChars="200"/>
        <w:rPr>
          <w:rFonts w:hint="eastAsia" w:ascii="宋体" w:hAnsi="宋体" w:cs="宋体"/>
          <w:color w:val="auto"/>
          <w:highlight w:val="none"/>
        </w:rPr>
      </w:pPr>
      <w:r>
        <w:rPr>
          <w:rFonts w:hint="eastAsia" w:ascii="宋体" w:hAnsi="宋体" w:cs="宋体"/>
          <w:color w:val="auto"/>
          <w:highlight w:val="none"/>
        </w:rPr>
        <w:t>（三）费用支付方式</w:t>
      </w:r>
    </w:p>
    <w:p>
      <w:pPr>
        <w:spacing w:line="360" w:lineRule="auto"/>
        <w:ind w:firstLine="420" w:firstLineChars="200"/>
        <w:rPr>
          <w:rFonts w:hint="eastAsia" w:ascii="宋体" w:hAnsi="宋体" w:cs="宋体"/>
          <w:color w:val="auto"/>
          <w:highlight w:val="none"/>
        </w:rPr>
        <w:sectPr>
          <w:pgSz w:w="11906" w:h="16838"/>
          <w:pgMar w:top="1417" w:right="1418" w:bottom="1417" w:left="1418" w:header="851" w:footer="992" w:gutter="0"/>
          <w:cols w:space="720" w:num="1"/>
          <w:docGrid w:type="lines" w:linePitch="312" w:charSpace="0"/>
        </w:sectPr>
      </w:pPr>
      <w:r>
        <w:rPr>
          <w:rFonts w:hint="eastAsia" w:ascii="宋体" w:hAnsi="宋体" w:cs="宋体"/>
          <w:color w:val="auto"/>
          <w:highlight w:val="none"/>
        </w:rPr>
        <w:t>租赁服务管理费另按租赁服务委托合同约定的相关规定予以支付。</w:t>
      </w:r>
    </w:p>
    <w:p>
      <w:pPr>
        <w:widowControl/>
        <w:spacing w:line="360" w:lineRule="auto"/>
        <w:ind w:firstLine="420" w:firstLineChars="200"/>
        <w:jc w:val="left"/>
        <w:rPr>
          <w:rFonts w:hint="eastAsia" w:ascii="宋体" w:hAnsi="宋体" w:cs="宋体"/>
          <w:color w:val="auto"/>
          <w:highlight w:val="none"/>
        </w:rPr>
      </w:pPr>
      <w:r>
        <w:rPr>
          <w:rFonts w:hint="eastAsia" w:ascii="宋体" w:hAnsi="宋体" w:cs="宋体"/>
          <w:color w:val="auto"/>
          <w:highlight w:val="none"/>
        </w:rPr>
        <w:t>附件1</w:t>
      </w:r>
    </w:p>
    <w:p>
      <w:pPr>
        <w:widowControl/>
        <w:spacing w:line="360" w:lineRule="auto"/>
        <w:ind w:firstLine="420" w:firstLineChars="200"/>
        <w:jc w:val="left"/>
        <w:rPr>
          <w:rFonts w:hint="eastAsia" w:ascii="宋体" w:hAnsi="宋体" w:cs="宋体"/>
          <w:color w:val="auto"/>
          <w:highlight w:val="none"/>
        </w:rPr>
      </w:pPr>
      <w:r>
        <w:rPr>
          <w:rFonts w:hint="eastAsia" w:ascii="宋体" w:hAnsi="宋体" w:cs="宋体"/>
          <w:color w:val="auto"/>
          <w:highlight w:val="none"/>
        </w:rPr>
        <w:t>物业构成明细</w:t>
      </w:r>
    </w:p>
    <w:tbl>
      <w:tblPr>
        <w:tblStyle w:val="23"/>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1869"/>
        <w:gridCol w:w="2164"/>
        <w:gridCol w:w="214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41" w:hRule="exact"/>
          <w:jc w:val="center"/>
        </w:trPr>
        <w:tc>
          <w:tcPr>
            <w:tcW w:w="2130" w:type="dxa"/>
            <w:noWrap w:val="0"/>
            <w:vAlign w:val="center"/>
          </w:tcPr>
          <w:p>
            <w:pPr>
              <w:widowControl/>
              <w:spacing w:line="360" w:lineRule="auto"/>
              <w:ind w:firstLine="420" w:firstLineChars="200"/>
              <w:jc w:val="center"/>
              <w:rPr>
                <w:rFonts w:hint="eastAsia" w:ascii="宋体" w:hAnsi="宋体" w:cs="宋体"/>
                <w:color w:val="auto"/>
                <w:highlight w:val="none"/>
              </w:rPr>
            </w:pPr>
            <w:r>
              <w:rPr>
                <w:rFonts w:hint="eastAsia" w:ascii="宋体" w:hAnsi="宋体" w:cs="宋体"/>
                <w:color w:val="auto"/>
                <w:highlight w:val="none"/>
              </w:rPr>
              <w:t>类  型</w:t>
            </w:r>
          </w:p>
        </w:tc>
        <w:tc>
          <w:tcPr>
            <w:tcW w:w="1869" w:type="dxa"/>
            <w:noWrap w:val="0"/>
            <w:vAlign w:val="center"/>
          </w:tcPr>
          <w:p>
            <w:pPr>
              <w:widowControl/>
              <w:spacing w:line="360" w:lineRule="auto"/>
              <w:ind w:firstLine="420" w:firstLineChars="200"/>
              <w:jc w:val="center"/>
              <w:rPr>
                <w:rFonts w:hint="eastAsia" w:ascii="宋体" w:hAnsi="宋体" w:cs="宋体"/>
                <w:color w:val="auto"/>
                <w:highlight w:val="none"/>
              </w:rPr>
            </w:pPr>
            <w:r>
              <w:rPr>
                <w:rFonts w:hint="eastAsia" w:ascii="宋体" w:hAnsi="宋体" w:cs="宋体"/>
                <w:color w:val="auto"/>
                <w:highlight w:val="none"/>
              </w:rPr>
              <w:t>幢  数</w:t>
            </w:r>
          </w:p>
        </w:tc>
        <w:tc>
          <w:tcPr>
            <w:tcW w:w="2164" w:type="dxa"/>
            <w:noWrap w:val="0"/>
            <w:vAlign w:val="center"/>
          </w:tcPr>
          <w:p>
            <w:pPr>
              <w:widowControl/>
              <w:spacing w:line="360" w:lineRule="auto"/>
              <w:ind w:firstLine="420" w:firstLineChars="200"/>
              <w:jc w:val="center"/>
              <w:rPr>
                <w:rFonts w:hint="eastAsia" w:ascii="宋体" w:hAnsi="宋体" w:cs="宋体"/>
                <w:color w:val="auto"/>
                <w:highlight w:val="none"/>
              </w:rPr>
            </w:pPr>
            <w:r>
              <w:rPr>
                <w:rFonts w:hint="eastAsia" w:ascii="宋体" w:hAnsi="宋体" w:cs="宋体"/>
                <w:color w:val="auto"/>
                <w:highlight w:val="none"/>
              </w:rPr>
              <w:t>套（单元）数</w:t>
            </w:r>
          </w:p>
        </w:tc>
        <w:tc>
          <w:tcPr>
            <w:tcW w:w="2149" w:type="dxa"/>
            <w:noWrap w:val="0"/>
            <w:vAlign w:val="center"/>
          </w:tcPr>
          <w:p>
            <w:pPr>
              <w:widowControl/>
              <w:spacing w:line="360" w:lineRule="auto"/>
              <w:ind w:firstLine="420" w:firstLineChars="200"/>
              <w:jc w:val="center"/>
              <w:rPr>
                <w:rFonts w:hint="eastAsia" w:ascii="宋体" w:hAnsi="宋体" w:cs="宋体"/>
                <w:color w:val="auto"/>
                <w:highlight w:val="none"/>
              </w:rPr>
            </w:pPr>
            <w:r>
              <w:rPr>
                <w:rFonts w:hint="eastAsia" w:ascii="宋体" w:hAnsi="宋体" w:cs="宋体"/>
                <w:color w:val="auto"/>
                <w:highlight w:val="none"/>
              </w:rPr>
              <w:t>建筑面积</w:t>
            </w:r>
          </w:p>
          <w:p>
            <w:pPr>
              <w:widowControl/>
              <w:spacing w:line="360" w:lineRule="auto"/>
              <w:ind w:firstLine="420" w:firstLineChars="200"/>
              <w:jc w:val="center"/>
              <w:rPr>
                <w:rFonts w:hint="eastAsia" w:ascii="宋体" w:hAnsi="宋体" w:cs="宋体"/>
                <w:color w:val="auto"/>
                <w:highlight w:val="none"/>
              </w:rPr>
            </w:pPr>
            <w:r>
              <w:rPr>
                <w:rFonts w:hint="eastAsia" w:ascii="宋体" w:hAnsi="宋体" w:cs="宋体"/>
                <w:color w:val="auto"/>
                <w:highlight w:val="none"/>
              </w:rPr>
              <w:t>（m2）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8" w:hRule="exact"/>
          <w:jc w:val="center"/>
        </w:trPr>
        <w:tc>
          <w:tcPr>
            <w:tcW w:w="2130" w:type="dxa"/>
            <w:noWrap w:val="0"/>
            <w:vAlign w:val="center"/>
          </w:tcPr>
          <w:p>
            <w:pPr>
              <w:widowControl/>
              <w:spacing w:line="360" w:lineRule="auto"/>
              <w:ind w:firstLine="420" w:firstLineChars="200"/>
              <w:rPr>
                <w:rFonts w:hint="eastAsia" w:ascii="宋体" w:hAnsi="宋体" w:cs="宋体"/>
                <w:color w:val="auto"/>
                <w:highlight w:val="none"/>
              </w:rPr>
            </w:pPr>
            <w:r>
              <w:rPr>
                <w:rFonts w:hint="eastAsia" w:ascii="宋体" w:hAnsi="宋体" w:cs="宋体"/>
                <w:color w:val="auto"/>
                <w:highlight w:val="none"/>
              </w:rPr>
              <w:t>多次层住宅</w:t>
            </w:r>
          </w:p>
        </w:tc>
        <w:tc>
          <w:tcPr>
            <w:tcW w:w="1869" w:type="dxa"/>
            <w:noWrap w:val="0"/>
            <w:vAlign w:val="center"/>
          </w:tcPr>
          <w:p>
            <w:pPr>
              <w:widowControl/>
              <w:spacing w:line="360" w:lineRule="auto"/>
              <w:ind w:firstLine="420" w:firstLineChars="200"/>
              <w:rPr>
                <w:rFonts w:hint="eastAsia" w:ascii="宋体" w:hAnsi="宋体" w:cs="宋体"/>
                <w:color w:val="auto"/>
                <w:highlight w:val="none"/>
              </w:rPr>
            </w:pPr>
            <w:r>
              <w:rPr>
                <w:rFonts w:hint="eastAsia" w:ascii="宋体" w:hAnsi="宋体" w:cs="宋体"/>
                <w:color w:val="auto"/>
                <w:highlight w:val="none"/>
              </w:rPr>
              <w:t>1</w:t>
            </w:r>
          </w:p>
        </w:tc>
        <w:tc>
          <w:tcPr>
            <w:tcW w:w="2164" w:type="dxa"/>
            <w:noWrap w:val="0"/>
            <w:vAlign w:val="center"/>
          </w:tcPr>
          <w:p>
            <w:pPr>
              <w:widowControl/>
              <w:spacing w:line="360" w:lineRule="auto"/>
              <w:ind w:firstLine="420" w:firstLineChars="200"/>
              <w:rPr>
                <w:rFonts w:hint="eastAsia" w:ascii="宋体" w:hAnsi="宋体" w:cs="宋体"/>
                <w:color w:val="auto"/>
                <w:highlight w:val="none"/>
              </w:rPr>
            </w:pPr>
            <w:r>
              <w:rPr>
                <w:rFonts w:hint="eastAsia" w:ascii="宋体" w:hAnsi="宋体" w:cs="宋体"/>
                <w:color w:val="auto"/>
                <w:highlight w:val="none"/>
              </w:rPr>
              <w:t>70</w:t>
            </w:r>
          </w:p>
        </w:tc>
        <w:tc>
          <w:tcPr>
            <w:tcW w:w="2149" w:type="dxa"/>
            <w:noWrap w:val="0"/>
            <w:vAlign w:val="center"/>
          </w:tcPr>
          <w:p>
            <w:pPr>
              <w:widowControl/>
              <w:spacing w:line="360" w:lineRule="auto"/>
              <w:ind w:firstLine="420" w:firstLineChars="200"/>
              <w:rPr>
                <w:rFonts w:hint="eastAsia" w:ascii="宋体" w:hAnsi="宋体" w:cs="宋体"/>
                <w:color w:val="auto"/>
                <w:highlight w:val="none"/>
              </w:rPr>
            </w:pPr>
            <w:r>
              <w:rPr>
                <w:rFonts w:hint="eastAsia" w:ascii="宋体" w:hAnsi="宋体" w:cs="宋体"/>
                <w:color w:val="auto"/>
                <w:highlight w:val="none"/>
              </w:rPr>
              <w:t>3433.54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0" w:hRule="exact"/>
          <w:jc w:val="center"/>
        </w:trPr>
        <w:tc>
          <w:tcPr>
            <w:tcW w:w="2130" w:type="dxa"/>
            <w:noWrap w:val="0"/>
            <w:vAlign w:val="center"/>
          </w:tcPr>
          <w:p>
            <w:pPr>
              <w:widowControl/>
              <w:spacing w:line="360" w:lineRule="auto"/>
              <w:ind w:firstLine="420" w:firstLineChars="200"/>
              <w:rPr>
                <w:rFonts w:hint="eastAsia" w:ascii="宋体" w:hAnsi="宋体" w:cs="宋体"/>
                <w:color w:val="auto"/>
                <w:highlight w:val="none"/>
              </w:rPr>
            </w:pPr>
            <w:r>
              <w:rPr>
                <w:rFonts w:hint="eastAsia" w:ascii="宋体" w:hAnsi="宋体" w:cs="宋体"/>
                <w:color w:val="auto"/>
                <w:highlight w:val="none"/>
              </w:rPr>
              <w:t>小高层住宅</w:t>
            </w:r>
          </w:p>
        </w:tc>
        <w:tc>
          <w:tcPr>
            <w:tcW w:w="1869" w:type="dxa"/>
            <w:noWrap w:val="0"/>
            <w:vAlign w:val="center"/>
          </w:tcPr>
          <w:p>
            <w:pPr>
              <w:widowControl/>
              <w:spacing w:line="360" w:lineRule="auto"/>
              <w:ind w:firstLine="420" w:firstLineChars="200"/>
              <w:rPr>
                <w:rFonts w:hint="eastAsia" w:ascii="宋体" w:hAnsi="宋体" w:cs="宋体"/>
                <w:color w:val="auto"/>
                <w:highlight w:val="none"/>
              </w:rPr>
            </w:pPr>
            <w:r>
              <w:rPr>
                <w:rFonts w:hint="eastAsia" w:ascii="宋体" w:hAnsi="宋体" w:cs="宋体"/>
                <w:color w:val="auto"/>
                <w:highlight w:val="none"/>
              </w:rPr>
              <w:t>1</w:t>
            </w:r>
          </w:p>
        </w:tc>
        <w:tc>
          <w:tcPr>
            <w:tcW w:w="2164" w:type="dxa"/>
            <w:noWrap w:val="0"/>
            <w:vAlign w:val="center"/>
          </w:tcPr>
          <w:p>
            <w:pPr>
              <w:widowControl/>
              <w:spacing w:line="360" w:lineRule="auto"/>
              <w:ind w:firstLine="420" w:firstLineChars="200"/>
              <w:rPr>
                <w:rFonts w:hint="eastAsia" w:ascii="宋体" w:hAnsi="宋体" w:cs="宋体"/>
                <w:color w:val="auto"/>
                <w:highlight w:val="none"/>
              </w:rPr>
            </w:pPr>
            <w:r>
              <w:rPr>
                <w:rFonts w:hint="eastAsia" w:ascii="宋体" w:hAnsi="宋体" w:cs="宋体"/>
                <w:color w:val="auto"/>
                <w:highlight w:val="none"/>
              </w:rPr>
              <w:t>114</w:t>
            </w:r>
          </w:p>
        </w:tc>
        <w:tc>
          <w:tcPr>
            <w:tcW w:w="2149" w:type="dxa"/>
            <w:noWrap w:val="0"/>
            <w:vAlign w:val="center"/>
          </w:tcPr>
          <w:p>
            <w:pPr>
              <w:widowControl/>
              <w:spacing w:line="360" w:lineRule="auto"/>
              <w:ind w:firstLine="420" w:firstLineChars="200"/>
              <w:rPr>
                <w:rFonts w:hint="eastAsia" w:ascii="宋体" w:hAnsi="宋体" w:cs="宋体"/>
                <w:color w:val="auto"/>
                <w:highlight w:val="none"/>
              </w:rPr>
            </w:pPr>
            <w:r>
              <w:rPr>
                <w:rFonts w:hint="eastAsia" w:ascii="宋体" w:hAnsi="宋体" w:cs="宋体"/>
                <w:color w:val="auto"/>
                <w:highlight w:val="none"/>
              </w:rPr>
              <w:t>5507.91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2130" w:type="dxa"/>
            <w:noWrap w:val="0"/>
            <w:vAlign w:val="center"/>
          </w:tcPr>
          <w:p>
            <w:pPr>
              <w:widowControl/>
              <w:spacing w:line="360" w:lineRule="auto"/>
              <w:ind w:firstLine="420" w:firstLineChars="200"/>
              <w:rPr>
                <w:rFonts w:hint="eastAsia" w:ascii="宋体" w:hAnsi="宋体" w:cs="宋体"/>
                <w:color w:val="auto"/>
                <w:highlight w:val="none"/>
              </w:rPr>
            </w:pPr>
            <w:r>
              <w:rPr>
                <w:rFonts w:hint="eastAsia" w:ascii="宋体" w:hAnsi="宋体" w:cs="宋体"/>
                <w:color w:val="auto"/>
                <w:highlight w:val="none"/>
              </w:rPr>
              <w:t>高层住宅</w:t>
            </w:r>
          </w:p>
        </w:tc>
        <w:tc>
          <w:tcPr>
            <w:tcW w:w="1869" w:type="dxa"/>
            <w:noWrap w:val="0"/>
            <w:vAlign w:val="center"/>
          </w:tcPr>
          <w:p>
            <w:pPr>
              <w:widowControl/>
              <w:spacing w:line="360" w:lineRule="auto"/>
              <w:ind w:firstLine="420" w:firstLineChars="200"/>
              <w:rPr>
                <w:rFonts w:hint="eastAsia" w:ascii="宋体" w:hAnsi="宋体" w:cs="宋体"/>
                <w:color w:val="auto"/>
                <w:highlight w:val="none"/>
              </w:rPr>
            </w:pPr>
            <w:r>
              <w:rPr>
                <w:rFonts w:hint="eastAsia" w:ascii="宋体" w:hAnsi="宋体" w:cs="宋体"/>
                <w:color w:val="auto"/>
                <w:highlight w:val="none"/>
              </w:rPr>
              <w:t>2</w:t>
            </w:r>
          </w:p>
        </w:tc>
        <w:tc>
          <w:tcPr>
            <w:tcW w:w="2164" w:type="dxa"/>
            <w:noWrap w:val="0"/>
            <w:vAlign w:val="center"/>
          </w:tcPr>
          <w:p>
            <w:pPr>
              <w:widowControl/>
              <w:spacing w:line="360" w:lineRule="auto"/>
              <w:ind w:firstLine="420" w:firstLineChars="200"/>
              <w:rPr>
                <w:rFonts w:hint="eastAsia" w:ascii="宋体" w:hAnsi="宋体" w:cs="宋体"/>
                <w:color w:val="auto"/>
                <w:highlight w:val="none"/>
              </w:rPr>
            </w:pPr>
            <w:r>
              <w:rPr>
                <w:rFonts w:hint="eastAsia" w:ascii="宋体" w:hAnsi="宋体" w:cs="宋体"/>
                <w:color w:val="auto"/>
                <w:highlight w:val="none"/>
              </w:rPr>
              <w:t>630</w:t>
            </w:r>
          </w:p>
        </w:tc>
        <w:tc>
          <w:tcPr>
            <w:tcW w:w="2149" w:type="dxa"/>
            <w:noWrap w:val="0"/>
            <w:vAlign w:val="center"/>
          </w:tcPr>
          <w:p>
            <w:pPr>
              <w:widowControl/>
              <w:spacing w:line="360" w:lineRule="auto"/>
              <w:ind w:firstLine="420" w:firstLineChars="200"/>
              <w:rPr>
                <w:rFonts w:hint="eastAsia" w:ascii="宋体" w:hAnsi="宋体" w:cs="宋体"/>
                <w:color w:val="auto"/>
                <w:highlight w:val="none"/>
              </w:rPr>
            </w:pPr>
            <w:r>
              <w:rPr>
                <w:rFonts w:hint="eastAsia" w:ascii="宋体" w:hAnsi="宋体" w:cs="宋体"/>
                <w:color w:val="auto"/>
                <w:highlight w:val="none"/>
              </w:rPr>
              <w:t>30710.16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67" w:hRule="exact"/>
          <w:jc w:val="center"/>
        </w:trPr>
        <w:tc>
          <w:tcPr>
            <w:tcW w:w="2130" w:type="dxa"/>
            <w:noWrap w:val="0"/>
            <w:vAlign w:val="center"/>
          </w:tcPr>
          <w:p>
            <w:pPr>
              <w:widowControl/>
              <w:spacing w:line="360" w:lineRule="auto"/>
              <w:ind w:firstLine="420" w:firstLineChars="200"/>
              <w:rPr>
                <w:rFonts w:hint="eastAsia" w:ascii="宋体" w:hAnsi="宋体" w:cs="宋体"/>
                <w:color w:val="auto"/>
                <w:highlight w:val="none"/>
              </w:rPr>
            </w:pPr>
            <w:r>
              <w:rPr>
                <w:rFonts w:hint="eastAsia" w:ascii="宋体" w:hAnsi="宋体" w:cs="宋体"/>
                <w:color w:val="auto"/>
                <w:highlight w:val="none"/>
              </w:rPr>
              <w:t>商业用房</w:t>
            </w:r>
          </w:p>
        </w:tc>
        <w:tc>
          <w:tcPr>
            <w:tcW w:w="1869" w:type="dxa"/>
            <w:noWrap w:val="0"/>
            <w:vAlign w:val="center"/>
          </w:tcPr>
          <w:p>
            <w:pPr>
              <w:widowControl/>
              <w:spacing w:line="360" w:lineRule="auto"/>
              <w:ind w:firstLine="420" w:firstLineChars="200"/>
              <w:rPr>
                <w:rFonts w:hint="eastAsia" w:ascii="宋体" w:hAnsi="宋体" w:cs="宋体"/>
                <w:color w:val="auto"/>
                <w:highlight w:val="none"/>
              </w:rPr>
            </w:pPr>
            <w:r>
              <w:rPr>
                <w:rFonts w:hint="eastAsia" w:ascii="宋体" w:hAnsi="宋体" w:cs="宋体"/>
                <w:color w:val="auto"/>
                <w:highlight w:val="none"/>
              </w:rPr>
              <w:t>1</w:t>
            </w:r>
          </w:p>
        </w:tc>
        <w:tc>
          <w:tcPr>
            <w:tcW w:w="2164" w:type="dxa"/>
            <w:noWrap w:val="0"/>
            <w:vAlign w:val="center"/>
          </w:tcPr>
          <w:p>
            <w:pPr>
              <w:widowControl/>
              <w:spacing w:line="360" w:lineRule="auto"/>
              <w:ind w:firstLine="420" w:firstLineChars="200"/>
              <w:rPr>
                <w:rFonts w:hint="eastAsia" w:ascii="宋体" w:hAnsi="宋体" w:cs="宋体"/>
                <w:color w:val="auto"/>
                <w:highlight w:val="none"/>
              </w:rPr>
            </w:pPr>
            <w:r>
              <w:rPr>
                <w:rFonts w:hint="eastAsia" w:ascii="宋体" w:hAnsi="宋体" w:cs="宋体"/>
                <w:color w:val="auto"/>
                <w:highlight w:val="none"/>
              </w:rPr>
              <w:t>13</w:t>
            </w:r>
          </w:p>
        </w:tc>
        <w:tc>
          <w:tcPr>
            <w:tcW w:w="2149" w:type="dxa"/>
            <w:noWrap w:val="0"/>
            <w:vAlign w:val="center"/>
          </w:tcPr>
          <w:p>
            <w:pPr>
              <w:widowControl/>
              <w:spacing w:line="360" w:lineRule="auto"/>
              <w:ind w:firstLine="420" w:firstLineChars="200"/>
              <w:rPr>
                <w:rFonts w:hint="eastAsia" w:ascii="宋体" w:hAnsi="宋体" w:cs="宋体"/>
                <w:color w:val="auto"/>
                <w:highlight w:val="none"/>
              </w:rPr>
            </w:pPr>
            <w:r>
              <w:rPr>
                <w:rFonts w:hint="eastAsia" w:ascii="宋体" w:hAnsi="宋体" w:cs="宋体"/>
                <w:color w:val="auto"/>
                <w:highlight w:val="none"/>
              </w:rPr>
              <w:t>2912.72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130" w:type="dxa"/>
            <w:noWrap w:val="0"/>
            <w:vAlign w:val="center"/>
          </w:tcPr>
          <w:p>
            <w:pPr>
              <w:widowControl/>
              <w:spacing w:line="360" w:lineRule="auto"/>
              <w:ind w:firstLine="420" w:firstLineChars="200"/>
              <w:rPr>
                <w:rFonts w:hint="eastAsia" w:ascii="宋体" w:hAnsi="宋体" w:cs="宋体"/>
                <w:color w:val="auto"/>
                <w:highlight w:val="none"/>
              </w:rPr>
            </w:pPr>
            <w:r>
              <w:rPr>
                <w:rFonts w:hint="eastAsia" w:ascii="宋体" w:hAnsi="宋体" w:cs="宋体"/>
                <w:color w:val="auto"/>
                <w:highlight w:val="none"/>
              </w:rPr>
              <w:t>办公用房</w:t>
            </w:r>
          </w:p>
        </w:tc>
        <w:tc>
          <w:tcPr>
            <w:tcW w:w="1869" w:type="dxa"/>
            <w:noWrap w:val="0"/>
            <w:vAlign w:val="center"/>
          </w:tcPr>
          <w:p>
            <w:pPr>
              <w:widowControl/>
              <w:spacing w:line="360" w:lineRule="auto"/>
              <w:ind w:firstLine="420" w:firstLineChars="200"/>
              <w:rPr>
                <w:rFonts w:hint="eastAsia" w:ascii="宋体" w:hAnsi="宋体" w:cs="宋体"/>
                <w:color w:val="auto"/>
                <w:highlight w:val="none"/>
              </w:rPr>
            </w:pPr>
            <w:r>
              <w:rPr>
                <w:rFonts w:hint="eastAsia" w:ascii="宋体" w:hAnsi="宋体" w:cs="宋体"/>
                <w:color w:val="auto"/>
                <w:highlight w:val="none"/>
              </w:rPr>
              <w:t>1</w:t>
            </w:r>
          </w:p>
        </w:tc>
        <w:tc>
          <w:tcPr>
            <w:tcW w:w="2164" w:type="dxa"/>
            <w:noWrap w:val="0"/>
            <w:vAlign w:val="center"/>
          </w:tcPr>
          <w:p>
            <w:pPr>
              <w:widowControl/>
              <w:spacing w:line="360" w:lineRule="auto"/>
              <w:ind w:firstLine="420" w:firstLineChars="200"/>
              <w:rPr>
                <w:rFonts w:hint="eastAsia" w:ascii="宋体" w:hAnsi="宋体" w:cs="宋体"/>
                <w:color w:val="auto"/>
                <w:highlight w:val="none"/>
              </w:rPr>
            </w:pPr>
            <w:r>
              <w:rPr>
                <w:rFonts w:hint="eastAsia" w:ascii="宋体" w:hAnsi="宋体" w:cs="宋体"/>
                <w:color w:val="auto"/>
                <w:highlight w:val="none"/>
              </w:rPr>
              <w:t>29</w:t>
            </w:r>
          </w:p>
        </w:tc>
        <w:tc>
          <w:tcPr>
            <w:tcW w:w="2149" w:type="dxa"/>
            <w:noWrap w:val="0"/>
            <w:vAlign w:val="center"/>
          </w:tcPr>
          <w:p>
            <w:pPr>
              <w:widowControl/>
              <w:spacing w:line="360" w:lineRule="auto"/>
              <w:ind w:firstLine="420" w:firstLineChars="200"/>
              <w:rPr>
                <w:rFonts w:hint="eastAsia" w:ascii="宋体" w:hAnsi="宋体" w:cs="宋体"/>
                <w:color w:val="auto"/>
                <w:highlight w:val="none"/>
              </w:rPr>
            </w:pPr>
            <w:r>
              <w:rPr>
                <w:rFonts w:hint="eastAsia" w:ascii="宋体" w:hAnsi="宋体" w:cs="宋体"/>
                <w:color w:val="auto"/>
                <w:highlight w:val="none"/>
              </w:rPr>
              <w:t>3008.13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2130" w:type="dxa"/>
            <w:noWrap w:val="0"/>
            <w:vAlign w:val="center"/>
          </w:tcPr>
          <w:p>
            <w:pPr>
              <w:widowControl/>
              <w:spacing w:line="360" w:lineRule="auto"/>
              <w:ind w:firstLine="420" w:firstLineChars="200"/>
              <w:rPr>
                <w:rFonts w:hint="eastAsia" w:ascii="宋体" w:hAnsi="宋体" w:cs="宋体"/>
                <w:color w:val="auto"/>
                <w:highlight w:val="none"/>
              </w:rPr>
            </w:pPr>
            <w:r>
              <w:rPr>
                <w:rFonts w:hint="eastAsia" w:ascii="宋体" w:hAnsi="宋体" w:cs="宋体"/>
                <w:color w:val="auto"/>
                <w:highlight w:val="none"/>
              </w:rPr>
              <w:t>车  库</w:t>
            </w:r>
          </w:p>
        </w:tc>
        <w:tc>
          <w:tcPr>
            <w:tcW w:w="1869" w:type="dxa"/>
            <w:noWrap w:val="0"/>
            <w:vAlign w:val="center"/>
          </w:tcPr>
          <w:p>
            <w:pPr>
              <w:widowControl/>
              <w:spacing w:line="360" w:lineRule="auto"/>
              <w:ind w:firstLine="420" w:firstLineChars="200"/>
              <w:rPr>
                <w:rFonts w:hint="eastAsia" w:ascii="宋体" w:hAnsi="宋体" w:cs="宋体"/>
                <w:color w:val="auto"/>
                <w:highlight w:val="none"/>
              </w:rPr>
            </w:pPr>
            <w:r>
              <w:rPr>
                <w:rFonts w:hint="eastAsia" w:ascii="宋体" w:hAnsi="宋体" w:cs="宋体"/>
                <w:color w:val="auto"/>
                <w:highlight w:val="none"/>
              </w:rPr>
              <w:t>--</w:t>
            </w:r>
          </w:p>
        </w:tc>
        <w:tc>
          <w:tcPr>
            <w:tcW w:w="2164" w:type="dxa"/>
            <w:noWrap w:val="0"/>
            <w:vAlign w:val="center"/>
          </w:tcPr>
          <w:p>
            <w:pPr>
              <w:widowControl/>
              <w:spacing w:line="360" w:lineRule="auto"/>
              <w:ind w:firstLine="420" w:firstLineChars="200"/>
              <w:rPr>
                <w:rFonts w:hint="eastAsia" w:ascii="宋体" w:hAnsi="宋体" w:cs="宋体"/>
                <w:color w:val="auto"/>
                <w:highlight w:val="none"/>
              </w:rPr>
            </w:pPr>
            <w:r>
              <w:rPr>
                <w:rFonts w:hint="eastAsia" w:ascii="宋体" w:hAnsi="宋体" w:cs="宋体"/>
                <w:color w:val="auto"/>
                <w:highlight w:val="none"/>
              </w:rPr>
              <w:t>152个</w:t>
            </w:r>
          </w:p>
        </w:tc>
        <w:tc>
          <w:tcPr>
            <w:tcW w:w="2149" w:type="dxa"/>
            <w:noWrap w:val="0"/>
            <w:vAlign w:val="center"/>
          </w:tcPr>
          <w:p>
            <w:pPr>
              <w:widowControl/>
              <w:spacing w:line="360" w:lineRule="auto"/>
              <w:ind w:firstLine="420" w:firstLineChars="200"/>
              <w:rPr>
                <w:rFonts w:hint="eastAsia" w:ascii="宋体" w:hAnsi="宋体" w:cs="宋体"/>
                <w:color w:val="auto"/>
                <w:highlight w:val="none"/>
              </w:rPr>
            </w:pPr>
            <w:r>
              <w:rPr>
                <w:rFonts w:hint="eastAsia" w:ascii="宋体" w:hAnsi="宋体" w:cs="宋体"/>
                <w:color w:val="auto"/>
                <w:highlight w:val="none"/>
              </w:rPr>
              <w:t>1973.46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2130" w:type="dxa"/>
            <w:noWrap w:val="0"/>
            <w:vAlign w:val="center"/>
          </w:tcPr>
          <w:p>
            <w:pPr>
              <w:widowControl/>
              <w:spacing w:line="360" w:lineRule="auto"/>
              <w:ind w:firstLine="420" w:firstLineChars="200"/>
              <w:rPr>
                <w:rFonts w:hint="eastAsia" w:ascii="宋体" w:hAnsi="宋体" w:cs="宋体"/>
                <w:color w:val="auto"/>
                <w:highlight w:val="none"/>
              </w:rPr>
            </w:pPr>
            <w:r>
              <w:rPr>
                <w:rFonts w:hint="eastAsia" w:ascii="宋体" w:hAnsi="宋体" w:cs="宋体"/>
                <w:color w:val="auto"/>
                <w:highlight w:val="none"/>
              </w:rPr>
              <w:t>物业办公用房</w:t>
            </w:r>
          </w:p>
        </w:tc>
        <w:tc>
          <w:tcPr>
            <w:tcW w:w="1869" w:type="dxa"/>
            <w:noWrap w:val="0"/>
            <w:vAlign w:val="center"/>
          </w:tcPr>
          <w:p>
            <w:pPr>
              <w:widowControl/>
              <w:spacing w:line="360" w:lineRule="auto"/>
              <w:ind w:firstLine="420" w:firstLineChars="200"/>
              <w:rPr>
                <w:rFonts w:hint="eastAsia" w:ascii="宋体" w:hAnsi="宋体" w:cs="宋体"/>
                <w:color w:val="auto"/>
                <w:highlight w:val="none"/>
              </w:rPr>
            </w:pPr>
            <w:r>
              <w:rPr>
                <w:rFonts w:hint="eastAsia" w:ascii="宋体" w:hAnsi="宋体" w:cs="宋体"/>
                <w:color w:val="auto"/>
                <w:highlight w:val="none"/>
              </w:rPr>
              <w:t>1</w:t>
            </w:r>
          </w:p>
        </w:tc>
        <w:tc>
          <w:tcPr>
            <w:tcW w:w="2164" w:type="dxa"/>
            <w:noWrap w:val="0"/>
            <w:vAlign w:val="center"/>
          </w:tcPr>
          <w:p>
            <w:pPr>
              <w:widowControl/>
              <w:spacing w:line="360" w:lineRule="auto"/>
              <w:ind w:firstLine="420" w:firstLineChars="200"/>
              <w:rPr>
                <w:rFonts w:hint="eastAsia" w:ascii="宋体" w:hAnsi="宋体" w:cs="宋体"/>
                <w:color w:val="auto"/>
                <w:highlight w:val="none"/>
              </w:rPr>
            </w:pPr>
            <w:r>
              <w:rPr>
                <w:rFonts w:hint="eastAsia" w:ascii="宋体" w:hAnsi="宋体" w:cs="宋体"/>
                <w:color w:val="auto"/>
                <w:highlight w:val="none"/>
              </w:rPr>
              <w:t>1</w:t>
            </w:r>
          </w:p>
        </w:tc>
        <w:tc>
          <w:tcPr>
            <w:tcW w:w="2149" w:type="dxa"/>
            <w:noWrap w:val="0"/>
            <w:vAlign w:val="center"/>
          </w:tcPr>
          <w:p>
            <w:pPr>
              <w:widowControl/>
              <w:spacing w:line="360" w:lineRule="auto"/>
              <w:ind w:firstLine="420" w:firstLineChars="200"/>
              <w:rPr>
                <w:rFonts w:hint="eastAsia" w:ascii="宋体" w:hAnsi="宋体" w:cs="宋体"/>
                <w:color w:val="auto"/>
                <w:highlight w:val="none"/>
              </w:rPr>
            </w:pPr>
            <w:r>
              <w:rPr>
                <w:rFonts w:hint="eastAsia" w:ascii="宋体" w:hAnsi="宋体" w:cs="宋体"/>
                <w:color w:val="auto"/>
                <w:highlight w:val="none"/>
              </w:rPr>
              <w:t>162.16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2130" w:type="dxa"/>
            <w:noWrap w:val="0"/>
            <w:vAlign w:val="center"/>
          </w:tcPr>
          <w:p>
            <w:pPr>
              <w:widowControl/>
              <w:spacing w:line="360" w:lineRule="auto"/>
              <w:ind w:firstLine="420" w:firstLineChars="200"/>
              <w:rPr>
                <w:rFonts w:hint="eastAsia" w:ascii="宋体" w:hAnsi="宋体" w:cs="宋体"/>
                <w:color w:val="auto"/>
                <w:highlight w:val="none"/>
              </w:rPr>
            </w:pPr>
            <w:r>
              <w:rPr>
                <w:rFonts w:hint="eastAsia" w:ascii="宋体" w:hAnsi="宋体" w:cs="宋体"/>
                <w:color w:val="auto"/>
                <w:highlight w:val="none"/>
              </w:rPr>
              <w:t>物业经营用房</w:t>
            </w:r>
          </w:p>
        </w:tc>
        <w:tc>
          <w:tcPr>
            <w:tcW w:w="1869" w:type="dxa"/>
            <w:noWrap w:val="0"/>
            <w:vAlign w:val="center"/>
          </w:tcPr>
          <w:p>
            <w:pPr>
              <w:widowControl/>
              <w:spacing w:line="360" w:lineRule="auto"/>
              <w:ind w:firstLine="420" w:firstLineChars="200"/>
              <w:rPr>
                <w:rFonts w:hint="eastAsia" w:ascii="宋体" w:hAnsi="宋体" w:cs="宋体"/>
                <w:color w:val="auto"/>
                <w:highlight w:val="none"/>
              </w:rPr>
            </w:pPr>
            <w:r>
              <w:rPr>
                <w:rFonts w:hint="eastAsia" w:ascii="宋体" w:hAnsi="宋体" w:cs="宋体"/>
                <w:color w:val="auto"/>
                <w:highlight w:val="none"/>
              </w:rPr>
              <w:t>1</w:t>
            </w:r>
          </w:p>
        </w:tc>
        <w:tc>
          <w:tcPr>
            <w:tcW w:w="2164" w:type="dxa"/>
            <w:noWrap w:val="0"/>
            <w:vAlign w:val="center"/>
          </w:tcPr>
          <w:p>
            <w:pPr>
              <w:widowControl/>
              <w:spacing w:line="360" w:lineRule="auto"/>
              <w:ind w:firstLine="420" w:firstLineChars="200"/>
              <w:rPr>
                <w:rFonts w:hint="eastAsia" w:ascii="宋体" w:hAnsi="宋体" w:cs="宋体"/>
                <w:color w:val="auto"/>
                <w:highlight w:val="none"/>
              </w:rPr>
            </w:pPr>
            <w:r>
              <w:rPr>
                <w:rFonts w:hint="eastAsia" w:ascii="宋体" w:hAnsi="宋体" w:cs="宋体"/>
                <w:color w:val="auto"/>
                <w:highlight w:val="none"/>
              </w:rPr>
              <w:t>4</w:t>
            </w:r>
          </w:p>
        </w:tc>
        <w:tc>
          <w:tcPr>
            <w:tcW w:w="2149" w:type="dxa"/>
            <w:noWrap w:val="0"/>
            <w:vAlign w:val="center"/>
          </w:tcPr>
          <w:p>
            <w:pPr>
              <w:widowControl/>
              <w:spacing w:line="360" w:lineRule="auto"/>
              <w:ind w:firstLine="420" w:firstLineChars="200"/>
              <w:rPr>
                <w:rFonts w:hint="eastAsia" w:ascii="宋体" w:hAnsi="宋体" w:cs="宋体"/>
                <w:color w:val="auto"/>
                <w:highlight w:val="none"/>
              </w:rPr>
            </w:pPr>
            <w:r>
              <w:rPr>
                <w:rFonts w:hint="eastAsia" w:ascii="宋体" w:hAnsi="宋体" w:cs="宋体"/>
                <w:color w:val="auto"/>
                <w:highlight w:val="none"/>
              </w:rPr>
              <w:t>232.30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9" w:hRule="exact"/>
          <w:jc w:val="center"/>
        </w:trPr>
        <w:tc>
          <w:tcPr>
            <w:tcW w:w="2130" w:type="dxa"/>
            <w:noWrap w:val="0"/>
            <w:vAlign w:val="center"/>
          </w:tcPr>
          <w:p>
            <w:pPr>
              <w:widowControl/>
              <w:spacing w:line="360" w:lineRule="auto"/>
              <w:ind w:firstLine="210" w:firstLineChars="100"/>
              <w:rPr>
                <w:rFonts w:hint="eastAsia" w:ascii="宋体" w:hAnsi="宋体" w:cs="宋体"/>
                <w:color w:val="auto"/>
                <w:highlight w:val="none"/>
              </w:rPr>
            </w:pPr>
            <w:r>
              <w:rPr>
                <w:rFonts w:hint="eastAsia" w:ascii="宋体" w:hAnsi="宋体" w:cs="宋体"/>
                <w:color w:val="auto"/>
                <w:highlight w:val="none"/>
              </w:rPr>
              <w:t>物业增配经营用房</w:t>
            </w:r>
          </w:p>
        </w:tc>
        <w:tc>
          <w:tcPr>
            <w:tcW w:w="1869" w:type="dxa"/>
            <w:noWrap w:val="0"/>
            <w:vAlign w:val="center"/>
          </w:tcPr>
          <w:p>
            <w:pPr>
              <w:widowControl/>
              <w:spacing w:line="360" w:lineRule="auto"/>
              <w:ind w:firstLine="420" w:firstLineChars="200"/>
              <w:rPr>
                <w:rFonts w:hint="eastAsia" w:ascii="宋体" w:hAnsi="宋体" w:cs="宋体"/>
                <w:color w:val="auto"/>
                <w:highlight w:val="none"/>
              </w:rPr>
            </w:pPr>
            <w:r>
              <w:rPr>
                <w:rFonts w:hint="eastAsia" w:ascii="宋体" w:hAnsi="宋体" w:cs="宋体"/>
                <w:color w:val="auto"/>
                <w:highlight w:val="none"/>
              </w:rPr>
              <w:t>1</w:t>
            </w:r>
          </w:p>
        </w:tc>
        <w:tc>
          <w:tcPr>
            <w:tcW w:w="2164" w:type="dxa"/>
            <w:noWrap w:val="0"/>
            <w:vAlign w:val="center"/>
          </w:tcPr>
          <w:p>
            <w:pPr>
              <w:widowControl/>
              <w:spacing w:line="360" w:lineRule="auto"/>
              <w:ind w:firstLine="420" w:firstLineChars="200"/>
              <w:rPr>
                <w:rFonts w:hint="eastAsia" w:ascii="宋体" w:hAnsi="宋体" w:cs="宋体"/>
                <w:color w:val="auto"/>
                <w:highlight w:val="none"/>
              </w:rPr>
            </w:pPr>
            <w:r>
              <w:rPr>
                <w:rFonts w:hint="eastAsia" w:ascii="宋体" w:hAnsi="宋体" w:cs="宋体"/>
                <w:color w:val="auto"/>
                <w:highlight w:val="none"/>
              </w:rPr>
              <w:t>2</w:t>
            </w:r>
          </w:p>
        </w:tc>
        <w:tc>
          <w:tcPr>
            <w:tcW w:w="2149" w:type="dxa"/>
            <w:noWrap w:val="0"/>
            <w:vAlign w:val="center"/>
          </w:tcPr>
          <w:p>
            <w:pPr>
              <w:widowControl/>
              <w:spacing w:line="360" w:lineRule="auto"/>
              <w:ind w:firstLine="420" w:firstLineChars="200"/>
              <w:rPr>
                <w:rFonts w:hint="eastAsia" w:ascii="宋体" w:hAnsi="宋体" w:cs="宋体"/>
                <w:color w:val="auto"/>
                <w:highlight w:val="none"/>
              </w:rPr>
            </w:pPr>
            <w:r>
              <w:rPr>
                <w:rFonts w:hint="eastAsia" w:ascii="宋体" w:hAnsi="宋体" w:cs="宋体"/>
                <w:color w:val="auto"/>
                <w:highlight w:val="none"/>
              </w:rPr>
              <w:t>229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2130" w:type="dxa"/>
            <w:noWrap w:val="0"/>
            <w:vAlign w:val="center"/>
          </w:tcPr>
          <w:p>
            <w:pPr>
              <w:widowControl/>
              <w:spacing w:line="360" w:lineRule="auto"/>
              <w:ind w:firstLine="420" w:firstLineChars="200"/>
              <w:jc w:val="center"/>
              <w:rPr>
                <w:rFonts w:hint="eastAsia" w:ascii="宋体" w:hAnsi="宋体" w:cs="宋体"/>
                <w:color w:val="auto"/>
                <w:highlight w:val="none"/>
              </w:rPr>
            </w:pPr>
            <w:r>
              <w:rPr>
                <w:rFonts w:hint="eastAsia" w:ascii="宋体" w:hAnsi="宋体" w:cs="宋体"/>
                <w:color w:val="auto"/>
                <w:highlight w:val="none"/>
              </w:rPr>
              <w:t>合  计</w:t>
            </w:r>
          </w:p>
        </w:tc>
        <w:tc>
          <w:tcPr>
            <w:tcW w:w="1869" w:type="dxa"/>
            <w:noWrap w:val="0"/>
            <w:vAlign w:val="center"/>
          </w:tcPr>
          <w:p>
            <w:pPr>
              <w:widowControl/>
              <w:spacing w:line="360" w:lineRule="auto"/>
              <w:ind w:firstLine="420" w:firstLineChars="200"/>
              <w:jc w:val="center"/>
              <w:rPr>
                <w:rFonts w:hint="eastAsia" w:ascii="宋体" w:hAnsi="宋体" w:cs="宋体"/>
                <w:color w:val="auto"/>
                <w:highlight w:val="none"/>
              </w:rPr>
            </w:pPr>
            <w:r>
              <w:rPr>
                <w:rFonts w:hint="eastAsia" w:ascii="宋体" w:hAnsi="宋体" w:cs="宋体"/>
                <w:color w:val="auto"/>
                <w:highlight w:val="none"/>
              </w:rPr>
              <w:t>--</w:t>
            </w:r>
          </w:p>
        </w:tc>
        <w:tc>
          <w:tcPr>
            <w:tcW w:w="2164" w:type="dxa"/>
            <w:noWrap w:val="0"/>
            <w:vAlign w:val="center"/>
          </w:tcPr>
          <w:p>
            <w:pPr>
              <w:widowControl/>
              <w:spacing w:line="360" w:lineRule="auto"/>
              <w:ind w:firstLine="420" w:firstLineChars="200"/>
              <w:jc w:val="center"/>
              <w:rPr>
                <w:rFonts w:hint="eastAsia" w:ascii="宋体" w:hAnsi="宋体" w:cs="宋体"/>
                <w:color w:val="auto"/>
                <w:highlight w:val="none"/>
              </w:rPr>
            </w:pPr>
            <w:r>
              <w:rPr>
                <w:rFonts w:hint="eastAsia" w:ascii="宋体" w:hAnsi="宋体" w:cs="宋体"/>
                <w:color w:val="auto"/>
                <w:highlight w:val="none"/>
              </w:rPr>
              <w:t>－</w:t>
            </w:r>
          </w:p>
        </w:tc>
        <w:tc>
          <w:tcPr>
            <w:tcW w:w="2149" w:type="dxa"/>
            <w:noWrap w:val="0"/>
            <w:vAlign w:val="center"/>
          </w:tcPr>
          <w:p>
            <w:pPr>
              <w:widowControl/>
              <w:spacing w:line="360" w:lineRule="auto"/>
              <w:ind w:firstLine="420" w:firstLineChars="200"/>
              <w:jc w:val="center"/>
              <w:rPr>
                <w:rFonts w:hint="eastAsia" w:ascii="宋体" w:hAnsi="宋体" w:cs="宋体"/>
                <w:color w:val="auto"/>
                <w:highlight w:val="none"/>
              </w:rPr>
            </w:pPr>
            <w:r>
              <w:rPr>
                <w:rFonts w:hint="eastAsia" w:ascii="宋体" w:hAnsi="宋体" w:cs="宋体"/>
                <w:color w:val="auto"/>
                <w:highlight w:val="none"/>
              </w:rPr>
              <w:t>48169.38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4" w:hRule="exact"/>
          <w:jc w:val="center"/>
        </w:trPr>
        <w:tc>
          <w:tcPr>
            <w:tcW w:w="2130" w:type="dxa"/>
            <w:noWrap w:val="0"/>
            <w:vAlign w:val="center"/>
          </w:tcPr>
          <w:p>
            <w:pPr>
              <w:widowControl/>
              <w:spacing w:line="360" w:lineRule="auto"/>
              <w:ind w:firstLine="420" w:firstLineChars="200"/>
              <w:jc w:val="center"/>
              <w:rPr>
                <w:rFonts w:hint="eastAsia" w:ascii="宋体" w:hAnsi="宋体" w:cs="宋体"/>
                <w:color w:val="auto"/>
                <w:highlight w:val="none"/>
              </w:rPr>
            </w:pPr>
            <w:r>
              <w:rPr>
                <w:rFonts w:hint="eastAsia" w:ascii="宋体" w:hAnsi="宋体" w:cs="宋体"/>
                <w:color w:val="auto"/>
                <w:highlight w:val="none"/>
              </w:rPr>
              <w:t>备  注</w:t>
            </w:r>
          </w:p>
        </w:tc>
        <w:tc>
          <w:tcPr>
            <w:tcW w:w="6182" w:type="dxa"/>
            <w:gridSpan w:val="3"/>
            <w:noWrap w:val="0"/>
            <w:vAlign w:val="center"/>
          </w:tcPr>
          <w:p>
            <w:pPr>
              <w:widowControl/>
              <w:spacing w:line="360" w:lineRule="auto"/>
              <w:ind w:firstLine="420" w:firstLineChars="200"/>
              <w:jc w:val="center"/>
              <w:rPr>
                <w:rFonts w:hint="eastAsia" w:ascii="宋体" w:hAnsi="宋体" w:cs="宋体"/>
                <w:color w:val="auto"/>
                <w:highlight w:val="none"/>
              </w:rPr>
            </w:pPr>
          </w:p>
        </w:tc>
      </w:tr>
    </w:tbl>
    <w:p>
      <w:pPr>
        <w:widowControl/>
        <w:spacing w:line="360" w:lineRule="auto"/>
        <w:ind w:firstLine="420" w:firstLineChars="200"/>
        <w:jc w:val="left"/>
        <w:rPr>
          <w:rFonts w:hint="eastAsia" w:ascii="宋体" w:hAnsi="宋体" w:cs="宋体"/>
          <w:color w:val="auto"/>
          <w:highlight w:val="none"/>
        </w:rPr>
      </w:pPr>
      <w:r>
        <w:rPr>
          <w:rFonts w:hint="eastAsia" w:ascii="宋体" w:hAnsi="宋体" w:cs="宋体"/>
          <w:color w:val="auto"/>
          <w:highlight w:val="none"/>
        </w:rPr>
        <w:t>注：实际面积以产权登记为准。</w:t>
      </w:r>
    </w:p>
    <w:p>
      <w:pPr>
        <w:widowControl/>
        <w:spacing w:line="360" w:lineRule="auto"/>
        <w:ind w:firstLine="420" w:firstLineChars="200"/>
        <w:jc w:val="left"/>
        <w:rPr>
          <w:rFonts w:hint="eastAsia" w:ascii="宋体" w:hAnsi="宋体" w:cs="宋体"/>
          <w:color w:val="auto"/>
          <w:highlight w:val="none"/>
        </w:rPr>
      </w:pPr>
    </w:p>
    <w:p>
      <w:pPr>
        <w:widowControl/>
        <w:spacing w:line="360" w:lineRule="auto"/>
        <w:ind w:firstLine="420" w:firstLineChars="200"/>
        <w:jc w:val="left"/>
        <w:rPr>
          <w:rFonts w:hint="eastAsia" w:ascii="宋体" w:hAnsi="宋体" w:cs="宋体"/>
          <w:color w:val="auto"/>
          <w:highlight w:val="none"/>
        </w:rPr>
      </w:pPr>
    </w:p>
    <w:p>
      <w:pPr>
        <w:widowControl/>
        <w:spacing w:line="360" w:lineRule="auto"/>
        <w:ind w:firstLine="420" w:firstLineChars="200"/>
        <w:jc w:val="left"/>
        <w:rPr>
          <w:rFonts w:hint="eastAsia" w:ascii="宋体" w:hAnsi="宋体" w:cs="宋体"/>
          <w:color w:val="auto"/>
          <w:highlight w:val="none"/>
        </w:rPr>
      </w:pPr>
      <w:r>
        <w:rPr>
          <w:rFonts w:hint="eastAsia" w:ascii="宋体" w:hAnsi="宋体" w:cs="宋体"/>
          <w:color w:val="auto"/>
          <w:highlight w:val="none"/>
        </w:rPr>
        <w:br w:type="page"/>
      </w:r>
      <w:r>
        <w:rPr>
          <w:rFonts w:hint="eastAsia" w:ascii="宋体" w:hAnsi="宋体" w:cs="宋体"/>
          <w:color w:val="auto"/>
          <w:highlight w:val="none"/>
        </w:rPr>
        <w:t>附件2</w:t>
      </w:r>
    </w:p>
    <w:p>
      <w:pPr>
        <w:widowControl/>
        <w:spacing w:line="360" w:lineRule="auto"/>
        <w:ind w:firstLine="420" w:firstLineChars="200"/>
        <w:jc w:val="left"/>
        <w:rPr>
          <w:rFonts w:hint="eastAsia" w:ascii="宋体" w:hAnsi="宋体" w:cs="宋体"/>
          <w:color w:val="auto"/>
          <w:highlight w:val="none"/>
        </w:rPr>
      </w:pPr>
      <w:r>
        <w:rPr>
          <w:rFonts w:hint="eastAsia" w:ascii="宋体" w:hAnsi="宋体" w:cs="宋体"/>
          <w:color w:val="auto"/>
          <w:highlight w:val="none"/>
        </w:rPr>
        <w:t>谢嘉丽苑公共租赁住房小区物业服务考核办法</w:t>
      </w:r>
    </w:p>
    <w:p>
      <w:pPr>
        <w:widowControl/>
        <w:spacing w:line="360" w:lineRule="auto"/>
        <w:ind w:firstLine="420" w:firstLineChars="200"/>
        <w:jc w:val="left"/>
        <w:rPr>
          <w:rFonts w:hint="eastAsia" w:ascii="宋体" w:hAnsi="宋体" w:cs="宋体"/>
          <w:color w:val="auto"/>
          <w:highlight w:val="none"/>
        </w:rPr>
      </w:pPr>
      <w:r>
        <w:rPr>
          <w:rFonts w:hint="eastAsia" w:ascii="宋体" w:hAnsi="宋体" w:cs="宋体"/>
          <w:color w:val="auto"/>
          <w:highlight w:val="none"/>
        </w:rPr>
        <w:t>为了科学评价谢嘉丽苑公共租赁房小区物管单位年度工作业绩，促进物管单位充分发挥专业管理优势，不断提升服务管理水平，营造小区和谐、宜居的居住环境，根据物业管理招标文件和委托管理合同的要求，制定本办法。</w:t>
      </w:r>
    </w:p>
    <w:p>
      <w:pPr>
        <w:widowControl/>
        <w:spacing w:line="360" w:lineRule="auto"/>
        <w:ind w:firstLine="420" w:firstLineChars="200"/>
        <w:jc w:val="left"/>
        <w:rPr>
          <w:rFonts w:hint="eastAsia" w:ascii="宋体" w:hAnsi="宋体" w:cs="宋体"/>
          <w:color w:val="auto"/>
          <w:highlight w:val="none"/>
        </w:rPr>
      </w:pPr>
      <w:r>
        <w:rPr>
          <w:rFonts w:hint="eastAsia" w:ascii="宋体" w:hAnsi="宋体" w:cs="宋体"/>
          <w:color w:val="auto"/>
          <w:highlight w:val="none"/>
        </w:rPr>
        <w:t>一、谢嘉丽苑公共租赁住房小区物业服务考核工作采用年度考核的方式。</w:t>
      </w:r>
    </w:p>
    <w:p>
      <w:pPr>
        <w:widowControl/>
        <w:spacing w:line="360" w:lineRule="auto"/>
        <w:ind w:firstLine="420" w:firstLineChars="200"/>
        <w:jc w:val="left"/>
        <w:rPr>
          <w:rFonts w:hint="eastAsia" w:ascii="宋体" w:hAnsi="宋体" w:cs="宋体"/>
          <w:color w:val="auto"/>
          <w:highlight w:val="none"/>
        </w:rPr>
      </w:pPr>
      <w:r>
        <w:rPr>
          <w:rFonts w:hint="eastAsia" w:ascii="宋体" w:hAnsi="宋体" w:cs="宋体"/>
          <w:color w:val="auto"/>
          <w:highlight w:val="none"/>
        </w:rPr>
        <w:t>二、年度考核由宁波市江北区住房和城乡建设局组织，并邀请区人社局、区民政局、区外来务工办、江北区物业办、庄桥街道办事处及社区和相关单位参加，时间为每年1月初，通过汇总动态抽查、年终检查和指标完成情况对小区物管单位的工作业绩进行综合考核。</w:t>
      </w:r>
    </w:p>
    <w:p>
      <w:pPr>
        <w:widowControl/>
        <w:spacing w:line="360" w:lineRule="auto"/>
        <w:ind w:firstLine="420" w:firstLineChars="200"/>
        <w:jc w:val="left"/>
        <w:rPr>
          <w:rFonts w:hint="eastAsia" w:ascii="宋体" w:hAnsi="宋体" w:cs="宋体"/>
          <w:color w:val="auto"/>
          <w:highlight w:val="none"/>
        </w:rPr>
      </w:pPr>
      <w:r>
        <w:rPr>
          <w:rFonts w:hint="eastAsia" w:ascii="宋体" w:hAnsi="宋体" w:cs="宋体"/>
          <w:color w:val="auto"/>
          <w:highlight w:val="none"/>
        </w:rPr>
        <w:t>三、年度考核为物业服务管理考核，考核情况与物业管理服务费挂钩。</w:t>
      </w:r>
    </w:p>
    <w:p>
      <w:pPr>
        <w:widowControl/>
        <w:spacing w:line="360" w:lineRule="auto"/>
        <w:ind w:firstLine="420" w:firstLineChars="200"/>
        <w:jc w:val="left"/>
        <w:rPr>
          <w:rFonts w:hint="eastAsia" w:ascii="宋体" w:hAnsi="宋体" w:cs="宋体"/>
          <w:color w:val="auto"/>
          <w:highlight w:val="none"/>
        </w:rPr>
      </w:pPr>
      <w:r>
        <w:rPr>
          <w:rFonts w:hint="eastAsia" w:ascii="宋体" w:hAnsi="宋体" w:cs="宋体"/>
          <w:color w:val="auto"/>
          <w:highlight w:val="none"/>
        </w:rPr>
        <w:t>四、考核按照《谢嘉丽苑公共租赁住房小区物业服务考核评分表》（附件2-1）和《谢嘉丽苑公共租赁住房小区物业服务管理内容和要求》（附件2-2）进行评分。</w:t>
      </w:r>
    </w:p>
    <w:p>
      <w:pPr>
        <w:widowControl/>
        <w:spacing w:line="360" w:lineRule="auto"/>
        <w:ind w:firstLine="420" w:firstLineChars="200"/>
        <w:jc w:val="left"/>
        <w:rPr>
          <w:rFonts w:hint="eastAsia" w:ascii="宋体" w:hAnsi="宋体" w:cs="宋体"/>
          <w:color w:val="auto"/>
          <w:highlight w:val="none"/>
        </w:rPr>
      </w:pPr>
      <w:r>
        <w:rPr>
          <w:rFonts w:hint="eastAsia" w:ascii="宋体" w:hAnsi="宋体" w:cs="宋体"/>
          <w:color w:val="auto"/>
          <w:highlight w:val="none"/>
        </w:rPr>
        <w:t>五、动态抽查是指宁波市江北区住房和城乡建设局组织的（也可邀请区人社局、区民政局、区外来务工办、江北区物业办、庄桥街道办事处及社区和相关部门参加）不定期地对小区物管单位的工作情况进行的抽查，抽查可以对附件2-1中所有检查项目进行抽查，也可以对部分检查项目进行抽查。每次抽查完毕后，应当进行评分，其中未检查的项目按照缺项处理。</w:t>
      </w:r>
    </w:p>
    <w:p>
      <w:pPr>
        <w:widowControl/>
        <w:spacing w:line="360" w:lineRule="auto"/>
        <w:ind w:firstLine="420" w:firstLineChars="200"/>
        <w:jc w:val="left"/>
        <w:rPr>
          <w:rFonts w:hint="eastAsia" w:ascii="宋体" w:hAnsi="宋体" w:cs="宋体"/>
          <w:color w:val="auto"/>
          <w:highlight w:val="none"/>
        </w:rPr>
      </w:pPr>
      <w:r>
        <w:rPr>
          <w:rFonts w:hint="eastAsia" w:ascii="宋体" w:hAnsi="宋体" w:cs="宋体"/>
          <w:color w:val="auto"/>
          <w:highlight w:val="none"/>
        </w:rPr>
        <w:t>六、年终检查是指在年度考核时，参加考核的部门和单位对附件2-1中的检查项目进行的检查，年终检查必须对所有检查分项进行检查评分。</w:t>
      </w:r>
    </w:p>
    <w:p>
      <w:pPr>
        <w:widowControl/>
        <w:spacing w:line="360" w:lineRule="auto"/>
        <w:ind w:firstLine="420" w:firstLineChars="200"/>
        <w:jc w:val="left"/>
        <w:rPr>
          <w:rFonts w:hint="eastAsia" w:ascii="宋体" w:hAnsi="宋体" w:cs="宋体"/>
          <w:color w:val="auto"/>
          <w:highlight w:val="none"/>
        </w:rPr>
      </w:pPr>
      <w:r>
        <w:rPr>
          <w:rFonts w:hint="eastAsia" w:ascii="宋体" w:hAnsi="宋体" w:cs="宋体"/>
          <w:color w:val="auto"/>
          <w:highlight w:val="none"/>
        </w:rPr>
        <w:t>七、年度考核时，动态抽查的得分是将历次抽查得分进行算术平均，并占检查项目年度考核得分的40%，年终检查得分占检查项目年度考核得分的60%，物业服务指标项目只在年度考核时进行评分，并按规定的比例计入年度考核得分。</w:t>
      </w:r>
    </w:p>
    <w:p>
      <w:pPr>
        <w:widowControl/>
        <w:spacing w:line="360" w:lineRule="auto"/>
        <w:ind w:firstLine="420" w:firstLineChars="200"/>
        <w:jc w:val="left"/>
        <w:rPr>
          <w:rFonts w:hint="eastAsia" w:ascii="宋体" w:hAnsi="宋体" w:cs="宋体"/>
          <w:color w:val="auto"/>
          <w:highlight w:val="none"/>
        </w:rPr>
      </w:pPr>
      <w:r>
        <w:rPr>
          <w:rFonts w:hint="eastAsia" w:ascii="宋体" w:hAnsi="宋体" w:cs="宋体"/>
          <w:color w:val="auto"/>
          <w:highlight w:val="none"/>
        </w:rPr>
        <w:t>八、物业服务年度考核得分按以下标准与物业管理服务费挂钩：</w:t>
      </w:r>
    </w:p>
    <w:p>
      <w:pPr>
        <w:widowControl/>
        <w:spacing w:line="360" w:lineRule="auto"/>
        <w:ind w:firstLine="420" w:firstLineChars="200"/>
        <w:jc w:val="left"/>
        <w:rPr>
          <w:rFonts w:hint="eastAsia" w:ascii="宋体" w:hAnsi="宋体" w:cs="宋体"/>
          <w:color w:val="auto"/>
          <w:highlight w:val="none"/>
        </w:rPr>
      </w:pPr>
      <w:r>
        <w:rPr>
          <w:rFonts w:hint="eastAsia" w:ascii="宋体" w:hAnsi="宋体" w:cs="宋体"/>
          <w:color w:val="auto"/>
          <w:highlight w:val="none"/>
        </w:rPr>
        <w:t>（一）考核分在90分以上（含90分），按100%支付物业服务费；</w:t>
      </w:r>
    </w:p>
    <w:p>
      <w:pPr>
        <w:widowControl/>
        <w:spacing w:line="360" w:lineRule="auto"/>
        <w:ind w:firstLine="420" w:firstLineChars="200"/>
        <w:jc w:val="left"/>
        <w:rPr>
          <w:rFonts w:hint="eastAsia" w:ascii="宋体" w:hAnsi="宋体" w:cs="宋体"/>
          <w:color w:val="auto"/>
          <w:highlight w:val="none"/>
        </w:rPr>
      </w:pPr>
      <w:r>
        <w:rPr>
          <w:rFonts w:hint="eastAsia" w:ascii="宋体" w:hAnsi="宋体" w:cs="宋体"/>
          <w:color w:val="auto"/>
          <w:highlight w:val="none"/>
        </w:rPr>
        <w:t>（二）考核分在80分-89分区间，按95%支付物业服务费；</w:t>
      </w:r>
    </w:p>
    <w:p>
      <w:pPr>
        <w:widowControl/>
        <w:spacing w:line="360" w:lineRule="auto"/>
        <w:ind w:firstLine="420" w:firstLineChars="200"/>
        <w:jc w:val="left"/>
        <w:rPr>
          <w:rFonts w:hint="eastAsia" w:ascii="宋体" w:hAnsi="宋体" w:cs="宋体"/>
          <w:color w:val="auto"/>
          <w:highlight w:val="none"/>
        </w:rPr>
      </w:pPr>
      <w:r>
        <w:rPr>
          <w:rFonts w:hint="eastAsia" w:ascii="宋体" w:hAnsi="宋体" w:cs="宋体"/>
          <w:color w:val="auto"/>
          <w:highlight w:val="none"/>
        </w:rPr>
        <w:t>（三）考核分在70分-79分区间，按90%支付物业服务费；</w:t>
      </w:r>
    </w:p>
    <w:p>
      <w:pPr>
        <w:widowControl/>
        <w:spacing w:line="360" w:lineRule="auto"/>
        <w:ind w:firstLine="420" w:firstLineChars="200"/>
        <w:jc w:val="left"/>
        <w:rPr>
          <w:rFonts w:hint="eastAsia" w:ascii="宋体" w:hAnsi="宋体" w:cs="宋体"/>
          <w:color w:val="auto"/>
          <w:highlight w:val="none"/>
        </w:rPr>
      </w:pPr>
      <w:r>
        <w:rPr>
          <w:rFonts w:hint="eastAsia" w:ascii="宋体" w:hAnsi="宋体" w:cs="宋体"/>
          <w:color w:val="auto"/>
          <w:highlight w:val="none"/>
        </w:rPr>
        <w:t>（四）考核分在69分以下，按80%支付物业服务费。</w:t>
      </w:r>
    </w:p>
    <w:p>
      <w:pPr>
        <w:widowControl/>
        <w:spacing w:line="360" w:lineRule="auto"/>
        <w:ind w:firstLine="420" w:firstLineChars="200"/>
        <w:jc w:val="left"/>
        <w:rPr>
          <w:rFonts w:hint="eastAsia" w:ascii="宋体" w:hAnsi="宋体" w:cs="宋体"/>
          <w:color w:val="auto"/>
          <w:highlight w:val="none"/>
        </w:rPr>
      </w:pPr>
      <w:r>
        <w:rPr>
          <w:rFonts w:hint="eastAsia" w:ascii="宋体" w:hAnsi="宋体" w:cs="宋体"/>
          <w:color w:val="auto"/>
          <w:highlight w:val="none"/>
        </w:rPr>
        <w:t>九、本办法作为谢家丽苑公共租赁房小区物业合同的组成部分，从小区正式交付起施行，具体内容由宁波市江北区住房和城乡建设局负责解释。</w:t>
      </w:r>
      <w:r>
        <w:rPr>
          <w:rFonts w:hint="eastAsia" w:ascii="宋体" w:hAnsi="宋体" w:cs="宋体"/>
          <w:color w:val="auto"/>
          <w:highlight w:val="none"/>
        </w:rPr>
        <w:br w:type="page"/>
      </w:r>
      <w:r>
        <w:rPr>
          <w:rFonts w:hint="eastAsia" w:ascii="宋体" w:hAnsi="宋体" w:cs="宋体"/>
          <w:color w:val="auto"/>
          <w:highlight w:val="none"/>
        </w:rPr>
        <w:t>附件2-1</w:t>
      </w:r>
    </w:p>
    <w:p>
      <w:pPr>
        <w:widowControl/>
        <w:spacing w:line="360" w:lineRule="auto"/>
        <w:ind w:firstLine="420" w:firstLineChars="200"/>
        <w:jc w:val="left"/>
        <w:rPr>
          <w:rFonts w:hint="eastAsia" w:ascii="宋体" w:hAnsi="宋体" w:cs="宋体"/>
          <w:color w:val="auto"/>
          <w:highlight w:val="none"/>
        </w:rPr>
      </w:pPr>
      <w:r>
        <w:rPr>
          <w:rFonts w:hint="eastAsia" w:ascii="宋体" w:hAnsi="宋体" w:cs="宋体"/>
          <w:color w:val="auto"/>
          <w:highlight w:val="none"/>
        </w:rPr>
        <w:t>谢嘉丽苑公共租赁住房小区物业</w:t>
      </w:r>
    </w:p>
    <w:p>
      <w:pPr>
        <w:widowControl/>
        <w:spacing w:line="360" w:lineRule="auto"/>
        <w:ind w:firstLine="420" w:firstLineChars="200"/>
        <w:jc w:val="left"/>
        <w:rPr>
          <w:rFonts w:hint="eastAsia" w:ascii="宋体" w:hAnsi="宋体" w:cs="宋体"/>
          <w:color w:val="auto"/>
          <w:highlight w:val="none"/>
        </w:rPr>
      </w:pPr>
      <w:r>
        <w:rPr>
          <w:rFonts w:hint="eastAsia" w:ascii="宋体" w:hAnsi="宋体" w:cs="宋体"/>
          <w:color w:val="auto"/>
          <w:highlight w:val="none"/>
        </w:rPr>
        <w:t>服务考核评分表</w:t>
      </w:r>
    </w:p>
    <w:tbl>
      <w:tblPr>
        <w:tblStyle w:val="23"/>
        <w:tblW w:w="98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7"/>
        <w:gridCol w:w="485"/>
        <w:gridCol w:w="3024"/>
        <w:gridCol w:w="4512"/>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2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cs="宋体"/>
                <w:color w:val="auto"/>
                <w:highlight w:val="none"/>
              </w:rPr>
            </w:pPr>
          </w:p>
          <w:p>
            <w:pPr>
              <w:widowControl/>
              <w:spacing w:line="360" w:lineRule="auto"/>
              <w:ind w:firstLine="420" w:firstLineChars="200"/>
              <w:jc w:val="left"/>
              <w:rPr>
                <w:rFonts w:hint="eastAsia" w:ascii="宋体" w:hAnsi="宋体" w:cs="宋体"/>
                <w:color w:val="auto"/>
                <w:highlight w:val="none"/>
              </w:rPr>
            </w:pPr>
          </w:p>
        </w:tc>
        <w:tc>
          <w:tcPr>
            <w:tcW w:w="48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rPr>
                <w:rFonts w:hint="eastAsia" w:ascii="宋体" w:hAnsi="宋体" w:cs="宋体"/>
                <w:color w:val="auto"/>
                <w:highlight w:val="none"/>
              </w:rPr>
            </w:pPr>
            <w:r>
              <w:rPr>
                <w:rFonts w:hint="eastAsia" w:ascii="宋体" w:hAnsi="宋体" w:cs="宋体"/>
                <w:color w:val="auto"/>
                <w:highlight w:val="none"/>
              </w:rPr>
              <w:t>序号</w:t>
            </w:r>
          </w:p>
        </w:tc>
        <w:tc>
          <w:tcPr>
            <w:tcW w:w="302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420" w:firstLineChars="200"/>
              <w:jc w:val="center"/>
              <w:rPr>
                <w:rFonts w:hint="eastAsia" w:ascii="宋体" w:hAnsi="宋体" w:cs="宋体"/>
                <w:color w:val="auto"/>
                <w:highlight w:val="none"/>
              </w:rPr>
            </w:pPr>
            <w:r>
              <w:rPr>
                <w:rFonts w:hint="eastAsia" w:ascii="宋体" w:hAnsi="宋体" w:cs="宋体"/>
                <w:color w:val="auto"/>
                <w:highlight w:val="none"/>
              </w:rPr>
              <w:t>考评内容</w:t>
            </w:r>
          </w:p>
        </w:tc>
        <w:tc>
          <w:tcPr>
            <w:tcW w:w="451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420" w:firstLineChars="200"/>
              <w:jc w:val="center"/>
              <w:rPr>
                <w:rFonts w:hint="eastAsia" w:ascii="宋体" w:hAnsi="宋体" w:cs="宋体"/>
                <w:color w:val="auto"/>
                <w:highlight w:val="none"/>
              </w:rPr>
            </w:pPr>
            <w:r>
              <w:rPr>
                <w:rFonts w:hint="eastAsia" w:ascii="宋体" w:hAnsi="宋体" w:cs="宋体"/>
                <w:color w:val="auto"/>
                <w:highlight w:val="none"/>
              </w:rPr>
              <w:t>考评标准</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420" w:firstLineChars="200"/>
              <w:jc w:val="center"/>
              <w:rPr>
                <w:rFonts w:hint="eastAsia" w:ascii="宋体" w:hAnsi="宋体" w:cs="宋体"/>
                <w:color w:val="auto"/>
                <w:highlight w:val="none"/>
              </w:rPr>
            </w:pPr>
            <w:r>
              <w:rPr>
                <w:rFonts w:hint="eastAsia" w:ascii="宋体" w:hAnsi="宋体" w:cs="宋体"/>
                <w:color w:val="auto"/>
                <w:highlight w:val="none"/>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727" w:type="dxa"/>
            <w:vMerge w:val="restart"/>
            <w:tcBorders>
              <w:top w:val="single" w:color="auto" w:sz="4" w:space="0"/>
              <w:left w:val="single" w:color="auto" w:sz="4" w:space="0"/>
              <w:right w:val="single" w:color="auto" w:sz="4" w:space="0"/>
            </w:tcBorders>
            <w:noWrap w:val="0"/>
            <w:vAlign w:val="center"/>
          </w:tcPr>
          <w:p>
            <w:pPr>
              <w:widowControl/>
              <w:spacing w:line="360" w:lineRule="auto"/>
              <w:jc w:val="left"/>
              <w:rPr>
                <w:rFonts w:hint="eastAsia" w:ascii="宋体" w:hAnsi="宋体" w:cs="宋体"/>
                <w:color w:val="auto"/>
                <w:highlight w:val="none"/>
              </w:rPr>
            </w:pPr>
            <w:r>
              <w:rPr>
                <w:rFonts w:hint="eastAsia" w:ascii="宋体" w:hAnsi="宋体" w:cs="宋体"/>
                <w:color w:val="auto"/>
                <w:highlight w:val="none"/>
              </w:rPr>
              <w:t>检查</w:t>
            </w:r>
          </w:p>
          <w:p>
            <w:pPr>
              <w:widowControl/>
              <w:spacing w:line="360" w:lineRule="auto"/>
              <w:jc w:val="left"/>
              <w:rPr>
                <w:rFonts w:hint="eastAsia" w:ascii="宋体" w:hAnsi="宋体" w:cs="宋体"/>
                <w:color w:val="auto"/>
                <w:highlight w:val="none"/>
              </w:rPr>
            </w:pPr>
            <w:r>
              <w:rPr>
                <w:rFonts w:hint="eastAsia" w:ascii="宋体" w:hAnsi="宋体" w:cs="宋体"/>
                <w:color w:val="auto"/>
                <w:highlight w:val="none"/>
              </w:rPr>
              <w:t>项目</w:t>
            </w:r>
          </w:p>
          <w:p>
            <w:pPr>
              <w:widowControl/>
              <w:spacing w:line="360" w:lineRule="auto"/>
              <w:jc w:val="left"/>
              <w:rPr>
                <w:rFonts w:hint="eastAsia" w:ascii="宋体" w:hAnsi="宋体" w:cs="宋体"/>
                <w:color w:val="auto"/>
                <w:highlight w:val="none"/>
              </w:rPr>
            </w:pPr>
            <w:r>
              <w:rPr>
                <w:rFonts w:hint="eastAsia" w:ascii="宋体" w:hAnsi="宋体" w:cs="宋体"/>
                <w:color w:val="auto"/>
                <w:highlight w:val="none"/>
              </w:rPr>
              <w:t>85分）</w:t>
            </w:r>
          </w:p>
          <w:p>
            <w:pPr>
              <w:widowControl/>
              <w:spacing w:line="360" w:lineRule="auto"/>
              <w:ind w:firstLine="420" w:firstLineChars="200"/>
              <w:jc w:val="left"/>
              <w:rPr>
                <w:rFonts w:hint="eastAsia" w:ascii="宋体" w:hAnsi="宋体" w:cs="宋体"/>
                <w:color w:val="auto"/>
                <w:highlight w:val="none"/>
              </w:rPr>
            </w:pPr>
          </w:p>
        </w:tc>
        <w:tc>
          <w:tcPr>
            <w:tcW w:w="48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rPr>
                <w:rFonts w:hint="eastAsia" w:ascii="宋体" w:hAnsi="宋体" w:cs="宋体"/>
                <w:color w:val="auto"/>
                <w:highlight w:val="none"/>
              </w:rPr>
            </w:pPr>
            <w:r>
              <w:rPr>
                <w:rFonts w:hint="eastAsia" w:ascii="宋体" w:hAnsi="宋体" w:cs="宋体"/>
                <w:color w:val="auto"/>
                <w:highlight w:val="none"/>
              </w:rPr>
              <w:t>1</w:t>
            </w:r>
          </w:p>
        </w:tc>
        <w:tc>
          <w:tcPr>
            <w:tcW w:w="302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cs="宋体"/>
                <w:color w:val="auto"/>
                <w:highlight w:val="none"/>
              </w:rPr>
            </w:pPr>
            <w:r>
              <w:rPr>
                <w:rFonts w:hint="eastAsia" w:ascii="宋体" w:hAnsi="宋体" w:cs="宋体"/>
                <w:color w:val="auto"/>
                <w:highlight w:val="none"/>
              </w:rPr>
              <w:t>管理制度及人员配备</w:t>
            </w:r>
          </w:p>
        </w:tc>
        <w:tc>
          <w:tcPr>
            <w:tcW w:w="451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cs="宋体"/>
                <w:color w:val="auto"/>
                <w:highlight w:val="none"/>
              </w:rPr>
            </w:pPr>
            <w:r>
              <w:rPr>
                <w:rFonts w:hint="eastAsia" w:ascii="宋体" w:hAnsi="宋体" w:cs="宋体"/>
                <w:color w:val="auto"/>
                <w:highlight w:val="none"/>
              </w:rPr>
              <w:t>符合得10分，基本符合得7分，不符合得0分。</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420" w:firstLineChars="200"/>
              <w:jc w:val="center"/>
              <w:rPr>
                <w:rFonts w:hint="eastAsia"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727" w:type="dxa"/>
            <w:vMerge w:val="continue"/>
            <w:tcBorders>
              <w:left w:val="single" w:color="auto" w:sz="4" w:space="0"/>
              <w:right w:val="single" w:color="auto" w:sz="4" w:space="0"/>
            </w:tcBorders>
            <w:noWrap w:val="0"/>
            <w:vAlign w:val="center"/>
          </w:tcPr>
          <w:p>
            <w:pPr>
              <w:widowControl/>
              <w:spacing w:line="360" w:lineRule="auto"/>
              <w:ind w:firstLine="420" w:firstLineChars="200"/>
              <w:jc w:val="left"/>
              <w:rPr>
                <w:rFonts w:hint="eastAsia" w:ascii="宋体" w:hAnsi="宋体" w:cs="宋体"/>
                <w:color w:val="auto"/>
                <w:highlight w:val="none"/>
              </w:rPr>
            </w:pPr>
          </w:p>
        </w:tc>
        <w:tc>
          <w:tcPr>
            <w:tcW w:w="48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rPr>
                <w:rFonts w:hint="eastAsia" w:ascii="宋体" w:hAnsi="宋体" w:cs="宋体"/>
                <w:color w:val="auto"/>
                <w:highlight w:val="none"/>
              </w:rPr>
            </w:pPr>
            <w:r>
              <w:rPr>
                <w:rFonts w:hint="eastAsia" w:ascii="宋体" w:hAnsi="宋体" w:cs="宋体"/>
                <w:color w:val="auto"/>
                <w:highlight w:val="none"/>
              </w:rPr>
              <w:t>2</w:t>
            </w:r>
          </w:p>
        </w:tc>
        <w:tc>
          <w:tcPr>
            <w:tcW w:w="302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cs="宋体"/>
                <w:color w:val="auto"/>
                <w:highlight w:val="none"/>
              </w:rPr>
            </w:pPr>
            <w:r>
              <w:rPr>
                <w:rFonts w:hint="eastAsia" w:ascii="宋体" w:hAnsi="宋体" w:cs="宋体"/>
                <w:color w:val="auto"/>
                <w:highlight w:val="none"/>
              </w:rPr>
              <w:t>综合管理服务</w:t>
            </w:r>
          </w:p>
        </w:tc>
        <w:tc>
          <w:tcPr>
            <w:tcW w:w="451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cs="宋体"/>
                <w:color w:val="auto"/>
                <w:highlight w:val="none"/>
              </w:rPr>
            </w:pPr>
            <w:r>
              <w:rPr>
                <w:rFonts w:hint="eastAsia" w:ascii="宋体" w:hAnsi="宋体" w:cs="宋体"/>
                <w:color w:val="auto"/>
                <w:highlight w:val="none"/>
              </w:rPr>
              <w:t>符合得10分，基本符合得7分，不符合得0分。</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420" w:firstLineChars="200"/>
              <w:jc w:val="center"/>
              <w:rPr>
                <w:rFonts w:hint="eastAsia"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727" w:type="dxa"/>
            <w:vMerge w:val="continue"/>
            <w:tcBorders>
              <w:left w:val="single" w:color="auto" w:sz="4" w:space="0"/>
              <w:right w:val="single" w:color="auto" w:sz="4" w:space="0"/>
            </w:tcBorders>
            <w:noWrap w:val="0"/>
            <w:vAlign w:val="center"/>
          </w:tcPr>
          <w:p>
            <w:pPr>
              <w:widowControl/>
              <w:spacing w:line="360" w:lineRule="auto"/>
              <w:ind w:firstLine="420" w:firstLineChars="200"/>
              <w:jc w:val="left"/>
              <w:rPr>
                <w:rFonts w:hint="eastAsia" w:ascii="宋体" w:hAnsi="宋体" w:cs="宋体"/>
                <w:color w:val="auto"/>
                <w:highlight w:val="none"/>
              </w:rPr>
            </w:pPr>
          </w:p>
        </w:tc>
        <w:tc>
          <w:tcPr>
            <w:tcW w:w="48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rPr>
                <w:rFonts w:hint="eastAsia" w:ascii="宋体" w:hAnsi="宋体" w:cs="宋体"/>
                <w:color w:val="auto"/>
                <w:highlight w:val="none"/>
              </w:rPr>
            </w:pPr>
            <w:r>
              <w:rPr>
                <w:rFonts w:hint="eastAsia" w:ascii="宋体" w:hAnsi="宋体" w:cs="宋体"/>
                <w:color w:val="auto"/>
                <w:highlight w:val="none"/>
              </w:rPr>
              <w:t>3</w:t>
            </w:r>
          </w:p>
        </w:tc>
        <w:tc>
          <w:tcPr>
            <w:tcW w:w="302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cs="宋体"/>
                <w:color w:val="auto"/>
                <w:highlight w:val="none"/>
              </w:rPr>
            </w:pPr>
            <w:r>
              <w:rPr>
                <w:rFonts w:hint="eastAsia" w:ascii="宋体" w:hAnsi="宋体" w:cs="宋体"/>
                <w:color w:val="auto"/>
                <w:highlight w:val="none"/>
              </w:rPr>
              <w:t>公共区域秩序维护服务</w:t>
            </w:r>
          </w:p>
        </w:tc>
        <w:tc>
          <w:tcPr>
            <w:tcW w:w="451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cs="宋体"/>
                <w:color w:val="auto"/>
                <w:highlight w:val="none"/>
              </w:rPr>
            </w:pPr>
            <w:r>
              <w:rPr>
                <w:rFonts w:hint="eastAsia" w:ascii="宋体" w:hAnsi="宋体" w:cs="宋体"/>
                <w:color w:val="auto"/>
                <w:highlight w:val="none"/>
              </w:rPr>
              <w:t>符合得10分，基本符合得7分，不符合得0分。</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420" w:firstLineChars="200"/>
              <w:jc w:val="center"/>
              <w:rPr>
                <w:rFonts w:hint="eastAsia"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727" w:type="dxa"/>
            <w:vMerge w:val="continue"/>
            <w:tcBorders>
              <w:left w:val="single" w:color="auto" w:sz="4" w:space="0"/>
              <w:right w:val="single" w:color="auto" w:sz="4" w:space="0"/>
            </w:tcBorders>
            <w:noWrap w:val="0"/>
            <w:vAlign w:val="center"/>
          </w:tcPr>
          <w:p>
            <w:pPr>
              <w:widowControl/>
              <w:spacing w:line="360" w:lineRule="auto"/>
              <w:ind w:firstLine="420" w:firstLineChars="200"/>
              <w:jc w:val="left"/>
              <w:rPr>
                <w:rFonts w:hint="eastAsia" w:ascii="宋体" w:hAnsi="宋体" w:cs="宋体"/>
                <w:color w:val="auto"/>
                <w:highlight w:val="none"/>
              </w:rPr>
            </w:pPr>
          </w:p>
        </w:tc>
        <w:tc>
          <w:tcPr>
            <w:tcW w:w="48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rPr>
                <w:rFonts w:hint="eastAsia" w:ascii="宋体" w:hAnsi="宋体" w:cs="宋体"/>
                <w:color w:val="auto"/>
                <w:highlight w:val="none"/>
              </w:rPr>
            </w:pPr>
            <w:r>
              <w:rPr>
                <w:rFonts w:hint="eastAsia" w:ascii="宋体" w:hAnsi="宋体" w:cs="宋体"/>
                <w:color w:val="auto"/>
                <w:highlight w:val="none"/>
              </w:rPr>
              <w:t>4</w:t>
            </w:r>
          </w:p>
        </w:tc>
        <w:tc>
          <w:tcPr>
            <w:tcW w:w="302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cs="宋体"/>
                <w:color w:val="auto"/>
                <w:highlight w:val="none"/>
              </w:rPr>
            </w:pPr>
            <w:r>
              <w:rPr>
                <w:rFonts w:hint="eastAsia" w:ascii="宋体" w:hAnsi="宋体" w:cs="宋体"/>
                <w:color w:val="auto"/>
                <w:highlight w:val="none"/>
              </w:rPr>
              <w:t>建筑物共用部位及共用设备设施管理维护服务</w:t>
            </w:r>
          </w:p>
        </w:tc>
        <w:tc>
          <w:tcPr>
            <w:tcW w:w="451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cs="宋体"/>
                <w:color w:val="auto"/>
                <w:highlight w:val="none"/>
              </w:rPr>
            </w:pPr>
            <w:r>
              <w:rPr>
                <w:rFonts w:hint="eastAsia" w:ascii="宋体" w:hAnsi="宋体" w:cs="宋体"/>
                <w:color w:val="auto"/>
                <w:highlight w:val="none"/>
              </w:rPr>
              <w:t>符合得15分，基本符合得10分，不符合得0分。</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420" w:firstLineChars="200"/>
              <w:jc w:val="center"/>
              <w:rPr>
                <w:rFonts w:hint="eastAsia"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727" w:type="dxa"/>
            <w:vMerge w:val="continue"/>
            <w:tcBorders>
              <w:left w:val="single" w:color="auto" w:sz="4" w:space="0"/>
              <w:right w:val="single" w:color="auto" w:sz="4" w:space="0"/>
            </w:tcBorders>
            <w:noWrap w:val="0"/>
            <w:vAlign w:val="center"/>
          </w:tcPr>
          <w:p>
            <w:pPr>
              <w:widowControl/>
              <w:spacing w:line="360" w:lineRule="auto"/>
              <w:ind w:firstLine="420" w:firstLineChars="200"/>
              <w:jc w:val="left"/>
              <w:rPr>
                <w:rFonts w:hint="eastAsia" w:ascii="宋体" w:hAnsi="宋体" w:cs="宋体"/>
                <w:color w:val="auto"/>
                <w:highlight w:val="none"/>
              </w:rPr>
            </w:pPr>
          </w:p>
        </w:tc>
        <w:tc>
          <w:tcPr>
            <w:tcW w:w="48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rPr>
                <w:rFonts w:hint="eastAsia" w:ascii="宋体" w:hAnsi="宋体" w:cs="宋体"/>
                <w:color w:val="auto"/>
                <w:highlight w:val="none"/>
              </w:rPr>
            </w:pPr>
            <w:r>
              <w:rPr>
                <w:rFonts w:hint="eastAsia" w:ascii="宋体" w:hAnsi="宋体" w:cs="宋体"/>
                <w:color w:val="auto"/>
                <w:highlight w:val="none"/>
              </w:rPr>
              <w:t>5</w:t>
            </w:r>
          </w:p>
        </w:tc>
        <w:tc>
          <w:tcPr>
            <w:tcW w:w="302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cs="宋体"/>
                <w:color w:val="auto"/>
                <w:highlight w:val="none"/>
              </w:rPr>
            </w:pPr>
            <w:r>
              <w:rPr>
                <w:rFonts w:hint="eastAsia" w:ascii="宋体" w:hAnsi="宋体" w:cs="宋体"/>
                <w:color w:val="auto"/>
                <w:highlight w:val="none"/>
              </w:rPr>
              <w:t>公共区域保洁服务</w:t>
            </w:r>
          </w:p>
        </w:tc>
        <w:tc>
          <w:tcPr>
            <w:tcW w:w="451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cs="宋体"/>
                <w:color w:val="auto"/>
                <w:highlight w:val="none"/>
              </w:rPr>
            </w:pPr>
            <w:r>
              <w:rPr>
                <w:rFonts w:hint="eastAsia" w:ascii="宋体" w:hAnsi="宋体" w:cs="宋体"/>
                <w:color w:val="auto"/>
                <w:highlight w:val="none"/>
              </w:rPr>
              <w:t>符合得10分，基本符合得7分，不符合得0分。</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420" w:firstLineChars="200"/>
              <w:jc w:val="center"/>
              <w:rPr>
                <w:rFonts w:hint="eastAsia"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727" w:type="dxa"/>
            <w:vMerge w:val="continue"/>
            <w:tcBorders>
              <w:left w:val="single" w:color="auto" w:sz="4" w:space="0"/>
              <w:right w:val="single" w:color="auto" w:sz="4" w:space="0"/>
            </w:tcBorders>
            <w:noWrap w:val="0"/>
            <w:vAlign w:val="center"/>
          </w:tcPr>
          <w:p>
            <w:pPr>
              <w:widowControl/>
              <w:spacing w:line="360" w:lineRule="auto"/>
              <w:ind w:firstLine="420" w:firstLineChars="200"/>
              <w:jc w:val="left"/>
              <w:rPr>
                <w:rFonts w:hint="eastAsia" w:ascii="宋体" w:hAnsi="宋体" w:cs="宋体"/>
                <w:color w:val="auto"/>
                <w:highlight w:val="none"/>
              </w:rPr>
            </w:pPr>
          </w:p>
        </w:tc>
        <w:tc>
          <w:tcPr>
            <w:tcW w:w="48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rPr>
                <w:rFonts w:hint="eastAsia" w:ascii="宋体" w:hAnsi="宋体" w:cs="宋体"/>
                <w:color w:val="auto"/>
                <w:highlight w:val="none"/>
              </w:rPr>
            </w:pPr>
            <w:r>
              <w:rPr>
                <w:rFonts w:hint="eastAsia" w:ascii="宋体" w:hAnsi="宋体" w:cs="宋体"/>
                <w:color w:val="auto"/>
                <w:highlight w:val="none"/>
              </w:rPr>
              <w:t>6</w:t>
            </w:r>
          </w:p>
        </w:tc>
        <w:tc>
          <w:tcPr>
            <w:tcW w:w="302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cs="宋体"/>
                <w:color w:val="auto"/>
                <w:highlight w:val="none"/>
              </w:rPr>
            </w:pPr>
            <w:r>
              <w:rPr>
                <w:rFonts w:hint="eastAsia" w:ascii="宋体" w:hAnsi="宋体" w:cs="宋体"/>
                <w:color w:val="auto"/>
                <w:highlight w:val="none"/>
              </w:rPr>
              <w:t>停车管理</w:t>
            </w:r>
          </w:p>
        </w:tc>
        <w:tc>
          <w:tcPr>
            <w:tcW w:w="451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cs="宋体"/>
                <w:color w:val="auto"/>
                <w:highlight w:val="none"/>
              </w:rPr>
            </w:pPr>
            <w:r>
              <w:rPr>
                <w:rFonts w:hint="eastAsia" w:ascii="宋体" w:hAnsi="宋体" w:cs="宋体"/>
                <w:color w:val="auto"/>
                <w:highlight w:val="none"/>
              </w:rPr>
              <w:t>符合得10分，基本符合得7分，不符合得0分。</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420" w:firstLineChars="200"/>
              <w:jc w:val="center"/>
              <w:rPr>
                <w:rFonts w:hint="eastAsia"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727" w:type="dxa"/>
            <w:vMerge w:val="continue"/>
            <w:tcBorders>
              <w:left w:val="single" w:color="auto" w:sz="4" w:space="0"/>
              <w:right w:val="single" w:color="auto" w:sz="4" w:space="0"/>
            </w:tcBorders>
            <w:noWrap w:val="0"/>
            <w:vAlign w:val="center"/>
          </w:tcPr>
          <w:p>
            <w:pPr>
              <w:widowControl/>
              <w:spacing w:line="360" w:lineRule="auto"/>
              <w:ind w:firstLine="420" w:firstLineChars="200"/>
              <w:jc w:val="left"/>
              <w:rPr>
                <w:rFonts w:hint="eastAsia" w:ascii="宋体" w:hAnsi="宋体" w:cs="宋体"/>
                <w:color w:val="auto"/>
                <w:highlight w:val="none"/>
              </w:rPr>
            </w:pPr>
          </w:p>
        </w:tc>
        <w:tc>
          <w:tcPr>
            <w:tcW w:w="48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rPr>
                <w:rFonts w:hint="eastAsia" w:ascii="宋体" w:hAnsi="宋体" w:cs="宋体"/>
                <w:color w:val="auto"/>
                <w:highlight w:val="none"/>
              </w:rPr>
            </w:pPr>
            <w:r>
              <w:rPr>
                <w:rFonts w:hint="eastAsia" w:ascii="宋体" w:hAnsi="宋体" w:cs="宋体"/>
                <w:color w:val="auto"/>
                <w:highlight w:val="none"/>
              </w:rPr>
              <w:t>7</w:t>
            </w:r>
          </w:p>
        </w:tc>
        <w:tc>
          <w:tcPr>
            <w:tcW w:w="302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cs="宋体"/>
                <w:color w:val="auto"/>
                <w:highlight w:val="none"/>
              </w:rPr>
            </w:pPr>
            <w:r>
              <w:rPr>
                <w:rFonts w:hint="eastAsia" w:ascii="宋体" w:hAnsi="宋体" w:cs="宋体"/>
                <w:color w:val="auto"/>
                <w:highlight w:val="none"/>
              </w:rPr>
              <w:t>公共区域绿化及景观日常养护</w:t>
            </w:r>
          </w:p>
        </w:tc>
        <w:tc>
          <w:tcPr>
            <w:tcW w:w="451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cs="宋体"/>
                <w:color w:val="auto"/>
                <w:highlight w:val="none"/>
              </w:rPr>
            </w:pPr>
            <w:r>
              <w:rPr>
                <w:rFonts w:hint="eastAsia" w:ascii="宋体" w:hAnsi="宋体" w:cs="宋体"/>
                <w:color w:val="auto"/>
                <w:highlight w:val="none"/>
              </w:rPr>
              <w:t>符合得10分，基本符合得7分，不符合得0分。</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420" w:firstLineChars="200"/>
              <w:jc w:val="center"/>
              <w:rPr>
                <w:rFonts w:hint="eastAsia"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727" w:type="dxa"/>
            <w:vMerge w:val="continue"/>
            <w:tcBorders>
              <w:left w:val="single" w:color="auto" w:sz="4" w:space="0"/>
              <w:bottom w:val="single" w:color="auto" w:sz="4" w:space="0"/>
              <w:right w:val="single" w:color="auto" w:sz="4" w:space="0"/>
            </w:tcBorders>
            <w:noWrap w:val="0"/>
            <w:vAlign w:val="center"/>
          </w:tcPr>
          <w:p>
            <w:pPr>
              <w:widowControl/>
              <w:spacing w:line="360" w:lineRule="auto"/>
              <w:ind w:firstLine="420" w:firstLineChars="200"/>
              <w:jc w:val="left"/>
              <w:rPr>
                <w:rFonts w:hint="eastAsia" w:ascii="宋体" w:hAnsi="宋体" w:cs="宋体"/>
                <w:color w:val="auto"/>
                <w:highlight w:val="none"/>
              </w:rPr>
            </w:pPr>
          </w:p>
        </w:tc>
        <w:tc>
          <w:tcPr>
            <w:tcW w:w="48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rPr>
                <w:rFonts w:hint="eastAsia" w:ascii="宋体" w:hAnsi="宋体" w:cs="宋体"/>
                <w:color w:val="auto"/>
                <w:highlight w:val="none"/>
              </w:rPr>
            </w:pPr>
            <w:r>
              <w:rPr>
                <w:rFonts w:hint="eastAsia" w:ascii="宋体" w:hAnsi="宋体" w:cs="宋体"/>
                <w:color w:val="auto"/>
                <w:highlight w:val="none"/>
              </w:rPr>
              <w:t>8</w:t>
            </w:r>
          </w:p>
        </w:tc>
        <w:tc>
          <w:tcPr>
            <w:tcW w:w="302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cs="宋体"/>
                <w:color w:val="auto"/>
                <w:highlight w:val="none"/>
              </w:rPr>
            </w:pPr>
            <w:r>
              <w:rPr>
                <w:rFonts w:hint="eastAsia" w:ascii="宋体" w:hAnsi="宋体" w:cs="宋体"/>
                <w:color w:val="auto"/>
                <w:highlight w:val="none"/>
              </w:rPr>
              <w:t>社区文化建设和特色服务</w:t>
            </w:r>
          </w:p>
        </w:tc>
        <w:tc>
          <w:tcPr>
            <w:tcW w:w="451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cs="宋体"/>
                <w:color w:val="auto"/>
                <w:highlight w:val="none"/>
              </w:rPr>
            </w:pPr>
            <w:r>
              <w:rPr>
                <w:rFonts w:hint="eastAsia" w:ascii="宋体" w:hAnsi="宋体" w:cs="宋体"/>
                <w:color w:val="auto"/>
                <w:highlight w:val="none"/>
              </w:rPr>
              <w:t>符合得10分，基本符合得7分，不符合得0分。</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420" w:firstLineChars="200"/>
              <w:jc w:val="center"/>
              <w:rPr>
                <w:rFonts w:hint="eastAsia"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727" w:type="dxa"/>
            <w:vMerge w:val="restart"/>
            <w:tcBorders>
              <w:top w:val="single" w:color="auto" w:sz="4" w:space="0"/>
              <w:left w:val="single" w:color="auto" w:sz="4" w:space="0"/>
              <w:right w:val="single" w:color="auto" w:sz="4" w:space="0"/>
            </w:tcBorders>
            <w:noWrap w:val="0"/>
            <w:vAlign w:val="center"/>
          </w:tcPr>
          <w:p>
            <w:pPr>
              <w:widowControl/>
              <w:spacing w:line="360" w:lineRule="auto"/>
              <w:jc w:val="left"/>
              <w:rPr>
                <w:rFonts w:hint="eastAsia" w:ascii="宋体" w:hAnsi="宋体" w:cs="宋体"/>
                <w:color w:val="auto"/>
                <w:highlight w:val="none"/>
              </w:rPr>
            </w:pPr>
            <w:r>
              <w:rPr>
                <w:rFonts w:hint="eastAsia" w:ascii="宋体" w:hAnsi="宋体" w:cs="宋体"/>
                <w:color w:val="auto"/>
                <w:highlight w:val="none"/>
              </w:rPr>
              <w:t>指标项目（15）分</w:t>
            </w:r>
          </w:p>
        </w:tc>
        <w:tc>
          <w:tcPr>
            <w:tcW w:w="48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rPr>
                <w:rFonts w:hint="eastAsia" w:ascii="宋体" w:hAnsi="宋体" w:cs="宋体"/>
                <w:color w:val="auto"/>
                <w:highlight w:val="none"/>
              </w:rPr>
            </w:pPr>
            <w:r>
              <w:rPr>
                <w:rFonts w:hint="eastAsia" w:ascii="宋体" w:hAnsi="宋体" w:cs="宋体"/>
                <w:color w:val="auto"/>
                <w:highlight w:val="none"/>
              </w:rPr>
              <w:t>9</w:t>
            </w:r>
          </w:p>
        </w:tc>
        <w:tc>
          <w:tcPr>
            <w:tcW w:w="302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cs="宋体"/>
                <w:color w:val="auto"/>
                <w:highlight w:val="none"/>
              </w:rPr>
            </w:pPr>
            <w:r>
              <w:rPr>
                <w:rFonts w:hint="eastAsia" w:ascii="宋体" w:hAnsi="宋体" w:cs="宋体"/>
                <w:color w:val="auto"/>
                <w:highlight w:val="none"/>
              </w:rPr>
              <w:t>承租人对物业满意率不低于80%（含）</w:t>
            </w:r>
          </w:p>
        </w:tc>
        <w:tc>
          <w:tcPr>
            <w:tcW w:w="451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cs="宋体"/>
                <w:color w:val="auto"/>
                <w:highlight w:val="none"/>
              </w:rPr>
            </w:pPr>
            <w:r>
              <w:rPr>
                <w:rFonts w:hint="eastAsia" w:ascii="宋体" w:hAnsi="宋体" w:cs="宋体"/>
                <w:color w:val="auto"/>
                <w:highlight w:val="none"/>
              </w:rPr>
              <w:t>符合得6分，每低1%扣0.5分。</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420" w:firstLineChars="200"/>
              <w:jc w:val="center"/>
              <w:rPr>
                <w:rFonts w:hint="eastAsia"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727" w:type="dxa"/>
            <w:vMerge w:val="continue"/>
            <w:tcBorders>
              <w:left w:val="single" w:color="auto" w:sz="4" w:space="0"/>
              <w:right w:val="single" w:color="auto" w:sz="4" w:space="0"/>
            </w:tcBorders>
            <w:noWrap w:val="0"/>
            <w:vAlign w:val="center"/>
          </w:tcPr>
          <w:p>
            <w:pPr>
              <w:widowControl/>
              <w:spacing w:line="360" w:lineRule="auto"/>
              <w:ind w:firstLine="420" w:firstLineChars="200"/>
              <w:jc w:val="left"/>
              <w:rPr>
                <w:rFonts w:hint="eastAsia" w:ascii="宋体" w:hAnsi="宋体" w:cs="宋体"/>
                <w:color w:val="auto"/>
                <w:highlight w:val="none"/>
              </w:rPr>
            </w:pPr>
          </w:p>
        </w:tc>
        <w:tc>
          <w:tcPr>
            <w:tcW w:w="48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rPr>
                <w:rFonts w:hint="eastAsia" w:ascii="宋体" w:hAnsi="宋体" w:cs="宋体"/>
                <w:color w:val="auto"/>
                <w:highlight w:val="none"/>
              </w:rPr>
            </w:pPr>
            <w:r>
              <w:rPr>
                <w:rFonts w:hint="eastAsia" w:ascii="宋体" w:hAnsi="宋体" w:cs="宋体"/>
                <w:color w:val="auto"/>
                <w:highlight w:val="none"/>
              </w:rPr>
              <w:t>10</w:t>
            </w:r>
          </w:p>
        </w:tc>
        <w:tc>
          <w:tcPr>
            <w:tcW w:w="302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cs="宋体"/>
                <w:color w:val="auto"/>
                <w:highlight w:val="none"/>
              </w:rPr>
            </w:pPr>
            <w:r>
              <w:rPr>
                <w:rFonts w:hint="eastAsia" w:ascii="宋体" w:hAnsi="宋体" w:cs="宋体"/>
                <w:color w:val="auto"/>
                <w:highlight w:val="none"/>
              </w:rPr>
              <w:t>承租住户诉至业主单位的有效投诉第一年少于7件，第二年少于5件，第三年以后少于3件</w:t>
            </w:r>
          </w:p>
        </w:tc>
        <w:tc>
          <w:tcPr>
            <w:tcW w:w="451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cs="宋体"/>
                <w:color w:val="auto"/>
                <w:highlight w:val="none"/>
              </w:rPr>
            </w:pPr>
            <w:r>
              <w:rPr>
                <w:rFonts w:hint="eastAsia" w:ascii="宋体" w:hAnsi="宋体" w:cs="宋体"/>
                <w:color w:val="auto"/>
                <w:highlight w:val="none"/>
              </w:rPr>
              <w:t>符合得5分，每超过一件扣2分。</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420" w:firstLineChars="200"/>
              <w:jc w:val="center"/>
              <w:rPr>
                <w:rFonts w:hint="eastAsia"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727" w:type="dxa"/>
            <w:vMerge w:val="continue"/>
            <w:tcBorders>
              <w:left w:val="single" w:color="auto" w:sz="4" w:space="0"/>
              <w:bottom w:val="single" w:color="auto" w:sz="4" w:space="0"/>
              <w:right w:val="single" w:color="auto" w:sz="4" w:space="0"/>
            </w:tcBorders>
            <w:noWrap w:val="0"/>
            <w:vAlign w:val="center"/>
          </w:tcPr>
          <w:p>
            <w:pPr>
              <w:widowControl/>
              <w:spacing w:line="360" w:lineRule="auto"/>
              <w:ind w:firstLine="420" w:firstLineChars="200"/>
              <w:jc w:val="left"/>
              <w:rPr>
                <w:rFonts w:hint="eastAsia" w:ascii="宋体" w:hAnsi="宋体" w:cs="宋体"/>
                <w:color w:val="auto"/>
                <w:highlight w:val="none"/>
              </w:rPr>
            </w:pPr>
          </w:p>
        </w:tc>
        <w:tc>
          <w:tcPr>
            <w:tcW w:w="48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rPr>
                <w:rFonts w:hint="eastAsia" w:ascii="宋体" w:hAnsi="宋体" w:cs="宋体"/>
                <w:color w:val="auto"/>
                <w:highlight w:val="none"/>
              </w:rPr>
            </w:pPr>
            <w:r>
              <w:rPr>
                <w:rFonts w:hint="eastAsia" w:ascii="宋体" w:hAnsi="宋体" w:cs="宋体"/>
                <w:color w:val="auto"/>
                <w:highlight w:val="none"/>
              </w:rPr>
              <w:t>11</w:t>
            </w:r>
          </w:p>
        </w:tc>
        <w:tc>
          <w:tcPr>
            <w:tcW w:w="302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cs="宋体"/>
                <w:color w:val="auto"/>
                <w:highlight w:val="none"/>
              </w:rPr>
            </w:pPr>
            <w:r>
              <w:rPr>
                <w:rFonts w:hint="eastAsia" w:ascii="宋体" w:hAnsi="宋体" w:cs="宋体"/>
                <w:color w:val="auto"/>
                <w:highlight w:val="none"/>
              </w:rPr>
              <w:t>房屋及配套设备、设施完好率为98%</w:t>
            </w:r>
          </w:p>
        </w:tc>
        <w:tc>
          <w:tcPr>
            <w:tcW w:w="451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cs="宋体"/>
                <w:color w:val="auto"/>
                <w:highlight w:val="none"/>
              </w:rPr>
            </w:pPr>
            <w:r>
              <w:rPr>
                <w:rFonts w:hint="eastAsia" w:ascii="宋体" w:hAnsi="宋体" w:cs="宋体"/>
                <w:color w:val="auto"/>
                <w:highlight w:val="none"/>
              </w:rPr>
              <w:t>符合得2分，不符合得0分。</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420" w:firstLineChars="200"/>
              <w:jc w:val="center"/>
              <w:rPr>
                <w:rFonts w:hint="eastAsia"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727" w:type="dxa"/>
            <w:vMerge w:val="continue"/>
            <w:tcBorders>
              <w:top w:val="single" w:color="auto" w:sz="4" w:space="0"/>
              <w:left w:val="single" w:color="auto" w:sz="4" w:space="0"/>
              <w:right w:val="single" w:color="auto" w:sz="4" w:space="0"/>
            </w:tcBorders>
            <w:noWrap w:val="0"/>
            <w:vAlign w:val="center"/>
          </w:tcPr>
          <w:p>
            <w:pPr>
              <w:widowControl/>
              <w:spacing w:line="360" w:lineRule="auto"/>
              <w:ind w:firstLine="420" w:firstLineChars="200"/>
              <w:jc w:val="left"/>
              <w:rPr>
                <w:rFonts w:hint="eastAsia" w:ascii="宋体" w:hAnsi="宋体" w:cs="宋体"/>
                <w:color w:val="auto"/>
                <w:highlight w:val="none"/>
              </w:rPr>
            </w:pPr>
          </w:p>
        </w:tc>
        <w:tc>
          <w:tcPr>
            <w:tcW w:w="48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cs="宋体"/>
                <w:color w:val="auto"/>
                <w:highlight w:val="none"/>
              </w:rPr>
            </w:pPr>
            <w:r>
              <w:rPr>
                <w:rFonts w:hint="eastAsia" w:ascii="宋体" w:hAnsi="宋体" w:cs="宋体"/>
                <w:color w:val="auto"/>
                <w:highlight w:val="none"/>
              </w:rPr>
              <w:t>12</w:t>
            </w:r>
          </w:p>
        </w:tc>
        <w:tc>
          <w:tcPr>
            <w:tcW w:w="302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cs="宋体"/>
                <w:color w:val="auto"/>
                <w:highlight w:val="none"/>
              </w:rPr>
            </w:pPr>
            <w:r>
              <w:rPr>
                <w:rFonts w:hint="eastAsia" w:ascii="宋体" w:hAnsi="宋体" w:cs="宋体"/>
                <w:color w:val="auto"/>
                <w:highlight w:val="none"/>
              </w:rPr>
              <w:t>维修工作质量合格率为100%</w:t>
            </w:r>
          </w:p>
        </w:tc>
        <w:tc>
          <w:tcPr>
            <w:tcW w:w="451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cs="宋体"/>
                <w:color w:val="auto"/>
                <w:highlight w:val="none"/>
              </w:rPr>
            </w:pPr>
            <w:r>
              <w:rPr>
                <w:rFonts w:hint="eastAsia" w:ascii="宋体" w:hAnsi="宋体" w:cs="宋体"/>
                <w:color w:val="auto"/>
                <w:highlight w:val="none"/>
              </w:rPr>
              <w:t>符合得2分，不符合得0分。</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420" w:firstLineChars="200"/>
              <w:jc w:val="center"/>
              <w:rPr>
                <w:rFonts w:hint="eastAsia"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212" w:type="dxa"/>
            <w:gridSpan w:val="2"/>
            <w:tcBorders>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cs="宋体"/>
                <w:color w:val="auto"/>
                <w:highlight w:val="none"/>
              </w:rPr>
            </w:pPr>
            <w:r>
              <w:rPr>
                <w:rFonts w:hint="eastAsia" w:ascii="宋体" w:hAnsi="宋体" w:cs="宋体"/>
                <w:color w:val="auto"/>
                <w:highlight w:val="none"/>
              </w:rPr>
              <w:t>合计得分</w:t>
            </w:r>
          </w:p>
        </w:tc>
        <w:tc>
          <w:tcPr>
            <w:tcW w:w="8616"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420" w:firstLineChars="200"/>
              <w:jc w:val="left"/>
              <w:rPr>
                <w:rFonts w:hint="eastAsia" w:ascii="宋体" w:hAnsi="宋体" w:cs="宋体"/>
                <w:color w:val="auto"/>
                <w:highlight w:val="none"/>
              </w:rPr>
            </w:pPr>
          </w:p>
        </w:tc>
      </w:tr>
    </w:tbl>
    <w:p>
      <w:pPr>
        <w:widowControl/>
        <w:spacing w:line="360" w:lineRule="auto"/>
        <w:ind w:firstLine="420" w:firstLineChars="200"/>
        <w:jc w:val="left"/>
        <w:rPr>
          <w:rFonts w:hint="eastAsia" w:ascii="宋体" w:hAnsi="宋体" w:cs="宋体"/>
          <w:color w:val="auto"/>
          <w:highlight w:val="none"/>
        </w:rPr>
      </w:pPr>
      <w:r>
        <w:rPr>
          <w:rFonts w:hint="eastAsia" w:ascii="宋体" w:hAnsi="宋体" w:cs="宋体"/>
          <w:color w:val="auto"/>
          <w:highlight w:val="none"/>
        </w:rPr>
        <w:t>注：检查项目分项检查情况符合《谢嘉丽苑公共租赁住房小区物业服务管理内容和要求》（附件2-2）中相应所有要求的，该分项评价为“符合”；如有部分内容达不到要求的，该分项评价为“基本符合”；如有30%以上（不含30%）的内容达不到要求的，该分项评价为“不符合”。</w:t>
      </w:r>
    </w:p>
    <w:p>
      <w:pPr>
        <w:widowControl/>
        <w:spacing w:line="360" w:lineRule="auto"/>
        <w:ind w:firstLine="420" w:firstLineChars="200"/>
        <w:jc w:val="left"/>
        <w:rPr>
          <w:rFonts w:hint="eastAsia" w:ascii="宋体" w:hAnsi="宋体" w:cs="宋体"/>
          <w:color w:val="auto"/>
          <w:highlight w:val="none"/>
        </w:rPr>
      </w:pPr>
      <w:r>
        <w:rPr>
          <w:rFonts w:hint="eastAsia" w:ascii="宋体" w:hAnsi="宋体" w:cs="宋体"/>
          <w:color w:val="auto"/>
          <w:highlight w:val="none"/>
        </w:rPr>
        <w:br w:type="page"/>
      </w:r>
      <w:r>
        <w:rPr>
          <w:rFonts w:hint="eastAsia" w:ascii="宋体" w:hAnsi="宋体" w:cs="宋体"/>
          <w:color w:val="auto"/>
          <w:highlight w:val="none"/>
        </w:rPr>
        <w:t>附件2-2</w:t>
      </w:r>
    </w:p>
    <w:p>
      <w:pPr>
        <w:widowControl/>
        <w:spacing w:line="360" w:lineRule="auto"/>
        <w:ind w:firstLine="420" w:firstLineChars="200"/>
        <w:jc w:val="left"/>
        <w:rPr>
          <w:rFonts w:hint="eastAsia" w:ascii="宋体" w:hAnsi="宋体" w:cs="宋体"/>
          <w:color w:val="auto"/>
          <w:highlight w:val="none"/>
        </w:rPr>
      </w:pPr>
      <w:r>
        <w:rPr>
          <w:rFonts w:hint="eastAsia" w:ascii="宋体" w:hAnsi="宋体" w:cs="宋体"/>
          <w:color w:val="auto"/>
          <w:highlight w:val="none"/>
        </w:rPr>
        <w:t>谢嘉丽苑公共租赁住房小区物业</w:t>
      </w:r>
    </w:p>
    <w:p>
      <w:pPr>
        <w:widowControl/>
        <w:spacing w:line="360" w:lineRule="auto"/>
        <w:ind w:firstLine="420" w:firstLineChars="200"/>
        <w:jc w:val="left"/>
        <w:rPr>
          <w:rFonts w:hint="eastAsia" w:ascii="宋体" w:hAnsi="宋体" w:cs="宋体"/>
          <w:color w:val="auto"/>
          <w:highlight w:val="none"/>
        </w:rPr>
      </w:pPr>
      <w:r>
        <w:rPr>
          <w:rFonts w:hint="eastAsia" w:ascii="宋体" w:hAnsi="宋体" w:cs="宋体"/>
          <w:color w:val="auto"/>
          <w:highlight w:val="none"/>
        </w:rPr>
        <w:t>服务管理内容和要求</w:t>
      </w:r>
    </w:p>
    <w:p>
      <w:pPr>
        <w:widowControl/>
        <w:spacing w:line="360" w:lineRule="auto"/>
        <w:ind w:firstLine="420" w:firstLineChars="200"/>
        <w:jc w:val="left"/>
        <w:rPr>
          <w:rFonts w:hint="eastAsia" w:ascii="宋体" w:hAnsi="宋体" w:cs="宋体"/>
          <w:color w:val="auto"/>
          <w:highlight w:val="none"/>
        </w:rPr>
      </w:pPr>
      <w:r>
        <w:rPr>
          <w:rFonts w:hint="eastAsia" w:ascii="宋体" w:hAnsi="宋体" w:cs="宋体"/>
          <w:color w:val="auto"/>
          <w:highlight w:val="none"/>
        </w:rPr>
        <w:t>一、管理制度和机构、人员配备</w:t>
      </w:r>
    </w:p>
    <w:p>
      <w:pPr>
        <w:widowControl/>
        <w:spacing w:line="360" w:lineRule="auto"/>
        <w:ind w:firstLine="420" w:firstLineChars="200"/>
        <w:jc w:val="left"/>
        <w:rPr>
          <w:rFonts w:hint="eastAsia" w:ascii="宋体" w:hAnsi="宋体" w:cs="宋体"/>
          <w:color w:val="auto"/>
          <w:highlight w:val="none"/>
        </w:rPr>
      </w:pPr>
      <w:r>
        <w:rPr>
          <w:rFonts w:hint="eastAsia" w:ascii="宋体" w:hAnsi="宋体" w:cs="宋体"/>
          <w:color w:val="auto"/>
          <w:highlight w:val="none"/>
        </w:rPr>
        <w:t>1、各项管理制度齐全、内部考核机制完善</w:t>
      </w:r>
    </w:p>
    <w:p>
      <w:pPr>
        <w:widowControl/>
        <w:spacing w:line="360" w:lineRule="auto"/>
        <w:ind w:firstLine="420" w:firstLineChars="200"/>
        <w:jc w:val="left"/>
        <w:rPr>
          <w:rFonts w:hint="eastAsia" w:ascii="宋体" w:hAnsi="宋体" w:cs="宋体"/>
          <w:color w:val="auto"/>
          <w:highlight w:val="none"/>
        </w:rPr>
      </w:pPr>
      <w:r>
        <w:rPr>
          <w:rFonts w:hint="eastAsia" w:ascii="宋体" w:hAnsi="宋体" w:cs="宋体"/>
          <w:color w:val="auto"/>
          <w:highlight w:val="none"/>
        </w:rPr>
        <w:t>建立和完善财务管理、房屋及设施设备巡查、住户回访和内部岗位考核及收支公示等制度，并贯彻执行，有相关台帐资料。</w:t>
      </w:r>
    </w:p>
    <w:p>
      <w:pPr>
        <w:widowControl/>
        <w:spacing w:line="360" w:lineRule="auto"/>
        <w:ind w:firstLine="420" w:firstLineChars="200"/>
        <w:jc w:val="left"/>
        <w:rPr>
          <w:rFonts w:hint="eastAsia" w:ascii="宋体" w:hAnsi="宋体" w:cs="宋体"/>
          <w:color w:val="auto"/>
          <w:highlight w:val="none"/>
        </w:rPr>
      </w:pPr>
      <w:r>
        <w:rPr>
          <w:rFonts w:hint="eastAsia" w:ascii="宋体" w:hAnsi="宋体" w:cs="宋体"/>
          <w:color w:val="auto"/>
          <w:highlight w:val="none"/>
        </w:rPr>
        <w:t>2、管理机构健全，人员配备符合要求</w:t>
      </w:r>
    </w:p>
    <w:p>
      <w:pPr>
        <w:widowControl/>
        <w:spacing w:line="360" w:lineRule="auto"/>
        <w:ind w:firstLine="420" w:firstLineChars="200"/>
        <w:jc w:val="left"/>
        <w:rPr>
          <w:rFonts w:hint="eastAsia" w:ascii="宋体" w:hAnsi="宋体" w:cs="宋体"/>
          <w:color w:val="auto"/>
          <w:highlight w:val="none"/>
        </w:rPr>
      </w:pPr>
      <w:r>
        <w:rPr>
          <w:rFonts w:hint="eastAsia" w:ascii="宋体" w:hAnsi="宋体" w:cs="宋体"/>
          <w:color w:val="auto"/>
          <w:highlight w:val="none"/>
        </w:rPr>
        <w:t>管理机构设置合理、分工明确、职责清晰。管理人员、特种作业人员、保安及保洁人员数量配备符合要求。</w:t>
      </w:r>
    </w:p>
    <w:p>
      <w:pPr>
        <w:widowControl/>
        <w:spacing w:line="360" w:lineRule="auto"/>
        <w:ind w:firstLine="420" w:firstLineChars="200"/>
        <w:jc w:val="left"/>
        <w:rPr>
          <w:rFonts w:hint="eastAsia" w:ascii="宋体" w:hAnsi="宋体" w:cs="宋体"/>
          <w:color w:val="auto"/>
          <w:highlight w:val="none"/>
        </w:rPr>
      </w:pPr>
      <w:r>
        <w:rPr>
          <w:rFonts w:hint="eastAsia" w:ascii="宋体" w:hAnsi="宋体" w:cs="宋体"/>
          <w:color w:val="auto"/>
          <w:highlight w:val="none"/>
        </w:rPr>
        <w:t>3、服务场所整齐有序，工作人员服务主动、行为规范</w:t>
      </w:r>
    </w:p>
    <w:p>
      <w:pPr>
        <w:widowControl/>
        <w:spacing w:line="360" w:lineRule="auto"/>
        <w:ind w:firstLine="420" w:firstLineChars="200"/>
        <w:jc w:val="left"/>
        <w:rPr>
          <w:rFonts w:hint="eastAsia" w:ascii="宋体" w:hAnsi="宋体" w:cs="宋体"/>
          <w:color w:val="auto"/>
          <w:highlight w:val="none"/>
        </w:rPr>
      </w:pPr>
      <w:r>
        <w:rPr>
          <w:rFonts w:hint="eastAsia" w:ascii="宋体" w:hAnsi="宋体" w:cs="宋体"/>
          <w:color w:val="auto"/>
          <w:highlight w:val="none"/>
        </w:rPr>
        <w:t>设立服务中心，统一受理住户有关事项。办公场所清洁卫生，办公设施齐全。工作人员服装统一，特种作业人员持证上岗。工作人员热情周到、用语文明，办事效率高。</w:t>
      </w:r>
    </w:p>
    <w:p>
      <w:pPr>
        <w:widowControl/>
        <w:spacing w:line="360" w:lineRule="auto"/>
        <w:ind w:firstLine="420" w:firstLineChars="200"/>
        <w:jc w:val="left"/>
        <w:rPr>
          <w:rFonts w:hint="eastAsia" w:ascii="宋体" w:hAnsi="宋体" w:cs="宋体"/>
          <w:color w:val="auto"/>
          <w:highlight w:val="none"/>
        </w:rPr>
      </w:pPr>
      <w:r>
        <w:rPr>
          <w:rFonts w:hint="eastAsia" w:ascii="宋体" w:hAnsi="宋体" w:cs="宋体"/>
          <w:color w:val="auto"/>
          <w:highlight w:val="none"/>
        </w:rPr>
        <w:t>二、综合管理服务</w:t>
      </w:r>
    </w:p>
    <w:p>
      <w:pPr>
        <w:widowControl/>
        <w:spacing w:line="360" w:lineRule="auto"/>
        <w:ind w:firstLine="420" w:firstLineChars="200"/>
        <w:jc w:val="left"/>
        <w:rPr>
          <w:rFonts w:hint="eastAsia" w:ascii="宋体" w:hAnsi="宋体" w:cs="宋体"/>
          <w:color w:val="auto"/>
          <w:highlight w:val="none"/>
        </w:rPr>
      </w:pPr>
      <w:r>
        <w:rPr>
          <w:rFonts w:hint="eastAsia" w:ascii="宋体" w:hAnsi="宋体" w:cs="宋体"/>
          <w:color w:val="auto"/>
          <w:highlight w:val="none"/>
        </w:rPr>
        <w:t>1、建立12小时值班制度，公示服务联系电话，统一受理承租户的咨询、投诉和费用交纳。</w:t>
      </w:r>
    </w:p>
    <w:p>
      <w:pPr>
        <w:widowControl/>
        <w:spacing w:line="360" w:lineRule="auto"/>
        <w:ind w:firstLine="420" w:firstLineChars="200"/>
        <w:jc w:val="left"/>
        <w:rPr>
          <w:rFonts w:hint="eastAsia" w:ascii="宋体" w:hAnsi="宋体" w:cs="宋体"/>
          <w:color w:val="auto"/>
          <w:highlight w:val="none"/>
        </w:rPr>
      </w:pPr>
      <w:r>
        <w:rPr>
          <w:rFonts w:hint="eastAsia" w:ascii="宋体" w:hAnsi="宋体" w:cs="宋体"/>
          <w:color w:val="auto"/>
          <w:highlight w:val="none"/>
        </w:rPr>
        <w:t>2、对承租户的投诉在3天内答复处理或报有关部门处理。</w:t>
      </w:r>
    </w:p>
    <w:p>
      <w:pPr>
        <w:widowControl/>
        <w:spacing w:line="360" w:lineRule="auto"/>
        <w:ind w:firstLine="420" w:firstLineChars="200"/>
        <w:jc w:val="left"/>
        <w:rPr>
          <w:rFonts w:hint="eastAsia" w:ascii="宋体" w:hAnsi="宋体" w:cs="宋体"/>
          <w:color w:val="auto"/>
          <w:highlight w:val="none"/>
        </w:rPr>
      </w:pPr>
      <w:r>
        <w:rPr>
          <w:rFonts w:hint="eastAsia" w:ascii="宋体" w:hAnsi="宋体" w:cs="宋体"/>
          <w:color w:val="auto"/>
          <w:highlight w:val="none"/>
        </w:rPr>
        <w:t>3、承租户紧急报修不超过30分钟到达现场处理。</w:t>
      </w:r>
    </w:p>
    <w:p>
      <w:pPr>
        <w:widowControl/>
        <w:spacing w:line="360" w:lineRule="auto"/>
        <w:ind w:firstLine="420" w:firstLineChars="200"/>
        <w:jc w:val="left"/>
        <w:rPr>
          <w:rFonts w:hint="eastAsia" w:ascii="宋体" w:hAnsi="宋体" w:cs="宋体"/>
          <w:color w:val="auto"/>
          <w:highlight w:val="none"/>
        </w:rPr>
      </w:pPr>
      <w:r>
        <w:rPr>
          <w:rFonts w:hint="eastAsia" w:ascii="宋体" w:hAnsi="宋体" w:cs="宋体"/>
          <w:color w:val="auto"/>
          <w:highlight w:val="none"/>
        </w:rPr>
        <w:t>4、承租户共用设施、共用部位一般报修不超过24小时完成（屋面除外）。</w:t>
      </w:r>
    </w:p>
    <w:p>
      <w:pPr>
        <w:widowControl/>
        <w:spacing w:line="360" w:lineRule="auto"/>
        <w:ind w:firstLine="420" w:firstLineChars="200"/>
        <w:jc w:val="left"/>
        <w:rPr>
          <w:rFonts w:hint="eastAsia" w:ascii="宋体" w:hAnsi="宋体" w:cs="宋体"/>
          <w:color w:val="auto"/>
          <w:highlight w:val="none"/>
        </w:rPr>
      </w:pPr>
      <w:r>
        <w:rPr>
          <w:rFonts w:hint="eastAsia" w:ascii="宋体" w:hAnsi="宋体" w:cs="宋体"/>
          <w:color w:val="auto"/>
          <w:highlight w:val="none"/>
        </w:rPr>
        <w:t>5、承租户室内设备、设施报修2小时内通知保修单位，并监督保修单位在收到通知后及时完成维修。</w:t>
      </w:r>
    </w:p>
    <w:p>
      <w:pPr>
        <w:widowControl/>
        <w:spacing w:line="360" w:lineRule="auto"/>
        <w:ind w:firstLine="420" w:firstLineChars="200"/>
        <w:jc w:val="left"/>
        <w:rPr>
          <w:rFonts w:hint="eastAsia" w:ascii="宋体" w:hAnsi="宋体" w:cs="宋体"/>
          <w:color w:val="auto"/>
          <w:highlight w:val="none"/>
        </w:rPr>
      </w:pPr>
      <w:r>
        <w:rPr>
          <w:rFonts w:hint="eastAsia" w:ascii="宋体" w:hAnsi="宋体" w:cs="宋体"/>
          <w:color w:val="auto"/>
          <w:highlight w:val="none"/>
        </w:rPr>
        <w:t>6、采取走访、恳谈会、问卷调查、通讯等多种形式与业主或住户进行沟通并征询意见，每年的沟通面达到小区实际入住住户的100％。</w:t>
      </w:r>
    </w:p>
    <w:p>
      <w:pPr>
        <w:widowControl/>
        <w:spacing w:line="360" w:lineRule="auto"/>
        <w:ind w:firstLine="420" w:firstLineChars="200"/>
        <w:jc w:val="left"/>
        <w:rPr>
          <w:rFonts w:hint="eastAsia" w:ascii="宋体" w:hAnsi="宋体" w:cs="宋体"/>
          <w:color w:val="auto"/>
          <w:highlight w:val="none"/>
        </w:rPr>
      </w:pPr>
      <w:r>
        <w:rPr>
          <w:rFonts w:hint="eastAsia" w:ascii="宋体" w:hAnsi="宋体" w:cs="宋体"/>
          <w:color w:val="auto"/>
          <w:highlight w:val="none"/>
        </w:rPr>
        <w:t>三、公共区域秩序维护服务</w:t>
      </w:r>
    </w:p>
    <w:p>
      <w:pPr>
        <w:widowControl/>
        <w:spacing w:line="360" w:lineRule="auto"/>
        <w:ind w:firstLine="420" w:firstLineChars="200"/>
        <w:jc w:val="left"/>
        <w:rPr>
          <w:rFonts w:hint="eastAsia" w:ascii="宋体" w:hAnsi="宋体" w:cs="宋体"/>
          <w:color w:val="auto"/>
          <w:highlight w:val="none"/>
        </w:rPr>
      </w:pPr>
      <w:r>
        <w:rPr>
          <w:rFonts w:hint="eastAsia" w:ascii="宋体" w:hAnsi="宋体" w:cs="宋体"/>
          <w:color w:val="auto"/>
          <w:highlight w:val="none"/>
        </w:rPr>
        <w:t>1、小区出入口24小时值班看守，并有交接班记录和外来车辆的登记记录。</w:t>
      </w:r>
    </w:p>
    <w:p>
      <w:pPr>
        <w:widowControl/>
        <w:spacing w:line="360" w:lineRule="auto"/>
        <w:ind w:firstLine="420" w:firstLineChars="200"/>
        <w:jc w:val="left"/>
        <w:rPr>
          <w:rFonts w:hint="eastAsia" w:ascii="宋体" w:hAnsi="宋体" w:cs="宋体"/>
          <w:color w:val="auto"/>
          <w:highlight w:val="none"/>
        </w:rPr>
      </w:pPr>
      <w:r>
        <w:rPr>
          <w:rFonts w:hint="eastAsia" w:ascii="宋体" w:hAnsi="宋体" w:cs="宋体"/>
          <w:color w:val="auto"/>
          <w:highlight w:val="none"/>
        </w:rPr>
        <w:t>2、对外来送货人员进行记录，阻止小商小贩进入小区。</w:t>
      </w:r>
    </w:p>
    <w:p>
      <w:pPr>
        <w:widowControl/>
        <w:spacing w:line="360" w:lineRule="auto"/>
        <w:ind w:firstLine="420" w:firstLineChars="200"/>
        <w:jc w:val="left"/>
        <w:rPr>
          <w:rFonts w:hint="eastAsia" w:ascii="宋体" w:hAnsi="宋体" w:cs="宋体"/>
          <w:color w:val="auto"/>
          <w:highlight w:val="none"/>
        </w:rPr>
      </w:pPr>
      <w:r>
        <w:rPr>
          <w:rFonts w:hint="eastAsia" w:ascii="宋体" w:hAnsi="宋体" w:cs="宋体"/>
          <w:color w:val="auto"/>
          <w:highlight w:val="none"/>
        </w:rPr>
        <w:t>3、对进出小区的车辆进行管理和疏导，保持出入口环境整洁、有序、道路畅通。</w:t>
      </w:r>
    </w:p>
    <w:p>
      <w:pPr>
        <w:widowControl/>
        <w:spacing w:line="360" w:lineRule="auto"/>
        <w:ind w:firstLine="420" w:firstLineChars="200"/>
        <w:jc w:val="left"/>
        <w:rPr>
          <w:rFonts w:hint="eastAsia" w:ascii="宋体" w:hAnsi="宋体" w:cs="宋体"/>
          <w:color w:val="auto"/>
          <w:highlight w:val="none"/>
        </w:rPr>
      </w:pPr>
      <w:r>
        <w:rPr>
          <w:rFonts w:hint="eastAsia" w:ascii="宋体" w:hAnsi="宋体" w:cs="宋体"/>
          <w:color w:val="auto"/>
          <w:highlight w:val="none"/>
        </w:rPr>
        <w:t>4、对大型物件搬出实行记录。</w:t>
      </w:r>
    </w:p>
    <w:p>
      <w:pPr>
        <w:widowControl/>
        <w:spacing w:line="360" w:lineRule="auto"/>
        <w:ind w:firstLine="420" w:firstLineChars="200"/>
        <w:jc w:val="left"/>
        <w:rPr>
          <w:rFonts w:hint="eastAsia" w:ascii="宋体" w:hAnsi="宋体" w:cs="宋体"/>
          <w:color w:val="auto"/>
          <w:highlight w:val="none"/>
        </w:rPr>
      </w:pPr>
      <w:r>
        <w:rPr>
          <w:rFonts w:hint="eastAsia" w:ascii="宋体" w:hAnsi="宋体" w:cs="宋体"/>
          <w:color w:val="auto"/>
          <w:highlight w:val="none"/>
        </w:rPr>
        <w:t>5、白天、夜间定时巡逻，重点部位有明确的巡逻要求，并有巡逻记录。</w:t>
      </w:r>
    </w:p>
    <w:p>
      <w:pPr>
        <w:widowControl/>
        <w:spacing w:line="360" w:lineRule="auto"/>
        <w:ind w:firstLine="420" w:firstLineChars="200"/>
        <w:jc w:val="left"/>
        <w:rPr>
          <w:rFonts w:hint="eastAsia" w:ascii="宋体" w:hAnsi="宋体" w:cs="宋体"/>
          <w:color w:val="auto"/>
          <w:highlight w:val="none"/>
        </w:rPr>
      </w:pPr>
      <w:r>
        <w:rPr>
          <w:rFonts w:hint="eastAsia" w:ascii="宋体" w:hAnsi="宋体" w:cs="宋体"/>
          <w:color w:val="auto"/>
          <w:highlight w:val="none"/>
        </w:rPr>
        <w:t>6、监控中心收到报警信号后，保安人员应及时赶到现场进行处理，同时应接受用户救助的要求，解答用户的询问。</w:t>
      </w:r>
    </w:p>
    <w:p>
      <w:pPr>
        <w:widowControl/>
        <w:spacing w:line="360" w:lineRule="auto"/>
        <w:ind w:firstLine="420" w:firstLineChars="200"/>
        <w:jc w:val="left"/>
        <w:rPr>
          <w:rFonts w:hint="eastAsia" w:ascii="宋体" w:hAnsi="宋体" w:cs="宋体"/>
          <w:color w:val="auto"/>
          <w:highlight w:val="none"/>
        </w:rPr>
      </w:pPr>
      <w:r>
        <w:rPr>
          <w:rFonts w:hint="eastAsia" w:ascii="宋体" w:hAnsi="宋体" w:cs="宋体"/>
          <w:color w:val="auto"/>
          <w:highlight w:val="none"/>
        </w:rPr>
        <w:t>7、制定火灾防范措施和消防预案，向承租户宣传消防知识，定期组织本小区工作人员的消防培训，保证消防疏散通道畅通，登高地不被占用，消防器材功能正常，疏散标志醒目、齐全、完好。</w:t>
      </w:r>
    </w:p>
    <w:p>
      <w:pPr>
        <w:widowControl/>
        <w:spacing w:line="360" w:lineRule="auto"/>
        <w:ind w:firstLine="420" w:firstLineChars="200"/>
        <w:jc w:val="left"/>
        <w:rPr>
          <w:rFonts w:hint="eastAsia" w:ascii="宋体" w:hAnsi="宋体" w:cs="宋体"/>
          <w:color w:val="auto"/>
          <w:highlight w:val="none"/>
        </w:rPr>
      </w:pPr>
      <w:r>
        <w:rPr>
          <w:rFonts w:hint="eastAsia" w:ascii="宋体" w:hAnsi="宋体" w:cs="宋体"/>
          <w:color w:val="auto"/>
          <w:highlight w:val="none"/>
        </w:rPr>
        <w:t>8、建立与项目匹配的停车管理制度</w:t>
      </w:r>
    </w:p>
    <w:p>
      <w:pPr>
        <w:widowControl/>
        <w:spacing w:line="360" w:lineRule="auto"/>
        <w:ind w:firstLine="420" w:firstLineChars="200"/>
        <w:jc w:val="left"/>
        <w:rPr>
          <w:rFonts w:hint="eastAsia" w:ascii="宋体" w:hAnsi="宋体" w:cs="宋体"/>
          <w:color w:val="auto"/>
          <w:highlight w:val="none"/>
        </w:rPr>
      </w:pPr>
      <w:r>
        <w:rPr>
          <w:rFonts w:hint="eastAsia" w:ascii="宋体" w:hAnsi="宋体" w:cs="宋体"/>
          <w:color w:val="auto"/>
          <w:highlight w:val="none"/>
        </w:rPr>
        <w:t>9、道路、行车标识牌醒目、齐全、完好。</w:t>
      </w:r>
    </w:p>
    <w:p>
      <w:pPr>
        <w:widowControl/>
        <w:spacing w:line="360" w:lineRule="auto"/>
        <w:ind w:firstLine="420" w:firstLineChars="200"/>
        <w:jc w:val="left"/>
        <w:rPr>
          <w:rFonts w:hint="eastAsia" w:ascii="宋体" w:hAnsi="宋体" w:cs="宋体"/>
          <w:color w:val="auto"/>
          <w:highlight w:val="none"/>
        </w:rPr>
      </w:pPr>
      <w:r>
        <w:rPr>
          <w:rFonts w:hint="eastAsia" w:ascii="宋体" w:hAnsi="宋体" w:cs="宋体"/>
          <w:color w:val="auto"/>
          <w:highlight w:val="none"/>
        </w:rPr>
        <w:t>四、公共区域保洁服务</w:t>
      </w:r>
    </w:p>
    <w:p>
      <w:pPr>
        <w:widowControl/>
        <w:spacing w:line="360" w:lineRule="auto"/>
        <w:ind w:firstLine="420" w:firstLineChars="200"/>
        <w:jc w:val="left"/>
        <w:rPr>
          <w:rFonts w:hint="eastAsia" w:ascii="宋体" w:hAnsi="宋体" w:cs="宋体"/>
          <w:color w:val="auto"/>
          <w:highlight w:val="none"/>
        </w:rPr>
      </w:pPr>
      <w:r>
        <w:rPr>
          <w:rFonts w:hint="eastAsia" w:ascii="宋体" w:hAnsi="宋体" w:cs="宋体"/>
          <w:color w:val="auto"/>
          <w:highlight w:val="none"/>
        </w:rPr>
        <w:t>1、定期对建筑物内公共部位进行日常保洁和对楼道玻璃、电梯不锈钢等进行清洁。不定期对公共部位、绿化地进行保洁。</w:t>
      </w:r>
    </w:p>
    <w:p>
      <w:pPr>
        <w:widowControl/>
        <w:spacing w:line="360" w:lineRule="auto"/>
        <w:ind w:firstLine="420" w:firstLineChars="200"/>
        <w:jc w:val="left"/>
        <w:rPr>
          <w:rFonts w:hint="eastAsia" w:ascii="宋体" w:hAnsi="宋体" w:cs="宋体"/>
          <w:color w:val="auto"/>
          <w:highlight w:val="none"/>
        </w:rPr>
      </w:pPr>
      <w:r>
        <w:rPr>
          <w:rFonts w:hint="eastAsia" w:ascii="宋体" w:hAnsi="宋体" w:cs="宋体"/>
          <w:color w:val="auto"/>
          <w:highlight w:val="none"/>
        </w:rPr>
        <w:t>2、负责垃圾收集，做到日产日清，配合环卫处做好垃圾清运及化粪池清掏工作，待甲方与环卫处签约的《垃圾清运协议》及《化粪池清理协议》期满后，由乙方自行与环卫处签署相关协议，费用自行承担；有义务配合相关管理部门开展垃圾分类工作，包括小区分类垃圾桶的摆放和维护、协助社区开展家庭分类垃圾桶、垃圾袋、宣传资料的发放，设置积分登记点等活动、负责将分类垃圾运送至指定收运地点、参与垃圾分类相关工作等。</w:t>
      </w:r>
    </w:p>
    <w:p>
      <w:pPr>
        <w:widowControl/>
        <w:spacing w:line="360" w:lineRule="auto"/>
        <w:ind w:firstLine="420" w:firstLineChars="200"/>
        <w:jc w:val="left"/>
        <w:rPr>
          <w:rFonts w:hint="eastAsia" w:ascii="宋体" w:hAnsi="宋体" w:cs="宋体"/>
          <w:color w:val="auto"/>
          <w:highlight w:val="none"/>
        </w:rPr>
      </w:pPr>
      <w:r>
        <w:rPr>
          <w:rFonts w:hint="eastAsia" w:ascii="宋体" w:hAnsi="宋体" w:cs="宋体"/>
          <w:color w:val="auto"/>
          <w:highlight w:val="none"/>
        </w:rPr>
        <w:t>3、加强鼠、蚊、蝇、蟑螂和白蚁消杀以及其它虫害防治。</w:t>
      </w:r>
    </w:p>
    <w:p>
      <w:pPr>
        <w:widowControl/>
        <w:spacing w:line="360" w:lineRule="auto"/>
        <w:ind w:firstLine="420" w:firstLineChars="200"/>
        <w:jc w:val="left"/>
        <w:rPr>
          <w:rFonts w:hint="eastAsia" w:ascii="宋体" w:hAnsi="宋体" w:cs="宋体"/>
          <w:color w:val="auto"/>
          <w:highlight w:val="none"/>
        </w:rPr>
      </w:pPr>
      <w:r>
        <w:rPr>
          <w:rFonts w:hint="eastAsia" w:ascii="宋体" w:hAnsi="宋体" w:cs="宋体"/>
          <w:color w:val="auto"/>
          <w:highlight w:val="none"/>
        </w:rPr>
        <w:t>五、建筑物共用部位及共用设备设施管理维护服务</w:t>
      </w:r>
    </w:p>
    <w:p>
      <w:pPr>
        <w:widowControl/>
        <w:spacing w:line="360" w:lineRule="auto"/>
        <w:ind w:firstLine="420" w:firstLineChars="200"/>
        <w:jc w:val="left"/>
        <w:rPr>
          <w:rFonts w:hint="eastAsia" w:ascii="宋体" w:hAnsi="宋体" w:cs="宋体"/>
          <w:color w:val="auto"/>
          <w:highlight w:val="none"/>
        </w:rPr>
      </w:pPr>
      <w:r>
        <w:rPr>
          <w:rFonts w:hint="eastAsia" w:ascii="宋体" w:hAnsi="宋体" w:cs="宋体"/>
          <w:color w:val="auto"/>
          <w:highlight w:val="none"/>
        </w:rPr>
        <w:t>建筑物内共用部位（以下简称共用部位）、建筑区划内共用设施设备（以下简称共用设施设备）的保修按《宁波市物业专项维修资金管理办法》实施意见、房屋保修书及本市住宅小区保修的有关规定执行。</w:t>
      </w:r>
    </w:p>
    <w:p>
      <w:pPr>
        <w:widowControl/>
        <w:spacing w:line="360" w:lineRule="auto"/>
        <w:ind w:firstLine="420" w:firstLineChars="200"/>
        <w:jc w:val="left"/>
        <w:rPr>
          <w:rFonts w:hint="eastAsia" w:ascii="宋体" w:hAnsi="宋体" w:cs="宋体"/>
          <w:color w:val="auto"/>
          <w:highlight w:val="none"/>
        </w:rPr>
      </w:pPr>
      <w:r>
        <w:rPr>
          <w:rFonts w:hint="eastAsia" w:ascii="宋体" w:hAnsi="宋体" w:cs="宋体"/>
          <w:color w:val="auto"/>
          <w:highlight w:val="none"/>
        </w:rPr>
        <w:t>1、制定房屋年度养护计划，建立设备设施管理制度，加强日常维护和住房安全管理，定期对住房进行安全情况检查，并做好记录。</w:t>
      </w:r>
    </w:p>
    <w:p>
      <w:pPr>
        <w:widowControl/>
        <w:spacing w:line="360" w:lineRule="auto"/>
        <w:ind w:firstLine="420" w:firstLineChars="200"/>
        <w:jc w:val="left"/>
        <w:rPr>
          <w:rFonts w:hint="eastAsia" w:ascii="宋体" w:hAnsi="宋体" w:cs="宋体"/>
          <w:color w:val="auto"/>
          <w:highlight w:val="none"/>
        </w:rPr>
      </w:pPr>
      <w:r>
        <w:rPr>
          <w:rFonts w:hint="eastAsia" w:ascii="宋体" w:hAnsi="宋体" w:cs="宋体"/>
          <w:color w:val="auto"/>
          <w:highlight w:val="none"/>
        </w:rPr>
        <w:t>2、保修期内共用部位、共用设备设施原则上由施工单位负责保修，也可通过签订协议委托中标单位保修。保修期外的共用部位、共用设施设备保修委托小区物业管理公司实施。</w:t>
      </w:r>
    </w:p>
    <w:p>
      <w:pPr>
        <w:widowControl/>
        <w:spacing w:line="360" w:lineRule="auto"/>
        <w:ind w:firstLine="420" w:firstLineChars="200"/>
        <w:jc w:val="left"/>
        <w:rPr>
          <w:rFonts w:hint="eastAsia" w:ascii="宋体" w:hAnsi="宋体" w:cs="宋体"/>
          <w:color w:val="auto"/>
          <w:highlight w:val="none"/>
        </w:rPr>
      </w:pPr>
      <w:r>
        <w:rPr>
          <w:rFonts w:hint="eastAsia" w:ascii="宋体" w:hAnsi="宋体" w:cs="宋体"/>
          <w:color w:val="auto"/>
          <w:highlight w:val="none"/>
        </w:rPr>
        <w:t>3、保修期内中标单位接到报修后应及时通知保修单位，并配合和跟踪维修进展情况，对维修完成情况进行验收和存档，并及时反馈给招标单位。</w:t>
      </w:r>
    </w:p>
    <w:p>
      <w:pPr>
        <w:widowControl/>
        <w:spacing w:line="360" w:lineRule="auto"/>
        <w:ind w:firstLine="420" w:firstLineChars="200"/>
        <w:jc w:val="left"/>
        <w:rPr>
          <w:rFonts w:hint="eastAsia" w:ascii="宋体" w:hAnsi="宋体" w:cs="宋体"/>
          <w:color w:val="auto"/>
          <w:highlight w:val="none"/>
        </w:rPr>
      </w:pPr>
      <w:r>
        <w:rPr>
          <w:rFonts w:hint="eastAsia" w:ascii="宋体" w:hAnsi="宋体" w:cs="宋体"/>
          <w:color w:val="auto"/>
          <w:highlight w:val="none"/>
        </w:rPr>
        <w:t>4、保修期外共用部位、共用设备设施中大修以上，中标单位须按《宁波市物业专项维修资金管理办法》实施意见等的有关规定执行。</w:t>
      </w:r>
    </w:p>
    <w:p>
      <w:pPr>
        <w:widowControl/>
        <w:spacing w:line="360" w:lineRule="auto"/>
        <w:ind w:firstLine="420" w:firstLineChars="200"/>
        <w:jc w:val="left"/>
        <w:rPr>
          <w:rFonts w:hint="eastAsia" w:ascii="宋体" w:hAnsi="宋体" w:cs="宋体"/>
          <w:color w:val="auto"/>
          <w:highlight w:val="none"/>
        </w:rPr>
      </w:pPr>
      <w:r>
        <w:rPr>
          <w:rFonts w:hint="eastAsia" w:ascii="宋体" w:hAnsi="宋体" w:cs="宋体"/>
          <w:color w:val="auto"/>
          <w:highlight w:val="none"/>
        </w:rPr>
        <w:t>5、中标单位需在甲方与电梯公司签订的电梯维保合同基础上另行签订维保补充协议，确保电梯安全运行；维保期满后由中标单位另行签订维保协议。</w:t>
      </w:r>
    </w:p>
    <w:p>
      <w:pPr>
        <w:widowControl/>
        <w:spacing w:line="360" w:lineRule="auto"/>
        <w:ind w:firstLine="420" w:firstLineChars="200"/>
        <w:jc w:val="left"/>
        <w:rPr>
          <w:rFonts w:hint="eastAsia" w:ascii="宋体" w:hAnsi="宋体" w:cs="宋体"/>
          <w:color w:val="auto"/>
          <w:highlight w:val="none"/>
        </w:rPr>
      </w:pPr>
      <w:r>
        <w:rPr>
          <w:rFonts w:hint="eastAsia" w:ascii="宋体" w:hAnsi="宋体" w:cs="宋体"/>
          <w:color w:val="auto"/>
          <w:highlight w:val="none"/>
        </w:rPr>
        <w:t>六、停车管理</w:t>
      </w:r>
    </w:p>
    <w:p>
      <w:pPr>
        <w:widowControl/>
        <w:spacing w:line="360" w:lineRule="auto"/>
        <w:ind w:firstLine="420" w:firstLineChars="200"/>
        <w:jc w:val="left"/>
        <w:rPr>
          <w:rFonts w:hint="eastAsia" w:ascii="宋体" w:hAnsi="宋体" w:cs="宋体"/>
          <w:color w:val="auto"/>
          <w:highlight w:val="none"/>
        </w:rPr>
      </w:pPr>
      <w:r>
        <w:rPr>
          <w:rFonts w:hint="eastAsia" w:ascii="宋体" w:hAnsi="宋体" w:cs="宋体"/>
          <w:color w:val="auto"/>
          <w:highlight w:val="none"/>
        </w:rPr>
        <w:t>1、车辆有序停放在规定范围内；</w:t>
      </w:r>
    </w:p>
    <w:p>
      <w:pPr>
        <w:widowControl/>
        <w:spacing w:line="360" w:lineRule="auto"/>
        <w:ind w:firstLine="420" w:firstLineChars="200"/>
        <w:jc w:val="left"/>
        <w:rPr>
          <w:rFonts w:hint="eastAsia" w:ascii="宋体" w:hAnsi="宋体" w:cs="宋体"/>
          <w:color w:val="auto"/>
          <w:highlight w:val="none"/>
        </w:rPr>
      </w:pPr>
      <w:r>
        <w:rPr>
          <w:rFonts w:hint="eastAsia" w:ascii="宋体" w:hAnsi="宋体" w:cs="宋体"/>
          <w:color w:val="auto"/>
          <w:highlight w:val="none"/>
        </w:rPr>
        <w:t>2、地下停车库应有专人管理；</w:t>
      </w:r>
    </w:p>
    <w:p>
      <w:pPr>
        <w:widowControl/>
        <w:spacing w:line="360" w:lineRule="auto"/>
        <w:ind w:firstLine="420" w:firstLineChars="200"/>
        <w:jc w:val="left"/>
        <w:rPr>
          <w:rFonts w:hint="eastAsia" w:ascii="宋体" w:hAnsi="宋体" w:cs="宋体"/>
          <w:color w:val="auto"/>
          <w:highlight w:val="none"/>
        </w:rPr>
      </w:pPr>
      <w:r>
        <w:rPr>
          <w:rFonts w:hint="eastAsia" w:ascii="宋体" w:hAnsi="宋体" w:cs="宋体"/>
          <w:color w:val="auto"/>
          <w:highlight w:val="none"/>
        </w:rPr>
        <w:t>3、地下停车库应保持有照明、通风良好和无积水。</w:t>
      </w:r>
    </w:p>
    <w:p>
      <w:pPr>
        <w:widowControl/>
        <w:spacing w:line="360" w:lineRule="auto"/>
        <w:ind w:firstLine="420" w:firstLineChars="200"/>
        <w:jc w:val="left"/>
        <w:rPr>
          <w:rFonts w:hint="eastAsia" w:ascii="宋体" w:hAnsi="宋体" w:cs="宋体"/>
          <w:color w:val="auto"/>
          <w:highlight w:val="none"/>
        </w:rPr>
      </w:pPr>
      <w:r>
        <w:rPr>
          <w:rFonts w:hint="eastAsia" w:ascii="宋体" w:hAnsi="宋体" w:cs="宋体"/>
          <w:color w:val="auto"/>
          <w:highlight w:val="none"/>
        </w:rPr>
        <w:t>七、公共区域绿化及景观日常养护</w:t>
      </w:r>
    </w:p>
    <w:p>
      <w:pPr>
        <w:widowControl/>
        <w:spacing w:line="360" w:lineRule="auto"/>
        <w:ind w:firstLine="420" w:firstLineChars="200"/>
        <w:jc w:val="left"/>
        <w:rPr>
          <w:rFonts w:hint="eastAsia" w:ascii="宋体" w:hAnsi="宋体" w:cs="宋体"/>
          <w:color w:val="auto"/>
          <w:highlight w:val="none"/>
        </w:rPr>
      </w:pPr>
      <w:r>
        <w:rPr>
          <w:rFonts w:hint="eastAsia" w:ascii="宋体" w:hAnsi="宋体" w:cs="宋体"/>
          <w:color w:val="auto"/>
          <w:highlight w:val="none"/>
        </w:rPr>
        <w:t>1、做好小区树木、草坪和花坛管理养护工作。</w:t>
      </w:r>
    </w:p>
    <w:p>
      <w:pPr>
        <w:widowControl/>
        <w:spacing w:line="360" w:lineRule="auto"/>
        <w:ind w:firstLine="420" w:firstLineChars="200"/>
        <w:jc w:val="left"/>
        <w:rPr>
          <w:rFonts w:hint="eastAsia" w:ascii="宋体" w:hAnsi="宋体" w:cs="宋体"/>
          <w:color w:val="auto"/>
          <w:highlight w:val="none"/>
        </w:rPr>
      </w:pPr>
      <w:r>
        <w:rPr>
          <w:rFonts w:hint="eastAsia" w:ascii="宋体" w:hAnsi="宋体" w:cs="宋体"/>
          <w:color w:val="auto"/>
          <w:highlight w:val="none"/>
        </w:rPr>
        <w:t>2、保持小区内的植物整洁、美观、有型、无病虫害和枯、死枝。</w:t>
      </w:r>
    </w:p>
    <w:p>
      <w:pPr>
        <w:widowControl/>
        <w:spacing w:line="360" w:lineRule="auto"/>
        <w:ind w:firstLine="420" w:firstLineChars="200"/>
        <w:jc w:val="left"/>
        <w:rPr>
          <w:rFonts w:hint="eastAsia" w:ascii="宋体" w:hAnsi="宋体" w:cs="宋体"/>
          <w:color w:val="auto"/>
          <w:highlight w:val="none"/>
        </w:rPr>
      </w:pPr>
      <w:r>
        <w:rPr>
          <w:rFonts w:hint="eastAsia" w:ascii="宋体" w:hAnsi="宋体" w:cs="宋体"/>
          <w:color w:val="auto"/>
          <w:highlight w:val="none"/>
        </w:rPr>
        <w:t>3、保持小区内健身休闲设施的整洁、完好和正常使用功能。</w:t>
      </w:r>
    </w:p>
    <w:p>
      <w:pPr>
        <w:widowControl/>
        <w:spacing w:line="360" w:lineRule="auto"/>
        <w:ind w:firstLine="420" w:firstLineChars="200"/>
        <w:jc w:val="left"/>
        <w:rPr>
          <w:rFonts w:hint="eastAsia" w:ascii="宋体" w:hAnsi="宋体" w:cs="宋体"/>
          <w:color w:val="auto"/>
          <w:highlight w:val="none"/>
        </w:rPr>
      </w:pPr>
      <w:r>
        <w:rPr>
          <w:rFonts w:hint="eastAsia" w:ascii="宋体" w:hAnsi="宋体" w:cs="宋体"/>
          <w:color w:val="auto"/>
          <w:highlight w:val="none"/>
        </w:rPr>
        <w:t>八、社区文化建设和特色服务</w:t>
      </w:r>
    </w:p>
    <w:p>
      <w:pPr>
        <w:widowControl/>
        <w:spacing w:line="360" w:lineRule="auto"/>
        <w:ind w:firstLine="420" w:firstLineChars="200"/>
        <w:jc w:val="left"/>
        <w:rPr>
          <w:rFonts w:hint="eastAsia" w:ascii="宋体" w:hAnsi="宋体" w:cs="宋体"/>
          <w:color w:val="auto"/>
          <w:highlight w:val="none"/>
        </w:rPr>
      </w:pPr>
      <w:r>
        <w:rPr>
          <w:rFonts w:hint="eastAsia" w:ascii="宋体" w:hAnsi="宋体" w:cs="宋体"/>
          <w:color w:val="auto"/>
          <w:highlight w:val="none"/>
        </w:rPr>
        <w:t>1、配合街道和社区开展社区文化建设等工作。并针对小区住户特点，组织有特色的社区文化活动，开展有助于防范风险和增加自救能力的消防和医疗救护等培训活动。</w:t>
      </w:r>
    </w:p>
    <w:p>
      <w:pPr>
        <w:widowControl/>
        <w:spacing w:line="360" w:lineRule="auto"/>
        <w:ind w:firstLine="420" w:firstLineChars="200"/>
        <w:jc w:val="left"/>
        <w:rPr>
          <w:rFonts w:hint="eastAsia" w:ascii="宋体" w:hAnsi="宋体" w:cs="宋体"/>
          <w:color w:val="auto"/>
          <w:highlight w:val="none"/>
        </w:rPr>
      </w:pPr>
      <w:r>
        <w:rPr>
          <w:rFonts w:hint="eastAsia" w:ascii="宋体" w:hAnsi="宋体" w:cs="宋体"/>
          <w:color w:val="auto"/>
          <w:highlight w:val="none"/>
        </w:rPr>
        <w:t>2、楼宇外观形象管理符合属地规划和城管部门的相关要求。</w:t>
      </w:r>
    </w:p>
    <w:p>
      <w:pPr>
        <w:widowControl/>
        <w:spacing w:line="360" w:lineRule="auto"/>
        <w:ind w:firstLine="420" w:firstLineChars="200"/>
        <w:jc w:val="left"/>
        <w:rPr>
          <w:rFonts w:hint="eastAsia" w:ascii="宋体" w:hAnsi="宋体" w:cs="宋体"/>
          <w:color w:val="auto"/>
          <w:highlight w:val="none"/>
        </w:rPr>
      </w:pPr>
      <w:r>
        <w:rPr>
          <w:rFonts w:hint="eastAsia" w:ascii="宋体" w:hAnsi="宋体" w:cs="宋体"/>
          <w:color w:val="auto"/>
          <w:highlight w:val="none"/>
        </w:rPr>
        <w:t>3、配合有关供给单位及时开通和关闭水、电、气、电话、网络、有线电视等。</w:t>
      </w:r>
    </w:p>
    <w:p>
      <w:pPr>
        <w:pStyle w:val="85"/>
        <w:ind w:left="0" w:leftChars="0" w:firstLine="0"/>
        <w:rPr>
          <w:rFonts w:hint="eastAsia"/>
          <w:color w:val="auto"/>
          <w:highlight w:val="none"/>
        </w:rPr>
        <w:sectPr>
          <w:pgSz w:w="11906" w:h="16838"/>
          <w:pgMar w:top="1417" w:right="1418" w:bottom="1417" w:left="1418" w:header="851" w:footer="992" w:gutter="0"/>
          <w:cols w:space="720" w:num="1"/>
          <w:docGrid w:type="lines" w:linePitch="312" w:charSpace="0"/>
        </w:sectPr>
      </w:pPr>
    </w:p>
    <w:p>
      <w:pPr>
        <w:pStyle w:val="16"/>
        <w:adjustRightInd w:val="0"/>
        <w:snapToGrid w:val="0"/>
        <w:spacing w:before="0" w:after="0" w:line="360" w:lineRule="auto"/>
        <w:rPr>
          <w:rFonts w:ascii="宋体" w:hAnsi="宋体" w:cs="宋体"/>
          <w:color w:val="auto"/>
          <w:sz w:val="28"/>
          <w:szCs w:val="28"/>
          <w:highlight w:val="none"/>
        </w:rPr>
      </w:pPr>
      <w:r>
        <w:rPr>
          <w:rFonts w:hint="eastAsia" w:ascii="宋体" w:hAnsi="宋体" w:cs="宋体"/>
          <w:color w:val="auto"/>
          <w:sz w:val="28"/>
          <w:szCs w:val="28"/>
          <w:highlight w:val="none"/>
        </w:rPr>
        <w:t>第三部分 供应商须知</w:t>
      </w:r>
      <w:bookmarkEnd w:id="7"/>
      <w:bookmarkEnd w:id="8"/>
    </w:p>
    <w:p>
      <w:pPr>
        <w:adjustRightInd w:val="0"/>
        <w:snapToGrid w:val="0"/>
        <w:spacing w:line="360" w:lineRule="auto"/>
        <w:jc w:val="center"/>
        <w:rPr>
          <w:rFonts w:ascii="宋体" w:hAnsi="宋体" w:cs="宋体"/>
          <w:b/>
          <w:color w:val="auto"/>
          <w:sz w:val="28"/>
          <w:szCs w:val="28"/>
          <w:highlight w:val="none"/>
        </w:rPr>
      </w:pPr>
      <w:r>
        <w:rPr>
          <w:rFonts w:hint="eastAsia" w:ascii="宋体" w:hAnsi="宋体" w:cs="宋体"/>
          <w:b/>
          <w:color w:val="auto"/>
          <w:sz w:val="28"/>
          <w:szCs w:val="28"/>
          <w:highlight w:val="none"/>
        </w:rPr>
        <w:t>前附表</w:t>
      </w:r>
    </w:p>
    <w:tbl>
      <w:tblPr>
        <w:tblStyle w:val="23"/>
        <w:tblW w:w="957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77"/>
        <w:gridCol w:w="879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4" w:hRule="atLeast"/>
          <w:jc w:val="center"/>
        </w:trPr>
        <w:tc>
          <w:tcPr>
            <w:tcW w:w="7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cs="宋体"/>
                <w:b/>
                <w:color w:val="auto"/>
                <w:szCs w:val="21"/>
                <w:highlight w:val="none"/>
              </w:rPr>
            </w:pPr>
            <w:r>
              <w:rPr>
                <w:rFonts w:hint="eastAsia" w:ascii="宋体" w:hAnsi="宋体" w:cs="宋体"/>
                <w:b/>
                <w:color w:val="auto"/>
                <w:szCs w:val="21"/>
                <w:highlight w:val="none"/>
              </w:rPr>
              <w:t>序号</w:t>
            </w:r>
          </w:p>
        </w:tc>
        <w:tc>
          <w:tcPr>
            <w:tcW w:w="87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3162" w:firstLineChars="1500"/>
              <w:rPr>
                <w:rFonts w:ascii="宋体" w:hAnsi="宋体" w:cs="宋体"/>
                <w:b/>
                <w:color w:val="auto"/>
                <w:szCs w:val="21"/>
                <w:highlight w:val="none"/>
              </w:rPr>
            </w:pPr>
            <w:r>
              <w:rPr>
                <w:rFonts w:hint="eastAsia" w:ascii="宋体" w:hAnsi="宋体" w:cs="宋体"/>
                <w:b/>
                <w:color w:val="auto"/>
                <w:szCs w:val="21"/>
                <w:highlight w:val="none"/>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4" w:hRule="atLeast"/>
          <w:jc w:val="center"/>
        </w:trPr>
        <w:tc>
          <w:tcPr>
            <w:tcW w:w="7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cs="宋体"/>
                <w:color w:val="auto"/>
                <w:szCs w:val="21"/>
                <w:highlight w:val="none"/>
              </w:rPr>
            </w:pPr>
            <w:r>
              <w:rPr>
                <w:rFonts w:hint="eastAsia" w:ascii="宋体" w:hAnsi="宋体" w:cs="宋体"/>
                <w:color w:val="auto"/>
                <w:szCs w:val="21"/>
                <w:highlight w:val="none"/>
              </w:rPr>
              <w:t>1</w:t>
            </w:r>
          </w:p>
        </w:tc>
        <w:tc>
          <w:tcPr>
            <w:tcW w:w="87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rPr>
                <w:rFonts w:ascii="宋体" w:hAnsi="宋体" w:cs="宋体"/>
                <w:color w:val="auto"/>
                <w:szCs w:val="21"/>
                <w:highlight w:val="none"/>
              </w:rPr>
            </w:pPr>
            <w:r>
              <w:rPr>
                <w:rFonts w:hint="eastAsia" w:ascii="宋体" w:hAnsi="宋体" w:cs="宋体"/>
                <w:color w:val="auto"/>
                <w:szCs w:val="21"/>
                <w:highlight w:val="none"/>
              </w:rPr>
              <w:t>项目名称：谢嘉丽苑公共租赁住房小区物业管理服务项目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4" w:hRule="atLeast"/>
          <w:jc w:val="center"/>
        </w:trPr>
        <w:tc>
          <w:tcPr>
            <w:tcW w:w="7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cs="宋体"/>
                <w:color w:val="auto"/>
                <w:szCs w:val="21"/>
                <w:highlight w:val="none"/>
              </w:rPr>
            </w:pPr>
            <w:r>
              <w:rPr>
                <w:rFonts w:hint="eastAsia" w:ascii="宋体" w:hAnsi="宋体" w:cs="宋体"/>
                <w:color w:val="auto"/>
                <w:szCs w:val="21"/>
                <w:highlight w:val="none"/>
              </w:rPr>
              <w:t>2</w:t>
            </w:r>
          </w:p>
        </w:tc>
        <w:tc>
          <w:tcPr>
            <w:tcW w:w="8793"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auto"/>
                <w:szCs w:val="21"/>
                <w:highlight w:val="none"/>
                <w:lang w:eastAsia="zh-CN"/>
              </w:rPr>
            </w:pPr>
            <w:r>
              <w:rPr>
                <w:rFonts w:hint="eastAsia" w:ascii="宋体" w:hAnsi="宋体" w:cs="宋体"/>
                <w:color w:val="auto"/>
                <w:szCs w:val="21"/>
                <w:highlight w:val="none"/>
              </w:rPr>
              <w:t>采购单位：</w:t>
            </w:r>
            <w:r>
              <w:rPr>
                <w:rFonts w:hint="eastAsia" w:ascii="宋体" w:hAnsi="宋体" w:cs="宋体"/>
                <w:color w:val="auto"/>
                <w:szCs w:val="21"/>
                <w:highlight w:val="none"/>
                <w:lang w:eastAsia="zh-CN"/>
              </w:rPr>
              <w:t>宁波市江北区城市建设投资发展有限公司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4" w:hRule="atLeast"/>
          <w:jc w:val="center"/>
        </w:trPr>
        <w:tc>
          <w:tcPr>
            <w:tcW w:w="7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cs="宋体"/>
                <w:color w:val="auto"/>
                <w:szCs w:val="21"/>
                <w:highlight w:val="none"/>
              </w:rPr>
            </w:pPr>
            <w:r>
              <w:rPr>
                <w:rFonts w:hint="eastAsia" w:ascii="宋体" w:hAnsi="宋体" w:cs="宋体"/>
                <w:color w:val="auto"/>
                <w:highlight w:val="none"/>
              </w:rPr>
              <w:t>*</w:t>
            </w:r>
            <w:r>
              <w:rPr>
                <w:rFonts w:hint="eastAsia" w:ascii="宋体" w:hAnsi="宋体" w:cs="宋体"/>
                <w:color w:val="auto"/>
                <w:szCs w:val="21"/>
                <w:highlight w:val="none"/>
              </w:rPr>
              <w:t>3</w:t>
            </w:r>
          </w:p>
        </w:tc>
        <w:tc>
          <w:tcPr>
            <w:tcW w:w="87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eastAsia" w:ascii="Calibri" w:hAnsi="Calibri" w:eastAsia="宋体" w:cs="Times New Roman"/>
                <w:color w:val="auto"/>
                <w:kern w:val="0"/>
                <w:sz w:val="21"/>
                <w:szCs w:val="24"/>
                <w:highlight w:val="none"/>
                <w:lang w:val="en-US" w:eastAsia="zh-CN" w:bidi="ar-SA"/>
              </w:rPr>
            </w:pPr>
            <w:r>
              <w:rPr>
                <w:rFonts w:hint="eastAsia"/>
                <w:color w:val="auto"/>
                <w:highlight w:val="none"/>
              </w:rPr>
              <w:t>投标费</w:t>
            </w:r>
            <w:r>
              <w:rPr>
                <w:rFonts w:hint="eastAsia" w:ascii="Calibri" w:hAnsi="Calibri" w:eastAsia="宋体" w:cs="Times New Roman"/>
                <w:color w:val="auto"/>
                <w:kern w:val="0"/>
                <w:sz w:val="21"/>
                <w:szCs w:val="24"/>
                <w:highlight w:val="none"/>
                <w:lang w:val="en-US" w:eastAsia="zh-CN" w:bidi="ar-SA"/>
              </w:rPr>
              <w:t>用：不论投标结果如何，供应商均应自行承担所有与投标有关的全部费用。</w:t>
            </w:r>
          </w:p>
          <w:p>
            <w:pPr>
              <w:keepNext w:val="0"/>
              <w:keepLines w:val="0"/>
              <w:pageBreakBefore w:val="0"/>
              <w:widowControl w:val="0"/>
              <w:kinsoku/>
              <w:wordWrap/>
              <w:overflowPunct/>
              <w:topLinePunct w:val="0"/>
              <w:autoSpaceDE/>
              <w:autoSpaceDN/>
              <w:bidi w:val="0"/>
              <w:snapToGrid w:val="0"/>
              <w:spacing w:line="360" w:lineRule="exact"/>
              <w:textAlignment w:val="auto"/>
              <w:rPr>
                <w:rFonts w:hint="eastAsia" w:ascii="Calibri" w:hAnsi="Calibri" w:eastAsia="宋体" w:cs="Times New Roman"/>
                <w:color w:val="auto"/>
                <w:kern w:val="0"/>
                <w:sz w:val="21"/>
                <w:szCs w:val="24"/>
                <w:highlight w:val="none"/>
                <w:lang w:val="en-US" w:eastAsia="zh-CN" w:bidi="ar-SA"/>
              </w:rPr>
            </w:pPr>
            <w:r>
              <w:rPr>
                <w:rFonts w:hint="eastAsia" w:ascii="Calibri" w:hAnsi="Calibri" w:eastAsia="宋体" w:cs="Times New Roman"/>
                <w:color w:val="auto"/>
                <w:kern w:val="0"/>
                <w:sz w:val="21"/>
                <w:szCs w:val="24"/>
                <w:highlight w:val="none"/>
                <w:lang w:val="en-US" w:eastAsia="zh-CN" w:bidi="ar-SA"/>
              </w:rPr>
              <w:t>本项目最高限价为102万元/年</w:t>
            </w:r>
            <w:r>
              <w:rPr>
                <w:rFonts w:hint="eastAsia" w:cs="Times New Roman"/>
                <w:color w:val="auto"/>
                <w:kern w:val="0"/>
                <w:sz w:val="21"/>
                <w:szCs w:val="24"/>
                <w:highlight w:val="none"/>
                <w:lang w:val="en-US" w:eastAsia="zh-CN" w:bidi="ar-SA"/>
              </w:rPr>
              <w:t>。</w:t>
            </w:r>
          </w:p>
          <w:p>
            <w:pPr>
              <w:keepNext w:val="0"/>
              <w:keepLines w:val="0"/>
              <w:pageBreakBefore w:val="0"/>
              <w:widowControl w:val="0"/>
              <w:kinsoku/>
              <w:wordWrap/>
              <w:overflowPunct/>
              <w:topLinePunct w:val="0"/>
              <w:autoSpaceDE/>
              <w:autoSpaceDN/>
              <w:bidi w:val="0"/>
              <w:snapToGrid w:val="0"/>
              <w:spacing w:line="360" w:lineRule="exact"/>
              <w:textAlignment w:val="auto"/>
              <w:rPr>
                <w:rFonts w:hint="eastAsia" w:ascii="宋体" w:hAnsi="宋体" w:cs="宋体"/>
                <w:color w:val="auto"/>
                <w:highlight w:val="none"/>
              </w:rPr>
            </w:pPr>
            <w:r>
              <w:rPr>
                <w:rFonts w:hint="eastAsia" w:ascii="Calibri" w:hAnsi="Calibri" w:eastAsia="宋体" w:cs="Times New Roman"/>
                <w:color w:val="auto"/>
                <w:kern w:val="0"/>
                <w:sz w:val="21"/>
                <w:szCs w:val="24"/>
                <w:highlight w:val="none"/>
                <w:lang w:val="en-US" w:eastAsia="zh-CN" w:bidi="ar-SA"/>
              </w:rPr>
              <w:t>投标报价</w:t>
            </w:r>
            <w:r>
              <w:rPr>
                <w:rFonts w:hint="eastAsia"/>
                <w:color w:val="auto"/>
                <w:highlight w:val="none"/>
              </w:rPr>
              <w:t>：</w:t>
            </w:r>
          </w:p>
          <w:p>
            <w:pPr>
              <w:keepNext w:val="0"/>
              <w:keepLines w:val="0"/>
              <w:pageBreakBefore w:val="0"/>
              <w:widowControl w:val="0"/>
              <w:numPr>
                <w:ilvl w:val="0"/>
                <w:numId w:val="2"/>
              </w:numPr>
              <w:kinsoku/>
              <w:wordWrap/>
              <w:overflowPunct/>
              <w:topLinePunct w:val="0"/>
              <w:autoSpaceDE/>
              <w:autoSpaceDN/>
              <w:bidi w:val="0"/>
              <w:snapToGrid w:val="0"/>
              <w:spacing w:line="360" w:lineRule="exact"/>
              <w:textAlignment w:val="auto"/>
              <w:rPr>
                <w:rFonts w:hint="eastAsia" w:ascii="宋体" w:hAnsi="宋体" w:cs="宋体"/>
                <w:color w:val="auto"/>
                <w:highlight w:val="none"/>
              </w:rPr>
            </w:pPr>
            <w:r>
              <w:rPr>
                <w:rFonts w:hint="eastAsia" w:ascii="宋体" w:hAnsi="宋体" w:cs="宋体"/>
                <w:color w:val="auto"/>
                <w:highlight w:val="none"/>
              </w:rPr>
              <w:t>投标报价包括但不限于为完成物业服务所需的所有费用，应包含：包括人员基本工资、各类福利和补贴（如加班补贴、高温补贴、午餐补贴等）、社保（五金一金）的缴纳，暂住费、各种保险及处理一切伤亡事故等的支付，人员各季节工作服（含帽、衣、裤、鞋、雨衣、雨裤，雨鞋）的配置，人员所使用作业工具等各类耗材费，设施设备管理维护费用，配备的设备设施和作业车辆的折旧费及运行维护费，管理费，税金，利润及其他与本次采购相关的一切费用。其中人员工资报价应考虑周边县市区物业服务人员的工资水平，且人员基本工资不得低于</w:t>
            </w:r>
            <w:r>
              <w:rPr>
                <w:rFonts w:hint="eastAsia" w:ascii="宋体" w:hAnsi="宋体" w:cs="宋体"/>
                <w:color w:val="auto"/>
                <w:highlight w:val="none"/>
                <w:lang w:val="en-US" w:eastAsia="zh-CN"/>
              </w:rPr>
              <w:t>2021</w:t>
            </w:r>
            <w:r>
              <w:rPr>
                <w:rFonts w:hint="eastAsia" w:ascii="宋体" w:hAnsi="宋体" w:cs="宋体"/>
                <w:color w:val="auto"/>
                <w:highlight w:val="none"/>
              </w:rPr>
              <w:t>年宁波市最低劳动工资，否则作无效报价处理。</w:t>
            </w:r>
          </w:p>
          <w:p>
            <w:pPr>
              <w:keepNext w:val="0"/>
              <w:keepLines w:val="0"/>
              <w:pageBreakBefore w:val="0"/>
              <w:widowControl w:val="0"/>
              <w:kinsoku/>
              <w:wordWrap/>
              <w:overflowPunct/>
              <w:topLinePunct w:val="0"/>
              <w:autoSpaceDE/>
              <w:autoSpaceDN/>
              <w:bidi w:val="0"/>
              <w:snapToGrid w:val="0"/>
              <w:spacing w:line="360" w:lineRule="exact"/>
              <w:textAlignment w:val="auto"/>
              <w:rPr>
                <w:rFonts w:hint="eastAsia" w:ascii="宋体" w:hAnsi="宋体" w:cs="宋体"/>
                <w:color w:val="auto"/>
                <w:highlight w:val="none"/>
              </w:rPr>
            </w:pPr>
            <w:r>
              <w:rPr>
                <w:rFonts w:hint="eastAsia" w:ascii="宋体" w:hAnsi="宋体" w:cs="宋体"/>
                <w:color w:val="auto"/>
                <w:highlight w:val="none"/>
              </w:rPr>
              <w:t>2.投标报价必须是人民币报价。</w:t>
            </w:r>
          </w:p>
          <w:p>
            <w:pPr>
              <w:keepNext w:val="0"/>
              <w:keepLines w:val="0"/>
              <w:pageBreakBefore w:val="0"/>
              <w:widowControl w:val="0"/>
              <w:kinsoku/>
              <w:wordWrap/>
              <w:overflowPunct/>
              <w:topLinePunct w:val="0"/>
              <w:autoSpaceDE/>
              <w:autoSpaceDN/>
              <w:bidi w:val="0"/>
              <w:snapToGrid w:val="0"/>
              <w:spacing w:line="360" w:lineRule="exact"/>
              <w:textAlignment w:val="auto"/>
              <w:rPr>
                <w:rFonts w:hint="eastAsia" w:ascii="宋体" w:hAnsi="宋体" w:cs="宋体"/>
                <w:color w:val="auto"/>
                <w:highlight w:val="none"/>
              </w:rPr>
            </w:pPr>
            <w:r>
              <w:rPr>
                <w:rFonts w:hint="eastAsia" w:ascii="宋体" w:hAnsi="宋体" w:cs="宋体"/>
                <w:color w:val="auto"/>
                <w:highlight w:val="none"/>
              </w:rPr>
              <w:t>3.投标报价为一次性报价且只允许一个报价，不接受两个及两个以上的投标报价，不接受选择性报价或者具有附加条件的报价。</w:t>
            </w:r>
          </w:p>
          <w:p>
            <w:pPr>
              <w:keepNext w:val="0"/>
              <w:keepLines w:val="0"/>
              <w:pageBreakBefore w:val="0"/>
              <w:widowControl w:val="0"/>
              <w:kinsoku/>
              <w:wordWrap/>
              <w:overflowPunct/>
              <w:topLinePunct w:val="0"/>
              <w:autoSpaceDE/>
              <w:autoSpaceDN/>
              <w:bidi w:val="0"/>
              <w:snapToGrid w:val="0"/>
              <w:spacing w:line="360" w:lineRule="exact"/>
              <w:textAlignment w:val="auto"/>
              <w:rPr>
                <w:rFonts w:hint="eastAsia" w:ascii="宋体" w:hAnsi="宋体" w:cs="宋体"/>
                <w:color w:val="auto"/>
                <w:highlight w:val="none"/>
              </w:rPr>
            </w:pPr>
            <w:r>
              <w:rPr>
                <w:rFonts w:hint="eastAsia" w:ascii="宋体" w:hAnsi="宋体" w:cs="宋体"/>
                <w:color w:val="auto"/>
                <w:highlight w:val="none"/>
              </w:rPr>
              <w:t>4.投标报价不得高于采购预算，采购文件设有最高限价的，不得高于最高限价。</w:t>
            </w:r>
          </w:p>
          <w:p>
            <w:pPr>
              <w:pStyle w:val="36"/>
              <w:keepNext w:val="0"/>
              <w:keepLines w:val="0"/>
              <w:pageBreakBefore w:val="0"/>
              <w:widowControl w:val="0"/>
              <w:kinsoku/>
              <w:wordWrap/>
              <w:overflowPunct/>
              <w:topLinePunct w:val="0"/>
              <w:autoSpaceDE/>
              <w:autoSpaceDN/>
              <w:bidi w:val="0"/>
              <w:snapToGrid w:val="0"/>
              <w:spacing w:line="360" w:lineRule="exact"/>
              <w:textAlignment w:val="auto"/>
              <w:rPr>
                <w:rFonts w:hint="default" w:eastAsia="宋体"/>
                <w:color w:val="auto"/>
                <w:highlight w:val="none"/>
                <w:lang w:val="en-US" w:eastAsia="zh-CN"/>
              </w:rPr>
            </w:pPr>
            <w:r>
              <w:rPr>
                <w:rFonts w:hint="eastAsia" w:ascii="宋体" w:hAnsi="宋体" w:cs="宋体"/>
                <w:color w:val="auto"/>
                <w:highlight w:val="none"/>
              </w:rPr>
              <w:t>5.不论投标结果如何，供应商均应自行承担所有与投标有关的全部费用。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4" w:hRule="atLeast"/>
          <w:jc w:val="center"/>
        </w:trPr>
        <w:tc>
          <w:tcPr>
            <w:tcW w:w="7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cs="宋体"/>
                <w:color w:val="auto"/>
                <w:szCs w:val="21"/>
                <w:highlight w:val="none"/>
              </w:rPr>
            </w:pPr>
            <w:r>
              <w:rPr>
                <w:rFonts w:hint="eastAsia" w:ascii="宋体" w:hAnsi="宋体" w:cs="宋体"/>
                <w:color w:val="auto"/>
                <w:szCs w:val="21"/>
                <w:highlight w:val="none"/>
              </w:rPr>
              <w:t>4</w:t>
            </w:r>
          </w:p>
        </w:tc>
        <w:tc>
          <w:tcPr>
            <w:tcW w:w="87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rPr>
                <w:rFonts w:ascii="宋体" w:hAnsi="宋体" w:cs="宋体"/>
                <w:color w:val="auto"/>
                <w:szCs w:val="21"/>
                <w:highlight w:val="none"/>
              </w:rPr>
            </w:pPr>
            <w:r>
              <w:rPr>
                <w:rFonts w:hint="eastAsia" w:ascii="宋体" w:hAnsi="宋体" w:cs="宋体"/>
                <w:color w:val="auto"/>
                <w:szCs w:val="21"/>
                <w:highlight w:val="none"/>
              </w:rPr>
              <w:t>投标保证金：本项目无须缴纳投标保证金。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4" w:hRule="atLeast"/>
          <w:jc w:val="center"/>
        </w:trPr>
        <w:tc>
          <w:tcPr>
            <w:tcW w:w="7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cs="宋体"/>
                <w:color w:val="auto"/>
                <w:szCs w:val="21"/>
                <w:highlight w:val="none"/>
              </w:rPr>
            </w:pPr>
            <w:r>
              <w:rPr>
                <w:rFonts w:hint="eastAsia" w:ascii="宋体" w:hAnsi="宋体" w:cs="宋体"/>
                <w:color w:val="auto"/>
                <w:szCs w:val="21"/>
                <w:highlight w:val="none"/>
              </w:rPr>
              <w:t>5</w:t>
            </w:r>
          </w:p>
        </w:tc>
        <w:tc>
          <w:tcPr>
            <w:tcW w:w="87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rPr>
                <w:rFonts w:hint="eastAsia" w:ascii="宋体" w:hAnsi="宋体" w:eastAsia="宋体" w:cs="宋体"/>
                <w:color w:val="auto"/>
                <w:szCs w:val="21"/>
                <w:highlight w:val="none"/>
                <w:lang w:val="en-US" w:eastAsia="zh-CN"/>
              </w:rPr>
            </w:pPr>
            <w:r>
              <w:rPr>
                <w:rFonts w:hint="eastAsia" w:ascii="宋体" w:hAnsi="宋体" w:cs="宋体"/>
                <w:color w:val="auto"/>
                <w:szCs w:val="21"/>
                <w:highlight w:val="none"/>
              </w:rPr>
              <w:t>现场踏勘：</w:t>
            </w:r>
            <w:r>
              <w:rPr>
                <w:rFonts w:hint="eastAsia" w:ascii="宋体" w:hAnsi="宋体" w:cs="宋体"/>
                <w:color w:val="auto"/>
                <w:szCs w:val="21"/>
                <w:highlight w:val="none"/>
                <w:lang w:val="en-US" w:eastAsia="zh-CN"/>
              </w:rPr>
              <w:t>不组织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4" w:hRule="atLeast"/>
          <w:jc w:val="center"/>
        </w:trPr>
        <w:tc>
          <w:tcPr>
            <w:tcW w:w="7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cs="宋体"/>
                <w:color w:val="auto"/>
                <w:szCs w:val="21"/>
                <w:highlight w:val="none"/>
              </w:rPr>
            </w:pPr>
            <w:r>
              <w:rPr>
                <w:rFonts w:hint="eastAsia" w:ascii="宋体" w:hAnsi="宋体" w:cs="宋体"/>
                <w:color w:val="auto"/>
                <w:szCs w:val="21"/>
                <w:highlight w:val="none"/>
              </w:rPr>
              <w:t>6</w:t>
            </w:r>
          </w:p>
        </w:tc>
        <w:tc>
          <w:tcPr>
            <w:tcW w:w="87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rPr>
                <w:rFonts w:ascii="宋体" w:hAnsi="宋体" w:cs="宋体"/>
                <w:color w:val="auto"/>
                <w:szCs w:val="21"/>
                <w:highlight w:val="none"/>
              </w:rPr>
            </w:pPr>
            <w:r>
              <w:rPr>
                <w:rFonts w:hint="eastAsia" w:ascii="宋体" w:hAnsi="宋体" w:cs="宋体"/>
                <w:color w:val="auto"/>
                <w:szCs w:val="21"/>
                <w:highlight w:val="none"/>
              </w:rPr>
              <w:t>答疑和澄清：供应商如对招标文件存在疑问或认为招标文件表述不清晰、存在歧视性、排他性或者其他违法内容的可事先电话进行咨询核实，并将书面文件在</w:t>
            </w:r>
            <w:r>
              <w:rPr>
                <w:rFonts w:hint="eastAsia" w:ascii="宋体" w:hAnsi="宋体" w:cs="宋体"/>
                <w:bCs/>
                <w:color w:val="auto"/>
                <w:szCs w:val="21"/>
                <w:highlight w:val="none"/>
              </w:rPr>
              <w:t>提交投标文件截止时间七日</w:t>
            </w:r>
            <w:r>
              <w:rPr>
                <w:rFonts w:hint="eastAsia" w:ascii="宋体" w:hAnsi="宋体" w:cs="宋体"/>
                <w:color w:val="auto"/>
                <w:szCs w:val="21"/>
                <w:highlight w:val="none"/>
              </w:rPr>
              <w:t>之前以书面形式要求采购单位澄清。采购代理机构将视情做统一答复，如规定时间内未收到任何疑问，则视为各投标方均对此无异议。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4" w:hRule="atLeast"/>
          <w:jc w:val="center"/>
        </w:trPr>
        <w:tc>
          <w:tcPr>
            <w:tcW w:w="7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cs="宋体"/>
                <w:color w:val="auto"/>
                <w:szCs w:val="21"/>
                <w:highlight w:val="none"/>
              </w:rPr>
            </w:pPr>
            <w:r>
              <w:rPr>
                <w:rFonts w:hint="eastAsia" w:ascii="宋体" w:hAnsi="宋体" w:cs="宋体"/>
                <w:color w:val="auto"/>
                <w:szCs w:val="21"/>
                <w:highlight w:val="none"/>
              </w:rPr>
              <w:t>7</w:t>
            </w:r>
          </w:p>
        </w:tc>
        <w:tc>
          <w:tcPr>
            <w:tcW w:w="8793"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b/>
                <w:color w:val="auto"/>
                <w:szCs w:val="21"/>
                <w:highlight w:val="none"/>
              </w:rPr>
            </w:pPr>
            <w:r>
              <w:rPr>
                <w:rFonts w:hint="eastAsia" w:ascii="宋体" w:hAnsi="宋体" w:cs="宋体"/>
                <w:b/>
                <w:color w:val="auto"/>
                <w:szCs w:val="21"/>
                <w:highlight w:val="none"/>
              </w:rPr>
              <w:t>投标文件数量要求：</w:t>
            </w:r>
          </w:p>
          <w:p>
            <w:pPr>
              <w:widowControl/>
              <w:spacing w:line="360" w:lineRule="auto"/>
              <w:rPr>
                <w:rFonts w:ascii="宋体" w:hAnsi="宋体" w:cs="宋体"/>
                <w:color w:val="auto"/>
                <w:kern w:val="0"/>
                <w:sz w:val="24"/>
                <w:highlight w:val="none"/>
              </w:rPr>
            </w:pPr>
            <w:r>
              <w:rPr>
                <w:rFonts w:ascii="宋体" w:hAnsi="宋体"/>
                <w:b/>
                <w:color w:val="auto"/>
                <w:highlight w:val="none"/>
              </w:rPr>
              <w:t>★</w:t>
            </w:r>
            <w:r>
              <w:rPr>
                <w:rFonts w:hint="eastAsia" w:ascii="宋体" w:hAnsi="宋体" w:cs="宋体"/>
                <w:color w:val="auto"/>
                <w:kern w:val="0"/>
                <w:szCs w:val="21"/>
                <w:highlight w:val="none"/>
              </w:rPr>
              <w:t>1、上传到政府采购云平台的电子投标文件（含资格文件 1 份、商务技术文件 1 份、报价文件 1 份）。</w:t>
            </w:r>
          </w:p>
          <w:p>
            <w:pPr>
              <w:widowControl/>
              <w:spacing w:line="360" w:lineRule="auto"/>
              <w:rPr>
                <w:rFonts w:ascii="宋体" w:hAnsi="宋体" w:cs="宋体"/>
                <w:color w:val="auto"/>
                <w:kern w:val="0"/>
                <w:szCs w:val="21"/>
                <w:highlight w:val="none"/>
              </w:rPr>
            </w:pPr>
            <w:r>
              <w:rPr>
                <w:rFonts w:hint="eastAsia" w:ascii="宋体" w:hAnsi="宋体" w:cs="宋体"/>
                <w:color w:val="auto"/>
                <w:kern w:val="0"/>
                <w:szCs w:val="21"/>
                <w:highlight w:val="none"/>
              </w:rPr>
              <w:t>2、以 U 盘形式存储的电子备份投标文件（含资格文件 1 份、商务技术文件 1 份、报价文件1 份）。</w:t>
            </w:r>
          </w:p>
          <w:p>
            <w:pPr>
              <w:widowControl/>
              <w:spacing w:line="360" w:lineRule="auto"/>
              <w:rPr>
                <w:rFonts w:ascii="宋体" w:hAnsi="宋体" w:cs="宋体"/>
                <w:b/>
                <w:bCs/>
                <w:color w:val="auto"/>
                <w:kern w:val="0"/>
                <w:szCs w:val="21"/>
                <w:highlight w:val="none"/>
              </w:rPr>
            </w:pPr>
            <w:r>
              <w:rPr>
                <w:rFonts w:hint="eastAsia" w:ascii="宋体" w:hAnsi="宋体" w:cs="宋体"/>
                <w:b/>
                <w:bCs/>
                <w:color w:val="auto"/>
                <w:kern w:val="0"/>
                <w:szCs w:val="21"/>
                <w:highlight w:val="none"/>
              </w:rPr>
              <w:t>注：（1）电子备份投标文件不作实质性要求，是否提交由投标人自行决定。</w:t>
            </w:r>
          </w:p>
          <w:p>
            <w:pPr>
              <w:adjustRightInd w:val="0"/>
              <w:snapToGrid w:val="0"/>
              <w:spacing w:line="360" w:lineRule="exact"/>
              <w:rPr>
                <w:rFonts w:ascii="宋体" w:hAnsi="宋体" w:cs="宋体"/>
                <w:color w:val="auto"/>
                <w:szCs w:val="21"/>
                <w:highlight w:val="none"/>
              </w:rPr>
            </w:pPr>
            <w:r>
              <w:rPr>
                <w:rFonts w:hint="eastAsia" w:ascii="宋体" w:hAnsi="宋体" w:cs="宋体"/>
                <w:b/>
                <w:bCs/>
                <w:color w:val="auto"/>
                <w:kern w:val="0"/>
                <w:szCs w:val="21"/>
                <w:highlight w:val="none"/>
              </w:rPr>
              <w:t>（2）中标人在收到中标通知书后3天内向采购代理机构提供通过电子加密投标文件全套打印装订成册的纸质投标文件2份（加盖公章）。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4" w:hRule="atLeast"/>
          <w:jc w:val="center"/>
        </w:trPr>
        <w:tc>
          <w:tcPr>
            <w:tcW w:w="7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cs="宋体"/>
                <w:color w:val="auto"/>
                <w:szCs w:val="21"/>
                <w:highlight w:val="none"/>
              </w:rPr>
            </w:pPr>
            <w:r>
              <w:rPr>
                <w:rFonts w:hint="eastAsia" w:ascii="宋体" w:hAnsi="宋体" w:cs="宋体"/>
                <w:color w:val="auto"/>
                <w:szCs w:val="21"/>
                <w:highlight w:val="none"/>
              </w:rPr>
              <w:t>8</w:t>
            </w:r>
          </w:p>
        </w:tc>
        <w:tc>
          <w:tcPr>
            <w:tcW w:w="87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rPr>
                <w:rFonts w:ascii="宋体" w:hAnsi="宋体" w:cs="宋体"/>
                <w:color w:val="auto"/>
                <w:szCs w:val="21"/>
                <w:highlight w:val="none"/>
              </w:rPr>
            </w:pPr>
            <w:r>
              <w:rPr>
                <w:rFonts w:hint="eastAsia" w:ascii="宋体" w:hAnsi="宋体" w:cs="宋体"/>
                <w:color w:val="auto"/>
                <w:szCs w:val="21"/>
                <w:highlight w:val="none"/>
              </w:rPr>
              <w:t>投标文件提交截止时间及地点</w:t>
            </w:r>
            <w:r>
              <w:rPr>
                <w:rFonts w:hint="eastAsia" w:ascii="宋体" w:hAnsi="宋体" w:eastAsia="宋体" w:cs="宋体"/>
                <w:color w:val="auto"/>
                <w:szCs w:val="21"/>
                <w:highlight w:val="none"/>
              </w:rPr>
              <w:t>：详见招标公告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4" w:hRule="atLeast"/>
          <w:jc w:val="center"/>
        </w:trPr>
        <w:tc>
          <w:tcPr>
            <w:tcW w:w="7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cs="宋体"/>
                <w:color w:val="auto"/>
                <w:szCs w:val="21"/>
                <w:highlight w:val="none"/>
              </w:rPr>
            </w:pPr>
            <w:r>
              <w:rPr>
                <w:rFonts w:hint="eastAsia" w:ascii="宋体" w:hAnsi="宋体" w:cs="宋体"/>
                <w:color w:val="auto"/>
                <w:szCs w:val="21"/>
                <w:highlight w:val="none"/>
              </w:rPr>
              <w:t>9</w:t>
            </w:r>
          </w:p>
        </w:tc>
        <w:tc>
          <w:tcPr>
            <w:tcW w:w="87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rPr>
                <w:rFonts w:ascii="宋体" w:hAnsi="宋体" w:cs="宋体"/>
                <w:color w:val="auto"/>
                <w:szCs w:val="21"/>
                <w:highlight w:val="none"/>
              </w:rPr>
            </w:pPr>
            <w:r>
              <w:rPr>
                <w:rFonts w:hint="eastAsia" w:ascii="宋体" w:hAnsi="宋体" w:cs="宋体"/>
                <w:color w:val="auto"/>
                <w:szCs w:val="21"/>
                <w:highlight w:val="none"/>
              </w:rPr>
              <w:t>开标时间及地点：</w:t>
            </w:r>
            <w:r>
              <w:rPr>
                <w:rFonts w:hint="eastAsia" w:ascii="宋体" w:hAnsi="宋体" w:cs="宋体"/>
                <w:bCs/>
                <w:color w:val="auto"/>
                <w:kern w:val="0"/>
                <w:szCs w:val="21"/>
                <w:highlight w:val="none"/>
              </w:rPr>
              <w:t>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4" w:hRule="atLeast"/>
          <w:jc w:val="center"/>
        </w:trPr>
        <w:tc>
          <w:tcPr>
            <w:tcW w:w="7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cs="宋体"/>
                <w:color w:val="auto"/>
                <w:szCs w:val="21"/>
                <w:highlight w:val="none"/>
              </w:rPr>
            </w:pPr>
            <w:r>
              <w:rPr>
                <w:rFonts w:hint="eastAsia" w:ascii="宋体" w:hAnsi="宋体" w:cs="宋体"/>
                <w:color w:val="auto"/>
                <w:szCs w:val="21"/>
                <w:highlight w:val="none"/>
              </w:rPr>
              <w:t>10</w:t>
            </w:r>
          </w:p>
        </w:tc>
        <w:tc>
          <w:tcPr>
            <w:tcW w:w="87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rPr>
                <w:rFonts w:ascii="宋体" w:hAnsi="宋体" w:cs="宋体"/>
                <w:color w:val="auto"/>
                <w:szCs w:val="21"/>
                <w:highlight w:val="none"/>
              </w:rPr>
            </w:pPr>
            <w:r>
              <w:rPr>
                <w:rFonts w:hint="eastAsia" w:ascii="宋体" w:hAnsi="宋体" w:cs="宋体"/>
                <w:color w:val="auto"/>
                <w:szCs w:val="21"/>
                <w:highlight w:val="none"/>
              </w:rPr>
              <w:t>评标办法及评分标准：详见本招标文件第四部分。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4" w:hRule="atLeast"/>
          <w:jc w:val="center"/>
        </w:trPr>
        <w:tc>
          <w:tcPr>
            <w:tcW w:w="7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cs="宋体"/>
                <w:color w:val="auto"/>
                <w:szCs w:val="21"/>
                <w:highlight w:val="none"/>
              </w:rPr>
            </w:pPr>
            <w:r>
              <w:rPr>
                <w:rFonts w:hint="eastAsia" w:ascii="宋体" w:hAnsi="宋体" w:cs="宋体"/>
                <w:color w:val="auto"/>
                <w:szCs w:val="21"/>
                <w:highlight w:val="none"/>
              </w:rPr>
              <w:t>11</w:t>
            </w:r>
          </w:p>
        </w:tc>
        <w:tc>
          <w:tcPr>
            <w:tcW w:w="87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rPr>
                <w:rFonts w:ascii="宋体" w:hAnsi="宋体" w:cs="宋体"/>
                <w:color w:val="auto"/>
                <w:szCs w:val="21"/>
                <w:highlight w:val="none"/>
              </w:rPr>
            </w:pPr>
            <w:r>
              <w:rPr>
                <w:rFonts w:hint="eastAsia" w:ascii="宋体" w:hAnsi="宋体" w:cs="宋体"/>
                <w:color w:val="auto"/>
                <w:szCs w:val="21"/>
                <w:highlight w:val="none"/>
              </w:rPr>
              <w:t>评标结果公告：公告于</w:t>
            </w:r>
            <w:r>
              <w:rPr>
                <w:rFonts w:hint="eastAsia" w:ascii="宋体" w:hAnsi="宋体" w:cs="宋体"/>
                <w:bCs/>
                <w:color w:val="auto"/>
                <w:kern w:val="0"/>
                <w:szCs w:val="21"/>
                <w:highlight w:val="none"/>
              </w:rPr>
              <w:t>浙江政府采购网</w:t>
            </w: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宁波政府采购网、</w:t>
            </w:r>
            <w:r>
              <w:rPr>
                <w:rFonts w:hint="eastAsia" w:ascii="宋体" w:hAnsi="宋体" w:cs="宋体"/>
                <w:bCs/>
                <w:color w:val="auto"/>
                <w:kern w:val="0"/>
                <w:szCs w:val="21"/>
                <w:highlight w:val="none"/>
              </w:rPr>
              <w:t>宁波市公共资源交易网江北区分网上公布。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4" w:hRule="atLeast"/>
          <w:jc w:val="center"/>
        </w:trPr>
        <w:tc>
          <w:tcPr>
            <w:tcW w:w="7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cs="宋体"/>
                <w:color w:val="auto"/>
                <w:szCs w:val="21"/>
                <w:highlight w:val="none"/>
              </w:rPr>
            </w:pPr>
            <w:r>
              <w:rPr>
                <w:rFonts w:hint="eastAsia" w:ascii="宋体" w:hAnsi="宋体" w:cs="宋体"/>
                <w:color w:val="auto"/>
                <w:szCs w:val="21"/>
                <w:highlight w:val="none"/>
              </w:rPr>
              <w:t>12</w:t>
            </w:r>
          </w:p>
        </w:tc>
        <w:tc>
          <w:tcPr>
            <w:tcW w:w="87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rPr>
                <w:rFonts w:ascii="宋体" w:hAnsi="宋体" w:cs="宋体"/>
                <w:color w:val="auto"/>
                <w:szCs w:val="21"/>
                <w:highlight w:val="none"/>
              </w:rPr>
            </w:pPr>
            <w:r>
              <w:rPr>
                <w:rFonts w:hint="eastAsia" w:ascii="宋体" w:hAnsi="宋体" w:cs="宋体"/>
                <w:color w:val="auto"/>
                <w:szCs w:val="21"/>
                <w:highlight w:val="none"/>
              </w:rPr>
              <w:t>签订合同时间：中标通知书发放后30日内。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7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cs="宋体"/>
                <w:color w:val="auto"/>
                <w:szCs w:val="21"/>
                <w:highlight w:val="none"/>
              </w:rPr>
            </w:pPr>
            <w:r>
              <w:rPr>
                <w:rFonts w:hint="eastAsia" w:ascii="宋体" w:hAnsi="宋体" w:cs="宋体"/>
                <w:color w:val="auto"/>
                <w:szCs w:val="21"/>
                <w:highlight w:val="none"/>
              </w:rPr>
              <w:t>13</w:t>
            </w:r>
          </w:p>
        </w:tc>
        <w:tc>
          <w:tcPr>
            <w:tcW w:w="87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rPr>
                <w:rFonts w:hint="eastAsia" w:ascii="宋体" w:hAnsi="宋体" w:eastAsia="宋体" w:cs="宋体"/>
                <w:color w:val="auto"/>
                <w:szCs w:val="21"/>
                <w:highlight w:val="none"/>
                <w:lang w:eastAsia="zh-CN"/>
              </w:rPr>
            </w:pPr>
            <w:r>
              <w:rPr>
                <w:rFonts w:hint="eastAsia" w:ascii="宋体" w:hAnsi="宋体" w:cs="宋体"/>
                <w:color w:val="auto"/>
                <w:szCs w:val="21"/>
                <w:highlight w:val="none"/>
              </w:rPr>
              <w:t>履约保证金的缴纳及退还：</w:t>
            </w:r>
            <w:r>
              <w:rPr>
                <w:rFonts w:hint="eastAsia" w:ascii="宋体" w:hAnsi="宋体" w:cs="宋体"/>
                <w:bCs/>
                <w:color w:val="auto"/>
                <w:highlight w:val="none"/>
              </w:rPr>
              <w:t>合同价的5%</w:t>
            </w:r>
            <w:r>
              <w:rPr>
                <w:rFonts w:hint="eastAsia" w:ascii="宋体" w:hAnsi="宋体" w:cs="宋体"/>
                <w:bCs/>
                <w:color w:val="auto"/>
                <w:highlight w:val="none"/>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7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cs="宋体"/>
                <w:color w:val="auto"/>
                <w:szCs w:val="21"/>
                <w:highlight w:val="none"/>
              </w:rPr>
            </w:pPr>
            <w:r>
              <w:rPr>
                <w:rFonts w:ascii="宋体" w:hAnsi="宋体"/>
                <w:b/>
                <w:color w:val="auto"/>
                <w:highlight w:val="none"/>
              </w:rPr>
              <w:t>★</w:t>
            </w:r>
            <w:r>
              <w:rPr>
                <w:rFonts w:hint="eastAsia" w:ascii="宋体" w:hAnsi="宋体" w:cs="宋体"/>
                <w:color w:val="auto"/>
                <w:szCs w:val="21"/>
                <w:highlight w:val="none"/>
              </w:rPr>
              <w:t>14</w:t>
            </w:r>
          </w:p>
        </w:tc>
        <w:tc>
          <w:tcPr>
            <w:tcW w:w="87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rPr>
                <w:rFonts w:ascii="宋体" w:hAnsi="宋体" w:cs="宋体"/>
                <w:color w:val="auto"/>
                <w:kern w:val="0"/>
                <w:highlight w:val="none"/>
              </w:rPr>
            </w:pPr>
            <w:r>
              <w:rPr>
                <w:rFonts w:hint="eastAsia" w:ascii="宋体" w:hAnsi="宋体" w:cs="宋体"/>
                <w:color w:val="auto"/>
                <w:highlight w:val="none"/>
              </w:rPr>
              <w:t>付款方式：详见第二章“招标需求”中的“物业服务和停车管理收费标准和结算支付方式”。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7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cs="宋体"/>
                <w:color w:val="auto"/>
                <w:szCs w:val="21"/>
                <w:highlight w:val="none"/>
              </w:rPr>
            </w:pPr>
            <w:r>
              <w:rPr>
                <w:rFonts w:hint="eastAsia" w:ascii="宋体" w:hAnsi="宋体" w:cs="宋体"/>
                <w:color w:val="auto"/>
                <w:szCs w:val="21"/>
                <w:highlight w:val="none"/>
              </w:rPr>
              <w:t>15</w:t>
            </w:r>
          </w:p>
        </w:tc>
        <w:tc>
          <w:tcPr>
            <w:tcW w:w="87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rPr>
                <w:rFonts w:ascii="宋体" w:hAnsi="宋体" w:cs="宋体"/>
                <w:color w:val="auto"/>
                <w:kern w:val="0"/>
                <w:highlight w:val="none"/>
              </w:rPr>
            </w:pPr>
            <w:r>
              <w:rPr>
                <w:rFonts w:hint="eastAsia" w:ascii="宋体" w:hAnsi="宋体" w:cs="宋体"/>
                <w:color w:val="auto"/>
                <w:kern w:val="0"/>
                <w:highlight w:val="none"/>
              </w:rPr>
              <w:t>服务期限：</w:t>
            </w:r>
            <w:r>
              <w:rPr>
                <w:rFonts w:hint="eastAsia" w:ascii="宋体" w:hAnsi="宋体"/>
                <w:color w:val="auto"/>
                <w:sz w:val="21"/>
                <w:szCs w:val="21"/>
                <w:highlight w:val="none"/>
              </w:rPr>
              <w:t>三年，合同一年一签</w:t>
            </w:r>
            <w:r>
              <w:rPr>
                <w:rFonts w:hint="eastAsia" w:ascii="宋体" w:hAnsi="宋体" w:cs="宋体"/>
                <w:color w:val="auto"/>
                <w:sz w:val="22"/>
                <w:szCs w:val="22"/>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7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cs="宋体"/>
                <w:color w:val="auto"/>
                <w:szCs w:val="21"/>
                <w:highlight w:val="none"/>
              </w:rPr>
            </w:pPr>
            <w:r>
              <w:rPr>
                <w:rFonts w:hint="eastAsia" w:ascii="宋体" w:hAnsi="宋体" w:cs="宋体"/>
                <w:color w:val="auto"/>
                <w:szCs w:val="21"/>
                <w:highlight w:val="none"/>
              </w:rPr>
              <w:t>16</w:t>
            </w:r>
          </w:p>
        </w:tc>
        <w:tc>
          <w:tcPr>
            <w:tcW w:w="87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rPr>
                <w:rFonts w:ascii="宋体" w:hAnsi="宋体" w:cs="宋体"/>
                <w:color w:val="auto"/>
                <w:szCs w:val="21"/>
                <w:highlight w:val="none"/>
              </w:rPr>
            </w:pPr>
            <w:r>
              <w:rPr>
                <w:rFonts w:hint="eastAsia" w:ascii="宋体" w:hAnsi="宋体" w:cs="宋体"/>
                <w:color w:val="auto"/>
                <w:szCs w:val="21"/>
                <w:highlight w:val="none"/>
              </w:rPr>
              <w:t>投标有效期：投标截止日起</w:t>
            </w:r>
            <w:r>
              <w:rPr>
                <w:rFonts w:hint="eastAsia" w:ascii="宋体" w:hAnsi="宋体"/>
                <w:color w:val="auto"/>
                <w:szCs w:val="21"/>
                <w:highlight w:val="none"/>
              </w:rPr>
              <w:t>90</w:t>
            </w:r>
            <w:r>
              <w:rPr>
                <w:rFonts w:hint="eastAsia" w:ascii="宋体" w:hAnsi="宋体" w:cs="宋体"/>
                <w:color w:val="auto"/>
                <w:szCs w:val="21"/>
                <w:highlight w:val="none"/>
              </w:rPr>
              <w:t>个日历天。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7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cs="宋体"/>
                <w:color w:val="auto"/>
                <w:szCs w:val="21"/>
                <w:highlight w:val="none"/>
              </w:rPr>
            </w:pPr>
            <w:r>
              <w:rPr>
                <w:rFonts w:hint="eastAsia" w:ascii="宋体" w:hAnsi="宋体" w:cs="宋体"/>
                <w:color w:val="auto"/>
                <w:szCs w:val="21"/>
                <w:highlight w:val="none"/>
              </w:rPr>
              <w:t>17</w:t>
            </w:r>
          </w:p>
        </w:tc>
        <w:tc>
          <w:tcPr>
            <w:tcW w:w="8793" w:type="dxa"/>
            <w:tcBorders>
              <w:top w:val="single" w:color="auto" w:sz="4" w:space="0"/>
              <w:left w:val="single" w:color="auto" w:sz="4" w:space="0"/>
              <w:bottom w:val="single" w:color="auto" w:sz="4" w:space="0"/>
              <w:right w:val="single" w:color="auto" w:sz="4" w:space="0"/>
            </w:tcBorders>
            <w:vAlign w:val="center"/>
          </w:tcPr>
          <w:p>
            <w:pPr>
              <w:numPr>
                <w:ilvl w:val="0"/>
                <w:numId w:val="3"/>
              </w:numPr>
              <w:bidi w:val="0"/>
              <w:spacing w:line="360" w:lineRule="exact"/>
              <w:ind w:left="0" w:right="0" w:firstLine="0"/>
              <w:jc w:val="both"/>
              <w:rPr>
                <w:rFonts w:ascii="宋体" w:hAnsi="宋体" w:eastAsia="宋体" w:cs="宋体"/>
                <w:color w:val="auto"/>
                <w:highlight w:val="none"/>
                <w:rtl w:val="0"/>
                <w:lang w:val="zh-TW" w:eastAsia="zh-TW"/>
              </w:rPr>
            </w:pPr>
            <w:r>
              <w:rPr>
                <w:rFonts w:ascii="宋体" w:hAnsi="宋体" w:eastAsia="宋体" w:cs="宋体"/>
                <w:color w:val="auto"/>
                <w:highlight w:val="none"/>
                <w:rtl w:val="0"/>
                <w:lang w:val="zh-TW" w:eastAsia="zh-TW"/>
              </w:rPr>
              <w:t>招标代理机构按照宁波市中介</w:t>
            </w:r>
            <w:r>
              <w:rPr>
                <w:rFonts w:ascii="宋体" w:hAnsi="宋体" w:eastAsia="宋体" w:cs="宋体"/>
                <w:color w:val="auto"/>
                <w:highlight w:val="none"/>
                <w:u w:color="0000FF"/>
                <w:rtl w:val="0"/>
                <w:lang w:val="zh-TW" w:eastAsia="zh-TW"/>
              </w:rPr>
              <w:t>超市</w:t>
            </w:r>
            <w:r>
              <w:rPr>
                <w:rFonts w:hint="eastAsia" w:ascii="宋体" w:hAnsi="宋体" w:eastAsia="宋体" w:cs="宋体"/>
                <w:color w:val="auto"/>
                <w:highlight w:val="none"/>
                <w:u w:color="0000FF"/>
                <w:rtl w:val="0"/>
                <w:lang w:val="en-US" w:eastAsia="zh-CN"/>
              </w:rPr>
              <w:t>中选金额</w:t>
            </w:r>
            <w:r>
              <w:rPr>
                <w:rFonts w:hint="eastAsia" w:ascii="宋体" w:hAnsi="宋体" w:cs="宋体"/>
                <w:color w:val="auto"/>
                <w:highlight w:val="none"/>
                <w:u w:color="0000FF"/>
                <w:rtl w:val="0"/>
                <w:lang w:val="en-US" w:eastAsia="zh-CN"/>
              </w:rPr>
              <w:t>12128</w:t>
            </w:r>
            <w:r>
              <w:rPr>
                <w:rFonts w:hint="eastAsia" w:ascii="宋体" w:hAnsi="宋体" w:eastAsia="宋体" w:cs="宋体"/>
                <w:color w:val="auto"/>
                <w:highlight w:val="none"/>
                <w:u w:color="0000FF"/>
                <w:rtl w:val="0"/>
                <w:lang w:val="en-US" w:eastAsia="zh-CN"/>
              </w:rPr>
              <w:t>元</w:t>
            </w:r>
            <w:r>
              <w:rPr>
                <w:rFonts w:ascii="宋体" w:hAnsi="宋体" w:eastAsia="宋体" w:cs="宋体"/>
                <w:color w:val="auto"/>
                <w:highlight w:val="none"/>
                <w:u w:color="0000FF"/>
                <w:rtl w:val="0"/>
                <w:lang w:val="zh-TW" w:eastAsia="zh-TW"/>
              </w:rPr>
              <w:t>向中标人收取</w:t>
            </w:r>
            <w:r>
              <w:rPr>
                <w:rFonts w:hint="eastAsia" w:ascii="宋体" w:hAnsi="宋体" w:eastAsia="宋体" w:cs="宋体"/>
                <w:color w:val="auto"/>
                <w:highlight w:val="none"/>
                <w:u w:color="0000FF"/>
                <w:rtl w:val="0"/>
                <w:lang w:val="en-US" w:eastAsia="zh-CN"/>
              </w:rPr>
              <w:t>代理服务费</w:t>
            </w:r>
            <w:r>
              <w:rPr>
                <w:rFonts w:ascii="宋体" w:hAnsi="宋体" w:eastAsia="宋体" w:cs="宋体"/>
                <w:color w:val="auto"/>
                <w:highlight w:val="none"/>
                <w:rtl w:val="0"/>
                <w:lang w:val="zh-TW" w:eastAsia="zh-TW"/>
              </w:rPr>
              <w:t>。</w:t>
            </w:r>
          </w:p>
          <w:p>
            <w:pPr>
              <w:autoSpaceDE w:val="0"/>
              <w:autoSpaceDN w:val="0"/>
              <w:adjustRightInd w:val="0"/>
              <w:snapToGrid w:val="0"/>
              <w:spacing w:line="360" w:lineRule="exact"/>
              <w:textAlignment w:val="bottom"/>
              <w:rPr>
                <w:rFonts w:ascii="宋体" w:hAnsi="宋体" w:cs="宋体"/>
                <w:color w:val="auto"/>
                <w:szCs w:val="21"/>
                <w:highlight w:val="none"/>
              </w:rPr>
            </w:pPr>
            <w:r>
              <w:rPr>
                <w:rFonts w:hint="eastAsia" w:ascii="宋体" w:hAnsi="宋体" w:eastAsia="宋体" w:cs="宋体"/>
                <w:color w:val="auto"/>
                <w:highlight w:val="none"/>
                <w:rtl w:val="0"/>
                <w:lang w:val="en-US" w:eastAsia="zh-CN"/>
              </w:rPr>
              <w:t>2、中标人应在本公司发出确定中标通知书前向本代理公司支付代理服务费。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4" w:hRule="atLeast"/>
          <w:jc w:val="center"/>
        </w:trPr>
        <w:tc>
          <w:tcPr>
            <w:tcW w:w="7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cs="宋体"/>
                <w:color w:val="auto"/>
                <w:szCs w:val="21"/>
                <w:highlight w:val="none"/>
              </w:rPr>
            </w:pPr>
            <w:r>
              <w:rPr>
                <w:rFonts w:hint="eastAsia" w:ascii="宋体" w:hAnsi="宋体" w:cs="宋体"/>
                <w:color w:val="auto"/>
                <w:szCs w:val="21"/>
                <w:highlight w:val="none"/>
              </w:rPr>
              <w:t>18</w:t>
            </w:r>
          </w:p>
        </w:tc>
        <w:tc>
          <w:tcPr>
            <w:tcW w:w="87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rPr>
                <w:rFonts w:ascii="宋体" w:hAnsi="宋体" w:cs="宋体"/>
                <w:color w:val="auto"/>
                <w:szCs w:val="21"/>
                <w:highlight w:val="none"/>
              </w:rPr>
            </w:pPr>
            <w:r>
              <w:rPr>
                <w:rFonts w:hint="eastAsia" w:ascii="宋体" w:hAnsi="宋体" w:cs="宋体"/>
                <w:color w:val="auto"/>
                <w:szCs w:val="21"/>
                <w:highlight w:val="none"/>
              </w:rPr>
              <w:t>解释：本招标文件的解释权属于采购人和采购代理机构。</w:t>
            </w:r>
          </w:p>
        </w:tc>
      </w:tr>
    </w:tbl>
    <w:p>
      <w:pPr>
        <w:pStyle w:val="52"/>
        <w:adjustRightInd w:val="0"/>
        <w:spacing w:before="156" w:line="360" w:lineRule="auto"/>
        <w:ind w:firstLine="0"/>
        <w:rPr>
          <w:rFonts w:cs="宋体"/>
          <w:color w:val="auto"/>
          <w:highlight w:val="none"/>
        </w:rPr>
      </w:pPr>
      <w:r>
        <w:rPr>
          <w:rFonts w:hint="eastAsia" w:cs="宋体"/>
          <w:b w:val="0"/>
          <w:color w:val="auto"/>
          <w:highlight w:val="none"/>
        </w:rPr>
        <w:br w:type="page"/>
      </w:r>
      <w:r>
        <w:rPr>
          <w:rFonts w:hint="eastAsia" w:cs="宋体"/>
          <w:color w:val="auto"/>
          <w:highlight w:val="none"/>
        </w:rPr>
        <w:t>一、总则</w:t>
      </w:r>
    </w:p>
    <w:p>
      <w:pPr>
        <w:adjustRightInd w:val="0"/>
        <w:snapToGrid w:val="0"/>
        <w:spacing w:line="360" w:lineRule="auto"/>
        <w:ind w:firstLine="422"/>
        <w:jc w:val="left"/>
        <w:outlineLvl w:val="2"/>
        <w:rPr>
          <w:rFonts w:ascii="宋体" w:hAnsi="宋体" w:cs="宋体"/>
          <w:b/>
          <w:color w:val="auto"/>
          <w:szCs w:val="21"/>
          <w:highlight w:val="none"/>
        </w:rPr>
      </w:pPr>
      <w:r>
        <w:rPr>
          <w:rFonts w:hint="eastAsia" w:ascii="宋体" w:hAnsi="宋体" w:cs="宋体"/>
          <w:b/>
          <w:color w:val="auto"/>
          <w:szCs w:val="21"/>
          <w:highlight w:val="none"/>
        </w:rPr>
        <w:t>（一）适用范围</w:t>
      </w:r>
    </w:p>
    <w:p>
      <w:pPr>
        <w:adjustRightInd w:val="0"/>
        <w:snapToGrid w:val="0"/>
        <w:spacing w:line="360" w:lineRule="auto"/>
        <w:ind w:firstLine="420"/>
        <w:rPr>
          <w:rFonts w:ascii="宋体" w:hAnsi="宋体" w:cs="宋体"/>
          <w:color w:val="auto"/>
          <w:highlight w:val="none"/>
        </w:rPr>
      </w:pPr>
      <w:r>
        <w:rPr>
          <w:rFonts w:hint="eastAsia" w:ascii="宋体" w:hAnsi="宋体" w:cs="宋体"/>
          <w:color w:val="auto"/>
          <w:highlight w:val="none"/>
        </w:rPr>
        <w:t>本招标文件适用于</w:t>
      </w:r>
      <w:r>
        <w:rPr>
          <w:rFonts w:hint="eastAsia" w:ascii="宋体" w:hAnsi="宋体" w:cs="宋体"/>
          <w:bCs/>
          <w:color w:val="auto"/>
          <w:highlight w:val="none"/>
        </w:rPr>
        <w:t>本</w:t>
      </w:r>
      <w:r>
        <w:rPr>
          <w:rFonts w:hint="eastAsia" w:ascii="宋体" w:hAnsi="宋体" w:cs="宋体"/>
          <w:color w:val="auto"/>
          <w:highlight w:val="none"/>
        </w:rPr>
        <w:t>项目的招标、投标、评标、定标、验收、合同履约、付款等行为（法律、法规另有规定的，从其规定）。</w:t>
      </w:r>
    </w:p>
    <w:p>
      <w:pPr>
        <w:adjustRightInd w:val="0"/>
        <w:snapToGrid w:val="0"/>
        <w:spacing w:line="360" w:lineRule="auto"/>
        <w:ind w:firstLine="422"/>
        <w:jc w:val="left"/>
        <w:outlineLvl w:val="2"/>
        <w:rPr>
          <w:rFonts w:ascii="宋体" w:hAnsi="宋体" w:cs="宋体"/>
          <w:b/>
          <w:color w:val="auto"/>
          <w:szCs w:val="21"/>
          <w:highlight w:val="none"/>
        </w:rPr>
      </w:pPr>
      <w:r>
        <w:rPr>
          <w:rFonts w:hint="eastAsia" w:ascii="宋体" w:hAnsi="宋体" w:cs="宋体"/>
          <w:b/>
          <w:color w:val="auto"/>
          <w:szCs w:val="21"/>
          <w:highlight w:val="none"/>
        </w:rPr>
        <w:t>（二）定义</w:t>
      </w:r>
    </w:p>
    <w:p>
      <w:pPr>
        <w:adjustRightInd w:val="0"/>
        <w:snapToGrid w:val="0"/>
        <w:spacing w:line="360" w:lineRule="auto"/>
        <w:ind w:firstLine="420"/>
        <w:rPr>
          <w:rFonts w:ascii="宋体" w:hAnsi="宋体" w:cs="宋体"/>
          <w:color w:val="auto"/>
          <w:highlight w:val="none"/>
        </w:rPr>
      </w:pPr>
      <w:r>
        <w:rPr>
          <w:rFonts w:hint="eastAsia" w:ascii="宋体" w:hAnsi="宋体" w:cs="宋体"/>
          <w:color w:val="auto"/>
          <w:highlight w:val="none"/>
        </w:rPr>
        <w:t>1.本文件中所称招标、招标文件、采购人、投标、投标文件、供应商等是指招标、采购文件、采购人、投标响应、投标响应文件、投标供应商。</w:t>
      </w:r>
    </w:p>
    <w:p>
      <w:pPr>
        <w:adjustRightInd w:val="0"/>
        <w:snapToGrid w:val="0"/>
        <w:spacing w:line="360" w:lineRule="auto"/>
        <w:ind w:firstLine="420"/>
        <w:rPr>
          <w:rFonts w:ascii="宋体" w:hAnsi="宋体" w:cs="宋体"/>
          <w:color w:val="auto"/>
          <w:highlight w:val="none"/>
        </w:rPr>
      </w:pPr>
      <w:r>
        <w:rPr>
          <w:rFonts w:hint="eastAsia" w:ascii="宋体" w:hAnsi="宋体" w:cs="宋体"/>
          <w:color w:val="auto"/>
          <w:highlight w:val="none"/>
        </w:rPr>
        <w:t>2.“供应商”系指向采购人提交投标文件的单位或个人。</w:t>
      </w:r>
    </w:p>
    <w:p>
      <w:pPr>
        <w:adjustRightInd w:val="0"/>
        <w:snapToGrid w:val="0"/>
        <w:spacing w:line="360" w:lineRule="auto"/>
        <w:ind w:firstLine="420"/>
        <w:rPr>
          <w:rFonts w:ascii="宋体" w:hAnsi="宋体" w:cs="宋体"/>
          <w:color w:val="auto"/>
          <w:highlight w:val="none"/>
        </w:rPr>
      </w:pPr>
      <w:r>
        <w:rPr>
          <w:rFonts w:hint="eastAsia" w:ascii="宋体" w:hAnsi="宋体" w:cs="宋体"/>
          <w:color w:val="auto"/>
          <w:highlight w:val="none"/>
        </w:rPr>
        <w:t>3.“产品”系指供方按招标文件规定，须向采购人提供的一切设备、保险、税金、备品备件、工具、手册及其它有关技术资料和材料。</w:t>
      </w:r>
    </w:p>
    <w:p>
      <w:pPr>
        <w:adjustRightInd w:val="0"/>
        <w:snapToGrid w:val="0"/>
        <w:spacing w:line="360" w:lineRule="auto"/>
        <w:ind w:firstLine="420"/>
        <w:rPr>
          <w:rFonts w:ascii="宋体" w:hAnsi="宋体" w:cs="宋体"/>
          <w:color w:val="auto"/>
          <w:highlight w:val="none"/>
        </w:rPr>
      </w:pPr>
      <w:r>
        <w:rPr>
          <w:rFonts w:hint="eastAsia" w:ascii="宋体" w:hAnsi="宋体" w:cs="宋体"/>
          <w:color w:val="auto"/>
          <w:highlight w:val="none"/>
        </w:rPr>
        <w:t>4.“服务”系指招标文件规定供应商须承担的安装、调试、技术协助、校准、培训、技术指导、运营服务、内容资源服务以及其他类似的义务。</w:t>
      </w:r>
    </w:p>
    <w:p>
      <w:pPr>
        <w:adjustRightInd w:val="0"/>
        <w:snapToGrid w:val="0"/>
        <w:spacing w:line="360" w:lineRule="auto"/>
        <w:ind w:firstLine="420"/>
        <w:rPr>
          <w:rFonts w:ascii="宋体" w:hAnsi="宋体" w:cs="宋体"/>
          <w:color w:val="auto"/>
          <w:highlight w:val="none"/>
        </w:rPr>
      </w:pPr>
      <w:r>
        <w:rPr>
          <w:rFonts w:hint="eastAsia" w:ascii="宋体" w:hAnsi="宋体" w:cs="宋体"/>
          <w:color w:val="auto"/>
          <w:highlight w:val="none"/>
        </w:rPr>
        <w:t>5.“项目”系指供应商按招标文件规定向采购人提供的产品和服务。</w:t>
      </w:r>
    </w:p>
    <w:p>
      <w:pPr>
        <w:adjustRightInd w:val="0"/>
        <w:snapToGrid w:val="0"/>
        <w:spacing w:line="360" w:lineRule="auto"/>
        <w:ind w:firstLine="420"/>
        <w:rPr>
          <w:rFonts w:ascii="宋体" w:hAnsi="宋体" w:cs="宋体"/>
          <w:color w:val="auto"/>
          <w:highlight w:val="none"/>
        </w:rPr>
      </w:pPr>
      <w:r>
        <w:rPr>
          <w:rFonts w:hint="eastAsia" w:ascii="宋体" w:hAnsi="宋体" w:cs="宋体"/>
          <w:color w:val="auto"/>
          <w:highlight w:val="none"/>
        </w:rPr>
        <w:t>6.“书面形式”包括信函、传真、电报、财政部门指定的政府采购信息发布媒体上发布的信息等。</w:t>
      </w:r>
    </w:p>
    <w:p>
      <w:pPr>
        <w:adjustRightInd w:val="0"/>
        <w:snapToGrid w:val="0"/>
        <w:spacing w:line="360" w:lineRule="auto"/>
        <w:ind w:firstLine="420"/>
        <w:rPr>
          <w:rFonts w:ascii="宋体" w:hAnsi="宋体" w:cs="宋体"/>
          <w:color w:val="auto"/>
          <w:highlight w:val="none"/>
        </w:rPr>
      </w:pPr>
      <w:r>
        <w:rPr>
          <w:rFonts w:hint="eastAsia" w:ascii="宋体" w:hAnsi="宋体" w:cs="宋体"/>
          <w:color w:val="auto"/>
          <w:highlight w:val="none"/>
        </w:rPr>
        <w:t>7.“★”系指实质性要求条款。</w:t>
      </w:r>
    </w:p>
    <w:p>
      <w:pPr>
        <w:adjustRightInd w:val="0"/>
        <w:snapToGrid w:val="0"/>
        <w:spacing w:line="360" w:lineRule="auto"/>
        <w:ind w:firstLine="422"/>
        <w:jc w:val="left"/>
        <w:outlineLvl w:val="2"/>
        <w:rPr>
          <w:rFonts w:ascii="宋体" w:hAnsi="宋体" w:cs="宋体"/>
          <w:b/>
          <w:color w:val="auto"/>
          <w:szCs w:val="21"/>
          <w:highlight w:val="none"/>
        </w:rPr>
      </w:pPr>
      <w:r>
        <w:rPr>
          <w:rFonts w:hint="eastAsia" w:ascii="宋体" w:hAnsi="宋体" w:cs="宋体"/>
          <w:b/>
          <w:color w:val="auto"/>
          <w:szCs w:val="21"/>
          <w:highlight w:val="none"/>
        </w:rPr>
        <w:t>（三）采购方式</w:t>
      </w:r>
    </w:p>
    <w:p>
      <w:pPr>
        <w:adjustRightInd w:val="0"/>
        <w:snapToGrid w:val="0"/>
        <w:spacing w:line="360" w:lineRule="auto"/>
        <w:ind w:firstLine="420"/>
        <w:rPr>
          <w:rFonts w:ascii="宋体" w:hAnsi="宋体" w:cs="宋体"/>
          <w:color w:val="auto"/>
          <w:highlight w:val="none"/>
        </w:rPr>
      </w:pPr>
      <w:r>
        <w:rPr>
          <w:rFonts w:hint="eastAsia" w:ascii="宋体" w:hAnsi="宋体" w:cs="宋体"/>
          <w:color w:val="auto"/>
          <w:highlight w:val="none"/>
        </w:rPr>
        <w:t>本次招标采用公开招标方式进行。</w:t>
      </w:r>
    </w:p>
    <w:p>
      <w:pPr>
        <w:adjustRightInd w:val="0"/>
        <w:snapToGrid w:val="0"/>
        <w:spacing w:line="360" w:lineRule="auto"/>
        <w:ind w:firstLine="422"/>
        <w:jc w:val="left"/>
        <w:outlineLvl w:val="2"/>
        <w:rPr>
          <w:rFonts w:ascii="宋体" w:hAnsi="宋体" w:cs="宋体"/>
          <w:b/>
          <w:color w:val="auto"/>
          <w:szCs w:val="21"/>
          <w:highlight w:val="none"/>
        </w:rPr>
      </w:pPr>
      <w:r>
        <w:rPr>
          <w:rFonts w:hint="eastAsia" w:ascii="宋体" w:hAnsi="宋体" w:cs="宋体"/>
          <w:b/>
          <w:color w:val="auto"/>
          <w:szCs w:val="21"/>
          <w:highlight w:val="none"/>
        </w:rPr>
        <w:t>（四）投标委托</w:t>
      </w:r>
    </w:p>
    <w:p>
      <w:pPr>
        <w:adjustRightInd w:val="0"/>
        <w:snapToGrid w:val="0"/>
        <w:spacing w:line="360" w:lineRule="auto"/>
        <w:ind w:firstLine="420"/>
        <w:jc w:val="left"/>
        <w:rPr>
          <w:rFonts w:ascii="宋体" w:hAnsi="宋体" w:cs="宋体"/>
          <w:color w:val="auto"/>
          <w:szCs w:val="21"/>
          <w:highlight w:val="none"/>
        </w:rPr>
      </w:pPr>
      <w:r>
        <w:rPr>
          <w:rFonts w:hint="eastAsia" w:ascii="宋体" w:hAnsi="宋体" w:cs="宋体"/>
          <w:color w:val="auto"/>
          <w:szCs w:val="21"/>
          <w:highlight w:val="none"/>
        </w:rPr>
        <w:t>供应商代表须携带有效身份证件。如供应商代表不是法定代表人或单位负责人，须有法定代表人或单位负责人出具的授权委托书。</w:t>
      </w:r>
      <w:r>
        <w:rPr>
          <w:rFonts w:hint="eastAsia" w:ascii="宋体" w:hAnsi="宋体" w:cs="宋体"/>
          <w:b/>
          <w:color w:val="auto"/>
          <w:szCs w:val="21"/>
          <w:highlight w:val="none"/>
        </w:rPr>
        <w:t>单位负责人，是指法律、行政法规规定代表单位行使职权的主要负责人。</w:t>
      </w:r>
    </w:p>
    <w:p>
      <w:pPr>
        <w:adjustRightInd w:val="0"/>
        <w:snapToGrid w:val="0"/>
        <w:spacing w:line="360" w:lineRule="auto"/>
        <w:ind w:firstLine="422"/>
        <w:jc w:val="left"/>
        <w:outlineLvl w:val="2"/>
        <w:rPr>
          <w:rFonts w:ascii="宋体" w:hAnsi="宋体" w:cs="宋体"/>
          <w:b/>
          <w:color w:val="auto"/>
          <w:szCs w:val="21"/>
          <w:highlight w:val="none"/>
        </w:rPr>
      </w:pPr>
      <w:r>
        <w:rPr>
          <w:rFonts w:hint="eastAsia" w:ascii="宋体" w:hAnsi="宋体" w:cs="宋体"/>
          <w:b/>
          <w:color w:val="auto"/>
          <w:szCs w:val="21"/>
          <w:highlight w:val="none"/>
        </w:rPr>
        <w:t>（五）投标费用</w:t>
      </w:r>
    </w:p>
    <w:p>
      <w:pPr>
        <w:adjustRightInd w:val="0"/>
        <w:snapToGrid w:val="0"/>
        <w:spacing w:line="360" w:lineRule="auto"/>
        <w:ind w:firstLine="420"/>
        <w:jc w:val="left"/>
        <w:rPr>
          <w:rFonts w:ascii="宋体" w:hAnsi="宋体" w:cs="宋体"/>
          <w:color w:val="auto"/>
          <w:szCs w:val="21"/>
          <w:highlight w:val="none"/>
        </w:rPr>
      </w:pPr>
      <w:r>
        <w:rPr>
          <w:rFonts w:hint="eastAsia" w:ascii="宋体" w:hAnsi="宋体" w:cs="宋体"/>
          <w:color w:val="auto"/>
          <w:szCs w:val="21"/>
          <w:highlight w:val="none"/>
        </w:rPr>
        <w:t>不论投标结果如何，供应商均应自行承担所有与投标有关的全部费用（招标文件有相反规定除外）。</w:t>
      </w:r>
    </w:p>
    <w:p>
      <w:pPr>
        <w:adjustRightInd w:val="0"/>
        <w:snapToGrid w:val="0"/>
        <w:spacing w:line="360" w:lineRule="auto"/>
        <w:ind w:firstLine="422"/>
        <w:jc w:val="left"/>
        <w:outlineLvl w:val="2"/>
        <w:rPr>
          <w:rFonts w:ascii="宋体" w:hAnsi="宋体" w:cs="宋体"/>
          <w:b/>
          <w:color w:val="auto"/>
          <w:szCs w:val="21"/>
          <w:highlight w:val="none"/>
        </w:rPr>
      </w:pPr>
      <w:r>
        <w:rPr>
          <w:rFonts w:hint="eastAsia" w:ascii="宋体" w:hAnsi="宋体" w:cs="宋体"/>
          <w:b/>
          <w:color w:val="auto"/>
          <w:szCs w:val="21"/>
          <w:highlight w:val="none"/>
        </w:rPr>
        <w:t>（六）联合体投标</w:t>
      </w:r>
    </w:p>
    <w:p>
      <w:pPr>
        <w:adjustRightInd w:val="0"/>
        <w:snapToGrid w:val="0"/>
        <w:spacing w:line="360" w:lineRule="auto"/>
        <w:ind w:firstLine="420"/>
        <w:jc w:val="left"/>
        <w:rPr>
          <w:rFonts w:ascii="宋体" w:hAnsi="宋体" w:cs="宋体"/>
          <w:color w:val="auto"/>
          <w:szCs w:val="21"/>
          <w:highlight w:val="none"/>
        </w:rPr>
      </w:pPr>
      <w:r>
        <w:rPr>
          <w:rFonts w:hint="eastAsia" w:ascii="宋体" w:hAnsi="宋体" w:cs="宋体"/>
          <w:color w:val="auto"/>
          <w:szCs w:val="21"/>
          <w:highlight w:val="none"/>
        </w:rPr>
        <w:t>本项目不接受联合体投标。</w:t>
      </w:r>
    </w:p>
    <w:p>
      <w:pPr>
        <w:adjustRightInd w:val="0"/>
        <w:snapToGrid w:val="0"/>
        <w:spacing w:line="360" w:lineRule="auto"/>
        <w:ind w:firstLine="422"/>
        <w:jc w:val="left"/>
        <w:outlineLvl w:val="2"/>
        <w:rPr>
          <w:rFonts w:ascii="宋体" w:hAnsi="宋体" w:cs="宋体"/>
          <w:b/>
          <w:color w:val="auto"/>
          <w:szCs w:val="21"/>
          <w:highlight w:val="none"/>
        </w:rPr>
      </w:pPr>
      <w:r>
        <w:rPr>
          <w:rFonts w:hint="eastAsia" w:ascii="宋体" w:hAnsi="宋体" w:cs="宋体"/>
          <w:b/>
          <w:color w:val="auto"/>
          <w:szCs w:val="21"/>
          <w:highlight w:val="none"/>
        </w:rPr>
        <w:t>（七）转包与分包</w:t>
      </w:r>
    </w:p>
    <w:p>
      <w:pPr>
        <w:adjustRightInd w:val="0"/>
        <w:snapToGrid w:val="0"/>
        <w:spacing w:line="360" w:lineRule="auto"/>
        <w:ind w:firstLine="420"/>
        <w:jc w:val="left"/>
        <w:rPr>
          <w:rFonts w:ascii="宋体" w:hAnsi="宋体" w:cs="宋体"/>
          <w:color w:val="auto"/>
          <w:szCs w:val="21"/>
          <w:highlight w:val="none"/>
        </w:rPr>
      </w:pPr>
      <w:r>
        <w:rPr>
          <w:rFonts w:hint="eastAsia" w:ascii="宋体" w:hAnsi="宋体" w:cs="宋体"/>
          <w:color w:val="auto"/>
          <w:szCs w:val="21"/>
          <w:highlight w:val="none"/>
        </w:rPr>
        <w:t>本项目不允许转包、分包。</w:t>
      </w:r>
    </w:p>
    <w:p>
      <w:pPr>
        <w:adjustRightInd w:val="0"/>
        <w:snapToGrid w:val="0"/>
        <w:spacing w:line="360" w:lineRule="auto"/>
        <w:ind w:firstLine="422"/>
        <w:jc w:val="left"/>
        <w:outlineLvl w:val="2"/>
        <w:rPr>
          <w:rFonts w:ascii="宋体" w:hAnsi="宋体" w:cs="宋体"/>
          <w:b/>
          <w:color w:val="auto"/>
          <w:szCs w:val="21"/>
          <w:highlight w:val="none"/>
        </w:rPr>
      </w:pPr>
      <w:r>
        <w:rPr>
          <w:rFonts w:hint="eastAsia" w:ascii="宋体" w:hAnsi="宋体" w:cs="宋体"/>
          <w:b/>
          <w:color w:val="auto"/>
          <w:szCs w:val="21"/>
          <w:highlight w:val="none"/>
        </w:rPr>
        <w:t>（八）特别说明</w:t>
      </w:r>
    </w:p>
    <w:p>
      <w:pPr>
        <w:pStyle w:val="53"/>
        <w:adjustRightInd w:val="0"/>
        <w:rPr>
          <w:rFonts w:cs="宋体"/>
          <w:color w:val="auto"/>
          <w:highlight w:val="none"/>
        </w:rPr>
      </w:pPr>
      <w:r>
        <w:rPr>
          <w:rFonts w:hint="eastAsia" w:cs="宋体"/>
          <w:color w:val="auto"/>
          <w:highlight w:val="none"/>
        </w:rPr>
        <w:t>1、使用综合评分法的采购项目，提供相同品牌产品且通过资格审查、符合性审查的不同供应商参加同一合同项下投标的，按一家供应商计算，评审后得分最高的同品牌供应商获得中标人推荐资格；评审得分相同的，由采购人或者采购人委托评标委员会按照招标文件规定的方式确定一个供应商获得中标人推荐资格，招标文件未规定的采取随机抽取方式确定，其他同品牌供应商不作为中标候选人。</w:t>
      </w:r>
    </w:p>
    <w:p>
      <w:pPr>
        <w:pStyle w:val="53"/>
        <w:adjustRightInd w:val="0"/>
        <w:rPr>
          <w:rFonts w:cs="宋体"/>
          <w:color w:val="auto"/>
          <w:highlight w:val="none"/>
        </w:rPr>
      </w:pPr>
      <w:r>
        <w:rPr>
          <w:rFonts w:hint="eastAsia" w:cs="宋体"/>
          <w:color w:val="auto"/>
          <w:highlight w:val="none"/>
        </w:rPr>
        <w:t>非单一产品采购项目，多家供应商提供的核心产品品牌相同的，按前两款规定处理。</w:t>
      </w:r>
    </w:p>
    <w:p>
      <w:pPr>
        <w:adjustRightInd w:val="0"/>
        <w:snapToGrid w:val="0"/>
        <w:spacing w:line="360" w:lineRule="auto"/>
        <w:ind w:firstLine="420"/>
        <w:rPr>
          <w:rFonts w:ascii="宋体" w:hAnsi="宋体" w:cs="宋体"/>
          <w:color w:val="auto"/>
          <w:szCs w:val="21"/>
          <w:highlight w:val="none"/>
        </w:rPr>
      </w:pPr>
      <w:r>
        <w:rPr>
          <w:rFonts w:hint="eastAsia" w:ascii="宋体" w:hAnsi="宋体" w:cs="宋体"/>
          <w:color w:val="auto"/>
          <w:szCs w:val="21"/>
          <w:highlight w:val="none"/>
        </w:rPr>
        <w:t>★2.供应商投标所使用的资格、荣誉、业绩与企业认证必须为本法人所拥有。供应商投标所使用的采购项目实施人员及授权代表必须为本法人员工。</w:t>
      </w:r>
    </w:p>
    <w:p>
      <w:pPr>
        <w:adjustRightInd w:val="0"/>
        <w:snapToGrid w:val="0"/>
        <w:spacing w:line="360" w:lineRule="auto"/>
        <w:ind w:firstLine="420"/>
        <w:rPr>
          <w:rFonts w:ascii="宋体" w:hAnsi="宋体" w:cs="宋体"/>
          <w:color w:val="auto"/>
          <w:szCs w:val="21"/>
          <w:highlight w:val="none"/>
        </w:rPr>
      </w:pPr>
      <w:r>
        <w:rPr>
          <w:rFonts w:hint="eastAsia" w:ascii="宋体" w:hAnsi="宋体" w:cs="宋体"/>
          <w:color w:val="auto"/>
          <w:szCs w:val="21"/>
          <w:highlight w:val="none"/>
        </w:rPr>
        <w:t>★3.供应商应仔细阅读招标文件的所有内容，按照招标文件的要求提交投标文件，并对所提供的全部资料的真实性承担法律责任。</w:t>
      </w:r>
    </w:p>
    <w:p>
      <w:pPr>
        <w:adjustRightInd w:val="0"/>
        <w:snapToGrid w:val="0"/>
        <w:spacing w:line="360" w:lineRule="auto"/>
        <w:ind w:firstLine="420"/>
        <w:rPr>
          <w:rFonts w:ascii="宋体" w:hAnsi="宋体" w:cs="宋体"/>
          <w:color w:val="auto"/>
          <w:szCs w:val="21"/>
          <w:highlight w:val="none"/>
        </w:rPr>
      </w:pPr>
      <w:r>
        <w:rPr>
          <w:rFonts w:hint="eastAsia" w:ascii="宋体" w:hAnsi="宋体" w:cs="宋体"/>
          <w:color w:val="auto"/>
          <w:szCs w:val="21"/>
          <w:highlight w:val="none"/>
        </w:rPr>
        <w:t>★4.供应商在投标活动中提供任何虚假材料,其投标无效，并报监管部门查处；中标后发现的，中标人须依照《中华人民共和国消费者权益保护法》第49条之规定双倍赔偿采购人，且民事赔偿并不免除违法供应商的行政与刑事责任。</w:t>
      </w:r>
    </w:p>
    <w:p>
      <w:pPr>
        <w:adjustRightInd w:val="0"/>
        <w:snapToGrid w:val="0"/>
        <w:spacing w:line="360" w:lineRule="auto"/>
        <w:ind w:firstLine="422"/>
        <w:jc w:val="left"/>
        <w:outlineLvl w:val="2"/>
        <w:rPr>
          <w:rFonts w:ascii="宋体" w:hAnsi="宋体" w:cs="宋体"/>
          <w:b/>
          <w:color w:val="auto"/>
          <w:szCs w:val="21"/>
          <w:highlight w:val="none"/>
        </w:rPr>
      </w:pPr>
      <w:r>
        <w:rPr>
          <w:rFonts w:hint="eastAsia" w:ascii="宋体" w:hAnsi="宋体" w:cs="宋体"/>
          <w:b/>
          <w:color w:val="auto"/>
          <w:szCs w:val="21"/>
          <w:highlight w:val="none"/>
        </w:rPr>
        <w:t>（九）质疑和投诉</w:t>
      </w:r>
    </w:p>
    <w:p>
      <w:pPr>
        <w:adjustRightInd w:val="0"/>
        <w:snapToGrid w:val="0"/>
        <w:spacing w:line="360" w:lineRule="auto"/>
        <w:ind w:firstLine="420"/>
        <w:jc w:val="left"/>
        <w:rPr>
          <w:rFonts w:ascii="宋体" w:hAnsi="宋体" w:cs="宋体"/>
          <w:color w:val="auto"/>
          <w:szCs w:val="21"/>
          <w:highlight w:val="none"/>
        </w:rPr>
      </w:pPr>
      <w:r>
        <w:rPr>
          <w:rFonts w:hint="eastAsia" w:ascii="宋体" w:hAnsi="宋体" w:cs="宋体"/>
          <w:color w:val="auto"/>
          <w:szCs w:val="21"/>
          <w:highlight w:val="none"/>
        </w:rPr>
        <w:t>1.供应商认为招标文件、招标过程或中标结果使自己的合法权益受到损害的，应当在知道或者应知其权益受到损害之日起七个工作日内，以书面形式向采购人、采购代理机构提出质疑。供应商对采购人、采购代理机构的质疑答复不满意或者采购人、采购代理机构未在规定时间内作出答复的，可以在答复期满后十五个工作日内向同级采购监管部门投诉。</w:t>
      </w:r>
    </w:p>
    <w:p>
      <w:pPr>
        <w:adjustRightInd w:val="0"/>
        <w:snapToGrid w:val="0"/>
        <w:spacing w:line="360" w:lineRule="auto"/>
        <w:ind w:firstLine="420"/>
        <w:jc w:val="left"/>
        <w:rPr>
          <w:rFonts w:ascii="宋体" w:hAnsi="宋体" w:cs="宋体"/>
          <w:color w:val="auto"/>
          <w:szCs w:val="21"/>
          <w:highlight w:val="none"/>
        </w:rPr>
      </w:pPr>
      <w:r>
        <w:rPr>
          <w:rFonts w:hint="eastAsia" w:ascii="宋体" w:hAnsi="宋体" w:cs="宋体"/>
          <w:color w:val="auto"/>
          <w:szCs w:val="21"/>
          <w:highlight w:val="none"/>
        </w:rPr>
        <w:t>2.质疑、投诉应当采用书面形式，质疑书、投诉书均应明确阐述招标文件、招标过程或中标结果中使自己合法权益受到损害的实质性内容，提供相关事实、依据和证据及其来源或线索，便于有关单位调查、答复和处理。</w:t>
      </w:r>
    </w:p>
    <w:p>
      <w:pPr>
        <w:adjustRightInd w:val="0"/>
        <w:snapToGrid w:val="0"/>
        <w:spacing w:line="360" w:lineRule="auto"/>
        <w:outlineLvl w:val="1"/>
        <w:rPr>
          <w:rFonts w:ascii="宋体" w:hAnsi="宋体" w:cs="宋体"/>
          <w:b/>
          <w:color w:val="auto"/>
          <w:szCs w:val="21"/>
          <w:highlight w:val="none"/>
        </w:rPr>
      </w:pPr>
      <w:r>
        <w:rPr>
          <w:rFonts w:hint="eastAsia" w:ascii="宋体" w:hAnsi="宋体" w:cs="宋体"/>
          <w:b/>
          <w:color w:val="auto"/>
          <w:szCs w:val="21"/>
          <w:highlight w:val="none"/>
        </w:rPr>
        <w:t>二、招标文件</w:t>
      </w:r>
    </w:p>
    <w:p>
      <w:pPr>
        <w:adjustRightInd w:val="0"/>
        <w:snapToGrid w:val="0"/>
        <w:spacing w:line="360" w:lineRule="auto"/>
        <w:ind w:firstLine="422"/>
        <w:jc w:val="left"/>
        <w:outlineLvl w:val="2"/>
        <w:rPr>
          <w:rFonts w:ascii="宋体" w:hAnsi="宋体" w:cs="宋体"/>
          <w:b/>
          <w:color w:val="auto"/>
          <w:szCs w:val="21"/>
          <w:highlight w:val="none"/>
        </w:rPr>
      </w:pPr>
      <w:r>
        <w:rPr>
          <w:rFonts w:hint="eastAsia" w:ascii="宋体" w:hAnsi="宋体" w:cs="宋体"/>
          <w:b/>
          <w:color w:val="auto"/>
          <w:szCs w:val="21"/>
          <w:highlight w:val="none"/>
        </w:rPr>
        <w:t>（一）招标文件的构成。本招标文件由以下部份组成：</w:t>
      </w:r>
    </w:p>
    <w:p>
      <w:pPr>
        <w:adjustRightInd w:val="0"/>
        <w:snapToGrid w:val="0"/>
        <w:spacing w:line="360" w:lineRule="auto"/>
        <w:ind w:firstLine="420"/>
        <w:jc w:val="left"/>
        <w:rPr>
          <w:rFonts w:ascii="宋体" w:hAnsi="宋体" w:cs="宋体"/>
          <w:color w:val="auto"/>
          <w:szCs w:val="21"/>
          <w:highlight w:val="none"/>
        </w:rPr>
      </w:pPr>
      <w:r>
        <w:rPr>
          <w:rFonts w:hint="eastAsia" w:ascii="宋体" w:hAnsi="宋体" w:cs="宋体"/>
          <w:color w:val="auto"/>
          <w:szCs w:val="21"/>
          <w:highlight w:val="none"/>
        </w:rPr>
        <w:t>1.采购公告</w:t>
      </w:r>
    </w:p>
    <w:p>
      <w:pPr>
        <w:adjustRightInd w:val="0"/>
        <w:snapToGrid w:val="0"/>
        <w:spacing w:line="360" w:lineRule="auto"/>
        <w:ind w:firstLine="420"/>
        <w:jc w:val="left"/>
        <w:rPr>
          <w:rFonts w:ascii="宋体" w:hAnsi="宋体" w:cs="宋体"/>
          <w:color w:val="auto"/>
          <w:szCs w:val="21"/>
          <w:highlight w:val="none"/>
        </w:rPr>
      </w:pPr>
      <w:r>
        <w:rPr>
          <w:rFonts w:hint="eastAsia" w:ascii="宋体" w:hAnsi="宋体" w:cs="宋体"/>
          <w:color w:val="auto"/>
          <w:szCs w:val="21"/>
          <w:highlight w:val="none"/>
        </w:rPr>
        <w:t>2.采购需求</w:t>
      </w:r>
    </w:p>
    <w:p>
      <w:pPr>
        <w:adjustRightInd w:val="0"/>
        <w:snapToGrid w:val="0"/>
        <w:spacing w:line="360" w:lineRule="auto"/>
        <w:ind w:firstLine="420"/>
        <w:jc w:val="left"/>
        <w:rPr>
          <w:rFonts w:ascii="宋体" w:hAnsi="宋体" w:cs="宋体"/>
          <w:color w:val="auto"/>
          <w:szCs w:val="21"/>
          <w:highlight w:val="none"/>
        </w:rPr>
      </w:pPr>
      <w:r>
        <w:rPr>
          <w:rFonts w:hint="eastAsia" w:ascii="宋体" w:hAnsi="宋体" w:cs="宋体"/>
          <w:color w:val="auto"/>
          <w:szCs w:val="21"/>
          <w:highlight w:val="none"/>
        </w:rPr>
        <w:t>3.供应商须知</w:t>
      </w:r>
    </w:p>
    <w:p>
      <w:pPr>
        <w:adjustRightInd w:val="0"/>
        <w:snapToGrid w:val="0"/>
        <w:spacing w:line="360" w:lineRule="auto"/>
        <w:ind w:firstLine="420"/>
        <w:jc w:val="left"/>
        <w:rPr>
          <w:rFonts w:ascii="宋体" w:hAnsi="宋体" w:cs="宋体"/>
          <w:color w:val="auto"/>
          <w:szCs w:val="21"/>
          <w:highlight w:val="none"/>
        </w:rPr>
      </w:pPr>
      <w:r>
        <w:rPr>
          <w:rFonts w:hint="eastAsia" w:ascii="宋体" w:hAnsi="宋体" w:cs="宋体"/>
          <w:color w:val="auto"/>
          <w:szCs w:val="21"/>
          <w:highlight w:val="none"/>
        </w:rPr>
        <w:t>4.评标办法及标准</w:t>
      </w:r>
    </w:p>
    <w:p>
      <w:pPr>
        <w:adjustRightInd w:val="0"/>
        <w:snapToGrid w:val="0"/>
        <w:spacing w:line="360" w:lineRule="auto"/>
        <w:ind w:firstLine="420"/>
        <w:jc w:val="left"/>
        <w:rPr>
          <w:rFonts w:ascii="宋体" w:hAnsi="宋体" w:cs="宋体"/>
          <w:color w:val="auto"/>
          <w:szCs w:val="21"/>
          <w:highlight w:val="none"/>
        </w:rPr>
      </w:pPr>
      <w:r>
        <w:rPr>
          <w:rFonts w:hint="eastAsia" w:ascii="宋体" w:hAnsi="宋体" w:cs="宋体"/>
          <w:color w:val="auto"/>
          <w:szCs w:val="21"/>
          <w:highlight w:val="none"/>
        </w:rPr>
        <w:t>5.合同主要条款</w:t>
      </w:r>
    </w:p>
    <w:p>
      <w:pPr>
        <w:adjustRightInd w:val="0"/>
        <w:snapToGrid w:val="0"/>
        <w:spacing w:line="360" w:lineRule="auto"/>
        <w:ind w:firstLine="420"/>
        <w:jc w:val="left"/>
        <w:rPr>
          <w:rFonts w:ascii="宋体" w:hAnsi="宋体" w:cs="宋体"/>
          <w:color w:val="auto"/>
          <w:szCs w:val="21"/>
          <w:highlight w:val="none"/>
        </w:rPr>
      </w:pPr>
      <w:r>
        <w:rPr>
          <w:rFonts w:hint="eastAsia" w:ascii="宋体" w:hAnsi="宋体" w:cs="宋体"/>
          <w:color w:val="auto"/>
          <w:szCs w:val="21"/>
          <w:highlight w:val="none"/>
        </w:rPr>
        <w:t>6.投标文件格式</w:t>
      </w:r>
    </w:p>
    <w:p>
      <w:pPr>
        <w:adjustRightInd w:val="0"/>
        <w:snapToGrid w:val="0"/>
        <w:spacing w:line="360" w:lineRule="auto"/>
        <w:ind w:firstLine="420"/>
        <w:jc w:val="left"/>
        <w:rPr>
          <w:rFonts w:ascii="宋体" w:hAnsi="宋体" w:cs="宋体"/>
          <w:color w:val="auto"/>
          <w:szCs w:val="21"/>
          <w:highlight w:val="none"/>
        </w:rPr>
      </w:pPr>
      <w:r>
        <w:rPr>
          <w:rFonts w:hint="eastAsia" w:ascii="宋体" w:hAnsi="宋体" w:cs="宋体"/>
          <w:color w:val="auto"/>
          <w:szCs w:val="21"/>
          <w:highlight w:val="none"/>
        </w:rPr>
        <w:t>7.本项目招标文件的澄清、答复、修改、补充的内容</w:t>
      </w:r>
    </w:p>
    <w:p>
      <w:pPr>
        <w:adjustRightInd w:val="0"/>
        <w:snapToGrid w:val="0"/>
        <w:spacing w:line="360" w:lineRule="auto"/>
        <w:ind w:firstLine="422"/>
        <w:jc w:val="left"/>
        <w:outlineLvl w:val="2"/>
        <w:rPr>
          <w:rFonts w:ascii="宋体" w:hAnsi="宋体" w:cs="宋体"/>
          <w:b/>
          <w:color w:val="auto"/>
          <w:szCs w:val="21"/>
          <w:highlight w:val="none"/>
        </w:rPr>
      </w:pPr>
      <w:r>
        <w:rPr>
          <w:rFonts w:hint="eastAsia" w:ascii="宋体" w:hAnsi="宋体" w:cs="宋体"/>
          <w:b/>
          <w:color w:val="auto"/>
          <w:szCs w:val="21"/>
          <w:highlight w:val="none"/>
        </w:rPr>
        <w:t>（二）供应商的风险</w:t>
      </w:r>
    </w:p>
    <w:p>
      <w:pPr>
        <w:adjustRightInd w:val="0"/>
        <w:snapToGrid w:val="0"/>
        <w:spacing w:line="360" w:lineRule="auto"/>
        <w:ind w:firstLine="420"/>
        <w:jc w:val="left"/>
        <w:rPr>
          <w:rFonts w:ascii="宋体" w:hAnsi="宋体" w:cs="宋体"/>
          <w:color w:val="auto"/>
          <w:szCs w:val="21"/>
          <w:highlight w:val="none"/>
        </w:rPr>
      </w:pPr>
      <w:r>
        <w:rPr>
          <w:rFonts w:hint="eastAsia" w:ascii="宋体" w:hAnsi="宋体" w:cs="宋体"/>
          <w:color w:val="auto"/>
          <w:szCs w:val="21"/>
          <w:highlight w:val="none"/>
        </w:rPr>
        <w:t>供应商没有按照招标文件要求提供全部资料，或者供应商没有对招标文件在各方面作出实质性响应是供应商的风险，并可能导致其投标作无效处理。</w:t>
      </w:r>
    </w:p>
    <w:p>
      <w:pPr>
        <w:adjustRightInd w:val="0"/>
        <w:snapToGrid w:val="0"/>
        <w:spacing w:line="360" w:lineRule="auto"/>
        <w:ind w:firstLine="422"/>
        <w:jc w:val="left"/>
        <w:outlineLvl w:val="2"/>
        <w:rPr>
          <w:rFonts w:ascii="宋体" w:hAnsi="宋体" w:cs="宋体"/>
          <w:b/>
          <w:color w:val="auto"/>
          <w:szCs w:val="21"/>
          <w:highlight w:val="none"/>
        </w:rPr>
      </w:pPr>
      <w:r>
        <w:rPr>
          <w:rFonts w:hint="eastAsia" w:ascii="宋体" w:hAnsi="宋体" w:cs="宋体"/>
          <w:b/>
          <w:color w:val="auto"/>
          <w:szCs w:val="21"/>
          <w:highlight w:val="none"/>
        </w:rPr>
        <w:t>（三）招标文件的澄清与修改</w:t>
      </w:r>
    </w:p>
    <w:p>
      <w:pPr>
        <w:adjustRightInd w:val="0"/>
        <w:snapToGrid w:val="0"/>
        <w:spacing w:line="360" w:lineRule="auto"/>
        <w:ind w:firstLine="420"/>
        <w:jc w:val="left"/>
        <w:rPr>
          <w:rFonts w:ascii="宋体" w:hAnsi="宋体" w:cs="宋体"/>
          <w:color w:val="auto"/>
          <w:szCs w:val="21"/>
          <w:highlight w:val="none"/>
        </w:rPr>
      </w:pPr>
      <w:r>
        <w:rPr>
          <w:rFonts w:hint="eastAsia" w:ascii="宋体" w:hAnsi="宋体" w:cs="宋体"/>
          <w:color w:val="auto"/>
          <w:szCs w:val="21"/>
          <w:highlight w:val="none"/>
        </w:rPr>
        <w:t>1.</w:t>
      </w:r>
      <w:r>
        <w:rPr>
          <w:rFonts w:hint="eastAsia" w:ascii="宋体" w:hAnsi="宋体" w:cs="宋体"/>
          <w:bCs/>
          <w:color w:val="auto"/>
          <w:szCs w:val="21"/>
          <w:highlight w:val="none"/>
        </w:rPr>
        <w:t>供应商应认真阅读本招标文件，发现其中有误或有不合理要求的，供应商必须在递交投标文件截止时间七日前，以书面形式要求</w:t>
      </w:r>
      <w:r>
        <w:rPr>
          <w:rFonts w:hint="eastAsia" w:ascii="宋体" w:hAnsi="宋体" w:cs="宋体"/>
          <w:color w:val="auto"/>
          <w:szCs w:val="21"/>
          <w:highlight w:val="none"/>
        </w:rPr>
        <w:t>采购人、采购代理机构</w:t>
      </w:r>
      <w:r>
        <w:rPr>
          <w:rFonts w:hint="eastAsia" w:ascii="宋体" w:hAnsi="宋体" w:cs="宋体"/>
          <w:bCs/>
          <w:color w:val="auto"/>
          <w:szCs w:val="21"/>
          <w:highlight w:val="none"/>
        </w:rPr>
        <w:t>澄清</w:t>
      </w:r>
      <w:r>
        <w:rPr>
          <w:rFonts w:hint="eastAsia" w:ascii="宋体" w:hAnsi="宋体" w:cs="宋体"/>
          <w:color w:val="auto"/>
          <w:szCs w:val="21"/>
          <w:highlight w:val="none"/>
        </w:rPr>
        <w:t>。采购代理机构对已发出的招标文件进行必要澄清、答复、修改或补充的，应当在招标文件要求提交投标文件截止时间三日（实质性内容有大的修改，需十五日）前，在财政部门指定的政府采购信息发布媒体上发布更正公告，公布信息视同送达所有潜在供应商，并以书面形式通知所有招标文件收受人。</w:t>
      </w:r>
    </w:p>
    <w:p>
      <w:pPr>
        <w:adjustRightInd w:val="0"/>
        <w:snapToGrid w:val="0"/>
        <w:spacing w:line="360" w:lineRule="auto"/>
        <w:ind w:firstLine="420"/>
        <w:jc w:val="left"/>
        <w:rPr>
          <w:rFonts w:ascii="宋体" w:hAnsi="宋体" w:cs="宋体"/>
          <w:color w:val="auto"/>
          <w:szCs w:val="21"/>
          <w:highlight w:val="none"/>
        </w:rPr>
      </w:pPr>
      <w:r>
        <w:rPr>
          <w:rFonts w:hint="eastAsia" w:ascii="宋体" w:hAnsi="宋体" w:cs="宋体"/>
          <w:color w:val="auto"/>
          <w:szCs w:val="21"/>
          <w:highlight w:val="none"/>
        </w:rPr>
        <w:t>2.采购代理机构必须以书面形式答复供应商要求澄清的问题，并将不包含问题来源的答复书面通知所有购买招标文件的供应商；除书面答复以外的其他澄清方式及澄清内容均无效。</w:t>
      </w:r>
    </w:p>
    <w:p>
      <w:pPr>
        <w:adjustRightInd w:val="0"/>
        <w:snapToGrid w:val="0"/>
        <w:spacing w:line="360" w:lineRule="auto"/>
        <w:ind w:firstLine="420"/>
        <w:jc w:val="left"/>
        <w:rPr>
          <w:rFonts w:ascii="宋体" w:hAnsi="宋体" w:cs="宋体"/>
          <w:color w:val="auto"/>
          <w:szCs w:val="21"/>
          <w:highlight w:val="none"/>
        </w:rPr>
      </w:pPr>
      <w:r>
        <w:rPr>
          <w:rFonts w:hint="eastAsia" w:ascii="宋体" w:hAnsi="宋体" w:cs="宋体"/>
          <w:color w:val="auto"/>
          <w:szCs w:val="21"/>
          <w:highlight w:val="none"/>
        </w:rPr>
        <w:t>3.招标文件澄清、答复、修改、补充的内容为招标文件的组成部分。当招标文件与招标文件的答复、澄清、修改、补充通知就同一内容的表述不一致时，以最后发出的书面文件为准。</w:t>
      </w:r>
    </w:p>
    <w:p>
      <w:pPr>
        <w:adjustRightInd w:val="0"/>
        <w:snapToGrid w:val="0"/>
        <w:spacing w:line="360" w:lineRule="auto"/>
        <w:ind w:firstLine="420"/>
        <w:jc w:val="left"/>
        <w:rPr>
          <w:rFonts w:ascii="宋体" w:hAnsi="宋体" w:cs="宋体"/>
          <w:color w:val="auto"/>
          <w:szCs w:val="21"/>
          <w:highlight w:val="none"/>
        </w:rPr>
      </w:pPr>
      <w:r>
        <w:rPr>
          <w:rFonts w:hint="eastAsia" w:ascii="宋体" w:hAnsi="宋体" w:cs="宋体"/>
          <w:color w:val="auto"/>
          <w:highlight w:val="none"/>
        </w:rPr>
        <w:t>4.招标文件的澄清、答复、修改或补充都应该通过本代理机构以法定形式发布，采购人非通过本机构，不得擅自澄清、答复、修改或补充招标文件。</w:t>
      </w:r>
    </w:p>
    <w:p>
      <w:pPr>
        <w:pStyle w:val="52"/>
        <w:adjustRightInd w:val="0"/>
        <w:spacing w:before="156" w:line="360" w:lineRule="auto"/>
        <w:ind w:firstLine="0"/>
        <w:rPr>
          <w:rFonts w:cs="宋体"/>
          <w:color w:val="auto"/>
          <w:highlight w:val="none"/>
        </w:rPr>
      </w:pPr>
      <w:r>
        <w:rPr>
          <w:rFonts w:hint="eastAsia" w:cs="宋体"/>
          <w:color w:val="auto"/>
          <w:highlight w:val="none"/>
        </w:rPr>
        <w:t>三、投标文件的编制</w:t>
      </w:r>
    </w:p>
    <w:p>
      <w:pPr>
        <w:adjustRightInd w:val="0"/>
        <w:snapToGrid w:val="0"/>
        <w:spacing w:line="360" w:lineRule="auto"/>
        <w:ind w:firstLine="422"/>
        <w:jc w:val="left"/>
        <w:outlineLvl w:val="2"/>
        <w:rPr>
          <w:rFonts w:hint="eastAsia" w:ascii="宋体" w:hAnsi="宋体" w:cs="宋体"/>
          <w:b/>
          <w:color w:val="auto"/>
          <w:szCs w:val="21"/>
          <w:highlight w:val="none"/>
          <w:lang w:val="en-US" w:eastAsia="zh-CN"/>
        </w:rPr>
      </w:pPr>
      <w:r>
        <w:rPr>
          <w:rFonts w:hint="eastAsia" w:ascii="宋体" w:hAnsi="宋体" w:cs="宋体"/>
          <w:b/>
          <w:color w:val="auto"/>
          <w:szCs w:val="21"/>
          <w:highlight w:val="none"/>
        </w:rPr>
        <w:t>（一）</w:t>
      </w:r>
      <w:r>
        <w:rPr>
          <w:rFonts w:hint="eastAsia" w:ascii="宋体" w:hAnsi="宋体" w:cs="宋体"/>
          <w:b/>
          <w:color w:val="auto"/>
          <w:szCs w:val="21"/>
          <w:highlight w:val="none"/>
          <w:lang w:val="en-US" w:eastAsia="zh-CN"/>
        </w:rPr>
        <w:t>投标文件的形式和效力</w:t>
      </w:r>
    </w:p>
    <w:p>
      <w:pPr>
        <w:adjustRightInd w:val="0"/>
        <w:snapToGrid w:val="0"/>
        <w:spacing w:line="360" w:lineRule="auto"/>
        <w:ind w:firstLine="42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1、投标文件分为电子投标文件以及备份投标文件，备份投标文件为电子备份投标文件。 </w:t>
      </w:r>
    </w:p>
    <w:p>
      <w:pPr>
        <w:adjustRightInd w:val="0"/>
        <w:snapToGrid w:val="0"/>
        <w:spacing w:line="360" w:lineRule="auto"/>
        <w:ind w:firstLine="42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2、电子投标文件按“政府采购项目电子交易管理操作指南-供应商”及本招标文件要求制作加密并递交。 </w:t>
      </w:r>
    </w:p>
    <w:p>
      <w:pPr>
        <w:adjustRightInd w:val="0"/>
        <w:snapToGrid w:val="0"/>
        <w:spacing w:line="360" w:lineRule="auto"/>
        <w:ind w:firstLine="42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3、电子备份投标文件须按“政府采购项目电子交易管理操作指南-供应商”制作（电子备份投标文件后缀格式为“.bfbs”）。 </w:t>
      </w:r>
    </w:p>
    <w:p>
      <w:pPr>
        <w:adjustRightInd w:val="0"/>
        <w:snapToGrid w:val="0"/>
        <w:spacing w:line="360" w:lineRule="auto"/>
        <w:ind w:firstLine="420"/>
        <w:jc w:val="left"/>
        <w:rPr>
          <w:rFonts w:hint="default" w:ascii="宋体" w:hAnsi="宋体" w:eastAsia="宋体" w:cs="宋体"/>
          <w:color w:val="auto"/>
          <w:szCs w:val="21"/>
          <w:highlight w:val="none"/>
          <w:lang w:val="en-US" w:eastAsia="zh-CN"/>
        </w:rPr>
      </w:pPr>
      <w:r>
        <w:rPr>
          <w:rFonts w:hint="eastAsia" w:ascii="宋体" w:hAnsi="宋体" w:eastAsia="宋体" w:cs="宋体"/>
          <w:color w:val="auto"/>
          <w:szCs w:val="21"/>
          <w:highlight w:val="none"/>
        </w:rPr>
        <w:t>4、投标文件的效力：投标文件的启用，按先后顺位分别为电子投标文件、电子备份投标文件。在下一顺位的投标文件启用时，前一顺位的投标文件自动失效。电子投标文件未能按时解密，投标人提供了电子备份投标文件以电子备份投标文件作为评标依据。电子投标文件已按时解密的，电子备份投标文件自动失效。</w:t>
      </w:r>
    </w:p>
    <w:p>
      <w:pPr>
        <w:adjustRightInd w:val="0"/>
        <w:snapToGrid w:val="0"/>
        <w:spacing w:line="360" w:lineRule="auto"/>
        <w:ind w:firstLine="422"/>
        <w:jc w:val="left"/>
        <w:outlineLvl w:val="2"/>
        <w:rPr>
          <w:rFonts w:ascii="宋体" w:hAnsi="宋体" w:cs="宋体"/>
          <w:b/>
          <w:color w:val="auto"/>
          <w:szCs w:val="21"/>
          <w:highlight w:val="none"/>
        </w:rPr>
      </w:pPr>
      <w:r>
        <w:rPr>
          <w:rFonts w:hint="eastAsia" w:ascii="宋体" w:hAnsi="宋体" w:cs="宋体"/>
          <w:b/>
          <w:color w:val="auto"/>
          <w:szCs w:val="21"/>
          <w:highlight w:val="none"/>
          <w:lang w:eastAsia="zh-CN"/>
        </w:rPr>
        <w:t>（</w:t>
      </w:r>
      <w:r>
        <w:rPr>
          <w:rFonts w:hint="eastAsia" w:ascii="宋体" w:hAnsi="宋体" w:cs="宋体"/>
          <w:b/>
          <w:color w:val="auto"/>
          <w:szCs w:val="21"/>
          <w:highlight w:val="none"/>
          <w:lang w:val="en-US" w:eastAsia="zh-CN"/>
        </w:rPr>
        <w:t>二</w:t>
      </w:r>
      <w:r>
        <w:rPr>
          <w:rFonts w:hint="eastAsia" w:ascii="宋体" w:hAnsi="宋体" w:cs="宋体"/>
          <w:b/>
          <w:color w:val="auto"/>
          <w:szCs w:val="21"/>
          <w:highlight w:val="none"/>
          <w:lang w:eastAsia="zh-CN"/>
        </w:rPr>
        <w:t>）</w:t>
      </w:r>
      <w:r>
        <w:rPr>
          <w:rFonts w:hint="eastAsia" w:ascii="宋体" w:hAnsi="宋体" w:cs="宋体"/>
          <w:b/>
          <w:color w:val="auto"/>
          <w:szCs w:val="21"/>
          <w:highlight w:val="none"/>
        </w:rPr>
        <w:t>投标文件的组成</w:t>
      </w:r>
    </w:p>
    <w:p>
      <w:pPr>
        <w:snapToGrid w:val="0"/>
        <w:spacing w:line="360" w:lineRule="auto"/>
        <w:ind w:firstLine="521" w:firstLineChars="247"/>
        <w:jc w:val="left"/>
        <w:rPr>
          <w:rFonts w:hint="eastAsia" w:ascii="宋体" w:hAnsi="宋体" w:eastAsia="宋体" w:cs="宋体"/>
          <w:b/>
          <w:color w:val="auto"/>
          <w:szCs w:val="21"/>
          <w:highlight w:val="none"/>
        </w:rPr>
      </w:pPr>
      <w:r>
        <w:rPr>
          <w:rFonts w:hint="eastAsia" w:ascii="宋体" w:hAnsi="宋体" w:cs="宋体"/>
          <w:b/>
          <w:color w:val="auto"/>
          <w:szCs w:val="21"/>
          <w:highlight w:val="none"/>
        </w:rPr>
        <w:t>投标文件由资格文件、商务技术文件和报价文件组成</w:t>
      </w:r>
      <w:r>
        <w:rPr>
          <w:rFonts w:ascii="仿宋" w:hAnsi="仿宋" w:eastAsia="仿宋" w:cs="仿宋"/>
          <w:b/>
          <w:bCs/>
          <w:color w:val="auto"/>
          <w:kern w:val="0"/>
          <w:sz w:val="22"/>
          <w:szCs w:val="22"/>
          <w:highlight w:val="none"/>
          <w:lang w:bidi="ar"/>
        </w:rPr>
        <w:t>，</w:t>
      </w:r>
      <w:r>
        <w:rPr>
          <w:rFonts w:hint="eastAsia" w:ascii="宋体" w:hAnsi="宋体" w:eastAsia="宋体" w:cs="宋体"/>
          <w:b/>
          <w:color w:val="auto"/>
          <w:szCs w:val="21"/>
          <w:highlight w:val="none"/>
        </w:rPr>
        <w:t>投标人应分别编制，电子投标文件中所须加盖公章部分均采用 CA 签章。</w:t>
      </w:r>
    </w:p>
    <w:p>
      <w:pPr>
        <w:adjustRightInd w:val="0"/>
        <w:snapToGrid w:val="0"/>
        <w:spacing w:line="360" w:lineRule="auto"/>
        <w:jc w:val="left"/>
        <w:outlineLvl w:val="2"/>
        <w:rPr>
          <w:rFonts w:ascii="宋体" w:hAnsi="宋体" w:cs="宋体"/>
          <w:b/>
          <w:color w:val="auto"/>
          <w:szCs w:val="21"/>
          <w:highlight w:val="none"/>
        </w:rPr>
      </w:pPr>
      <w:r>
        <w:rPr>
          <w:rFonts w:hint="eastAsia" w:ascii="宋体" w:hAnsi="宋体" w:cs="宋体"/>
          <w:b/>
          <w:color w:val="auto"/>
          <w:szCs w:val="21"/>
          <w:highlight w:val="none"/>
        </w:rPr>
        <w:t>1、资格文件包括以下内容：</w:t>
      </w:r>
    </w:p>
    <w:p>
      <w:pPr>
        <w:adjustRightInd w:val="0"/>
        <w:snapToGrid w:val="0"/>
        <w:spacing w:line="360" w:lineRule="auto"/>
        <w:ind w:firstLine="422"/>
        <w:jc w:val="left"/>
        <w:outlineLvl w:val="2"/>
        <w:rPr>
          <w:rFonts w:ascii="宋体" w:hAnsi="宋体" w:cs="宋体"/>
          <w:b/>
          <w:color w:val="auto"/>
          <w:szCs w:val="21"/>
          <w:highlight w:val="none"/>
        </w:rPr>
      </w:pPr>
      <w:r>
        <w:rPr>
          <w:rFonts w:hint="eastAsia" w:ascii="宋体" w:hAnsi="宋体" w:cs="宋体"/>
          <w:b/>
          <w:color w:val="auto"/>
          <w:szCs w:val="21"/>
          <w:highlight w:val="none"/>
        </w:rPr>
        <w:t>（1）投标声明函；</w:t>
      </w:r>
    </w:p>
    <w:p>
      <w:pPr>
        <w:adjustRightInd w:val="0"/>
        <w:snapToGrid w:val="0"/>
        <w:spacing w:line="360" w:lineRule="auto"/>
        <w:ind w:firstLine="422"/>
        <w:jc w:val="left"/>
        <w:outlineLvl w:val="2"/>
        <w:rPr>
          <w:rFonts w:ascii="宋体" w:hAnsi="宋体" w:cs="宋体"/>
          <w:b/>
          <w:color w:val="auto"/>
          <w:szCs w:val="21"/>
          <w:highlight w:val="none"/>
        </w:rPr>
      </w:pPr>
      <w:r>
        <w:rPr>
          <w:rFonts w:hint="eastAsia" w:ascii="宋体" w:hAnsi="宋体" w:cs="宋体"/>
          <w:b/>
          <w:color w:val="auto"/>
          <w:szCs w:val="21"/>
          <w:highlight w:val="none"/>
        </w:rPr>
        <w:t>（2）有效的企业法人营业执照（或事业单位法人证书）、其他组织的营业执照或者民办非企业单位登记证书或有效的执业许可证等复印件并加盖公章；</w:t>
      </w:r>
    </w:p>
    <w:p>
      <w:pPr>
        <w:adjustRightInd w:val="0"/>
        <w:snapToGrid w:val="0"/>
        <w:spacing w:line="360" w:lineRule="auto"/>
        <w:ind w:firstLine="422"/>
        <w:jc w:val="left"/>
        <w:outlineLvl w:val="2"/>
        <w:rPr>
          <w:rFonts w:ascii="宋体" w:hAnsi="宋体" w:cs="宋体"/>
          <w:b/>
          <w:color w:val="auto"/>
          <w:szCs w:val="21"/>
          <w:highlight w:val="none"/>
        </w:rPr>
      </w:pPr>
      <w:r>
        <w:rPr>
          <w:rFonts w:hint="eastAsia" w:ascii="宋体" w:hAnsi="宋体" w:cs="宋体"/>
          <w:b/>
          <w:color w:val="auto"/>
          <w:szCs w:val="21"/>
          <w:highlight w:val="none"/>
        </w:rPr>
        <w:t>（3）2020年财务状况报告（报表）复印件并加盖公章，其他组织或供应商新成立不足一年，提供银行出具的资信证明材料复印件并加盖公章；</w:t>
      </w:r>
    </w:p>
    <w:p>
      <w:pPr>
        <w:adjustRightInd w:val="0"/>
        <w:snapToGrid w:val="0"/>
        <w:spacing w:line="360" w:lineRule="auto"/>
        <w:ind w:firstLine="422"/>
        <w:jc w:val="left"/>
        <w:outlineLvl w:val="2"/>
        <w:rPr>
          <w:rFonts w:ascii="宋体" w:hAnsi="宋体" w:cs="宋体"/>
          <w:b/>
          <w:color w:val="auto"/>
          <w:szCs w:val="21"/>
          <w:highlight w:val="none"/>
        </w:rPr>
      </w:pPr>
      <w:r>
        <w:rPr>
          <w:rFonts w:hint="eastAsia" w:ascii="宋体" w:hAnsi="宋体" w:cs="宋体"/>
          <w:b/>
          <w:color w:val="auto"/>
          <w:szCs w:val="21"/>
          <w:highlight w:val="none"/>
        </w:rPr>
        <w:t>（4）近投标截止日前六个月内任一月份开具的缴纳税收的凭据证明材料复印件并加盖公章；如依法免税的，应提供相应文件证明其依法免税；</w:t>
      </w:r>
    </w:p>
    <w:p>
      <w:pPr>
        <w:adjustRightInd w:val="0"/>
        <w:snapToGrid w:val="0"/>
        <w:spacing w:line="360" w:lineRule="auto"/>
        <w:ind w:firstLine="422"/>
        <w:jc w:val="left"/>
        <w:outlineLvl w:val="2"/>
        <w:rPr>
          <w:rFonts w:ascii="宋体" w:hAnsi="宋体" w:cs="宋体"/>
          <w:b/>
          <w:color w:val="auto"/>
          <w:szCs w:val="21"/>
          <w:highlight w:val="none"/>
        </w:rPr>
      </w:pPr>
      <w:r>
        <w:rPr>
          <w:rFonts w:hint="eastAsia" w:ascii="宋体" w:hAnsi="宋体" w:cs="宋体"/>
          <w:b/>
          <w:color w:val="auto"/>
          <w:szCs w:val="21"/>
          <w:highlight w:val="none"/>
        </w:rPr>
        <w:t>（5）近投标截止日前六个月内任一月份开具的缴纳社会保险的凭据证明材料复印件并加盖公章；如依法不需要缴纳社会保障资金的，应提供相应文件证明其依法不需要缴纳社会保障资金；</w:t>
      </w:r>
    </w:p>
    <w:p>
      <w:pPr>
        <w:adjustRightInd w:val="0"/>
        <w:snapToGrid w:val="0"/>
        <w:spacing w:line="360" w:lineRule="auto"/>
        <w:ind w:firstLine="422"/>
        <w:jc w:val="left"/>
        <w:outlineLvl w:val="2"/>
        <w:rPr>
          <w:rFonts w:ascii="宋体" w:hAnsi="宋体" w:cs="宋体"/>
          <w:b/>
          <w:color w:val="auto"/>
          <w:szCs w:val="21"/>
          <w:highlight w:val="none"/>
        </w:rPr>
      </w:pPr>
      <w:r>
        <w:rPr>
          <w:rFonts w:hint="eastAsia" w:ascii="宋体" w:hAnsi="宋体" w:cs="宋体"/>
          <w:b/>
          <w:color w:val="auto"/>
          <w:szCs w:val="21"/>
          <w:highlight w:val="none"/>
        </w:rPr>
        <w:t>（6）供应商认为需要提供的其他内容。</w:t>
      </w:r>
    </w:p>
    <w:p>
      <w:pPr>
        <w:adjustRightInd w:val="0"/>
        <w:snapToGrid w:val="0"/>
        <w:spacing w:line="360" w:lineRule="auto"/>
        <w:jc w:val="left"/>
        <w:outlineLvl w:val="2"/>
        <w:rPr>
          <w:rFonts w:ascii="宋体" w:hAnsi="宋体" w:cs="宋体"/>
          <w:b/>
          <w:color w:val="auto"/>
          <w:szCs w:val="21"/>
          <w:highlight w:val="none"/>
        </w:rPr>
      </w:pPr>
      <w:r>
        <w:rPr>
          <w:rFonts w:hint="eastAsia" w:ascii="宋体" w:hAnsi="宋体" w:cs="宋体"/>
          <w:b/>
          <w:color w:val="auto"/>
          <w:szCs w:val="21"/>
          <w:highlight w:val="none"/>
        </w:rPr>
        <w:t>2、商务技术文件包括以下内容：</w:t>
      </w:r>
    </w:p>
    <w:p>
      <w:pPr>
        <w:adjustRightInd w:val="0"/>
        <w:snapToGrid w:val="0"/>
        <w:spacing w:line="360" w:lineRule="auto"/>
        <w:ind w:firstLine="422"/>
        <w:jc w:val="left"/>
        <w:outlineLvl w:val="2"/>
        <w:rPr>
          <w:rFonts w:hint="eastAsia" w:ascii="宋体" w:hAnsi="宋体" w:cs="宋体"/>
          <w:b/>
          <w:color w:val="auto"/>
          <w:szCs w:val="21"/>
          <w:highlight w:val="none"/>
          <w:lang w:eastAsia="zh-CN"/>
        </w:rPr>
      </w:pPr>
      <w:r>
        <w:rPr>
          <w:rFonts w:hint="eastAsia" w:ascii="宋体" w:hAnsi="宋体" w:cs="宋体"/>
          <w:b/>
          <w:color w:val="auto"/>
          <w:szCs w:val="21"/>
          <w:highlight w:val="none"/>
        </w:rPr>
        <w:t>（1）自评分表</w:t>
      </w:r>
      <w:r>
        <w:rPr>
          <w:rFonts w:hint="eastAsia" w:ascii="宋体" w:hAnsi="宋体" w:cs="宋体"/>
          <w:b/>
          <w:color w:val="auto"/>
          <w:szCs w:val="21"/>
          <w:highlight w:val="none"/>
          <w:lang w:eastAsia="zh-CN"/>
        </w:rPr>
        <w:t>；</w:t>
      </w:r>
    </w:p>
    <w:p>
      <w:pPr>
        <w:adjustRightInd w:val="0"/>
        <w:snapToGrid w:val="0"/>
        <w:spacing w:line="360" w:lineRule="auto"/>
        <w:ind w:firstLine="422"/>
        <w:jc w:val="left"/>
        <w:outlineLvl w:val="2"/>
        <w:rPr>
          <w:rFonts w:ascii="宋体" w:hAnsi="宋体" w:cs="宋体"/>
          <w:b/>
          <w:color w:val="auto"/>
          <w:szCs w:val="21"/>
          <w:highlight w:val="none"/>
        </w:rPr>
      </w:pPr>
      <w:r>
        <w:rPr>
          <w:rFonts w:hint="eastAsia" w:ascii="宋体" w:hAnsi="宋体" w:cs="宋体"/>
          <w:b/>
          <w:color w:val="auto"/>
          <w:szCs w:val="21"/>
          <w:highlight w:val="none"/>
          <w:lang w:eastAsia="zh-CN"/>
        </w:rPr>
        <w:t>（</w:t>
      </w:r>
      <w:r>
        <w:rPr>
          <w:rFonts w:hint="eastAsia" w:ascii="宋体" w:hAnsi="宋体" w:cs="宋体"/>
          <w:b/>
          <w:color w:val="auto"/>
          <w:szCs w:val="21"/>
          <w:highlight w:val="none"/>
          <w:lang w:val="en-US" w:eastAsia="zh-CN"/>
        </w:rPr>
        <w:t>2</w:t>
      </w:r>
      <w:r>
        <w:rPr>
          <w:rFonts w:hint="eastAsia" w:ascii="宋体" w:hAnsi="宋体" w:cs="宋体"/>
          <w:b/>
          <w:color w:val="auto"/>
          <w:szCs w:val="21"/>
          <w:highlight w:val="none"/>
          <w:lang w:eastAsia="zh-CN"/>
        </w:rPr>
        <w:t>）</w:t>
      </w:r>
      <w:r>
        <w:rPr>
          <w:rFonts w:hint="eastAsia" w:ascii="宋体" w:hAnsi="宋体" w:cs="宋体"/>
          <w:b/>
          <w:color w:val="auto"/>
          <w:szCs w:val="21"/>
          <w:highlight w:val="none"/>
        </w:rPr>
        <w:t>投标函；</w:t>
      </w:r>
    </w:p>
    <w:p>
      <w:pPr>
        <w:adjustRightInd w:val="0"/>
        <w:snapToGrid w:val="0"/>
        <w:spacing w:line="360" w:lineRule="auto"/>
        <w:ind w:firstLine="422"/>
        <w:jc w:val="left"/>
        <w:outlineLvl w:val="2"/>
        <w:rPr>
          <w:rFonts w:ascii="宋体" w:hAnsi="宋体" w:cs="宋体"/>
          <w:b/>
          <w:color w:val="auto"/>
          <w:szCs w:val="21"/>
          <w:highlight w:val="none"/>
        </w:rPr>
      </w:pPr>
      <w:r>
        <w:rPr>
          <w:rFonts w:hint="eastAsia" w:ascii="宋体" w:hAnsi="宋体" w:cs="宋体"/>
          <w:b/>
          <w:color w:val="auto"/>
          <w:szCs w:val="21"/>
          <w:highlight w:val="none"/>
        </w:rPr>
        <w:t>（</w:t>
      </w:r>
      <w:r>
        <w:rPr>
          <w:rFonts w:hint="eastAsia" w:ascii="宋体" w:hAnsi="宋体" w:cs="宋体"/>
          <w:b/>
          <w:color w:val="auto"/>
          <w:szCs w:val="21"/>
          <w:highlight w:val="none"/>
          <w:lang w:val="en-US" w:eastAsia="zh-CN"/>
        </w:rPr>
        <w:t>3</w:t>
      </w:r>
      <w:r>
        <w:rPr>
          <w:rFonts w:hint="eastAsia" w:ascii="宋体" w:hAnsi="宋体" w:cs="宋体"/>
          <w:b/>
          <w:color w:val="auto"/>
          <w:szCs w:val="21"/>
          <w:highlight w:val="none"/>
        </w:rPr>
        <w:t>）法定代表人或单位负责人身份证明书；</w:t>
      </w:r>
    </w:p>
    <w:p>
      <w:pPr>
        <w:adjustRightInd w:val="0"/>
        <w:snapToGrid w:val="0"/>
        <w:spacing w:line="360" w:lineRule="auto"/>
        <w:ind w:firstLine="422"/>
        <w:jc w:val="left"/>
        <w:outlineLvl w:val="2"/>
        <w:rPr>
          <w:rFonts w:ascii="宋体" w:hAnsi="宋体" w:cs="宋体"/>
          <w:b/>
          <w:color w:val="auto"/>
          <w:szCs w:val="21"/>
          <w:highlight w:val="none"/>
        </w:rPr>
      </w:pPr>
      <w:r>
        <w:rPr>
          <w:rFonts w:hint="eastAsia" w:ascii="宋体" w:hAnsi="宋体" w:cs="宋体"/>
          <w:b/>
          <w:color w:val="auto"/>
          <w:szCs w:val="21"/>
          <w:highlight w:val="none"/>
        </w:rPr>
        <w:t>（</w:t>
      </w:r>
      <w:r>
        <w:rPr>
          <w:rFonts w:hint="eastAsia" w:ascii="宋体" w:hAnsi="宋体" w:cs="宋体"/>
          <w:b/>
          <w:color w:val="auto"/>
          <w:szCs w:val="21"/>
          <w:highlight w:val="none"/>
          <w:lang w:val="en-US" w:eastAsia="zh-CN"/>
        </w:rPr>
        <w:t>4</w:t>
      </w:r>
      <w:r>
        <w:rPr>
          <w:rFonts w:hint="eastAsia" w:ascii="宋体" w:hAnsi="宋体" w:cs="宋体"/>
          <w:b/>
          <w:color w:val="auto"/>
          <w:szCs w:val="21"/>
          <w:highlight w:val="none"/>
        </w:rPr>
        <w:t>）授权委托书（如由委托代理人签署投标文件的须提供）；</w:t>
      </w:r>
    </w:p>
    <w:p>
      <w:pPr>
        <w:adjustRightInd w:val="0"/>
        <w:snapToGrid w:val="0"/>
        <w:spacing w:line="360" w:lineRule="auto"/>
        <w:ind w:firstLine="422"/>
        <w:jc w:val="left"/>
        <w:outlineLvl w:val="2"/>
        <w:rPr>
          <w:rFonts w:ascii="宋体" w:hAnsi="宋体" w:cs="宋体"/>
          <w:b/>
          <w:color w:val="auto"/>
          <w:szCs w:val="21"/>
          <w:highlight w:val="none"/>
        </w:rPr>
      </w:pPr>
      <w:r>
        <w:rPr>
          <w:rFonts w:hint="eastAsia" w:ascii="宋体" w:hAnsi="宋体" w:cs="宋体"/>
          <w:b/>
          <w:color w:val="auto"/>
          <w:szCs w:val="21"/>
          <w:highlight w:val="none"/>
        </w:rPr>
        <w:t>（</w:t>
      </w:r>
      <w:r>
        <w:rPr>
          <w:rFonts w:hint="eastAsia" w:ascii="宋体" w:hAnsi="宋体" w:cs="宋体"/>
          <w:b/>
          <w:color w:val="auto"/>
          <w:szCs w:val="21"/>
          <w:highlight w:val="none"/>
          <w:lang w:val="en-US" w:eastAsia="zh-CN"/>
        </w:rPr>
        <w:t>5</w:t>
      </w:r>
      <w:r>
        <w:rPr>
          <w:rFonts w:hint="eastAsia" w:ascii="宋体" w:hAnsi="宋体" w:cs="宋体"/>
          <w:b/>
          <w:color w:val="auto"/>
          <w:szCs w:val="21"/>
          <w:highlight w:val="none"/>
        </w:rPr>
        <w:t>）供应商基本情况表；</w:t>
      </w:r>
    </w:p>
    <w:p>
      <w:pPr>
        <w:keepNext w:val="0"/>
        <w:keepLines w:val="0"/>
        <w:pageBreakBefore w:val="0"/>
        <w:widowControl w:val="0"/>
        <w:kinsoku/>
        <w:wordWrap/>
        <w:overflowPunct/>
        <w:topLinePunct w:val="0"/>
        <w:autoSpaceDE/>
        <w:autoSpaceDN/>
        <w:bidi w:val="0"/>
        <w:adjustRightInd w:val="0"/>
        <w:snapToGrid w:val="0"/>
        <w:spacing w:line="360" w:lineRule="auto"/>
        <w:ind w:firstLine="422"/>
        <w:jc w:val="left"/>
        <w:textAlignment w:val="auto"/>
        <w:outlineLvl w:val="2"/>
        <w:rPr>
          <w:rFonts w:hint="eastAsia" w:ascii="宋体" w:hAnsi="宋体" w:eastAsia="宋体" w:cs="宋体"/>
          <w:b/>
          <w:color w:val="auto"/>
          <w:szCs w:val="21"/>
          <w:highlight w:val="none"/>
          <w:lang w:eastAsia="zh-CN"/>
        </w:rPr>
      </w:pPr>
      <w:r>
        <w:rPr>
          <w:rFonts w:hint="eastAsia" w:ascii="宋体" w:hAnsi="宋体" w:eastAsia="宋体" w:cs="宋体"/>
          <w:b/>
          <w:color w:val="auto"/>
          <w:szCs w:val="21"/>
          <w:highlight w:val="none"/>
          <w:lang w:eastAsia="zh-CN"/>
        </w:rPr>
        <w:t>（</w:t>
      </w:r>
      <w:r>
        <w:rPr>
          <w:rFonts w:hint="eastAsia" w:ascii="宋体" w:hAnsi="宋体" w:cs="宋体"/>
          <w:b/>
          <w:color w:val="auto"/>
          <w:szCs w:val="21"/>
          <w:highlight w:val="none"/>
          <w:lang w:val="en-US" w:eastAsia="zh-CN"/>
        </w:rPr>
        <w:t>6</w:t>
      </w:r>
      <w:r>
        <w:rPr>
          <w:rFonts w:hint="eastAsia" w:ascii="宋体" w:hAnsi="宋体" w:eastAsia="宋体" w:cs="宋体"/>
          <w:b/>
          <w:color w:val="auto"/>
          <w:szCs w:val="21"/>
          <w:highlight w:val="none"/>
          <w:lang w:eastAsia="zh-CN"/>
        </w:rPr>
        <w:t>）企业</w:t>
      </w:r>
      <w:r>
        <w:rPr>
          <w:rFonts w:hint="eastAsia" w:ascii="宋体" w:hAnsi="宋体" w:eastAsia="宋体" w:cs="宋体"/>
          <w:b/>
          <w:color w:val="auto"/>
          <w:szCs w:val="21"/>
          <w:highlight w:val="none"/>
        </w:rPr>
        <w:t>业绩一览表（</w:t>
      </w:r>
      <w:r>
        <w:rPr>
          <w:rFonts w:hint="eastAsia" w:ascii="宋体" w:hAnsi="宋体" w:eastAsia="宋体" w:cs="宋体"/>
          <w:b/>
          <w:color w:val="auto"/>
          <w:szCs w:val="21"/>
          <w:highlight w:val="none"/>
          <w:lang w:eastAsia="zh-CN"/>
        </w:rPr>
        <w:t>后附</w:t>
      </w:r>
      <w:r>
        <w:rPr>
          <w:rFonts w:hint="eastAsia" w:ascii="宋体" w:hAnsi="宋体" w:eastAsia="宋体" w:cs="宋体"/>
          <w:b/>
          <w:color w:val="auto"/>
          <w:szCs w:val="21"/>
          <w:highlight w:val="none"/>
        </w:rPr>
        <w:t>合同复印件</w:t>
      </w:r>
      <w:r>
        <w:rPr>
          <w:rFonts w:hint="eastAsia" w:ascii="宋体" w:hAnsi="宋体" w:eastAsia="宋体" w:cs="宋体"/>
          <w:b/>
          <w:color w:val="auto"/>
          <w:szCs w:val="21"/>
          <w:highlight w:val="none"/>
          <w:lang w:eastAsia="zh-CN"/>
        </w:rPr>
        <w:t>（如有）</w:t>
      </w:r>
      <w:r>
        <w:rPr>
          <w:rFonts w:hint="eastAsia" w:ascii="宋体" w:hAnsi="宋体" w:eastAsia="宋体" w:cs="宋体"/>
          <w:b/>
          <w:color w:val="auto"/>
          <w:szCs w:val="21"/>
          <w:highlight w:val="none"/>
        </w:rPr>
        <w:t>）</w:t>
      </w:r>
      <w:r>
        <w:rPr>
          <w:rFonts w:hint="eastAsia" w:ascii="宋体" w:hAnsi="宋体" w:eastAsia="宋体" w:cs="宋体"/>
          <w:b/>
          <w:color w:val="auto"/>
          <w:szCs w:val="21"/>
          <w:highlight w:val="none"/>
          <w:lang w:eastAsia="zh-CN"/>
        </w:rPr>
        <w:t>；</w:t>
      </w:r>
    </w:p>
    <w:p>
      <w:pPr>
        <w:keepNext w:val="0"/>
        <w:keepLines w:val="0"/>
        <w:pageBreakBefore w:val="0"/>
        <w:widowControl w:val="0"/>
        <w:numPr>
          <w:ilvl w:val="0"/>
          <w:numId w:val="0"/>
        </w:numPr>
        <w:tabs>
          <w:tab w:val="left" w:pos="712"/>
        </w:tabs>
        <w:kinsoku/>
        <w:wordWrap/>
        <w:overflowPunct/>
        <w:topLinePunct w:val="0"/>
        <w:autoSpaceDE/>
        <w:autoSpaceDN/>
        <w:bidi w:val="0"/>
        <w:adjustRightInd w:val="0"/>
        <w:snapToGrid w:val="0"/>
        <w:spacing w:line="360" w:lineRule="auto"/>
        <w:ind w:firstLine="422" w:firstLineChars="200"/>
        <w:jc w:val="left"/>
        <w:textAlignment w:val="auto"/>
        <w:outlineLvl w:val="2"/>
        <w:rPr>
          <w:rFonts w:hint="eastAsia" w:ascii="宋体" w:hAnsi="宋体" w:eastAsia="宋体" w:cs="宋体"/>
          <w:b/>
          <w:color w:val="auto"/>
          <w:szCs w:val="21"/>
          <w:highlight w:val="none"/>
        </w:rPr>
      </w:pPr>
      <w:r>
        <w:rPr>
          <w:rFonts w:hint="eastAsia" w:ascii="宋体" w:hAnsi="宋体" w:eastAsia="宋体" w:cs="宋体"/>
          <w:b/>
          <w:color w:val="auto"/>
          <w:szCs w:val="21"/>
          <w:highlight w:val="none"/>
          <w:lang w:eastAsia="zh-CN"/>
        </w:rPr>
        <w:t>（</w:t>
      </w:r>
      <w:r>
        <w:rPr>
          <w:rFonts w:hint="eastAsia" w:ascii="宋体" w:hAnsi="宋体" w:cs="宋体"/>
          <w:b/>
          <w:color w:val="auto"/>
          <w:szCs w:val="21"/>
          <w:highlight w:val="none"/>
          <w:lang w:val="en-US" w:eastAsia="zh-CN"/>
        </w:rPr>
        <w:t>7</w:t>
      </w:r>
      <w:r>
        <w:rPr>
          <w:rFonts w:hint="eastAsia" w:ascii="宋体" w:hAnsi="宋体" w:eastAsia="宋体" w:cs="宋体"/>
          <w:b/>
          <w:color w:val="auto"/>
          <w:szCs w:val="21"/>
          <w:highlight w:val="none"/>
          <w:lang w:eastAsia="zh-CN"/>
        </w:rPr>
        <w:t>）</w:t>
      </w:r>
      <w:r>
        <w:rPr>
          <w:rFonts w:hint="eastAsia" w:ascii="宋体" w:hAnsi="宋体" w:eastAsia="宋体" w:cs="宋体"/>
          <w:b/>
          <w:color w:val="auto"/>
          <w:szCs w:val="21"/>
          <w:highlight w:val="none"/>
        </w:rPr>
        <w:t>项目</w:t>
      </w:r>
      <w:r>
        <w:rPr>
          <w:rFonts w:hint="eastAsia" w:ascii="宋体" w:hAnsi="宋体" w:eastAsia="宋体" w:cs="宋体"/>
          <w:b/>
          <w:color w:val="auto"/>
          <w:szCs w:val="21"/>
          <w:highlight w:val="none"/>
          <w:lang w:eastAsia="zh-CN"/>
        </w:rPr>
        <w:t>实施人员一览表</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22" w:firstLineChars="200"/>
        <w:jc w:val="left"/>
        <w:textAlignment w:val="auto"/>
        <w:outlineLvl w:val="2"/>
        <w:rPr>
          <w:rFonts w:hint="eastAsia" w:ascii="宋体" w:hAnsi="宋体" w:eastAsia="宋体" w:cs="宋体"/>
          <w:b/>
          <w:color w:val="auto"/>
          <w:szCs w:val="21"/>
          <w:highlight w:val="none"/>
        </w:rPr>
      </w:pPr>
      <w:r>
        <w:rPr>
          <w:rFonts w:hint="eastAsia" w:ascii="宋体" w:hAnsi="宋体" w:eastAsia="宋体" w:cs="宋体"/>
          <w:b/>
          <w:color w:val="auto"/>
          <w:szCs w:val="21"/>
          <w:highlight w:val="none"/>
          <w:lang w:eastAsia="zh-CN"/>
        </w:rPr>
        <w:t>（</w:t>
      </w:r>
      <w:r>
        <w:rPr>
          <w:rFonts w:hint="eastAsia" w:ascii="宋体" w:hAnsi="宋体" w:cs="宋体"/>
          <w:b/>
          <w:color w:val="auto"/>
          <w:szCs w:val="21"/>
          <w:highlight w:val="none"/>
          <w:lang w:val="en-US" w:eastAsia="zh-CN"/>
        </w:rPr>
        <w:t>8</w:t>
      </w:r>
      <w:r>
        <w:rPr>
          <w:rFonts w:hint="eastAsia" w:ascii="宋体" w:hAnsi="宋体" w:eastAsia="宋体" w:cs="宋体"/>
          <w:b/>
          <w:color w:val="auto"/>
          <w:szCs w:val="21"/>
          <w:highlight w:val="none"/>
          <w:lang w:eastAsia="zh-CN"/>
        </w:rPr>
        <w:t>）</w:t>
      </w:r>
      <w:r>
        <w:rPr>
          <w:rFonts w:hint="eastAsia" w:ascii="宋体" w:hAnsi="宋体" w:eastAsia="宋体" w:cs="宋体"/>
          <w:b/>
          <w:color w:val="auto"/>
          <w:szCs w:val="21"/>
          <w:highlight w:val="none"/>
        </w:rPr>
        <w:t>项目</w:t>
      </w:r>
      <w:r>
        <w:rPr>
          <w:rFonts w:hint="eastAsia" w:ascii="宋体" w:hAnsi="宋体" w:eastAsia="宋体" w:cs="宋体"/>
          <w:b/>
          <w:color w:val="auto"/>
          <w:szCs w:val="21"/>
          <w:highlight w:val="none"/>
          <w:lang w:val="en-US" w:eastAsia="zh-CN"/>
        </w:rPr>
        <w:t>主要人员</w:t>
      </w:r>
      <w:r>
        <w:rPr>
          <w:rFonts w:hint="eastAsia" w:ascii="宋体" w:hAnsi="宋体" w:eastAsia="宋体" w:cs="宋体"/>
          <w:b/>
          <w:color w:val="auto"/>
          <w:szCs w:val="21"/>
          <w:highlight w:val="none"/>
        </w:rPr>
        <w:t>简历表；</w:t>
      </w:r>
    </w:p>
    <w:p>
      <w:pPr>
        <w:adjustRightInd w:val="0"/>
        <w:snapToGrid w:val="0"/>
        <w:spacing w:line="360" w:lineRule="auto"/>
        <w:ind w:firstLine="422"/>
        <w:jc w:val="left"/>
        <w:outlineLvl w:val="2"/>
        <w:rPr>
          <w:rFonts w:ascii="宋体" w:hAnsi="宋体" w:cs="宋体"/>
          <w:b/>
          <w:color w:val="auto"/>
          <w:szCs w:val="21"/>
          <w:highlight w:val="none"/>
        </w:rPr>
      </w:pPr>
      <w:r>
        <w:rPr>
          <w:rFonts w:hint="eastAsia" w:ascii="宋体" w:hAnsi="宋体" w:cs="宋体"/>
          <w:b/>
          <w:color w:val="auto"/>
          <w:szCs w:val="21"/>
          <w:highlight w:val="none"/>
          <w:lang w:eastAsia="zh-CN"/>
        </w:rPr>
        <w:t>（</w:t>
      </w:r>
      <w:r>
        <w:rPr>
          <w:rFonts w:hint="eastAsia" w:ascii="宋体" w:hAnsi="宋体" w:cs="宋体"/>
          <w:b/>
          <w:color w:val="auto"/>
          <w:szCs w:val="21"/>
          <w:highlight w:val="none"/>
          <w:lang w:val="en-US" w:eastAsia="zh-CN"/>
        </w:rPr>
        <w:t>9</w:t>
      </w:r>
      <w:r>
        <w:rPr>
          <w:rFonts w:hint="eastAsia" w:ascii="宋体" w:hAnsi="宋体" w:cs="宋体"/>
          <w:b/>
          <w:color w:val="auto"/>
          <w:szCs w:val="21"/>
          <w:highlight w:val="none"/>
          <w:lang w:eastAsia="zh-CN"/>
        </w:rPr>
        <w:t>）</w:t>
      </w:r>
      <w:r>
        <w:rPr>
          <w:rFonts w:hint="eastAsia" w:ascii="宋体" w:hAnsi="宋体" w:cs="宋体"/>
          <w:b/>
          <w:color w:val="auto"/>
          <w:szCs w:val="21"/>
          <w:highlight w:val="none"/>
        </w:rPr>
        <w:t>技术商务条款偏离表；</w:t>
      </w:r>
    </w:p>
    <w:p>
      <w:pPr>
        <w:adjustRightInd w:val="0"/>
        <w:snapToGrid w:val="0"/>
        <w:spacing w:line="360" w:lineRule="auto"/>
        <w:ind w:firstLine="422"/>
        <w:jc w:val="left"/>
        <w:outlineLvl w:val="2"/>
        <w:rPr>
          <w:rFonts w:ascii="宋体" w:hAnsi="宋体" w:cs="宋体"/>
          <w:b/>
          <w:color w:val="auto"/>
          <w:szCs w:val="21"/>
          <w:highlight w:val="none"/>
        </w:rPr>
      </w:pPr>
      <w:r>
        <w:rPr>
          <w:rFonts w:hint="eastAsia" w:ascii="宋体" w:hAnsi="宋体" w:cs="宋体"/>
          <w:b/>
          <w:color w:val="auto"/>
          <w:szCs w:val="21"/>
          <w:highlight w:val="none"/>
        </w:rPr>
        <w:t>（</w:t>
      </w:r>
      <w:r>
        <w:rPr>
          <w:rFonts w:hint="eastAsia" w:ascii="宋体" w:hAnsi="宋体" w:cs="宋体"/>
          <w:b/>
          <w:color w:val="auto"/>
          <w:szCs w:val="21"/>
          <w:highlight w:val="none"/>
          <w:lang w:val="en-US" w:eastAsia="zh-CN"/>
        </w:rPr>
        <w:t>10</w:t>
      </w:r>
      <w:r>
        <w:rPr>
          <w:rFonts w:hint="eastAsia" w:ascii="宋体" w:hAnsi="宋体" w:cs="宋体"/>
          <w:b/>
          <w:color w:val="auto"/>
          <w:szCs w:val="21"/>
          <w:highlight w:val="none"/>
        </w:rPr>
        <w:t>）评分细则所涉及的相关内容（格式可自拟）；</w:t>
      </w:r>
    </w:p>
    <w:p>
      <w:pPr>
        <w:adjustRightInd w:val="0"/>
        <w:snapToGrid w:val="0"/>
        <w:spacing w:line="360" w:lineRule="auto"/>
        <w:ind w:firstLine="422"/>
        <w:jc w:val="left"/>
        <w:outlineLvl w:val="2"/>
        <w:rPr>
          <w:rFonts w:ascii="宋体" w:hAnsi="宋体" w:cs="宋体"/>
          <w:b/>
          <w:color w:val="auto"/>
          <w:szCs w:val="21"/>
          <w:highlight w:val="none"/>
        </w:rPr>
      </w:pPr>
      <w:r>
        <w:rPr>
          <w:rFonts w:hint="eastAsia" w:ascii="宋体" w:hAnsi="宋体" w:cs="宋体"/>
          <w:b/>
          <w:color w:val="auto"/>
          <w:szCs w:val="21"/>
          <w:highlight w:val="none"/>
        </w:rPr>
        <w:t>（</w:t>
      </w:r>
      <w:r>
        <w:rPr>
          <w:rFonts w:hint="eastAsia" w:ascii="宋体" w:hAnsi="宋体" w:cs="宋体"/>
          <w:b/>
          <w:color w:val="auto"/>
          <w:szCs w:val="21"/>
          <w:highlight w:val="none"/>
          <w:lang w:val="en-US" w:eastAsia="zh-CN"/>
        </w:rPr>
        <w:t>11</w:t>
      </w:r>
      <w:r>
        <w:rPr>
          <w:rFonts w:hint="eastAsia" w:ascii="宋体" w:hAnsi="宋体" w:cs="宋体"/>
          <w:b/>
          <w:color w:val="auto"/>
          <w:szCs w:val="21"/>
          <w:highlight w:val="none"/>
        </w:rPr>
        <w:t>）供应商认为需要提供的其他内容。</w:t>
      </w:r>
    </w:p>
    <w:p>
      <w:pPr>
        <w:adjustRightInd w:val="0"/>
        <w:snapToGrid w:val="0"/>
        <w:spacing w:line="360" w:lineRule="auto"/>
        <w:jc w:val="left"/>
        <w:outlineLvl w:val="2"/>
        <w:rPr>
          <w:rFonts w:ascii="宋体" w:hAnsi="宋体" w:cs="宋体"/>
          <w:b/>
          <w:color w:val="auto"/>
          <w:szCs w:val="21"/>
          <w:highlight w:val="none"/>
        </w:rPr>
      </w:pPr>
      <w:r>
        <w:rPr>
          <w:rFonts w:hint="eastAsia" w:ascii="宋体" w:hAnsi="宋体" w:cs="宋体"/>
          <w:b/>
          <w:color w:val="auto"/>
          <w:szCs w:val="21"/>
          <w:highlight w:val="none"/>
        </w:rPr>
        <w:t>3、报价文件包括以下内容：</w:t>
      </w:r>
    </w:p>
    <w:p>
      <w:pPr>
        <w:adjustRightInd w:val="0"/>
        <w:spacing w:line="360" w:lineRule="exact"/>
        <w:ind w:firstLine="422"/>
        <w:jc w:val="left"/>
        <w:outlineLvl w:val="2"/>
        <w:rPr>
          <w:rFonts w:ascii="宋体" w:hAnsi="宋体" w:cs="宋体"/>
          <w:b/>
          <w:color w:val="auto"/>
          <w:szCs w:val="21"/>
          <w:highlight w:val="none"/>
        </w:rPr>
      </w:pPr>
      <w:r>
        <w:rPr>
          <w:rFonts w:hint="eastAsia" w:ascii="宋体" w:hAnsi="宋体" w:cs="宋体"/>
          <w:b/>
          <w:color w:val="auto"/>
          <w:szCs w:val="21"/>
          <w:highlight w:val="none"/>
        </w:rPr>
        <w:t>（1）开标一览表；</w:t>
      </w:r>
    </w:p>
    <w:p>
      <w:pPr>
        <w:pStyle w:val="4"/>
        <w:spacing w:before="0" w:after="0" w:line="360" w:lineRule="exact"/>
        <w:ind w:firstLine="422" w:firstLineChars="200"/>
        <w:rPr>
          <w:rFonts w:ascii="宋体" w:hAnsi="宋体" w:eastAsia="宋体" w:cs="宋体"/>
          <w:bCs w:val="0"/>
          <w:color w:val="auto"/>
          <w:sz w:val="21"/>
          <w:szCs w:val="21"/>
          <w:highlight w:val="none"/>
        </w:rPr>
      </w:pPr>
      <w:r>
        <w:rPr>
          <w:rFonts w:hint="eastAsia" w:ascii="宋体" w:hAnsi="宋体" w:eastAsia="宋体" w:cs="宋体"/>
          <w:bCs w:val="0"/>
          <w:color w:val="auto"/>
          <w:sz w:val="21"/>
          <w:szCs w:val="21"/>
          <w:highlight w:val="none"/>
        </w:rPr>
        <w:t>（2）分项报价表</w:t>
      </w:r>
    </w:p>
    <w:p>
      <w:pPr>
        <w:adjustRightInd w:val="0"/>
        <w:spacing w:line="360" w:lineRule="exact"/>
        <w:ind w:firstLine="422"/>
        <w:jc w:val="left"/>
        <w:outlineLvl w:val="2"/>
        <w:rPr>
          <w:rFonts w:ascii="宋体" w:hAnsi="宋体" w:cs="宋体"/>
          <w:b/>
          <w:color w:val="auto"/>
          <w:szCs w:val="21"/>
          <w:highlight w:val="none"/>
        </w:rPr>
      </w:pPr>
      <w:r>
        <w:rPr>
          <w:rFonts w:hint="eastAsia" w:ascii="宋体" w:hAnsi="宋体" w:cs="宋体"/>
          <w:b/>
          <w:color w:val="auto"/>
          <w:szCs w:val="21"/>
          <w:highlight w:val="none"/>
        </w:rPr>
        <w:t>（3）中小企业声明函（如有）；</w:t>
      </w:r>
    </w:p>
    <w:p>
      <w:pPr>
        <w:adjustRightInd w:val="0"/>
        <w:spacing w:line="360" w:lineRule="exact"/>
        <w:ind w:firstLine="422"/>
        <w:jc w:val="left"/>
        <w:outlineLvl w:val="2"/>
        <w:rPr>
          <w:rFonts w:ascii="宋体" w:hAnsi="宋体" w:cs="宋体"/>
          <w:b/>
          <w:color w:val="auto"/>
          <w:szCs w:val="21"/>
          <w:highlight w:val="none"/>
        </w:rPr>
      </w:pPr>
      <w:r>
        <w:rPr>
          <w:rFonts w:hint="eastAsia" w:ascii="宋体" w:hAnsi="宋体" w:cs="宋体"/>
          <w:b/>
          <w:color w:val="auto"/>
          <w:szCs w:val="21"/>
          <w:highlight w:val="none"/>
        </w:rPr>
        <w:t>（4）残疾人福利性单位声明函（如有）；</w:t>
      </w:r>
    </w:p>
    <w:p>
      <w:pPr>
        <w:adjustRightInd w:val="0"/>
        <w:spacing w:line="360" w:lineRule="exact"/>
        <w:ind w:firstLine="422"/>
        <w:jc w:val="left"/>
        <w:outlineLvl w:val="2"/>
        <w:rPr>
          <w:rFonts w:ascii="宋体" w:hAnsi="宋体" w:cs="宋体"/>
          <w:b/>
          <w:color w:val="auto"/>
          <w:szCs w:val="21"/>
          <w:highlight w:val="none"/>
        </w:rPr>
      </w:pPr>
      <w:r>
        <w:rPr>
          <w:rFonts w:hint="eastAsia" w:ascii="宋体" w:hAnsi="宋体" w:cs="宋体"/>
          <w:b/>
          <w:color w:val="auto"/>
          <w:szCs w:val="21"/>
          <w:highlight w:val="none"/>
        </w:rPr>
        <w:t>（5）供应商认为需要提供的其他内容。</w:t>
      </w:r>
    </w:p>
    <w:p>
      <w:pPr>
        <w:adjustRightInd w:val="0"/>
        <w:snapToGrid w:val="0"/>
        <w:spacing w:line="360" w:lineRule="auto"/>
        <w:ind w:firstLine="422"/>
        <w:jc w:val="left"/>
        <w:outlineLvl w:val="2"/>
        <w:rPr>
          <w:rFonts w:ascii="宋体" w:hAnsi="宋体" w:cs="宋体"/>
          <w:b/>
          <w:color w:val="auto"/>
          <w:szCs w:val="21"/>
          <w:highlight w:val="none"/>
        </w:rPr>
      </w:pPr>
      <w:r>
        <w:rPr>
          <w:rFonts w:hint="eastAsia" w:ascii="宋体" w:hAnsi="宋体" w:cs="宋体"/>
          <w:b/>
          <w:color w:val="auto"/>
          <w:szCs w:val="21"/>
          <w:highlight w:val="none"/>
        </w:rPr>
        <w:t>（二）投标文件的语言及计量</w:t>
      </w:r>
    </w:p>
    <w:p>
      <w:pPr>
        <w:adjustRightInd w:val="0"/>
        <w:snapToGrid w:val="0"/>
        <w:spacing w:line="360" w:lineRule="auto"/>
        <w:ind w:firstLine="420"/>
        <w:jc w:val="left"/>
        <w:rPr>
          <w:rFonts w:ascii="宋体" w:hAnsi="宋体" w:cs="宋体"/>
          <w:color w:val="auto"/>
          <w:szCs w:val="21"/>
          <w:highlight w:val="none"/>
        </w:rPr>
      </w:pPr>
      <w:r>
        <w:rPr>
          <w:rFonts w:hint="eastAsia" w:ascii="宋体" w:hAnsi="宋体" w:cs="宋体"/>
          <w:color w:val="auto"/>
          <w:szCs w:val="21"/>
          <w:highlight w:val="none"/>
        </w:rPr>
        <w:t>★1.投标文件以及供应商与采购人就有关投标事宜的所有来往函电，均应以中文汉语书写。除签名、盖章、专用名称等特殊情形外，以中文汉语以外的文字表述的投标文件视同未提供。</w:t>
      </w:r>
    </w:p>
    <w:p>
      <w:pPr>
        <w:adjustRightInd w:val="0"/>
        <w:snapToGrid w:val="0"/>
        <w:spacing w:line="360" w:lineRule="auto"/>
        <w:ind w:firstLine="420"/>
        <w:jc w:val="left"/>
        <w:rPr>
          <w:rFonts w:ascii="宋体" w:hAnsi="宋体" w:cs="宋体"/>
          <w:color w:val="auto"/>
          <w:szCs w:val="21"/>
          <w:highlight w:val="none"/>
        </w:rPr>
      </w:pPr>
      <w:r>
        <w:rPr>
          <w:rFonts w:hint="eastAsia" w:ascii="宋体" w:hAnsi="宋体" w:cs="宋体"/>
          <w:color w:val="auto"/>
          <w:szCs w:val="21"/>
          <w:highlight w:val="none"/>
        </w:rPr>
        <w:t>★2.投标计量单位，招标文件已有明确规定的，使用招标文件规定的计量单位；招标文件没有规定的，应采用中华人民共和国法定计量单位（货币单位：人民币元），否则视同未响应。</w:t>
      </w:r>
    </w:p>
    <w:p>
      <w:pPr>
        <w:keepNext w:val="0"/>
        <w:keepLines w:val="0"/>
        <w:pageBreakBefore w:val="0"/>
        <w:widowControl w:val="0"/>
        <w:kinsoku/>
        <w:wordWrap/>
        <w:overflowPunct/>
        <w:topLinePunct w:val="0"/>
        <w:autoSpaceDE/>
        <w:autoSpaceDN/>
        <w:bidi w:val="0"/>
        <w:adjustRightInd w:val="0"/>
        <w:snapToGrid w:val="0"/>
        <w:spacing w:line="360" w:lineRule="auto"/>
        <w:ind w:firstLine="422"/>
        <w:jc w:val="left"/>
        <w:textAlignment w:val="auto"/>
        <w:outlineLvl w:val="2"/>
        <w:rPr>
          <w:rFonts w:ascii="宋体" w:hAnsi="宋体" w:cs="宋体"/>
          <w:b/>
          <w:color w:val="auto"/>
          <w:szCs w:val="21"/>
          <w:highlight w:val="none"/>
        </w:rPr>
      </w:pPr>
      <w:r>
        <w:rPr>
          <w:rFonts w:hint="eastAsia" w:ascii="宋体" w:hAnsi="宋体" w:cs="宋体"/>
          <w:b/>
          <w:color w:val="auto"/>
          <w:szCs w:val="21"/>
          <w:highlight w:val="none"/>
        </w:rPr>
        <w:t>（三）投标报价</w:t>
      </w:r>
    </w:p>
    <w:p>
      <w:pPr>
        <w:keepNext w:val="0"/>
        <w:keepLines w:val="0"/>
        <w:pageBreakBefore w:val="0"/>
        <w:widowControl w:val="0"/>
        <w:kinsoku/>
        <w:wordWrap/>
        <w:overflowPunct/>
        <w:topLinePunct w:val="0"/>
        <w:autoSpaceDE/>
        <w:autoSpaceDN/>
        <w:bidi w:val="0"/>
        <w:adjustRightInd w:val="0"/>
        <w:snapToGrid w:val="0"/>
        <w:spacing w:line="360" w:lineRule="auto"/>
        <w:ind w:firstLine="630" w:firstLineChars="300"/>
        <w:jc w:val="left"/>
        <w:textAlignment w:val="auto"/>
        <w:rPr>
          <w:rFonts w:ascii="宋体" w:hAnsi="宋体" w:cs="宋体"/>
          <w:color w:val="auto"/>
          <w:szCs w:val="21"/>
          <w:highlight w:val="none"/>
        </w:rPr>
      </w:pPr>
      <w:r>
        <w:rPr>
          <w:rFonts w:hint="eastAsia" w:ascii="宋体" w:hAnsi="宋体" w:cs="宋体"/>
          <w:color w:val="auto"/>
          <w:szCs w:val="21"/>
          <w:highlight w:val="none"/>
        </w:rPr>
        <w:t>1.投标报价应按招标文件中相关附表格式填写。</w:t>
      </w:r>
    </w:p>
    <w:p>
      <w:pPr>
        <w:pStyle w:val="36"/>
        <w:keepNext w:val="0"/>
        <w:keepLines w:val="0"/>
        <w:pageBreakBefore w:val="0"/>
        <w:widowControl w:val="0"/>
        <w:kinsoku/>
        <w:wordWrap/>
        <w:overflowPunct/>
        <w:topLinePunct w:val="0"/>
        <w:autoSpaceDE/>
        <w:autoSpaceDN/>
        <w:bidi w:val="0"/>
        <w:adjustRightInd w:val="0"/>
        <w:snapToGrid w:val="0"/>
        <w:spacing w:line="360" w:lineRule="auto"/>
        <w:ind w:firstLine="630" w:firstLineChars="300"/>
        <w:textAlignment w:val="auto"/>
        <w:rPr>
          <w:rFonts w:hint="eastAsia" w:ascii="新宋体" w:hAnsi="Segoe UI Symbol" w:eastAsia="新宋体" w:cs="新宋体"/>
          <w:bCs/>
          <w:color w:val="auto"/>
          <w:sz w:val="22"/>
          <w:szCs w:val="22"/>
          <w:highlight w:val="none"/>
          <w:lang w:val="zh-CN"/>
        </w:rPr>
      </w:pPr>
      <w:r>
        <w:rPr>
          <w:rFonts w:hint="eastAsia" w:ascii="宋体" w:hAnsi="宋体" w:cs="宋体"/>
          <w:color w:val="auto"/>
          <w:szCs w:val="21"/>
          <w:highlight w:val="none"/>
        </w:rPr>
        <w:t>2.投标报价：</w:t>
      </w:r>
      <w:r>
        <w:rPr>
          <w:rFonts w:hint="eastAsia" w:hAnsi="宋体"/>
          <w:color w:val="auto"/>
          <w:sz w:val="21"/>
          <w:szCs w:val="21"/>
          <w:highlight w:val="none"/>
        </w:rPr>
        <w:t>详见招标文第三章《投标人须知》前附表</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cs="宋体"/>
          <w:color w:val="auto"/>
          <w:szCs w:val="21"/>
          <w:highlight w:val="none"/>
        </w:rPr>
      </w:pPr>
      <w:r>
        <w:rPr>
          <w:rFonts w:hint="eastAsia" w:ascii="宋体" w:hAnsi="宋体" w:cs="宋体"/>
          <w:color w:val="auto"/>
          <w:szCs w:val="21"/>
          <w:highlight w:val="none"/>
        </w:rPr>
        <w:t>★3.投标文件只允许有一个报价，有选择的或有条件的报价将不予接受。</w:t>
      </w:r>
    </w:p>
    <w:p>
      <w:pPr>
        <w:adjustRightInd w:val="0"/>
        <w:snapToGrid w:val="0"/>
        <w:spacing w:line="360" w:lineRule="auto"/>
        <w:ind w:firstLine="422"/>
        <w:jc w:val="left"/>
        <w:outlineLvl w:val="2"/>
        <w:rPr>
          <w:rFonts w:ascii="宋体" w:hAnsi="宋体" w:cs="宋体"/>
          <w:b/>
          <w:color w:val="auto"/>
          <w:szCs w:val="21"/>
          <w:highlight w:val="none"/>
        </w:rPr>
      </w:pPr>
      <w:r>
        <w:rPr>
          <w:rFonts w:hint="eastAsia" w:ascii="宋体" w:hAnsi="宋体" w:cs="宋体"/>
          <w:b/>
          <w:color w:val="auto"/>
          <w:szCs w:val="21"/>
          <w:highlight w:val="none"/>
        </w:rPr>
        <w:t>（四）投标文件的有效期</w:t>
      </w:r>
    </w:p>
    <w:p>
      <w:pPr>
        <w:adjustRightInd w:val="0"/>
        <w:snapToGrid w:val="0"/>
        <w:spacing w:line="360" w:lineRule="auto"/>
        <w:ind w:firstLine="420"/>
        <w:jc w:val="left"/>
        <w:rPr>
          <w:rFonts w:ascii="宋体" w:hAnsi="宋体" w:cs="宋体"/>
          <w:color w:val="auto"/>
          <w:szCs w:val="21"/>
          <w:highlight w:val="none"/>
        </w:rPr>
      </w:pPr>
      <w:r>
        <w:rPr>
          <w:rFonts w:hint="eastAsia" w:ascii="宋体" w:hAnsi="宋体" w:cs="宋体"/>
          <w:color w:val="auto"/>
          <w:highlight w:val="none"/>
        </w:rPr>
        <w:t>★</w:t>
      </w:r>
      <w:r>
        <w:rPr>
          <w:rFonts w:hint="eastAsia" w:ascii="宋体" w:hAnsi="宋体" w:cs="宋体"/>
          <w:color w:val="auto"/>
          <w:szCs w:val="21"/>
          <w:highlight w:val="none"/>
        </w:rPr>
        <w:t>1.自投标截止日起</w:t>
      </w:r>
      <w:r>
        <w:rPr>
          <w:rFonts w:hint="eastAsia" w:ascii="宋体" w:hAnsi="宋体" w:cs="宋体"/>
          <w:color w:val="auto"/>
          <w:szCs w:val="21"/>
          <w:highlight w:val="none"/>
          <w:u w:val="single"/>
          <w:lang w:val="en-US" w:eastAsia="zh-CN"/>
        </w:rPr>
        <w:t>90</w:t>
      </w:r>
      <w:r>
        <w:rPr>
          <w:rFonts w:hint="eastAsia" w:ascii="宋体" w:hAnsi="宋体" w:cs="宋体"/>
          <w:color w:val="auto"/>
          <w:szCs w:val="21"/>
          <w:highlight w:val="none"/>
          <w:lang w:val="en-US" w:eastAsia="zh-CN"/>
        </w:rPr>
        <w:t>个日历天</w:t>
      </w:r>
      <w:r>
        <w:rPr>
          <w:rFonts w:hint="eastAsia" w:ascii="宋体" w:hAnsi="宋体" w:cs="宋体"/>
          <w:color w:val="auto"/>
          <w:szCs w:val="21"/>
          <w:highlight w:val="none"/>
        </w:rPr>
        <w:t>投标文件应保持有效。有效期不足的投标文件将被拒绝。</w:t>
      </w:r>
    </w:p>
    <w:p>
      <w:pPr>
        <w:adjustRightInd w:val="0"/>
        <w:snapToGrid w:val="0"/>
        <w:spacing w:line="360" w:lineRule="auto"/>
        <w:ind w:firstLine="420"/>
        <w:jc w:val="left"/>
        <w:rPr>
          <w:rFonts w:ascii="宋体" w:hAnsi="宋体" w:cs="宋体"/>
          <w:color w:val="auto"/>
          <w:szCs w:val="21"/>
          <w:highlight w:val="none"/>
        </w:rPr>
      </w:pPr>
      <w:r>
        <w:rPr>
          <w:rFonts w:hint="eastAsia" w:ascii="宋体" w:hAnsi="宋体" w:cs="宋体"/>
          <w:color w:val="auto"/>
          <w:szCs w:val="21"/>
          <w:highlight w:val="none"/>
        </w:rPr>
        <w:t>2.在特殊情况下，采购人可与供应商协商延长投标书的有效期，这种要求和答复均以书面形式进行。</w:t>
      </w:r>
    </w:p>
    <w:p>
      <w:pPr>
        <w:adjustRightInd w:val="0"/>
        <w:snapToGrid w:val="0"/>
        <w:spacing w:line="360" w:lineRule="auto"/>
        <w:ind w:firstLine="420"/>
        <w:jc w:val="left"/>
        <w:rPr>
          <w:rFonts w:ascii="宋体" w:hAnsi="宋体" w:cs="宋体"/>
          <w:color w:val="auto"/>
          <w:szCs w:val="21"/>
          <w:highlight w:val="none"/>
        </w:rPr>
      </w:pPr>
      <w:r>
        <w:rPr>
          <w:rFonts w:hint="eastAsia" w:ascii="宋体" w:hAnsi="宋体" w:cs="宋体"/>
          <w:color w:val="auto"/>
          <w:szCs w:val="21"/>
          <w:highlight w:val="none"/>
        </w:rPr>
        <w:t>3.供应商可拒绝接受延期要求而不会导致投标保证金（若有）被没收。同意延长有效期的供应商需要相应延长投标保证金的有效期，但不能修改投标文件。</w:t>
      </w:r>
    </w:p>
    <w:p>
      <w:pPr>
        <w:adjustRightInd w:val="0"/>
        <w:snapToGrid w:val="0"/>
        <w:spacing w:line="360" w:lineRule="auto"/>
        <w:ind w:firstLine="420"/>
        <w:jc w:val="left"/>
        <w:rPr>
          <w:rFonts w:ascii="宋体" w:hAnsi="宋体" w:cs="宋体"/>
          <w:color w:val="auto"/>
          <w:szCs w:val="21"/>
          <w:highlight w:val="none"/>
        </w:rPr>
      </w:pPr>
      <w:r>
        <w:rPr>
          <w:rFonts w:hint="eastAsia" w:ascii="宋体" w:hAnsi="宋体" w:cs="宋体"/>
          <w:color w:val="auto"/>
          <w:szCs w:val="21"/>
          <w:highlight w:val="none"/>
        </w:rPr>
        <w:t>4.中标人的投标文件自开标之日起至合同履行完毕止均应保持有效。</w:t>
      </w:r>
    </w:p>
    <w:p>
      <w:pPr>
        <w:adjustRightInd w:val="0"/>
        <w:snapToGrid w:val="0"/>
        <w:spacing w:line="360" w:lineRule="auto"/>
        <w:ind w:firstLine="422"/>
        <w:jc w:val="left"/>
        <w:outlineLvl w:val="2"/>
        <w:rPr>
          <w:rFonts w:ascii="宋体" w:hAnsi="宋体" w:cs="宋体"/>
          <w:b/>
          <w:color w:val="auto"/>
          <w:szCs w:val="21"/>
          <w:highlight w:val="none"/>
        </w:rPr>
      </w:pPr>
      <w:r>
        <w:rPr>
          <w:rFonts w:hint="eastAsia" w:ascii="宋体" w:hAnsi="宋体" w:cs="宋体"/>
          <w:b/>
          <w:color w:val="auto"/>
          <w:szCs w:val="21"/>
          <w:highlight w:val="none"/>
        </w:rPr>
        <w:t>（五）投标保证金</w:t>
      </w:r>
    </w:p>
    <w:p>
      <w:pPr>
        <w:adjustRightInd w:val="0"/>
        <w:snapToGrid w:val="0"/>
        <w:spacing w:line="360" w:lineRule="auto"/>
        <w:ind w:firstLine="422"/>
        <w:jc w:val="left"/>
        <w:outlineLvl w:val="2"/>
        <w:rPr>
          <w:rFonts w:ascii="宋体" w:hAnsi="宋体" w:cs="宋体"/>
          <w:color w:val="auto"/>
          <w:szCs w:val="21"/>
          <w:highlight w:val="none"/>
        </w:rPr>
      </w:pPr>
      <w:r>
        <w:rPr>
          <w:rFonts w:hint="eastAsia" w:ascii="宋体" w:hAnsi="宋体" w:cs="宋体"/>
          <w:color w:val="auto"/>
          <w:szCs w:val="21"/>
          <w:highlight w:val="none"/>
        </w:rPr>
        <w:t>本项目无须缴纳投标保证金。</w:t>
      </w:r>
    </w:p>
    <w:p>
      <w:pPr>
        <w:adjustRightInd w:val="0"/>
        <w:snapToGrid w:val="0"/>
        <w:spacing w:line="360" w:lineRule="auto"/>
        <w:ind w:firstLine="422"/>
        <w:jc w:val="left"/>
        <w:outlineLvl w:val="2"/>
        <w:rPr>
          <w:rFonts w:ascii="宋体" w:hAnsi="宋体" w:cs="宋体"/>
          <w:b/>
          <w:color w:val="auto"/>
          <w:szCs w:val="21"/>
          <w:highlight w:val="none"/>
        </w:rPr>
      </w:pPr>
      <w:r>
        <w:rPr>
          <w:rFonts w:hint="eastAsia" w:ascii="宋体" w:hAnsi="宋体" w:cs="宋体"/>
          <w:b/>
          <w:color w:val="auto"/>
          <w:szCs w:val="21"/>
          <w:highlight w:val="none"/>
        </w:rPr>
        <w:t>（六）投标文件的签署和份数</w:t>
      </w:r>
    </w:p>
    <w:p>
      <w:pPr>
        <w:snapToGrid w:val="0"/>
        <w:spacing w:line="360"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1.投标人应按本招标文件规定的格式和顺序编制、装订投标文件并标注页码，投标文件内容不完整、编排混乱导致投标文件被误读、漏读或者查找不到相关内容的，是投标人的责任。</w:t>
      </w:r>
    </w:p>
    <w:p>
      <w:pPr>
        <w:snapToGrid w:val="0"/>
        <w:spacing w:line="360" w:lineRule="auto"/>
        <w:ind w:firstLine="310" w:firstLineChars="147"/>
        <w:jc w:val="left"/>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 xml:space="preserve">2、电子投标文件部分：投标人应根据“政府采购项目电子交易管理操作指南-供应商”及本招标文件规定的格式和顺序编制电子投标文件并进行关联定位；电子投标文件中须加盖投标 人公章部分均采用 CA 签章，签字部分可用 CA 锁法人章（如有），未申请法人章的将签名部分签好后以扫描件形式上传至投标文件（具体操作请咨询政采云 400-881-7190）。 </w:t>
      </w:r>
    </w:p>
    <w:p>
      <w:pPr>
        <w:snapToGrid w:val="0"/>
        <w:spacing w:line="360" w:lineRule="auto"/>
        <w:ind w:firstLine="310" w:firstLineChars="147"/>
        <w:jc w:val="left"/>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注：投标文件中由委托代理人签字的，投标文件应附法定代表人签署的授权委托书。</w:t>
      </w:r>
    </w:p>
    <w:p>
      <w:pPr>
        <w:snapToGrid w:val="0"/>
        <w:spacing w:line="360" w:lineRule="auto"/>
        <w:ind w:firstLine="310" w:firstLineChars="147"/>
        <w:jc w:val="left"/>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 xml:space="preserve"> 3、电子备份投标文件部分：电子投标文件的备份文件，以 U 盘或光盘形式存储，并单独密封递交。电子备份投标文件不作实质性要求，是否提交由投标人自行决定。</w:t>
      </w:r>
    </w:p>
    <w:p>
      <w:pPr>
        <w:numPr>
          <w:ilvl w:val="0"/>
          <w:numId w:val="0"/>
        </w:numPr>
        <w:adjustRightInd w:val="0"/>
        <w:snapToGrid w:val="0"/>
        <w:spacing w:line="360" w:lineRule="auto"/>
        <w:jc w:val="left"/>
        <w:outlineLvl w:val="2"/>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（七）投标文件的包装、递交、修改和撤回</w:t>
      </w:r>
    </w:p>
    <w:p>
      <w:pPr>
        <w:widowControl/>
        <w:spacing w:line="360"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 xml:space="preserve">1、电子投标文件：投标人应根据“政府采购项目电子交易管理操作指南-供应商”及本招标文件规定的格式和顺序编制电子投标文件并进行关联定位。 </w:t>
      </w:r>
    </w:p>
    <w:p>
      <w:pPr>
        <w:widowControl/>
        <w:spacing w:line="360" w:lineRule="auto"/>
        <w:ind w:firstLine="422" w:firstLineChars="200"/>
        <w:jc w:val="left"/>
        <w:rPr>
          <w:rFonts w:hint="eastAsia" w:ascii="宋体" w:hAnsi="宋体" w:eastAsia="宋体" w:cs="宋体"/>
          <w:color w:val="auto"/>
          <w:sz w:val="21"/>
          <w:szCs w:val="21"/>
          <w:highlight w:val="none"/>
        </w:rPr>
      </w:pPr>
      <w:r>
        <w:rPr>
          <w:rFonts w:hint="eastAsia" w:ascii="宋体" w:hAnsi="宋体" w:eastAsia="宋体" w:cs="宋体"/>
          <w:b/>
          <w:bCs/>
          <w:color w:val="auto"/>
          <w:kern w:val="0"/>
          <w:sz w:val="21"/>
          <w:szCs w:val="21"/>
          <w:highlight w:val="none"/>
          <w:lang w:bidi="ar"/>
        </w:rPr>
        <w:t xml:space="preserve">2、电子备份投标文件：单独包封，外包装封面上应注明投标人名称、投标人地址、投标文件名称（电子备份投标文件）、投标项目名称、项目编号及“投标文件于投标截止时间前不得启封”字样，并加盖投标人公章。 </w:t>
      </w:r>
    </w:p>
    <w:p>
      <w:pPr>
        <w:widowControl/>
        <w:spacing w:line="360" w:lineRule="auto"/>
        <w:ind w:firstLine="422" w:firstLineChars="200"/>
        <w:jc w:val="left"/>
        <w:rPr>
          <w:rFonts w:hint="eastAsia" w:ascii="宋体" w:hAnsi="宋体" w:eastAsia="宋体" w:cs="宋体"/>
          <w:color w:val="auto"/>
          <w:sz w:val="21"/>
          <w:szCs w:val="21"/>
          <w:highlight w:val="none"/>
        </w:rPr>
      </w:pPr>
      <w:r>
        <w:rPr>
          <w:rFonts w:hint="eastAsia" w:ascii="宋体" w:hAnsi="宋体" w:eastAsia="宋体" w:cs="宋体"/>
          <w:b/>
          <w:bCs/>
          <w:color w:val="auto"/>
          <w:kern w:val="0"/>
          <w:sz w:val="21"/>
          <w:szCs w:val="21"/>
          <w:highlight w:val="none"/>
          <w:lang w:bidi="ar"/>
        </w:rPr>
        <w:t xml:space="preserve">3、未按规定密封或标记的投标文件，采购人有权拒绝接受其投标。 </w:t>
      </w:r>
    </w:p>
    <w:p>
      <w:pPr>
        <w:widowControl/>
        <w:spacing w:line="360" w:lineRule="auto"/>
        <w:ind w:firstLine="420" w:firstLineChars="200"/>
        <w:jc w:val="left"/>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4、如果投标人未按上述要求密封或标记而造成投标文件被误投或提前拆封的风险由投标人承担。</w:t>
      </w:r>
    </w:p>
    <w:p>
      <w:pPr>
        <w:widowControl/>
        <w:spacing w:line="360"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5、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截止时间后送达的电子投标文件，将被政采云平台拒收，其投标将被拒绝。</w:t>
      </w:r>
    </w:p>
    <w:p>
      <w:pPr>
        <w:adjustRightInd w:val="0"/>
        <w:snapToGrid w:val="0"/>
        <w:spacing w:line="360" w:lineRule="auto"/>
        <w:ind w:firstLine="422"/>
        <w:jc w:val="left"/>
        <w:outlineLvl w:val="2"/>
        <w:rPr>
          <w:rFonts w:ascii="宋体" w:hAnsi="宋体" w:cs="宋体"/>
          <w:b/>
          <w:color w:val="auto"/>
          <w:szCs w:val="21"/>
          <w:highlight w:val="none"/>
        </w:rPr>
      </w:pPr>
      <w:r>
        <w:rPr>
          <w:rFonts w:hint="eastAsia" w:ascii="宋体" w:hAnsi="宋体" w:cs="宋体"/>
          <w:b/>
          <w:color w:val="auto"/>
          <w:szCs w:val="21"/>
          <w:highlight w:val="none"/>
        </w:rPr>
        <w:t>（八）投标无效的情形</w:t>
      </w:r>
    </w:p>
    <w:p>
      <w:pPr>
        <w:adjustRightInd w:val="0"/>
        <w:snapToGrid w:val="0"/>
        <w:spacing w:line="360" w:lineRule="auto"/>
        <w:ind w:firstLine="420"/>
        <w:jc w:val="left"/>
        <w:rPr>
          <w:rFonts w:ascii="宋体" w:hAnsi="宋体" w:cs="宋体"/>
          <w:color w:val="auto"/>
          <w:szCs w:val="21"/>
          <w:highlight w:val="none"/>
        </w:rPr>
      </w:pPr>
      <w:r>
        <w:rPr>
          <w:rFonts w:hint="eastAsia" w:ascii="宋体" w:hAnsi="宋体" w:cs="宋体"/>
          <w:color w:val="auto"/>
          <w:szCs w:val="21"/>
          <w:highlight w:val="none"/>
        </w:rPr>
        <w:t>实质上没有响应招标文件要求的投标将被视为无效投标。供应商不得通过修正或撤销不合要求的偏离或保留从而使其投标成为实质上响应的投标，但经评标委员会认定属于供应商疏忽、笔误所造成的差错，应当允许其在评标结束之前进行修改或者补正。修改或者补正投标文件必须以书面形式进行，限期内不补正或经补正后仍不符合招标文件要求的，应认定其投标无效。供应商修改、补正投标文件后，不影响评标委员会对其投标文件所作的评价和评分结果。</w:t>
      </w:r>
    </w:p>
    <w:p>
      <w:pPr>
        <w:adjustRightInd w:val="0"/>
        <w:snapToGrid w:val="0"/>
        <w:spacing w:line="360" w:lineRule="auto"/>
        <w:ind w:firstLine="420"/>
        <w:jc w:val="left"/>
        <w:rPr>
          <w:rFonts w:ascii="宋体" w:hAnsi="宋体" w:cs="宋体"/>
          <w:color w:val="auto"/>
          <w:szCs w:val="21"/>
          <w:highlight w:val="none"/>
        </w:rPr>
      </w:pPr>
      <w:r>
        <w:rPr>
          <w:rFonts w:hint="eastAsia" w:ascii="宋体" w:hAnsi="宋体" w:cs="宋体"/>
          <w:color w:val="auto"/>
          <w:szCs w:val="21"/>
          <w:highlight w:val="none"/>
        </w:rPr>
        <w:t>评审时如发现下列情形之一的，投标文件将被视为无效：</w:t>
      </w:r>
    </w:p>
    <w:p>
      <w:pPr>
        <w:adjustRightInd w:val="0"/>
        <w:snapToGrid w:val="0"/>
        <w:spacing w:line="360" w:lineRule="auto"/>
        <w:ind w:firstLine="422"/>
        <w:jc w:val="left"/>
        <w:rPr>
          <w:rFonts w:hint="eastAsia" w:ascii="宋体" w:hAnsi="宋体" w:eastAsia="宋体" w:cs="宋体"/>
          <w:b/>
          <w:color w:val="auto"/>
          <w:szCs w:val="21"/>
          <w:highlight w:val="none"/>
        </w:rPr>
      </w:pPr>
      <w:r>
        <w:rPr>
          <w:rFonts w:hint="eastAsia" w:ascii="宋体" w:hAnsi="宋体" w:eastAsia="宋体" w:cs="宋体"/>
          <w:b/>
          <w:color w:val="auto"/>
          <w:szCs w:val="21"/>
          <w:highlight w:val="none"/>
          <w:lang w:val="en-US" w:eastAsia="zh-CN"/>
        </w:rPr>
        <w:t>1.</w:t>
      </w:r>
      <w:r>
        <w:rPr>
          <w:rFonts w:hint="eastAsia" w:ascii="宋体" w:hAnsi="宋体" w:eastAsia="宋体" w:cs="宋体"/>
          <w:b/>
          <w:color w:val="auto"/>
          <w:szCs w:val="21"/>
          <w:highlight w:val="none"/>
        </w:rPr>
        <w:t>电子加密投标文件未按招标文件要求加密、签字、盖章的；（电子加密投标文件中加盖投 标人公章部分均须 CA签章）；</w:t>
      </w:r>
    </w:p>
    <w:p>
      <w:pPr>
        <w:adjustRightInd w:val="0"/>
        <w:snapToGrid w:val="0"/>
        <w:spacing w:line="360" w:lineRule="auto"/>
        <w:ind w:firstLine="422"/>
        <w:jc w:val="left"/>
        <w:rPr>
          <w:rFonts w:ascii="宋体" w:hAnsi="宋体" w:cs="宋体"/>
          <w:b/>
          <w:color w:val="auto"/>
          <w:szCs w:val="21"/>
          <w:highlight w:val="none"/>
        </w:rPr>
      </w:pPr>
      <w:r>
        <w:rPr>
          <w:rFonts w:hint="eastAsia" w:ascii="宋体" w:hAnsi="宋体" w:cs="宋体"/>
          <w:b/>
          <w:color w:val="auto"/>
          <w:szCs w:val="21"/>
          <w:highlight w:val="none"/>
        </w:rPr>
        <w:t>2．不具备招标文件中规定资格要求的；</w:t>
      </w:r>
    </w:p>
    <w:p>
      <w:pPr>
        <w:adjustRightInd w:val="0"/>
        <w:snapToGrid w:val="0"/>
        <w:spacing w:line="360" w:lineRule="auto"/>
        <w:ind w:firstLine="422"/>
        <w:jc w:val="left"/>
        <w:rPr>
          <w:rFonts w:ascii="宋体" w:hAnsi="宋体" w:cs="宋体"/>
          <w:b/>
          <w:color w:val="auto"/>
          <w:szCs w:val="21"/>
          <w:highlight w:val="none"/>
        </w:rPr>
      </w:pPr>
      <w:r>
        <w:rPr>
          <w:rFonts w:hint="eastAsia" w:ascii="宋体" w:hAnsi="宋体" w:cs="宋体"/>
          <w:b/>
          <w:color w:val="auto"/>
          <w:szCs w:val="21"/>
          <w:highlight w:val="none"/>
        </w:rPr>
        <w:t>3．投标文件载明的招标项目完成期限超过招标文件规定的期限；</w:t>
      </w:r>
    </w:p>
    <w:p>
      <w:pPr>
        <w:adjustRightInd w:val="0"/>
        <w:snapToGrid w:val="0"/>
        <w:spacing w:line="360" w:lineRule="auto"/>
        <w:ind w:firstLine="422"/>
        <w:jc w:val="left"/>
        <w:rPr>
          <w:rFonts w:ascii="宋体" w:hAnsi="宋体" w:cs="宋体"/>
          <w:b/>
          <w:color w:val="auto"/>
          <w:szCs w:val="21"/>
          <w:highlight w:val="none"/>
        </w:rPr>
      </w:pPr>
      <w:r>
        <w:rPr>
          <w:rFonts w:hint="eastAsia" w:ascii="宋体" w:hAnsi="宋体" w:cs="宋体"/>
          <w:b/>
          <w:color w:val="auto"/>
          <w:szCs w:val="21"/>
          <w:highlight w:val="none"/>
        </w:rPr>
        <w:t>4．带“</w:t>
      </w:r>
      <w:r>
        <w:rPr>
          <w:rFonts w:hint="eastAsia" w:ascii="宋体" w:hAnsi="宋体" w:cs="宋体"/>
          <w:color w:val="auto"/>
          <w:highlight w:val="none"/>
        </w:rPr>
        <w:t>★</w:t>
      </w:r>
      <w:r>
        <w:rPr>
          <w:rFonts w:hint="eastAsia" w:ascii="宋体" w:hAnsi="宋体" w:cs="宋体"/>
          <w:b/>
          <w:color w:val="auto"/>
          <w:szCs w:val="21"/>
          <w:highlight w:val="none"/>
        </w:rPr>
        <w:t>”的款项不能满足招标文件要求的；</w:t>
      </w:r>
    </w:p>
    <w:p>
      <w:pPr>
        <w:adjustRightInd w:val="0"/>
        <w:snapToGrid w:val="0"/>
        <w:spacing w:line="360" w:lineRule="auto"/>
        <w:ind w:firstLine="422"/>
        <w:jc w:val="left"/>
        <w:rPr>
          <w:rFonts w:ascii="宋体" w:hAnsi="宋体" w:cs="宋体"/>
          <w:b/>
          <w:color w:val="auto"/>
          <w:szCs w:val="21"/>
          <w:highlight w:val="none"/>
        </w:rPr>
      </w:pPr>
      <w:r>
        <w:rPr>
          <w:rFonts w:hint="eastAsia" w:ascii="宋体" w:hAnsi="宋体" w:cs="宋体"/>
          <w:b/>
          <w:color w:val="auto"/>
          <w:szCs w:val="21"/>
          <w:highlight w:val="none"/>
        </w:rPr>
        <w:t>5．投标文件附有招标人不能接受的条件；</w:t>
      </w:r>
    </w:p>
    <w:p>
      <w:pPr>
        <w:adjustRightInd w:val="0"/>
        <w:snapToGrid w:val="0"/>
        <w:spacing w:line="360" w:lineRule="auto"/>
        <w:ind w:firstLine="422"/>
        <w:jc w:val="left"/>
        <w:rPr>
          <w:rFonts w:ascii="宋体" w:hAnsi="宋体" w:cs="宋体"/>
          <w:b/>
          <w:color w:val="auto"/>
          <w:szCs w:val="21"/>
          <w:highlight w:val="none"/>
        </w:rPr>
      </w:pPr>
      <w:r>
        <w:rPr>
          <w:rFonts w:hint="eastAsia" w:ascii="宋体" w:hAnsi="宋体" w:cs="宋体"/>
          <w:b/>
          <w:color w:val="auto"/>
          <w:szCs w:val="21"/>
          <w:highlight w:val="none"/>
        </w:rPr>
        <w:t>6．经评标委员会评审技术方案不可行的；</w:t>
      </w:r>
    </w:p>
    <w:p>
      <w:pPr>
        <w:adjustRightInd w:val="0"/>
        <w:snapToGrid w:val="0"/>
        <w:spacing w:line="360" w:lineRule="auto"/>
        <w:ind w:firstLine="422"/>
        <w:jc w:val="left"/>
        <w:rPr>
          <w:rFonts w:ascii="宋体" w:hAnsi="宋体" w:cs="宋体"/>
          <w:b/>
          <w:color w:val="auto"/>
          <w:szCs w:val="21"/>
          <w:highlight w:val="none"/>
        </w:rPr>
      </w:pPr>
      <w:r>
        <w:rPr>
          <w:rFonts w:hint="eastAsia" w:ascii="宋体" w:hAnsi="宋体" w:cs="宋体"/>
          <w:b/>
          <w:color w:val="auto"/>
          <w:szCs w:val="21"/>
          <w:highlight w:val="none"/>
        </w:rPr>
        <w:t>7．评委会一致认为报价明显不合理的；</w:t>
      </w:r>
    </w:p>
    <w:p>
      <w:pPr>
        <w:adjustRightInd w:val="0"/>
        <w:snapToGrid w:val="0"/>
        <w:spacing w:line="360" w:lineRule="auto"/>
        <w:ind w:firstLine="422"/>
        <w:jc w:val="left"/>
        <w:rPr>
          <w:rFonts w:hint="eastAsia" w:ascii="宋体" w:hAnsi="宋体" w:eastAsia="宋体" w:cs="宋体"/>
          <w:b/>
          <w:color w:val="auto"/>
          <w:sz w:val="21"/>
          <w:szCs w:val="21"/>
          <w:highlight w:val="none"/>
        </w:rPr>
      </w:pPr>
      <w:r>
        <w:rPr>
          <w:rFonts w:hint="eastAsia" w:ascii="宋体" w:hAnsi="宋体" w:cs="宋体"/>
          <w:b/>
          <w:color w:val="auto"/>
          <w:szCs w:val="21"/>
          <w:highlight w:val="none"/>
        </w:rPr>
        <w:t>8</w:t>
      </w:r>
      <w:r>
        <w:rPr>
          <w:rFonts w:hint="eastAsia" w:ascii="宋体" w:hAnsi="宋体" w:eastAsia="宋体" w:cs="宋体"/>
          <w:b/>
          <w:color w:val="auto"/>
          <w:sz w:val="21"/>
          <w:szCs w:val="21"/>
          <w:highlight w:val="none"/>
        </w:rPr>
        <w:t>．不符合法律、法规和招标文件中规定的其他实质性要求的。</w:t>
      </w:r>
    </w:p>
    <w:p>
      <w:pPr>
        <w:pStyle w:val="11"/>
        <w:snapToGrid w:val="0"/>
        <w:spacing w:line="360" w:lineRule="auto"/>
        <w:ind w:firstLine="406" w:firstLineChars="20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评审时如发现下列情形之一的，视为投标人串通投标，其投标无效：</w:t>
      </w:r>
    </w:p>
    <w:p>
      <w:pPr>
        <w:pStyle w:val="11"/>
        <w:numPr>
          <w:ilvl w:val="0"/>
          <w:numId w:val="4"/>
        </w:numPr>
        <w:snapToGrid w:val="0"/>
        <w:spacing w:line="360" w:lineRule="auto"/>
        <w:ind w:left="0" w:firstLine="404"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不同投标人的投标文件由同一单位或者个人编制； </w:t>
      </w:r>
    </w:p>
    <w:p>
      <w:pPr>
        <w:pStyle w:val="11"/>
        <w:numPr>
          <w:ilvl w:val="0"/>
          <w:numId w:val="4"/>
        </w:numPr>
        <w:snapToGrid w:val="0"/>
        <w:spacing w:line="360" w:lineRule="auto"/>
        <w:ind w:left="0" w:firstLine="404"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不同投标人的投标文件出自同一终端设备或在相同 Internet 主机分配地址（相同 IP 地址） 网上报名投标。</w:t>
      </w:r>
    </w:p>
    <w:p>
      <w:pPr>
        <w:pStyle w:val="11"/>
        <w:numPr>
          <w:ilvl w:val="0"/>
          <w:numId w:val="4"/>
        </w:numPr>
        <w:snapToGrid w:val="0"/>
        <w:spacing w:line="360" w:lineRule="auto"/>
        <w:ind w:left="0" w:firstLine="404"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不同投标人委托同一单位或者个人办理投标事宜； </w:t>
      </w:r>
    </w:p>
    <w:p>
      <w:pPr>
        <w:pStyle w:val="11"/>
        <w:numPr>
          <w:ilvl w:val="0"/>
          <w:numId w:val="4"/>
        </w:numPr>
        <w:snapToGrid w:val="0"/>
        <w:spacing w:line="360" w:lineRule="auto"/>
        <w:ind w:left="0" w:firstLine="404"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不同投标人的投标文件载明的项目管理成员或者联系人员为同一人； </w:t>
      </w:r>
    </w:p>
    <w:p>
      <w:pPr>
        <w:pStyle w:val="11"/>
        <w:snapToGrid w:val="0"/>
        <w:spacing w:line="360" w:lineRule="auto"/>
        <w:ind w:firstLine="404"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5、不同投标人的投标文件异常一致或者投标报价呈规律性差异；</w:t>
      </w:r>
    </w:p>
    <w:p>
      <w:pPr>
        <w:adjustRightInd w:val="0"/>
        <w:snapToGrid w:val="0"/>
        <w:spacing w:line="360" w:lineRule="auto"/>
        <w:outlineLvl w:val="1"/>
        <w:rPr>
          <w:rFonts w:ascii="宋体" w:hAnsi="宋体" w:cs="宋体"/>
          <w:b/>
          <w:color w:val="auto"/>
          <w:szCs w:val="21"/>
          <w:highlight w:val="none"/>
        </w:rPr>
      </w:pPr>
      <w:r>
        <w:rPr>
          <w:rFonts w:hint="eastAsia" w:ascii="宋体" w:hAnsi="宋体" w:cs="宋体"/>
          <w:b/>
          <w:color w:val="auto"/>
          <w:szCs w:val="21"/>
          <w:highlight w:val="none"/>
        </w:rPr>
        <w:t>四、开标</w:t>
      </w:r>
    </w:p>
    <w:p>
      <w:pPr>
        <w:adjustRightInd w:val="0"/>
        <w:snapToGrid w:val="0"/>
        <w:spacing w:line="360" w:lineRule="auto"/>
        <w:ind w:firstLine="422"/>
        <w:jc w:val="left"/>
        <w:outlineLvl w:val="2"/>
        <w:rPr>
          <w:rFonts w:ascii="宋体" w:hAnsi="宋体" w:cs="宋体"/>
          <w:b/>
          <w:color w:val="auto"/>
          <w:szCs w:val="21"/>
          <w:highlight w:val="none"/>
        </w:rPr>
      </w:pPr>
      <w:r>
        <w:rPr>
          <w:rFonts w:hint="eastAsia" w:ascii="宋体" w:hAnsi="宋体" w:cs="宋体"/>
          <w:b/>
          <w:color w:val="auto"/>
          <w:szCs w:val="21"/>
          <w:highlight w:val="none"/>
        </w:rPr>
        <w:t>（一）开标准备</w:t>
      </w:r>
    </w:p>
    <w:p>
      <w:pPr>
        <w:pStyle w:val="12"/>
        <w:snapToGrid w:val="0"/>
        <w:spacing w:before="0" w:beforeLines="0" w:after="0" w:afterLines="0" w:line="360" w:lineRule="auto"/>
        <w:ind w:firstLine="413" w:firstLineChars="196"/>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采购代理机构将在规定的时间和地点进行开标。疫情期间所有投标人在投标截止时间前可安排“甬行码”为绿色的相关人员（原则上不超过一名，须全程佩戴口罩）将电子备份投标文件送至投标地点。</w:t>
      </w:r>
    </w:p>
    <w:p>
      <w:pPr>
        <w:widowControl/>
        <w:ind w:firstLine="422" w:firstLineChars="200"/>
        <w:jc w:val="left"/>
        <w:rPr>
          <w:rFonts w:hint="eastAsia" w:ascii="仿宋" w:hAnsi="仿宋" w:eastAsia="仿宋" w:cs="仿宋"/>
          <w:b/>
          <w:color w:val="auto"/>
          <w:sz w:val="22"/>
          <w:szCs w:val="22"/>
          <w:highlight w:val="none"/>
        </w:rPr>
      </w:pPr>
      <w:r>
        <w:rPr>
          <w:rFonts w:hint="eastAsia" w:ascii="宋体" w:hAnsi="宋体" w:cs="宋体"/>
          <w:b/>
          <w:color w:val="auto"/>
          <w:szCs w:val="21"/>
          <w:highlight w:val="none"/>
        </w:rPr>
        <w:t>（二）</w:t>
      </w:r>
      <w:r>
        <w:rPr>
          <w:rFonts w:hint="eastAsia" w:ascii="宋体" w:hAnsi="宋体" w:eastAsia="宋体" w:cs="宋体"/>
          <w:b/>
          <w:color w:val="auto"/>
          <w:szCs w:val="21"/>
          <w:highlight w:val="none"/>
        </w:rPr>
        <w:t>电子投标开标及评审程序：</w:t>
      </w:r>
    </w:p>
    <w:p>
      <w:pPr>
        <w:pStyle w:val="12"/>
        <w:snapToGrid w:val="0"/>
        <w:spacing w:before="0" w:beforeLines="0" w:after="0" w:afterLines="0" w:line="360" w:lineRule="auto"/>
        <w:ind w:firstLine="420" w:firstLineChars="200"/>
        <w:outlineLvl w:val="1"/>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1、投标截止时间后，投标人登录政采云平台，用“项目采购-开标评标”功能对电子投标 文件进行在线解密，在线解密电子投标文件时间为开标时间起 30 分钟内；投标人按时在线解密投标文件的，以在线解密的投标文件作为评审依据，若投标人在规定时间内无法解密或解密失败，则以电子备份投标文件作为评审依据（若电子备份投标文件与政采云平台上传的投标文件被识别为不一致，仍以电子备份投标文件作为评审依据）。无论是否启用电子备份投标文件，电子备份投标文件均不退还投标人。若投标人在规定时间内无法解密或解密失败且未提供电子备份投标文件或所提供的电子备份投标文件无法读取的，视为投标文件撤回。</w:t>
      </w:r>
    </w:p>
    <w:p>
      <w:pPr>
        <w:pStyle w:val="12"/>
        <w:snapToGrid w:val="0"/>
        <w:spacing w:before="0" w:beforeLines="0" w:after="0" w:afterLines="0" w:line="360" w:lineRule="auto"/>
        <w:ind w:firstLine="420" w:firstLineChars="200"/>
        <w:outlineLvl w:val="1"/>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 xml:space="preserve">2、采购人或代理机构对投标人的资格进行审查； </w:t>
      </w:r>
    </w:p>
    <w:p>
      <w:pPr>
        <w:pStyle w:val="12"/>
        <w:snapToGrid w:val="0"/>
        <w:spacing w:before="0" w:beforeLines="0" w:after="0" w:afterLines="0" w:line="360" w:lineRule="auto"/>
        <w:ind w:firstLine="420" w:firstLineChars="200"/>
        <w:outlineLvl w:val="1"/>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 xml:space="preserve">3、评标委员会对商务技术响应文件进行评审； </w:t>
      </w:r>
    </w:p>
    <w:p>
      <w:pPr>
        <w:pStyle w:val="12"/>
        <w:snapToGrid w:val="0"/>
        <w:spacing w:before="0" w:beforeLines="0" w:after="0" w:afterLines="0" w:line="360" w:lineRule="auto"/>
        <w:ind w:firstLine="420" w:firstLineChars="200"/>
        <w:outlineLvl w:val="1"/>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 xml:space="preserve">4、在系统上公开资格和商务技术评审结果； </w:t>
      </w:r>
    </w:p>
    <w:p>
      <w:pPr>
        <w:pStyle w:val="12"/>
        <w:snapToGrid w:val="0"/>
        <w:spacing w:before="0" w:beforeLines="0" w:after="0" w:afterLines="0" w:line="360" w:lineRule="auto"/>
        <w:ind w:firstLine="420" w:firstLineChars="200"/>
        <w:outlineLvl w:val="1"/>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 xml:space="preserve">5、在系统上公开报价开标情况； </w:t>
      </w:r>
    </w:p>
    <w:p>
      <w:pPr>
        <w:pStyle w:val="12"/>
        <w:snapToGrid w:val="0"/>
        <w:spacing w:before="0" w:beforeLines="0" w:after="0" w:afterLines="0" w:line="360" w:lineRule="auto"/>
        <w:ind w:firstLine="420" w:firstLineChars="200"/>
        <w:outlineLvl w:val="1"/>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 xml:space="preserve">6、评标委员会对报价情况进行评审； </w:t>
      </w:r>
    </w:p>
    <w:p>
      <w:pPr>
        <w:pStyle w:val="12"/>
        <w:snapToGrid w:val="0"/>
        <w:spacing w:before="0" w:beforeLines="0" w:after="0" w:afterLines="0" w:line="360" w:lineRule="auto"/>
        <w:ind w:firstLine="420" w:firstLineChars="200"/>
        <w:outlineLvl w:val="1"/>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 xml:space="preserve">7、在系统上公布评审结果。 </w:t>
      </w:r>
    </w:p>
    <w:p>
      <w:pPr>
        <w:pStyle w:val="12"/>
        <w:snapToGrid w:val="0"/>
        <w:spacing w:before="0" w:beforeLines="0" w:after="0" w:afterLines="0" w:line="360" w:lineRule="auto"/>
        <w:ind w:firstLine="420" w:firstLineChars="200"/>
        <w:outlineLvl w:val="1"/>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 xml:space="preserve">注：（1）开标过程需投标人确认的事宜，通过微信或电子邮箱发送邮件等方式进行，请投标人在开标期间做好相应的准备。（2）投标人代表对开标过程和开标记录有疑义，以及认为采购人、采购代理机构相关工作人员有需要回避的情形的，应当场提出询问或者回避申请。采购人、采购代理机构对投标人代表提出的询问或者回避申请应当及时处理。（3）政采云公司如对电子化开标及评审程序有调整的，按调整后的程序操作。 </w:t>
      </w:r>
    </w:p>
    <w:p>
      <w:pPr>
        <w:pStyle w:val="12"/>
        <w:snapToGrid w:val="0"/>
        <w:spacing w:before="0" w:beforeLines="0" w:after="0" w:afterLines="0" w:line="360" w:lineRule="auto"/>
        <w:ind w:firstLine="422" w:firstLineChars="200"/>
        <w:outlineLvl w:val="1"/>
        <w:rPr>
          <w:rFonts w:hint="eastAsia" w:ascii="宋体" w:hAnsi="宋体" w:eastAsia="宋体" w:cs="宋体"/>
          <w:b/>
          <w:color w:val="auto"/>
          <w:kern w:val="2"/>
          <w:sz w:val="21"/>
          <w:szCs w:val="21"/>
          <w:highlight w:val="none"/>
          <w:lang w:val="en-US" w:eastAsia="zh-CN" w:bidi="ar-SA"/>
        </w:rPr>
      </w:pPr>
      <w:r>
        <w:rPr>
          <w:rFonts w:hint="eastAsia" w:ascii="宋体" w:hAnsi="宋体" w:eastAsia="宋体" w:cs="宋体"/>
          <w:b/>
          <w:color w:val="auto"/>
          <w:kern w:val="2"/>
          <w:sz w:val="21"/>
          <w:szCs w:val="21"/>
          <w:highlight w:val="none"/>
          <w:lang w:val="en-US" w:eastAsia="zh-CN" w:bidi="ar-SA"/>
        </w:rPr>
        <w:t xml:space="preserve">（三）特别说明 </w:t>
      </w:r>
    </w:p>
    <w:p>
      <w:pPr>
        <w:pStyle w:val="12"/>
        <w:snapToGrid w:val="0"/>
        <w:spacing w:before="0" w:beforeLines="0" w:after="0" w:afterLines="0" w:line="360" w:lineRule="auto"/>
        <w:ind w:firstLine="420" w:firstLineChars="200"/>
        <w:outlineLvl w:val="1"/>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 xml:space="preserve">政府采购云平台如对电子化开标及评审程序有调整的，按调整后的程序操作。 </w:t>
      </w:r>
    </w:p>
    <w:p>
      <w:pPr>
        <w:pStyle w:val="12"/>
        <w:snapToGrid w:val="0"/>
        <w:spacing w:before="0" w:beforeLines="0" w:after="0" w:afterLines="0" w:line="360" w:lineRule="auto"/>
        <w:ind w:firstLine="420" w:firstLineChars="200"/>
        <w:outlineLvl w:val="1"/>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本项目原则上采用政采云电子投标开标及评审程序，但有下情形之一的，按以下情况处理：</w:t>
      </w:r>
    </w:p>
    <w:p>
      <w:pPr>
        <w:pStyle w:val="12"/>
        <w:snapToGrid w:val="0"/>
        <w:spacing w:before="0" w:beforeLines="0" w:after="0" w:afterLines="0" w:line="360" w:lineRule="auto"/>
        <w:ind w:firstLine="420" w:firstLineChars="200"/>
        <w:outlineLvl w:val="1"/>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 xml:space="preserve">1、若投标人在规定时间内无法解密或解密失败，代理机构将开启上述投标人递交的电子备份投标文件，上传至政采云平台项目采购模块，以完成开标，电子投标文件自动失效。 </w:t>
      </w:r>
    </w:p>
    <w:p>
      <w:pPr>
        <w:pStyle w:val="12"/>
        <w:snapToGrid w:val="0"/>
        <w:spacing w:before="0" w:beforeLines="0" w:after="0" w:afterLines="0" w:line="360" w:lineRule="auto"/>
        <w:ind w:firstLine="420" w:firstLineChars="200"/>
        <w:outlineLvl w:val="1"/>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 xml:space="preserve">2、采购过程中出现以下情形，导致电子交易平台无法正常运行，或者无法保证电子交易的 公平、公正和安全时，采购人（或代理机构）可中止电子交易活动： </w:t>
      </w:r>
    </w:p>
    <w:p>
      <w:pPr>
        <w:pStyle w:val="12"/>
        <w:snapToGrid w:val="0"/>
        <w:spacing w:before="0" w:beforeLines="0" w:after="0" w:afterLines="0" w:line="360" w:lineRule="auto"/>
        <w:ind w:firstLine="420" w:firstLineChars="200"/>
        <w:outlineLvl w:val="1"/>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 xml:space="preserve">（1）电子交易平台发生故障而无法登录访问的； </w:t>
      </w:r>
    </w:p>
    <w:p>
      <w:pPr>
        <w:pStyle w:val="12"/>
        <w:snapToGrid w:val="0"/>
        <w:spacing w:before="0" w:beforeLines="0" w:after="0" w:afterLines="0" w:line="360" w:lineRule="auto"/>
        <w:ind w:firstLine="420" w:firstLineChars="200"/>
        <w:outlineLvl w:val="1"/>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 xml:space="preserve">（2）因政府采购云平台原因无法读取或电子开评标无法正常进行的； </w:t>
      </w:r>
    </w:p>
    <w:p>
      <w:pPr>
        <w:pStyle w:val="12"/>
        <w:snapToGrid w:val="0"/>
        <w:spacing w:before="0" w:beforeLines="0" w:after="0" w:afterLines="0" w:line="360" w:lineRule="auto"/>
        <w:ind w:firstLine="420" w:firstLineChars="200"/>
        <w:outlineLvl w:val="1"/>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 xml:space="preserve">（3）电子交易平台应用或数据库出现错误，不能进行正常操作的； </w:t>
      </w:r>
    </w:p>
    <w:p>
      <w:pPr>
        <w:pStyle w:val="12"/>
        <w:snapToGrid w:val="0"/>
        <w:spacing w:before="0" w:beforeLines="0" w:after="0" w:afterLines="0" w:line="360" w:lineRule="auto"/>
        <w:ind w:firstLine="420" w:firstLineChars="200"/>
        <w:outlineLvl w:val="1"/>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 xml:space="preserve">（4）电子交易平台发现严重安全漏洞，有潜在泄密危险； </w:t>
      </w:r>
    </w:p>
    <w:p>
      <w:pPr>
        <w:pStyle w:val="12"/>
        <w:snapToGrid w:val="0"/>
        <w:spacing w:before="0" w:beforeLines="0" w:after="0" w:afterLines="0" w:line="360" w:lineRule="auto"/>
        <w:ind w:firstLine="420" w:firstLineChars="200"/>
        <w:outlineLvl w:val="1"/>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 xml:space="preserve">（5）病毒发作导致不能进行正常操作的； </w:t>
      </w:r>
    </w:p>
    <w:p>
      <w:pPr>
        <w:pStyle w:val="12"/>
        <w:snapToGrid w:val="0"/>
        <w:spacing w:before="0" w:beforeLines="0" w:after="0" w:afterLines="0" w:line="360" w:lineRule="auto"/>
        <w:ind w:firstLine="420" w:firstLineChars="200"/>
        <w:outlineLvl w:val="1"/>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 xml:space="preserve">（6）其他无法保证电子交易的公平、公正和安全的情况。 </w:t>
      </w:r>
    </w:p>
    <w:p>
      <w:pPr>
        <w:pStyle w:val="12"/>
        <w:snapToGrid w:val="0"/>
        <w:spacing w:before="0" w:beforeLines="0" w:after="0" w:afterLines="0" w:line="360" w:lineRule="auto"/>
        <w:ind w:firstLine="420" w:firstLineChars="200"/>
        <w:outlineLvl w:val="1"/>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出现前款规定情形，不影响采购公平、公正性的，采购人（或代理机构）可以待上述情形消除后继续组织电子交易活动。</w:t>
      </w:r>
    </w:p>
    <w:p>
      <w:pPr>
        <w:adjustRightInd w:val="0"/>
        <w:snapToGrid w:val="0"/>
        <w:spacing w:line="360" w:lineRule="auto"/>
        <w:outlineLvl w:val="1"/>
        <w:rPr>
          <w:rFonts w:ascii="宋体" w:hAnsi="宋体" w:cs="宋体"/>
          <w:b/>
          <w:color w:val="auto"/>
          <w:szCs w:val="21"/>
          <w:highlight w:val="none"/>
        </w:rPr>
      </w:pPr>
      <w:r>
        <w:rPr>
          <w:rFonts w:hint="eastAsia" w:ascii="宋体" w:hAnsi="宋体" w:cs="宋体"/>
          <w:b/>
          <w:color w:val="auto"/>
          <w:szCs w:val="21"/>
          <w:highlight w:val="none"/>
        </w:rPr>
        <w:t>五、评标</w:t>
      </w:r>
    </w:p>
    <w:p>
      <w:pPr>
        <w:adjustRightInd w:val="0"/>
        <w:snapToGrid w:val="0"/>
        <w:spacing w:line="360" w:lineRule="auto"/>
        <w:ind w:firstLine="422"/>
        <w:jc w:val="left"/>
        <w:outlineLvl w:val="2"/>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（一）组建评标委员会</w:t>
      </w:r>
    </w:p>
    <w:p>
      <w:pPr>
        <w:adjustRightInd w:val="0"/>
        <w:snapToGrid w:val="0"/>
        <w:spacing w:line="360" w:lineRule="auto"/>
        <w:ind w:firstLine="420"/>
        <w:jc w:val="left"/>
        <w:rPr>
          <w:rFonts w:hint="eastAsia" w:ascii="宋体" w:hAnsi="宋体" w:cs="宋体"/>
          <w:b/>
          <w:color w:val="auto"/>
          <w:szCs w:val="21"/>
          <w:highlight w:val="none"/>
        </w:rPr>
      </w:pPr>
      <w:r>
        <w:rPr>
          <w:rFonts w:hint="eastAsia" w:ascii="宋体" w:hAnsi="宋体" w:eastAsia="宋体" w:cs="宋体"/>
          <w:color w:val="auto"/>
          <w:szCs w:val="21"/>
          <w:highlight w:val="none"/>
        </w:rPr>
        <w:t>采购人依据《中华人民共和国政府采购法》、《政府采购货物和服务招标投标管理办法》等有关规定组建评标委员</w:t>
      </w:r>
      <w:r>
        <w:rPr>
          <w:rFonts w:hint="eastAsia" w:ascii="仿宋" w:hAnsi="仿宋" w:eastAsia="仿宋" w:cs="仿宋"/>
          <w:color w:val="auto"/>
          <w:sz w:val="22"/>
          <w:szCs w:val="22"/>
          <w:highlight w:val="none"/>
        </w:rPr>
        <w:t>会。</w:t>
      </w:r>
    </w:p>
    <w:p>
      <w:pPr>
        <w:adjustRightInd w:val="0"/>
        <w:snapToGrid w:val="0"/>
        <w:spacing w:line="360" w:lineRule="auto"/>
        <w:ind w:firstLine="422"/>
        <w:jc w:val="left"/>
        <w:outlineLvl w:val="2"/>
        <w:rPr>
          <w:rFonts w:ascii="宋体" w:hAnsi="宋体" w:cs="宋体"/>
          <w:b/>
          <w:color w:val="auto"/>
          <w:szCs w:val="21"/>
          <w:highlight w:val="none"/>
        </w:rPr>
      </w:pPr>
      <w:r>
        <w:rPr>
          <w:rFonts w:hint="eastAsia" w:ascii="宋体" w:hAnsi="宋体" w:cs="宋体"/>
          <w:b/>
          <w:color w:val="auto"/>
          <w:szCs w:val="21"/>
          <w:highlight w:val="none"/>
          <w:lang w:eastAsia="zh-CN"/>
        </w:rPr>
        <w:t>（</w:t>
      </w:r>
      <w:r>
        <w:rPr>
          <w:rFonts w:hint="eastAsia" w:ascii="宋体" w:hAnsi="宋体" w:cs="宋体"/>
          <w:b/>
          <w:color w:val="auto"/>
          <w:szCs w:val="21"/>
          <w:highlight w:val="none"/>
          <w:lang w:val="en-US" w:eastAsia="zh-CN"/>
        </w:rPr>
        <w:t>二</w:t>
      </w:r>
      <w:r>
        <w:rPr>
          <w:rFonts w:hint="eastAsia" w:ascii="宋体" w:hAnsi="宋体" w:cs="宋体"/>
          <w:b/>
          <w:color w:val="auto"/>
          <w:szCs w:val="21"/>
          <w:highlight w:val="none"/>
          <w:lang w:eastAsia="zh-CN"/>
        </w:rPr>
        <w:t>）</w:t>
      </w:r>
      <w:r>
        <w:rPr>
          <w:rFonts w:hint="eastAsia" w:ascii="宋体" w:hAnsi="宋体" w:cs="宋体"/>
          <w:b/>
          <w:color w:val="auto"/>
          <w:szCs w:val="21"/>
          <w:highlight w:val="none"/>
        </w:rPr>
        <w:t>评标的方式</w:t>
      </w:r>
    </w:p>
    <w:p>
      <w:pPr>
        <w:adjustRightInd w:val="0"/>
        <w:snapToGrid w:val="0"/>
        <w:spacing w:line="360" w:lineRule="auto"/>
        <w:ind w:firstLine="420"/>
        <w:jc w:val="left"/>
        <w:rPr>
          <w:rFonts w:ascii="宋体" w:hAnsi="宋体" w:cs="宋体"/>
          <w:color w:val="auto"/>
          <w:szCs w:val="21"/>
          <w:highlight w:val="none"/>
        </w:rPr>
      </w:pPr>
      <w:r>
        <w:rPr>
          <w:rFonts w:hint="eastAsia" w:ascii="宋体" w:hAnsi="宋体" w:cs="宋体"/>
          <w:color w:val="auto"/>
          <w:szCs w:val="21"/>
          <w:highlight w:val="none"/>
        </w:rPr>
        <w:t>本项目采用不公开方式评标，评标的依据为招标文件和投标文件。</w:t>
      </w:r>
    </w:p>
    <w:p>
      <w:pPr>
        <w:adjustRightInd w:val="0"/>
        <w:snapToGrid w:val="0"/>
        <w:spacing w:line="360" w:lineRule="auto"/>
        <w:ind w:firstLine="422"/>
        <w:jc w:val="left"/>
        <w:outlineLvl w:val="2"/>
        <w:rPr>
          <w:rFonts w:ascii="宋体" w:hAnsi="宋体" w:cs="宋体"/>
          <w:b/>
          <w:color w:val="auto"/>
          <w:szCs w:val="21"/>
          <w:highlight w:val="none"/>
        </w:rPr>
      </w:pPr>
      <w:r>
        <w:rPr>
          <w:rFonts w:hint="eastAsia" w:ascii="宋体" w:hAnsi="宋体" w:cs="宋体"/>
          <w:b/>
          <w:color w:val="auto"/>
          <w:szCs w:val="21"/>
          <w:highlight w:val="none"/>
        </w:rPr>
        <w:t>（</w:t>
      </w:r>
      <w:r>
        <w:rPr>
          <w:rFonts w:hint="eastAsia" w:ascii="宋体" w:hAnsi="宋体" w:cs="宋体"/>
          <w:b/>
          <w:color w:val="auto"/>
          <w:szCs w:val="21"/>
          <w:highlight w:val="none"/>
          <w:lang w:val="en-US" w:eastAsia="zh-CN"/>
        </w:rPr>
        <w:t>三</w:t>
      </w:r>
      <w:r>
        <w:rPr>
          <w:rFonts w:hint="eastAsia" w:ascii="宋体" w:hAnsi="宋体" w:cs="宋体"/>
          <w:b/>
          <w:color w:val="auto"/>
          <w:szCs w:val="21"/>
          <w:highlight w:val="none"/>
        </w:rPr>
        <w:t>）评标程序</w:t>
      </w:r>
    </w:p>
    <w:p>
      <w:pPr>
        <w:snapToGrid w:val="0"/>
        <w:spacing w:line="360" w:lineRule="auto"/>
        <w:ind w:firstLine="433" w:firstLineChars="196"/>
        <w:rPr>
          <w:rFonts w:hint="eastAsia" w:ascii="仿宋" w:hAnsi="仿宋" w:eastAsia="仿宋" w:cs="仿宋"/>
          <w:b/>
          <w:bCs/>
          <w:color w:val="auto"/>
          <w:sz w:val="22"/>
          <w:szCs w:val="22"/>
          <w:highlight w:val="none"/>
        </w:rPr>
      </w:pPr>
      <w:r>
        <w:rPr>
          <w:rFonts w:hint="eastAsia" w:ascii="仿宋" w:hAnsi="仿宋" w:eastAsia="仿宋" w:cs="仿宋"/>
          <w:b/>
          <w:bCs/>
          <w:color w:val="auto"/>
          <w:sz w:val="22"/>
          <w:szCs w:val="22"/>
          <w:highlight w:val="none"/>
        </w:rPr>
        <w:t>1.资格审查</w:t>
      </w:r>
    </w:p>
    <w:p>
      <w:pPr>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采购代理机构对投标人的资格进行审查。对投标人单位负责人是否为同一人或者是否存在直接控股、管理关系的，采购代理机构将使用天眼查、企查查等相关工具进行查询核实，如存在不符合采购文件要求的情形的，将否决其投标。</w:t>
      </w:r>
    </w:p>
    <w:p>
      <w:pPr>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评标委员会负责对采购代理机构提交的关联性审查进行复核。</w:t>
      </w:r>
    </w:p>
    <w:p>
      <w:pPr>
        <w:snapToGrid w:val="0"/>
        <w:spacing w:line="360" w:lineRule="auto"/>
        <w:ind w:firstLine="433" w:firstLineChars="196"/>
        <w:rPr>
          <w:rFonts w:hint="eastAsia" w:ascii="仿宋" w:hAnsi="仿宋" w:eastAsia="仿宋" w:cs="仿宋"/>
          <w:b/>
          <w:bCs/>
          <w:color w:val="auto"/>
          <w:sz w:val="22"/>
          <w:szCs w:val="22"/>
          <w:highlight w:val="none"/>
        </w:rPr>
      </w:pPr>
      <w:r>
        <w:rPr>
          <w:rFonts w:hint="eastAsia" w:ascii="仿宋" w:hAnsi="仿宋" w:eastAsia="仿宋" w:cs="仿宋"/>
          <w:b/>
          <w:bCs/>
          <w:color w:val="auto"/>
          <w:sz w:val="22"/>
          <w:szCs w:val="22"/>
          <w:highlight w:val="none"/>
        </w:rPr>
        <w:t>2.</w:t>
      </w:r>
      <w:r>
        <w:rPr>
          <w:rFonts w:hint="eastAsia" w:ascii="仿宋" w:hAnsi="仿宋" w:eastAsia="仿宋" w:cs="仿宋"/>
          <w:b/>
          <w:bCs/>
          <w:color w:val="auto"/>
          <w:szCs w:val="21"/>
          <w:highlight w:val="none"/>
        </w:rPr>
        <w:t xml:space="preserve"> 符合性审查与比较</w:t>
      </w:r>
    </w:p>
    <w:p>
      <w:pPr>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（1）评标委员会审查投标文件的实质性内容是否符合招标文件的实质性要求。</w:t>
      </w:r>
    </w:p>
    <w:p>
      <w:pPr>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（2）评标委员会将根据投标人的投标文件进行审查、核对,如有疑问,将对投标人进行询标,投标人要向评标委员会澄清有关问题,并最终以书面形式进行答复。</w:t>
      </w:r>
    </w:p>
    <w:p>
      <w:pPr>
        <w:snapToGrid w:val="0"/>
        <w:spacing w:line="360" w:lineRule="auto"/>
        <w:ind w:firstLine="525" w:firstLineChars="25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投标人代表未到场或者拒绝澄清或者澄清的内容改变了投标文件的实质性内容的，评标委员会有权对该投标文件作出不利于投标人的评判。</w:t>
      </w:r>
    </w:p>
    <w:p>
      <w:pPr>
        <w:snapToGrid w:val="0"/>
        <w:spacing w:line="360" w:lineRule="auto"/>
        <w:ind w:firstLine="525" w:firstLineChars="25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对明显畸高、畸低的评分，评审小组组长应提醒相关评审人员进行复核或书面说明理由，评审人员拒绝说明的，由现场监督员据实记录；评审人员的评审、修改记录应保留原件，随项目其他资料一并存档。</w:t>
      </w:r>
    </w:p>
    <w:p>
      <w:pPr>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（3）各投标方的商务技术得分为所有评委有效评分的算术平均数，由指定专人进行计算复核。</w:t>
      </w:r>
    </w:p>
    <w:p>
      <w:pPr>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（4）代理机构工作人员协助评标委员会根据本项目的评分标准计算各投标人的报价得分。</w:t>
      </w:r>
    </w:p>
    <w:p>
      <w:pPr>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（5）评标委员会完成评标后,评委对各部分得分汇总,计算出本项目最终得分。评标委员会按评标原则推荐中标候选人同时起草评标报告。</w:t>
      </w:r>
    </w:p>
    <w:p>
      <w:pPr>
        <w:adjustRightInd w:val="0"/>
        <w:snapToGrid w:val="0"/>
        <w:spacing w:line="360" w:lineRule="auto"/>
        <w:ind w:firstLine="422"/>
        <w:jc w:val="left"/>
        <w:outlineLvl w:val="2"/>
        <w:rPr>
          <w:rFonts w:ascii="宋体" w:hAnsi="宋体" w:cs="宋体"/>
          <w:b/>
          <w:color w:val="auto"/>
          <w:szCs w:val="21"/>
          <w:highlight w:val="none"/>
        </w:rPr>
      </w:pPr>
      <w:r>
        <w:rPr>
          <w:rFonts w:hint="eastAsia" w:ascii="宋体" w:hAnsi="宋体" w:cs="宋体"/>
          <w:b/>
          <w:color w:val="auto"/>
          <w:szCs w:val="21"/>
          <w:highlight w:val="none"/>
        </w:rPr>
        <w:t>（</w:t>
      </w:r>
      <w:r>
        <w:rPr>
          <w:rFonts w:hint="eastAsia" w:ascii="宋体" w:hAnsi="宋体" w:cs="宋体"/>
          <w:b/>
          <w:color w:val="auto"/>
          <w:szCs w:val="21"/>
          <w:highlight w:val="none"/>
          <w:lang w:val="en-US" w:eastAsia="zh-CN"/>
        </w:rPr>
        <w:t>四</w:t>
      </w:r>
      <w:r>
        <w:rPr>
          <w:rFonts w:hint="eastAsia" w:ascii="宋体" w:hAnsi="宋体" w:cs="宋体"/>
          <w:b/>
          <w:color w:val="auto"/>
          <w:szCs w:val="21"/>
          <w:highlight w:val="none"/>
        </w:rPr>
        <w:t>）澄清问题的形式</w:t>
      </w:r>
    </w:p>
    <w:p>
      <w:pPr>
        <w:adjustRightInd w:val="0"/>
        <w:snapToGrid w:val="0"/>
        <w:spacing w:line="360" w:lineRule="auto"/>
        <w:ind w:firstLine="420"/>
        <w:jc w:val="left"/>
        <w:rPr>
          <w:rFonts w:ascii="宋体" w:hAnsi="宋体" w:cs="宋体"/>
          <w:color w:val="auto"/>
          <w:szCs w:val="21"/>
          <w:highlight w:val="none"/>
        </w:rPr>
      </w:pPr>
      <w:r>
        <w:rPr>
          <w:rFonts w:hint="eastAsia" w:ascii="宋体" w:hAnsi="宋体" w:cs="宋体"/>
          <w:color w:val="auto"/>
          <w:szCs w:val="21"/>
          <w:highlight w:val="none"/>
        </w:rPr>
        <w:t>对投标文件中含义不明确、同类问题表述不一致或者有明显文字和计算错误的内容，评标委员会可要求供应商作出必要的澄清、说明或者纠正。供应商的澄清、说明或者补正应当采用书面形式，由其授权代表签字或盖章确认，并不得超出投标文件的范围或者改变投标文件的实质性内容。</w:t>
      </w:r>
    </w:p>
    <w:p>
      <w:pPr>
        <w:adjustRightInd w:val="0"/>
        <w:snapToGrid w:val="0"/>
        <w:spacing w:line="360" w:lineRule="auto"/>
        <w:ind w:firstLine="422"/>
        <w:jc w:val="left"/>
        <w:outlineLvl w:val="2"/>
        <w:rPr>
          <w:rFonts w:ascii="宋体" w:hAnsi="宋体" w:cs="宋体"/>
          <w:b/>
          <w:color w:val="auto"/>
          <w:szCs w:val="21"/>
          <w:highlight w:val="none"/>
        </w:rPr>
      </w:pPr>
      <w:r>
        <w:rPr>
          <w:rFonts w:hint="eastAsia" w:ascii="宋体" w:hAnsi="宋体" w:cs="宋体"/>
          <w:b/>
          <w:color w:val="auto"/>
          <w:szCs w:val="21"/>
          <w:highlight w:val="none"/>
        </w:rPr>
        <w:t>（</w:t>
      </w:r>
      <w:r>
        <w:rPr>
          <w:rFonts w:hint="eastAsia" w:ascii="宋体" w:hAnsi="宋体" w:cs="宋体"/>
          <w:b/>
          <w:color w:val="auto"/>
          <w:szCs w:val="21"/>
          <w:highlight w:val="none"/>
          <w:lang w:val="en-US" w:eastAsia="zh-CN"/>
        </w:rPr>
        <w:t>五</w:t>
      </w:r>
      <w:r>
        <w:rPr>
          <w:rFonts w:hint="eastAsia" w:ascii="宋体" w:hAnsi="宋体" w:cs="宋体"/>
          <w:b/>
          <w:color w:val="auto"/>
          <w:szCs w:val="21"/>
          <w:highlight w:val="none"/>
        </w:rPr>
        <w:t>）错误修正</w:t>
      </w:r>
    </w:p>
    <w:p>
      <w:pPr>
        <w:adjustRightInd w:val="0"/>
        <w:snapToGrid w:val="0"/>
        <w:spacing w:line="360" w:lineRule="auto"/>
        <w:ind w:firstLine="420"/>
        <w:jc w:val="left"/>
        <w:rPr>
          <w:rFonts w:ascii="宋体" w:hAnsi="宋体" w:cs="宋体"/>
          <w:color w:val="auto"/>
          <w:szCs w:val="21"/>
          <w:highlight w:val="none"/>
        </w:rPr>
      </w:pPr>
      <w:r>
        <w:rPr>
          <w:rFonts w:hint="eastAsia" w:ascii="宋体" w:hAnsi="宋体" w:cs="宋体"/>
          <w:color w:val="auto"/>
          <w:szCs w:val="21"/>
          <w:highlight w:val="none"/>
        </w:rPr>
        <w:t>投标文件如果出现计算或表达上的错误，修正错误的原则如下：</w:t>
      </w:r>
    </w:p>
    <w:p>
      <w:pPr>
        <w:adjustRightInd w:val="0"/>
        <w:snapToGrid w:val="0"/>
        <w:spacing w:line="360" w:lineRule="auto"/>
        <w:ind w:firstLine="420"/>
        <w:jc w:val="left"/>
        <w:rPr>
          <w:rFonts w:ascii="宋体" w:hAnsi="宋体" w:cs="宋体"/>
          <w:color w:val="auto"/>
          <w:szCs w:val="21"/>
          <w:highlight w:val="none"/>
        </w:rPr>
      </w:pPr>
      <w:r>
        <w:rPr>
          <w:rFonts w:hint="eastAsia" w:ascii="宋体" w:hAnsi="宋体" w:cs="宋体"/>
          <w:color w:val="auto"/>
          <w:szCs w:val="21"/>
          <w:highlight w:val="none"/>
        </w:rPr>
        <w:t>1.开标一览表总价与投标报价明细表汇总数不一致的，</w:t>
      </w:r>
      <w:r>
        <w:rPr>
          <w:rFonts w:hint="eastAsia" w:ascii="宋体" w:hAnsi="宋体" w:cs="宋体"/>
          <w:color w:val="auto"/>
          <w:kern w:val="0"/>
          <w:szCs w:val="21"/>
          <w:highlight w:val="none"/>
        </w:rPr>
        <w:t>以开标一览表为准；</w:t>
      </w:r>
    </w:p>
    <w:p>
      <w:pPr>
        <w:adjustRightInd w:val="0"/>
        <w:snapToGrid w:val="0"/>
        <w:spacing w:line="360" w:lineRule="auto"/>
        <w:ind w:firstLine="420"/>
        <w:jc w:val="left"/>
        <w:rPr>
          <w:rFonts w:ascii="宋体" w:hAnsi="宋体" w:cs="宋体"/>
          <w:color w:val="auto"/>
          <w:szCs w:val="21"/>
          <w:highlight w:val="none"/>
        </w:rPr>
      </w:pPr>
      <w:r>
        <w:rPr>
          <w:rFonts w:hint="eastAsia" w:ascii="宋体" w:hAnsi="宋体" w:cs="宋体"/>
          <w:color w:val="auto"/>
          <w:szCs w:val="21"/>
          <w:highlight w:val="none"/>
        </w:rPr>
        <w:t>2.投标文件的大写金额和小写金额不一致的，以大写金额为准；</w:t>
      </w:r>
    </w:p>
    <w:p>
      <w:pPr>
        <w:adjustRightInd w:val="0"/>
        <w:snapToGrid w:val="0"/>
        <w:spacing w:line="360" w:lineRule="auto"/>
        <w:ind w:firstLine="420"/>
        <w:jc w:val="left"/>
        <w:rPr>
          <w:rFonts w:ascii="宋体" w:hAnsi="宋体" w:cs="宋体"/>
          <w:color w:val="auto"/>
          <w:szCs w:val="21"/>
          <w:highlight w:val="none"/>
        </w:rPr>
      </w:pPr>
      <w:r>
        <w:rPr>
          <w:rFonts w:hint="eastAsia" w:ascii="宋体" w:hAnsi="宋体" w:cs="宋体"/>
          <w:color w:val="auto"/>
          <w:szCs w:val="21"/>
          <w:highlight w:val="none"/>
        </w:rPr>
        <w:t>3.总价金额与按单价汇总金额不一致的，以单价金额计算结果为准；</w:t>
      </w:r>
    </w:p>
    <w:p>
      <w:pPr>
        <w:adjustRightInd w:val="0"/>
        <w:snapToGrid w:val="0"/>
        <w:spacing w:line="360" w:lineRule="auto"/>
        <w:ind w:firstLine="420"/>
        <w:jc w:val="left"/>
        <w:rPr>
          <w:rFonts w:ascii="宋体" w:hAnsi="宋体" w:cs="宋体"/>
          <w:color w:val="auto"/>
          <w:szCs w:val="21"/>
          <w:highlight w:val="none"/>
        </w:rPr>
      </w:pPr>
      <w:r>
        <w:rPr>
          <w:rFonts w:hint="eastAsia" w:ascii="宋体" w:hAnsi="宋体" w:cs="宋体"/>
          <w:color w:val="auto"/>
          <w:szCs w:val="21"/>
          <w:highlight w:val="none"/>
        </w:rPr>
        <w:t>4.对不同文字文本投标文件的解释发生异议的，以中文文本为准。</w:t>
      </w:r>
    </w:p>
    <w:p>
      <w:pPr>
        <w:adjustRightInd w:val="0"/>
        <w:snapToGrid w:val="0"/>
        <w:spacing w:line="360" w:lineRule="auto"/>
        <w:ind w:firstLine="422"/>
        <w:rPr>
          <w:rFonts w:ascii="宋体" w:hAnsi="宋体" w:cs="宋体"/>
          <w:b/>
          <w:bCs/>
          <w:color w:val="auto"/>
          <w:szCs w:val="21"/>
          <w:highlight w:val="none"/>
        </w:rPr>
      </w:pPr>
      <w:r>
        <w:rPr>
          <w:rFonts w:hint="eastAsia" w:ascii="宋体" w:hAnsi="宋体" w:cs="宋体"/>
          <w:b/>
          <w:bCs/>
          <w:color w:val="auto"/>
          <w:szCs w:val="21"/>
          <w:highlight w:val="none"/>
        </w:rPr>
        <w:t>按上述修正错误的原则及方法调整或修正投标文件的投标报价，供应商同意并签字确认后，调整后的投标报价对供应商具有约束作用。如果供应商不接受修正后的报价，则其投标将作为无效投标处理。</w:t>
      </w:r>
    </w:p>
    <w:p>
      <w:pPr>
        <w:pStyle w:val="12"/>
        <w:snapToGrid w:val="0"/>
        <w:spacing w:before="0" w:beforeLines="0" w:after="0" w:afterLines="0" w:line="360" w:lineRule="auto"/>
        <w:ind w:firstLine="422" w:firstLineChars="200"/>
        <w:rPr>
          <w:rFonts w:hint="eastAsia" w:ascii="宋体" w:hAnsi="宋体" w:eastAsia="宋体" w:cs="宋体"/>
          <w:b/>
          <w:color w:val="auto"/>
          <w:kern w:val="2"/>
          <w:sz w:val="21"/>
          <w:szCs w:val="21"/>
          <w:highlight w:val="none"/>
          <w:lang w:val="en-US" w:eastAsia="zh-CN" w:bidi="ar-SA"/>
        </w:rPr>
      </w:pPr>
      <w:r>
        <w:rPr>
          <w:rFonts w:hint="eastAsia" w:ascii="宋体" w:hAnsi="宋体" w:eastAsia="宋体" w:cs="宋体"/>
          <w:b/>
          <w:color w:val="auto"/>
          <w:kern w:val="2"/>
          <w:sz w:val="21"/>
          <w:szCs w:val="21"/>
          <w:highlight w:val="none"/>
          <w:lang w:val="en-US" w:eastAsia="zh-CN" w:bidi="ar-SA"/>
        </w:rPr>
        <w:t>（六）评标原则和评标办法</w:t>
      </w:r>
    </w:p>
    <w:p>
      <w:pPr>
        <w:pStyle w:val="12"/>
        <w:snapToGrid w:val="0"/>
        <w:spacing w:before="0" w:beforeLines="0" w:after="0" w:afterLines="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评标原则。评标委员会必须公平、公正、客观，不带任何倾向性和启发性；不得向外界透露任何与评标有关的内容；任何单位和个人不得干扰、影响评标的正常进行；评标委员会及有关工作人员不得私下与投标人接触。</w:t>
      </w:r>
    </w:p>
    <w:p>
      <w:pPr>
        <w:pStyle w:val="12"/>
        <w:snapToGrid w:val="0"/>
        <w:spacing w:before="0" w:beforeLines="0" w:after="0" w:afterLines="0" w:line="360" w:lineRule="auto"/>
        <w:ind w:firstLine="420" w:firstLineChars="200"/>
        <w:rPr>
          <w:rFonts w:hint="eastAsia" w:ascii="宋体" w:hAnsi="宋体" w:eastAsia="宋体" w:cs="宋体"/>
          <w:b/>
          <w:color w:val="auto"/>
          <w:sz w:val="21"/>
          <w:szCs w:val="21"/>
          <w:highlight w:val="none"/>
        </w:rPr>
      </w:pPr>
      <w:r>
        <w:rPr>
          <w:rFonts w:hint="eastAsia" w:ascii="宋体" w:hAnsi="宋体" w:eastAsia="宋体" w:cs="宋体"/>
          <w:color w:val="auto"/>
          <w:sz w:val="21"/>
          <w:szCs w:val="21"/>
          <w:highlight w:val="none"/>
        </w:rPr>
        <w:t>2.评标办法。本项目评标办法是</w:t>
      </w:r>
      <w:r>
        <w:rPr>
          <w:rFonts w:hint="eastAsia" w:ascii="宋体" w:hAnsi="宋体" w:eastAsia="宋体" w:cs="宋体"/>
          <w:color w:val="auto"/>
          <w:sz w:val="21"/>
          <w:szCs w:val="21"/>
          <w:highlight w:val="none"/>
          <w:u w:val="single"/>
        </w:rPr>
        <w:t xml:space="preserve"> 综合评分法 </w:t>
      </w:r>
      <w:r>
        <w:rPr>
          <w:rFonts w:hint="eastAsia" w:ascii="宋体" w:hAnsi="宋体" w:eastAsia="宋体" w:cs="宋体"/>
          <w:color w:val="auto"/>
          <w:sz w:val="21"/>
          <w:szCs w:val="21"/>
          <w:highlight w:val="none"/>
        </w:rPr>
        <w:t>，具体评标内容及评分标准等详见《第四章：评标办法及评分标准》。</w:t>
      </w:r>
    </w:p>
    <w:p>
      <w:pPr>
        <w:adjustRightInd w:val="0"/>
        <w:snapToGrid w:val="0"/>
        <w:spacing w:line="360" w:lineRule="auto"/>
        <w:ind w:firstLine="422"/>
        <w:jc w:val="left"/>
        <w:outlineLvl w:val="2"/>
        <w:rPr>
          <w:rFonts w:ascii="宋体" w:hAnsi="宋体" w:cs="宋体"/>
          <w:b/>
          <w:color w:val="auto"/>
          <w:szCs w:val="21"/>
          <w:highlight w:val="none"/>
        </w:rPr>
      </w:pPr>
      <w:r>
        <w:rPr>
          <w:rFonts w:hint="eastAsia" w:ascii="宋体" w:hAnsi="宋体" w:cs="宋体"/>
          <w:b/>
          <w:color w:val="auto"/>
          <w:szCs w:val="21"/>
          <w:highlight w:val="none"/>
          <w:lang w:eastAsia="zh-CN"/>
        </w:rPr>
        <w:t>（</w:t>
      </w:r>
      <w:r>
        <w:rPr>
          <w:rFonts w:hint="eastAsia" w:ascii="宋体" w:hAnsi="宋体" w:cs="宋体"/>
          <w:b/>
          <w:color w:val="auto"/>
          <w:szCs w:val="21"/>
          <w:highlight w:val="none"/>
          <w:lang w:val="en-US" w:eastAsia="zh-CN"/>
        </w:rPr>
        <w:t>七</w:t>
      </w:r>
      <w:r>
        <w:rPr>
          <w:rFonts w:hint="eastAsia" w:ascii="宋体" w:hAnsi="宋体" w:cs="宋体"/>
          <w:b/>
          <w:color w:val="auto"/>
          <w:szCs w:val="21"/>
          <w:highlight w:val="none"/>
          <w:lang w:eastAsia="zh-CN"/>
        </w:rPr>
        <w:t>）</w:t>
      </w:r>
      <w:r>
        <w:rPr>
          <w:rFonts w:hint="eastAsia" w:ascii="宋体" w:hAnsi="宋体" w:cs="宋体"/>
          <w:b/>
          <w:color w:val="auto"/>
          <w:szCs w:val="21"/>
          <w:highlight w:val="none"/>
        </w:rPr>
        <w:t>评标过程的监控</w:t>
      </w:r>
    </w:p>
    <w:p>
      <w:pPr>
        <w:adjustRightInd w:val="0"/>
        <w:snapToGrid w:val="0"/>
        <w:spacing w:line="360" w:lineRule="auto"/>
        <w:ind w:firstLine="420"/>
        <w:jc w:val="left"/>
        <w:rPr>
          <w:rFonts w:ascii="宋体" w:hAnsi="宋体" w:cs="宋体"/>
          <w:color w:val="auto"/>
          <w:szCs w:val="21"/>
          <w:highlight w:val="none"/>
        </w:rPr>
      </w:pPr>
      <w:r>
        <w:rPr>
          <w:rFonts w:hint="eastAsia" w:ascii="宋体" w:hAnsi="宋体" w:cs="宋体"/>
          <w:color w:val="auto"/>
          <w:szCs w:val="21"/>
          <w:highlight w:val="none"/>
        </w:rPr>
        <w:t>本项目评标过程实行全程录音、录像监控，供应商在评标过程中所进行的试图影响评标结果的不公正活动，可能导致其投标作无效处理。</w:t>
      </w:r>
    </w:p>
    <w:p>
      <w:pPr>
        <w:adjustRightInd w:val="0"/>
        <w:snapToGrid w:val="0"/>
        <w:spacing w:line="360" w:lineRule="auto"/>
        <w:outlineLvl w:val="1"/>
        <w:rPr>
          <w:rFonts w:ascii="宋体" w:hAnsi="宋体" w:cs="宋体"/>
          <w:b/>
          <w:color w:val="auto"/>
          <w:szCs w:val="21"/>
          <w:highlight w:val="none"/>
        </w:rPr>
      </w:pPr>
      <w:r>
        <w:rPr>
          <w:rFonts w:hint="eastAsia" w:ascii="宋体" w:hAnsi="宋体" w:cs="宋体"/>
          <w:b/>
          <w:color w:val="auto"/>
          <w:szCs w:val="21"/>
          <w:highlight w:val="none"/>
        </w:rPr>
        <w:t>六、采购方式变更</w:t>
      </w:r>
    </w:p>
    <w:p>
      <w:pPr>
        <w:adjustRightInd w:val="0"/>
        <w:snapToGrid w:val="0"/>
        <w:spacing w:line="360" w:lineRule="auto"/>
        <w:ind w:firstLine="420" w:firstLineChars="200"/>
        <w:outlineLvl w:val="1"/>
        <w:rPr>
          <w:rFonts w:ascii="宋体" w:hAnsi="宋体" w:cs="宋体"/>
          <w:bCs/>
          <w:color w:val="auto"/>
          <w:szCs w:val="21"/>
          <w:highlight w:val="none"/>
        </w:rPr>
      </w:pPr>
      <w:r>
        <w:rPr>
          <w:rFonts w:hint="eastAsia" w:ascii="宋体" w:hAnsi="宋体" w:cs="宋体"/>
          <w:bCs/>
          <w:color w:val="auto"/>
          <w:szCs w:val="21"/>
          <w:highlight w:val="none"/>
        </w:rPr>
        <w:t>至投标截止时间或在评审期间，出现参与投标或者对招标文件作出实质性响应的供应商不足3家的情况，招标采购单位有权全部或部分终止招标。经相关采购管理部门批准，招标采购单位可以按照原招标文件确定的采购方式进行，或者改用竞争性谈判或者单一来源方式采购。</w:t>
      </w:r>
    </w:p>
    <w:p>
      <w:pPr>
        <w:adjustRightInd w:val="0"/>
        <w:snapToGrid w:val="0"/>
        <w:spacing w:line="360" w:lineRule="auto"/>
        <w:outlineLvl w:val="1"/>
        <w:rPr>
          <w:rFonts w:ascii="宋体" w:hAnsi="宋体" w:cs="宋体"/>
          <w:b/>
          <w:color w:val="auto"/>
          <w:szCs w:val="21"/>
          <w:highlight w:val="none"/>
        </w:rPr>
      </w:pPr>
      <w:r>
        <w:rPr>
          <w:rFonts w:hint="eastAsia" w:ascii="宋体" w:hAnsi="宋体" w:cs="宋体"/>
          <w:b/>
          <w:color w:val="auto"/>
          <w:szCs w:val="21"/>
          <w:highlight w:val="none"/>
        </w:rPr>
        <w:t>七、定标</w:t>
      </w:r>
    </w:p>
    <w:p>
      <w:pPr>
        <w:pStyle w:val="12"/>
        <w:snapToGrid w:val="0"/>
        <w:spacing w:before="0" w:beforeLines="0" w:after="0" w:afterLines="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1、采购代理机构应当在评标结束后2个工作日内将评标报告送采购人。</w:t>
      </w:r>
    </w:p>
    <w:p>
      <w:pPr>
        <w:pStyle w:val="12"/>
        <w:snapToGrid w:val="0"/>
        <w:spacing w:before="0" w:beforeLines="0" w:after="0" w:afterLines="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采购人应当自收到评标报告之日起5个工作日内，在评标报告确定的中标候选人名单中按顺序确定中标人。中标候选人并列的，由采购人或者采购人委托评标委员会按照招标文件规定的方式确定中标人；招标文件未规定的，采取随机抽取的方式确定。</w:t>
      </w:r>
    </w:p>
    <w:p>
      <w:pPr>
        <w:pStyle w:val="12"/>
        <w:snapToGrid w:val="0"/>
        <w:spacing w:before="0" w:beforeLines="0" w:after="0" w:afterLines="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3、采购人自行组织招标的，应当在评标结束后5个工作日内确定中标人。</w:t>
      </w:r>
    </w:p>
    <w:p>
      <w:pPr>
        <w:pStyle w:val="12"/>
        <w:snapToGrid w:val="0"/>
        <w:spacing w:before="0" w:beforeLines="0" w:after="0" w:afterLines="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4、采购人在收到评标报告5个工作日内未按评标报告推荐的中标候选人顺序确定中标人，又不能说明合法理由的，视同按评标报告推荐的顺序确定排名第一的中标候选人为中标人。</w:t>
      </w:r>
    </w:p>
    <w:p>
      <w:pPr>
        <w:pStyle w:val="12"/>
        <w:snapToGrid w:val="0"/>
        <w:spacing w:before="0" w:beforeLines="0" w:after="0" w:afterLines="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5、采购人或者采购代理机构应当自中标人确定之日起2个工作日内，在省级以上财政部门指定的媒体上公告中标结果。</w:t>
      </w:r>
    </w:p>
    <w:p>
      <w:pPr>
        <w:pStyle w:val="12"/>
        <w:snapToGrid w:val="0"/>
        <w:spacing w:before="0" w:beforeLines="0" w:after="0" w:afterLines="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6、中标公告期限为1个工作日。</w:t>
      </w:r>
    </w:p>
    <w:p>
      <w:pPr>
        <w:pStyle w:val="12"/>
        <w:snapToGrid w:val="0"/>
        <w:spacing w:before="0" w:beforeLines="0" w:after="0" w:afterLines="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8、在公告中标结果的同时，采购人或者采购代理机构应当向中标人发出中标通知书。</w:t>
      </w:r>
    </w:p>
    <w:p>
      <w:pPr>
        <w:pStyle w:val="12"/>
        <w:snapToGrid w:val="0"/>
        <w:spacing w:before="0" w:beforeLines="0" w:after="0" w:afterLines="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9、中标通知书发出后，采购人不得违法改变中标结果，中标人无正当理由不得放弃中标。</w:t>
      </w:r>
    </w:p>
    <w:p>
      <w:pPr>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10、若中标人被投诉有效以及其他原因导致中标无效，或者拒不签订合同的，采购人将在评标委员会推荐的中标候选人中确定排名其次的中标候选人为本项目的中标人或重新招标。</w:t>
      </w:r>
    </w:p>
    <w:p>
      <w:pPr>
        <w:adjustRightInd w:val="0"/>
        <w:snapToGrid w:val="0"/>
        <w:spacing w:line="360" w:lineRule="auto"/>
        <w:outlineLvl w:val="1"/>
        <w:rPr>
          <w:rFonts w:ascii="宋体" w:hAnsi="宋体" w:cs="宋体"/>
          <w:b/>
          <w:color w:val="auto"/>
          <w:szCs w:val="21"/>
          <w:highlight w:val="none"/>
        </w:rPr>
      </w:pPr>
      <w:r>
        <w:rPr>
          <w:rFonts w:hint="eastAsia" w:ascii="宋体" w:hAnsi="宋体" w:cs="宋体"/>
          <w:b/>
          <w:color w:val="auto"/>
          <w:szCs w:val="21"/>
          <w:highlight w:val="none"/>
        </w:rPr>
        <w:t>八、合同授予</w:t>
      </w:r>
    </w:p>
    <w:p>
      <w:pPr>
        <w:adjustRightInd w:val="0"/>
        <w:snapToGrid w:val="0"/>
        <w:spacing w:line="360" w:lineRule="auto"/>
        <w:ind w:firstLine="422"/>
        <w:jc w:val="left"/>
        <w:outlineLvl w:val="2"/>
        <w:rPr>
          <w:rFonts w:ascii="宋体" w:hAnsi="宋体" w:cs="宋体"/>
          <w:b/>
          <w:color w:val="auto"/>
          <w:szCs w:val="21"/>
          <w:highlight w:val="none"/>
        </w:rPr>
      </w:pPr>
      <w:r>
        <w:rPr>
          <w:rFonts w:hint="eastAsia" w:ascii="宋体" w:hAnsi="宋体" w:cs="宋体"/>
          <w:b/>
          <w:color w:val="auto"/>
          <w:szCs w:val="21"/>
          <w:highlight w:val="none"/>
        </w:rPr>
        <w:t>（一）签订合同</w:t>
      </w:r>
    </w:p>
    <w:p>
      <w:pPr>
        <w:adjustRightInd w:val="0"/>
        <w:snapToGrid w:val="0"/>
        <w:spacing w:line="360" w:lineRule="auto"/>
        <w:ind w:firstLine="420"/>
        <w:jc w:val="left"/>
        <w:rPr>
          <w:rFonts w:ascii="宋体" w:hAnsi="宋体" w:cs="宋体"/>
          <w:color w:val="auto"/>
          <w:szCs w:val="21"/>
          <w:highlight w:val="none"/>
        </w:rPr>
      </w:pPr>
      <w:r>
        <w:rPr>
          <w:rFonts w:hint="eastAsia" w:ascii="宋体" w:hAnsi="宋体" w:cs="宋体"/>
          <w:color w:val="auto"/>
          <w:szCs w:val="21"/>
          <w:highlight w:val="none"/>
        </w:rPr>
        <w:t>1.采购人与中标人应当在中标通知书发出之日起30日内签订合同。</w:t>
      </w:r>
    </w:p>
    <w:p>
      <w:pPr>
        <w:adjustRightInd w:val="0"/>
        <w:snapToGrid w:val="0"/>
        <w:spacing w:line="360" w:lineRule="auto"/>
        <w:ind w:firstLine="420"/>
        <w:jc w:val="left"/>
        <w:rPr>
          <w:rFonts w:ascii="宋体" w:hAnsi="宋体" w:cs="宋体"/>
          <w:color w:val="auto"/>
          <w:szCs w:val="21"/>
          <w:highlight w:val="none"/>
        </w:rPr>
      </w:pPr>
      <w:r>
        <w:rPr>
          <w:rFonts w:hint="eastAsia" w:ascii="宋体" w:hAnsi="宋体" w:cs="宋体"/>
          <w:color w:val="auto"/>
          <w:szCs w:val="21"/>
          <w:highlight w:val="none"/>
        </w:rPr>
        <w:t>2.中标人拖延、拒签合同的，取消中标资格。</w:t>
      </w:r>
    </w:p>
    <w:p>
      <w:pPr>
        <w:adjustRightInd w:val="0"/>
        <w:snapToGrid w:val="0"/>
        <w:spacing w:line="360" w:lineRule="auto"/>
        <w:ind w:firstLine="422"/>
        <w:jc w:val="left"/>
        <w:outlineLvl w:val="2"/>
        <w:rPr>
          <w:rFonts w:ascii="宋体" w:hAnsi="宋体" w:cs="宋体"/>
          <w:b/>
          <w:color w:val="auto"/>
          <w:szCs w:val="21"/>
          <w:highlight w:val="none"/>
        </w:rPr>
      </w:pPr>
      <w:r>
        <w:rPr>
          <w:rFonts w:hint="eastAsia" w:ascii="宋体" w:hAnsi="宋体" w:cs="宋体"/>
          <w:b/>
          <w:color w:val="auto"/>
          <w:szCs w:val="21"/>
          <w:highlight w:val="none"/>
        </w:rPr>
        <w:t>（二）履约保证金</w:t>
      </w:r>
    </w:p>
    <w:p>
      <w:pPr>
        <w:adjustRightInd w:val="0"/>
        <w:snapToGrid w:val="0"/>
        <w:spacing w:line="360" w:lineRule="auto"/>
        <w:ind w:firstLine="420"/>
        <w:jc w:val="left"/>
        <w:rPr>
          <w:rFonts w:ascii="宋体" w:hAnsi="宋体" w:cs="宋体"/>
          <w:b/>
          <w:bCs/>
          <w:color w:val="auto"/>
          <w:szCs w:val="21"/>
          <w:highlight w:val="none"/>
        </w:rPr>
      </w:pPr>
      <w:r>
        <w:rPr>
          <w:rFonts w:hint="eastAsia" w:ascii="宋体" w:hAnsi="宋体" w:cs="宋体"/>
          <w:color w:val="auto"/>
          <w:szCs w:val="21"/>
          <w:highlight w:val="none"/>
        </w:rPr>
        <w:t>1.在本项目合同生效前，中标人应根据招标文件确定的履约保证金的金额（如有），向采购人交纳履约保证金。</w:t>
      </w:r>
    </w:p>
    <w:p>
      <w:pPr>
        <w:adjustRightInd w:val="0"/>
        <w:snapToGrid w:val="0"/>
        <w:spacing w:line="360" w:lineRule="auto"/>
        <w:ind w:firstLine="420"/>
        <w:jc w:val="left"/>
        <w:rPr>
          <w:rFonts w:ascii="宋体" w:hAnsi="宋体" w:cs="宋体"/>
          <w:color w:val="auto"/>
          <w:szCs w:val="21"/>
          <w:highlight w:val="none"/>
        </w:rPr>
      </w:pPr>
      <w:r>
        <w:rPr>
          <w:rFonts w:hint="eastAsia" w:ascii="宋体" w:hAnsi="宋体" w:cs="宋体"/>
          <w:color w:val="auto"/>
          <w:szCs w:val="21"/>
          <w:highlight w:val="none"/>
        </w:rPr>
        <w:t>2.签订合同后，如中标人不按双方合同约定履约，则没收其全部履约保证金，履约保证金不足以赔偿损失的，按实际损失赔偿。</w:t>
      </w:r>
    </w:p>
    <w:p>
      <w:pPr>
        <w:adjustRightInd w:val="0"/>
        <w:snapToGrid w:val="0"/>
        <w:spacing w:line="360" w:lineRule="auto"/>
        <w:jc w:val="left"/>
        <w:rPr>
          <w:rFonts w:ascii="宋体" w:hAnsi="宋体" w:cs="宋体"/>
          <w:b/>
          <w:bCs/>
          <w:color w:val="auto"/>
          <w:szCs w:val="21"/>
          <w:highlight w:val="none"/>
        </w:rPr>
      </w:pPr>
      <w:r>
        <w:rPr>
          <w:rFonts w:hint="eastAsia" w:ascii="宋体" w:hAnsi="宋体" w:cs="宋体"/>
          <w:b/>
          <w:bCs/>
          <w:color w:val="auto"/>
          <w:szCs w:val="21"/>
          <w:highlight w:val="none"/>
        </w:rPr>
        <w:t>九、政府采购政策</w:t>
      </w:r>
    </w:p>
    <w:p>
      <w:pPr>
        <w:adjustRightInd w:val="0"/>
        <w:snapToGrid w:val="0"/>
        <w:spacing w:line="360" w:lineRule="auto"/>
        <w:ind w:firstLine="420"/>
        <w:jc w:val="left"/>
        <w:rPr>
          <w:rFonts w:ascii="宋体" w:hAnsi="宋体" w:cs="宋体"/>
          <w:color w:val="auto"/>
          <w:szCs w:val="21"/>
          <w:highlight w:val="none"/>
        </w:rPr>
      </w:pPr>
      <w:r>
        <w:rPr>
          <w:rFonts w:hint="eastAsia" w:ascii="宋体" w:hAnsi="宋体" w:cs="宋体"/>
          <w:color w:val="auto"/>
          <w:szCs w:val="21"/>
          <w:highlight w:val="none"/>
        </w:rPr>
        <w:t>1.执行财政部、工业和信息化部《政府采购促进中小企业发展管理办法》（财库〔2020〕46号）。政府采购活动中有关中小企业的相关规定如下：</w:t>
      </w:r>
    </w:p>
    <w:p>
      <w:pPr>
        <w:adjustRightInd w:val="0"/>
        <w:snapToGrid w:val="0"/>
        <w:spacing w:line="360" w:lineRule="auto"/>
        <w:ind w:firstLine="420"/>
        <w:jc w:val="left"/>
        <w:rPr>
          <w:rFonts w:ascii="宋体" w:hAnsi="宋体" w:cs="宋体"/>
          <w:color w:val="auto"/>
          <w:szCs w:val="21"/>
          <w:highlight w:val="none"/>
        </w:rPr>
      </w:pPr>
      <w:r>
        <w:rPr>
          <w:rFonts w:hint="eastAsia" w:ascii="宋体" w:hAnsi="宋体" w:cs="宋体"/>
          <w:color w:val="auto"/>
          <w:szCs w:val="21"/>
          <w:highlight w:val="none"/>
        </w:rPr>
        <w:t>中小企业，是指在中华人民共和国境内依法设立，依据国务院批准的中小企业划分标准确定的中型企业、小型企业和微型企业，但与大企业的负责人为同一人，或者与大企业存在直接控股、管理关系的除外。</w:t>
      </w:r>
    </w:p>
    <w:p>
      <w:pPr>
        <w:adjustRightInd w:val="0"/>
        <w:snapToGrid w:val="0"/>
        <w:spacing w:line="360" w:lineRule="auto"/>
        <w:ind w:firstLine="420"/>
        <w:jc w:val="left"/>
        <w:rPr>
          <w:rFonts w:ascii="宋体" w:hAnsi="宋体" w:cs="宋体"/>
          <w:color w:val="auto"/>
          <w:szCs w:val="21"/>
          <w:highlight w:val="none"/>
        </w:rPr>
      </w:pPr>
      <w:r>
        <w:rPr>
          <w:rFonts w:hint="eastAsia" w:ascii="宋体" w:hAnsi="宋体" w:cs="宋体"/>
          <w:color w:val="auto"/>
          <w:szCs w:val="21"/>
          <w:highlight w:val="none"/>
        </w:rPr>
        <w:t>符合中小企业划分标准的个体工商户，在政府采购活动中视同中小企业。</w:t>
      </w:r>
    </w:p>
    <w:p>
      <w:pPr>
        <w:adjustRightInd w:val="0"/>
        <w:snapToGrid w:val="0"/>
        <w:spacing w:line="360" w:lineRule="auto"/>
        <w:ind w:firstLine="420"/>
        <w:jc w:val="left"/>
        <w:rPr>
          <w:rFonts w:ascii="宋体" w:hAnsi="宋体" w:cs="宋体"/>
          <w:color w:val="auto"/>
          <w:szCs w:val="21"/>
          <w:highlight w:val="none"/>
        </w:rPr>
      </w:pPr>
      <w:r>
        <w:rPr>
          <w:rFonts w:hint="eastAsia" w:ascii="宋体" w:hAnsi="宋体" w:cs="宋体"/>
          <w:color w:val="auto"/>
          <w:szCs w:val="21"/>
          <w:highlight w:val="none"/>
        </w:rPr>
        <w:t>2.在政府采购活动中，供应商提供的货物、工程或者服务符合下列情形的，享受《政府采购促进中小企业发展管理办法》规定的中小企业扶持政策：</w:t>
      </w:r>
    </w:p>
    <w:p>
      <w:pPr>
        <w:adjustRightInd w:val="0"/>
        <w:snapToGrid w:val="0"/>
        <w:spacing w:line="360" w:lineRule="auto"/>
        <w:ind w:firstLine="420"/>
        <w:jc w:val="left"/>
        <w:rPr>
          <w:rFonts w:ascii="宋体" w:hAnsi="宋体" w:cs="宋体"/>
          <w:color w:val="auto"/>
          <w:szCs w:val="21"/>
          <w:highlight w:val="none"/>
        </w:rPr>
      </w:pPr>
      <w:r>
        <w:rPr>
          <w:rFonts w:hint="eastAsia" w:ascii="宋体" w:hAnsi="宋体" w:cs="宋体"/>
          <w:color w:val="auto"/>
          <w:szCs w:val="21"/>
          <w:highlight w:val="none"/>
        </w:rPr>
        <w:t>（1）在货物采购项目中，货物由中小企业制造，即货物由中小企业生产且使用该中小企业商号或者注册商标；</w:t>
      </w:r>
    </w:p>
    <w:p>
      <w:pPr>
        <w:adjustRightInd w:val="0"/>
        <w:snapToGrid w:val="0"/>
        <w:spacing w:line="360" w:lineRule="auto"/>
        <w:ind w:firstLine="420"/>
        <w:jc w:val="left"/>
        <w:rPr>
          <w:rFonts w:ascii="宋体" w:hAnsi="宋体" w:cs="宋体"/>
          <w:color w:val="auto"/>
          <w:szCs w:val="21"/>
          <w:highlight w:val="none"/>
        </w:rPr>
      </w:pPr>
      <w:r>
        <w:rPr>
          <w:rFonts w:hint="eastAsia" w:ascii="宋体" w:hAnsi="宋体" w:cs="宋体"/>
          <w:color w:val="auto"/>
          <w:szCs w:val="21"/>
          <w:highlight w:val="none"/>
        </w:rPr>
        <w:t>（2）在工程采购项目中，工程由中小企业承建，即工程施工单位为中小企业；</w:t>
      </w:r>
    </w:p>
    <w:p>
      <w:pPr>
        <w:adjustRightInd w:val="0"/>
        <w:snapToGrid w:val="0"/>
        <w:spacing w:line="360" w:lineRule="auto"/>
        <w:ind w:firstLine="420"/>
        <w:jc w:val="left"/>
        <w:rPr>
          <w:rFonts w:ascii="宋体" w:hAnsi="宋体" w:cs="宋体"/>
          <w:color w:val="auto"/>
          <w:szCs w:val="21"/>
          <w:highlight w:val="none"/>
        </w:rPr>
      </w:pPr>
      <w:r>
        <w:rPr>
          <w:rFonts w:hint="eastAsia" w:ascii="宋体" w:hAnsi="宋体" w:cs="宋体"/>
          <w:color w:val="auto"/>
          <w:szCs w:val="21"/>
          <w:highlight w:val="none"/>
        </w:rPr>
        <w:t>（3）在服务采购项目中，服务由中小企业承接，即提供服务的人员为中小企业依照《中华人民共和国劳动合同法》订立劳动合同的从业人员。</w:t>
      </w:r>
    </w:p>
    <w:p>
      <w:pPr>
        <w:adjustRightInd w:val="0"/>
        <w:snapToGrid w:val="0"/>
        <w:spacing w:line="360" w:lineRule="auto"/>
        <w:ind w:firstLine="420"/>
        <w:jc w:val="left"/>
        <w:rPr>
          <w:rFonts w:ascii="宋体" w:hAnsi="宋体" w:cs="宋体"/>
          <w:color w:val="auto"/>
          <w:szCs w:val="21"/>
          <w:highlight w:val="none"/>
        </w:rPr>
      </w:pPr>
      <w:r>
        <w:rPr>
          <w:rFonts w:hint="eastAsia" w:ascii="宋体" w:hAnsi="宋体" w:cs="宋体"/>
          <w:color w:val="auto"/>
          <w:szCs w:val="21"/>
          <w:highlight w:val="none"/>
        </w:rPr>
        <w:t>在货物采购项目中，供应商提供的货物既有中小企业制造货物，也有大型企业制造货物的，不享受《政府采购促进中小企业发展管理办法》规定的中小企业扶持政策。</w:t>
      </w:r>
    </w:p>
    <w:p>
      <w:pPr>
        <w:adjustRightInd w:val="0"/>
        <w:snapToGrid w:val="0"/>
        <w:spacing w:line="360" w:lineRule="auto"/>
        <w:ind w:firstLine="420"/>
        <w:jc w:val="left"/>
        <w:rPr>
          <w:rFonts w:ascii="宋体" w:hAnsi="宋体" w:cs="宋体"/>
          <w:color w:val="auto"/>
          <w:szCs w:val="21"/>
          <w:highlight w:val="none"/>
        </w:rPr>
      </w:pPr>
      <w:r>
        <w:rPr>
          <w:rFonts w:hint="eastAsia" w:ascii="宋体" w:hAnsi="宋体" w:cs="宋体"/>
          <w:color w:val="auto"/>
          <w:szCs w:val="21"/>
          <w:highlight w:val="none"/>
        </w:rPr>
        <w:t>以联合体形式参加政府采购活动，联合体各方均为中小企业的，联合体视同中小企业。其中，联合体各方均为小微企业的，联合体视同小微企业。</w:t>
      </w:r>
    </w:p>
    <w:p>
      <w:pPr>
        <w:adjustRightInd w:val="0"/>
        <w:snapToGrid w:val="0"/>
        <w:spacing w:line="360" w:lineRule="auto"/>
        <w:ind w:firstLine="420"/>
        <w:jc w:val="left"/>
        <w:rPr>
          <w:rFonts w:ascii="宋体" w:hAnsi="宋体" w:cs="宋体"/>
          <w:color w:val="auto"/>
          <w:szCs w:val="21"/>
          <w:highlight w:val="none"/>
        </w:rPr>
      </w:pPr>
      <w:r>
        <w:rPr>
          <w:rFonts w:hint="eastAsia" w:ascii="宋体" w:hAnsi="宋体" w:cs="宋体"/>
          <w:color w:val="auto"/>
          <w:szCs w:val="21"/>
          <w:highlight w:val="none"/>
        </w:rPr>
        <w:t>3.中小企业参加政府采购活动，应当出具《政府采购促进中小企业发展管理办法》规定的《中小企业声明函》（格式见本采购文件附件），否则不得享受相关中小企业扶持政策。</w:t>
      </w:r>
    </w:p>
    <w:p>
      <w:pPr>
        <w:adjustRightInd w:val="0"/>
        <w:snapToGrid w:val="0"/>
        <w:spacing w:line="360" w:lineRule="auto"/>
        <w:ind w:firstLine="420"/>
        <w:jc w:val="left"/>
        <w:rPr>
          <w:rFonts w:ascii="宋体" w:hAnsi="宋体" w:cs="宋体"/>
          <w:color w:val="auto"/>
          <w:szCs w:val="21"/>
          <w:highlight w:val="none"/>
        </w:rPr>
      </w:pPr>
      <w:r>
        <w:rPr>
          <w:rFonts w:hint="eastAsia" w:ascii="宋体" w:hAnsi="宋体" w:cs="宋体"/>
          <w:color w:val="auto"/>
          <w:szCs w:val="21"/>
          <w:highlight w:val="none"/>
        </w:rPr>
        <w:t>4.采购活动过程中，对供应商的“中小企业”资格认定，以供应商提交的《中小企业声明函》为准，供应商必须实事求是地提交声明函，如有虚假，将依法承担法律责任。如果在采购活动过程中相关采购当事人对供应商“中小企业”资格有异议的，由货物制造商或者工程、服务供应商注册登记所在地的县级以上人民政府中小企业主管部门负责认定。</w:t>
      </w:r>
    </w:p>
    <w:p>
      <w:pPr>
        <w:adjustRightInd w:val="0"/>
        <w:snapToGrid w:val="0"/>
        <w:spacing w:line="360" w:lineRule="auto"/>
        <w:ind w:firstLine="420"/>
        <w:jc w:val="left"/>
        <w:rPr>
          <w:rFonts w:ascii="宋体" w:hAnsi="宋体" w:cs="宋体"/>
          <w:color w:val="auto"/>
          <w:szCs w:val="21"/>
          <w:highlight w:val="none"/>
        </w:rPr>
      </w:pPr>
      <w:r>
        <w:rPr>
          <w:rFonts w:hint="eastAsia" w:ascii="宋体" w:hAnsi="宋体" w:cs="宋体"/>
          <w:color w:val="auto"/>
          <w:szCs w:val="21"/>
          <w:highlight w:val="none"/>
        </w:rPr>
        <w:t>5.《中小企业声明函》由参加投标的供应商提交，如供应商为代理商，须自行采集制造商的中小企业划分类型信息填入相应栏目并对其真实性负责。</w:t>
      </w:r>
    </w:p>
    <w:p>
      <w:pPr>
        <w:adjustRightInd w:val="0"/>
        <w:snapToGrid w:val="0"/>
        <w:spacing w:line="360" w:lineRule="auto"/>
        <w:ind w:firstLine="420"/>
        <w:jc w:val="left"/>
        <w:rPr>
          <w:rFonts w:ascii="宋体" w:hAnsi="宋体" w:cs="宋体"/>
          <w:color w:val="auto"/>
          <w:szCs w:val="21"/>
          <w:highlight w:val="none"/>
        </w:rPr>
      </w:pPr>
      <w:r>
        <w:rPr>
          <w:rFonts w:hint="eastAsia" w:ascii="宋体" w:hAnsi="宋体" w:cs="宋体"/>
          <w:color w:val="auto"/>
          <w:szCs w:val="21"/>
          <w:highlight w:val="none"/>
        </w:rPr>
        <w:t>6.根据《财政部司法部关于政府采购支持监狱企业发展有关问题的通知》（财库〔2014〕68号）规定，监狱企业视同小型、微型企业。监狱企业参加政府采购活动时，应当提供由省级以上监狱管理中心、戒毒管理中心（含新疆生产建设兵团）出具的属于监狱企业的证明文件。</w:t>
      </w:r>
    </w:p>
    <w:p>
      <w:pPr>
        <w:adjustRightInd w:val="0"/>
        <w:snapToGrid w:val="0"/>
        <w:spacing w:line="360" w:lineRule="auto"/>
        <w:ind w:firstLine="420"/>
        <w:jc w:val="left"/>
        <w:rPr>
          <w:rFonts w:ascii="宋体" w:hAnsi="宋体" w:cs="宋体"/>
          <w:color w:val="auto"/>
          <w:szCs w:val="21"/>
          <w:highlight w:val="none"/>
        </w:rPr>
      </w:pPr>
      <w:r>
        <w:rPr>
          <w:rFonts w:hint="eastAsia" w:ascii="宋体" w:hAnsi="宋体" w:cs="宋体"/>
          <w:color w:val="auto"/>
          <w:szCs w:val="21"/>
          <w:highlight w:val="none"/>
        </w:rPr>
        <w:t>7.根据《关于促进残疾人就业政府采购政策的通知》（财库[2017]141号）规定，残疾人福利性单位视同小型、微型企业。符合条件的残疾人福利性单位在参加政府采购活动时，应当在投标文件中提供通知规定的《残疾人福利性单位声明函》（格式见附件），并对声明的真实性负责。</w:t>
      </w:r>
    </w:p>
    <w:p>
      <w:pPr>
        <w:pStyle w:val="22"/>
        <w:ind w:firstLine="344"/>
        <w:rPr>
          <w:rFonts w:hAnsi="宋体" w:cs="宋体"/>
          <w:color w:val="auto"/>
          <w:highlight w:val="none"/>
        </w:rPr>
      </w:pPr>
    </w:p>
    <w:p>
      <w:pPr>
        <w:pStyle w:val="16"/>
        <w:adjustRightInd w:val="0"/>
        <w:snapToGrid w:val="0"/>
        <w:spacing w:before="0" w:after="0" w:line="360" w:lineRule="auto"/>
        <w:rPr>
          <w:rFonts w:ascii="宋体" w:hAnsi="宋体" w:cs="宋体"/>
          <w:b w:val="0"/>
          <w:bCs w:val="0"/>
          <w:color w:val="auto"/>
          <w:sz w:val="21"/>
          <w:szCs w:val="21"/>
          <w:highlight w:val="none"/>
        </w:rPr>
      </w:pPr>
      <w:bookmarkStart w:id="9" w:name="_Toc13"/>
      <w:bookmarkStart w:id="10" w:name="_Toc55909256"/>
      <w:r>
        <w:rPr>
          <w:rFonts w:hint="eastAsia" w:ascii="宋体" w:hAnsi="宋体" w:cs="宋体"/>
          <w:color w:val="auto"/>
          <w:sz w:val="28"/>
          <w:szCs w:val="28"/>
          <w:highlight w:val="none"/>
        </w:rPr>
        <w:t>第四部分 评标办法及评分标准</w:t>
      </w:r>
      <w:bookmarkEnd w:id="9"/>
      <w:bookmarkEnd w:id="10"/>
    </w:p>
    <w:p>
      <w:pPr>
        <w:adjustRightInd w:val="0"/>
        <w:snapToGrid w:val="0"/>
        <w:spacing w:line="360" w:lineRule="auto"/>
        <w:ind w:firstLine="422"/>
        <w:outlineLvl w:val="1"/>
        <w:rPr>
          <w:rFonts w:ascii="宋体" w:hAnsi="宋体" w:cs="宋体"/>
          <w:color w:val="auto"/>
          <w:szCs w:val="21"/>
          <w:highlight w:val="none"/>
        </w:rPr>
      </w:pPr>
      <w:r>
        <w:rPr>
          <w:rFonts w:hint="eastAsia" w:ascii="宋体" w:hAnsi="宋体" w:cs="宋体"/>
          <w:color w:val="auto"/>
          <w:szCs w:val="21"/>
          <w:highlight w:val="none"/>
        </w:rPr>
        <w:t>本办法严格遵照《中华人民共和国政府采购法》、《政府采购货物和服务招标投标管理办法》，结合项目所在地政府有关政府采购规定和项目的实际情况制定。</w:t>
      </w:r>
    </w:p>
    <w:p>
      <w:pPr>
        <w:pStyle w:val="22"/>
        <w:adjustRightInd w:val="0"/>
        <w:snapToGrid w:val="0"/>
        <w:spacing w:line="360" w:lineRule="auto"/>
        <w:ind w:firstLine="406"/>
        <w:rPr>
          <w:rFonts w:hAnsi="宋体" w:cs="宋体"/>
          <w:color w:val="auto"/>
          <w:sz w:val="21"/>
          <w:szCs w:val="21"/>
          <w:highlight w:val="none"/>
        </w:rPr>
      </w:pPr>
      <w:r>
        <w:rPr>
          <w:rFonts w:hint="eastAsia" w:hAnsi="宋体" w:cs="宋体"/>
          <w:b/>
          <w:bCs/>
          <w:color w:val="auto"/>
          <w:sz w:val="21"/>
          <w:szCs w:val="21"/>
          <w:highlight w:val="none"/>
        </w:rPr>
        <w:t>本次采购为非专门面向中小企业。</w:t>
      </w:r>
      <w:r>
        <w:rPr>
          <w:rFonts w:hint="eastAsia" w:hAnsi="宋体" w:cs="宋体"/>
          <w:color w:val="auto"/>
          <w:sz w:val="21"/>
          <w:szCs w:val="21"/>
          <w:highlight w:val="none"/>
        </w:rPr>
        <w:t>本次评标将对中小企业声明函满足招标文件要求的货物制造商/工程承建企业/服务承接企业均为小微企业的价格给予6%的扣除，用扣除后的价格参与评审。价格扣除只用于评审过程，如中标，中标价格仍按照其投标价格进行公示。</w:t>
      </w:r>
    </w:p>
    <w:p>
      <w:pPr>
        <w:adjustRightInd w:val="0"/>
        <w:snapToGrid w:val="0"/>
        <w:spacing w:line="360" w:lineRule="auto"/>
        <w:ind w:firstLine="422"/>
        <w:outlineLvl w:val="1"/>
        <w:rPr>
          <w:rFonts w:ascii="宋体" w:hAnsi="宋体" w:cs="宋体"/>
          <w:b/>
          <w:color w:val="auto"/>
          <w:szCs w:val="21"/>
          <w:highlight w:val="none"/>
        </w:rPr>
      </w:pPr>
      <w:r>
        <w:rPr>
          <w:rFonts w:hint="eastAsia" w:ascii="宋体" w:hAnsi="宋体" w:cs="宋体"/>
          <w:b/>
          <w:color w:val="auto"/>
          <w:szCs w:val="21"/>
          <w:highlight w:val="none"/>
        </w:rPr>
        <w:t>一、评标原则</w:t>
      </w:r>
    </w:p>
    <w:p>
      <w:pPr>
        <w:adjustRightInd w:val="0"/>
        <w:snapToGrid w:val="0"/>
        <w:spacing w:line="360" w:lineRule="auto"/>
        <w:ind w:firstLine="420"/>
        <w:jc w:val="left"/>
        <w:rPr>
          <w:rFonts w:ascii="宋体" w:hAnsi="宋体" w:cs="宋体"/>
          <w:color w:val="auto"/>
          <w:szCs w:val="21"/>
          <w:highlight w:val="none"/>
        </w:rPr>
      </w:pPr>
      <w:r>
        <w:rPr>
          <w:rFonts w:hint="eastAsia" w:ascii="宋体" w:hAnsi="宋体" w:cs="宋体"/>
          <w:color w:val="auto"/>
          <w:szCs w:val="21"/>
          <w:highlight w:val="none"/>
        </w:rPr>
        <w:t>1、公平、公正地对待所有合格的供应商。</w:t>
      </w:r>
    </w:p>
    <w:p>
      <w:pPr>
        <w:adjustRightInd w:val="0"/>
        <w:snapToGrid w:val="0"/>
        <w:spacing w:line="360" w:lineRule="auto"/>
        <w:ind w:firstLine="420"/>
        <w:jc w:val="left"/>
        <w:rPr>
          <w:rFonts w:ascii="宋体" w:hAnsi="宋体" w:cs="宋体"/>
          <w:color w:val="auto"/>
          <w:szCs w:val="21"/>
          <w:highlight w:val="none"/>
        </w:rPr>
      </w:pPr>
      <w:r>
        <w:rPr>
          <w:rFonts w:hint="eastAsia" w:ascii="宋体" w:hAnsi="宋体" w:cs="宋体"/>
          <w:color w:val="auto"/>
          <w:szCs w:val="21"/>
          <w:highlight w:val="none"/>
        </w:rPr>
        <w:t>2、遵守《中华人民共和国政府采购法》等有关法律法规的规定。</w:t>
      </w:r>
    </w:p>
    <w:p>
      <w:pPr>
        <w:adjustRightInd w:val="0"/>
        <w:snapToGrid w:val="0"/>
        <w:spacing w:line="360" w:lineRule="auto"/>
        <w:ind w:firstLine="420"/>
        <w:jc w:val="left"/>
        <w:rPr>
          <w:rFonts w:ascii="宋体" w:hAnsi="宋体" w:cs="宋体"/>
          <w:color w:val="auto"/>
          <w:szCs w:val="21"/>
          <w:highlight w:val="none"/>
        </w:rPr>
      </w:pPr>
      <w:r>
        <w:rPr>
          <w:rFonts w:hint="eastAsia" w:ascii="宋体" w:hAnsi="宋体" w:cs="宋体"/>
          <w:color w:val="auto"/>
          <w:szCs w:val="21"/>
          <w:highlight w:val="none"/>
        </w:rPr>
        <w:t>3、以招标文件中各项规定条件为准。</w:t>
      </w:r>
    </w:p>
    <w:p>
      <w:pPr>
        <w:adjustRightInd w:val="0"/>
        <w:snapToGrid w:val="0"/>
        <w:spacing w:line="360" w:lineRule="auto"/>
        <w:ind w:firstLine="422"/>
        <w:outlineLvl w:val="1"/>
        <w:rPr>
          <w:rFonts w:ascii="宋体" w:hAnsi="宋体" w:cs="宋体"/>
          <w:b/>
          <w:color w:val="auto"/>
          <w:szCs w:val="21"/>
          <w:highlight w:val="none"/>
        </w:rPr>
      </w:pPr>
      <w:r>
        <w:rPr>
          <w:rFonts w:hint="eastAsia" w:ascii="宋体" w:hAnsi="宋体" w:cs="宋体"/>
          <w:b/>
          <w:color w:val="auto"/>
          <w:szCs w:val="21"/>
          <w:highlight w:val="none"/>
        </w:rPr>
        <w:t>二、无效标</w:t>
      </w:r>
    </w:p>
    <w:p>
      <w:pPr>
        <w:adjustRightInd w:val="0"/>
        <w:snapToGrid w:val="0"/>
        <w:spacing w:line="360" w:lineRule="auto"/>
        <w:ind w:firstLine="420"/>
        <w:jc w:val="left"/>
        <w:rPr>
          <w:rFonts w:ascii="宋体" w:hAnsi="宋体" w:cs="宋体"/>
          <w:color w:val="auto"/>
          <w:highlight w:val="none"/>
        </w:rPr>
      </w:pPr>
      <w:r>
        <w:rPr>
          <w:rFonts w:hint="eastAsia" w:ascii="宋体" w:hAnsi="宋体" w:cs="宋体"/>
          <w:color w:val="auto"/>
          <w:szCs w:val="21"/>
          <w:highlight w:val="none"/>
        </w:rPr>
        <w:t>资格审查由</w:t>
      </w:r>
      <w:r>
        <w:rPr>
          <w:rFonts w:hint="eastAsia" w:ascii="宋体" w:hAnsi="宋体" w:cs="宋体"/>
          <w:color w:val="auto"/>
          <w:highlight w:val="none"/>
        </w:rPr>
        <w:t>采购人或采购代理机构负责</w:t>
      </w:r>
      <w:r>
        <w:rPr>
          <w:rFonts w:hint="eastAsia" w:ascii="宋体" w:hAnsi="宋体" w:cs="宋体"/>
          <w:color w:val="auto"/>
          <w:szCs w:val="21"/>
          <w:highlight w:val="none"/>
        </w:rPr>
        <w:t>，符合性审查及评审由评审委员会负责。凡出现以下情况之</w:t>
      </w:r>
      <w:r>
        <w:rPr>
          <w:rFonts w:hint="eastAsia" w:ascii="宋体" w:hAnsi="宋体" w:cs="宋体"/>
          <w:color w:val="auto"/>
          <w:highlight w:val="none"/>
        </w:rPr>
        <w:t>一的投标文件将被视为无效标，不进入技术评议及综合打分：</w:t>
      </w:r>
    </w:p>
    <w:p>
      <w:pPr>
        <w:adjustRightInd w:val="0"/>
        <w:snapToGrid w:val="0"/>
        <w:spacing w:line="360" w:lineRule="auto"/>
        <w:ind w:firstLine="420"/>
        <w:jc w:val="left"/>
        <w:rPr>
          <w:rFonts w:ascii="宋体" w:hAnsi="宋体" w:cs="宋体"/>
          <w:color w:val="auto"/>
          <w:highlight w:val="none"/>
        </w:rPr>
      </w:pPr>
      <w:r>
        <w:rPr>
          <w:rFonts w:hint="eastAsia" w:ascii="宋体" w:hAnsi="宋体" w:cs="宋体"/>
          <w:color w:val="auto"/>
          <w:highlight w:val="none"/>
        </w:rPr>
        <w:t>1、符合下列条件之一的，资格性审查不合格：</w:t>
      </w:r>
    </w:p>
    <w:p>
      <w:pPr>
        <w:adjustRightInd w:val="0"/>
        <w:snapToGrid w:val="0"/>
        <w:spacing w:line="360" w:lineRule="auto"/>
        <w:ind w:firstLine="420"/>
        <w:jc w:val="left"/>
        <w:rPr>
          <w:rFonts w:ascii="宋体" w:hAnsi="宋体" w:cs="宋体"/>
          <w:color w:val="auto"/>
          <w:highlight w:val="none"/>
        </w:rPr>
      </w:pPr>
      <w:r>
        <w:rPr>
          <w:rFonts w:hint="eastAsia" w:ascii="宋体" w:hAnsi="宋体" w:cs="宋体"/>
          <w:color w:val="auto"/>
          <w:highlight w:val="none"/>
        </w:rPr>
        <w:t>（1）不符合</w:t>
      </w:r>
      <w:r>
        <w:rPr>
          <w:rFonts w:hint="eastAsia" w:ascii="宋体" w:hAnsi="宋体" w:cs="宋体"/>
          <w:color w:val="auto"/>
          <w:szCs w:val="21"/>
          <w:highlight w:val="none"/>
        </w:rPr>
        <w:t>《中华人民共和国政府采购法》</w:t>
      </w:r>
      <w:r>
        <w:rPr>
          <w:rFonts w:hint="eastAsia" w:ascii="宋体" w:hAnsi="宋体" w:cs="宋体"/>
          <w:color w:val="auto"/>
          <w:highlight w:val="none"/>
        </w:rPr>
        <w:t>第22条规定；</w:t>
      </w:r>
    </w:p>
    <w:p>
      <w:pPr>
        <w:adjustRightInd w:val="0"/>
        <w:snapToGrid w:val="0"/>
        <w:spacing w:line="360" w:lineRule="auto"/>
        <w:ind w:firstLine="420"/>
        <w:jc w:val="left"/>
        <w:rPr>
          <w:rFonts w:ascii="宋体" w:hAnsi="宋体" w:cs="宋体"/>
          <w:color w:val="auto"/>
          <w:highlight w:val="none"/>
        </w:rPr>
      </w:pPr>
      <w:r>
        <w:rPr>
          <w:rFonts w:hint="eastAsia" w:ascii="宋体" w:hAnsi="宋体" w:cs="宋体"/>
          <w:color w:val="auto"/>
          <w:highlight w:val="none"/>
        </w:rPr>
        <w:t>（2）列入失信被执行人、重大税收违法案件当事人名单、政府采购严重违法失信记录名单在禁止参加采购期限的供应商（以投标截止日“信用中国”（www.creditchina.gov.cn）、中国政府采购网（www.ccgp.gov.cn）”网站查询数据为准，打印不合格供应商的查询记录网页一并作为资格审查资料存档）；</w:t>
      </w:r>
    </w:p>
    <w:p>
      <w:pPr>
        <w:adjustRightInd w:val="0"/>
        <w:snapToGrid w:val="0"/>
        <w:spacing w:line="360" w:lineRule="auto"/>
        <w:ind w:firstLine="420"/>
        <w:jc w:val="left"/>
        <w:rPr>
          <w:rFonts w:ascii="宋体" w:hAnsi="宋体" w:cs="宋体"/>
          <w:color w:val="auto"/>
          <w:highlight w:val="none"/>
        </w:rPr>
      </w:pPr>
      <w:r>
        <w:rPr>
          <w:rFonts w:hint="eastAsia" w:ascii="宋体" w:hAnsi="宋体" w:cs="宋体"/>
          <w:color w:val="auto"/>
          <w:highlight w:val="none"/>
        </w:rPr>
        <w:t>（3）不符合特定资格要求的（若有）；</w:t>
      </w:r>
    </w:p>
    <w:p>
      <w:pPr>
        <w:adjustRightInd w:val="0"/>
        <w:snapToGrid w:val="0"/>
        <w:spacing w:line="360" w:lineRule="auto"/>
        <w:ind w:firstLine="420"/>
        <w:jc w:val="left"/>
        <w:rPr>
          <w:rFonts w:ascii="宋体" w:hAnsi="宋体" w:cs="宋体"/>
          <w:color w:val="auto"/>
          <w:highlight w:val="none"/>
        </w:rPr>
      </w:pPr>
      <w:r>
        <w:rPr>
          <w:rFonts w:hint="eastAsia" w:ascii="宋体" w:hAnsi="宋体" w:cs="宋体"/>
          <w:color w:val="auto"/>
          <w:highlight w:val="none"/>
        </w:rPr>
        <w:t>（4）未按规定提交资格证明材料的。</w:t>
      </w:r>
    </w:p>
    <w:p>
      <w:pPr>
        <w:adjustRightInd w:val="0"/>
        <w:snapToGrid w:val="0"/>
        <w:spacing w:line="360" w:lineRule="auto"/>
        <w:ind w:firstLine="420"/>
        <w:jc w:val="left"/>
        <w:rPr>
          <w:rFonts w:ascii="宋体" w:hAnsi="宋体" w:cs="宋体"/>
          <w:color w:val="auto"/>
          <w:highlight w:val="none"/>
        </w:rPr>
      </w:pPr>
      <w:r>
        <w:rPr>
          <w:rFonts w:hint="eastAsia" w:ascii="宋体" w:hAnsi="宋体" w:cs="宋体"/>
          <w:color w:val="auto"/>
          <w:highlight w:val="none"/>
        </w:rPr>
        <w:t>2、符合下列条件之一的，符合性审查不合格：</w:t>
      </w:r>
    </w:p>
    <w:p>
      <w:pPr>
        <w:adjustRightInd w:val="0"/>
        <w:snapToGrid w:val="0"/>
        <w:spacing w:line="360" w:lineRule="auto"/>
        <w:ind w:firstLine="420"/>
        <w:jc w:val="left"/>
        <w:rPr>
          <w:rFonts w:ascii="宋体" w:hAnsi="宋体" w:cs="宋体"/>
          <w:color w:val="auto"/>
          <w:highlight w:val="none"/>
        </w:rPr>
      </w:pPr>
      <w:r>
        <w:rPr>
          <w:rFonts w:hint="eastAsia" w:ascii="宋体" w:hAnsi="宋体" w:cs="宋体"/>
          <w:color w:val="auto"/>
          <w:highlight w:val="none"/>
        </w:rPr>
        <w:t>（1）未按规定提供授权委托书，影响授权效力的（若有）；</w:t>
      </w:r>
    </w:p>
    <w:p>
      <w:pPr>
        <w:adjustRightInd w:val="0"/>
        <w:snapToGrid w:val="0"/>
        <w:spacing w:line="360" w:lineRule="auto"/>
        <w:ind w:firstLine="420"/>
        <w:jc w:val="left"/>
        <w:rPr>
          <w:rFonts w:ascii="宋体" w:hAnsi="宋体" w:cs="宋体"/>
          <w:color w:val="auto"/>
          <w:highlight w:val="none"/>
        </w:rPr>
      </w:pPr>
      <w:r>
        <w:rPr>
          <w:rFonts w:hint="eastAsia" w:ascii="宋体" w:hAnsi="宋体" w:cs="宋体"/>
          <w:color w:val="auto"/>
          <w:highlight w:val="none"/>
        </w:rPr>
        <w:t>（2）要求填写全称的，供应商未填写全称，未加盖与全称相一致的公章（不得加盖带有“专用章”等字样的印章），未按规定签署、盖章的，影响投标效力的；</w:t>
      </w:r>
    </w:p>
    <w:p>
      <w:pPr>
        <w:adjustRightInd w:val="0"/>
        <w:snapToGrid w:val="0"/>
        <w:spacing w:line="360" w:lineRule="auto"/>
        <w:ind w:firstLine="420"/>
        <w:jc w:val="left"/>
        <w:rPr>
          <w:rFonts w:ascii="宋体" w:hAnsi="宋体" w:cs="宋体"/>
          <w:color w:val="auto"/>
          <w:highlight w:val="none"/>
        </w:rPr>
      </w:pPr>
      <w:r>
        <w:rPr>
          <w:rFonts w:hint="eastAsia" w:ascii="宋体" w:hAnsi="宋体" w:cs="宋体"/>
          <w:color w:val="auto"/>
          <w:highlight w:val="none"/>
        </w:rPr>
        <w:t>（3）投标文件未按要求编制，内容缺失、不完整，导致无法评审的；</w:t>
      </w:r>
    </w:p>
    <w:p>
      <w:pPr>
        <w:adjustRightInd w:val="0"/>
        <w:snapToGrid w:val="0"/>
        <w:spacing w:line="360" w:lineRule="auto"/>
        <w:ind w:firstLine="420"/>
        <w:jc w:val="left"/>
        <w:rPr>
          <w:rFonts w:ascii="宋体" w:hAnsi="宋体" w:cs="宋体"/>
          <w:color w:val="auto"/>
          <w:highlight w:val="none"/>
        </w:rPr>
      </w:pPr>
      <w:r>
        <w:rPr>
          <w:rFonts w:hint="eastAsia" w:ascii="宋体" w:hAnsi="宋体" w:cs="宋体"/>
          <w:color w:val="auto"/>
          <w:highlight w:val="none"/>
        </w:rPr>
        <w:t>（4）投标文件标明的响应或偏离与事实不相符或虚假投标的</w:t>
      </w:r>
    </w:p>
    <w:p>
      <w:pPr>
        <w:adjustRightInd w:val="0"/>
        <w:snapToGrid w:val="0"/>
        <w:spacing w:line="360" w:lineRule="auto"/>
        <w:ind w:firstLine="420"/>
        <w:jc w:val="left"/>
        <w:rPr>
          <w:rFonts w:ascii="宋体" w:hAnsi="宋体" w:cs="宋体"/>
          <w:color w:val="auto"/>
          <w:highlight w:val="none"/>
        </w:rPr>
      </w:pPr>
      <w:r>
        <w:rPr>
          <w:rFonts w:hint="eastAsia" w:ascii="宋体" w:hAnsi="宋体" w:cs="宋体"/>
          <w:color w:val="auto"/>
          <w:highlight w:val="none"/>
        </w:rPr>
        <w:t>（5）投标价格错误且不同意按招标文件要求进行修正的。</w:t>
      </w:r>
    </w:p>
    <w:p>
      <w:pPr>
        <w:adjustRightInd w:val="0"/>
        <w:snapToGrid w:val="0"/>
        <w:spacing w:line="360" w:lineRule="auto"/>
        <w:ind w:firstLine="420"/>
        <w:jc w:val="left"/>
        <w:rPr>
          <w:rFonts w:ascii="宋体" w:hAnsi="宋体" w:cs="宋体"/>
          <w:color w:val="auto"/>
          <w:highlight w:val="none"/>
        </w:rPr>
      </w:pPr>
      <w:r>
        <w:rPr>
          <w:rFonts w:hint="eastAsia" w:ascii="宋体" w:hAnsi="宋体" w:cs="宋体"/>
          <w:color w:val="auto"/>
          <w:highlight w:val="none"/>
        </w:rPr>
        <w:t>3、符合下列条件之一的，投标报价无效：</w:t>
      </w:r>
    </w:p>
    <w:p>
      <w:pPr>
        <w:adjustRightInd w:val="0"/>
        <w:snapToGrid w:val="0"/>
        <w:spacing w:line="360" w:lineRule="auto"/>
        <w:ind w:firstLine="420"/>
        <w:jc w:val="left"/>
        <w:rPr>
          <w:rFonts w:ascii="宋体" w:hAnsi="宋体" w:cs="宋体"/>
          <w:color w:val="auto"/>
          <w:highlight w:val="none"/>
        </w:rPr>
      </w:pPr>
      <w:r>
        <w:rPr>
          <w:rFonts w:hint="eastAsia" w:ascii="宋体" w:hAnsi="宋体" w:cs="宋体"/>
          <w:color w:val="auto"/>
          <w:highlight w:val="none"/>
        </w:rPr>
        <w:t>（1）投标总报价或分项报价超过最高限价的；未采用人民币报价或者未按照采购文件标明的币种报价的；存在投标报价具有选择性的情形；投标报价中未出现重大缺项、漏项；</w:t>
      </w:r>
    </w:p>
    <w:p>
      <w:pPr>
        <w:adjustRightInd w:val="0"/>
        <w:snapToGrid w:val="0"/>
        <w:spacing w:line="360" w:lineRule="auto"/>
        <w:ind w:firstLine="420"/>
        <w:jc w:val="left"/>
        <w:rPr>
          <w:rFonts w:ascii="宋体" w:hAnsi="宋体" w:cs="宋体"/>
          <w:color w:val="auto"/>
          <w:highlight w:val="none"/>
        </w:rPr>
      </w:pPr>
      <w:r>
        <w:rPr>
          <w:rFonts w:hint="eastAsia" w:ascii="宋体" w:hAnsi="宋体" w:cs="宋体"/>
          <w:color w:val="auto"/>
          <w:highlight w:val="none"/>
        </w:rPr>
        <w:t>（2）评标委员会认为供应商的报价明显低于其他通过符合性审查供应商的报价，有可能影响产品质量或者不能诚信履约的，应当要求其在评标现场合理的时间内提供书面说明，必要时提交相关证明材料；供应商不能证明其报价合理性的，评标委员会应当将其作为无效投标处理。</w:t>
      </w:r>
    </w:p>
    <w:p>
      <w:pPr>
        <w:adjustRightInd w:val="0"/>
        <w:snapToGrid w:val="0"/>
        <w:spacing w:line="360" w:lineRule="auto"/>
        <w:ind w:firstLine="420"/>
        <w:jc w:val="left"/>
        <w:rPr>
          <w:rFonts w:ascii="宋体" w:hAnsi="宋体" w:cs="宋体"/>
          <w:color w:val="auto"/>
          <w:highlight w:val="none"/>
        </w:rPr>
      </w:pPr>
      <w:r>
        <w:rPr>
          <w:rFonts w:hint="eastAsia" w:ascii="宋体" w:hAnsi="宋体" w:cs="宋体"/>
          <w:color w:val="auto"/>
          <w:highlight w:val="none"/>
        </w:rPr>
        <w:t>4、在评标过程中，供应商有企图影响评委行为的；</w:t>
      </w:r>
    </w:p>
    <w:p>
      <w:pPr>
        <w:adjustRightInd w:val="0"/>
        <w:snapToGrid w:val="0"/>
        <w:spacing w:line="360" w:lineRule="auto"/>
        <w:ind w:firstLine="420"/>
        <w:jc w:val="left"/>
        <w:rPr>
          <w:rFonts w:ascii="宋体" w:hAnsi="宋体" w:cs="宋体"/>
          <w:color w:val="auto"/>
          <w:highlight w:val="none"/>
        </w:rPr>
      </w:pPr>
      <w:r>
        <w:rPr>
          <w:rFonts w:hint="eastAsia" w:ascii="宋体" w:hAnsi="宋体" w:cs="宋体"/>
          <w:color w:val="auto"/>
          <w:highlight w:val="none"/>
        </w:rPr>
        <w:t>5、法律、法规、规章、招标文件规定的其他情形。</w:t>
      </w:r>
    </w:p>
    <w:p>
      <w:pPr>
        <w:adjustRightInd w:val="0"/>
        <w:snapToGrid w:val="0"/>
        <w:spacing w:line="360" w:lineRule="auto"/>
        <w:ind w:firstLine="422"/>
        <w:outlineLvl w:val="1"/>
        <w:rPr>
          <w:rFonts w:ascii="宋体" w:hAnsi="宋体" w:cs="宋体"/>
          <w:b/>
          <w:color w:val="auto"/>
          <w:szCs w:val="21"/>
          <w:highlight w:val="none"/>
        </w:rPr>
      </w:pPr>
      <w:r>
        <w:rPr>
          <w:rFonts w:hint="eastAsia" w:ascii="宋体" w:hAnsi="宋体" w:cs="宋体"/>
          <w:b/>
          <w:color w:val="auto"/>
          <w:szCs w:val="21"/>
          <w:highlight w:val="none"/>
        </w:rPr>
        <w:t>三、投标不足三家后续处理</w:t>
      </w:r>
    </w:p>
    <w:p>
      <w:pPr>
        <w:adjustRightInd w:val="0"/>
        <w:snapToGrid w:val="0"/>
        <w:spacing w:line="360" w:lineRule="auto"/>
        <w:ind w:firstLine="420"/>
        <w:jc w:val="left"/>
        <w:rPr>
          <w:rFonts w:ascii="宋体" w:hAnsi="宋体" w:cs="宋体"/>
          <w:color w:val="auto"/>
          <w:szCs w:val="21"/>
          <w:highlight w:val="none"/>
        </w:rPr>
      </w:pPr>
      <w:r>
        <w:rPr>
          <w:rFonts w:hint="eastAsia" w:ascii="宋体" w:hAnsi="宋体" w:cs="宋体"/>
          <w:color w:val="auto"/>
          <w:szCs w:val="21"/>
          <w:highlight w:val="none"/>
        </w:rPr>
        <w:t>1、投标供应商不足三家、或评审过程中发生有效投标不足三家的，评审专家须重点审查招标公告时间和程序是否符合规定，供应商资格条件、采购需求和评审标准是否存在不合理条款，并出具审查意见和修改建议。存在不合理条款的，应按审查意见和建议修改招标文件后重新组织招标。没有不合理条款的，由采购人提出书面申请，经同级财政部门同意：2家供应商具有竞争性的，可以根据“浙财采监字[2007]2号”文件规定继续按原程序进行2家供应商评审，或者比照竞争性磋商（综合评分法适用），或者比照竞争性谈判（最低评标价法适用）；1家供应商可以进行单一来源采购。</w:t>
      </w:r>
    </w:p>
    <w:p>
      <w:pPr>
        <w:adjustRightInd w:val="0"/>
        <w:snapToGrid w:val="0"/>
        <w:spacing w:line="360" w:lineRule="auto"/>
        <w:ind w:firstLine="420"/>
        <w:jc w:val="left"/>
        <w:rPr>
          <w:rFonts w:ascii="宋体" w:hAnsi="宋体" w:cs="宋体"/>
          <w:color w:val="auto"/>
          <w:szCs w:val="21"/>
          <w:highlight w:val="none"/>
        </w:rPr>
      </w:pPr>
      <w:r>
        <w:rPr>
          <w:rFonts w:hint="eastAsia" w:ascii="宋体" w:hAnsi="宋体" w:cs="宋体"/>
          <w:color w:val="auto"/>
          <w:szCs w:val="21"/>
          <w:highlight w:val="none"/>
        </w:rPr>
        <w:t>2、竞争性谈判（磋商）程序：</w:t>
      </w:r>
    </w:p>
    <w:p>
      <w:pPr>
        <w:adjustRightInd w:val="0"/>
        <w:snapToGrid w:val="0"/>
        <w:spacing w:line="360" w:lineRule="auto"/>
        <w:ind w:firstLine="420"/>
        <w:jc w:val="left"/>
        <w:rPr>
          <w:rFonts w:ascii="宋体" w:hAnsi="宋体" w:cs="宋体"/>
          <w:color w:val="auto"/>
          <w:szCs w:val="21"/>
          <w:highlight w:val="none"/>
        </w:rPr>
      </w:pPr>
      <w:r>
        <w:rPr>
          <w:rFonts w:hint="eastAsia" w:ascii="宋体" w:hAnsi="宋体" w:cs="宋体"/>
          <w:color w:val="auto"/>
          <w:szCs w:val="21"/>
          <w:highlight w:val="none"/>
        </w:rPr>
        <w:t>（1）招标项目的评审委员会转为竞争性谈判（磋商）的评审小组；</w:t>
      </w:r>
    </w:p>
    <w:p>
      <w:pPr>
        <w:adjustRightInd w:val="0"/>
        <w:snapToGrid w:val="0"/>
        <w:spacing w:line="360" w:lineRule="auto"/>
        <w:ind w:firstLine="420"/>
        <w:jc w:val="left"/>
        <w:rPr>
          <w:rFonts w:ascii="宋体" w:hAnsi="宋体" w:cs="宋体"/>
          <w:color w:val="auto"/>
          <w:szCs w:val="21"/>
          <w:highlight w:val="none"/>
        </w:rPr>
      </w:pPr>
      <w:r>
        <w:rPr>
          <w:rFonts w:hint="eastAsia" w:ascii="宋体" w:hAnsi="宋体" w:cs="宋体"/>
          <w:color w:val="auto"/>
          <w:szCs w:val="21"/>
          <w:highlight w:val="none"/>
        </w:rPr>
        <w:t>（2）评审小组确认原招标文件为竞争性谈判（磋商）文件；</w:t>
      </w:r>
    </w:p>
    <w:p>
      <w:pPr>
        <w:adjustRightInd w:val="0"/>
        <w:snapToGrid w:val="0"/>
        <w:spacing w:line="360" w:lineRule="auto"/>
        <w:ind w:firstLine="420"/>
        <w:jc w:val="left"/>
        <w:rPr>
          <w:rFonts w:ascii="宋体" w:hAnsi="宋体" w:cs="宋体"/>
          <w:color w:val="auto"/>
          <w:szCs w:val="21"/>
          <w:highlight w:val="none"/>
        </w:rPr>
      </w:pPr>
      <w:r>
        <w:rPr>
          <w:rFonts w:hint="eastAsia" w:ascii="宋体" w:hAnsi="宋体" w:cs="宋体"/>
          <w:color w:val="auto"/>
          <w:szCs w:val="21"/>
          <w:highlight w:val="none"/>
        </w:rPr>
        <w:t>（3）供应商的投标文件转为竞争性谈判（磋商）的首次响应文件；</w:t>
      </w:r>
    </w:p>
    <w:p>
      <w:pPr>
        <w:adjustRightInd w:val="0"/>
        <w:snapToGrid w:val="0"/>
        <w:spacing w:line="360" w:lineRule="auto"/>
        <w:ind w:firstLine="420"/>
        <w:jc w:val="left"/>
        <w:rPr>
          <w:rFonts w:ascii="宋体" w:hAnsi="宋体" w:cs="宋体"/>
          <w:color w:val="auto"/>
          <w:szCs w:val="21"/>
          <w:highlight w:val="none"/>
        </w:rPr>
      </w:pPr>
      <w:r>
        <w:rPr>
          <w:rFonts w:hint="eastAsia" w:ascii="宋体" w:hAnsi="宋体" w:cs="宋体"/>
          <w:color w:val="auto"/>
          <w:szCs w:val="21"/>
          <w:highlight w:val="none"/>
        </w:rPr>
        <w:t>（4）评审小组所有成员应当集中与单一供应商分别进行谈判（磋商），并给予所有参加谈判（磋商）的供应商平等的谈判（磋商）机会；</w:t>
      </w:r>
    </w:p>
    <w:p>
      <w:pPr>
        <w:adjustRightInd w:val="0"/>
        <w:snapToGrid w:val="0"/>
        <w:spacing w:line="360" w:lineRule="auto"/>
        <w:ind w:firstLine="420"/>
        <w:jc w:val="left"/>
        <w:rPr>
          <w:rFonts w:ascii="宋体" w:hAnsi="宋体" w:cs="宋体"/>
          <w:color w:val="auto"/>
          <w:szCs w:val="21"/>
          <w:highlight w:val="none"/>
        </w:rPr>
      </w:pPr>
      <w:r>
        <w:rPr>
          <w:rFonts w:hint="eastAsia" w:ascii="宋体" w:hAnsi="宋体" w:cs="宋体"/>
          <w:color w:val="auto"/>
          <w:szCs w:val="21"/>
          <w:highlight w:val="none"/>
        </w:rPr>
        <w:t>（5）谈判（磋商）结束后，评审小组应当要求所有继续参加谈判的供应商在规定时间内提交最后报价。</w:t>
      </w:r>
    </w:p>
    <w:p>
      <w:pPr>
        <w:adjustRightInd w:val="0"/>
        <w:snapToGrid w:val="0"/>
        <w:spacing w:line="360" w:lineRule="auto"/>
        <w:ind w:firstLine="420"/>
        <w:jc w:val="left"/>
        <w:rPr>
          <w:rFonts w:ascii="宋体" w:hAnsi="宋体" w:cs="宋体"/>
          <w:color w:val="auto"/>
          <w:szCs w:val="21"/>
          <w:highlight w:val="none"/>
        </w:rPr>
      </w:pPr>
      <w:r>
        <w:rPr>
          <w:rFonts w:hint="eastAsia" w:ascii="宋体" w:hAnsi="宋体" w:cs="宋体"/>
          <w:color w:val="auto"/>
          <w:szCs w:val="21"/>
          <w:highlight w:val="none"/>
        </w:rPr>
        <w:t>（6）竞争性谈判按照最低评标价法确定成交供应商，竞争性磋商按照综合评分法确定成交供应商。</w:t>
      </w:r>
    </w:p>
    <w:p>
      <w:pPr>
        <w:adjustRightInd w:val="0"/>
        <w:snapToGrid w:val="0"/>
        <w:spacing w:line="360" w:lineRule="auto"/>
        <w:ind w:firstLine="420"/>
        <w:jc w:val="left"/>
        <w:rPr>
          <w:rFonts w:ascii="宋体" w:hAnsi="宋体" w:cs="宋体"/>
          <w:color w:val="auto"/>
          <w:szCs w:val="21"/>
          <w:highlight w:val="none"/>
        </w:rPr>
      </w:pPr>
      <w:r>
        <w:rPr>
          <w:rFonts w:hint="eastAsia" w:ascii="宋体" w:hAnsi="宋体" w:cs="宋体"/>
          <w:color w:val="auto"/>
          <w:szCs w:val="21"/>
          <w:highlight w:val="none"/>
        </w:rPr>
        <w:t>3、单一来源采购程序：</w:t>
      </w:r>
    </w:p>
    <w:p>
      <w:pPr>
        <w:adjustRightInd w:val="0"/>
        <w:snapToGrid w:val="0"/>
        <w:spacing w:line="360" w:lineRule="auto"/>
        <w:ind w:firstLine="420"/>
        <w:jc w:val="left"/>
        <w:rPr>
          <w:rFonts w:ascii="宋体" w:hAnsi="宋体" w:cs="宋体"/>
          <w:color w:val="auto"/>
          <w:szCs w:val="21"/>
          <w:highlight w:val="none"/>
        </w:rPr>
      </w:pPr>
      <w:r>
        <w:rPr>
          <w:rFonts w:hint="eastAsia" w:ascii="宋体" w:hAnsi="宋体" w:cs="宋体"/>
          <w:color w:val="auto"/>
          <w:szCs w:val="21"/>
          <w:highlight w:val="none"/>
        </w:rPr>
        <w:t>（1）项目的评审委员会转为单一来源采购的评审小组</w:t>
      </w:r>
    </w:p>
    <w:p>
      <w:pPr>
        <w:adjustRightInd w:val="0"/>
        <w:snapToGrid w:val="0"/>
        <w:spacing w:line="360" w:lineRule="auto"/>
        <w:ind w:firstLine="420"/>
        <w:jc w:val="left"/>
        <w:rPr>
          <w:rFonts w:ascii="宋体" w:hAnsi="宋体" w:cs="宋体"/>
          <w:color w:val="auto"/>
          <w:szCs w:val="21"/>
          <w:highlight w:val="none"/>
        </w:rPr>
      </w:pPr>
      <w:r>
        <w:rPr>
          <w:rFonts w:hint="eastAsia" w:ascii="宋体" w:hAnsi="宋体" w:cs="宋体"/>
          <w:color w:val="auto"/>
          <w:szCs w:val="21"/>
          <w:highlight w:val="none"/>
        </w:rPr>
        <w:t>（2）评审小组确认原招标文件为单一来源采购文件；</w:t>
      </w:r>
    </w:p>
    <w:p>
      <w:pPr>
        <w:adjustRightInd w:val="0"/>
        <w:snapToGrid w:val="0"/>
        <w:spacing w:line="360" w:lineRule="auto"/>
        <w:ind w:firstLine="420"/>
        <w:jc w:val="left"/>
        <w:rPr>
          <w:rFonts w:ascii="宋体" w:hAnsi="宋体" w:cs="宋体"/>
          <w:color w:val="auto"/>
          <w:szCs w:val="21"/>
          <w:highlight w:val="none"/>
        </w:rPr>
      </w:pPr>
      <w:r>
        <w:rPr>
          <w:rFonts w:hint="eastAsia" w:ascii="宋体" w:hAnsi="宋体" w:cs="宋体"/>
          <w:color w:val="auto"/>
          <w:szCs w:val="21"/>
          <w:highlight w:val="none"/>
        </w:rPr>
        <w:t>（3）供应商的投标文件转为单一来源采购的首次响应文件；</w:t>
      </w:r>
    </w:p>
    <w:p>
      <w:pPr>
        <w:adjustRightInd w:val="0"/>
        <w:snapToGrid w:val="0"/>
        <w:spacing w:line="360" w:lineRule="auto"/>
        <w:ind w:firstLine="420"/>
        <w:jc w:val="left"/>
        <w:rPr>
          <w:rFonts w:ascii="宋体" w:hAnsi="宋体" w:cs="宋体"/>
          <w:color w:val="auto"/>
          <w:szCs w:val="21"/>
          <w:highlight w:val="none"/>
        </w:rPr>
      </w:pPr>
      <w:r>
        <w:rPr>
          <w:rFonts w:hint="eastAsia" w:ascii="宋体" w:hAnsi="宋体" w:cs="宋体"/>
          <w:color w:val="auto"/>
          <w:szCs w:val="21"/>
          <w:highlight w:val="none"/>
        </w:rPr>
        <w:t>（4）评审小组与供应商协商确定合理的成交价格。</w:t>
      </w:r>
    </w:p>
    <w:p>
      <w:pPr>
        <w:adjustRightInd w:val="0"/>
        <w:snapToGrid w:val="0"/>
        <w:spacing w:line="360" w:lineRule="auto"/>
        <w:ind w:firstLine="422"/>
        <w:outlineLvl w:val="1"/>
        <w:rPr>
          <w:rFonts w:ascii="宋体" w:hAnsi="宋体" w:cs="宋体"/>
          <w:b/>
          <w:color w:val="auto"/>
          <w:szCs w:val="21"/>
          <w:highlight w:val="none"/>
        </w:rPr>
      </w:pPr>
      <w:r>
        <w:rPr>
          <w:rFonts w:hint="eastAsia" w:ascii="宋体" w:hAnsi="宋体" w:cs="宋体"/>
          <w:b/>
          <w:color w:val="auto"/>
          <w:szCs w:val="21"/>
          <w:highlight w:val="none"/>
        </w:rPr>
        <w:t>四、评审程序</w:t>
      </w:r>
    </w:p>
    <w:p>
      <w:pPr>
        <w:adjustRightInd w:val="0"/>
        <w:snapToGrid w:val="0"/>
        <w:spacing w:line="360" w:lineRule="auto"/>
        <w:ind w:firstLine="420"/>
        <w:jc w:val="left"/>
        <w:rPr>
          <w:rFonts w:ascii="宋体" w:hAnsi="宋体" w:cs="宋体"/>
          <w:color w:val="auto"/>
          <w:szCs w:val="21"/>
          <w:highlight w:val="none"/>
        </w:rPr>
      </w:pPr>
      <w:r>
        <w:rPr>
          <w:rFonts w:hint="eastAsia" w:ascii="宋体" w:hAnsi="宋体" w:cs="宋体"/>
          <w:color w:val="auto"/>
          <w:szCs w:val="21"/>
          <w:highlight w:val="none"/>
        </w:rPr>
        <w:t>1、采购代理机构工作人员按评审委员会名单核对评委身份，组织评委及监管等人员签到。</w:t>
      </w:r>
    </w:p>
    <w:p>
      <w:pPr>
        <w:adjustRightInd w:val="0"/>
        <w:snapToGrid w:val="0"/>
        <w:spacing w:line="360" w:lineRule="auto"/>
        <w:ind w:firstLine="420"/>
        <w:jc w:val="left"/>
        <w:rPr>
          <w:rFonts w:ascii="宋体" w:hAnsi="宋体" w:cs="宋体"/>
          <w:color w:val="auto"/>
          <w:szCs w:val="21"/>
          <w:highlight w:val="none"/>
        </w:rPr>
      </w:pPr>
      <w:r>
        <w:rPr>
          <w:rFonts w:hint="eastAsia" w:ascii="宋体" w:hAnsi="宋体" w:cs="宋体"/>
          <w:color w:val="auto"/>
          <w:szCs w:val="21"/>
          <w:highlight w:val="none"/>
        </w:rPr>
        <w:t>2、采购代理机构工作人员宣布评审纪律，征询评委有无回避情形；</w:t>
      </w:r>
    </w:p>
    <w:p>
      <w:pPr>
        <w:adjustRightInd w:val="0"/>
        <w:snapToGrid w:val="0"/>
        <w:spacing w:line="360" w:lineRule="auto"/>
        <w:ind w:firstLine="420"/>
        <w:jc w:val="left"/>
        <w:rPr>
          <w:rFonts w:ascii="宋体" w:hAnsi="宋体" w:cs="宋体"/>
          <w:color w:val="auto"/>
          <w:szCs w:val="21"/>
          <w:highlight w:val="none"/>
        </w:rPr>
      </w:pPr>
      <w:r>
        <w:rPr>
          <w:rFonts w:hint="eastAsia" w:ascii="宋体" w:hAnsi="宋体" w:cs="宋体"/>
          <w:color w:val="auto"/>
          <w:szCs w:val="21"/>
          <w:highlight w:val="none"/>
        </w:rPr>
        <w:t>3、评审委员会确定主持人，负责组织评审活动；</w:t>
      </w:r>
    </w:p>
    <w:p>
      <w:pPr>
        <w:adjustRightInd w:val="0"/>
        <w:snapToGrid w:val="0"/>
        <w:spacing w:line="360" w:lineRule="auto"/>
        <w:ind w:firstLine="420"/>
        <w:jc w:val="left"/>
        <w:rPr>
          <w:rFonts w:ascii="宋体" w:hAnsi="宋体" w:cs="宋体"/>
          <w:color w:val="auto"/>
          <w:szCs w:val="21"/>
          <w:highlight w:val="none"/>
        </w:rPr>
      </w:pPr>
      <w:r>
        <w:rPr>
          <w:rFonts w:hint="eastAsia" w:ascii="宋体" w:hAnsi="宋体" w:cs="宋体"/>
          <w:color w:val="auto"/>
          <w:szCs w:val="21"/>
          <w:highlight w:val="none"/>
        </w:rPr>
        <w:t>4、采购代理机构工作人员对每个评委评审情况进行复核，有差错的、或畸高畸低的，提醒评委进行修正，评委拒绝修正的，提交评委会按少数服从多数原则集体决定，并记入评审记录内。情节严重的，报监管部门处理。</w:t>
      </w:r>
    </w:p>
    <w:p>
      <w:pPr>
        <w:adjustRightInd w:val="0"/>
        <w:snapToGrid w:val="0"/>
        <w:spacing w:line="360" w:lineRule="auto"/>
        <w:ind w:firstLine="420"/>
        <w:jc w:val="left"/>
        <w:rPr>
          <w:rFonts w:ascii="宋体" w:hAnsi="宋体" w:cs="宋体"/>
          <w:color w:val="auto"/>
          <w:szCs w:val="21"/>
          <w:highlight w:val="none"/>
        </w:rPr>
      </w:pPr>
      <w:r>
        <w:rPr>
          <w:rFonts w:hint="eastAsia" w:ascii="宋体" w:hAnsi="宋体" w:cs="宋体"/>
          <w:color w:val="auto"/>
          <w:szCs w:val="21"/>
          <w:highlight w:val="none"/>
        </w:rPr>
        <w:t>5、采购代理机构工作人员协助做好价格分和评审情况的计算、汇总工作。</w:t>
      </w:r>
    </w:p>
    <w:p>
      <w:pPr>
        <w:adjustRightInd w:val="0"/>
        <w:snapToGrid w:val="0"/>
        <w:spacing w:line="360" w:lineRule="auto"/>
        <w:ind w:firstLine="420"/>
        <w:jc w:val="left"/>
        <w:rPr>
          <w:rFonts w:ascii="宋体" w:hAnsi="宋体" w:cs="宋体"/>
          <w:color w:val="auto"/>
          <w:highlight w:val="none"/>
        </w:rPr>
      </w:pPr>
      <w:r>
        <w:rPr>
          <w:rFonts w:hint="eastAsia" w:ascii="宋体" w:hAnsi="宋体" w:cs="宋体"/>
          <w:color w:val="auto"/>
          <w:szCs w:val="21"/>
          <w:highlight w:val="none"/>
        </w:rPr>
        <w:t>6、评审委员会形成评标报</w:t>
      </w:r>
      <w:r>
        <w:rPr>
          <w:rFonts w:hint="eastAsia" w:ascii="宋体" w:hAnsi="宋体" w:cs="宋体"/>
          <w:color w:val="auto"/>
          <w:highlight w:val="none"/>
        </w:rPr>
        <w:t>告，应由全体成员签字确认。有保留意见的可以在评标报告中申明，未申明且拒绝签字的视同默认评标报告并载明此情形。</w:t>
      </w:r>
    </w:p>
    <w:p>
      <w:pPr>
        <w:adjustRightInd w:val="0"/>
        <w:snapToGrid w:val="0"/>
        <w:spacing w:line="360" w:lineRule="auto"/>
        <w:ind w:firstLine="420"/>
        <w:rPr>
          <w:rFonts w:ascii="宋体" w:hAnsi="宋体" w:cs="宋体"/>
          <w:color w:val="auto"/>
          <w:highlight w:val="none"/>
        </w:rPr>
      </w:pPr>
      <w:r>
        <w:rPr>
          <w:rFonts w:hint="eastAsia" w:ascii="宋体" w:hAnsi="宋体" w:cs="宋体"/>
          <w:color w:val="auto"/>
          <w:highlight w:val="none"/>
        </w:rPr>
        <w:t>7、</w:t>
      </w:r>
      <w:r>
        <w:rPr>
          <w:rFonts w:hint="eastAsia" w:ascii="宋体" w:hAnsi="宋体" w:cs="宋体"/>
          <w:color w:val="auto"/>
          <w:szCs w:val="21"/>
          <w:highlight w:val="none"/>
        </w:rPr>
        <w:t>采购代理机构</w:t>
      </w:r>
      <w:r>
        <w:rPr>
          <w:rFonts w:hint="eastAsia" w:ascii="宋体" w:hAnsi="宋体" w:cs="宋体"/>
          <w:color w:val="auto"/>
          <w:highlight w:val="none"/>
        </w:rPr>
        <w:t>工作人员宣布会议结束。</w:t>
      </w:r>
    </w:p>
    <w:p>
      <w:pPr>
        <w:adjustRightInd w:val="0"/>
        <w:snapToGrid w:val="0"/>
        <w:spacing w:line="360" w:lineRule="auto"/>
        <w:ind w:firstLine="422"/>
        <w:outlineLvl w:val="1"/>
        <w:rPr>
          <w:rFonts w:ascii="宋体" w:hAnsi="宋体" w:cs="宋体"/>
          <w:b/>
          <w:color w:val="auto"/>
          <w:szCs w:val="21"/>
          <w:highlight w:val="none"/>
        </w:rPr>
      </w:pPr>
      <w:r>
        <w:rPr>
          <w:rFonts w:hint="eastAsia" w:ascii="宋体" w:hAnsi="宋体" w:cs="宋体"/>
          <w:b/>
          <w:color w:val="auto"/>
          <w:szCs w:val="21"/>
          <w:highlight w:val="none"/>
        </w:rPr>
        <w:t>五、评标方法</w:t>
      </w:r>
    </w:p>
    <w:p>
      <w:pPr>
        <w:adjustRightInd w:val="0"/>
        <w:snapToGrid w:val="0"/>
        <w:spacing w:line="360" w:lineRule="auto"/>
        <w:ind w:firstLine="420"/>
        <w:rPr>
          <w:rFonts w:ascii="宋体" w:hAnsi="宋体" w:cs="宋体"/>
          <w:color w:val="auto"/>
          <w:highlight w:val="none"/>
        </w:rPr>
      </w:pPr>
      <w:r>
        <w:rPr>
          <w:rFonts w:hint="eastAsia" w:ascii="宋体" w:hAnsi="宋体" w:cs="宋体"/>
          <w:color w:val="auto"/>
          <w:highlight w:val="none"/>
        </w:rPr>
        <w:t>1、本次招标的评标采用综合评分法。</w:t>
      </w:r>
    </w:p>
    <w:p>
      <w:pPr>
        <w:adjustRightInd w:val="0"/>
        <w:snapToGrid w:val="0"/>
        <w:spacing w:line="360" w:lineRule="auto"/>
        <w:ind w:firstLine="420"/>
        <w:rPr>
          <w:rFonts w:ascii="宋体" w:hAnsi="宋体" w:cs="宋体"/>
          <w:color w:val="auto"/>
          <w:highlight w:val="none"/>
        </w:rPr>
      </w:pPr>
      <w:r>
        <w:rPr>
          <w:rFonts w:hint="eastAsia" w:ascii="宋体" w:hAnsi="宋体" w:cs="宋体"/>
          <w:color w:val="auto"/>
          <w:highlight w:val="none"/>
        </w:rPr>
        <w:t>综合评分法：根据本项目招标文件的要求，按照评标细则规定的内容和分值评审，评标结果按评审得分由高到低顺序推荐中标候选人。得分相同的，按投标报价由低到高顺序排列。得分且投标报价相同的并列，则抽签决定。</w:t>
      </w:r>
    </w:p>
    <w:p>
      <w:pPr>
        <w:adjustRightInd w:val="0"/>
        <w:snapToGrid w:val="0"/>
        <w:spacing w:line="360" w:lineRule="auto"/>
        <w:ind w:firstLine="420"/>
        <w:rPr>
          <w:rFonts w:ascii="宋体" w:hAnsi="宋体" w:cs="宋体"/>
          <w:color w:val="auto"/>
          <w:highlight w:val="none"/>
        </w:rPr>
      </w:pPr>
      <w:r>
        <w:rPr>
          <w:rFonts w:hint="eastAsia" w:ascii="宋体" w:hAnsi="宋体" w:cs="宋体"/>
          <w:color w:val="auto"/>
          <w:highlight w:val="none"/>
        </w:rPr>
        <w:t>2、评委对各供应商的投标文件进行审阅，然后根据需要对供应商进行询标和评议，并按评标细则（除价格部分外）进行记名打分。</w:t>
      </w:r>
    </w:p>
    <w:p>
      <w:pPr>
        <w:adjustRightInd w:val="0"/>
        <w:snapToGrid w:val="0"/>
        <w:spacing w:line="360" w:lineRule="auto"/>
        <w:ind w:firstLine="420"/>
        <w:rPr>
          <w:rFonts w:ascii="宋体" w:hAnsi="宋体" w:cs="宋体"/>
          <w:color w:val="auto"/>
          <w:highlight w:val="none"/>
        </w:rPr>
      </w:pPr>
      <w:r>
        <w:rPr>
          <w:rFonts w:hint="eastAsia" w:ascii="宋体" w:hAnsi="宋体" w:cs="宋体"/>
          <w:color w:val="auto"/>
          <w:highlight w:val="none"/>
          <w:lang w:val="en-US" w:eastAsia="zh-CN"/>
        </w:rPr>
        <w:t>商务</w:t>
      </w:r>
      <w:r>
        <w:rPr>
          <w:rFonts w:hint="eastAsia" w:ascii="宋体" w:hAnsi="宋体" w:cs="宋体"/>
          <w:color w:val="auto"/>
          <w:highlight w:val="none"/>
        </w:rPr>
        <w:t>技术得分为评标委员会成员的独立评分的算术平均分计算，计算公式为：</w:t>
      </w:r>
    </w:p>
    <w:p>
      <w:pPr>
        <w:adjustRightInd w:val="0"/>
        <w:snapToGrid w:val="0"/>
        <w:spacing w:line="360" w:lineRule="auto"/>
        <w:ind w:firstLine="420"/>
        <w:rPr>
          <w:rFonts w:ascii="宋体" w:hAnsi="宋体" w:cs="宋体"/>
          <w:color w:val="auto"/>
          <w:highlight w:val="none"/>
        </w:rPr>
      </w:pPr>
      <w:r>
        <w:rPr>
          <w:rFonts w:hint="eastAsia" w:ascii="宋体" w:hAnsi="宋体" w:cs="宋体"/>
          <w:color w:val="auto"/>
          <w:highlight w:val="none"/>
          <w:lang w:val="en-US" w:eastAsia="zh-CN"/>
        </w:rPr>
        <w:t>商务</w:t>
      </w:r>
      <w:r>
        <w:rPr>
          <w:rFonts w:hint="eastAsia" w:ascii="宋体" w:hAnsi="宋体" w:cs="宋体"/>
          <w:color w:val="auto"/>
          <w:highlight w:val="none"/>
        </w:rPr>
        <w:t>技术得分=评标委员会所有成员评分合计数/评标委员会组成人员数（计算结果保留小数点后二位）</w:t>
      </w:r>
    </w:p>
    <w:p>
      <w:pPr>
        <w:adjustRightInd w:val="0"/>
        <w:snapToGrid w:val="0"/>
        <w:spacing w:line="360" w:lineRule="auto"/>
        <w:ind w:firstLine="420"/>
        <w:rPr>
          <w:rFonts w:ascii="宋体" w:hAnsi="宋体" w:cs="宋体"/>
          <w:color w:val="auto"/>
          <w:highlight w:val="none"/>
        </w:rPr>
      </w:pPr>
      <w:r>
        <w:rPr>
          <w:rFonts w:hint="eastAsia" w:ascii="宋体" w:hAnsi="宋体" w:cs="宋体"/>
          <w:color w:val="auto"/>
          <w:highlight w:val="none"/>
        </w:rPr>
        <w:t>1.价格分</w:t>
      </w:r>
    </w:p>
    <w:p>
      <w:pPr>
        <w:adjustRightInd w:val="0"/>
        <w:snapToGrid w:val="0"/>
        <w:spacing w:line="360" w:lineRule="auto"/>
        <w:ind w:firstLine="420"/>
        <w:rPr>
          <w:rFonts w:ascii="宋体" w:hAnsi="宋体" w:cs="宋体"/>
          <w:color w:val="auto"/>
          <w:highlight w:val="none"/>
        </w:rPr>
      </w:pPr>
      <w:r>
        <w:rPr>
          <w:rFonts w:hint="eastAsia" w:ascii="宋体" w:hAnsi="宋体" w:cs="宋体"/>
          <w:color w:val="auto"/>
          <w:highlight w:val="none"/>
        </w:rPr>
        <w:t>先由评委会对各供应商的分项报价进行分析。审查投标报价是否符合招标文件的基本要求，有无明显开口、漏项、漏量等情况，在取得基本一致的意见后进行判别计算。</w:t>
      </w:r>
    </w:p>
    <w:p>
      <w:pPr>
        <w:adjustRightInd w:val="0"/>
        <w:snapToGrid w:val="0"/>
        <w:spacing w:line="360" w:lineRule="auto"/>
        <w:ind w:firstLine="420"/>
        <w:rPr>
          <w:rFonts w:ascii="宋体" w:hAnsi="宋体" w:cs="宋体"/>
          <w:color w:val="auto"/>
          <w:highlight w:val="none"/>
        </w:rPr>
      </w:pPr>
      <w:r>
        <w:rPr>
          <w:rFonts w:hint="eastAsia" w:ascii="宋体" w:hAnsi="宋体" w:cs="宋体"/>
          <w:color w:val="auto"/>
          <w:highlight w:val="none"/>
        </w:rPr>
        <w:t>2.</w:t>
      </w:r>
      <w:r>
        <w:rPr>
          <w:rFonts w:hint="eastAsia" w:ascii="宋体" w:hAnsi="宋体" w:cs="宋体"/>
          <w:color w:val="auto"/>
          <w:highlight w:val="none"/>
          <w:lang w:val="en-US" w:eastAsia="zh-CN"/>
        </w:rPr>
        <w:t>商务</w:t>
      </w:r>
      <w:r>
        <w:rPr>
          <w:rFonts w:hint="eastAsia" w:ascii="宋体" w:hAnsi="宋体" w:cs="宋体"/>
          <w:color w:val="auto"/>
          <w:highlight w:val="none"/>
        </w:rPr>
        <w:t>技术得分</w:t>
      </w:r>
    </w:p>
    <w:p>
      <w:pPr>
        <w:adjustRightInd w:val="0"/>
        <w:snapToGrid w:val="0"/>
        <w:spacing w:line="360" w:lineRule="auto"/>
        <w:ind w:firstLine="420"/>
        <w:rPr>
          <w:rFonts w:ascii="宋体" w:hAnsi="宋体" w:cs="宋体"/>
          <w:color w:val="auto"/>
          <w:highlight w:val="none"/>
        </w:rPr>
      </w:pPr>
      <w:r>
        <w:rPr>
          <w:rFonts w:hint="eastAsia" w:ascii="宋体" w:hAnsi="宋体" w:cs="宋体"/>
          <w:color w:val="auto"/>
          <w:highlight w:val="none"/>
        </w:rPr>
        <w:t>除明确给出评判标准的考核项目外，由评委根据供应商情况综合评定，各项指标的最小打分单位为0.1分。</w:t>
      </w:r>
    </w:p>
    <w:p>
      <w:pPr>
        <w:adjustRightInd w:val="0"/>
        <w:snapToGrid w:val="0"/>
        <w:spacing w:line="360" w:lineRule="auto"/>
        <w:ind w:firstLine="420"/>
        <w:rPr>
          <w:rFonts w:ascii="宋体" w:hAnsi="宋体" w:cs="宋体"/>
          <w:color w:val="auto"/>
          <w:highlight w:val="none"/>
        </w:rPr>
      </w:pPr>
      <w:r>
        <w:rPr>
          <w:rFonts w:hint="eastAsia" w:ascii="宋体" w:hAnsi="宋体" w:cs="宋体"/>
          <w:color w:val="auto"/>
          <w:highlight w:val="none"/>
        </w:rPr>
        <w:t>3.评审得分</w:t>
      </w:r>
    </w:p>
    <w:p>
      <w:pPr>
        <w:adjustRightInd w:val="0"/>
        <w:snapToGrid w:val="0"/>
        <w:spacing w:line="360" w:lineRule="auto"/>
        <w:ind w:firstLine="420"/>
        <w:rPr>
          <w:rFonts w:ascii="宋体" w:hAnsi="宋体" w:cs="宋体"/>
          <w:color w:val="auto"/>
          <w:highlight w:val="none"/>
        </w:rPr>
      </w:pPr>
      <w:r>
        <w:rPr>
          <w:rFonts w:hint="eastAsia" w:ascii="宋体" w:hAnsi="宋体" w:cs="宋体"/>
          <w:color w:val="auto"/>
          <w:highlight w:val="none"/>
        </w:rPr>
        <w:t>（1）各供应商评审得分按以下方法进行计算：评审得分＝价格分+</w:t>
      </w:r>
      <w:r>
        <w:rPr>
          <w:rFonts w:hint="eastAsia" w:ascii="宋体" w:hAnsi="宋体" w:cs="宋体"/>
          <w:color w:val="auto"/>
          <w:highlight w:val="none"/>
          <w:lang w:val="en-US" w:eastAsia="zh-CN"/>
        </w:rPr>
        <w:t>商务</w:t>
      </w:r>
      <w:r>
        <w:rPr>
          <w:rFonts w:hint="eastAsia" w:ascii="宋体" w:hAnsi="宋体" w:cs="宋体"/>
          <w:color w:val="auto"/>
          <w:highlight w:val="none"/>
        </w:rPr>
        <w:t>技术得分；</w:t>
      </w:r>
    </w:p>
    <w:p>
      <w:pPr>
        <w:adjustRightInd w:val="0"/>
        <w:snapToGrid w:val="0"/>
        <w:spacing w:line="360" w:lineRule="auto"/>
        <w:ind w:firstLine="420"/>
        <w:rPr>
          <w:rFonts w:ascii="宋体" w:hAnsi="宋体" w:cs="宋体"/>
          <w:color w:val="auto"/>
          <w:highlight w:val="none"/>
        </w:rPr>
      </w:pPr>
      <w:r>
        <w:rPr>
          <w:rFonts w:hint="eastAsia" w:ascii="宋体" w:hAnsi="宋体" w:cs="宋体"/>
          <w:color w:val="auto"/>
          <w:highlight w:val="none"/>
        </w:rPr>
        <w:t>（2）各供应商的评审得分若出现并列分，则报价低的排列在前；若报价也相同，则采用随机方式确定排名。</w:t>
      </w:r>
    </w:p>
    <w:p>
      <w:pPr>
        <w:adjustRightInd w:val="0"/>
        <w:snapToGrid w:val="0"/>
        <w:spacing w:line="360" w:lineRule="auto"/>
        <w:ind w:firstLine="422"/>
        <w:outlineLvl w:val="1"/>
        <w:rPr>
          <w:rFonts w:hint="eastAsia" w:ascii="宋体" w:hAnsi="宋体" w:cs="宋体"/>
          <w:b/>
          <w:color w:val="auto"/>
          <w:szCs w:val="21"/>
          <w:highlight w:val="none"/>
        </w:rPr>
      </w:pPr>
      <w:r>
        <w:rPr>
          <w:rFonts w:hint="eastAsia" w:ascii="宋体" w:hAnsi="宋体" w:cs="宋体"/>
          <w:b/>
          <w:color w:val="auto"/>
          <w:szCs w:val="21"/>
          <w:highlight w:val="none"/>
        </w:rPr>
        <w:t>六、评标细则</w:t>
      </w:r>
    </w:p>
    <w:p>
      <w:pPr>
        <w:pStyle w:val="35"/>
        <w:rPr>
          <w:color w:val="auto"/>
          <w:highlight w:val="none"/>
        </w:rPr>
      </w:pPr>
    </w:p>
    <w:p>
      <w:pPr>
        <w:adjustRightInd w:val="0"/>
        <w:snapToGrid w:val="0"/>
        <w:spacing w:line="360" w:lineRule="auto"/>
        <w:ind w:firstLine="420"/>
        <w:jc w:val="left"/>
        <w:rPr>
          <w:rFonts w:ascii="宋体" w:hAnsi="宋体" w:cs="宋体"/>
          <w:color w:val="auto"/>
          <w:szCs w:val="21"/>
          <w:highlight w:val="none"/>
        </w:rPr>
      </w:pPr>
      <w:r>
        <w:rPr>
          <w:rFonts w:hint="eastAsia" w:ascii="宋体" w:hAnsi="宋体" w:cs="宋体"/>
          <w:color w:val="auto"/>
          <w:szCs w:val="21"/>
          <w:highlight w:val="none"/>
        </w:rPr>
        <w:t>首先根据招标文件的资格性审查和符合性审查等方面进行审查，通过审查的投标文件才能进入综</w:t>
      </w:r>
    </w:p>
    <w:p>
      <w:pPr>
        <w:adjustRightInd w:val="0"/>
        <w:snapToGrid w:val="0"/>
        <w:spacing w:line="360" w:lineRule="auto"/>
        <w:jc w:val="left"/>
        <w:rPr>
          <w:rFonts w:hint="eastAsia" w:ascii="宋体" w:hAnsi="宋体" w:cs="宋体"/>
          <w:color w:val="auto"/>
          <w:szCs w:val="21"/>
          <w:highlight w:val="none"/>
        </w:rPr>
      </w:pPr>
      <w:r>
        <w:rPr>
          <w:rFonts w:hint="eastAsia" w:ascii="宋体" w:hAnsi="宋体" w:cs="宋体"/>
          <w:color w:val="auto"/>
          <w:szCs w:val="21"/>
          <w:highlight w:val="none"/>
        </w:rPr>
        <w:t>合比较与评议。</w:t>
      </w:r>
    </w:p>
    <w:tbl>
      <w:tblPr>
        <w:tblStyle w:val="23"/>
        <w:tblW w:w="8865"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299"/>
        <w:gridCol w:w="1361"/>
        <w:gridCol w:w="731"/>
        <w:gridCol w:w="547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3" w:hRule="atLeast"/>
          <w:jc w:val="center"/>
        </w:trPr>
        <w:tc>
          <w:tcPr>
            <w:tcW w:w="2660" w:type="dxa"/>
            <w:gridSpan w:val="2"/>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评审因素</w:t>
            </w:r>
          </w:p>
        </w:tc>
        <w:tc>
          <w:tcPr>
            <w:tcW w:w="731"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分值</w:t>
            </w:r>
          </w:p>
        </w:tc>
        <w:tc>
          <w:tcPr>
            <w:tcW w:w="5474"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评审要点及说明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4" w:hRule="atLeast"/>
          <w:jc w:val="center"/>
        </w:trPr>
        <w:tc>
          <w:tcPr>
            <w:tcW w:w="2660" w:type="dxa"/>
            <w:gridSpan w:val="2"/>
            <w:tcBorders>
              <w:top w:val="single" w:color="auto" w:sz="4" w:space="0"/>
              <w:left w:val="single" w:color="auto" w:sz="4" w:space="0"/>
              <w:right w:val="single" w:color="auto" w:sz="4" w:space="0"/>
            </w:tcBorders>
            <w:noWrap w:val="0"/>
            <w:vAlign w:val="center"/>
          </w:tcPr>
          <w:p>
            <w:pPr>
              <w:spacing w:line="240" w:lineRule="auto"/>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价格</w:t>
            </w:r>
          </w:p>
        </w:tc>
        <w:tc>
          <w:tcPr>
            <w:tcW w:w="731"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cs="宋体"/>
                <w:color w:val="auto"/>
                <w:sz w:val="21"/>
                <w:szCs w:val="21"/>
                <w:highlight w:val="none"/>
              </w:rPr>
            </w:pPr>
            <w:r>
              <w:rPr>
                <w:rFonts w:hint="eastAsia" w:ascii="宋体" w:hAnsi="宋体" w:cs="宋体"/>
                <w:color w:val="auto"/>
                <w:sz w:val="21"/>
                <w:szCs w:val="21"/>
                <w:highlight w:val="none"/>
                <w:lang w:val="en-US" w:eastAsia="zh-CN"/>
              </w:rPr>
              <w:t>2</w:t>
            </w:r>
            <w:r>
              <w:rPr>
                <w:rFonts w:hint="eastAsia" w:ascii="宋体" w:hAnsi="宋体" w:cs="宋体"/>
                <w:color w:val="auto"/>
                <w:sz w:val="21"/>
                <w:szCs w:val="21"/>
                <w:highlight w:val="none"/>
              </w:rPr>
              <w:t>0分</w:t>
            </w:r>
          </w:p>
        </w:tc>
        <w:tc>
          <w:tcPr>
            <w:tcW w:w="5474"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宋体" w:hAnsi="宋体" w:cs="宋体"/>
                <w:color w:val="auto"/>
                <w:sz w:val="21"/>
                <w:szCs w:val="21"/>
                <w:highlight w:val="none"/>
              </w:rPr>
            </w:pPr>
            <w:r>
              <w:rPr>
                <w:rFonts w:hint="eastAsia" w:ascii="宋体" w:hAnsi="宋体" w:cs="宋体"/>
                <w:color w:val="auto"/>
                <w:sz w:val="21"/>
                <w:szCs w:val="21"/>
                <w:highlight w:val="none"/>
              </w:rPr>
              <w:t>1、参与评审的价格=投标报价-小微企业价格扣除优惠值6%</w:t>
            </w:r>
          </w:p>
          <w:p>
            <w:pPr>
              <w:spacing w:line="240" w:lineRule="auto"/>
              <w:rPr>
                <w:rFonts w:hint="eastAsia" w:ascii="宋体" w:hAnsi="宋体" w:cs="宋体"/>
                <w:color w:val="auto"/>
                <w:sz w:val="21"/>
                <w:szCs w:val="21"/>
                <w:highlight w:val="none"/>
              </w:rPr>
            </w:pPr>
            <w:r>
              <w:rPr>
                <w:rFonts w:hint="eastAsia" w:ascii="宋体" w:hAnsi="宋体" w:cs="宋体"/>
                <w:color w:val="auto"/>
                <w:sz w:val="21"/>
                <w:szCs w:val="21"/>
                <w:highlight w:val="none"/>
              </w:rPr>
              <w:t>2、评标基准价=满足招标文件要求且“参与评审的价格”中最低的价格为评标基准价。基准价得分为满分，其他投标报价得分计算公式如下：</w:t>
            </w:r>
          </w:p>
          <w:p>
            <w:pPr>
              <w:spacing w:line="240" w:lineRule="auto"/>
              <w:rPr>
                <w:rFonts w:hint="eastAsia" w:ascii="宋体" w:hAnsi="宋体" w:cs="宋体"/>
                <w:color w:val="auto"/>
                <w:sz w:val="21"/>
                <w:szCs w:val="21"/>
                <w:highlight w:val="none"/>
              </w:rPr>
            </w:pPr>
            <w:r>
              <w:rPr>
                <w:rFonts w:hint="eastAsia" w:ascii="宋体" w:hAnsi="宋体" w:cs="宋体"/>
                <w:color w:val="auto"/>
                <w:sz w:val="21"/>
                <w:szCs w:val="21"/>
                <w:highlight w:val="none"/>
              </w:rPr>
              <w:t>投标报价得分=(评标基准价/参与评审的价格)×</w:t>
            </w:r>
            <w:r>
              <w:rPr>
                <w:rFonts w:hint="eastAsia" w:ascii="宋体" w:hAnsi="宋体" w:cs="宋体"/>
                <w:color w:val="auto"/>
                <w:sz w:val="21"/>
                <w:szCs w:val="21"/>
                <w:highlight w:val="none"/>
                <w:lang w:val="en-US" w:eastAsia="zh-CN"/>
              </w:rPr>
              <w:t>2</w:t>
            </w:r>
            <w:r>
              <w:rPr>
                <w:rFonts w:hint="eastAsia" w:ascii="宋体" w:hAnsi="宋体" w:cs="宋体"/>
                <w:color w:val="auto"/>
                <w:sz w:val="21"/>
                <w:szCs w:val="21"/>
                <w:highlight w:val="none"/>
              </w:rPr>
              <w:t>0%×100</w:t>
            </w:r>
          </w:p>
          <w:p>
            <w:pPr>
              <w:spacing w:line="240" w:lineRule="auto"/>
              <w:rPr>
                <w:rFonts w:hint="eastAsia" w:ascii="宋体" w:hAnsi="宋体" w:cs="宋体"/>
                <w:color w:val="auto"/>
                <w:sz w:val="21"/>
                <w:szCs w:val="21"/>
                <w:highlight w:val="none"/>
              </w:rPr>
            </w:pPr>
            <w:r>
              <w:rPr>
                <w:rFonts w:hint="eastAsia" w:ascii="宋体" w:hAnsi="宋体" w:cs="宋体"/>
                <w:color w:val="auto"/>
                <w:sz w:val="21"/>
                <w:szCs w:val="21"/>
                <w:highlight w:val="none"/>
              </w:rPr>
              <w:t>得分四舍五入保留到小数点后两位。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2" w:hRule="atLeast"/>
          <w:jc w:val="center"/>
        </w:trPr>
        <w:tc>
          <w:tcPr>
            <w:tcW w:w="1299" w:type="dxa"/>
            <w:vMerge w:val="restart"/>
            <w:tcBorders>
              <w:top w:val="single" w:color="auto" w:sz="4" w:space="0"/>
              <w:left w:val="single" w:color="auto" w:sz="4" w:space="0"/>
              <w:right w:val="single" w:color="auto" w:sz="4" w:space="0"/>
            </w:tcBorders>
            <w:noWrap w:val="0"/>
            <w:vAlign w:val="center"/>
          </w:tcPr>
          <w:p>
            <w:pPr>
              <w:spacing w:line="240" w:lineRule="auto"/>
              <w:rPr>
                <w:rFonts w:hint="eastAsia" w:ascii="宋体" w:hAnsi="宋体" w:cs="宋体"/>
                <w:color w:val="auto"/>
                <w:sz w:val="21"/>
                <w:szCs w:val="21"/>
                <w:highlight w:val="none"/>
              </w:rPr>
            </w:pPr>
          </w:p>
          <w:p>
            <w:pPr>
              <w:spacing w:line="240" w:lineRule="auto"/>
              <w:rPr>
                <w:rFonts w:hint="eastAsia" w:ascii="宋体" w:hAnsi="宋体" w:cs="宋体"/>
                <w:color w:val="auto"/>
                <w:sz w:val="21"/>
                <w:szCs w:val="21"/>
                <w:highlight w:val="none"/>
              </w:rPr>
            </w:pPr>
          </w:p>
          <w:p>
            <w:pPr>
              <w:spacing w:line="240" w:lineRule="auto"/>
              <w:rPr>
                <w:rFonts w:hint="eastAsia" w:ascii="宋体" w:hAnsi="宋体" w:cs="宋体"/>
                <w:color w:val="auto"/>
                <w:sz w:val="21"/>
                <w:szCs w:val="21"/>
                <w:highlight w:val="none"/>
              </w:rPr>
            </w:pPr>
            <w:r>
              <w:rPr>
                <w:rFonts w:hint="eastAsia" w:ascii="宋体" w:hAnsi="宋体" w:cs="宋体"/>
                <w:color w:val="auto"/>
                <w:sz w:val="21"/>
                <w:szCs w:val="21"/>
                <w:highlight w:val="none"/>
              </w:rPr>
              <w:t>商务技术分</w:t>
            </w:r>
          </w:p>
          <w:p>
            <w:pPr>
              <w:spacing w:line="240" w:lineRule="auto"/>
              <w:rPr>
                <w:rFonts w:hint="eastAsia" w:ascii="宋体" w:hAnsi="宋体" w:cs="宋体"/>
                <w:color w:val="auto"/>
                <w:sz w:val="21"/>
                <w:szCs w:val="21"/>
                <w:highlight w:val="none"/>
              </w:rPr>
            </w:pPr>
            <w:r>
              <w:rPr>
                <w:rFonts w:hint="eastAsia" w:ascii="宋体" w:hAnsi="宋体" w:cs="宋体"/>
                <w:color w:val="auto"/>
                <w:sz w:val="21"/>
                <w:szCs w:val="21"/>
                <w:highlight w:val="none"/>
                <w:lang w:val="en-US" w:eastAsia="zh-CN"/>
              </w:rPr>
              <w:t>8</w:t>
            </w:r>
            <w:r>
              <w:rPr>
                <w:rFonts w:hint="eastAsia" w:ascii="宋体" w:hAnsi="宋体" w:cs="宋体"/>
                <w:color w:val="auto"/>
                <w:sz w:val="21"/>
                <w:szCs w:val="21"/>
                <w:highlight w:val="none"/>
              </w:rPr>
              <w:t>0分</w:t>
            </w:r>
          </w:p>
        </w:tc>
        <w:tc>
          <w:tcPr>
            <w:tcW w:w="1361" w:type="dxa"/>
            <w:vMerge w:val="restart"/>
            <w:tcBorders>
              <w:top w:val="single" w:color="auto" w:sz="4" w:space="0"/>
              <w:left w:val="single" w:color="auto" w:sz="4" w:space="0"/>
              <w:right w:val="single" w:color="auto" w:sz="4" w:space="0"/>
            </w:tcBorders>
            <w:noWrap w:val="0"/>
            <w:vAlign w:val="center"/>
          </w:tcPr>
          <w:p>
            <w:pPr>
              <w:spacing w:line="240" w:lineRule="auto"/>
              <w:jc w:val="left"/>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rPr>
              <w:t>项目管理技术方案</w:t>
            </w:r>
            <w:r>
              <w:rPr>
                <w:rFonts w:hint="eastAsia" w:ascii="宋体" w:hAnsi="宋体" w:cs="宋体"/>
                <w:color w:val="auto"/>
                <w:sz w:val="21"/>
                <w:szCs w:val="21"/>
                <w:highlight w:val="none"/>
                <w:lang w:val="en-US" w:eastAsia="zh-CN"/>
              </w:rPr>
              <w:t xml:space="preserve">   </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69分</w:t>
            </w:r>
            <w:r>
              <w:rPr>
                <w:rFonts w:hint="eastAsia" w:ascii="宋体" w:hAnsi="宋体" w:cs="宋体"/>
                <w:color w:val="auto"/>
                <w:sz w:val="21"/>
                <w:szCs w:val="21"/>
                <w:highlight w:val="none"/>
                <w:lang w:eastAsia="zh-CN"/>
              </w:rPr>
              <w:t>）</w:t>
            </w:r>
          </w:p>
        </w:tc>
        <w:tc>
          <w:tcPr>
            <w:tcW w:w="731" w:type="dxa"/>
            <w:tcBorders>
              <w:top w:val="single" w:color="auto" w:sz="4" w:space="0"/>
              <w:left w:val="single" w:color="auto" w:sz="4" w:space="0"/>
              <w:right w:val="single" w:color="auto" w:sz="4" w:space="0"/>
            </w:tcBorders>
            <w:noWrap w:val="0"/>
            <w:vAlign w:val="center"/>
          </w:tcPr>
          <w:p>
            <w:pPr>
              <w:spacing w:line="240" w:lineRule="auto"/>
              <w:jc w:val="center"/>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8分</w:t>
            </w:r>
          </w:p>
        </w:tc>
        <w:tc>
          <w:tcPr>
            <w:tcW w:w="5474"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宋体" w:hAnsi="宋体" w:cs="宋体"/>
                <w:color w:val="auto"/>
                <w:sz w:val="21"/>
                <w:szCs w:val="21"/>
                <w:highlight w:val="none"/>
                <w:lang w:val="en-US" w:eastAsia="zh-CN"/>
              </w:rPr>
            </w:pPr>
            <w:r>
              <w:rPr>
                <w:rFonts w:hint="eastAsia" w:ascii="宋体" w:hAnsi="宋体" w:cs="宋体"/>
                <w:color w:val="auto"/>
                <w:sz w:val="21"/>
                <w:szCs w:val="21"/>
                <w:highlight w:val="none"/>
              </w:rPr>
              <w:t>项目管理整体设想及策划，</w:t>
            </w:r>
            <w:r>
              <w:rPr>
                <w:rFonts w:hint="eastAsia" w:ascii="宋体" w:hAnsi="宋体" w:cs="宋体"/>
                <w:color w:val="auto"/>
                <w:sz w:val="21"/>
                <w:szCs w:val="21"/>
                <w:highlight w:val="none"/>
                <w:lang w:val="en-US" w:eastAsia="zh-CN"/>
              </w:rPr>
              <w:t>由评委对投标人进行综合评议。</w:t>
            </w:r>
          </w:p>
          <w:p>
            <w:pPr>
              <w:spacing w:line="240" w:lineRule="auto"/>
              <w:rPr>
                <w:rFonts w:hint="eastAsia" w:ascii="宋体" w:hAnsi="宋体" w:cs="宋体"/>
                <w:color w:val="auto"/>
                <w:sz w:val="21"/>
                <w:szCs w:val="21"/>
                <w:highlight w:val="none"/>
              </w:rPr>
            </w:pPr>
            <w:r>
              <w:rPr>
                <w:rFonts w:hint="eastAsia" w:ascii="宋体" w:hAnsi="宋体" w:cs="宋体"/>
                <w:color w:val="auto"/>
                <w:sz w:val="21"/>
                <w:szCs w:val="21"/>
                <w:highlight w:val="none"/>
                <w:lang w:val="en-US" w:eastAsia="zh-CN"/>
              </w:rPr>
              <w:t>优：6～8分</w:t>
            </w:r>
            <w:r>
              <w:rPr>
                <w:rFonts w:hint="eastAsia" w:ascii="宋体" w:hAnsi="宋体" w:cs="宋体"/>
                <w:color w:val="auto"/>
                <w:sz w:val="21"/>
                <w:szCs w:val="21"/>
                <w:highlight w:val="none"/>
                <w:lang w:val="en-US" w:eastAsia="zh-CN"/>
              </w:rPr>
              <w:tab/>
            </w:r>
            <w:r>
              <w:rPr>
                <w:rFonts w:hint="eastAsia" w:ascii="宋体" w:hAnsi="宋体" w:cs="宋体"/>
                <w:color w:val="auto"/>
                <w:sz w:val="21"/>
                <w:szCs w:val="21"/>
                <w:highlight w:val="none"/>
                <w:lang w:val="en-US" w:eastAsia="zh-CN"/>
              </w:rPr>
              <w:t xml:space="preserve"> 良：4～6分</w:t>
            </w:r>
            <w:r>
              <w:rPr>
                <w:rFonts w:hint="eastAsia" w:ascii="宋体" w:hAnsi="宋体" w:cs="宋体"/>
                <w:color w:val="auto"/>
                <w:sz w:val="21"/>
                <w:szCs w:val="21"/>
                <w:highlight w:val="none"/>
                <w:lang w:val="en-US" w:eastAsia="zh-CN"/>
              </w:rPr>
              <w:tab/>
            </w:r>
            <w:r>
              <w:rPr>
                <w:rFonts w:hint="eastAsia" w:ascii="宋体" w:hAnsi="宋体" w:cs="宋体"/>
                <w:color w:val="auto"/>
                <w:sz w:val="21"/>
                <w:szCs w:val="21"/>
                <w:highlight w:val="none"/>
                <w:lang w:val="en-US" w:eastAsia="zh-CN"/>
              </w:rPr>
              <w:t>一般：0～4分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2" w:hRule="atLeast"/>
          <w:jc w:val="center"/>
        </w:trPr>
        <w:tc>
          <w:tcPr>
            <w:tcW w:w="1299" w:type="dxa"/>
            <w:vMerge w:val="continue"/>
            <w:tcBorders>
              <w:left w:val="single" w:color="auto" w:sz="4" w:space="0"/>
              <w:right w:val="single" w:color="auto" w:sz="4" w:space="0"/>
            </w:tcBorders>
            <w:noWrap w:val="0"/>
            <w:vAlign w:val="center"/>
          </w:tcPr>
          <w:p>
            <w:pPr>
              <w:spacing w:line="240" w:lineRule="auto"/>
              <w:rPr>
                <w:rFonts w:hint="eastAsia" w:ascii="宋体" w:hAnsi="宋体" w:cs="宋体"/>
                <w:color w:val="auto"/>
                <w:sz w:val="21"/>
                <w:szCs w:val="21"/>
                <w:highlight w:val="none"/>
              </w:rPr>
            </w:pPr>
          </w:p>
        </w:tc>
        <w:tc>
          <w:tcPr>
            <w:tcW w:w="1361" w:type="dxa"/>
            <w:vMerge w:val="continue"/>
            <w:tcBorders>
              <w:left w:val="single" w:color="auto" w:sz="4" w:space="0"/>
              <w:right w:val="single" w:color="auto" w:sz="4" w:space="0"/>
            </w:tcBorders>
            <w:noWrap w:val="0"/>
            <w:vAlign w:val="center"/>
          </w:tcPr>
          <w:p>
            <w:pPr>
              <w:spacing w:line="240" w:lineRule="auto"/>
              <w:rPr>
                <w:rFonts w:hint="eastAsia" w:ascii="宋体" w:hAnsi="宋体" w:cs="宋体"/>
                <w:color w:val="auto"/>
                <w:sz w:val="21"/>
                <w:szCs w:val="21"/>
                <w:highlight w:val="none"/>
              </w:rPr>
            </w:pPr>
          </w:p>
        </w:tc>
        <w:tc>
          <w:tcPr>
            <w:tcW w:w="731" w:type="dxa"/>
            <w:tcBorders>
              <w:top w:val="single" w:color="auto" w:sz="4" w:space="0"/>
              <w:left w:val="single" w:color="auto" w:sz="4" w:space="0"/>
              <w:right w:val="single" w:color="auto" w:sz="4" w:space="0"/>
            </w:tcBorders>
            <w:noWrap w:val="0"/>
            <w:vAlign w:val="center"/>
          </w:tcPr>
          <w:p>
            <w:pPr>
              <w:spacing w:line="240" w:lineRule="auto"/>
              <w:jc w:val="center"/>
              <w:rPr>
                <w:rFonts w:hint="eastAsia" w:ascii="宋体" w:hAnsi="宋体" w:cs="宋体"/>
                <w:color w:val="auto"/>
                <w:sz w:val="21"/>
                <w:szCs w:val="21"/>
                <w:highlight w:val="none"/>
              </w:rPr>
            </w:pPr>
            <w:r>
              <w:rPr>
                <w:rFonts w:hint="eastAsia" w:ascii="宋体" w:hAnsi="宋体" w:cs="宋体"/>
                <w:color w:val="auto"/>
                <w:sz w:val="21"/>
                <w:szCs w:val="21"/>
                <w:highlight w:val="none"/>
                <w:lang w:val="en-US" w:eastAsia="zh-CN"/>
              </w:rPr>
              <w:t>8分</w:t>
            </w:r>
          </w:p>
        </w:tc>
        <w:tc>
          <w:tcPr>
            <w:tcW w:w="5474"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宋体" w:hAnsi="宋体" w:cs="宋体"/>
                <w:color w:val="auto"/>
                <w:sz w:val="21"/>
                <w:szCs w:val="21"/>
                <w:highlight w:val="none"/>
                <w:lang w:val="en-US" w:eastAsia="zh-CN"/>
              </w:rPr>
            </w:pPr>
            <w:r>
              <w:rPr>
                <w:rFonts w:hint="eastAsia" w:ascii="宋体" w:hAnsi="宋体" w:cs="宋体"/>
                <w:color w:val="auto"/>
                <w:sz w:val="21"/>
                <w:szCs w:val="21"/>
                <w:highlight w:val="none"/>
              </w:rPr>
              <w:t>项目特点、难点分析，解决措施</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由评委对投标人进行综合评议。</w:t>
            </w:r>
          </w:p>
          <w:p>
            <w:pPr>
              <w:spacing w:line="240" w:lineRule="auto"/>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val="en-US" w:eastAsia="zh-CN"/>
              </w:rPr>
              <w:t>优：6～8分</w:t>
            </w:r>
            <w:r>
              <w:rPr>
                <w:rFonts w:hint="eastAsia" w:ascii="宋体" w:hAnsi="宋体" w:cs="宋体"/>
                <w:color w:val="auto"/>
                <w:sz w:val="21"/>
                <w:szCs w:val="21"/>
                <w:highlight w:val="none"/>
                <w:lang w:val="en-US" w:eastAsia="zh-CN"/>
              </w:rPr>
              <w:tab/>
            </w:r>
            <w:r>
              <w:rPr>
                <w:rFonts w:hint="eastAsia" w:ascii="宋体" w:hAnsi="宋体" w:cs="宋体"/>
                <w:color w:val="auto"/>
                <w:sz w:val="21"/>
                <w:szCs w:val="21"/>
                <w:highlight w:val="none"/>
                <w:lang w:val="en-US" w:eastAsia="zh-CN"/>
              </w:rPr>
              <w:t xml:space="preserve"> 良：4～6分</w:t>
            </w:r>
            <w:r>
              <w:rPr>
                <w:rFonts w:hint="eastAsia" w:ascii="宋体" w:hAnsi="宋体" w:cs="宋体"/>
                <w:color w:val="auto"/>
                <w:sz w:val="21"/>
                <w:szCs w:val="21"/>
                <w:highlight w:val="none"/>
                <w:lang w:val="en-US" w:eastAsia="zh-CN"/>
              </w:rPr>
              <w:tab/>
            </w:r>
            <w:r>
              <w:rPr>
                <w:rFonts w:hint="eastAsia" w:ascii="宋体" w:hAnsi="宋体" w:cs="宋体"/>
                <w:color w:val="auto"/>
                <w:sz w:val="21"/>
                <w:szCs w:val="21"/>
                <w:highlight w:val="none"/>
                <w:lang w:val="en-US" w:eastAsia="zh-CN"/>
              </w:rPr>
              <w:t>一般：0～4分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2" w:hRule="atLeast"/>
          <w:jc w:val="center"/>
        </w:trPr>
        <w:tc>
          <w:tcPr>
            <w:tcW w:w="1299" w:type="dxa"/>
            <w:vMerge w:val="continue"/>
            <w:tcBorders>
              <w:left w:val="single" w:color="auto" w:sz="4" w:space="0"/>
              <w:right w:val="single" w:color="auto" w:sz="4" w:space="0"/>
            </w:tcBorders>
            <w:noWrap w:val="0"/>
            <w:vAlign w:val="center"/>
          </w:tcPr>
          <w:p>
            <w:pPr>
              <w:spacing w:line="240" w:lineRule="auto"/>
              <w:rPr>
                <w:rFonts w:hint="eastAsia" w:ascii="宋体" w:hAnsi="宋体" w:cs="宋体"/>
                <w:color w:val="auto"/>
                <w:sz w:val="21"/>
                <w:szCs w:val="21"/>
                <w:highlight w:val="none"/>
              </w:rPr>
            </w:pPr>
          </w:p>
        </w:tc>
        <w:tc>
          <w:tcPr>
            <w:tcW w:w="1361" w:type="dxa"/>
            <w:vMerge w:val="continue"/>
            <w:tcBorders>
              <w:left w:val="single" w:color="auto" w:sz="4" w:space="0"/>
              <w:right w:val="single" w:color="auto" w:sz="4" w:space="0"/>
            </w:tcBorders>
            <w:noWrap w:val="0"/>
            <w:vAlign w:val="center"/>
          </w:tcPr>
          <w:p>
            <w:pPr>
              <w:spacing w:line="240" w:lineRule="auto"/>
              <w:rPr>
                <w:rFonts w:hint="eastAsia" w:ascii="宋体" w:hAnsi="宋体" w:cs="宋体"/>
                <w:color w:val="auto"/>
                <w:sz w:val="21"/>
                <w:szCs w:val="21"/>
                <w:highlight w:val="none"/>
              </w:rPr>
            </w:pPr>
          </w:p>
        </w:tc>
        <w:tc>
          <w:tcPr>
            <w:tcW w:w="731" w:type="dxa"/>
            <w:tcBorders>
              <w:top w:val="single" w:color="auto" w:sz="4" w:space="0"/>
              <w:left w:val="single" w:color="auto" w:sz="4" w:space="0"/>
              <w:right w:val="single" w:color="auto" w:sz="4" w:space="0"/>
            </w:tcBorders>
            <w:noWrap w:val="0"/>
            <w:vAlign w:val="center"/>
          </w:tcPr>
          <w:p>
            <w:pPr>
              <w:spacing w:line="240" w:lineRule="auto"/>
              <w:jc w:val="center"/>
              <w:rPr>
                <w:rFonts w:hint="eastAsia" w:ascii="宋体" w:hAnsi="宋体" w:cs="宋体"/>
                <w:color w:val="auto"/>
                <w:sz w:val="21"/>
                <w:szCs w:val="21"/>
                <w:highlight w:val="none"/>
              </w:rPr>
            </w:pPr>
            <w:r>
              <w:rPr>
                <w:rFonts w:hint="eastAsia" w:ascii="宋体" w:hAnsi="宋体" w:cs="宋体"/>
                <w:color w:val="auto"/>
                <w:sz w:val="21"/>
                <w:szCs w:val="21"/>
                <w:highlight w:val="none"/>
                <w:lang w:val="en-US" w:eastAsia="zh-CN"/>
              </w:rPr>
              <w:t>6分</w:t>
            </w:r>
          </w:p>
        </w:tc>
        <w:tc>
          <w:tcPr>
            <w:tcW w:w="5474"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宋体" w:hAnsi="宋体" w:cs="宋体"/>
                <w:color w:val="auto"/>
                <w:sz w:val="21"/>
                <w:szCs w:val="21"/>
                <w:highlight w:val="none"/>
                <w:lang w:val="en-US" w:eastAsia="zh-CN"/>
              </w:rPr>
            </w:pPr>
            <w:r>
              <w:rPr>
                <w:rFonts w:hint="eastAsia" w:ascii="宋体" w:hAnsi="宋体" w:cs="宋体"/>
                <w:color w:val="auto"/>
                <w:sz w:val="21"/>
                <w:szCs w:val="21"/>
                <w:highlight w:val="none"/>
              </w:rPr>
              <w:t>管理指标及措施</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由评委对投标人进行综合评议。</w:t>
            </w:r>
          </w:p>
          <w:p>
            <w:pPr>
              <w:spacing w:line="240" w:lineRule="auto"/>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val="en-US" w:eastAsia="zh-CN"/>
              </w:rPr>
              <w:t>优：4～6分</w:t>
            </w:r>
            <w:r>
              <w:rPr>
                <w:rFonts w:hint="eastAsia" w:ascii="宋体" w:hAnsi="宋体" w:cs="宋体"/>
                <w:color w:val="auto"/>
                <w:sz w:val="21"/>
                <w:szCs w:val="21"/>
                <w:highlight w:val="none"/>
                <w:lang w:val="en-US" w:eastAsia="zh-CN"/>
              </w:rPr>
              <w:tab/>
            </w:r>
            <w:r>
              <w:rPr>
                <w:rFonts w:hint="eastAsia" w:ascii="宋体" w:hAnsi="宋体" w:cs="宋体"/>
                <w:color w:val="auto"/>
                <w:sz w:val="21"/>
                <w:szCs w:val="21"/>
                <w:highlight w:val="none"/>
                <w:lang w:val="en-US" w:eastAsia="zh-CN"/>
              </w:rPr>
              <w:t xml:space="preserve"> 良：2～4分</w:t>
            </w:r>
            <w:r>
              <w:rPr>
                <w:rFonts w:hint="eastAsia" w:ascii="宋体" w:hAnsi="宋体" w:cs="宋体"/>
                <w:color w:val="auto"/>
                <w:sz w:val="21"/>
                <w:szCs w:val="21"/>
                <w:highlight w:val="none"/>
                <w:lang w:val="en-US" w:eastAsia="zh-CN"/>
              </w:rPr>
              <w:tab/>
            </w:r>
            <w:r>
              <w:rPr>
                <w:rFonts w:hint="eastAsia" w:ascii="宋体" w:hAnsi="宋体" w:cs="宋体"/>
                <w:color w:val="auto"/>
                <w:sz w:val="21"/>
                <w:szCs w:val="21"/>
                <w:highlight w:val="none"/>
                <w:lang w:val="en-US" w:eastAsia="zh-CN"/>
              </w:rPr>
              <w:t>一般：0～2分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2" w:hRule="atLeast"/>
          <w:jc w:val="center"/>
        </w:trPr>
        <w:tc>
          <w:tcPr>
            <w:tcW w:w="1299" w:type="dxa"/>
            <w:vMerge w:val="continue"/>
            <w:tcBorders>
              <w:left w:val="single" w:color="auto" w:sz="4" w:space="0"/>
              <w:right w:val="single" w:color="auto" w:sz="4" w:space="0"/>
            </w:tcBorders>
            <w:noWrap w:val="0"/>
            <w:vAlign w:val="center"/>
          </w:tcPr>
          <w:p>
            <w:pPr>
              <w:spacing w:line="240" w:lineRule="auto"/>
              <w:rPr>
                <w:rFonts w:hint="eastAsia" w:ascii="宋体" w:hAnsi="宋体" w:cs="宋体"/>
                <w:color w:val="auto"/>
                <w:sz w:val="21"/>
                <w:szCs w:val="21"/>
                <w:highlight w:val="none"/>
              </w:rPr>
            </w:pPr>
          </w:p>
        </w:tc>
        <w:tc>
          <w:tcPr>
            <w:tcW w:w="1361" w:type="dxa"/>
            <w:vMerge w:val="continue"/>
            <w:tcBorders>
              <w:left w:val="single" w:color="auto" w:sz="4" w:space="0"/>
              <w:right w:val="single" w:color="auto" w:sz="4" w:space="0"/>
            </w:tcBorders>
            <w:noWrap w:val="0"/>
            <w:vAlign w:val="center"/>
          </w:tcPr>
          <w:p>
            <w:pPr>
              <w:spacing w:line="240" w:lineRule="auto"/>
              <w:rPr>
                <w:rFonts w:hint="eastAsia" w:ascii="宋体" w:hAnsi="宋体" w:cs="宋体"/>
                <w:color w:val="auto"/>
                <w:sz w:val="21"/>
                <w:szCs w:val="21"/>
                <w:highlight w:val="none"/>
              </w:rPr>
            </w:pPr>
          </w:p>
        </w:tc>
        <w:tc>
          <w:tcPr>
            <w:tcW w:w="731" w:type="dxa"/>
            <w:tcBorders>
              <w:top w:val="single" w:color="auto" w:sz="4" w:space="0"/>
              <w:left w:val="single" w:color="auto" w:sz="4" w:space="0"/>
              <w:right w:val="single" w:color="auto" w:sz="4" w:space="0"/>
            </w:tcBorders>
            <w:noWrap w:val="0"/>
            <w:vAlign w:val="center"/>
          </w:tcPr>
          <w:p>
            <w:pPr>
              <w:spacing w:line="240" w:lineRule="auto"/>
              <w:jc w:val="center"/>
              <w:rPr>
                <w:rFonts w:hint="eastAsia" w:ascii="宋体" w:hAnsi="宋体" w:cs="宋体"/>
                <w:color w:val="auto"/>
                <w:sz w:val="21"/>
                <w:szCs w:val="21"/>
                <w:highlight w:val="none"/>
              </w:rPr>
            </w:pPr>
            <w:r>
              <w:rPr>
                <w:rFonts w:hint="eastAsia" w:ascii="宋体" w:hAnsi="宋体" w:cs="宋体"/>
                <w:color w:val="auto"/>
                <w:sz w:val="21"/>
                <w:szCs w:val="21"/>
                <w:highlight w:val="none"/>
                <w:lang w:val="en-US" w:eastAsia="zh-CN"/>
              </w:rPr>
              <w:t>6分</w:t>
            </w:r>
          </w:p>
        </w:tc>
        <w:tc>
          <w:tcPr>
            <w:tcW w:w="5474"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宋体" w:hAnsi="宋体" w:cs="宋体"/>
                <w:color w:val="auto"/>
                <w:sz w:val="21"/>
                <w:szCs w:val="21"/>
                <w:highlight w:val="none"/>
                <w:lang w:val="en-US" w:eastAsia="zh-CN"/>
              </w:rPr>
            </w:pPr>
            <w:r>
              <w:rPr>
                <w:rFonts w:hint="eastAsia" w:ascii="宋体" w:hAnsi="宋体" w:cs="宋体"/>
                <w:color w:val="auto"/>
                <w:sz w:val="21"/>
                <w:szCs w:val="21"/>
                <w:highlight w:val="none"/>
              </w:rPr>
              <w:t>管理方式和工作计划</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由评委对投标人进行综合评议。</w:t>
            </w:r>
          </w:p>
          <w:p>
            <w:pPr>
              <w:spacing w:line="240" w:lineRule="auto"/>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val="en-US" w:eastAsia="zh-CN"/>
              </w:rPr>
              <w:t>优：4～6分</w:t>
            </w:r>
            <w:r>
              <w:rPr>
                <w:rFonts w:hint="eastAsia" w:ascii="宋体" w:hAnsi="宋体" w:cs="宋体"/>
                <w:color w:val="auto"/>
                <w:sz w:val="21"/>
                <w:szCs w:val="21"/>
                <w:highlight w:val="none"/>
                <w:lang w:val="en-US" w:eastAsia="zh-CN"/>
              </w:rPr>
              <w:tab/>
            </w:r>
            <w:r>
              <w:rPr>
                <w:rFonts w:hint="eastAsia" w:ascii="宋体" w:hAnsi="宋体" w:cs="宋体"/>
                <w:color w:val="auto"/>
                <w:sz w:val="21"/>
                <w:szCs w:val="21"/>
                <w:highlight w:val="none"/>
                <w:lang w:val="en-US" w:eastAsia="zh-CN"/>
              </w:rPr>
              <w:t xml:space="preserve"> 良：2～4分</w:t>
            </w:r>
            <w:r>
              <w:rPr>
                <w:rFonts w:hint="eastAsia" w:ascii="宋体" w:hAnsi="宋体" w:cs="宋体"/>
                <w:color w:val="auto"/>
                <w:sz w:val="21"/>
                <w:szCs w:val="21"/>
                <w:highlight w:val="none"/>
                <w:lang w:val="en-US" w:eastAsia="zh-CN"/>
              </w:rPr>
              <w:tab/>
            </w:r>
            <w:r>
              <w:rPr>
                <w:rFonts w:hint="eastAsia" w:ascii="宋体" w:hAnsi="宋体" w:cs="宋体"/>
                <w:color w:val="auto"/>
                <w:sz w:val="21"/>
                <w:szCs w:val="21"/>
                <w:highlight w:val="none"/>
                <w:lang w:val="en-US" w:eastAsia="zh-CN"/>
              </w:rPr>
              <w:t>一般：0～2分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2" w:hRule="atLeast"/>
          <w:jc w:val="center"/>
        </w:trPr>
        <w:tc>
          <w:tcPr>
            <w:tcW w:w="1299" w:type="dxa"/>
            <w:vMerge w:val="continue"/>
            <w:tcBorders>
              <w:left w:val="single" w:color="auto" w:sz="4" w:space="0"/>
              <w:right w:val="single" w:color="auto" w:sz="4" w:space="0"/>
            </w:tcBorders>
            <w:noWrap w:val="0"/>
            <w:vAlign w:val="center"/>
          </w:tcPr>
          <w:p>
            <w:pPr>
              <w:spacing w:line="240" w:lineRule="auto"/>
              <w:rPr>
                <w:rFonts w:hint="eastAsia" w:ascii="宋体" w:hAnsi="宋体" w:cs="宋体"/>
                <w:color w:val="auto"/>
                <w:sz w:val="21"/>
                <w:szCs w:val="21"/>
                <w:highlight w:val="none"/>
              </w:rPr>
            </w:pPr>
          </w:p>
        </w:tc>
        <w:tc>
          <w:tcPr>
            <w:tcW w:w="1361" w:type="dxa"/>
            <w:vMerge w:val="continue"/>
            <w:tcBorders>
              <w:left w:val="single" w:color="auto" w:sz="4" w:space="0"/>
              <w:right w:val="single" w:color="auto" w:sz="4" w:space="0"/>
            </w:tcBorders>
            <w:noWrap w:val="0"/>
            <w:vAlign w:val="center"/>
          </w:tcPr>
          <w:p>
            <w:pPr>
              <w:spacing w:line="240" w:lineRule="auto"/>
              <w:rPr>
                <w:rFonts w:hint="eastAsia" w:ascii="宋体" w:hAnsi="宋体" w:cs="宋体"/>
                <w:color w:val="auto"/>
                <w:sz w:val="21"/>
                <w:szCs w:val="21"/>
                <w:highlight w:val="none"/>
              </w:rPr>
            </w:pPr>
          </w:p>
        </w:tc>
        <w:tc>
          <w:tcPr>
            <w:tcW w:w="731" w:type="dxa"/>
            <w:tcBorders>
              <w:top w:val="single" w:color="auto" w:sz="4" w:space="0"/>
              <w:left w:val="single" w:color="auto" w:sz="4" w:space="0"/>
              <w:right w:val="single" w:color="auto" w:sz="4" w:space="0"/>
            </w:tcBorders>
            <w:noWrap w:val="0"/>
            <w:vAlign w:val="center"/>
          </w:tcPr>
          <w:p>
            <w:pPr>
              <w:spacing w:line="240" w:lineRule="auto"/>
              <w:jc w:val="center"/>
              <w:rPr>
                <w:rFonts w:hint="eastAsia" w:ascii="宋体" w:hAnsi="宋体" w:cs="宋体"/>
                <w:color w:val="auto"/>
                <w:sz w:val="21"/>
                <w:szCs w:val="21"/>
                <w:highlight w:val="none"/>
              </w:rPr>
            </w:pPr>
            <w:r>
              <w:rPr>
                <w:rFonts w:hint="eastAsia" w:ascii="宋体" w:hAnsi="宋体" w:cs="宋体"/>
                <w:color w:val="auto"/>
                <w:sz w:val="21"/>
                <w:szCs w:val="21"/>
                <w:highlight w:val="none"/>
                <w:lang w:val="en-US" w:eastAsia="zh-CN"/>
              </w:rPr>
              <w:t>6分</w:t>
            </w:r>
          </w:p>
        </w:tc>
        <w:tc>
          <w:tcPr>
            <w:tcW w:w="5474"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宋体" w:hAnsi="宋体" w:cs="宋体"/>
                <w:color w:val="auto"/>
                <w:sz w:val="21"/>
                <w:szCs w:val="21"/>
                <w:highlight w:val="none"/>
                <w:lang w:val="en-US" w:eastAsia="zh-CN"/>
              </w:rPr>
            </w:pPr>
            <w:r>
              <w:rPr>
                <w:rFonts w:hint="eastAsia" w:ascii="宋体" w:hAnsi="宋体" w:cs="宋体"/>
                <w:color w:val="auto"/>
                <w:sz w:val="21"/>
                <w:szCs w:val="21"/>
                <w:highlight w:val="none"/>
              </w:rPr>
              <w:t>人员的配备、培训与管理</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由评委对投标人进行综合评议。</w:t>
            </w:r>
          </w:p>
          <w:p>
            <w:pPr>
              <w:spacing w:line="240" w:lineRule="auto"/>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val="en-US" w:eastAsia="zh-CN"/>
              </w:rPr>
              <w:t>优：4～6分</w:t>
            </w:r>
            <w:r>
              <w:rPr>
                <w:rFonts w:hint="eastAsia" w:ascii="宋体" w:hAnsi="宋体" w:cs="宋体"/>
                <w:color w:val="auto"/>
                <w:sz w:val="21"/>
                <w:szCs w:val="21"/>
                <w:highlight w:val="none"/>
                <w:lang w:val="en-US" w:eastAsia="zh-CN"/>
              </w:rPr>
              <w:tab/>
            </w:r>
            <w:r>
              <w:rPr>
                <w:rFonts w:hint="eastAsia" w:ascii="宋体" w:hAnsi="宋体" w:cs="宋体"/>
                <w:color w:val="auto"/>
                <w:sz w:val="21"/>
                <w:szCs w:val="21"/>
                <w:highlight w:val="none"/>
                <w:lang w:val="en-US" w:eastAsia="zh-CN"/>
              </w:rPr>
              <w:t xml:space="preserve"> 良：2～4分</w:t>
            </w:r>
            <w:r>
              <w:rPr>
                <w:rFonts w:hint="eastAsia" w:ascii="宋体" w:hAnsi="宋体" w:cs="宋体"/>
                <w:color w:val="auto"/>
                <w:sz w:val="21"/>
                <w:szCs w:val="21"/>
                <w:highlight w:val="none"/>
                <w:lang w:val="en-US" w:eastAsia="zh-CN"/>
              </w:rPr>
              <w:tab/>
            </w:r>
            <w:r>
              <w:rPr>
                <w:rFonts w:hint="eastAsia" w:ascii="宋体" w:hAnsi="宋体" w:cs="宋体"/>
                <w:color w:val="auto"/>
                <w:sz w:val="21"/>
                <w:szCs w:val="21"/>
                <w:highlight w:val="none"/>
                <w:lang w:val="en-US" w:eastAsia="zh-CN"/>
              </w:rPr>
              <w:t>一般：0～2分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2" w:hRule="atLeast"/>
          <w:jc w:val="center"/>
        </w:trPr>
        <w:tc>
          <w:tcPr>
            <w:tcW w:w="1299" w:type="dxa"/>
            <w:vMerge w:val="continue"/>
            <w:tcBorders>
              <w:left w:val="single" w:color="auto" w:sz="4" w:space="0"/>
              <w:right w:val="single" w:color="auto" w:sz="4" w:space="0"/>
            </w:tcBorders>
            <w:noWrap w:val="0"/>
            <w:vAlign w:val="center"/>
          </w:tcPr>
          <w:p>
            <w:pPr>
              <w:spacing w:line="240" w:lineRule="auto"/>
              <w:rPr>
                <w:rFonts w:hint="eastAsia" w:ascii="宋体" w:hAnsi="宋体" w:cs="宋体"/>
                <w:color w:val="auto"/>
                <w:sz w:val="21"/>
                <w:szCs w:val="21"/>
                <w:highlight w:val="none"/>
              </w:rPr>
            </w:pPr>
          </w:p>
        </w:tc>
        <w:tc>
          <w:tcPr>
            <w:tcW w:w="1361" w:type="dxa"/>
            <w:vMerge w:val="continue"/>
            <w:tcBorders>
              <w:left w:val="single" w:color="auto" w:sz="4" w:space="0"/>
              <w:right w:val="single" w:color="auto" w:sz="4" w:space="0"/>
            </w:tcBorders>
            <w:noWrap w:val="0"/>
            <w:vAlign w:val="center"/>
          </w:tcPr>
          <w:p>
            <w:pPr>
              <w:spacing w:line="240" w:lineRule="auto"/>
              <w:rPr>
                <w:rFonts w:hint="eastAsia" w:ascii="宋体" w:hAnsi="宋体" w:cs="宋体"/>
                <w:color w:val="auto"/>
                <w:sz w:val="21"/>
                <w:szCs w:val="21"/>
                <w:highlight w:val="none"/>
              </w:rPr>
            </w:pPr>
          </w:p>
        </w:tc>
        <w:tc>
          <w:tcPr>
            <w:tcW w:w="731" w:type="dxa"/>
            <w:tcBorders>
              <w:top w:val="single" w:color="auto" w:sz="4" w:space="0"/>
              <w:left w:val="single" w:color="auto" w:sz="4" w:space="0"/>
              <w:right w:val="single" w:color="auto" w:sz="4" w:space="0"/>
            </w:tcBorders>
            <w:noWrap w:val="0"/>
            <w:vAlign w:val="center"/>
          </w:tcPr>
          <w:p>
            <w:pPr>
              <w:spacing w:line="240" w:lineRule="auto"/>
              <w:jc w:val="center"/>
              <w:rPr>
                <w:rFonts w:hint="eastAsia" w:ascii="宋体" w:hAnsi="宋体" w:cs="宋体"/>
                <w:color w:val="auto"/>
                <w:sz w:val="21"/>
                <w:szCs w:val="21"/>
                <w:highlight w:val="none"/>
              </w:rPr>
            </w:pPr>
            <w:r>
              <w:rPr>
                <w:rFonts w:hint="eastAsia" w:ascii="宋体" w:hAnsi="宋体" w:cs="宋体"/>
                <w:color w:val="auto"/>
                <w:sz w:val="21"/>
                <w:szCs w:val="21"/>
                <w:highlight w:val="none"/>
                <w:lang w:val="en-US" w:eastAsia="zh-CN"/>
              </w:rPr>
              <w:t>5分</w:t>
            </w:r>
          </w:p>
        </w:tc>
        <w:tc>
          <w:tcPr>
            <w:tcW w:w="5474"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宋体" w:hAnsi="宋体" w:cs="宋体"/>
                <w:color w:val="auto"/>
                <w:sz w:val="21"/>
                <w:szCs w:val="21"/>
                <w:highlight w:val="none"/>
                <w:lang w:val="en-US" w:eastAsia="zh-CN"/>
              </w:rPr>
            </w:pPr>
            <w:r>
              <w:rPr>
                <w:rFonts w:hint="eastAsia" w:ascii="宋体" w:hAnsi="宋体" w:cs="宋体"/>
                <w:color w:val="auto"/>
                <w:sz w:val="21"/>
                <w:szCs w:val="21"/>
                <w:highlight w:val="none"/>
              </w:rPr>
              <w:t>人员工资及费用测算合理性</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由评委对投标人进行综合评议。</w:t>
            </w:r>
          </w:p>
          <w:p>
            <w:pPr>
              <w:spacing w:line="240" w:lineRule="auto"/>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val="en-US" w:eastAsia="zh-CN"/>
              </w:rPr>
              <w:t>优：3～5分</w:t>
            </w:r>
            <w:r>
              <w:rPr>
                <w:rFonts w:hint="eastAsia" w:ascii="宋体" w:hAnsi="宋体" w:cs="宋体"/>
                <w:color w:val="auto"/>
                <w:sz w:val="21"/>
                <w:szCs w:val="21"/>
                <w:highlight w:val="none"/>
                <w:lang w:val="en-US" w:eastAsia="zh-CN"/>
              </w:rPr>
              <w:tab/>
            </w:r>
            <w:r>
              <w:rPr>
                <w:rFonts w:hint="eastAsia" w:ascii="宋体" w:hAnsi="宋体" w:cs="宋体"/>
                <w:color w:val="auto"/>
                <w:sz w:val="21"/>
                <w:szCs w:val="21"/>
                <w:highlight w:val="none"/>
                <w:lang w:val="en-US" w:eastAsia="zh-CN"/>
              </w:rPr>
              <w:t xml:space="preserve"> 良：2～3分</w:t>
            </w:r>
            <w:r>
              <w:rPr>
                <w:rFonts w:hint="eastAsia" w:ascii="宋体" w:hAnsi="宋体" w:cs="宋体"/>
                <w:color w:val="auto"/>
                <w:sz w:val="21"/>
                <w:szCs w:val="21"/>
                <w:highlight w:val="none"/>
                <w:lang w:val="en-US" w:eastAsia="zh-CN"/>
              </w:rPr>
              <w:tab/>
            </w:r>
            <w:r>
              <w:rPr>
                <w:rFonts w:hint="eastAsia" w:ascii="宋体" w:hAnsi="宋体" w:cs="宋体"/>
                <w:color w:val="auto"/>
                <w:sz w:val="21"/>
                <w:szCs w:val="21"/>
                <w:highlight w:val="none"/>
                <w:lang w:val="en-US" w:eastAsia="zh-CN"/>
              </w:rPr>
              <w:t>一般：0～2分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2" w:hRule="atLeast"/>
          <w:jc w:val="center"/>
        </w:trPr>
        <w:tc>
          <w:tcPr>
            <w:tcW w:w="1299" w:type="dxa"/>
            <w:vMerge w:val="continue"/>
            <w:tcBorders>
              <w:left w:val="single" w:color="auto" w:sz="4" w:space="0"/>
              <w:right w:val="single" w:color="auto" w:sz="4" w:space="0"/>
            </w:tcBorders>
            <w:noWrap w:val="0"/>
            <w:vAlign w:val="center"/>
          </w:tcPr>
          <w:p>
            <w:pPr>
              <w:spacing w:line="240" w:lineRule="auto"/>
              <w:rPr>
                <w:rFonts w:hint="eastAsia" w:ascii="宋体" w:hAnsi="宋体" w:cs="宋体"/>
                <w:color w:val="auto"/>
                <w:sz w:val="21"/>
                <w:szCs w:val="21"/>
                <w:highlight w:val="none"/>
              </w:rPr>
            </w:pPr>
          </w:p>
        </w:tc>
        <w:tc>
          <w:tcPr>
            <w:tcW w:w="1361" w:type="dxa"/>
            <w:vMerge w:val="continue"/>
            <w:tcBorders>
              <w:left w:val="single" w:color="auto" w:sz="4" w:space="0"/>
              <w:right w:val="single" w:color="auto" w:sz="4" w:space="0"/>
            </w:tcBorders>
            <w:noWrap w:val="0"/>
            <w:vAlign w:val="center"/>
          </w:tcPr>
          <w:p>
            <w:pPr>
              <w:spacing w:line="240" w:lineRule="auto"/>
              <w:rPr>
                <w:rFonts w:hint="eastAsia" w:ascii="宋体" w:hAnsi="宋体" w:cs="宋体"/>
                <w:color w:val="auto"/>
                <w:sz w:val="21"/>
                <w:szCs w:val="21"/>
                <w:highlight w:val="none"/>
              </w:rPr>
            </w:pPr>
          </w:p>
        </w:tc>
        <w:tc>
          <w:tcPr>
            <w:tcW w:w="731" w:type="dxa"/>
            <w:tcBorders>
              <w:top w:val="single" w:color="auto" w:sz="4" w:space="0"/>
              <w:left w:val="single" w:color="auto" w:sz="4" w:space="0"/>
              <w:right w:val="single" w:color="auto" w:sz="4" w:space="0"/>
            </w:tcBorders>
            <w:noWrap w:val="0"/>
            <w:vAlign w:val="center"/>
          </w:tcPr>
          <w:p>
            <w:pPr>
              <w:spacing w:line="240" w:lineRule="auto"/>
              <w:jc w:val="center"/>
              <w:rPr>
                <w:rFonts w:hint="eastAsia" w:ascii="宋体" w:hAnsi="宋体" w:cs="宋体"/>
                <w:color w:val="auto"/>
                <w:sz w:val="21"/>
                <w:szCs w:val="21"/>
                <w:highlight w:val="none"/>
              </w:rPr>
            </w:pPr>
            <w:r>
              <w:rPr>
                <w:rFonts w:hint="eastAsia" w:ascii="宋体" w:hAnsi="宋体" w:cs="宋体"/>
                <w:color w:val="auto"/>
                <w:sz w:val="21"/>
                <w:szCs w:val="21"/>
                <w:highlight w:val="none"/>
                <w:lang w:val="en-US" w:eastAsia="zh-CN"/>
              </w:rPr>
              <w:t>5分</w:t>
            </w:r>
          </w:p>
        </w:tc>
        <w:tc>
          <w:tcPr>
            <w:tcW w:w="5474"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宋体" w:hAnsi="宋体" w:cs="宋体"/>
                <w:color w:val="auto"/>
                <w:sz w:val="21"/>
                <w:szCs w:val="21"/>
                <w:highlight w:val="none"/>
                <w:lang w:val="en-US" w:eastAsia="zh-CN"/>
              </w:rPr>
            </w:pPr>
            <w:r>
              <w:rPr>
                <w:rFonts w:hint="eastAsia" w:ascii="宋体" w:hAnsi="宋体" w:cs="宋体"/>
                <w:color w:val="auto"/>
                <w:sz w:val="21"/>
                <w:szCs w:val="21"/>
                <w:highlight w:val="none"/>
              </w:rPr>
              <w:t>制度和档案的建立与管理</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由评委对投标人进行综合评议。</w:t>
            </w:r>
          </w:p>
          <w:p>
            <w:pPr>
              <w:spacing w:line="240" w:lineRule="auto"/>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val="en-US" w:eastAsia="zh-CN"/>
              </w:rPr>
              <w:t>优：3～5分</w:t>
            </w:r>
            <w:r>
              <w:rPr>
                <w:rFonts w:hint="eastAsia" w:ascii="宋体" w:hAnsi="宋体" w:cs="宋体"/>
                <w:color w:val="auto"/>
                <w:sz w:val="21"/>
                <w:szCs w:val="21"/>
                <w:highlight w:val="none"/>
                <w:lang w:val="en-US" w:eastAsia="zh-CN"/>
              </w:rPr>
              <w:tab/>
            </w:r>
            <w:r>
              <w:rPr>
                <w:rFonts w:hint="eastAsia" w:ascii="宋体" w:hAnsi="宋体" w:cs="宋体"/>
                <w:color w:val="auto"/>
                <w:sz w:val="21"/>
                <w:szCs w:val="21"/>
                <w:highlight w:val="none"/>
                <w:lang w:val="en-US" w:eastAsia="zh-CN"/>
              </w:rPr>
              <w:t xml:space="preserve"> 良：2～3分</w:t>
            </w:r>
            <w:r>
              <w:rPr>
                <w:rFonts w:hint="eastAsia" w:ascii="宋体" w:hAnsi="宋体" w:cs="宋体"/>
                <w:color w:val="auto"/>
                <w:sz w:val="21"/>
                <w:szCs w:val="21"/>
                <w:highlight w:val="none"/>
                <w:lang w:val="en-US" w:eastAsia="zh-CN"/>
              </w:rPr>
              <w:tab/>
            </w:r>
            <w:r>
              <w:rPr>
                <w:rFonts w:hint="eastAsia" w:ascii="宋体" w:hAnsi="宋体" w:cs="宋体"/>
                <w:color w:val="auto"/>
                <w:sz w:val="21"/>
                <w:szCs w:val="21"/>
                <w:highlight w:val="none"/>
                <w:lang w:val="en-US" w:eastAsia="zh-CN"/>
              </w:rPr>
              <w:t>一般：0～2分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2" w:hRule="atLeast"/>
          <w:jc w:val="center"/>
        </w:trPr>
        <w:tc>
          <w:tcPr>
            <w:tcW w:w="1299" w:type="dxa"/>
            <w:vMerge w:val="continue"/>
            <w:tcBorders>
              <w:left w:val="single" w:color="auto" w:sz="4" w:space="0"/>
              <w:right w:val="single" w:color="auto" w:sz="4" w:space="0"/>
            </w:tcBorders>
            <w:noWrap w:val="0"/>
            <w:vAlign w:val="center"/>
          </w:tcPr>
          <w:p>
            <w:pPr>
              <w:spacing w:line="240" w:lineRule="auto"/>
              <w:rPr>
                <w:rFonts w:hint="eastAsia" w:ascii="宋体" w:hAnsi="宋体" w:cs="宋体"/>
                <w:color w:val="auto"/>
                <w:sz w:val="21"/>
                <w:szCs w:val="21"/>
                <w:highlight w:val="none"/>
              </w:rPr>
            </w:pPr>
          </w:p>
        </w:tc>
        <w:tc>
          <w:tcPr>
            <w:tcW w:w="1361" w:type="dxa"/>
            <w:vMerge w:val="continue"/>
            <w:tcBorders>
              <w:left w:val="single" w:color="auto" w:sz="4" w:space="0"/>
              <w:right w:val="single" w:color="auto" w:sz="4" w:space="0"/>
            </w:tcBorders>
            <w:noWrap w:val="0"/>
            <w:vAlign w:val="center"/>
          </w:tcPr>
          <w:p>
            <w:pPr>
              <w:spacing w:line="240" w:lineRule="auto"/>
              <w:rPr>
                <w:rFonts w:hint="eastAsia" w:ascii="宋体" w:hAnsi="宋体" w:cs="宋体"/>
                <w:color w:val="auto"/>
                <w:sz w:val="21"/>
                <w:szCs w:val="21"/>
                <w:highlight w:val="none"/>
              </w:rPr>
            </w:pPr>
          </w:p>
        </w:tc>
        <w:tc>
          <w:tcPr>
            <w:tcW w:w="731" w:type="dxa"/>
            <w:tcBorders>
              <w:top w:val="single" w:color="auto" w:sz="4" w:space="0"/>
              <w:left w:val="single" w:color="auto" w:sz="4" w:space="0"/>
              <w:right w:val="single" w:color="auto" w:sz="4" w:space="0"/>
            </w:tcBorders>
            <w:noWrap w:val="0"/>
            <w:vAlign w:val="center"/>
          </w:tcPr>
          <w:p>
            <w:pPr>
              <w:spacing w:line="240" w:lineRule="auto"/>
              <w:jc w:val="center"/>
              <w:rPr>
                <w:rFonts w:hint="eastAsia" w:ascii="宋体" w:hAnsi="宋体" w:cs="宋体"/>
                <w:color w:val="auto"/>
                <w:sz w:val="21"/>
                <w:szCs w:val="21"/>
                <w:highlight w:val="none"/>
              </w:rPr>
            </w:pPr>
            <w:r>
              <w:rPr>
                <w:rFonts w:hint="eastAsia" w:ascii="宋体" w:hAnsi="宋体" w:cs="宋体"/>
                <w:color w:val="auto"/>
                <w:sz w:val="21"/>
                <w:szCs w:val="21"/>
                <w:highlight w:val="none"/>
                <w:lang w:val="en-US" w:eastAsia="zh-CN"/>
              </w:rPr>
              <w:t>5分</w:t>
            </w:r>
          </w:p>
        </w:tc>
        <w:tc>
          <w:tcPr>
            <w:tcW w:w="5474"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宋体" w:hAnsi="宋体" w:cs="宋体"/>
                <w:color w:val="auto"/>
                <w:sz w:val="21"/>
                <w:szCs w:val="21"/>
                <w:highlight w:val="none"/>
                <w:lang w:val="en-US" w:eastAsia="zh-CN"/>
              </w:rPr>
            </w:pPr>
            <w:r>
              <w:rPr>
                <w:rFonts w:hint="eastAsia" w:ascii="宋体" w:hAnsi="宋体" w:cs="宋体"/>
                <w:color w:val="auto"/>
                <w:sz w:val="21"/>
                <w:szCs w:val="21"/>
                <w:highlight w:val="none"/>
              </w:rPr>
              <w:t>管理服务的具体措施</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由评委对投标人进行综合评议。</w:t>
            </w:r>
          </w:p>
          <w:p>
            <w:pPr>
              <w:spacing w:line="240" w:lineRule="auto"/>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val="en-US" w:eastAsia="zh-CN"/>
              </w:rPr>
              <w:t>优：3～5分</w:t>
            </w:r>
            <w:r>
              <w:rPr>
                <w:rFonts w:hint="eastAsia" w:ascii="宋体" w:hAnsi="宋体" w:cs="宋体"/>
                <w:color w:val="auto"/>
                <w:sz w:val="21"/>
                <w:szCs w:val="21"/>
                <w:highlight w:val="none"/>
                <w:lang w:val="en-US" w:eastAsia="zh-CN"/>
              </w:rPr>
              <w:tab/>
            </w:r>
            <w:r>
              <w:rPr>
                <w:rFonts w:hint="eastAsia" w:ascii="宋体" w:hAnsi="宋体" w:cs="宋体"/>
                <w:color w:val="auto"/>
                <w:sz w:val="21"/>
                <w:szCs w:val="21"/>
                <w:highlight w:val="none"/>
                <w:lang w:val="en-US" w:eastAsia="zh-CN"/>
              </w:rPr>
              <w:t xml:space="preserve"> 良：2～3分</w:t>
            </w:r>
            <w:r>
              <w:rPr>
                <w:rFonts w:hint="eastAsia" w:ascii="宋体" w:hAnsi="宋体" w:cs="宋体"/>
                <w:color w:val="auto"/>
                <w:sz w:val="21"/>
                <w:szCs w:val="21"/>
                <w:highlight w:val="none"/>
                <w:lang w:val="en-US" w:eastAsia="zh-CN"/>
              </w:rPr>
              <w:tab/>
            </w:r>
            <w:r>
              <w:rPr>
                <w:rFonts w:hint="eastAsia" w:ascii="宋体" w:hAnsi="宋体" w:cs="宋体"/>
                <w:color w:val="auto"/>
                <w:sz w:val="21"/>
                <w:szCs w:val="21"/>
                <w:highlight w:val="none"/>
                <w:lang w:val="en-US" w:eastAsia="zh-CN"/>
              </w:rPr>
              <w:t>一般：0～2分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2" w:hRule="atLeast"/>
          <w:jc w:val="center"/>
        </w:trPr>
        <w:tc>
          <w:tcPr>
            <w:tcW w:w="1299" w:type="dxa"/>
            <w:vMerge w:val="continue"/>
            <w:tcBorders>
              <w:left w:val="single" w:color="auto" w:sz="4" w:space="0"/>
              <w:right w:val="single" w:color="auto" w:sz="4" w:space="0"/>
            </w:tcBorders>
            <w:noWrap w:val="0"/>
            <w:vAlign w:val="center"/>
          </w:tcPr>
          <w:p>
            <w:pPr>
              <w:spacing w:line="240" w:lineRule="auto"/>
              <w:rPr>
                <w:rFonts w:hint="eastAsia" w:ascii="宋体" w:hAnsi="宋体" w:cs="宋体"/>
                <w:color w:val="auto"/>
                <w:sz w:val="21"/>
                <w:szCs w:val="21"/>
                <w:highlight w:val="none"/>
              </w:rPr>
            </w:pPr>
          </w:p>
        </w:tc>
        <w:tc>
          <w:tcPr>
            <w:tcW w:w="1361" w:type="dxa"/>
            <w:vMerge w:val="continue"/>
            <w:tcBorders>
              <w:left w:val="single" w:color="auto" w:sz="4" w:space="0"/>
              <w:right w:val="single" w:color="auto" w:sz="4" w:space="0"/>
            </w:tcBorders>
            <w:noWrap w:val="0"/>
            <w:vAlign w:val="center"/>
          </w:tcPr>
          <w:p>
            <w:pPr>
              <w:spacing w:line="240" w:lineRule="auto"/>
              <w:rPr>
                <w:rFonts w:hint="eastAsia" w:ascii="宋体" w:hAnsi="宋体" w:cs="宋体"/>
                <w:color w:val="auto"/>
                <w:sz w:val="21"/>
                <w:szCs w:val="21"/>
                <w:highlight w:val="none"/>
              </w:rPr>
            </w:pPr>
          </w:p>
        </w:tc>
        <w:tc>
          <w:tcPr>
            <w:tcW w:w="731" w:type="dxa"/>
            <w:tcBorders>
              <w:top w:val="single" w:color="auto" w:sz="4" w:space="0"/>
              <w:left w:val="single" w:color="auto" w:sz="4" w:space="0"/>
              <w:right w:val="single" w:color="auto" w:sz="4" w:space="0"/>
            </w:tcBorders>
            <w:noWrap w:val="0"/>
            <w:vAlign w:val="center"/>
          </w:tcPr>
          <w:p>
            <w:pPr>
              <w:spacing w:line="240" w:lineRule="auto"/>
              <w:jc w:val="center"/>
              <w:rPr>
                <w:rFonts w:hint="eastAsia" w:ascii="宋体" w:hAnsi="宋体" w:cs="宋体"/>
                <w:color w:val="auto"/>
                <w:sz w:val="21"/>
                <w:szCs w:val="21"/>
                <w:highlight w:val="none"/>
              </w:rPr>
            </w:pPr>
            <w:r>
              <w:rPr>
                <w:rFonts w:hint="eastAsia" w:ascii="宋体" w:hAnsi="宋体" w:cs="宋体"/>
                <w:color w:val="auto"/>
                <w:sz w:val="21"/>
                <w:szCs w:val="21"/>
                <w:highlight w:val="none"/>
                <w:lang w:val="en-US" w:eastAsia="zh-CN"/>
              </w:rPr>
              <w:t>5分</w:t>
            </w:r>
          </w:p>
        </w:tc>
        <w:tc>
          <w:tcPr>
            <w:tcW w:w="5474"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宋体" w:hAnsi="宋体" w:cs="宋体"/>
                <w:color w:val="auto"/>
                <w:sz w:val="21"/>
                <w:szCs w:val="21"/>
                <w:highlight w:val="none"/>
                <w:lang w:val="en-US" w:eastAsia="zh-CN"/>
              </w:rPr>
            </w:pPr>
            <w:r>
              <w:rPr>
                <w:rFonts w:hint="eastAsia" w:ascii="宋体" w:hAnsi="宋体" w:cs="宋体"/>
                <w:color w:val="auto"/>
                <w:sz w:val="21"/>
                <w:szCs w:val="21"/>
                <w:highlight w:val="none"/>
              </w:rPr>
              <w:t>安保管理的具体措施</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由评委对投标人进行综合评议。</w:t>
            </w:r>
          </w:p>
          <w:p>
            <w:pPr>
              <w:spacing w:line="240" w:lineRule="auto"/>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val="en-US" w:eastAsia="zh-CN"/>
              </w:rPr>
              <w:t>优：3～5分</w:t>
            </w:r>
            <w:r>
              <w:rPr>
                <w:rFonts w:hint="eastAsia" w:ascii="宋体" w:hAnsi="宋体" w:cs="宋体"/>
                <w:color w:val="auto"/>
                <w:sz w:val="21"/>
                <w:szCs w:val="21"/>
                <w:highlight w:val="none"/>
                <w:lang w:val="en-US" w:eastAsia="zh-CN"/>
              </w:rPr>
              <w:tab/>
            </w:r>
            <w:r>
              <w:rPr>
                <w:rFonts w:hint="eastAsia" w:ascii="宋体" w:hAnsi="宋体" w:cs="宋体"/>
                <w:color w:val="auto"/>
                <w:sz w:val="21"/>
                <w:szCs w:val="21"/>
                <w:highlight w:val="none"/>
                <w:lang w:val="en-US" w:eastAsia="zh-CN"/>
              </w:rPr>
              <w:t xml:space="preserve"> 良：2～3分</w:t>
            </w:r>
            <w:r>
              <w:rPr>
                <w:rFonts w:hint="eastAsia" w:ascii="宋体" w:hAnsi="宋体" w:cs="宋体"/>
                <w:color w:val="auto"/>
                <w:sz w:val="21"/>
                <w:szCs w:val="21"/>
                <w:highlight w:val="none"/>
                <w:lang w:val="en-US" w:eastAsia="zh-CN"/>
              </w:rPr>
              <w:tab/>
            </w:r>
            <w:r>
              <w:rPr>
                <w:rFonts w:hint="eastAsia" w:ascii="宋体" w:hAnsi="宋体" w:cs="宋体"/>
                <w:color w:val="auto"/>
                <w:sz w:val="21"/>
                <w:szCs w:val="21"/>
                <w:highlight w:val="none"/>
                <w:lang w:val="en-US" w:eastAsia="zh-CN"/>
              </w:rPr>
              <w:t>一般：0～2分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2" w:hRule="atLeast"/>
          <w:jc w:val="center"/>
        </w:trPr>
        <w:tc>
          <w:tcPr>
            <w:tcW w:w="1299" w:type="dxa"/>
            <w:vMerge w:val="continue"/>
            <w:tcBorders>
              <w:left w:val="single" w:color="auto" w:sz="4" w:space="0"/>
              <w:right w:val="single" w:color="auto" w:sz="4" w:space="0"/>
            </w:tcBorders>
            <w:noWrap w:val="0"/>
            <w:vAlign w:val="center"/>
          </w:tcPr>
          <w:p>
            <w:pPr>
              <w:spacing w:line="240" w:lineRule="auto"/>
              <w:rPr>
                <w:rFonts w:hint="eastAsia" w:ascii="宋体" w:hAnsi="宋体" w:cs="宋体"/>
                <w:color w:val="auto"/>
                <w:sz w:val="21"/>
                <w:szCs w:val="21"/>
                <w:highlight w:val="none"/>
              </w:rPr>
            </w:pPr>
          </w:p>
        </w:tc>
        <w:tc>
          <w:tcPr>
            <w:tcW w:w="1361" w:type="dxa"/>
            <w:vMerge w:val="continue"/>
            <w:tcBorders>
              <w:left w:val="single" w:color="auto" w:sz="4" w:space="0"/>
              <w:right w:val="single" w:color="auto" w:sz="4" w:space="0"/>
            </w:tcBorders>
            <w:noWrap w:val="0"/>
            <w:vAlign w:val="center"/>
          </w:tcPr>
          <w:p>
            <w:pPr>
              <w:spacing w:line="240" w:lineRule="auto"/>
              <w:rPr>
                <w:rFonts w:hint="eastAsia" w:ascii="宋体" w:hAnsi="宋体" w:cs="宋体"/>
                <w:color w:val="auto"/>
                <w:sz w:val="21"/>
                <w:szCs w:val="21"/>
                <w:highlight w:val="none"/>
              </w:rPr>
            </w:pPr>
          </w:p>
        </w:tc>
        <w:tc>
          <w:tcPr>
            <w:tcW w:w="731" w:type="dxa"/>
            <w:tcBorders>
              <w:top w:val="single" w:color="auto" w:sz="4" w:space="0"/>
              <w:left w:val="single" w:color="auto" w:sz="4" w:space="0"/>
              <w:right w:val="single" w:color="auto" w:sz="4" w:space="0"/>
            </w:tcBorders>
            <w:noWrap w:val="0"/>
            <w:vAlign w:val="center"/>
          </w:tcPr>
          <w:p>
            <w:pPr>
              <w:spacing w:line="240" w:lineRule="auto"/>
              <w:jc w:val="center"/>
              <w:rPr>
                <w:rFonts w:hint="eastAsia" w:ascii="宋体" w:hAnsi="宋体" w:cs="宋体"/>
                <w:color w:val="auto"/>
                <w:sz w:val="21"/>
                <w:szCs w:val="21"/>
                <w:highlight w:val="none"/>
              </w:rPr>
            </w:pPr>
            <w:r>
              <w:rPr>
                <w:rFonts w:hint="eastAsia" w:ascii="宋体" w:hAnsi="宋体" w:cs="宋体"/>
                <w:color w:val="auto"/>
                <w:sz w:val="21"/>
                <w:szCs w:val="21"/>
                <w:highlight w:val="none"/>
                <w:lang w:val="en-US" w:eastAsia="zh-CN"/>
              </w:rPr>
              <w:t>5分</w:t>
            </w:r>
          </w:p>
        </w:tc>
        <w:tc>
          <w:tcPr>
            <w:tcW w:w="5474"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宋体" w:hAnsi="宋体" w:cs="宋体"/>
                <w:color w:val="auto"/>
                <w:sz w:val="21"/>
                <w:szCs w:val="21"/>
                <w:highlight w:val="none"/>
                <w:lang w:val="en-US" w:eastAsia="zh-CN"/>
              </w:rPr>
            </w:pPr>
            <w:r>
              <w:rPr>
                <w:rFonts w:hint="eastAsia" w:ascii="宋体" w:hAnsi="宋体" w:cs="宋体"/>
                <w:color w:val="auto"/>
                <w:sz w:val="21"/>
                <w:szCs w:val="21"/>
                <w:highlight w:val="none"/>
              </w:rPr>
              <w:t>保洁管理的具体措施</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由评委对投标人进行综合评议。</w:t>
            </w:r>
          </w:p>
          <w:p>
            <w:pPr>
              <w:spacing w:line="240" w:lineRule="auto"/>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val="en-US" w:eastAsia="zh-CN"/>
              </w:rPr>
              <w:t>优：3～5分</w:t>
            </w:r>
            <w:r>
              <w:rPr>
                <w:rFonts w:hint="eastAsia" w:ascii="宋体" w:hAnsi="宋体" w:cs="宋体"/>
                <w:color w:val="auto"/>
                <w:sz w:val="21"/>
                <w:szCs w:val="21"/>
                <w:highlight w:val="none"/>
                <w:lang w:val="en-US" w:eastAsia="zh-CN"/>
              </w:rPr>
              <w:tab/>
            </w:r>
            <w:r>
              <w:rPr>
                <w:rFonts w:hint="eastAsia" w:ascii="宋体" w:hAnsi="宋体" w:cs="宋体"/>
                <w:color w:val="auto"/>
                <w:sz w:val="21"/>
                <w:szCs w:val="21"/>
                <w:highlight w:val="none"/>
                <w:lang w:val="en-US" w:eastAsia="zh-CN"/>
              </w:rPr>
              <w:t xml:space="preserve"> 良：2～3分</w:t>
            </w:r>
            <w:r>
              <w:rPr>
                <w:rFonts w:hint="eastAsia" w:ascii="宋体" w:hAnsi="宋体" w:cs="宋体"/>
                <w:color w:val="auto"/>
                <w:sz w:val="21"/>
                <w:szCs w:val="21"/>
                <w:highlight w:val="none"/>
                <w:lang w:val="en-US" w:eastAsia="zh-CN"/>
              </w:rPr>
              <w:tab/>
            </w:r>
            <w:r>
              <w:rPr>
                <w:rFonts w:hint="eastAsia" w:ascii="宋体" w:hAnsi="宋体" w:cs="宋体"/>
                <w:color w:val="auto"/>
                <w:sz w:val="21"/>
                <w:szCs w:val="21"/>
                <w:highlight w:val="none"/>
                <w:lang w:val="en-US" w:eastAsia="zh-CN"/>
              </w:rPr>
              <w:t>一般：0～2分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2" w:hRule="atLeast"/>
          <w:jc w:val="center"/>
        </w:trPr>
        <w:tc>
          <w:tcPr>
            <w:tcW w:w="1299" w:type="dxa"/>
            <w:vMerge w:val="continue"/>
            <w:tcBorders>
              <w:left w:val="single" w:color="auto" w:sz="4" w:space="0"/>
              <w:right w:val="single" w:color="auto" w:sz="4" w:space="0"/>
            </w:tcBorders>
            <w:noWrap w:val="0"/>
            <w:vAlign w:val="center"/>
          </w:tcPr>
          <w:p>
            <w:pPr>
              <w:spacing w:line="240" w:lineRule="auto"/>
              <w:rPr>
                <w:rFonts w:hint="eastAsia" w:ascii="宋体" w:hAnsi="宋体" w:cs="宋体"/>
                <w:color w:val="auto"/>
                <w:sz w:val="21"/>
                <w:szCs w:val="21"/>
                <w:highlight w:val="none"/>
              </w:rPr>
            </w:pPr>
          </w:p>
        </w:tc>
        <w:tc>
          <w:tcPr>
            <w:tcW w:w="1361" w:type="dxa"/>
            <w:vMerge w:val="continue"/>
            <w:tcBorders>
              <w:left w:val="single" w:color="auto" w:sz="4" w:space="0"/>
              <w:right w:val="single" w:color="auto" w:sz="4" w:space="0"/>
            </w:tcBorders>
            <w:noWrap w:val="0"/>
            <w:vAlign w:val="center"/>
          </w:tcPr>
          <w:p>
            <w:pPr>
              <w:spacing w:line="240" w:lineRule="auto"/>
              <w:rPr>
                <w:rFonts w:hint="eastAsia" w:ascii="宋体" w:hAnsi="宋体" w:cs="宋体"/>
                <w:color w:val="auto"/>
                <w:sz w:val="21"/>
                <w:szCs w:val="21"/>
                <w:highlight w:val="none"/>
              </w:rPr>
            </w:pPr>
          </w:p>
        </w:tc>
        <w:tc>
          <w:tcPr>
            <w:tcW w:w="731" w:type="dxa"/>
            <w:tcBorders>
              <w:top w:val="single" w:color="auto" w:sz="4" w:space="0"/>
              <w:left w:val="single" w:color="auto" w:sz="4" w:space="0"/>
              <w:right w:val="single" w:color="auto" w:sz="4" w:space="0"/>
            </w:tcBorders>
            <w:noWrap w:val="0"/>
            <w:vAlign w:val="center"/>
          </w:tcPr>
          <w:p>
            <w:pPr>
              <w:spacing w:line="240" w:lineRule="auto"/>
              <w:jc w:val="center"/>
              <w:rPr>
                <w:rFonts w:hint="eastAsia" w:ascii="宋体" w:hAnsi="宋体" w:cs="宋体"/>
                <w:color w:val="auto"/>
                <w:sz w:val="21"/>
                <w:szCs w:val="21"/>
                <w:highlight w:val="none"/>
              </w:rPr>
            </w:pPr>
            <w:r>
              <w:rPr>
                <w:rFonts w:hint="eastAsia" w:ascii="宋体" w:hAnsi="宋体" w:cs="宋体"/>
                <w:color w:val="auto"/>
                <w:sz w:val="21"/>
                <w:szCs w:val="21"/>
                <w:highlight w:val="none"/>
                <w:lang w:val="en-US" w:eastAsia="zh-CN"/>
              </w:rPr>
              <w:t>5分</w:t>
            </w:r>
          </w:p>
        </w:tc>
        <w:tc>
          <w:tcPr>
            <w:tcW w:w="5474"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宋体" w:hAnsi="宋体" w:cs="宋体"/>
                <w:color w:val="auto"/>
                <w:sz w:val="21"/>
                <w:szCs w:val="21"/>
                <w:highlight w:val="none"/>
                <w:lang w:val="en-US" w:eastAsia="zh-CN"/>
              </w:rPr>
            </w:pPr>
            <w:r>
              <w:rPr>
                <w:rFonts w:hint="eastAsia" w:ascii="宋体" w:hAnsi="宋体" w:cs="宋体"/>
                <w:color w:val="auto"/>
                <w:sz w:val="21"/>
                <w:szCs w:val="21"/>
                <w:highlight w:val="none"/>
              </w:rPr>
              <w:t>维修维护管理的具体措施</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由评委对投标人进行综合评议。</w:t>
            </w:r>
          </w:p>
          <w:p>
            <w:pPr>
              <w:spacing w:line="240" w:lineRule="auto"/>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val="en-US" w:eastAsia="zh-CN"/>
              </w:rPr>
              <w:t>优：3～5分</w:t>
            </w:r>
            <w:r>
              <w:rPr>
                <w:rFonts w:hint="eastAsia" w:ascii="宋体" w:hAnsi="宋体" w:cs="宋体"/>
                <w:color w:val="auto"/>
                <w:sz w:val="21"/>
                <w:szCs w:val="21"/>
                <w:highlight w:val="none"/>
                <w:lang w:val="en-US" w:eastAsia="zh-CN"/>
              </w:rPr>
              <w:tab/>
            </w:r>
            <w:r>
              <w:rPr>
                <w:rFonts w:hint="eastAsia" w:ascii="宋体" w:hAnsi="宋体" w:cs="宋体"/>
                <w:color w:val="auto"/>
                <w:sz w:val="21"/>
                <w:szCs w:val="21"/>
                <w:highlight w:val="none"/>
                <w:lang w:val="en-US" w:eastAsia="zh-CN"/>
              </w:rPr>
              <w:t xml:space="preserve"> 良：2～3分</w:t>
            </w:r>
            <w:r>
              <w:rPr>
                <w:rFonts w:hint="eastAsia" w:ascii="宋体" w:hAnsi="宋体" w:cs="宋体"/>
                <w:color w:val="auto"/>
                <w:sz w:val="21"/>
                <w:szCs w:val="21"/>
                <w:highlight w:val="none"/>
                <w:lang w:val="en-US" w:eastAsia="zh-CN"/>
              </w:rPr>
              <w:tab/>
            </w:r>
            <w:r>
              <w:rPr>
                <w:rFonts w:hint="eastAsia" w:ascii="宋体" w:hAnsi="宋体" w:cs="宋体"/>
                <w:color w:val="auto"/>
                <w:sz w:val="21"/>
                <w:szCs w:val="21"/>
                <w:highlight w:val="none"/>
                <w:lang w:val="en-US" w:eastAsia="zh-CN"/>
              </w:rPr>
              <w:t>一般：0～2分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2" w:hRule="atLeast"/>
          <w:jc w:val="center"/>
        </w:trPr>
        <w:tc>
          <w:tcPr>
            <w:tcW w:w="1299" w:type="dxa"/>
            <w:vMerge w:val="continue"/>
            <w:tcBorders>
              <w:left w:val="single" w:color="auto" w:sz="4" w:space="0"/>
              <w:right w:val="single" w:color="auto" w:sz="4" w:space="0"/>
            </w:tcBorders>
            <w:noWrap w:val="0"/>
            <w:vAlign w:val="center"/>
          </w:tcPr>
          <w:p>
            <w:pPr>
              <w:spacing w:line="240" w:lineRule="auto"/>
              <w:rPr>
                <w:rFonts w:hint="eastAsia" w:ascii="宋体" w:hAnsi="宋体" w:cs="宋体"/>
                <w:color w:val="auto"/>
                <w:sz w:val="21"/>
                <w:szCs w:val="21"/>
                <w:highlight w:val="none"/>
              </w:rPr>
            </w:pPr>
          </w:p>
        </w:tc>
        <w:tc>
          <w:tcPr>
            <w:tcW w:w="1361" w:type="dxa"/>
            <w:vMerge w:val="continue"/>
            <w:tcBorders>
              <w:left w:val="single" w:color="auto" w:sz="4" w:space="0"/>
              <w:right w:val="single" w:color="auto" w:sz="4" w:space="0"/>
            </w:tcBorders>
            <w:noWrap w:val="0"/>
            <w:vAlign w:val="center"/>
          </w:tcPr>
          <w:p>
            <w:pPr>
              <w:spacing w:line="240" w:lineRule="auto"/>
              <w:rPr>
                <w:rFonts w:hint="eastAsia" w:ascii="宋体" w:hAnsi="宋体" w:cs="宋体"/>
                <w:color w:val="auto"/>
                <w:sz w:val="21"/>
                <w:szCs w:val="21"/>
                <w:highlight w:val="none"/>
              </w:rPr>
            </w:pPr>
          </w:p>
        </w:tc>
        <w:tc>
          <w:tcPr>
            <w:tcW w:w="731" w:type="dxa"/>
            <w:tcBorders>
              <w:top w:val="single" w:color="auto" w:sz="4" w:space="0"/>
              <w:left w:val="single" w:color="auto" w:sz="4" w:space="0"/>
              <w:right w:val="single" w:color="auto" w:sz="4" w:space="0"/>
            </w:tcBorders>
            <w:noWrap w:val="0"/>
            <w:vAlign w:val="center"/>
          </w:tcPr>
          <w:p>
            <w:pPr>
              <w:spacing w:line="240" w:lineRule="auto"/>
              <w:jc w:val="center"/>
              <w:rPr>
                <w:rFonts w:hint="eastAsia" w:ascii="宋体" w:hAnsi="宋体" w:cs="宋体"/>
                <w:color w:val="auto"/>
                <w:sz w:val="21"/>
                <w:szCs w:val="21"/>
                <w:highlight w:val="none"/>
              </w:rPr>
            </w:pPr>
            <w:r>
              <w:rPr>
                <w:rFonts w:hint="eastAsia" w:ascii="宋体" w:hAnsi="宋体" w:cs="宋体"/>
                <w:color w:val="auto"/>
                <w:sz w:val="21"/>
                <w:szCs w:val="21"/>
                <w:highlight w:val="none"/>
                <w:lang w:val="en-US" w:eastAsia="zh-CN"/>
              </w:rPr>
              <w:t>5分</w:t>
            </w:r>
          </w:p>
        </w:tc>
        <w:tc>
          <w:tcPr>
            <w:tcW w:w="5474"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宋体" w:hAnsi="宋体" w:cs="宋体"/>
                <w:color w:val="auto"/>
                <w:sz w:val="21"/>
                <w:szCs w:val="21"/>
                <w:highlight w:val="none"/>
                <w:lang w:val="en-US" w:eastAsia="zh-CN"/>
              </w:rPr>
            </w:pPr>
            <w:r>
              <w:rPr>
                <w:rFonts w:hint="eastAsia" w:ascii="宋体" w:hAnsi="宋体" w:cs="宋体"/>
                <w:color w:val="auto"/>
                <w:sz w:val="21"/>
                <w:szCs w:val="21"/>
                <w:highlight w:val="none"/>
              </w:rPr>
              <w:t>绿化管理的具体措施</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由评委对投标人进行综合评议。</w:t>
            </w:r>
          </w:p>
          <w:p>
            <w:pPr>
              <w:spacing w:line="240" w:lineRule="auto"/>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val="en-US" w:eastAsia="zh-CN"/>
              </w:rPr>
              <w:t>优：3～5分</w:t>
            </w:r>
            <w:r>
              <w:rPr>
                <w:rFonts w:hint="eastAsia" w:ascii="宋体" w:hAnsi="宋体" w:cs="宋体"/>
                <w:color w:val="auto"/>
                <w:sz w:val="21"/>
                <w:szCs w:val="21"/>
                <w:highlight w:val="none"/>
                <w:lang w:val="en-US" w:eastAsia="zh-CN"/>
              </w:rPr>
              <w:tab/>
            </w:r>
            <w:r>
              <w:rPr>
                <w:rFonts w:hint="eastAsia" w:ascii="宋体" w:hAnsi="宋体" w:cs="宋体"/>
                <w:color w:val="auto"/>
                <w:sz w:val="21"/>
                <w:szCs w:val="21"/>
                <w:highlight w:val="none"/>
                <w:lang w:val="en-US" w:eastAsia="zh-CN"/>
              </w:rPr>
              <w:t xml:space="preserve"> 良：2～3分</w:t>
            </w:r>
            <w:r>
              <w:rPr>
                <w:rFonts w:hint="eastAsia" w:ascii="宋体" w:hAnsi="宋体" w:cs="宋体"/>
                <w:color w:val="auto"/>
                <w:sz w:val="21"/>
                <w:szCs w:val="21"/>
                <w:highlight w:val="none"/>
                <w:lang w:val="en-US" w:eastAsia="zh-CN"/>
              </w:rPr>
              <w:tab/>
            </w:r>
            <w:r>
              <w:rPr>
                <w:rFonts w:hint="eastAsia" w:ascii="宋体" w:hAnsi="宋体" w:cs="宋体"/>
                <w:color w:val="auto"/>
                <w:sz w:val="21"/>
                <w:szCs w:val="21"/>
                <w:highlight w:val="none"/>
                <w:lang w:val="en-US" w:eastAsia="zh-CN"/>
              </w:rPr>
              <w:t>一般：0～2分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9" w:hRule="atLeast"/>
          <w:jc w:val="center"/>
        </w:trPr>
        <w:tc>
          <w:tcPr>
            <w:tcW w:w="1299" w:type="dxa"/>
            <w:vMerge w:val="continue"/>
            <w:tcBorders>
              <w:left w:val="single" w:color="auto" w:sz="4" w:space="0"/>
              <w:right w:val="single" w:color="auto" w:sz="4" w:space="0"/>
            </w:tcBorders>
            <w:noWrap w:val="0"/>
            <w:vAlign w:val="top"/>
          </w:tcPr>
          <w:p>
            <w:pPr>
              <w:spacing w:line="240" w:lineRule="auto"/>
              <w:rPr>
                <w:rFonts w:hint="eastAsia" w:ascii="宋体" w:hAnsi="宋体" w:cs="宋体"/>
                <w:color w:val="auto"/>
                <w:sz w:val="21"/>
                <w:szCs w:val="21"/>
                <w:highlight w:val="none"/>
              </w:rPr>
            </w:pPr>
          </w:p>
        </w:tc>
        <w:tc>
          <w:tcPr>
            <w:tcW w:w="1361" w:type="dxa"/>
            <w:tcBorders>
              <w:top w:val="single" w:color="auto" w:sz="4" w:space="0"/>
              <w:left w:val="single" w:color="auto" w:sz="4" w:space="0"/>
              <w:right w:val="single" w:color="auto" w:sz="4" w:space="0"/>
            </w:tcBorders>
            <w:noWrap w:val="0"/>
            <w:vAlign w:val="center"/>
          </w:tcPr>
          <w:p>
            <w:pPr>
              <w:spacing w:line="240" w:lineRule="auto"/>
              <w:rPr>
                <w:rFonts w:hint="eastAsia" w:ascii="宋体" w:hAnsi="宋体" w:cs="宋体"/>
                <w:color w:val="auto"/>
                <w:sz w:val="21"/>
                <w:szCs w:val="21"/>
                <w:highlight w:val="none"/>
              </w:rPr>
            </w:pPr>
            <w:r>
              <w:rPr>
                <w:rFonts w:hint="eastAsia" w:ascii="宋体" w:hAnsi="宋体" w:cs="宋体"/>
                <w:color w:val="auto"/>
                <w:sz w:val="21"/>
                <w:szCs w:val="21"/>
                <w:highlight w:val="none"/>
              </w:rPr>
              <w:t>体系认证</w:t>
            </w:r>
          </w:p>
        </w:tc>
        <w:tc>
          <w:tcPr>
            <w:tcW w:w="731" w:type="dxa"/>
            <w:tcBorders>
              <w:top w:val="single" w:color="auto" w:sz="4" w:space="0"/>
              <w:left w:val="single" w:color="auto" w:sz="4" w:space="0"/>
              <w:right w:val="single" w:color="auto" w:sz="4" w:space="0"/>
            </w:tcBorders>
            <w:noWrap w:val="0"/>
            <w:vAlign w:val="center"/>
          </w:tcPr>
          <w:p>
            <w:pPr>
              <w:spacing w:line="240" w:lineRule="auto"/>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3分</w:t>
            </w:r>
          </w:p>
        </w:tc>
        <w:tc>
          <w:tcPr>
            <w:tcW w:w="5474" w:type="dxa"/>
            <w:tcBorders>
              <w:top w:val="single" w:color="auto" w:sz="4" w:space="0"/>
              <w:left w:val="single" w:color="auto" w:sz="4" w:space="0"/>
              <w:right w:val="single" w:color="auto" w:sz="4" w:space="0"/>
            </w:tcBorders>
            <w:noWrap w:val="0"/>
            <w:vAlign w:val="center"/>
          </w:tcPr>
          <w:p>
            <w:pPr>
              <w:spacing w:line="240" w:lineRule="auto"/>
              <w:rPr>
                <w:rFonts w:hint="eastAsia" w:ascii="宋体" w:hAnsi="宋体" w:cs="宋体"/>
                <w:color w:val="auto"/>
                <w:sz w:val="21"/>
                <w:szCs w:val="21"/>
                <w:highlight w:val="none"/>
              </w:rPr>
            </w:pPr>
            <w:r>
              <w:rPr>
                <w:rFonts w:hint="eastAsia" w:ascii="宋体" w:hAnsi="宋体" w:cs="宋体"/>
                <w:color w:val="auto"/>
                <w:sz w:val="21"/>
                <w:szCs w:val="21"/>
                <w:highlight w:val="none"/>
              </w:rPr>
              <w:t>投标人提供的有效期内认证体系最高得3分。</w:t>
            </w:r>
          </w:p>
          <w:p>
            <w:pPr>
              <w:spacing w:line="240" w:lineRule="auto"/>
              <w:rPr>
                <w:rFonts w:hint="eastAsia" w:ascii="宋体" w:hAnsi="宋体" w:cs="宋体"/>
                <w:color w:val="auto"/>
                <w:sz w:val="21"/>
                <w:szCs w:val="21"/>
                <w:highlight w:val="none"/>
              </w:rPr>
            </w:pPr>
            <w:r>
              <w:rPr>
                <w:rFonts w:hint="eastAsia" w:ascii="宋体" w:hAnsi="宋体" w:cs="宋体"/>
                <w:color w:val="auto"/>
                <w:sz w:val="21"/>
                <w:szCs w:val="21"/>
                <w:highlight w:val="none"/>
              </w:rPr>
              <w:t>通过ISO900</w:t>
            </w:r>
            <w:r>
              <w:rPr>
                <w:rFonts w:hint="eastAsia" w:ascii="宋体" w:hAnsi="宋体" w:cs="宋体"/>
                <w:color w:val="auto"/>
                <w:sz w:val="21"/>
                <w:szCs w:val="21"/>
                <w:highlight w:val="none"/>
                <w:lang w:val="en-US" w:eastAsia="zh-CN"/>
              </w:rPr>
              <w:t>1</w:t>
            </w:r>
            <w:r>
              <w:rPr>
                <w:rFonts w:hint="eastAsia" w:ascii="宋体" w:hAnsi="宋体" w:cs="宋体"/>
                <w:color w:val="auto"/>
                <w:sz w:val="21"/>
                <w:szCs w:val="21"/>
                <w:highlight w:val="none"/>
              </w:rPr>
              <w:t>质量管理认证体系得1分；ISO14001环境管理认证体系得1分；通过ISO</w:t>
            </w:r>
            <w:r>
              <w:rPr>
                <w:rFonts w:hint="eastAsia" w:ascii="宋体" w:hAnsi="宋体" w:cs="宋体"/>
                <w:color w:val="auto"/>
                <w:sz w:val="21"/>
                <w:szCs w:val="21"/>
                <w:highlight w:val="none"/>
                <w:lang w:val="en-US" w:eastAsia="zh-CN"/>
              </w:rPr>
              <w:t>45</w:t>
            </w:r>
            <w:r>
              <w:rPr>
                <w:rFonts w:hint="eastAsia" w:ascii="宋体" w:hAnsi="宋体" w:cs="宋体"/>
                <w:color w:val="auto"/>
                <w:sz w:val="21"/>
                <w:szCs w:val="21"/>
                <w:highlight w:val="none"/>
              </w:rPr>
              <w:t>001</w:t>
            </w:r>
            <w:r>
              <w:rPr>
                <w:rFonts w:hint="eastAsia" w:ascii="宋体" w:hAnsi="宋体" w:cs="宋体"/>
                <w:color w:val="auto"/>
                <w:sz w:val="21"/>
                <w:szCs w:val="21"/>
                <w:highlight w:val="none"/>
                <w:lang w:val="en-US" w:eastAsia="zh-CN"/>
              </w:rPr>
              <w:t>职业健康安全</w:t>
            </w:r>
            <w:r>
              <w:rPr>
                <w:rFonts w:hint="eastAsia" w:ascii="宋体" w:hAnsi="宋体" w:cs="宋体"/>
                <w:color w:val="auto"/>
                <w:sz w:val="21"/>
                <w:szCs w:val="21"/>
                <w:highlight w:val="none"/>
              </w:rPr>
              <w:t>管理认证体系得1分。</w:t>
            </w:r>
          </w:p>
          <w:p>
            <w:pPr>
              <w:spacing w:line="240" w:lineRule="auto"/>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rPr>
              <w:t>须在投标文件中提供复印件并加盖公章，否则不得分</w:t>
            </w:r>
            <w:r>
              <w:rPr>
                <w:rFonts w:hint="eastAsia" w:ascii="宋体" w:hAnsi="宋体" w:cs="宋体"/>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4" w:hRule="atLeast"/>
          <w:jc w:val="center"/>
        </w:trPr>
        <w:tc>
          <w:tcPr>
            <w:tcW w:w="1299" w:type="dxa"/>
            <w:vMerge w:val="continue"/>
            <w:tcBorders>
              <w:left w:val="single" w:color="auto" w:sz="4" w:space="0"/>
              <w:right w:val="single" w:color="auto" w:sz="4" w:space="0"/>
            </w:tcBorders>
            <w:noWrap w:val="0"/>
            <w:vAlign w:val="top"/>
          </w:tcPr>
          <w:p>
            <w:pPr>
              <w:spacing w:line="240" w:lineRule="auto"/>
              <w:rPr>
                <w:rFonts w:hint="eastAsia" w:ascii="宋体" w:hAnsi="宋体" w:cs="宋体"/>
                <w:color w:val="auto"/>
                <w:sz w:val="21"/>
                <w:szCs w:val="21"/>
                <w:highlight w:val="none"/>
              </w:rPr>
            </w:pPr>
          </w:p>
        </w:tc>
        <w:tc>
          <w:tcPr>
            <w:tcW w:w="1361" w:type="dxa"/>
            <w:tcBorders>
              <w:top w:val="single" w:color="auto" w:sz="4" w:space="0"/>
              <w:left w:val="single" w:color="auto" w:sz="4" w:space="0"/>
              <w:right w:val="single" w:color="auto" w:sz="4" w:space="0"/>
            </w:tcBorders>
            <w:noWrap w:val="0"/>
            <w:vAlign w:val="center"/>
          </w:tcPr>
          <w:p>
            <w:pPr>
              <w:spacing w:line="240" w:lineRule="auto"/>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项目负责人</w:t>
            </w:r>
          </w:p>
        </w:tc>
        <w:tc>
          <w:tcPr>
            <w:tcW w:w="731" w:type="dxa"/>
            <w:tcBorders>
              <w:top w:val="single" w:color="auto" w:sz="4" w:space="0"/>
              <w:left w:val="single" w:color="auto" w:sz="4" w:space="0"/>
              <w:right w:val="single" w:color="auto" w:sz="4" w:space="0"/>
            </w:tcBorders>
            <w:noWrap w:val="0"/>
            <w:vAlign w:val="center"/>
          </w:tcPr>
          <w:p>
            <w:pPr>
              <w:spacing w:line="240" w:lineRule="auto"/>
              <w:jc w:val="center"/>
              <w:rPr>
                <w:rFonts w:hint="eastAsia" w:ascii="宋体" w:hAnsi="宋体" w:cs="宋体"/>
                <w:color w:val="auto"/>
                <w:sz w:val="21"/>
                <w:szCs w:val="21"/>
                <w:highlight w:val="none"/>
              </w:rPr>
            </w:pPr>
            <w:r>
              <w:rPr>
                <w:rFonts w:hint="eastAsia" w:ascii="宋体" w:hAnsi="宋体" w:cs="宋体"/>
                <w:color w:val="auto"/>
                <w:sz w:val="21"/>
                <w:szCs w:val="21"/>
                <w:highlight w:val="none"/>
                <w:lang w:val="en-US" w:eastAsia="zh-CN"/>
              </w:rPr>
              <w:t>4</w:t>
            </w:r>
            <w:r>
              <w:rPr>
                <w:rFonts w:hint="eastAsia" w:ascii="宋体" w:hAnsi="宋体" w:cs="宋体"/>
                <w:color w:val="auto"/>
                <w:sz w:val="21"/>
                <w:szCs w:val="21"/>
                <w:highlight w:val="none"/>
              </w:rPr>
              <w:t>分</w:t>
            </w:r>
          </w:p>
        </w:tc>
        <w:tc>
          <w:tcPr>
            <w:tcW w:w="5474" w:type="dxa"/>
            <w:tcBorders>
              <w:top w:val="single" w:color="auto" w:sz="4" w:space="0"/>
              <w:left w:val="single" w:color="auto" w:sz="4" w:space="0"/>
              <w:right w:val="single" w:color="auto" w:sz="4" w:space="0"/>
            </w:tcBorders>
            <w:noWrap w:val="0"/>
            <w:vAlign w:val="center"/>
          </w:tcPr>
          <w:p>
            <w:pPr>
              <w:spacing w:line="240" w:lineRule="auto"/>
              <w:rPr>
                <w:rFonts w:hint="eastAsia" w:ascii="宋体" w:hAnsi="宋体" w:cs="宋体"/>
                <w:color w:val="auto"/>
                <w:sz w:val="21"/>
                <w:szCs w:val="21"/>
                <w:highlight w:val="none"/>
                <w:lang w:val="en-US" w:eastAsia="zh-CN"/>
              </w:rPr>
            </w:pPr>
            <w:r>
              <w:rPr>
                <w:rFonts w:hint="eastAsia" w:ascii="宋体" w:hAnsi="宋体" w:eastAsia="宋体" w:cs="宋体"/>
                <w:color w:val="auto"/>
                <w:kern w:val="2"/>
                <w:sz w:val="21"/>
                <w:szCs w:val="21"/>
                <w:highlight w:val="none"/>
                <w:lang w:val="en-US" w:eastAsia="zh-CN" w:bidi="ar-SA"/>
              </w:rPr>
              <w:t>投标人拟派项目负责人的年龄</w:t>
            </w:r>
            <w:r>
              <w:rPr>
                <w:rFonts w:hint="eastAsia" w:ascii="宋体" w:hAnsi="宋体" w:cs="宋体"/>
                <w:color w:val="auto"/>
                <w:sz w:val="21"/>
                <w:szCs w:val="21"/>
                <w:highlight w:val="none"/>
                <w:lang w:val="en-US" w:eastAsia="zh-CN"/>
              </w:rPr>
              <w:t>、学历、管理能力、业绩经验、资格资质等情况进行综合评定；</w:t>
            </w:r>
          </w:p>
          <w:p>
            <w:pPr>
              <w:pStyle w:val="2"/>
              <w:ind w:left="0" w:leftChars="0" w:firstLine="0" w:firstLineChars="0"/>
              <w:rPr>
                <w:rFonts w:hint="eastAsia" w:ascii="宋体" w:hAnsi="宋体" w:cs="宋体"/>
                <w:b/>
                <w:color w:val="auto"/>
                <w:sz w:val="21"/>
                <w:szCs w:val="21"/>
                <w:highlight w:val="none"/>
              </w:rPr>
            </w:pPr>
            <w:r>
              <w:rPr>
                <w:rFonts w:hint="eastAsia" w:ascii="宋体" w:hAnsi="宋体" w:cs="宋体"/>
                <w:color w:val="auto"/>
                <w:sz w:val="21"/>
                <w:szCs w:val="21"/>
                <w:highlight w:val="none"/>
                <w:lang w:val="en-US" w:eastAsia="zh-CN"/>
              </w:rPr>
              <w:t>须在投标文件中提供人员证书、近3个月的社保证明并加盖公章，否则不得分。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9" w:hRule="atLeast"/>
          <w:jc w:val="center"/>
        </w:trPr>
        <w:tc>
          <w:tcPr>
            <w:tcW w:w="1299" w:type="dxa"/>
            <w:vMerge w:val="continue"/>
            <w:tcBorders>
              <w:left w:val="single" w:color="auto" w:sz="4" w:space="0"/>
              <w:right w:val="single" w:color="auto" w:sz="4" w:space="0"/>
            </w:tcBorders>
            <w:noWrap w:val="0"/>
            <w:vAlign w:val="top"/>
          </w:tcPr>
          <w:p>
            <w:pPr>
              <w:spacing w:line="240" w:lineRule="auto"/>
              <w:rPr>
                <w:rFonts w:hint="eastAsia" w:ascii="宋体" w:hAnsi="宋体" w:cs="宋体"/>
                <w:color w:val="auto"/>
                <w:sz w:val="21"/>
                <w:szCs w:val="21"/>
                <w:highlight w:val="none"/>
              </w:rPr>
            </w:pPr>
          </w:p>
        </w:tc>
        <w:tc>
          <w:tcPr>
            <w:tcW w:w="1361" w:type="dxa"/>
            <w:vMerge w:val="restart"/>
            <w:tcBorders>
              <w:top w:val="single" w:color="auto" w:sz="4" w:space="0"/>
              <w:left w:val="single" w:color="auto" w:sz="4" w:space="0"/>
              <w:right w:val="single" w:color="auto" w:sz="4" w:space="0"/>
            </w:tcBorders>
            <w:noWrap w:val="0"/>
            <w:vAlign w:val="center"/>
          </w:tcPr>
          <w:p>
            <w:pPr>
              <w:spacing w:line="240" w:lineRule="auto"/>
              <w:rPr>
                <w:rFonts w:hint="default"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人员证书</w:t>
            </w:r>
          </w:p>
        </w:tc>
        <w:tc>
          <w:tcPr>
            <w:tcW w:w="731" w:type="dxa"/>
            <w:tcBorders>
              <w:top w:val="single" w:color="auto" w:sz="4" w:space="0"/>
              <w:left w:val="single" w:color="auto" w:sz="4" w:space="0"/>
              <w:right w:val="single" w:color="auto" w:sz="4" w:space="0"/>
            </w:tcBorders>
            <w:noWrap w:val="0"/>
            <w:vAlign w:val="center"/>
          </w:tcPr>
          <w:p>
            <w:pPr>
              <w:spacing w:line="240" w:lineRule="auto"/>
              <w:jc w:val="center"/>
              <w:rPr>
                <w:rFonts w:hint="eastAsia"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2</w:t>
            </w:r>
            <w:r>
              <w:rPr>
                <w:rFonts w:hint="eastAsia" w:ascii="宋体" w:hAnsi="宋体" w:cs="宋体"/>
                <w:color w:val="auto"/>
                <w:sz w:val="21"/>
                <w:szCs w:val="21"/>
                <w:highlight w:val="none"/>
              </w:rPr>
              <w:t>分</w:t>
            </w:r>
          </w:p>
        </w:tc>
        <w:tc>
          <w:tcPr>
            <w:tcW w:w="5474" w:type="dxa"/>
            <w:tcBorders>
              <w:top w:val="single" w:color="auto" w:sz="4" w:space="0"/>
              <w:left w:val="single" w:color="auto" w:sz="4" w:space="0"/>
              <w:right w:val="single" w:color="auto" w:sz="4" w:space="0"/>
            </w:tcBorders>
            <w:noWrap w:val="0"/>
            <w:vAlign w:val="center"/>
          </w:tcPr>
          <w:p>
            <w:pPr>
              <w:spacing w:line="240" w:lineRule="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投标人拟派项目经理助理的年龄</w:t>
            </w:r>
            <w:r>
              <w:rPr>
                <w:rFonts w:hint="eastAsia" w:ascii="宋体" w:hAnsi="宋体" w:cs="宋体"/>
                <w:color w:val="auto"/>
                <w:sz w:val="21"/>
                <w:szCs w:val="21"/>
                <w:highlight w:val="none"/>
                <w:lang w:val="en-US" w:eastAsia="zh-CN"/>
              </w:rPr>
              <w:t>、学历、管理能力、业绩</w:t>
            </w:r>
            <w:r>
              <w:rPr>
                <w:rFonts w:hint="eastAsia" w:ascii="宋体" w:hAnsi="宋体" w:eastAsia="宋体" w:cs="宋体"/>
                <w:color w:val="auto"/>
                <w:kern w:val="2"/>
                <w:sz w:val="21"/>
                <w:szCs w:val="21"/>
                <w:highlight w:val="none"/>
                <w:lang w:val="en-US" w:eastAsia="zh-CN" w:bidi="ar-SA"/>
              </w:rPr>
              <w:t>经验、资格资质等情况进行综合评定；</w:t>
            </w:r>
          </w:p>
          <w:p>
            <w:pPr>
              <w:pStyle w:val="35"/>
              <w:rPr>
                <w:rFonts w:hint="eastAsia"/>
                <w:color w:val="auto"/>
                <w:sz w:val="21"/>
                <w:szCs w:val="21"/>
                <w:highlight w:val="none"/>
                <w:lang w:val="en-US" w:eastAsia="zh-CN"/>
              </w:rPr>
            </w:pPr>
            <w:r>
              <w:rPr>
                <w:rFonts w:hint="eastAsia" w:ascii="宋体" w:hAnsi="宋体" w:eastAsia="宋体" w:cs="宋体"/>
                <w:color w:val="auto"/>
                <w:kern w:val="2"/>
                <w:sz w:val="21"/>
                <w:szCs w:val="21"/>
                <w:highlight w:val="none"/>
                <w:lang w:val="en-US" w:eastAsia="zh-CN" w:bidi="ar-SA"/>
              </w:rPr>
              <w:t>须在投标文件中提供人员证书、近3个月的社保证明并加盖公章，否则不得分。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9" w:hRule="atLeast"/>
          <w:jc w:val="center"/>
        </w:trPr>
        <w:tc>
          <w:tcPr>
            <w:tcW w:w="1299" w:type="dxa"/>
            <w:vMerge w:val="continue"/>
            <w:tcBorders>
              <w:left w:val="single" w:color="auto" w:sz="4" w:space="0"/>
              <w:right w:val="single" w:color="auto" w:sz="4" w:space="0"/>
            </w:tcBorders>
            <w:noWrap w:val="0"/>
            <w:vAlign w:val="top"/>
          </w:tcPr>
          <w:p>
            <w:pPr>
              <w:spacing w:line="240" w:lineRule="auto"/>
              <w:rPr>
                <w:rFonts w:hint="eastAsia" w:ascii="宋体" w:hAnsi="宋体" w:cs="宋体"/>
                <w:color w:val="auto"/>
                <w:sz w:val="21"/>
                <w:szCs w:val="21"/>
                <w:highlight w:val="none"/>
              </w:rPr>
            </w:pPr>
          </w:p>
        </w:tc>
        <w:tc>
          <w:tcPr>
            <w:tcW w:w="1361" w:type="dxa"/>
            <w:vMerge w:val="continue"/>
            <w:tcBorders>
              <w:left w:val="single" w:color="auto" w:sz="4" w:space="0"/>
              <w:bottom w:val="single" w:color="auto" w:sz="4" w:space="0"/>
              <w:right w:val="single" w:color="auto" w:sz="4" w:space="0"/>
            </w:tcBorders>
            <w:noWrap w:val="0"/>
            <w:vAlign w:val="center"/>
          </w:tcPr>
          <w:p>
            <w:pPr>
              <w:spacing w:line="240" w:lineRule="auto"/>
              <w:rPr>
                <w:rFonts w:hint="default" w:ascii="宋体" w:hAnsi="宋体" w:cs="宋体"/>
                <w:color w:val="auto"/>
                <w:sz w:val="21"/>
                <w:szCs w:val="21"/>
                <w:highlight w:val="none"/>
                <w:lang w:val="en-US" w:eastAsia="zh-CN"/>
              </w:rPr>
            </w:pPr>
          </w:p>
        </w:tc>
        <w:tc>
          <w:tcPr>
            <w:tcW w:w="731"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cs="宋体"/>
                <w:color w:val="auto"/>
                <w:sz w:val="21"/>
                <w:szCs w:val="21"/>
                <w:highlight w:val="none"/>
              </w:rPr>
            </w:pPr>
            <w:r>
              <w:rPr>
                <w:rFonts w:hint="eastAsia" w:ascii="宋体" w:hAnsi="宋体" w:cs="宋体"/>
                <w:color w:val="auto"/>
                <w:sz w:val="21"/>
                <w:szCs w:val="21"/>
                <w:highlight w:val="none"/>
                <w:lang w:val="en-US" w:eastAsia="zh-CN"/>
              </w:rPr>
              <w:t>2</w:t>
            </w:r>
            <w:r>
              <w:rPr>
                <w:rFonts w:hint="eastAsia" w:ascii="宋体" w:hAnsi="宋体" w:cs="宋体"/>
                <w:color w:val="auto"/>
                <w:sz w:val="21"/>
                <w:szCs w:val="21"/>
                <w:highlight w:val="none"/>
              </w:rPr>
              <w:t>分</w:t>
            </w:r>
          </w:p>
        </w:tc>
        <w:tc>
          <w:tcPr>
            <w:tcW w:w="5474" w:type="dxa"/>
            <w:tcBorders>
              <w:top w:val="single" w:color="auto" w:sz="4" w:space="0"/>
              <w:left w:val="single" w:color="auto" w:sz="4" w:space="0"/>
              <w:bottom w:val="single" w:color="auto" w:sz="4" w:space="0"/>
              <w:right w:val="single" w:color="auto" w:sz="4" w:space="0"/>
            </w:tcBorders>
            <w:noWrap w:val="0"/>
            <w:vAlign w:val="center"/>
          </w:tcPr>
          <w:p>
            <w:pPr>
              <w:pStyle w:val="35"/>
              <w:spacing w:line="240" w:lineRule="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由评委对投标人针对本项目其它管理人员的相关证书、年龄配置合理，岗位设置进行评议。</w:t>
            </w:r>
          </w:p>
          <w:p>
            <w:pPr>
              <w:pStyle w:val="35"/>
              <w:spacing w:line="240" w:lineRule="auto"/>
              <w:rPr>
                <w:rFonts w:hint="eastAsia" w:ascii="宋体" w:hAnsi="宋体" w:cs="宋体"/>
                <w:color w:val="auto"/>
                <w:sz w:val="21"/>
                <w:szCs w:val="21"/>
                <w:highlight w:val="none"/>
                <w:lang w:val="en-US" w:eastAsia="zh-CN"/>
              </w:rPr>
            </w:pPr>
            <w:r>
              <w:rPr>
                <w:rFonts w:hint="eastAsia" w:ascii="宋体" w:hAnsi="宋体" w:eastAsia="宋体" w:cs="宋体"/>
                <w:color w:val="auto"/>
                <w:kern w:val="2"/>
                <w:sz w:val="21"/>
                <w:szCs w:val="21"/>
                <w:highlight w:val="none"/>
                <w:lang w:val="en-US" w:eastAsia="zh-CN" w:bidi="ar-SA"/>
              </w:rPr>
              <w:t>优：2分</w:t>
            </w:r>
            <w:r>
              <w:rPr>
                <w:rFonts w:hint="eastAsia" w:ascii="宋体" w:hAnsi="宋体" w:eastAsia="宋体" w:cs="宋体"/>
                <w:color w:val="auto"/>
                <w:kern w:val="2"/>
                <w:sz w:val="21"/>
                <w:szCs w:val="21"/>
                <w:highlight w:val="none"/>
                <w:lang w:val="en-US" w:eastAsia="zh-CN" w:bidi="ar-SA"/>
              </w:rPr>
              <w:tab/>
            </w:r>
            <w:r>
              <w:rPr>
                <w:rFonts w:hint="eastAsia" w:ascii="宋体" w:hAnsi="宋体" w:eastAsia="宋体" w:cs="宋体"/>
                <w:color w:val="auto"/>
                <w:kern w:val="2"/>
                <w:sz w:val="21"/>
                <w:szCs w:val="21"/>
                <w:highlight w:val="none"/>
                <w:lang w:val="en-US" w:eastAsia="zh-CN" w:bidi="ar-SA"/>
              </w:rPr>
              <w:t xml:space="preserve">    良：1分</w:t>
            </w:r>
            <w:r>
              <w:rPr>
                <w:rFonts w:hint="eastAsia" w:ascii="宋体" w:hAnsi="宋体" w:eastAsia="宋体" w:cs="宋体"/>
                <w:color w:val="auto"/>
                <w:kern w:val="2"/>
                <w:sz w:val="21"/>
                <w:szCs w:val="21"/>
                <w:highlight w:val="none"/>
                <w:lang w:val="en-US" w:eastAsia="zh-CN" w:bidi="ar-SA"/>
              </w:rPr>
              <w:tab/>
            </w:r>
            <w:r>
              <w:rPr>
                <w:rFonts w:hint="eastAsia" w:ascii="宋体" w:hAnsi="宋体" w:eastAsia="宋体" w:cs="宋体"/>
                <w:color w:val="auto"/>
                <w:kern w:val="2"/>
                <w:sz w:val="21"/>
                <w:szCs w:val="21"/>
                <w:highlight w:val="none"/>
                <w:lang w:val="en-US" w:eastAsia="zh-CN" w:bidi="ar-SA"/>
              </w:rPr>
              <w:t xml:space="preserve">    一般：0分</w:t>
            </w:r>
            <w:r>
              <w:rPr>
                <w:rFonts w:hint="eastAsia" w:ascii="宋体" w:hAnsi="宋体" w:eastAsia="宋体" w:cs="宋体"/>
                <w:color w:val="auto"/>
                <w:kern w:val="2"/>
                <w:sz w:val="21"/>
                <w:szCs w:val="21"/>
                <w:highlight w:val="none"/>
                <w:lang w:val="en-US" w:eastAsia="zh-CN" w:bidi="ar-SA"/>
              </w:rPr>
              <w:tab/>
            </w:r>
          </w:p>
        </w:tc>
      </w:tr>
    </w:tbl>
    <w:p>
      <w:pPr>
        <w:spacing w:before="156" w:beforeLines="50" w:line="360" w:lineRule="auto"/>
        <w:ind w:firstLine="420"/>
        <w:rPr>
          <w:rFonts w:hint="eastAsia" w:ascii="宋体" w:hAnsi="宋体" w:cs="宋体"/>
          <w:b/>
          <w:bCs/>
          <w:color w:val="auto"/>
          <w:highlight w:val="none"/>
        </w:rPr>
      </w:pPr>
    </w:p>
    <w:p>
      <w:pPr>
        <w:spacing w:before="156" w:beforeLines="50" w:line="360" w:lineRule="auto"/>
        <w:ind w:firstLine="420"/>
        <w:rPr>
          <w:rFonts w:hint="eastAsia" w:ascii="宋体" w:hAnsi="宋体" w:cs="宋体"/>
          <w:b/>
          <w:bCs/>
          <w:color w:val="auto"/>
          <w:highlight w:val="none"/>
        </w:rPr>
      </w:pPr>
      <w:r>
        <w:rPr>
          <w:rFonts w:hint="eastAsia" w:ascii="宋体" w:hAnsi="宋体" w:cs="宋体"/>
          <w:b/>
          <w:bCs/>
          <w:color w:val="auto"/>
          <w:highlight w:val="none"/>
        </w:rPr>
        <w:t>注：1、投标文件中应当提供所有涉及评分的有关证明材料，未提供或提供不清，相应评审内容将不予认可。</w:t>
      </w:r>
      <w:bookmarkStart w:id="11" w:name="_Toc55909257"/>
      <w:bookmarkStart w:id="12" w:name="_Toc25195"/>
    </w:p>
    <w:p>
      <w:pPr>
        <w:pStyle w:val="35"/>
        <w:rPr>
          <w:rFonts w:hint="eastAsia" w:ascii="宋体" w:hAnsi="宋体" w:cs="宋体"/>
          <w:b/>
          <w:bCs/>
          <w:color w:val="auto"/>
          <w:highlight w:val="none"/>
        </w:rPr>
      </w:pPr>
    </w:p>
    <w:p>
      <w:pPr>
        <w:pStyle w:val="35"/>
        <w:rPr>
          <w:rFonts w:hint="eastAsia" w:ascii="宋体" w:hAnsi="宋体" w:cs="宋体"/>
          <w:b/>
          <w:bCs/>
          <w:color w:val="auto"/>
          <w:highlight w:val="none"/>
        </w:rPr>
      </w:pPr>
    </w:p>
    <w:p>
      <w:pPr>
        <w:pStyle w:val="35"/>
        <w:rPr>
          <w:rFonts w:hint="eastAsia" w:ascii="宋体" w:hAnsi="宋体" w:cs="宋体"/>
          <w:b/>
          <w:bCs/>
          <w:color w:val="auto"/>
          <w:highlight w:val="none"/>
        </w:rPr>
        <w:sectPr>
          <w:pgSz w:w="11906" w:h="16838"/>
          <w:pgMar w:top="1440" w:right="1286" w:bottom="1318" w:left="1380" w:header="851" w:footer="992" w:gutter="0"/>
          <w:pgBorders>
            <w:top w:val="none" w:sz="0" w:space="0"/>
            <w:left w:val="none" w:sz="0" w:space="0"/>
            <w:bottom w:val="none" w:sz="0" w:space="0"/>
            <w:right w:val="none" w:sz="0" w:space="0"/>
          </w:pgBorders>
          <w:cols w:space="720" w:num="1"/>
          <w:docGrid w:type="lines" w:linePitch="312" w:charSpace="0"/>
        </w:sectPr>
      </w:pPr>
    </w:p>
    <w:p>
      <w:pPr>
        <w:spacing w:line="400" w:lineRule="exact"/>
        <w:ind w:firstLine="602" w:firstLineChars="200"/>
        <w:jc w:val="center"/>
        <w:rPr>
          <w:rFonts w:ascii="宋体" w:hAnsi="宋体" w:cs="宋体"/>
          <w:b/>
          <w:bCs/>
          <w:color w:val="auto"/>
          <w:sz w:val="30"/>
          <w:szCs w:val="30"/>
          <w:highlight w:val="none"/>
        </w:rPr>
      </w:pPr>
      <w:r>
        <w:rPr>
          <w:rFonts w:hint="eastAsia" w:ascii="宋体" w:hAnsi="宋体" w:cs="宋体"/>
          <w:b/>
          <w:bCs/>
          <w:color w:val="auto"/>
          <w:sz w:val="30"/>
          <w:szCs w:val="30"/>
          <w:highlight w:val="none"/>
        </w:rPr>
        <w:t xml:space="preserve">第五部分 </w:t>
      </w:r>
      <w:bookmarkEnd w:id="11"/>
      <w:bookmarkEnd w:id="12"/>
      <w:bookmarkStart w:id="13" w:name="_Toc55909258"/>
      <w:r>
        <w:rPr>
          <w:rFonts w:hint="eastAsia" w:ascii="宋体" w:hAnsi="宋体" w:cs="宋体"/>
          <w:b/>
          <w:bCs/>
          <w:color w:val="auto"/>
          <w:sz w:val="30"/>
          <w:szCs w:val="30"/>
          <w:highlight w:val="none"/>
        </w:rPr>
        <w:t>采购合同样本</w:t>
      </w:r>
    </w:p>
    <w:p>
      <w:pPr>
        <w:pStyle w:val="12"/>
        <w:snapToGrid w:val="0"/>
        <w:spacing w:before="156" w:after="156"/>
        <w:jc w:val="center"/>
        <w:rPr>
          <w:rFonts w:hint="eastAsia" w:hAnsi="宋体"/>
          <w:b/>
          <w:color w:val="auto"/>
          <w:sz w:val="21"/>
          <w:szCs w:val="21"/>
          <w:highlight w:val="none"/>
        </w:rPr>
      </w:pPr>
      <w:bookmarkStart w:id="14" w:name="_Toc9423"/>
      <w:r>
        <w:rPr>
          <w:rFonts w:hint="eastAsia" w:hAnsi="宋体"/>
          <w:b/>
          <w:color w:val="auto"/>
          <w:sz w:val="21"/>
          <w:szCs w:val="21"/>
          <w:highlight w:val="none"/>
        </w:rPr>
        <w:t>（本合同为合同样稿，仅供</w:t>
      </w:r>
      <w:r>
        <w:rPr>
          <w:rFonts w:hint="eastAsia" w:hAnsi="宋体"/>
          <w:b/>
          <w:bCs/>
          <w:color w:val="auto"/>
          <w:w w:val="80"/>
          <w:sz w:val="21"/>
          <w:szCs w:val="21"/>
          <w:highlight w:val="none"/>
        </w:rPr>
        <w:t>参考，</w:t>
      </w:r>
      <w:r>
        <w:rPr>
          <w:rFonts w:hint="eastAsia" w:hAnsi="宋体"/>
          <w:b/>
          <w:color w:val="auto"/>
          <w:sz w:val="21"/>
          <w:szCs w:val="21"/>
          <w:highlight w:val="none"/>
        </w:rPr>
        <w:t>最终稿由甲乙双方协商后确定）</w:t>
      </w:r>
    </w:p>
    <w:p>
      <w:pPr>
        <w:spacing w:line="360" w:lineRule="auto"/>
        <w:jc w:val="center"/>
        <w:rPr>
          <w:rFonts w:hint="eastAsia" w:ascii="宋体" w:hAnsi="宋体" w:cs="宋体"/>
          <w:b/>
          <w:color w:val="auto"/>
          <w:highlight w:val="none"/>
        </w:rPr>
      </w:pPr>
      <w:r>
        <w:rPr>
          <w:rFonts w:hint="eastAsia" w:ascii="宋体" w:hAnsi="宋体" w:cs="宋体"/>
          <w:b/>
          <w:color w:val="auto"/>
          <w:highlight w:val="none"/>
        </w:rPr>
        <w:t>谢嘉丽苑公共租赁住房小区</w:t>
      </w:r>
    </w:p>
    <w:p>
      <w:pPr>
        <w:spacing w:line="360" w:lineRule="auto"/>
        <w:jc w:val="center"/>
        <w:rPr>
          <w:rFonts w:hint="eastAsia" w:ascii="宋体" w:hAnsi="宋体" w:cs="宋体"/>
          <w:b/>
          <w:color w:val="auto"/>
          <w:highlight w:val="none"/>
        </w:rPr>
      </w:pPr>
      <w:r>
        <w:rPr>
          <w:rFonts w:hint="eastAsia" w:ascii="宋体" w:hAnsi="宋体" w:cs="宋体"/>
          <w:b/>
          <w:color w:val="auto"/>
          <w:highlight w:val="none"/>
        </w:rPr>
        <w:t>物业服务合同</w:t>
      </w:r>
    </w:p>
    <w:p>
      <w:pPr>
        <w:spacing w:line="360" w:lineRule="auto"/>
        <w:jc w:val="center"/>
        <w:rPr>
          <w:rFonts w:hint="eastAsia" w:ascii="宋体" w:hAnsi="宋体" w:cs="宋体"/>
          <w:color w:val="auto"/>
          <w:spacing w:val="20"/>
          <w:highlight w:val="none"/>
        </w:rPr>
      </w:pPr>
      <w:r>
        <w:rPr>
          <w:rFonts w:hint="eastAsia" w:ascii="宋体" w:hAnsi="宋体" w:cs="宋体"/>
          <w:color w:val="auto"/>
          <w:spacing w:val="20"/>
          <w:highlight w:val="none"/>
        </w:rPr>
        <w:t xml:space="preserve"> </w:t>
      </w:r>
    </w:p>
    <w:p>
      <w:pPr>
        <w:spacing w:line="360" w:lineRule="auto"/>
        <w:ind w:firstLine="420" w:firstLineChars="200"/>
        <w:rPr>
          <w:rFonts w:hint="eastAsia" w:ascii="宋体" w:hAnsi="宋体" w:cs="宋体"/>
          <w:color w:val="auto"/>
          <w:highlight w:val="none"/>
        </w:rPr>
      </w:pPr>
      <w:r>
        <w:rPr>
          <w:rFonts w:hint="eastAsia" w:ascii="宋体" w:hAnsi="宋体" w:cs="宋体"/>
          <w:color w:val="auto"/>
          <w:highlight w:val="none"/>
        </w:rPr>
        <w:t xml:space="preserve">甲方： </w:t>
      </w:r>
    </w:p>
    <w:p>
      <w:pPr>
        <w:tabs>
          <w:tab w:val="left" w:pos="4430"/>
        </w:tabs>
        <w:spacing w:line="360" w:lineRule="auto"/>
        <w:ind w:firstLine="420" w:firstLineChars="200"/>
        <w:rPr>
          <w:rFonts w:hint="eastAsia" w:ascii="宋体" w:hAnsi="宋体" w:cs="宋体"/>
          <w:color w:val="auto"/>
          <w:highlight w:val="none"/>
        </w:rPr>
      </w:pPr>
      <w:r>
        <w:rPr>
          <w:rFonts w:hint="eastAsia" w:ascii="宋体" w:hAnsi="宋体" w:cs="宋体"/>
          <w:color w:val="auto"/>
          <w:highlight w:val="none"/>
        </w:rPr>
        <w:t>法定代表人：</w:t>
      </w:r>
      <w:r>
        <w:rPr>
          <w:rFonts w:hint="eastAsia" w:ascii="宋体" w:hAnsi="宋体" w:cs="宋体"/>
          <w:color w:val="auto"/>
          <w:highlight w:val="none"/>
        </w:rPr>
        <w:tab/>
      </w:r>
    </w:p>
    <w:p>
      <w:pPr>
        <w:spacing w:line="360" w:lineRule="auto"/>
        <w:ind w:firstLine="420" w:firstLineChars="200"/>
        <w:rPr>
          <w:rFonts w:hint="eastAsia" w:ascii="宋体" w:hAnsi="宋体" w:cs="宋体"/>
          <w:color w:val="auto"/>
          <w:highlight w:val="none"/>
        </w:rPr>
      </w:pPr>
      <w:r>
        <w:rPr>
          <w:rFonts w:hint="eastAsia" w:ascii="宋体" w:hAnsi="宋体" w:cs="宋体"/>
          <w:color w:val="auto"/>
          <w:highlight w:val="none"/>
        </w:rPr>
        <w:t xml:space="preserve">地址： </w:t>
      </w:r>
    </w:p>
    <w:p>
      <w:pPr>
        <w:spacing w:line="360" w:lineRule="auto"/>
        <w:ind w:firstLine="420" w:firstLineChars="200"/>
        <w:rPr>
          <w:rFonts w:hint="eastAsia" w:ascii="宋体" w:hAnsi="宋体" w:cs="宋体"/>
          <w:color w:val="auto"/>
          <w:highlight w:val="none"/>
        </w:rPr>
      </w:pPr>
      <w:r>
        <w:rPr>
          <w:rFonts w:hint="eastAsia" w:ascii="宋体" w:hAnsi="宋体" w:cs="宋体"/>
          <w:color w:val="auto"/>
          <w:highlight w:val="none"/>
        </w:rPr>
        <w:t>邮编：</w:t>
      </w:r>
    </w:p>
    <w:p>
      <w:pPr>
        <w:spacing w:line="360" w:lineRule="auto"/>
        <w:ind w:firstLine="420" w:firstLineChars="200"/>
        <w:rPr>
          <w:rFonts w:hint="eastAsia" w:ascii="宋体" w:hAnsi="宋体" w:cs="宋体"/>
          <w:color w:val="auto"/>
          <w:highlight w:val="none"/>
        </w:rPr>
      </w:pPr>
      <w:r>
        <w:rPr>
          <w:rFonts w:hint="eastAsia" w:ascii="宋体" w:hAnsi="宋体" w:cs="宋体"/>
          <w:color w:val="auto"/>
          <w:highlight w:val="none"/>
        </w:rPr>
        <w:t xml:space="preserve">联系人电话： </w:t>
      </w:r>
    </w:p>
    <w:p>
      <w:pPr>
        <w:spacing w:line="360" w:lineRule="auto"/>
        <w:rPr>
          <w:rFonts w:hint="eastAsia" w:ascii="宋体" w:hAnsi="宋体" w:cs="宋体"/>
          <w:color w:val="auto"/>
          <w:highlight w:val="none"/>
        </w:rPr>
      </w:pPr>
      <w:r>
        <w:rPr>
          <w:rFonts w:hint="eastAsia" w:ascii="宋体" w:hAnsi="宋体" w:cs="宋体"/>
          <w:color w:val="auto"/>
          <w:highlight w:val="none"/>
        </w:rPr>
        <w:t> </w:t>
      </w:r>
    </w:p>
    <w:p>
      <w:pPr>
        <w:spacing w:line="360" w:lineRule="auto"/>
        <w:ind w:firstLine="420" w:firstLineChars="200"/>
        <w:rPr>
          <w:rFonts w:hint="eastAsia" w:ascii="宋体" w:hAnsi="宋体" w:cs="宋体"/>
          <w:color w:val="auto"/>
          <w:highlight w:val="none"/>
        </w:rPr>
      </w:pPr>
      <w:r>
        <w:rPr>
          <w:rFonts w:hint="eastAsia" w:ascii="宋体" w:hAnsi="宋体" w:cs="宋体"/>
          <w:color w:val="auto"/>
          <w:highlight w:val="none"/>
        </w:rPr>
        <w:t>乙方：                   （物业服务企业）</w:t>
      </w:r>
    </w:p>
    <w:p>
      <w:pPr>
        <w:spacing w:line="360" w:lineRule="auto"/>
        <w:ind w:firstLine="420" w:firstLineChars="200"/>
        <w:rPr>
          <w:rFonts w:hint="eastAsia" w:ascii="宋体" w:hAnsi="宋体" w:cs="宋体"/>
          <w:color w:val="auto"/>
          <w:highlight w:val="none"/>
        </w:rPr>
      </w:pPr>
      <w:r>
        <w:rPr>
          <w:rFonts w:hint="eastAsia" w:ascii="宋体" w:hAnsi="宋体" w:cs="宋体"/>
          <w:color w:val="auto"/>
          <w:highlight w:val="none"/>
        </w:rPr>
        <w:t xml:space="preserve">法定代表人： </w:t>
      </w:r>
    </w:p>
    <w:p>
      <w:pPr>
        <w:spacing w:line="360" w:lineRule="auto"/>
        <w:ind w:firstLine="420" w:firstLineChars="200"/>
        <w:rPr>
          <w:rFonts w:hint="eastAsia" w:ascii="宋体" w:hAnsi="宋体" w:cs="宋体"/>
          <w:color w:val="auto"/>
          <w:highlight w:val="none"/>
        </w:rPr>
      </w:pPr>
      <w:r>
        <w:rPr>
          <w:rFonts w:hint="eastAsia" w:ascii="宋体" w:hAnsi="宋体" w:cs="宋体"/>
          <w:color w:val="auto"/>
          <w:highlight w:val="none"/>
        </w:rPr>
        <w:t>地址：</w:t>
      </w:r>
    </w:p>
    <w:p>
      <w:pPr>
        <w:spacing w:line="360" w:lineRule="auto"/>
        <w:ind w:firstLine="420" w:firstLineChars="200"/>
        <w:rPr>
          <w:rFonts w:hint="eastAsia" w:ascii="宋体" w:hAnsi="宋体" w:cs="宋体"/>
          <w:color w:val="auto"/>
          <w:highlight w:val="none"/>
        </w:rPr>
      </w:pPr>
      <w:r>
        <w:rPr>
          <w:rFonts w:hint="eastAsia" w:ascii="宋体" w:hAnsi="宋体" w:cs="宋体"/>
          <w:color w:val="auto"/>
          <w:highlight w:val="none"/>
        </w:rPr>
        <w:t>邮编：               联系人：           电话：</w:t>
      </w:r>
    </w:p>
    <w:p>
      <w:pPr>
        <w:spacing w:line="360" w:lineRule="auto"/>
        <w:ind w:firstLine="420" w:firstLineChars="200"/>
        <w:rPr>
          <w:rFonts w:hint="eastAsia" w:ascii="宋体" w:hAnsi="宋体" w:cs="宋体"/>
          <w:color w:val="auto"/>
          <w:highlight w:val="none"/>
        </w:rPr>
      </w:pPr>
      <w:r>
        <w:rPr>
          <w:rFonts w:hint="eastAsia" w:ascii="宋体" w:hAnsi="宋体" w:cs="宋体"/>
          <w:color w:val="auto"/>
          <w:highlight w:val="none"/>
        </w:rPr>
        <w:t xml:space="preserve">为了做好谢嘉丽苑公共租赁住房小区（以下简称“谢嘉丽苑小区”）物业服务工作，根据国务院《物业管理条例》、《浙江省物业管理条例》和《宁波市住宅小区物业管理条例》以及国家相关法律、法规等相关规定，甲乙双方在自愿、平等、协商一致的基础上，就甲方选聘 </w:t>
      </w:r>
      <w:r>
        <w:rPr>
          <w:rFonts w:hint="eastAsia" w:ascii="宋体" w:hAnsi="宋体" w:cs="宋体"/>
          <w:color w:val="auto"/>
          <w:highlight w:val="none"/>
          <w:u w:val="single"/>
        </w:rPr>
        <w:t xml:space="preserve">                 </w:t>
      </w:r>
      <w:r>
        <w:rPr>
          <w:rFonts w:hint="eastAsia" w:ascii="宋体" w:hAnsi="宋体" w:cs="宋体"/>
          <w:color w:val="auto"/>
          <w:highlight w:val="none"/>
        </w:rPr>
        <w:t>（乙方）对谢嘉丽苑公共租赁房小区实施物业管理服务事宜，订立本合同。</w:t>
      </w:r>
    </w:p>
    <w:p>
      <w:pPr>
        <w:spacing w:line="360" w:lineRule="auto"/>
        <w:ind w:firstLine="417" w:firstLineChars="198"/>
        <w:rPr>
          <w:rFonts w:hint="eastAsia" w:ascii="宋体" w:hAnsi="宋体" w:cs="宋体"/>
          <w:b/>
          <w:color w:val="auto"/>
          <w:highlight w:val="none"/>
        </w:rPr>
      </w:pPr>
      <w:r>
        <w:rPr>
          <w:rFonts w:hint="eastAsia" w:ascii="宋体" w:hAnsi="宋体" w:cs="宋体"/>
          <w:b/>
          <w:color w:val="auto"/>
          <w:highlight w:val="none"/>
        </w:rPr>
        <w:t>一、物业基本情况</w:t>
      </w:r>
    </w:p>
    <w:p>
      <w:pPr>
        <w:spacing w:line="360" w:lineRule="auto"/>
        <w:ind w:firstLine="420" w:firstLineChars="200"/>
        <w:rPr>
          <w:rFonts w:hint="eastAsia" w:ascii="宋体" w:hAnsi="宋体" w:cs="宋体"/>
          <w:bCs/>
          <w:color w:val="auto"/>
          <w:highlight w:val="none"/>
        </w:rPr>
      </w:pPr>
      <w:r>
        <w:rPr>
          <w:rFonts w:hint="eastAsia" w:ascii="宋体" w:hAnsi="宋体" w:cs="宋体"/>
          <w:bCs/>
          <w:color w:val="auto"/>
          <w:highlight w:val="none"/>
        </w:rPr>
        <w:t>谢嘉丽苑小区</w:t>
      </w:r>
      <w:r>
        <w:rPr>
          <w:rFonts w:hint="eastAsia" w:ascii="宋体" w:hAnsi="宋体" w:cs="宋体"/>
          <w:color w:val="auto"/>
          <w:highlight w:val="none"/>
        </w:rPr>
        <w:t>位于庄桥街道谢家村，东至规划路，南至云飞路，西至北海路，北至规划路</w:t>
      </w:r>
      <w:r>
        <w:rPr>
          <w:rFonts w:hint="eastAsia" w:ascii="宋体" w:hAnsi="宋体" w:cs="宋体"/>
          <w:bCs/>
          <w:color w:val="auto"/>
          <w:highlight w:val="none"/>
        </w:rPr>
        <w:t>，已经于2014年7月竣工交付（实际交付时间以甲方书面通知为准）。小区为公共租赁住房小区，承租住户为江北区符合公共租赁住房保障条件的家庭或个人，其租赁资格由江北区住房保障中心核准，实施动态管理。小区共有6幢建筑单体，其中高层2幢、小高层1幢、多层3幢。总建筑面积60690 m</w:t>
      </w:r>
      <w:r>
        <w:rPr>
          <w:rFonts w:hint="eastAsia" w:ascii="宋体" w:hAnsi="宋体" w:cs="宋体"/>
          <w:bCs/>
          <w:color w:val="auto"/>
          <w:highlight w:val="none"/>
          <w:vertAlign w:val="superscript"/>
        </w:rPr>
        <w:t>2</w:t>
      </w:r>
      <w:r>
        <w:rPr>
          <w:rFonts w:hint="eastAsia" w:ascii="宋体" w:hAnsi="宋体" w:cs="宋体"/>
          <w:bCs/>
          <w:color w:val="auto"/>
          <w:highlight w:val="none"/>
        </w:rPr>
        <w:t>，其中居住面积39651 m</w:t>
      </w:r>
      <w:r>
        <w:rPr>
          <w:rFonts w:hint="eastAsia" w:ascii="宋体" w:hAnsi="宋体" w:cs="宋体"/>
          <w:bCs/>
          <w:color w:val="auto"/>
          <w:highlight w:val="none"/>
          <w:vertAlign w:val="superscript"/>
        </w:rPr>
        <w:t>2</w:t>
      </w:r>
      <w:r>
        <w:rPr>
          <w:rFonts w:hint="eastAsia" w:ascii="宋体" w:hAnsi="宋体" w:cs="宋体"/>
          <w:bCs/>
          <w:color w:val="auto"/>
          <w:highlight w:val="none"/>
        </w:rPr>
        <w:t>，商业面积2912m</w:t>
      </w:r>
      <w:r>
        <w:rPr>
          <w:rFonts w:hint="eastAsia" w:ascii="宋体" w:hAnsi="宋体" w:cs="宋体"/>
          <w:bCs/>
          <w:color w:val="auto"/>
          <w:highlight w:val="none"/>
          <w:vertAlign w:val="superscript"/>
        </w:rPr>
        <w:t>2</w:t>
      </w:r>
      <w:r>
        <w:rPr>
          <w:rFonts w:hint="eastAsia" w:ascii="宋体" w:hAnsi="宋体" w:cs="宋体"/>
          <w:bCs/>
          <w:color w:val="auto"/>
          <w:highlight w:val="none"/>
        </w:rPr>
        <w:t>，办公用房面积3008 m</w:t>
      </w:r>
      <w:r>
        <w:rPr>
          <w:rFonts w:hint="eastAsia" w:ascii="宋体" w:hAnsi="宋体" w:cs="宋体"/>
          <w:bCs/>
          <w:color w:val="auto"/>
          <w:highlight w:val="none"/>
          <w:vertAlign w:val="superscript"/>
        </w:rPr>
        <w:t>2</w:t>
      </w:r>
      <w:r>
        <w:rPr>
          <w:rFonts w:hint="eastAsia" w:ascii="宋体" w:hAnsi="宋体" w:cs="宋体"/>
          <w:bCs/>
          <w:color w:val="auto"/>
          <w:highlight w:val="none"/>
        </w:rPr>
        <w:t>（物业构成明细见附件1）。</w:t>
      </w:r>
    </w:p>
    <w:p>
      <w:pPr>
        <w:spacing w:line="360" w:lineRule="auto"/>
        <w:ind w:firstLine="422" w:firstLineChars="200"/>
        <w:rPr>
          <w:rFonts w:hint="eastAsia" w:ascii="宋体" w:hAnsi="宋体" w:cs="宋体"/>
          <w:b/>
          <w:color w:val="auto"/>
          <w:highlight w:val="none"/>
        </w:rPr>
      </w:pPr>
      <w:r>
        <w:rPr>
          <w:rFonts w:hint="eastAsia" w:ascii="宋体" w:hAnsi="宋体" w:cs="宋体"/>
          <w:b/>
          <w:color w:val="auto"/>
          <w:highlight w:val="none"/>
        </w:rPr>
        <w:t>二、 小区物业管理的内容和目标</w:t>
      </w:r>
    </w:p>
    <w:p>
      <w:pPr>
        <w:spacing w:after="156" w:afterLines="50" w:line="360" w:lineRule="auto"/>
        <w:ind w:firstLine="420" w:firstLineChars="200"/>
        <w:rPr>
          <w:rFonts w:hint="eastAsia" w:ascii="宋体" w:hAnsi="宋体" w:cs="宋体"/>
          <w:color w:val="auto"/>
          <w:highlight w:val="none"/>
        </w:rPr>
      </w:pPr>
      <w:r>
        <w:rPr>
          <w:rFonts w:hint="eastAsia" w:ascii="宋体" w:hAnsi="宋体" w:cs="宋体"/>
          <w:bCs/>
          <w:color w:val="auto"/>
          <w:highlight w:val="none"/>
        </w:rPr>
        <w:t>乙方提供的物业服务管理内容（具体内容及要求见招标文件）应</w:t>
      </w:r>
      <w:r>
        <w:rPr>
          <w:rFonts w:hint="eastAsia" w:ascii="宋体" w:hAnsi="宋体" w:cs="宋体"/>
          <w:color w:val="auto"/>
          <w:highlight w:val="none"/>
        </w:rPr>
        <w:t>达到投标文件承诺的质量标准和要求，并通过甲方组织的年度考核目标。</w:t>
      </w:r>
    </w:p>
    <w:p>
      <w:pPr>
        <w:spacing w:line="360" w:lineRule="auto"/>
        <w:ind w:firstLine="422" w:firstLineChars="200"/>
        <w:rPr>
          <w:rFonts w:hint="eastAsia" w:ascii="宋体" w:hAnsi="宋体" w:cs="宋体"/>
          <w:b/>
          <w:color w:val="auto"/>
          <w:highlight w:val="none"/>
        </w:rPr>
      </w:pPr>
      <w:r>
        <w:rPr>
          <w:rFonts w:hint="eastAsia" w:ascii="宋体" w:hAnsi="宋体" w:cs="宋体"/>
          <w:b/>
          <w:bCs/>
          <w:color w:val="auto"/>
          <w:highlight w:val="none"/>
        </w:rPr>
        <w:t>1、</w:t>
      </w:r>
      <w:r>
        <w:rPr>
          <w:rFonts w:hint="eastAsia" w:ascii="宋体" w:hAnsi="宋体" w:cs="宋体"/>
          <w:b/>
          <w:color w:val="auto"/>
          <w:highlight w:val="none"/>
        </w:rPr>
        <w:t>在物业管理区域内，乙方提供的物业管理服务包括：</w:t>
      </w:r>
    </w:p>
    <w:p>
      <w:pPr>
        <w:spacing w:line="360" w:lineRule="auto"/>
        <w:ind w:firstLine="420" w:firstLineChars="200"/>
        <w:rPr>
          <w:rFonts w:hint="eastAsia" w:ascii="宋体" w:hAnsi="宋体" w:cs="宋体"/>
          <w:color w:val="auto"/>
          <w:highlight w:val="none"/>
        </w:rPr>
      </w:pPr>
      <w:r>
        <w:rPr>
          <w:rFonts w:hint="eastAsia" w:ascii="宋体" w:hAnsi="宋体" w:cs="宋体"/>
          <w:color w:val="auto"/>
          <w:highlight w:val="none"/>
        </w:rPr>
        <w:t>1.1综合管理服务</w:t>
      </w:r>
    </w:p>
    <w:p>
      <w:pPr>
        <w:spacing w:line="360" w:lineRule="auto"/>
        <w:ind w:firstLine="420" w:firstLineChars="200"/>
        <w:rPr>
          <w:rFonts w:hint="eastAsia" w:ascii="宋体" w:hAnsi="宋体" w:cs="宋体"/>
          <w:color w:val="auto"/>
          <w:highlight w:val="none"/>
        </w:rPr>
      </w:pPr>
      <w:r>
        <w:rPr>
          <w:rFonts w:hint="eastAsia" w:ascii="宋体" w:hAnsi="宋体" w:cs="宋体"/>
          <w:color w:val="auto"/>
          <w:highlight w:val="none"/>
        </w:rPr>
        <w:t>1.2公共区域秩序维护服务</w:t>
      </w:r>
    </w:p>
    <w:p>
      <w:pPr>
        <w:spacing w:line="360" w:lineRule="auto"/>
        <w:ind w:firstLine="420" w:firstLineChars="200"/>
        <w:rPr>
          <w:rFonts w:hint="eastAsia" w:ascii="宋体" w:hAnsi="宋体" w:cs="宋体"/>
          <w:color w:val="auto"/>
          <w:highlight w:val="none"/>
        </w:rPr>
      </w:pPr>
      <w:r>
        <w:rPr>
          <w:rFonts w:hint="eastAsia" w:ascii="宋体" w:hAnsi="宋体" w:cs="宋体"/>
          <w:color w:val="auto"/>
          <w:highlight w:val="none"/>
        </w:rPr>
        <w:t>1.3公共区域保洁服务</w:t>
      </w:r>
    </w:p>
    <w:p>
      <w:pPr>
        <w:spacing w:line="360" w:lineRule="auto"/>
        <w:ind w:firstLine="420" w:firstLineChars="200"/>
        <w:rPr>
          <w:rFonts w:hint="eastAsia" w:ascii="宋体" w:hAnsi="宋体" w:cs="宋体"/>
          <w:color w:val="auto"/>
          <w:highlight w:val="none"/>
        </w:rPr>
      </w:pPr>
      <w:r>
        <w:rPr>
          <w:rFonts w:hint="eastAsia" w:ascii="宋体" w:hAnsi="宋体" w:cs="宋体"/>
          <w:color w:val="auto"/>
          <w:highlight w:val="none"/>
        </w:rPr>
        <w:t>1.4建筑物共用部位及共用设施设备管理维护服务（物业共用部位、物业共用设施设备明细以甲乙双方查验确认移交书为准）</w:t>
      </w:r>
    </w:p>
    <w:p>
      <w:pPr>
        <w:spacing w:line="360" w:lineRule="auto"/>
        <w:ind w:firstLine="420" w:firstLineChars="200"/>
        <w:rPr>
          <w:rFonts w:hint="eastAsia" w:ascii="宋体" w:hAnsi="宋体" w:cs="宋体"/>
          <w:color w:val="auto"/>
          <w:highlight w:val="none"/>
        </w:rPr>
      </w:pPr>
      <w:r>
        <w:rPr>
          <w:rFonts w:hint="eastAsia" w:ascii="宋体" w:hAnsi="宋体" w:cs="宋体"/>
          <w:color w:val="auto"/>
          <w:highlight w:val="none"/>
        </w:rPr>
        <w:t>1.5停车管理</w:t>
      </w:r>
    </w:p>
    <w:p>
      <w:pPr>
        <w:spacing w:line="360" w:lineRule="auto"/>
        <w:ind w:firstLine="420" w:firstLineChars="200"/>
        <w:rPr>
          <w:rFonts w:hint="eastAsia" w:ascii="宋体" w:hAnsi="宋体" w:cs="宋体"/>
          <w:color w:val="auto"/>
          <w:highlight w:val="none"/>
        </w:rPr>
      </w:pPr>
      <w:r>
        <w:rPr>
          <w:rFonts w:hint="eastAsia" w:ascii="宋体" w:hAnsi="宋体" w:cs="宋体"/>
          <w:color w:val="auto"/>
          <w:highlight w:val="none"/>
        </w:rPr>
        <w:t>1.6公共区域绿化及景观日常养护</w:t>
      </w:r>
    </w:p>
    <w:p>
      <w:pPr>
        <w:spacing w:line="360" w:lineRule="auto"/>
        <w:ind w:firstLine="420" w:firstLineChars="200"/>
        <w:rPr>
          <w:rFonts w:hint="eastAsia" w:ascii="宋体" w:hAnsi="宋体" w:cs="宋体"/>
          <w:color w:val="auto"/>
          <w:highlight w:val="none"/>
        </w:rPr>
      </w:pPr>
      <w:r>
        <w:rPr>
          <w:rFonts w:hint="eastAsia" w:ascii="宋体" w:hAnsi="宋体" w:cs="宋体"/>
          <w:color w:val="auto"/>
          <w:highlight w:val="none"/>
        </w:rPr>
        <w:t>1.7社区文化建设和特色服务</w:t>
      </w:r>
    </w:p>
    <w:p>
      <w:pPr>
        <w:spacing w:before="156" w:beforeLines="50" w:line="360" w:lineRule="auto"/>
        <w:ind w:firstLine="422" w:firstLineChars="200"/>
        <w:rPr>
          <w:rFonts w:hint="eastAsia" w:ascii="宋体" w:hAnsi="宋体" w:cs="宋体"/>
          <w:b/>
          <w:color w:val="auto"/>
          <w:highlight w:val="none"/>
        </w:rPr>
      </w:pPr>
      <w:r>
        <w:rPr>
          <w:rFonts w:hint="eastAsia" w:ascii="宋体" w:hAnsi="宋体" w:cs="宋体"/>
          <w:b/>
          <w:color w:val="auto"/>
          <w:highlight w:val="none"/>
        </w:rPr>
        <w:t>三、管理服务收费标准及结算支付方式</w:t>
      </w:r>
    </w:p>
    <w:p>
      <w:pPr>
        <w:spacing w:line="360" w:lineRule="auto"/>
        <w:ind w:firstLine="420" w:firstLineChars="200"/>
        <w:rPr>
          <w:rFonts w:hint="eastAsia" w:ascii="宋体" w:hAnsi="宋体" w:cs="宋体"/>
          <w:color w:val="auto"/>
          <w:highlight w:val="none"/>
        </w:rPr>
      </w:pPr>
      <w:r>
        <w:rPr>
          <w:rFonts w:hint="eastAsia" w:ascii="宋体" w:hAnsi="宋体" w:cs="宋体"/>
          <w:color w:val="auto"/>
          <w:highlight w:val="none"/>
        </w:rPr>
        <w:t>2、管理服务费用标准</w:t>
      </w:r>
    </w:p>
    <w:p>
      <w:pPr>
        <w:spacing w:line="360" w:lineRule="auto"/>
        <w:ind w:firstLine="420" w:firstLineChars="200"/>
        <w:rPr>
          <w:rFonts w:hint="eastAsia" w:ascii="宋体" w:hAnsi="宋体" w:cs="宋体"/>
          <w:color w:val="auto"/>
          <w:highlight w:val="none"/>
        </w:rPr>
      </w:pPr>
      <w:r>
        <w:rPr>
          <w:rFonts w:hint="eastAsia" w:ascii="宋体" w:hAnsi="宋体" w:cs="宋体"/>
          <w:color w:val="auto"/>
          <w:highlight w:val="none"/>
        </w:rPr>
        <w:t>2.1本小区经物价部门审核，确定物业服务收费标准为：层高6层住宅1.1元/</w:t>
      </w:r>
      <w:r>
        <w:rPr>
          <w:rFonts w:hint="eastAsia" w:ascii="宋体" w:hAnsi="宋体" w:cs="宋体"/>
          <w:bCs/>
          <w:color w:val="auto"/>
          <w:highlight w:val="none"/>
        </w:rPr>
        <w:t xml:space="preserve"> m</w:t>
      </w:r>
      <w:r>
        <w:rPr>
          <w:rFonts w:hint="eastAsia" w:ascii="宋体" w:hAnsi="宋体" w:cs="宋体"/>
          <w:bCs/>
          <w:color w:val="auto"/>
          <w:highlight w:val="none"/>
          <w:vertAlign w:val="superscript"/>
        </w:rPr>
        <w:t>2</w:t>
      </w:r>
      <w:r>
        <w:rPr>
          <w:rFonts w:hint="eastAsia" w:ascii="宋体" w:hAnsi="宋体" w:cs="宋体"/>
          <w:color w:val="auto"/>
          <w:highlight w:val="none"/>
        </w:rPr>
        <w:t>·月，层高9至11层住宅1.55元/</w:t>
      </w:r>
      <w:r>
        <w:rPr>
          <w:rFonts w:hint="eastAsia" w:ascii="宋体" w:hAnsi="宋体" w:cs="宋体"/>
          <w:bCs/>
          <w:color w:val="auto"/>
          <w:highlight w:val="none"/>
        </w:rPr>
        <w:t xml:space="preserve"> m</w:t>
      </w:r>
      <w:r>
        <w:rPr>
          <w:rFonts w:hint="eastAsia" w:ascii="宋体" w:hAnsi="宋体" w:cs="宋体"/>
          <w:bCs/>
          <w:color w:val="auto"/>
          <w:highlight w:val="none"/>
          <w:vertAlign w:val="superscript"/>
        </w:rPr>
        <w:t>2</w:t>
      </w:r>
      <w:r>
        <w:rPr>
          <w:rFonts w:hint="eastAsia" w:ascii="宋体" w:hAnsi="宋体" w:cs="宋体"/>
          <w:color w:val="auto"/>
          <w:highlight w:val="none"/>
        </w:rPr>
        <w:t>·月，层高17至18层住宅1.9元/</w:t>
      </w:r>
      <w:r>
        <w:rPr>
          <w:rFonts w:hint="eastAsia" w:ascii="宋体" w:hAnsi="宋体" w:cs="宋体"/>
          <w:bCs/>
          <w:color w:val="auto"/>
          <w:highlight w:val="none"/>
        </w:rPr>
        <w:t xml:space="preserve"> m</w:t>
      </w:r>
      <w:r>
        <w:rPr>
          <w:rFonts w:hint="eastAsia" w:ascii="宋体" w:hAnsi="宋体" w:cs="宋体"/>
          <w:bCs/>
          <w:color w:val="auto"/>
          <w:highlight w:val="none"/>
          <w:vertAlign w:val="superscript"/>
        </w:rPr>
        <w:t>2</w:t>
      </w:r>
      <w:r>
        <w:rPr>
          <w:rFonts w:hint="eastAsia" w:ascii="宋体" w:hAnsi="宋体" w:cs="宋体"/>
          <w:color w:val="auto"/>
          <w:highlight w:val="none"/>
        </w:rPr>
        <w:t>·月，商业用房2.2元/</w:t>
      </w:r>
      <w:r>
        <w:rPr>
          <w:rFonts w:hint="eastAsia" w:ascii="宋体" w:hAnsi="宋体" w:cs="宋体"/>
          <w:bCs/>
          <w:color w:val="auto"/>
          <w:highlight w:val="none"/>
        </w:rPr>
        <w:t xml:space="preserve"> m</w:t>
      </w:r>
      <w:r>
        <w:rPr>
          <w:rFonts w:hint="eastAsia" w:ascii="宋体" w:hAnsi="宋体" w:cs="宋体"/>
          <w:bCs/>
          <w:color w:val="auto"/>
          <w:highlight w:val="none"/>
          <w:vertAlign w:val="superscript"/>
        </w:rPr>
        <w:t>2</w:t>
      </w:r>
      <w:r>
        <w:rPr>
          <w:rFonts w:hint="eastAsia" w:ascii="宋体" w:hAnsi="宋体" w:cs="宋体"/>
          <w:color w:val="auto"/>
          <w:highlight w:val="none"/>
        </w:rPr>
        <w:t>·月，办公用房2.5元/</w:t>
      </w:r>
      <w:r>
        <w:rPr>
          <w:rFonts w:hint="eastAsia" w:ascii="宋体" w:hAnsi="宋体" w:cs="宋体"/>
          <w:bCs/>
          <w:color w:val="auto"/>
          <w:highlight w:val="none"/>
        </w:rPr>
        <w:t xml:space="preserve"> m</w:t>
      </w:r>
      <w:r>
        <w:rPr>
          <w:rFonts w:hint="eastAsia" w:ascii="宋体" w:hAnsi="宋体" w:cs="宋体"/>
          <w:bCs/>
          <w:color w:val="auto"/>
          <w:highlight w:val="none"/>
          <w:vertAlign w:val="superscript"/>
        </w:rPr>
        <w:t>2</w:t>
      </w:r>
      <w:r>
        <w:rPr>
          <w:rFonts w:hint="eastAsia" w:ascii="宋体" w:hAnsi="宋体" w:cs="宋体"/>
          <w:color w:val="auto"/>
          <w:highlight w:val="none"/>
        </w:rPr>
        <w:t>·月。</w:t>
      </w:r>
    </w:p>
    <w:p>
      <w:pPr>
        <w:spacing w:line="360" w:lineRule="auto"/>
        <w:ind w:firstLine="420" w:firstLineChars="200"/>
        <w:rPr>
          <w:rFonts w:hint="eastAsia" w:ascii="宋体" w:hAnsi="宋体" w:cs="宋体"/>
          <w:color w:val="auto"/>
          <w:highlight w:val="none"/>
        </w:rPr>
      </w:pPr>
      <w:r>
        <w:rPr>
          <w:rFonts w:hint="eastAsia" w:ascii="宋体" w:hAnsi="宋体" w:cs="宋体"/>
          <w:color w:val="auto"/>
          <w:highlight w:val="none"/>
        </w:rPr>
        <w:t>2.2 停车管理费标准按照市场调节价由乙方向停车人收取。</w:t>
      </w:r>
    </w:p>
    <w:p>
      <w:pPr>
        <w:spacing w:line="360" w:lineRule="auto"/>
        <w:ind w:firstLine="420" w:firstLineChars="200"/>
        <w:rPr>
          <w:rFonts w:hint="eastAsia" w:ascii="宋体" w:hAnsi="宋体" w:cs="宋体"/>
          <w:color w:val="auto"/>
          <w:highlight w:val="none"/>
        </w:rPr>
      </w:pPr>
      <w:r>
        <w:rPr>
          <w:rFonts w:hint="eastAsia" w:ascii="宋体" w:hAnsi="宋体" w:cs="宋体"/>
          <w:color w:val="auto"/>
          <w:highlight w:val="none"/>
        </w:rPr>
        <w:t>3、费用结算与支付方式</w:t>
      </w:r>
    </w:p>
    <w:p>
      <w:pPr>
        <w:spacing w:line="360" w:lineRule="auto"/>
        <w:ind w:firstLine="420" w:firstLineChars="200"/>
        <w:rPr>
          <w:rFonts w:hint="eastAsia" w:ascii="宋体" w:hAnsi="宋体" w:cs="宋体"/>
          <w:color w:val="auto"/>
          <w:highlight w:val="none"/>
        </w:rPr>
      </w:pPr>
      <w:r>
        <w:rPr>
          <w:rFonts w:hint="eastAsia" w:ascii="宋体" w:hAnsi="宋体" w:cs="宋体"/>
          <w:color w:val="auto"/>
          <w:highlight w:val="none"/>
        </w:rPr>
        <w:t>3.1物业管理服务费</w:t>
      </w:r>
    </w:p>
    <w:p>
      <w:pPr>
        <w:spacing w:line="360" w:lineRule="auto"/>
        <w:ind w:firstLine="420" w:firstLineChars="200"/>
        <w:rPr>
          <w:rFonts w:hint="eastAsia" w:ascii="宋体" w:hAnsi="宋体" w:cs="宋体"/>
          <w:color w:val="auto"/>
          <w:highlight w:val="none"/>
        </w:rPr>
      </w:pPr>
      <w:r>
        <w:rPr>
          <w:rFonts w:hint="eastAsia" w:ascii="宋体" w:hAnsi="宋体" w:cs="宋体"/>
          <w:color w:val="auto"/>
          <w:highlight w:val="none"/>
        </w:rPr>
        <w:t>3.1.1住宅部分</w:t>
      </w:r>
    </w:p>
    <w:p>
      <w:pPr>
        <w:widowControl/>
        <w:spacing w:line="360" w:lineRule="auto"/>
        <w:ind w:firstLine="420" w:firstLineChars="200"/>
        <w:jc w:val="left"/>
        <w:rPr>
          <w:rFonts w:hint="eastAsia" w:ascii="宋体" w:hAnsi="宋体" w:cs="宋体"/>
          <w:color w:val="auto"/>
          <w:highlight w:val="none"/>
        </w:rPr>
      </w:pPr>
      <w:r>
        <w:rPr>
          <w:rFonts w:hint="eastAsia" w:ascii="宋体" w:hAnsi="宋体" w:cs="宋体"/>
          <w:color w:val="auto"/>
          <w:highlight w:val="none"/>
        </w:rPr>
        <w:t>本小区住宅（含空关房）部分物业服务管理费统一由江北区住房保障中心支付给中标人，并采用年度物业服务费包干与业绩考核相结合的原则。江北区住房保障中心每半年向中标单位支付应支付额的40%，剩余20%在当年年度业绩考核后，按合同及考核细则相关规定予以支付。</w:t>
      </w:r>
    </w:p>
    <w:p>
      <w:pPr>
        <w:spacing w:line="360" w:lineRule="auto"/>
        <w:ind w:firstLine="420" w:firstLineChars="200"/>
        <w:rPr>
          <w:rFonts w:hint="eastAsia" w:ascii="宋体" w:hAnsi="宋体" w:cs="宋体"/>
          <w:color w:val="auto"/>
          <w:highlight w:val="none"/>
        </w:rPr>
      </w:pPr>
      <w:r>
        <w:rPr>
          <w:rFonts w:hint="eastAsia" w:ascii="宋体" w:hAnsi="宋体" w:cs="宋体"/>
          <w:color w:val="auto"/>
          <w:highlight w:val="none"/>
        </w:rPr>
        <w:t>3.1.2配套设施部分</w:t>
      </w:r>
    </w:p>
    <w:p>
      <w:pPr>
        <w:spacing w:line="360" w:lineRule="auto"/>
        <w:ind w:firstLine="420" w:firstLineChars="200"/>
        <w:rPr>
          <w:rFonts w:hint="eastAsia" w:ascii="宋体" w:hAnsi="宋体" w:cs="宋体"/>
          <w:color w:val="auto"/>
          <w:highlight w:val="none"/>
        </w:rPr>
      </w:pPr>
      <w:r>
        <w:rPr>
          <w:rFonts w:hint="eastAsia" w:ascii="宋体" w:hAnsi="宋体" w:cs="宋体"/>
          <w:color w:val="auto"/>
          <w:highlight w:val="none"/>
        </w:rPr>
        <w:t>3.1.2.1本小区未出售或未出租的商业和办公用房物业服务管理费统一由甲方支付给乙方，费用按住宅部分支付方式予以支付。</w:t>
      </w:r>
    </w:p>
    <w:p>
      <w:pPr>
        <w:spacing w:line="360" w:lineRule="auto"/>
        <w:ind w:firstLine="420" w:firstLineChars="200"/>
        <w:rPr>
          <w:rFonts w:hint="eastAsia" w:ascii="宋体" w:hAnsi="宋体" w:cs="宋体"/>
          <w:color w:val="auto"/>
          <w:highlight w:val="none"/>
        </w:rPr>
      </w:pPr>
      <w:r>
        <w:rPr>
          <w:rFonts w:hint="eastAsia" w:ascii="宋体" w:hAnsi="宋体" w:cs="宋体"/>
          <w:color w:val="auto"/>
          <w:highlight w:val="none"/>
        </w:rPr>
        <w:t>3.1.2.2本小区出售或出租的商业和办公用房物业服务管理费由乙方按相关收费标准向住户或承租户收取。</w:t>
      </w:r>
    </w:p>
    <w:p>
      <w:pPr>
        <w:spacing w:line="360" w:lineRule="auto"/>
        <w:ind w:firstLine="420" w:firstLineChars="200"/>
        <w:rPr>
          <w:rFonts w:hint="eastAsia" w:ascii="宋体" w:hAnsi="宋体" w:cs="宋体"/>
          <w:color w:val="auto"/>
          <w:highlight w:val="none"/>
        </w:rPr>
      </w:pPr>
      <w:r>
        <w:rPr>
          <w:rFonts w:hint="eastAsia" w:ascii="宋体" w:hAnsi="宋体" w:cs="宋体"/>
          <w:color w:val="auto"/>
          <w:highlight w:val="none"/>
        </w:rPr>
        <w:t>3.1.2.3小区租赁服务中心、社区用房、活动中心、半地下非机动车停车位及地下停车位招标单位均不另行支付物业管理服务费。</w:t>
      </w:r>
    </w:p>
    <w:p>
      <w:pPr>
        <w:spacing w:line="360" w:lineRule="auto"/>
        <w:ind w:firstLine="420" w:firstLineChars="200"/>
        <w:rPr>
          <w:rFonts w:hint="eastAsia" w:ascii="宋体" w:hAnsi="宋体" w:cs="宋体"/>
          <w:color w:val="auto"/>
          <w:highlight w:val="none"/>
        </w:rPr>
      </w:pPr>
      <w:r>
        <w:rPr>
          <w:rFonts w:hint="eastAsia" w:ascii="宋体" w:hAnsi="宋体" w:cs="宋体"/>
          <w:color w:val="auto"/>
          <w:highlight w:val="none"/>
        </w:rPr>
        <w:t>3.1.2.4物业经营用房收入和小区停车位收费等各项经营收入属甲方所有，乙方应单独列帐。其中物业经营用房及各项经营性收益委托乙方用于小区共用部位、共用设施设备维修及小区物业服务品质提升开支；小区停车费委托乙方全部用于地下室各项维护开支，乙方不得挪作他用。</w:t>
      </w:r>
    </w:p>
    <w:p>
      <w:pPr>
        <w:spacing w:line="360" w:lineRule="auto"/>
        <w:ind w:firstLine="420" w:firstLineChars="200"/>
        <w:rPr>
          <w:rFonts w:hint="eastAsia" w:ascii="宋体" w:hAnsi="宋体" w:cs="宋体"/>
          <w:color w:val="auto"/>
          <w:highlight w:val="none"/>
        </w:rPr>
      </w:pPr>
      <w:r>
        <w:rPr>
          <w:rFonts w:hint="eastAsia" w:ascii="宋体" w:hAnsi="宋体" w:cs="宋体"/>
          <w:color w:val="auto"/>
          <w:highlight w:val="none"/>
        </w:rPr>
        <w:t>3.1.3住宅部分电梯能耗、公共照明、半地下室非机动车停车位照明、增压水泵等公共能耗费在乙方管理服务成本中列支；商业、办公电梯能耗、公共照明等公共能耗由乙方按规定向住户或承租户收取。</w:t>
      </w:r>
    </w:p>
    <w:p>
      <w:pPr>
        <w:spacing w:before="156" w:beforeLines="50" w:line="360" w:lineRule="auto"/>
        <w:ind w:firstLine="417" w:firstLineChars="198"/>
        <w:rPr>
          <w:rFonts w:hint="eastAsia" w:ascii="宋体" w:hAnsi="宋体" w:cs="宋体"/>
          <w:b/>
          <w:bCs/>
          <w:color w:val="auto"/>
          <w:highlight w:val="none"/>
        </w:rPr>
      </w:pPr>
      <w:r>
        <w:rPr>
          <w:rFonts w:hint="eastAsia" w:ascii="宋体" w:hAnsi="宋体" w:cs="宋体"/>
          <w:b/>
          <w:bCs/>
          <w:color w:val="auto"/>
          <w:highlight w:val="none"/>
        </w:rPr>
        <w:t>四、物业资金和配套用房</w:t>
      </w:r>
    </w:p>
    <w:p>
      <w:pPr>
        <w:spacing w:line="360" w:lineRule="auto"/>
        <w:ind w:firstLine="420" w:firstLineChars="200"/>
        <w:rPr>
          <w:rFonts w:hint="eastAsia" w:ascii="宋体" w:hAnsi="宋体" w:cs="宋体"/>
          <w:color w:val="auto"/>
          <w:kern w:val="0"/>
          <w:highlight w:val="none"/>
        </w:rPr>
      </w:pPr>
      <w:r>
        <w:rPr>
          <w:rFonts w:hint="eastAsia" w:ascii="宋体" w:hAnsi="宋体" w:cs="宋体"/>
          <w:color w:val="auto"/>
          <w:kern w:val="0"/>
          <w:highlight w:val="none"/>
        </w:rPr>
        <w:t>4 、甲方根据《物业管理条例》、《宁波市住宅小区物业管理条例》及甬政发〔2010〕53号、甬建发〔2010〕168号等文件规定，配套下列资金及用房：</w:t>
      </w:r>
    </w:p>
    <w:p>
      <w:pPr>
        <w:spacing w:line="360" w:lineRule="auto"/>
        <w:ind w:firstLine="420" w:firstLineChars="200"/>
        <w:rPr>
          <w:rFonts w:hint="eastAsia" w:ascii="宋体" w:hAnsi="宋体" w:cs="宋体"/>
          <w:color w:val="auto"/>
          <w:highlight w:val="none"/>
        </w:rPr>
      </w:pPr>
      <w:r>
        <w:rPr>
          <w:rFonts w:hint="eastAsia" w:ascii="宋体" w:hAnsi="宋体" w:cs="宋体"/>
          <w:color w:val="auto"/>
          <w:highlight w:val="none"/>
        </w:rPr>
        <w:t>4.1物业服务费：按现行有关规定拨付和使用。</w:t>
      </w:r>
    </w:p>
    <w:p>
      <w:pPr>
        <w:spacing w:line="360" w:lineRule="auto"/>
        <w:ind w:firstLine="420" w:firstLineChars="200"/>
        <w:rPr>
          <w:rFonts w:hint="eastAsia" w:ascii="宋体" w:hAnsi="宋体" w:cs="宋体"/>
          <w:color w:val="auto"/>
          <w:highlight w:val="none"/>
        </w:rPr>
      </w:pPr>
      <w:r>
        <w:rPr>
          <w:rFonts w:hint="eastAsia" w:ascii="宋体" w:hAnsi="宋体" w:cs="宋体"/>
          <w:color w:val="auto"/>
          <w:highlight w:val="none"/>
        </w:rPr>
        <w:t>4.2专项维修资金：按《宁波市物业管理专项维修资金管理办法》规定缴纳和使用。</w:t>
      </w:r>
    </w:p>
    <w:p>
      <w:pPr>
        <w:spacing w:line="360" w:lineRule="auto"/>
        <w:ind w:firstLine="420" w:firstLineChars="200"/>
        <w:rPr>
          <w:rFonts w:hint="eastAsia" w:ascii="宋体" w:hAnsi="宋体" w:cs="宋体"/>
          <w:color w:val="auto"/>
          <w:highlight w:val="none"/>
        </w:rPr>
      </w:pPr>
      <w:r>
        <w:rPr>
          <w:rFonts w:hint="eastAsia" w:ascii="宋体" w:hAnsi="宋体" w:cs="宋体"/>
          <w:color w:val="auto"/>
          <w:highlight w:val="none"/>
        </w:rPr>
        <w:t>4.3房屋保修金：按《宁波市物业管理条例》规定缴纳和使用。</w:t>
      </w:r>
    </w:p>
    <w:p>
      <w:pPr>
        <w:spacing w:line="360" w:lineRule="auto"/>
        <w:ind w:firstLine="420" w:firstLineChars="200"/>
        <w:rPr>
          <w:rFonts w:hint="eastAsia" w:ascii="宋体" w:hAnsi="宋体" w:cs="宋体"/>
          <w:color w:val="auto"/>
          <w:highlight w:val="none"/>
        </w:rPr>
      </w:pPr>
      <w:r>
        <w:rPr>
          <w:rFonts w:hint="eastAsia" w:ascii="宋体" w:hAnsi="宋体" w:cs="宋体"/>
          <w:color w:val="auto"/>
          <w:highlight w:val="none"/>
        </w:rPr>
        <w:t>4.4物业管理用房配置：物业管理办公用房按地上总建筑面积0.3%比例配置（位于6号楼内）；物业经营用房和增配经营用房均按地上总建筑面积0.4%配置（位于6号楼）。</w:t>
      </w:r>
    </w:p>
    <w:p>
      <w:pPr>
        <w:spacing w:before="156" w:beforeLines="50" w:line="360" w:lineRule="auto"/>
        <w:ind w:firstLine="417" w:firstLineChars="198"/>
        <w:rPr>
          <w:rFonts w:hint="eastAsia" w:ascii="宋体" w:hAnsi="宋体" w:cs="宋体"/>
          <w:b/>
          <w:bCs/>
          <w:color w:val="auto"/>
          <w:highlight w:val="none"/>
        </w:rPr>
      </w:pPr>
      <w:r>
        <w:rPr>
          <w:rFonts w:hint="eastAsia" w:ascii="宋体" w:hAnsi="宋体" w:cs="宋体"/>
          <w:b/>
          <w:bCs/>
          <w:color w:val="auto"/>
          <w:highlight w:val="none"/>
        </w:rPr>
        <w:t>五、考核办法</w:t>
      </w:r>
    </w:p>
    <w:p>
      <w:pPr>
        <w:spacing w:line="360" w:lineRule="auto"/>
        <w:ind w:firstLine="420" w:firstLineChars="200"/>
        <w:rPr>
          <w:rFonts w:hint="eastAsia" w:ascii="宋体" w:hAnsi="宋体" w:cs="宋体"/>
          <w:color w:val="auto"/>
          <w:highlight w:val="none"/>
        </w:rPr>
      </w:pPr>
      <w:r>
        <w:rPr>
          <w:rFonts w:hint="eastAsia" w:ascii="宋体" w:hAnsi="宋体" w:cs="宋体"/>
          <w:color w:val="auto"/>
          <w:highlight w:val="none"/>
        </w:rPr>
        <w:t>5 、甲方每年组织对乙方工作目标完成情况、工作业绩和社会效益等进行考核，并根据年度考核结果对乙方予以一定额度服务费的扣减，具体考核办法见附件2。</w:t>
      </w:r>
    </w:p>
    <w:p>
      <w:pPr>
        <w:spacing w:before="156" w:beforeLines="50" w:line="360" w:lineRule="auto"/>
        <w:ind w:firstLine="422" w:firstLineChars="200"/>
        <w:rPr>
          <w:rFonts w:hint="eastAsia" w:ascii="宋体" w:hAnsi="宋体" w:cs="宋体"/>
          <w:b/>
          <w:color w:val="auto"/>
          <w:highlight w:val="none"/>
        </w:rPr>
      </w:pPr>
      <w:r>
        <w:rPr>
          <w:rFonts w:hint="eastAsia" w:ascii="宋体" w:hAnsi="宋体" w:cs="宋体"/>
          <w:b/>
          <w:color w:val="auto"/>
          <w:highlight w:val="none"/>
        </w:rPr>
        <w:t>六、违约责任</w:t>
      </w:r>
    </w:p>
    <w:p>
      <w:pPr>
        <w:spacing w:line="360" w:lineRule="auto"/>
        <w:ind w:firstLine="420" w:firstLineChars="200"/>
        <w:jc w:val="left"/>
        <w:rPr>
          <w:rFonts w:hint="eastAsia" w:ascii="宋体" w:hAnsi="宋体" w:cs="宋体"/>
          <w:color w:val="auto"/>
          <w:highlight w:val="none"/>
        </w:rPr>
      </w:pPr>
      <w:r>
        <w:rPr>
          <w:rFonts w:hint="eastAsia" w:ascii="宋体" w:hAnsi="宋体" w:cs="宋体"/>
          <w:color w:val="auto"/>
          <w:highlight w:val="none"/>
        </w:rPr>
        <w:t>6.1甲方违反本合同相关约定，致使乙方服务无法达到本合同约定的服务内容和质量标准的，由此给使用人造成损失的由甲方承担。</w:t>
      </w:r>
    </w:p>
    <w:p>
      <w:pPr>
        <w:spacing w:line="360" w:lineRule="auto"/>
        <w:ind w:firstLine="420" w:firstLineChars="200"/>
        <w:rPr>
          <w:rFonts w:hint="eastAsia" w:ascii="宋体" w:hAnsi="宋体" w:cs="宋体"/>
          <w:color w:val="auto"/>
          <w:highlight w:val="none"/>
        </w:rPr>
      </w:pPr>
      <w:r>
        <w:rPr>
          <w:rFonts w:hint="eastAsia" w:ascii="宋体" w:hAnsi="宋体" w:cs="宋体"/>
          <w:color w:val="auto"/>
          <w:highlight w:val="none"/>
        </w:rPr>
        <w:t>6.2除本合同6.1条规定情况外，乙方的管理服务达不到本合同约定的服务内容和质量标准，由乙方承担违约责任，并应按本合同附件2的相关规定处理。</w:t>
      </w:r>
    </w:p>
    <w:p>
      <w:pPr>
        <w:spacing w:line="360" w:lineRule="auto"/>
        <w:ind w:firstLine="420" w:firstLineChars="200"/>
        <w:rPr>
          <w:rFonts w:hint="eastAsia" w:ascii="宋体" w:hAnsi="宋体" w:cs="宋体"/>
          <w:color w:val="auto"/>
          <w:highlight w:val="none"/>
        </w:rPr>
      </w:pPr>
      <w:r>
        <w:rPr>
          <w:rFonts w:hint="eastAsia" w:ascii="宋体" w:hAnsi="宋体" w:cs="宋体"/>
          <w:color w:val="auto"/>
          <w:highlight w:val="none"/>
        </w:rPr>
        <w:t>6.3甲方违反本合同约定，未能按时足额交纳物业服务费用的，应由双方协商解决。不能达成一致的，乙方可采取法律手段进行追讨。</w:t>
      </w:r>
    </w:p>
    <w:p>
      <w:pPr>
        <w:spacing w:line="360" w:lineRule="auto"/>
        <w:ind w:firstLine="420" w:firstLineChars="200"/>
        <w:rPr>
          <w:rFonts w:hint="eastAsia" w:ascii="宋体" w:hAnsi="宋体" w:cs="宋体"/>
          <w:color w:val="auto"/>
          <w:highlight w:val="none"/>
        </w:rPr>
      </w:pPr>
      <w:r>
        <w:rPr>
          <w:rFonts w:hint="eastAsia" w:ascii="宋体" w:hAnsi="宋体" w:cs="宋体"/>
          <w:color w:val="auto"/>
          <w:highlight w:val="none"/>
        </w:rPr>
        <w:t>6.4乙方违反本合同第3条的约定，擅自提高物业服务费用标准的，甲方就超额部分有权拒绝交纳；已经收取的，甲方有权要求双倍返还。</w:t>
      </w:r>
    </w:p>
    <w:p>
      <w:pPr>
        <w:spacing w:line="360" w:lineRule="auto"/>
        <w:ind w:firstLine="420" w:firstLineChars="200"/>
        <w:rPr>
          <w:rFonts w:hint="eastAsia" w:ascii="宋体" w:hAnsi="宋体" w:cs="宋体"/>
          <w:color w:val="auto"/>
          <w:highlight w:val="none"/>
        </w:rPr>
      </w:pPr>
      <w:r>
        <w:rPr>
          <w:rFonts w:hint="eastAsia" w:ascii="宋体" w:hAnsi="宋体" w:cs="宋体"/>
          <w:color w:val="auto"/>
          <w:highlight w:val="none"/>
        </w:rPr>
        <w:t>6.5以下情况乙方不承担责任：</w:t>
      </w:r>
    </w:p>
    <w:p>
      <w:pPr>
        <w:spacing w:line="360" w:lineRule="auto"/>
        <w:ind w:firstLine="420" w:firstLineChars="200"/>
        <w:rPr>
          <w:rFonts w:hint="eastAsia" w:ascii="宋体" w:hAnsi="宋体" w:cs="宋体"/>
          <w:color w:val="auto"/>
          <w:highlight w:val="none"/>
        </w:rPr>
      </w:pPr>
      <w:r>
        <w:rPr>
          <w:rFonts w:hint="eastAsia" w:ascii="宋体" w:hAnsi="宋体" w:cs="宋体"/>
          <w:color w:val="auto"/>
          <w:highlight w:val="none"/>
        </w:rPr>
        <w:t>1 因不可抗力导致物业管理服务中断的；</w:t>
      </w:r>
    </w:p>
    <w:p>
      <w:pPr>
        <w:spacing w:line="360" w:lineRule="auto"/>
        <w:ind w:firstLine="420" w:firstLineChars="200"/>
        <w:rPr>
          <w:rFonts w:hint="eastAsia" w:ascii="宋体" w:hAnsi="宋体" w:cs="宋体"/>
          <w:color w:val="auto"/>
          <w:highlight w:val="none"/>
        </w:rPr>
      </w:pPr>
      <w:r>
        <w:rPr>
          <w:rFonts w:hint="eastAsia" w:ascii="宋体" w:hAnsi="宋体" w:cs="宋体"/>
          <w:color w:val="auto"/>
          <w:highlight w:val="none"/>
        </w:rPr>
        <w:t>2 已履行本合同约定义务；</w:t>
      </w:r>
    </w:p>
    <w:p>
      <w:pPr>
        <w:spacing w:line="360" w:lineRule="auto"/>
        <w:ind w:firstLine="420" w:firstLineChars="200"/>
        <w:rPr>
          <w:rFonts w:hint="eastAsia" w:ascii="宋体" w:hAnsi="宋体" w:cs="宋体"/>
          <w:color w:val="auto"/>
          <w:highlight w:val="none"/>
        </w:rPr>
      </w:pPr>
      <w:r>
        <w:rPr>
          <w:rFonts w:hint="eastAsia" w:ascii="宋体" w:hAnsi="宋体" w:cs="宋体"/>
          <w:color w:val="auto"/>
          <w:highlight w:val="none"/>
        </w:rPr>
        <w:t>3 因维修养护物业共用部位、共用设施设备需要且事先已告知甲方和使用人，暂时停水、停电、停止共用设施设备使用等造成损失的；</w:t>
      </w:r>
    </w:p>
    <w:p>
      <w:pPr>
        <w:spacing w:before="156" w:beforeLines="50" w:line="360" w:lineRule="auto"/>
        <w:ind w:firstLine="422" w:firstLineChars="200"/>
        <w:rPr>
          <w:rFonts w:hint="eastAsia" w:ascii="宋体" w:hAnsi="宋体" w:cs="宋体"/>
          <w:b/>
          <w:color w:val="auto"/>
          <w:highlight w:val="none"/>
        </w:rPr>
      </w:pPr>
      <w:r>
        <w:rPr>
          <w:rFonts w:hint="eastAsia" w:ascii="宋体" w:hAnsi="宋体" w:cs="宋体"/>
          <w:b/>
          <w:color w:val="auto"/>
          <w:highlight w:val="none"/>
        </w:rPr>
        <w:t>七、其他事项</w:t>
      </w:r>
    </w:p>
    <w:p>
      <w:pPr>
        <w:spacing w:line="360" w:lineRule="auto"/>
        <w:ind w:firstLine="420" w:firstLineChars="200"/>
        <w:rPr>
          <w:rFonts w:hint="eastAsia" w:ascii="宋体" w:hAnsi="宋体" w:cs="宋体"/>
          <w:color w:val="auto"/>
          <w:highlight w:val="none"/>
        </w:rPr>
      </w:pPr>
      <w:r>
        <w:rPr>
          <w:rFonts w:hint="eastAsia" w:ascii="宋体" w:hAnsi="宋体" w:cs="宋体"/>
          <w:color w:val="auto"/>
          <w:highlight w:val="none"/>
        </w:rPr>
        <w:t>7合同期限及效力</w:t>
      </w:r>
    </w:p>
    <w:p>
      <w:pPr>
        <w:spacing w:line="360" w:lineRule="auto"/>
        <w:ind w:firstLine="420" w:firstLineChars="200"/>
        <w:rPr>
          <w:rFonts w:hint="eastAsia" w:ascii="宋体" w:hAnsi="宋体" w:cs="宋体"/>
          <w:color w:val="auto"/>
          <w:highlight w:val="none"/>
        </w:rPr>
      </w:pPr>
      <w:r>
        <w:rPr>
          <w:rFonts w:hint="eastAsia" w:ascii="宋体" w:hAnsi="宋体" w:cs="宋体"/>
          <w:color w:val="auto"/>
          <w:highlight w:val="none"/>
        </w:rPr>
        <w:t>7.1本合同期限自</w:t>
      </w:r>
      <w:r>
        <w:rPr>
          <w:rFonts w:hint="eastAsia" w:ascii="宋体" w:hAnsi="宋体" w:cs="宋体"/>
          <w:color w:val="auto"/>
          <w:highlight w:val="none"/>
          <w:u w:val="single"/>
        </w:rPr>
        <w:t xml:space="preserve">     </w:t>
      </w:r>
      <w:r>
        <w:rPr>
          <w:rFonts w:hint="eastAsia" w:ascii="宋体" w:hAnsi="宋体" w:cs="宋体"/>
          <w:color w:val="auto"/>
          <w:highlight w:val="none"/>
        </w:rPr>
        <w:t>年</w:t>
      </w:r>
      <w:r>
        <w:rPr>
          <w:rFonts w:hint="eastAsia" w:ascii="宋体" w:hAnsi="宋体" w:cs="宋体"/>
          <w:color w:val="auto"/>
          <w:highlight w:val="none"/>
          <w:u w:val="single"/>
        </w:rPr>
        <w:t xml:space="preserve">    </w:t>
      </w:r>
      <w:r>
        <w:rPr>
          <w:rFonts w:hint="eastAsia" w:ascii="宋体" w:hAnsi="宋体" w:cs="宋体"/>
          <w:color w:val="auto"/>
          <w:highlight w:val="none"/>
        </w:rPr>
        <w:t>月</w:t>
      </w:r>
      <w:r>
        <w:rPr>
          <w:rFonts w:hint="eastAsia" w:ascii="宋体" w:hAnsi="宋体" w:cs="宋体"/>
          <w:color w:val="auto"/>
          <w:highlight w:val="none"/>
          <w:u w:val="single"/>
        </w:rPr>
        <w:t xml:space="preserve">   </w:t>
      </w:r>
      <w:r>
        <w:rPr>
          <w:rFonts w:hint="eastAsia" w:ascii="宋体" w:hAnsi="宋体" w:cs="宋体"/>
          <w:color w:val="auto"/>
          <w:highlight w:val="none"/>
        </w:rPr>
        <w:t>日起至</w:t>
      </w:r>
      <w:r>
        <w:rPr>
          <w:rFonts w:hint="eastAsia" w:ascii="宋体" w:hAnsi="宋体" w:cs="宋体"/>
          <w:color w:val="auto"/>
          <w:highlight w:val="none"/>
          <w:u w:val="single"/>
        </w:rPr>
        <w:t xml:space="preserve">    </w:t>
      </w:r>
      <w:r>
        <w:rPr>
          <w:rFonts w:hint="eastAsia" w:ascii="宋体" w:hAnsi="宋体" w:cs="宋体"/>
          <w:color w:val="auto"/>
          <w:highlight w:val="none"/>
        </w:rPr>
        <w:t>年</w:t>
      </w:r>
      <w:r>
        <w:rPr>
          <w:rFonts w:hint="eastAsia" w:ascii="宋体" w:hAnsi="宋体" w:cs="宋体"/>
          <w:color w:val="auto"/>
          <w:highlight w:val="none"/>
          <w:u w:val="single"/>
        </w:rPr>
        <w:t xml:space="preserve">   </w:t>
      </w:r>
      <w:r>
        <w:rPr>
          <w:rFonts w:hint="eastAsia" w:ascii="宋体" w:hAnsi="宋体" w:cs="宋体"/>
          <w:color w:val="auto"/>
          <w:highlight w:val="none"/>
        </w:rPr>
        <w:t>月</w:t>
      </w:r>
      <w:r>
        <w:rPr>
          <w:rFonts w:hint="eastAsia" w:ascii="宋体" w:hAnsi="宋体" w:cs="宋体"/>
          <w:color w:val="auto"/>
          <w:highlight w:val="none"/>
          <w:u w:val="single"/>
        </w:rPr>
        <w:t xml:space="preserve">    </w:t>
      </w:r>
      <w:r>
        <w:rPr>
          <w:rFonts w:hint="eastAsia" w:ascii="宋体" w:hAnsi="宋体" w:cs="宋体"/>
          <w:color w:val="auto"/>
          <w:highlight w:val="none"/>
        </w:rPr>
        <w:t>日止。</w:t>
      </w:r>
    </w:p>
    <w:p>
      <w:pPr>
        <w:spacing w:line="360" w:lineRule="auto"/>
        <w:ind w:firstLine="420" w:firstLineChars="200"/>
        <w:rPr>
          <w:rFonts w:hint="eastAsia" w:ascii="宋体" w:hAnsi="宋体" w:cs="宋体"/>
          <w:color w:val="auto"/>
          <w:highlight w:val="none"/>
        </w:rPr>
      </w:pPr>
      <w:r>
        <w:rPr>
          <w:rFonts w:hint="eastAsia" w:ascii="宋体" w:hAnsi="宋体" w:cs="宋体"/>
          <w:color w:val="auto"/>
          <w:highlight w:val="none"/>
        </w:rPr>
        <w:t>7.2本合同期满前3个月，甲、乙双方应就延长本合同期限达成协议，乙方有续签合同的优先权；双方未能达成协议的，甲方应在本合同期满前选聘新的物业管理企业。</w:t>
      </w:r>
    </w:p>
    <w:p>
      <w:pPr>
        <w:spacing w:line="360" w:lineRule="auto"/>
        <w:ind w:firstLine="420" w:firstLineChars="200"/>
        <w:rPr>
          <w:rFonts w:hint="eastAsia" w:ascii="宋体" w:hAnsi="宋体" w:cs="宋体"/>
          <w:color w:val="auto"/>
          <w:highlight w:val="none"/>
        </w:rPr>
      </w:pPr>
      <w:r>
        <w:rPr>
          <w:rFonts w:hint="eastAsia" w:ascii="宋体" w:hAnsi="宋体" w:cs="宋体"/>
          <w:color w:val="auto"/>
          <w:highlight w:val="none"/>
        </w:rPr>
        <w:t>7.3本合同终止时，乙方应将物业管理用房、物业管理相关资料等属于甲方所有的财物及时完整地移交给甲方。</w:t>
      </w:r>
    </w:p>
    <w:p>
      <w:pPr>
        <w:spacing w:line="360" w:lineRule="auto"/>
        <w:ind w:firstLine="420" w:firstLineChars="200"/>
        <w:rPr>
          <w:rFonts w:hint="eastAsia" w:ascii="宋体" w:hAnsi="宋体" w:cs="宋体"/>
          <w:color w:val="auto"/>
          <w:highlight w:val="none"/>
        </w:rPr>
      </w:pPr>
      <w:r>
        <w:rPr>
          <w:rFonts w:hint="eastAsia" w:ascii="宋体" w:hAnsi="宋体" w:cs="宋体"/>
          <w:color w:val="auto"/>
          <w:highlight w:val="none"/>
        </w:rPr>
        <w:t>7.4本合同的附件为本合同不可分割的组成部分，与本合同具有同等法律效力。</w:t>
      </w:r>
    </w:p>
    <w:p>
      <w:pPr>
        <w:spacing w:line="360" w:lineRule="auto"/>
        <w:ind w:firstLine="420" w:firstLineChars="200"/>
        <w:rPr>
          <w:rFonts w:hint="eastAsia" w:ascii="宋体" w:hAnsi="宋体" w:cs="宋体"/>
          <w:color w:val="auto"/>
          <w:highlight w:val="none"/>
        </w:rPr>
      </w:pPr>
      <w:r>
        <w:rPr>
          <w:rFonts w:hint="eastAsia" w:ascii="宋体" w:hAnsi="宋体" w:cs="宋体"/>
          <w:color w:val="auto"/>
          <w:highlight w:val="none"/>
        </w:rPr>
        <w:t>7.5本合同未尽事宜，以招标文件和投标文件为准。</w:t>
      </w:r>
    </w:p>
    <w:p>
      <w:pPr>
        <w:spacing w:line="360" w:lineRule="auto"/>
        <w:ind w:firstLine="420" w:firstLineChars="200"/>
        <w:rPr>
          <w:rFonts w:hint="eastAsia" w:ascii="宋体" w:hAnsi="宋体" w:cs="宋体"/>
          <w:color w:val="auto"/>
          <w:highlight w:val="none"/>
        </w:rPr>
      </w:pPr>
      <w:r>
        <w:rPr>
          <w:rFonts w:hint="eastAsia" w:ascii="宋体" w:hAnsi="宋体" w:cs="宋体"/>
          <w:color w:val="auto"/>
          <w:highlight w:val="none"/>
        </w:rPr>
        <w:t>7.6本合同在履行中发生争议，由双方协商解决，协商不成，双方可选择以下第1种方式处理：</w:t>
      </w:r>
    </w:p>
    <w:p>
      <w:pPr>
        <w:spacing w:line="360" w:lineRule="auto"/>
        <w:ind w:firstLine="420" w:firstLineChars="200"/>
        <w:rPr>
          <w:rFonts w:hint="eastAsia" w:ascii="宋体" w:hAnsi="宋体" w:cs="宋体"/>
          <w:color w:val="auto"/>
          <w:highlight w:val="none"/>
        </w:rPr>
      </w:pPr>
      <w:r>
        <w:rPr>
          <w:rFonts w:hint="eastAsia" w:ascii="宋体" w:hAnsi="宋体" w:cs="宋体"/>
          <w:color w:val="auto"/>
          <w:highlight w:val="none"/>
        </w:rPr>
        <w:t>1 向宁波市仲裁委员会申请仲裁；</w:t>
      </w:r>
    </w:p>
    <w:p>
      <w:pPr>
        <w:spacing w:line="360" w:lineRule="auto"/>
        <w:ind w:firstLine="420" w:firstLineChars="200"/>
        <w:rPr>
          <w:rFonts w:hint="eastAsia" w:ascii="宋体" w:hAnsi="宋体" w:cs="宋体"/>
          <w:color w:val="auto"/>
          <w:highlight w:val="none"/>
        </w:rPr>
      </w:pPr>
      <w:r>
        <w:rPr>
          <w:rFonts w:hint="eastAsia" w:ascii="宋体" w:hAnsi="宋体" w:cs="宋体"/>
          <w:color w:val="auto"/>
          <w:highlight w:val="none"/>
        </w:rPr>
        <w:t>2 向当地人民法院提起诉讼。</w:t>
      </w:r>
    </w:p>
    <w:p>
      <w:pPr>
        <w:spacing w:line="360" w:lineRule="auto"/>
        <w:ind w:firstLine="420" w:firstLineChars="200"/>
        <w:rPr>
          <w:rFonts w:hint="eastAsia" w:ascii="宋体" w:hAnsi="宋体" w:cs="宋体"/>
          <w:color w:val="auto"/>
          <w:highlight w:val="none"/>
        </w:rPr>
      </w:pPr>
      <w:r>
        <w:rPr>
          <w:rFonts w:hint="eastAsia" w:ascii="宋体" w:hAnsi="宋体" w:cs="宋体"/>
          <w:color w:val="auto"/>
          <w:highlight w:val="none"/>
        </w:rPr>
        <w:t>7.7本合同一式八份，甲、乙双方各执四份，报辖区物管部门一份（备案）。</w:t>
      </w:r>
    </w:p>
    <w:p>
      <w:pPr>
        <w:spacing w:line="360" w:lineRule="auto"/>
        <w:ind w:firstLine="630" w:firstLineChars="300"/>
        <w:rPr>
          <w:rFonts w:hint="eastAsia" w:ascii="宋体" w:hAnsi="宋体" w:cs="宋体"/>
          <w:color w:val="auto"/>
          <w:highlight w:val="none"/>
        </w:rPr>
      </w:pPr>
      <w:r>
        <w:rPr>
          <w:rFonts w:hint="eastAsia" w:ascii="宋体" w:hAnsi="宋体" w:cs="宋体"/>
          <w:color w:val="auto"/>
          <w:highlight w:val="none"/>
        </w:rPr>
        <w:t>甲方（签章）                              乙方（签章）</w:t>
      </w:r>
    </w:p>
    <w:p>
      <w:pPr>
        <w:spacing w:line="360" w:lineRule="auto"/>
        <w:ind w:firstLine="1470" w:firstLineChars="700"/>
        <w:rPr>
          <w:rFonts w:hint="eastAsia" w:ascii="宋体" w:hAnsi="宋体" w:cs="宋体"/>
          <w:color w:val="auto"/>
          <w:highlight w:val="none"/>
        </w:rPr>
      </w:pPr>
    </w:p>
    <w:p>
      <w:pPr>
        <w:spacing w:line="360" w:lineRule="auto"/>
        <w:ind w:firstLine="630" w:firstLineChars="300"/>
        <w:rPr>
          <w:rFonts w:hint="eastAsia" w:ascii="宋体" w:hAnsi="宋体" w:cs="宋体"/>
          <w:color w:val="auto"/>
          <w:highlight w:val="none"/>
        </w:rPr>
      </w:pPr>
      <w:r>
        <w:rPr>
          <w:rFonts w:hint="eastAsia" w:ascii="宋体" w:hAnsi="宋体" w:cs="宋体"/>
          <w:color w:val="auto"/>
          <w:highlight w:val="none"/>
        </w:rPr>
        <w:t>法定代表人：                              法定代表人：</w:t>
      </w:r>
    </w:p>
    <w:p>
      <w:pPr>
        <w:spacing w:line="360" w:lineRule="auto"/>
        <w:ind w:firstLine="840" w:firstLineChars="400"/>
        <w:rPr>
          <w:rFonts w:hint="eastAsia" w:ascii="宋体" w:hAnsi="宋体" w:cs="宋体"/>
          <w:color w:val="auto"/>
          <w:highlight w:val="none"/>
        </w:rPr>
      </w:pPr>
    </w:p>
    <w:p>
      <w:pPr>
        <w:pStyle w:val="12"/>
        <w:snapToGrid w:val="0"/>
        <w:spacing w:before="156" w:after="156"/>
        <w:ind w:firstLine="630" w:firstLineChars="300"/>
        <w:rPr>
          <w:rFonts w:hint="eastAsia" w:hAnsi="宋体"/>
          <w:color w:val="auto"/>
          <w:highlight w:val="none"/>
        </w:rPr>
      </w:pPr>
      <w:r>
        <w:rPr>
          <w:rFonts w:hint="eastAsia" w:hAnsi="宋体"/>
          <w:color w:val="auto"/>
          <w:sz w:val="21"/>
          <w:szCs w:val="21"/>
          <w:highlight w:val="none"/>
          <w:u w:val="single"/>
        </w:rPr>
        <w:t xml:space="preserve">    </w:t>
      </w:r>
      <w:r>
        <w:rPr>
          <w:rFonts w:hint="eastAsia" w:hAnsi="宋体"/>
          <w:color w:val="auto"/>
          <w:sz w:val="21"/>
          <w:szCs w:val="21"/>
          <w:highlight w:val="none"/>
        </w:rPr>
        <w:t>年</w:t>
      </w:r>
      <w:r>
        <w:rPr>
          <w:rFonts w:hint="eastAsia" w:hAnsi="宋体"/>
          <w:color w:val="auto"/>
          <w:sz w:val="21"/>
          <w:szCs w:val="21"/>
          <w:highlight w:val="none"/>
          <w:u w:val="single"/>
        </w:rPr>
        <w:t xml:space="preserve">    </w:t>
      </w:r>
      <w:r>
        <w:rPr>
          <w:rFonts w:hint="eastAsia" w:hAnsi="宋体"/>
          <w:color w:val="auto"/>
          <w:sz w:val="21"/>
          <w:szCs w:val="21"/>
          <w:highlight w:val="none"/>
        </w:rPr>
        <w:t>月</w:t>
      </w:r>
      <w:r>
        <w:rPr>
          <w:rFonts w:hint="eastAsia" w:hAnsi="宋体"/>
          <w:color w:val="auto"/>
          <w:sz w:val="21"/>
          <w:szCs w:val="21"/>
          <w:highlight w:val="none"/>
          <w:u w:val="single"/>
        </w:rPr>
        <w:t xml:space="preserve">    </w:t>
      </w:r>
      <w:r>
        <w:rPr>
          <w:rFonts w:hint="eastAsia" w:hAnsi="宋体"/>
          <w:color w:val="auto"/>
          <w:sz w:val="21"/>
          <w:szCs w:val="21"/>
          <w:highlight w:val="none"/>
        </w:rPr>
        <w:t xml:space="preserve">日                         </w:t>
      </w:r>
      <w:r>
        <w:rPr>
          <w:rFonts w:hint="eastAsia" w:hAnsi="宋体"/>
          <w:color w:val="auto"/>
          <w:sz w:val="21"/>
          <w:szCs w:val="21"/>
          <w:highlight w:val="none"/>
          <w:u w:val="single"/>
        </w:rPr>
        <w:t xml:space="preserve">    </w:t>
      </w:r>
      <w:r>
        <w:rPr>
          <w:rFonts w:hint="eastAsia" w:hAnsi="宋体"/>
          <w:color w:val="auto"/>
          <w:sz w:val="21"/>
          <w:szCs w:val="21"/>
          <w:highlight w:val="none"/>
        </w:rPr>
        <w:t>年</w:t>
      </w:r>
      <w:r>
        <w:rPr>
          <w:rFonts w:hint="eastAsia" w:hAnsi="宋体"/>
          <w:color w:val="auto"/>
          <w:sz w:val="21"/>
          <w:szCs w:val="21"/>
          <w:highlight w:val="none"/>
          <w:u w:val="single"/>
        </w:rPr>
        <w:t xml:space="preserve">    </w:t>
      </w:r>
      <w:r>
        <w:rPr>
          <w:rFonts w:hint="eastAsia" w:hAnsi="宋体"/>
          <w:color w:val="auto"/>
          <w:sz w:val="21"/>
          <w:szCs w:val="21"/>
          <w:highlight w:val="none"/>
        </w:rPr>
        <w:t>月</w:t>
      </w:r>
      <w:r>
        <w:rPr>
          <w:rFonts w:hint="eastAsia" w:hAnsi="宋体"/>
          <w:color w:val="auto"/>
          <w:sz w:val="21"/>
          <w:szCs w:val="21"/>
          <w:highlight w:val="none"/>
          <w:u w:val="single"/>
        </w:rPr>
        <w:t xml:space="preserve">    </w:t>
      </w:r>
      <w:r>
        <w:rPr>
          <w:rFonts w:hint="eastAsia" w:hAnsi="宋体"/>
          <w:color w:val="auto"/>
          <w:sz w:val="21"/>
          <w:szCs w:val="21"/>
          <w:highlight w:val="none"/>
        </w:rPr>
        <w:t>日</w:t>
      </w:r>
    </w:p>
    <w:p>
      <w:pPr>
        <w:pStyle w:val="16"/>
        <w:adjustRightInd w:val="0"/>
        <w:snapToGrid w:val="0"/>
        <w:spacing w:before="0" w:after="0" w:line="360" w:lineRule="auto"/>
        <w:rPr>
          <w:rFonts w:ascii="宋体" w:hAnsi="宋体" w:cs="宋体"/>
          <w:color w:val="auto"/>
          <w:sz w:val="28"/>
          <w:szCs w:val="36"/>
          <w:highlight w:val="none"/>
        </w:rPr>
      </w:pPr>
      <w:r>
        <w:rPr>
          <w:rFonts w:hint="eastAsia" w:ascii="宋体" w:hAnsi="宋体" w:cs="宋体"/>
          <w:color w:val="auto"/>
          <w:sz w:val="28"/>
          <w:szCs w:val="28"/>
          <w:highlight w:val="none"/>
        </w:rPr>
        <w:t>第六部分 投标文件格式</w:t>
      </w:r>
      <w:bookmarkEnd w:id="13"/>
      <w:bookmarkEnd w:id="14"/>
    </w:p>
    <w:p>
      <w:pPr>
        <w:pStyle w:val="52"/>
        <w:spacing w:before="156"/>
        <w:ind w:firstLine="0"/>
        <w:rPr>
          <w:rFonts w:cs="宋体"/>
          <w:color w:val="auto"/>
          <w:highlight w:val="none"/>
        </w:rPr>
      </w:pPr>
    </w:p>
    <w:p>
      <w:pPr>
        <w:pStyle w:val="52"/>
        <w:adjustRightInd w:val="0"/>
        <w:spacing w:before="156" w:line="360" w:lineRule="auto"/>
        <w:rPr>
          <w:rFonts w:cs="宋体"/>
          <w:color w:val="auto"/>
          <w:szCs w:val="20"/>
          <w:highlight w:val="none"/>
        </w:rPr>
      </w:pPr>
      <w:r>
        <w:rPr>
          <w:rFonts w:hint="eastAsia" w:cs="宋体"/>
          <w:color w:val="auto"/>
          <w:highlight w:val="none"/>
        </w:rPr>
        <w:t>一、投标文件外层包装封面格式</w:t>
      </w:r>
    </w:p>
    <w:p>
      <w:pPr>
        <w:adjustRightInd w:val="0"/>
        <w:snapToGrid w:val="0"/>
        <w:spacing w:line="360" w:lineRule="auto"/>
        <w:jc w:val="center"/>
        <w:rPr>
          <w:rFonts w:hint="eastAsia" w:ascii="宋体" w:hAnsi="宋体" w:cs="宋体"/>
          <w:b/>
          <w:bCs/>
          <w:color w:val="auto"/>
          <w:sz w:val="32"/>
          <w:szCs w:val="32"/>
          <w:highlight w:val="none"/>
        </w:rPr>
      </w:pPr>
    </w:p>
    <w:p>
      <w:pPr>
        <w:adjustRightInd w:val="0"/>
        <w:snapToGrid w:val="0"/>
        <w:spacing w:line="360" w:lineRule="auto"/>
        <w:jc w:val="center"/>
        <w:rPr>
          <w:rFonts w:hint="eastAsia" w:ascii="宋体" w:hAnsi="宋体" w:cs="宋体"/>
          <w:b/>
          <w:bCs/>
          <w:color w:val="auto"/>
          <w:sz w:val="32"/>
          <w:szCs w:val="32"/>
          <w:highlight w:val="none"/>
        </w:rPr>
      </w:pPr>
    </w:p>
    <w:p>
      <w:pPr>
        <w:adjustRightInd w:val="0"/>
        <w:snapToGrid w:val="0"/>
        <w:spacing w:line="360" w:lineRule="auto"/>
        <w:jc w:val="center"/>
        <w:rPr>
          <w:rFonts w:ascii="宋体" w:hAnsi="宋体" w:cs="宋体"/>
          <w:bCs/>
          <w:color w:val="auto"/>
          <w:szCs w:val="21"/>
          <w:highlight w:val="none"/>
        </w:rPr>
      </w:pPr>
      <w:r>
        <w:rPr>
          <w:rFonts w:hint="eastAsia" w:ascii="宋体" w:hAnsi="宋体" w:cs="宋体"/>
          <w:b/>
          <w:bCs/>
          <w:color w:val="auto"/>
          <w:sz w:val="32"/>
          <w:szCs w:val="32"/>
          <w:highlight w:val="none"/>
        </w:rPr>
        <w:t xml:space="preserve">投 标 文 件 </w:t>
      </w:r>
    </w:p>
    <w:p>
      <w:pPr>
        <w:adjustRightInd w:val="0"/>
        <w:snapToGrid w:val="0"/>
        <w:spacing w:line="360" w:lineRule="auto"/>
        <w:ind w:firstLine="1142" w:firstLineChars="544"/>
        <w:rPr>
          <w:rFonts w:hint="eastAsia" w:ascii="宋体" w:hAnsi="宋体" w:cs="宋体"/>
          <w:bCs/>
          <w:color w:val="auto"/>
          <w:szCs w:val="21"/>
          <w:highlight w:val="none"/>
        </w:rPr>
      </w:pPr>
    </w:p>
    <w:p>
      <w:pPr>
        <w:adjustRightInd w:val="0"/>
        <w:snapToGrid w:val="0"/>
        <w:spacing w:line="360" w:lineRule="auto"/>
        <w:ind w:firstLine="1142" w:firstLineChars="544"/>
        <w:rPr>
          <w:rFonts w:ascii="宋体" w:hAnsi="宋体" w:cs="宋体"/>
          <w:bCs/>
          <w:color w:val="auto"/>
          <w:szCs w:val="21"/>
          <w:highlight w:val="none"/>
        </w:rPr>
      </w:pPr>
      <w:r>
        <w:rPr>
          <w:rFonts w:hint="eastAsia" w:ascii="宋体" w:hAnsi="宋体" w:cs="宋体"/>
          <w:bCs/>
          <w:color w:val="auto"/>
          <w:szCs w:val="21"/>
          <w:highlight w:val="none"/>
        </w:rPr>
        <w:t xml:space="preserve">项目名称： </w:t>
      </w:r>
    </w:p>
    <w:p>
      <w:pPr>
        <w:adjustRightInd w:val="0"/>
        <w:snapToGrid w:val="0"/>
        <w:spacing w:line="360" w:lineRule="auto"/>
        <w:ind w:firstLine="1142" w:firstLineChars="544"/>
        <w:rPr>
          <w:rFonts w:hint="eastAsia" w:ascii="宋体" w:hAnsi="宋体" w:cs="宋体"/>
          <w:bCs/>
          <w:color w:val="auto"/>
          <w:szCs w:val="21"/>
          <w:highlight w:val="none"/>
        </w:rPr>
      </w:pPr>
    </w:p>
    <w:p>
      <w:pPr>
        <w:adjustRightInd w:val="0"/>
        <w:snapToGrid w:val="0"/>
        <w:spacing w:line="360" w:lineRule="auto"/>
        <w:ind w:firstLine="1142" w:firstLineChars="544"/>
        <w:rPr>
          <w:rFonts w:ascii="宋体" w:hAnsi="宋体" w:cs="宋体"/>
          <w:bCs/>
          <w:color w:val="auto"/>
          <w:szCs w:val="21"/>
          <w:highlight w:val="none"/>
        </w:rPr>
      </w:pPr>
      <w:r>
        <w:rPr>
          <w:rFonts w:hint="eastAsia" w:ascii="宋体" w:hAnsi="宋体" w:cs="宋体"/>
          <w:bCs/>
          <w:color w:val="auto"/>
          <w:szCs w:val="21"/>
          <w:highlight w:val="none"/>
        </w:rPr>
        <w:t xml:space="preserve">项目编号： </w:t>
      </w:r>
    </w:p>
    <w:p>
      <w:pPr>
        <w:adjustRightInd w:val="0"/>
        <w:snapToGrid w:val="0"/>
        <w:spacing w:line="360" w:lineRule="auto"/>
        <w:ind w:firstLine="1142" w:firstLineChars="544"/>
        <w:rPr>
          <w:rFonts w:hint="eastAsia" w:ascii="宋体" w:hAnsi="宋体" w:cs="宋体"/>
          <w:bCs/>
          <w:color w:val="auto"/>
          <w:szCs w:val="21"/>
          <w:highlight w:val="none"/>
        </w:rPr>
      </w:pPr>
    </w:p>
    <w:p>
      <w:pPr>
        <w:adjustRightInd w:val="0"/>
        <w:snapToGrid w:val="0"/>
        <w:spacing w:line="360" w:lineRule="auto"/>
        <w:ind w:firstLine="1142" w:firstLineChars="544"/>
        <w:rPr>
          <w:rFonts w:ascii="宋体" w:hAnsi="宋体" w:cs="宋体"/>
          <w:bCs/>
          <w:color w:val="auto"/>
          <w:szCs w:val="21"/>
          <w:highlight w:val="none"/>
        </w:rPr>
      </w:pPr>
      <w:r>
        <w:rPr>
          <w:rFonts w:hint="eastAsia" w:ascii="宋体" w:hAnsi="宋体" w:cs="宋体"/>
          <w:bCs/>
          <w:color w:val="auto"/>
          <w:szCs w:val="21"/>
          <w:highlight w:val="none"/>
        </w:rPr>
        <w:t>投标文件名称：资格文件/商务技术文件/报价文件</w:t>
      </w:r>
    </w:p>
    <w:p>
      <w:pPr>
        <w:pStyle w:val="6"/>
        <w:adjustRightInd w:val="0"/>
        <w:snapToGrid w:val="0"/>
        <w:spacing w:line="360" w:lineRule="auto"/>
        <w:ind w:firstLine="1142" w:firstLineChars="544"/>
        <w:rPr>
          <w:rFonts w:hint="eastAsia" w:ascii="宋体" w:hAnsi="宋体" w:cs="宋体"/>
          <w:bCs/>
          <w:color w:val="auto"/>
          <w:szCs w:val="21"/>
          <w:highlight w:val="none"/>
        </w:rPr>
      </w:pPr>
    </w:p>
    <w:p>
      <w:pPr>
        <w:pStyle w:val="6"/>
        <w:adjustRightInd w:val="0"/>
        <w:snapToGrid w:val="0"/>
        <w:spacing w:line="360" w:lineRule="auto"/>
        <w:ind w:firstLine="1142" w:firstLineChars="544"/>
        <w:rPr>
          <w:rFonts w:ascii="宋体" w:hAnsi="宋体" w:cs="宋体"/>
          <w:bCs/>
          <w:color w:val="auto"/>
          <w:szCs w:val="21"/>
          <w:highlight w:val="none"/>
        </w:rPr>
      </w:pPr>
      <w:r>
        <w:rPr>
          <w:rFonts w:hint="eastAsia" w:ascii="宋体" w:hAnsi="宋体" w:cs="宋体"/>
          <w:bCs/>
          <w:color w:val="auto"/>
          <w:szCs w:val="21"/>
          <w:highlight w:val="none"/>
        </w:rPr>
        <w:t>供应商名称：    （加盖供应商公章）</w:t>
      </w:r>
    </w:p>
    <w:p>
      <w:pPr>
        <w:pStyle w:val="6"/>
        <w:adjustRightInd w:val="0"/>
        <w:snapToGrid w:val="0"/>
        <w:spacing w:line="360" w:lineRule="auto"/>
        <w:ind w:firstLine="1142" w:firstLineChars="544"/>
        <w:rPr>
          <w:rFonts w:hint="eastAsia" w:ascii="宋体" w:hAnsi="宋体" w:cs="宋体"/>
          <w:bCs/>
          <w:color w:val="auto"/>
          <w:szCs w:val="21"/>
          <w:highlight w:val="none"/>
        </w:rPr>
      </w:pPr>
    </w:p>
    <w:p>
      <w:pPr>
        <w:pStyle w:val="6"/>
        <w:adjustRightInd w:val="0"/>
        <w:snapToGrid w:val="0"/>
        <w:spacing w:line="360" w:lineRule="auto"/>
        <w:ind w:firstLine="1142" w:firstLineChars="544"/>
        <w:rPr>
          <w:rFonts w:ascii="宋体" w:hAnsi="宋体" w:cs="宋体"/>
          <w:bCs/>
          <w:color w:val="auto"/>
          <w:szCs w:val="21"/>
          <w:highlight w:val="none"/>
        </w:rPr>
      </w:pPr>
      <w:r>
        <w:rPr>
          <w:rFonts w:hint="eastAsia" w:ascii="宋体" w:hAnsi="宋体" w:cs="宋体"/>
          <w:bCs/>
          <w:color w:val="auto"/>
          <w:szCs w:val="21"/>
          <w:highlight w:val="none"/>
        </w:rPr>
        <w:t>供应商地址：</w:t>
      </w:r>
    </w:p>
    <w:p>
      <w:pPr>
        <w:pStyle w:val="6"/>
        <w:adjustRightInd w:val="0"/>
        <w:snapToGrid w:val="0"/>
        <w:spacing w:line="360" w:lineRule="auto"/>
        <w:ind w:firstLine="932" w:firstLineChars="444"/>
        <w:jc w:val="center"/>
        <w:rPr>
          <w:rFonts w:ascii="宋体" w:hAnsi="宋体" w:cs="宋体"/>
          <w:bCs/>
          <w:color w:val="auto"/>
          <w:szCs w:val="21"/>
          <w:highlight w:val="none"/>
        </w:rPr>
      </w:pPr>
      <w:r>
        <w:rPr>
          <w:rFonts w:hint="eastAsia" w:ascii="宋体" w:hAnsi="宋体" w:cs="宋体"/>
          <w:bCs/>
          <w:color w:val="auto"/>
          <w:szCs w:val="21"/>
          <w:highlight w:val="none"/>
        </w:rPr>
        <w:t xml:space="preserve"> </w:t>
      </w:r>
    </w:p>
    <w:p>
      <w:pPr>
        <w:pStyle w:val="6"/>
        <w:adjustRightInd w:val="0"/>
        <w:snapToGrid w:val="0"/>
        <w:spacing w:line="360" w:lineRule="auto"/>
        <w:ind w:firstLine="0"/>
        <w:jc w:val="center"/>
        <w:rPr>
          <w:rFonts w:ascii="宋体" w:hAnsi="宋体" w:cs="宋体"/>
          <w:bCs/>
          <w:color w:val="auto"/>
          <w:szCs w:val="21"/>
          <w:highlight w:val="none"/>
        </w:rPr>
      </w:pPr>
      <w:r>
        <w:rPr>
          <w:rFonts w:hint="eastAsia" w:ascii="宋体" w:hAnsi="宋体" w:cs="宋体"/>
          <w:bCs/>
          <w:color w:val="auto"/>
          <w:szCs w:val="21"/>
          <w:highlight w:val="none"/>
        </w:rPr>
        <w:t xml:space="preserve"> 开标时启封</w:t>
      </w:r>
    </w:p>
    <w:p>
      <w:pPr>
        <w:adjustRightInd w:val="0"/>
        <w:snapToGrid w:val="0"/>
        <w:spacing w:line="360" w:lineRule="auto"/>
        <w:ind w:firstLine="645"/>
        <w:jc w:val="center"/>
        <w:rPr>
          <w:rFonts w:ascii="宋体" w:hAnsi="宋体" w:cs="宋体"/>
          <w:color w:val="auto"/>
          <w:szCs w:val="21"/>
          <w:highlight w:val="none"/>
        </w:rPr>
      </w:pPr>
      <w:r>
        <w:rPr>
          <w:rFonts w:hint="eastAsia" w:ascii="宋体" w:hAnsi="宋体" w:cs="宋体"/>
          <w:color w:val="auto"/>
          <w:szCs w:val="21"/>
          <w:highlight w:val="none"/>
        </w:rPr>
        <w:t xml:space="preserve">             </w:t>
      </w:r>
    </w:p>
    <w:p>
      <w:pPr>
        <w:adjustRightInd w:val="0"/>
        <w:snapToGrid w:val="0"/>
        <w:spacing w:line="360" w:lineRule="auto"/>
        <w:ind w:firstLine="645"/>
        <w:jc w:val="center"/>
        <w:rPr>
          <w:rFonts w:ascii="宋体" w:hAnsi="宋体" w:cs="宋体"/>
          <w:color w:val="auto"/>
          <w:szCs w:val="21"/>
          <w:highlight w:val="none"/>
        </w:rPr>
      </w:pPr>
      <w:r>
        <w:rPr>
          <w:rFonts w:hint="eastAsia" w:ascii="宋体" w:hAnsi="宋体" w:cs="宋体"/>
          <w:color w:val="auto"/>
          <w:szCs w:val="21"/>
          <w:highlight w:val="none"/>
        </w:rPr>
        <w:t xml:space="preserve">                            年  月  日</w:t>
      </w:r>
    </w:p>
    <w:p>
      <w:pPr>
        <w:pStyle w:val="52"/>
        <w:adjustRightInd w:val="0"/>
        <w:spacing w:before="156" w:line="360" w:lineRule="auto"/>
        <w:rPr>
          <w:rFonts w:cs="宋体"/>
          <w:color w:val="auto"/>
          <w:highlight w:val="none"/>
        </w:rPr>
      </w:pPr>
    </w:p>
    <w:p>
      <w:pPr>
        <w:pStyle w:val="52"/>
        <w:adjustRightInd w:val="0"/>
        <w:spacing w:before="156" w:line="360" w:lineRule="auto"/>
        <w:rPr>
          <w:rFonts w:cs="宋体"/>
          <w:color w:val="auto"/>
          <w:highlight w:val="none"/>
        </w:rPr>
      </w:pPr>
    </w:p>
    <w:p>
      <w:pPr>
        <w:pStyle w:val="52"/>
        <w:adjustRightInd w:val="0"/>
        <w:spacing w:before="156" w:line="360" w:lineRule="auto"/>
        <w:rPr>
          <w:rFonts w:cs="宋体"/>
          <w:color w:val="auto"/>
          <w:highlight w:val="none"/>
        </w:rPr>
      </w:pPr>
    </w:p>
    <w:p>
      <w:pPr>
        <w:pStyle w:val="52"/>
        <w:adjustRightInd w:val="0"/>
        <w:spacing w:before="156" w:line="360" w:lineRule="auto"/>
        <w:rPr>
          <w:rFonts w:cs="宋体"/>
          <w:color w:val="auto"/>
          <w:highlight w:val="none"/>
        </w:rPr>
      </w:pPr>
    </w:p>
    <w:p>
      <w:pPr>
        <w:pStyle w:val="52"/>
        <w:adjustRightInd w:val="0"/>
        <w:spacing w:before="156" w:line="360" w:lineRule="auto"/>
        <w:rPr>
          <w:rFonts w:cs="宋体"/>
          <w:color w:val="auto"/>
          <w:highlight w:val="none"/>
        </w:rPr>
      </w:pPr>
    </w:p>
    <w:p>
      <w:pPr>
        <w:pStyle w:val="52"/>
        <w:adjustRightInd w:val="0"/>
        <w:spacing w:before="156" w:line="360" w:lineRule="auto"/>
        <w:rPr>
          <w:rFonts w:cs="宋体"/>
          <w:color w:val="auto"/>
          <w:highlight w:val="none"/>
        </w:rPr>
      </w:pPr>
    </w:p>
    <w:p>
      <w:pPr>
        <w:pStyle w:val="52"/>
        <w:adjustRightInd w:val="0"/>
        <w:spacing w:before="156" w:line="360" w:lineRule="auto"/>
        <w:rPr>
          <w:rFonts w:cs="宋体"/>
          <w:color w:val="auto"/>
          <w:highlight w:val="none"/>
        </w:rPr>
      </w:pPr>
    </w:p>
    <w:p>
      <w:pPr>
        <w:pStyle w:val="52"/>
        <w:adjustRightInd w:val="0"/>
        <w:spacing w:before="156" w:line="360" w:lineRule="auto"/>
        <w:rPr>
          <w:rFonts w:cs="宋体"/>
          <w:color w:val="auto"/>
          <w:highlight w:val="none"/>
        </w:rPr>
      </w:pPr>
    </w:p>
    <w:p>
      <w:pPr>
        <w:pStyle w:val="52"/>
        <w:adjustRightInd w:val="0"/>
        <w:spacing w:before="156" w:line="360" w:lineRule="auto"/>
        <w:rPr>
          <w:rFonts w:cs="宋体"/>
          <w:color w:val="auto"/>
          <w:highlight w:val="none"/>
        </w:rPr>
      </w:pPr>
    </w:p>
    <w:p>
      <w:pPr>
        <w:pStyle w:val="52"/>
        <w:adjustRightInd w:val="0"/>
        <w:spacing w:before="156" w:line="360" w:lineRule="auto"/>
        <w:rPr>
          <w:rFonts w:cs="宋体"/>
          <w:color w:val="auto"/>
          <w:highlight w:val="none"/>
        </w:rPr>
      </w:pPr>
      <w:r>
        <w:rPr>
          <w:rFonts w:hint="eastAsia" w:cs="宋体"/>
          <w:color w:val="auto"/>
          <w:highlight w:val="none"/>
        </w:rPr>
        <w:t>二、投标文件封面格式</w:t>
      </w:r>
    </w:p>
    <w:p>
      <w:pPr>
        <w:adjustRightInd w:val="0"/>
        <w:snapToGrid w:val="0"/>
        <w:spacing w:line="360" w:lineRule="auto"/>
        <w:ind w:right="240"/>
        <w:jc w:val="right"/>
        <w:rPr>
          <w:rFonts w:ascii="宋体" w:hAnsi="宋体" w:cs="宋体"/>
          <w:color w:val="auto"/>
          <w:sz w:val="24"/>
          <w:highlight w:val="none"/>
        </w:rPr>
      </w:pPr>
      <w:r>
        <w:rPr>
          <w:rFonts w:hint="eastAsia" w:ascii="宋体" w:hAnsi="宋体" w:cs="宋体"/>
          <w:b/>
          <w:bCs/>
          <w:color w:val="auto"/>
          <w:sz w:val="24"/>
          <w:highlight w:val="none"/>
        </w:rPr>
        <w:t>正本/副本</w:t>
      </w:r>
    </w:p>
    <w:p>
      <w:pPr>
        <w:adjustRightInd w:val="0"/>
        <w:snapToGrid w:val="0"/>
        <w:spacing w:line="360" w:lineRule="auto"/>
        <w:jc w:val="center"/>
        <w:rPr>
          <w:rFonts w:ascii="宋体" w:hAnsi="宋体" w:cs="宋体"/>
          <w:color w:val="auto"/>
          <w:szCs w:val="21"/>
          <w:highlight w:val="none"/>
        </w:rPr>
      </w:pPr>
    </w:p>
    <w:p>
      <w:pPr>
        <w:adjustRightInd w:val="0"/>
        <w:snapToGrid w:val="0"/>
        <w:spacing w:line="360" w:lineRule="auto"/>
        <w:jc w:val="center"/>
        <w:rPr>
          <w:rFonts w:hint="eastAsia" w:ascii="宋体" w:hAnsi="宋体" w:cs="宋体"/>
          <w:b/>
          <w:bCs/>
          <w:color w:val="auto"/>
          <w:sz w:val="28"/>
          <w:szCs w:val="28"/>
          <w:highlight w:val="none"/>
        </w:rPr>
      </w:pPr>
    </w:p>
    <w:p>
      <w:pPr>
        <w:adjustRightInd w:val="0"/>
        <w:snapToGrid w:val="0"/>
        <w:spacing w:line="360" w:lineRule="auto"/>
        <w:jc w:val="center"/>
        <w:rPr>
          <w:rFonts w:ascii="宋体" w:hAnsi="宋体" w:cs="宋体"/>
          <w:b/>
          <w:bCs/>
          <w:color w:val="auto"/>
          <w:sz w:val="28"/>
          <w:szCs w:val="28"/>
          <w:highlight w:val="none"/>
        </w:rPr>
      </w:pPr>
      <w:r>
        <w:rPr>
          <w:rFonts w:hint="eastAsia" w:ascii="宋体" w:hAnsi="宋体" w:cs="宋体"/>
          <w:b/>
          <w:bCs/>
          <w:color w:val="auto"/>
          <w:sz w:val="28"/>
          <w:szCs w:val="28"/>
          <w:highlight w:val="none"/>
        </w:rPr>
        <w:t>资格文件/商务技术文件/报价文件</w:t>
      </w:r>
    </w:p>
    <w:p>
      <w:pPr>
        <w:adjustRightInd w:val="0"/>
        <w:snapToGrid w:val="0"/>
        <w:spacing w:line="360" w:lineRule="auto"/>
        <w:ind w:firstLine="1050" w:firstLineChars="500"/>
        <w:rPr>
          <w:rFonts w:ascii="宋体" w:hAnsi="宋体" w:cs="宋体"/>
          <w:color w:val="auto"/>
          <w:szCs w:val="21"/>
          <w:highlight w:val="none"/>
        </w:rPr>
      </w:pPr>
    </w:p>
    <w:p>
      <w:pPr>
        <w:adjustRightInd w:val="0"/>
        <w:snapToGrid w:val="0"/>
        <w:spacing w:line="360" w:lineRule="auto"/>
        <w:ind w:firstLine="1050" w:firstLineChars="500"/>
        <w:rPr>
          <w:rFonts w:hint="eastAsia" w:ascii="宋体" w:hAnsi="宋体" w:cs="宋体"/>
          <w:color w:val="auto"/>
          <w:szCs w:val="21"/>
          <w:highlight w:val="none"/>
        </w:rPr>
      </w:pPr>
    </w:p>
    <w:p>
      <w:pPr>
        <w:adjustRightInd w:val="0"/>
        <w:snapToGrid w:val="0"/>
        <w:spacing w:line="360" w:lineRule="auto"/>
        <w:ind w:firstLine="1050" w:firstLineChars="500"/>
        <w:rPr>
          <w:rFonts w:ascii="宋体" w:hAnsi="宋体" w:cs="宋体"/>
          <w:color w:val="auto"/>
          <w:szCs w:val="21"/>
          <w:highlight w:val="none"/>
        </w:rPr>
      </w:pPr>
      <w:r>
        <w:rPr>
          <w:rFonts w:hint="eastAsia" w:ascii="宋体" w:hAnsi="宋体" w:cs="宋体"/>
          <w:color w:val="auto"/>
          <w:szCs w:val="21"/>
          <w:highlight w:val="none"/>
        </w:rPr>
        <w:t>项目名称：</w:t>
      </w:r>
    </w:p>
    <w:p>
      <w:pPr>
        <w:adjustRightInd w:val="0"/>
        <w:snapToGrid w:val="0"/>
        <w:spacing w:line="360" w:lineRule="auto"/>
        <w:ind w:firstLine="1050" w:firstLineChars="500"/>
        <w:rPr>
          <w:rFonts w:hint="eastAsia" w:ascii="宋体" w:hAnsi="宋体" w:cs="宋体"/>
          <w:color w:val="auto"/>
          <w:szCs w:val="21"/>
          <w:highlight w:val="none"/>
        </w:rPr>
      </w:pPr>
    </w:p>
    <w:p>
      <w:pPr>
        <w:adjustRightInd w:val="0"/>
        <w:snapToGrid w:val="0"/>
        <w:spacing w:line="360" w:lineRule="auto"/>
        <w:ind w:firstLine="1050" w:firstLineChars="500"/>
        <w:rPr>
          <w:rFonts w:hint="eastAsia" w:ascii="宋体" w:hAnsi="宋体" w:cs="宋体"/>
          <w:color w:val="auto"/>
          <w:szCs w:val="21"/>
          <w:highlight w:val="none"/>
        </w:rPr>
      </w:pPr>
    </w:p>
    <w:p>
      <w:pPr>
        <w:adjustRightInd w:val="0"/>
        <w:snapToGrid w:val="0"/>
        <w:spacing w:line="360" w:lineRule="auto"/>
        <w:ind w:firstLine="1050" w:firstLineChars="500"/>
        <w:rPr>
          <w:rFonts w:ascii="宋体" w:hAnsi="宋体" w:cs="宋体"/>
          <w:color w:val="auto"/>
          <w:szCs w:val="21"/>
          <w:highlight w:val="none"/>
        </w:rPr>
      </w:pPr>
      <w:r>
        <w:rPr>
          <w:rFonts w:hint="eastAsia" w:ascii="宋体" w:hAnsi="宋体" w:cs="宋体"/>
          <w:color w:val="auto"/>
          <w:szCs w:val="21"/>
          <w:highlight w:val="none"/>
        </w:rPr>
        <w:t>项目编号：</w:t>
      </w:r>
    </w:p>
    <w:p>
      <w:pPr>
        <w:adjustRightInd w:val="0"/>
        <w:snapToGrid w:val="0"/>
        <w:spacing w:line="360" w:lineRule="auto"/>
        <w:ind w:firstLine="1050" w:firstLineChars="500"/>
        <w:rPr>
          <w:rFonts w:hint="eastAsia" w:ascii="宋体" w:hAnsi="宋体" w:cs="宋体"/>
          <w:bCs/>
          <w:color w:val="auto"/>
          <w:szCs w:val="21"/>
          <w:highlight w:val="none"/>
        </w:rPr>
      </w:pPr>
    </w:p>
    <w:p>
      <w:pPr>
        <w:adjustRightInd w:val="0"/>
        <w:snapToGrid w:val="0"/>
        <w:spacing w:line="360" w:lineRule="auto"/>
        <w:ind w:firstLine="1050" w:firstLineChars="500"/>
        <w:rPr>
          <w:rFonts w:hint="eastAsia" w:ascii="宋体" w:hAnsi="宋体" w:cs="宋体"/>
          <w:bCs/>
          <w:color w:val="auto"/>
          <w:szCs w:val="21"/>
          <w:highlight w:val="none"/>
        </w:rPr>
      </w:pPr>
    </w:p>
    <w:p>
      <w:pPr>
        <w:adjustRightInd w:val="0"/>
        <w:snapToGrid w:val="0"/>
        <w:spacing w:line="360" w:lineRule="auto"/>
        <w:ind w:firstLine="1050" w:firstLineChars="500"/>
        <w:rPr>
          <w:rFonts w:ascii="宋体" w:hAnsi="宋体" w:cs="宋体"/>
          <w:bCs/>
          <w:color w:val="auto"/>
          <w:szCs w:val="21"/>
          <w:highlight w:val="none"/>
        </w:rPr>
      </w:pPr>
      <w:r>
        <w:rPr>
          <w:rFonts w:hint="eastAsia" w:ascii="宋体" w:hAnsi="宋体" w:cs="宋体"/>
          <w:bCs/>
          <w:color w:val="auto"/>
          <w:szCs w:val="21"/>
          <w:highlight w:val="none"/>
        </w:rPr>
        <w:t>供应商名称：      （加盖供应商公章）</w:t>
      </w:r>
    </w:p>
    <w:p>
      <w:pPr>
        <w:adjustRightInd w:val="0"/>
        <w:snapToGrid w:val="0"/>
        <w:spacing w:line="360" w:lineRule="auto"/>
        <w:ind w:firstLine="1050" w:firstLineChars="500"/>
        <w:rPr>
          <w:rFonts w:hint="eastAsia" w:ascii="宋体" w:hAnsi="宋体" w:cs="宋体"/>
          <w:bCs/>
          <w:color w:val="auto"/>
          <w:szCs w:val="21"/>
          <w:highlight w:val="none"/>
        </w:rPr>
      </w:pPr>
    </w:p>
    <w:p>
      <w:pPr>
        <w:adjustRightInd w:val="0"/>
        <w:snapToGrid w:val="0"/>
        <w:spacing w:line="360" w:lineRule="auto"/>
        <w:ind w:firstLine="1050" w:firstLineChars="500"/>
        <w:rPr>
          <w:rFonts w:hint="eastAsia" w:ascii="宋体" w:hAnsi="宋体" w:cs="宋体"/>
          <w:bCs/>
          <w:color w:val="auto"/>
          <w:szCs w:val="21"/>
          <w:highlight w:val="none"/>
        </w:rPr>
      </w:pPr>
    </w:p>
    <w:p>
      <w:pPr>
        <w:adjustRightInd w:val="0"/>
        <w:snapToGrid w:val="0"/>
        <w:spacing w:line="360" w:lineRule="auto"/>
        <w:ind w:firstLine="1050" w:firstLineChars="500"/>
        <w:rPr>
          <w:rFonts w:ascii="宋体" w:hAnsi="宋体" w:cs="宋体"/>
          <w:color w:val="auto"/>
          <w:szCs w:val="21"/>
          <w:highlight w:val="none"/>
        </w:rPr>
      </w:pPr>
      <w:r>
        <w:rPr>
          <w:rFonts w:hint="eastAsia" w:ascii="宋体" w:hAnsi="宋体" w:cs="宋体"/>
          <w:bCs/>
          <w:color w:val="auto"/>
          <w:szCs w:val="21"/>
          <w:highlight w:val="none"/>
        </w:rPr>
        <w:t>供应商地址：</w:t>
      </w:r>
    </w:p>
    <w:p>
      <w:pPr>
        <w:adjustRightInd w:val="0"/>
        <w:snapToGrid w:val="0"/>
        <w:spacing w:line="360" w:lineRule="auto"/>
        <w:jc w:val="center"/>
        <w:rPr>
          <w:rFonts w:ascii="宋体" w:hAnsi="宋体" w:cs="宋体"/>
          <w:color w:val="auto"/>
          <w:szCs w:val="21"/>
          <w:highlight w:val="none"/>
        </w:rPr>
      </w:pPr>
      <w:r>
        <w:rPr>
          <w:rFonts w:hint="eastAsia" w:ascii="宋体" w:hAnsi="宋体" w:cs="宋体"/>
          <w:color w:val="auto"/>
          <w:szCs w:val="21"/>
          <w:highlight w:val="none"/>
        </w:rPr>
        <w:t xml:space="preserve">     </w:t>
      </w:r>
    </w:p>
    <w:p>
      <w:pPr>
        <w:adjustRightInd w:val="0"/>
        <w:snapToGrid w:val="0"/>
        <w:spacing w:line="360" w:lineRule="auto"/>
        <w:jc w:val="center"/>
        <w:rPr>
          <w:rFonts w:ascii="宋体" w:hAnsi="宋体" w:cs="宋体"/>
          <w:color w:val="auto"/>
          <w:szCs w:val="21"/>
          <w:highlight w:val="none"/>
        </w:rPr>
      </w:pPr>
    </w:p>
    <w:p>
      <w:pPr>
        <w:adjustRightInd w:val="0"/>
        <w:snapToGrid w:val="0"/>
        <w:spacing w:line="360" w:lineRule="auto"/>
        <w:jc w:val="center"/>
        <w:rPr>
          <w:rFonts w:ascii="宋体" w:hAnsi="宋体" w:cs="宋体"/>
          <w:color w:val="auto"/>
          <w:szCs w:val="21"/>
          <w:highlight w:val="none"/>
        </w:rPr>
      </w:pPr>
      <w:r>
        <w:rPr>
          <w:rFonts w:hint="eastAsia" w:ascii="宋体" w:hAnsi="宋体" w:cs="宋体"/>
          <w:color w:val="auto"/>
          <w:szCs w:val="21"/>
          <w:highlight w:val="none"/>
        </w:rPr>
        <w:t xml:space="preserve">        </w:t>
      </w:r>
    </w:p>
    <w:p>
      <w:pPr>
        <w:adjustRightInd w:val="0"/>
        <w:snapToGrid w:val="0"/>
        <w:spacing w:line="360" w:lineRule="auto"/>
        <w:ind w:firstLine="3465" w:firstLineChars="1650"/>
        <w:rPr>
          <w:rFonts w:ascii="宋体" w:hAnsi="宋体" w:cs="宋体"/>
          <w:color w:val="auto"/>
          <w:szCs w:val="21"/>
          <w:highlight w:val="none"/>
        </w:rPr>
      </w:pPr>
      <w:r>
        <w:rPr>
          <w:rFonts w:hint="eastAsia" w:ascii="宋体" w:hAnsi="宋体" w:cs="宋体"/>
          <w:color w:val="auto"/>
          <w:szCs w:val="21"/>
          <w:highlight w:val="none"/>
        </w:rPr>
        <w:t xml:space="preserve">                      年  月  日</w:t>
      </w:r>
    </w:p>
    <w:p>
      <w:pPr>
        <w:snapToGrid w:val="0"/>
        <w:spacing w:before="156" w:beforeLines="50" w:after="50"/>
        <w:jc w:val="center"/>
        <w:outlineLvl w:val="1"/>
        <w:rPr>
          <w:rFonts w:ascii="宋体" w:hAnsi="宋体" w:cs="宋体"/>
          <w:b/>
          <w:bCs/>
          <w:color w:val="auto"/>
          <w:sz w:val="28"/>
          <w:szCs w:val="28"/>
          <w:highlight w:val="none"/>
        </w:rPr>
      </w:pPr>
    </w:p>
    <w:p>
      <w:pPr>
        <w:snapToGrid w:val="0"/>
        <w:spacing w:line="360" w:lineRule="auto"/>
        <w:jc w:val="center"/>
        <w:rPr>
          <w:rFonts w:ascii="宋体" w:hAnsi="宋体" w:cs="宋体"/>
          <w:color w:val="auto"/>
          <w:szCs w:val="21"/>
          <w:highlight w:val="none"/>
        </w:rPr>
      </w:pPr>
      <w:r>
        <w:rPr>
          <w:rFonts w:hint="eastAsia" w:ascii="宋体" w:hAnsi="宋体" w:cs="宋体"/>
          <w:b/>
          <w:bCs/>
          <w:color w:val="auto"/>
          <w:sz w:val="24"/>
          <w:highlight w:val="none"/>
        </w:rPr>
        <w:br w:type="page"/>
      </w:r>
      <w:r>
        <w:rPr>
          <w:rFonts w:hint="eastAsia" w:ascii="宋体" w:hAnsi="宋体" w:cs="宋体"/>
          <w:b/>
          <w:bCs/>
          <w:color w:val="auto"/>
          <w:sz w:val="24"/>
          <w:highlight w:val="none"/>
        </w:rPr>
        <w:t>投标声明函</w:t>
      </w:r>
    </w:p>
    <w:p>
      <w:pPr>
        <w:adjustRightInd w:val="0"/>
        <w:snapToGrid w:val="0"/>
        <w:spacing w:line="360" w:lineRule="auto"/>
        <w:rPr>
          <w:rFonts w:ascii="宋体" w:hAnsi="宋体" w:cs="宋体"/>
          <w:color w:val="auto"/>
          <w:szCs w:val="21"/>
          <w:highlight w:val="none"/>
        </w:rPr>
      </w:pPr>
    </w:p>
    <w:p>
      <w:pPr>
        <w:adjustRightInd w:val="0"/>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致</w:t>
      </w:r>
      <w:r>
        <w:rPr>
          <w:rFonts w:hint="eastAsia" w:ascii="宋体" w:hAnsi="宋体" w:cs="宋体"/>
          <w:color w:val="auto"/>
          <w:szCs w:val="21"/>
          <w:highlight w:val="none"/>
          <w:u w:val="single"/>
        </w:rPr>
        <w:t xml:space="preserve">        （采购人名称）         </w:t>
      </w:r>
      <w:r>
        <w:rPr>
          <w:rFonts w:hint="eastAsia" w:ascii="宋体" w:hAnsi="宋体" w:cs="宋体"/>
          <w:color w:val="auto"/>
          <w:szCs w:val="21"/>
          <w:highlight w:val="none"/>
        </w:rPr>
        <w:t>：</w:t>
      </w:r>
    </w:p>
    <w:p>
      <w:pPr>
        <w:adjustRightInd w:val="0"/>
        <w:snapToGrid w:val="0"/>
        <w:spacing w:line="360" w:lineRule="auto"/>
        <w:ind w:firstLine="645"/>
        <w:rPr>
          <w:rFonts w:ascii="宋体" w:hAnsi="宋体" w:cs="宋体"/>
          <w:color w:val="auto"/>
          <w:szCs w:val="21"/>
          <w:highlight w:val="none"/>
        </w:rPr>
      </w:pPr>
      <w:r>
        <w:rPr>
          <w:rFonts w:hint="eastAsia" w:ascii="宋体" w:hAnsi="宋体" w:cs="宋体"/>
          <w:color w:val="auto"/>
          <w:szCs w:val="21"/>
          <w:highlight w:val="none"/>
        </w:rPr>
        <w:t xml:space="preserve">我 </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（姓名）系</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（供应商名称）的法定代表人，我方愿意参加贵方组织的</w:t>
      </w:r>
      <w:r>
        <w:rPr>
          <w:rFonts w:hint="eastAsia" w:ascii="宋体" w:hAnsi="宋体" w:cs="宋体"/>
          <w:color w:val="auto"/>
          <w:szCs w:val="21"/>
          <w:highlight w:val="none"/>
          <w:u w:val="single"/>
        </w:rPr>
        <w:t xml:space="preserve">             （项目名称）              </w:t>
      </w:r>
      <w:r>
        <w:rPr>
          <w:rFonts w:hint="eastAsia" w:ascii="宋体" w:hAnsi="宋体" w:cs="宋体"/>
          <w:color w:val="auto"/>
          <w:szCs w:val="21"/>
          <w:highlight w:val="none"/>
        </w:rPr>
        <w:t>的投标，为便于贵方公正、择优地确定中标人及其投标服务，我方就本次投标有关事项郑重声明如下：</w:t>
      </w:r>
    </w:p>
    <w:p>
      <w:pPr>
        <w:adjustRightInd w:val="0"/>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1、我方向贵方提交的所有投标文件、资料都是准确的和真实的。</w:t>
      </w:r>
    </w:p>
    <w:p>
      <w:pPr>
        <w:adjustRightInd w:val="0"/>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2、我方符合以下供应商资格条件：</w:t>
      </w:r>
    </w:p>
    <w:p>
      <w:pPr>
        <w:adjustRightInd w:val="0"/>
        <w:snapToGrid w:val="0"/>
        <w:spacing w:line="360" w:lineRule="auto"/>
        <w:ind w:firstLine="779" w:firstLineChars="371"/>
        <w:rPr>
          <w:rFonts w:ascii="宋体" w:hAnsi="宋体" w:cs="宋体"/>
          <w:color w:val="auto"/>
          <w:szCs w:val="21"/>
          <w:highlight w:val="none"/>
        </w:rPr>
      </w:pPr>
      <w:r>
        <w:rPr>
          <w:rFonts w:hint="eastAsia" w:ascii="宋体" w:hAnsi="宋体" w:cs="宋体"/>
          <w:color w:val="auto"/>
          <w:szCs w:val="21"/>
          <w:highlight w:val="none"/>
        </w:rPr>
        <w:t>我公司（单位）具有独立承担民事责任的能力；</w:t>
      </w:r>
    </w:p>
    <w:p>
      <w:pPr>
        <w:adjustRightInd w:val="0"/>
        <w:snapToGrid w:val="0"/>
        <w:spacing w:line="360" w:lineRule="auto"/>
        <w:ind w:firstLine="779" w:firstLineChars="371"/>
        <w:rPr>
          <w:rFonts w:ascii="宋体" w:hAnsi="宋体" w:cs="宋体"/>
          <w:color w:val="auto"/>
          <w:szCs w:val="21"/>
          <w:highlight w:val="none"/>
        </w:rPr>
      </w:pPr>
      <w:r>
        <w:rPr>
          <w:rFonts w:hint="eastAsia" w:ascii="宋体" w:hAnsi="宋体" w:cs="宋体"/>
          <w:color w:val="auto"/>
          <w:szCs w:val="21"/>
          <w:highlight w:val="none"/>
        </w:rPr>
        <w:t>我公司（单位）具有良好的商业信誉和健全的财务会计制度；</w:t>
      </w:r>
    </w:p>
    <w:p>
      <w:pPr>
        <w:adjustRightInd w:val="0"/>
        <w:snapToGrid w:val="0"/>
        <w:spacing w:line="360" w:lineRule="auto"/>
        <w:ind w:firstLine="779" w:firstLineChars="371"/>
        <w:rPr>
          <w:rFonts w:ascii="宋体" w:hAnsi="宋体" w:cs="宋体"/>
          <w:color w:val="auto"/>
          <w:szCs w:val="21"/>
          <w:highlight w:val="none"/>
        </w:rPr>
      </w:pPr>
      <w:r>
        <w:rPr>
          <w:rFonts w:hint="eastAsia" w:ascii="宋体" w:hAnsi="宋体" w:cs="宋体"/>
          <w:color w:val="auto"/>
          <w:szCs w:val="21"/>
          <w:highlight w:val="none"/>
        </w:rPr>
        <w:t>我公司（单位）具有履行合同所必需的设备和专业技术能力；</w:t>
      </w:r>
    </w:p>
    <w:p>
      <w:pPr>
        <w:adjustRightInd w:val="0"/>
        <w:snapToGrid w:val="0"/>
        <w:spacing w:line="360" w:lineRule="auto"/>
        <w:ind w:firstLine="779" w:firstLineChars="371"/>
        <w:rPr>
          <w:rFonts w:ascii="宋体" w:hAnsi="宋体" w:cs="宋体"/>
          <w:color w:val="auto"/>
          <w:szCs w:val="21"/>
          <w:highlight w:val="none"/>
        </w:rPr>
      </w:pPr>
      <w:r>
        <w:rPr>
          <w:rFonts w:hint="eastAsia" w:ascii="宋体" w:hAnsi="宋体" w:cs="宋体"/>
          <w:color w:val="auto"/>
          <w:szCs w:val="21"/>
          <w:highlight w:val="none"/>
        </w:rPr>
        <w:t>我公司（单位）有依法缴纳税收和社会保障资金的良好记录；</w:t>
      </w:r>
    </w:p>
    <w:p>
      <w:pPr>
        <w:adjustRightInd w:val="0"/>
        <w:snapToGrid w:val="0"/>
        <w:spacing w:line="360" w:lineRule="auto"/>
        <w:ind w:firstLine="779" w:firstLineChars="371"/>
        <w:rPr>
          <w:rFonts w:ascii="宋体" w:hAnsi="宋体" w:cs="宋体"/>
          <w:color w:val="auto"/>
          <w:highlight w:val="none"/>
        </w:rPr>
      </w:pPr>
      <w:r>
        <w:rPr>
          <w:rFonts w:hint="eastAsia" w:ascii="宋体" w:hAnsi="宋体" w:cs="宋体"/>
          <w:color w:val="auto"/>
          <w:szCs w:val="21"/>
          <w:highlight w:val="none"/>
        </w:rPr>
        <w:t>我公司（单位）</w:t>
      </w:r>
      <w:r>
        <w:rPr>
          <w:rFonts w:hint="eastAsia" w:ascii="宋体" w:hAnsi="宋体" w:cs="宋体"/>
          <w:color w:val="auto"/>
          <w:highlight w:val="none"/>
        </w:rPr>
        <w:t>参加招标活动前三年内，在经营活动中没有重大违法记录（重大违法记录是指供应商因违法经营受到刑事处罚或者责令停产停业、吊销许可证或者执照、较大数额罚款等行政处罚的记录）</w:t>
      </w:r>
    </w:p>
    <w:p>
      <w:pPr>
        <w:adjustRightInd w:val="0"/>
        <w:snapToGrid w:val="0"/>
        <w:spacing w:line="360" w:lineRule="auto"/>
        <w:ind w:firstLine="779" w:firstLineChars="371"/>
        <w:rPr>
          <w:rFonts w:ascii="宋体" w:hAnsi="宋体" w:cs="宋体"/>
          <w:color w:val="auto"/>
          <w:highlight w:val="none"/>
        </w:rPr>
      </w:pPr>
      <w:r>
        <w:rPr>
          <w:rFonts w:hint="eastAsia" w:ascii="宋体" w:hAnsi="宋体" w:cs="宋体"/>
          <w:color w:val="auto"/>
          <w:szCs w:val="21"/>
          <w:highlight w:val="none"/>
        </w:rPr>
        <w:t>我公司（单位）</w:t>
      </w:r>
      <w:r>
        <w:rPr>
          <w:rFonts w:hint="eastAsia" w:ascii="宋体" w:hAnsi="宋体" w:cs="宋体"/>
          <w:color w:val="auto"/>
          <w:highlight w:val="none"/>
        </w:rPr>
        <w:t>未被列入信用中国网站(www.creditchina.gov.cn)“记录失信被执行人或重大税收违法案件当事人名单或政府采购严重违法失信行为”记录名单；不处于中国政府采购网(www.ccgp.gov.cn)“政府采购严重违法失信行为信息记录”中的禁止参加采购活动期间。</w:t>
      </w:r>
    </w:p>
    <w:p>
      <w:pPr>
        <w:wordWrap w:val="0"/>
        <w:adjustRightInd w:val="0"/>
        <w:snapToGrid w:val="0"/>
        <w:spacing w:line="360" w:lineRule="auto"/>
        <w:ind w:firstLine="420" w:firstLineChars="200"/>
        <w:rPr>
          <w:rFonts w:ascii="宋体" w:hAnsi="宋体" w:cs="宋体"/>
          <w:color w:val="auto"/>
          <w:szCs w:val="21"/>
          <w:highlight w:val="none"/>
          <w:u w:val="single"/>
        </w:rPr>
      </w:pPr>
      <w:r>
        <w:rPr>
          <w:rFonts w:hint="eastAsia" w:ascii="宋体" w:hAnsi="宋体" w:cs="宋体"/>
          <w:color w:val="auto"/>
          <w:szCs w:val="21"/>
          <w:highlight w:val="none"/>
        </w:rPr>
        <w:t>3、我方不存在以下情形：</w:t>
      </w:r>
      <w:r>
        <w:rPr>
          <w:rFonts w:hint="eastAsia" w:ascii="宋体" w:hAnsi="宋体" w:cs="宋体"/>
          <w:color w:val="auto"/>
          <w:szCs w:val="21"/>
          <w:highlight w:val="none"/>
          <w:u w:val="single"/>
        </w:rPr>
        <w:t>单位负责人为同一人或者存在直接控股、管理关系的不同供应商，不得参加同一合同项下的招标活动。</w:t>
      </w:r>
    </w:p>
    <w:p>
      <w:pPr>
        <w:adjustRightInd w:val="0"/>
        <w:snapToGrid w:val="0"/>
        <w:spacing w:line="360" w:lineRule="auto"/>
        <w:ind w:firstLine="420" w:firstLineChars="200"/>
        <w:rPr>
          <w:rFonts w:ascii="宋体" w:hAnsi="宋体" w:cs="宋体"/>
          <w:color w:val="auto"/>
          <w:kern w:val="0"/>
          <w:szCs w:val="21"/>
          <w:highlight w:val="none"/>
        </w:rPr>
      </w:pPr>
      <w:r>
        <w:rPr>
          <w:rFonts w:hint="eastAsia" w:ascii="宋体" w:hAnsi="宋体" w:cs="宋体"/>
          <w:color w:val="auto"/>
          <w:szCs w:val="21"/>
          <w:highlight w:val="none"/>
        </w:rPr>
        <w:t>4、</w:t>
      </w:r>
      <w:r>
        <w:rPr>
          <w:rFonts w:hint="eastAsia" w:ascii="宋体" w:hAnsi="宋体" w:cs="宋体"/>
          <w:color w:val="auto"/>
          <w:kern w:val="0"/>
          <w:szCs w:val="21"/>
          <w:highlight w:val="none"/>
        </w:rPr>
        <w:t>已完全明确招标文件中告知的全部内容，保证按招标文件、投标承诺及合同要求履行；并在本供应商违反招标文件、投标承诺及合同时愿意按告知内容接受处罚。</w:t>
      </w:r>
    </w:p>
    <w:p>
      <w:pPr>
        <w:adjustRightInd w:val="0"/>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5、以上事项如有虚假或隐瞒，我方愿意承担一切后果，并不再寻求任何旨在减轻或免除法律责任的辩解。</w:t>
      </w:r>
    </w:p>
    <w:p>
      <w:pPr>
        <w:adjustRightInd w:val="0"/>
        <w:snapToGrid w:val="0"/>
        <w:spacing w:line="360" w:lineRule="auto"/>
        <w:ind w:firstLine="200"/>
        <w:rPr>
          <w:rFonts w:ascii="宋体" w:hAnsi="宋体" w:cs="宋体"/>
          <w:color w:val="auto"/>
          <w:szCs w:val="21"/>
          <w:highlight w:val="none"/>
        </w:rPr>
      </w:pPr>
      <w:r>
        <w:rPr>
          <w:rFonts w:hint="eastAsia" w:ascii="宋体" w:hAnsi="宋体" w:cs="宋体"/>
          <w:color w:val="auto"/>
          <w:szCs w:val="21"/>
          <w:highlight w:val="none"/>
        </w:rPr>
        <w:t xml:space="preserve">                     </w:t>
      </w:r>
    </w:p>
    <w:p>
      <w:pPr>
        <w:adjustRightInd w:val="0"/>
        <w:snapToGrid w:val="0"/>
        <w:spacing w:line="360" w:lineRule="auto"/>
        <w:ind w:firstLine="200"/>
        <w:rPr>
          <w:rFonts w:ascii="宋体" w:hAnsi="宋体" w:cs="宋体"/>
          <w:color w:val="auto"/>
          <w:szCs w:val="21"/>
          <w:highlight w:val="none"/>
        </w:rPr>
      </w:pPr>
    </w:p>
    <w:p>
      <w:pPr>
        <w:adjustRightInd w:val="0"/>
        <w:snapToGrid w:val="0"/>
        <w:spacing w:line="360" w:lineRule="auto"/>
        <w:ind w:firstLine="3570" w:firstLineChars="1700"/>
        <w:rPr>
          <w:rFonts w:ascii="宋体" w:hAnsi="宋体" w:cs="宋体"/>
          <w:color w:val="auto"/>
          <w:szCs w:val="21"/>
          <w:highlight w:val="none"/>
          <w:u w:val="single"/>
        </w:rPr>
      </w:pPr>
      <w:r>
        <w:rPr>
          <w:rFonts w:hint="eastAsia" w:ascii="宋体" w:hAnsi="宋体" w:cs="宋体"/>
          <w:color w:val="auto"/>
          <w:szCs w:val="21"/>
          <w:highlight w:val="none"/>
        </w:rPr>
        <w:t>供应商（盖章）：</w:t>
      </w:r>
      <w:r>
        <w:rPr>
          <w:rFonts w:hint="eastAsia" w:ascii="宋体" w:hAnsi="宋体" w:cs="宋体"/>
          <w:color w:val="auto"/>
          <w:szCs w:val="21"/>
          <w:highlight w:val="none"/>
          <w:u w:val="single"/>
        </w:rPr>
        <w:t xml:space="preserve">                        </w:t>
      </w:r>
    </w:p>
    <w:p>
      <w:pPr>
        <w:adjustRightInd w:val="0"/>
        <w:snapToGrid w:val="0"/>
        <w:spacing w:line="360" w:lineRule="auto"/>
        <w:ind w:firstLine="3555" w:firstLineChars="1693"/>
        <w:rPr>
          <w:rFonts w:ascii="宋体" w:hAnsi="宋体" w:cs="宋体"/>
          <w:color w:val="auto"/>
          <w:szCs w:val="21"/>
          <w:highlight w:val="none"/>
          <w:u w:val="single"/>
        </w:rPr>
      </w:pPr>
      <w:r>
        <w:rPr>
          <w:rFonts w:hint="eastAsia" w:ascii="宋体" w:hAnsi="宋体" w:cs="宋体"/>
          <w:color w:val="auto"/>
          <w:szCs w:val="21"/>
          <w:highlight w:val="none"/>
        </w:rPr>
        <w:t>法定代表人或单位负责人或其委托代理人（签字或盖章）：</w:t>
      </w:r>
      <w:r>
        <w:rPr>
          <w:rFonts w:hint="eastAsia" w:ascii="宋体" w:hAnsi="宋体" w:cs="宋体"/>
          <w:color w:val="auto"/>
          <w:szCs w:val="21"/>
          <w:highlight w:val="none"/>
          <w:u w:val="single"/>
        </w:rPr>
        <w:t xml:space="preserve">             </w:t>
      </w:r>
    </w:p>
    <w:p>
      <w:pPr>
        <w:adjustRightInd w:val="0"/>
        <w:snapToGrid w:val="0"/>
        <w:spacing w:line="360" w:lineRule="auto"/>
        <w:ind w:firstLine="210" w:firstLineChars="100"/>
        <w:rPr>
          <w:rFonts w:ascii="宋体" w:hAnsi="宋体" w:cs="宋体"/>
          <w:color w:val="auto"/>
          <w:szCs w:val="21"/>
          <w:highlight w:val="none"/>
          <w:u w:val="single"/>
        </w:rPr>
      </w:pPr>
      <w:r>
        <w:rPr>
          <w:rFonts w:hint="eastAsia" w:ascii="宋体" w:hAnsi="宋体" w:cs="宋体"/>
          <w:color w:val="auto"/>
          <w:szCs w:val="21"/>
          <w:highlight w:val="none"/>
        </w:rPr>
        <w:t xml:space="preserve">                                </w:t>
      </w:r>
    </w:p>
    <w:p>
      <w:pPr>
        <w:pStyle w:val="5"/>
        <w:adjustRightInd w:val="0"/>
        <w:snapToGrid w:val="0"/>
        <w:jc w:val="center"/>
        <w:rPr>
          <w:rFonts w:ascii="宋体" w:hAnsi="宋体" w:cs="宋体"/>
          <w:b w:val="0"/>
          <w:color w:val="auto"/>
          <w:szCs w:val="21"/>
          <w:highlight w:val="none"/>
        </w:rPr>
      </w:pPr>
      <w:r>
        <w:rPr>
          <w:rFonts w:hint="eastAsia" w:ascii="宋体" w:hAnsi="宋体" w:cs="宋体"/>
          <w:b w:val="0"/>
          <w:color w:val="auto"/>
          <w:szCs w:val="21"/>
          <w:highlight w:val="none"/>
        </w:rPr>
        <w:t xml:space="preserve">                                                  年    月    日</w:t>
      </w:r>
    </w:p>
    <w:p>
      <w:pPr>
        <w:spacing w:line="400" w:lineRule="exact"/>
        <w:jc w:val="left"/>
        <w:outlineLvl w:val="0"/>
        <w:rPr>
          <w:rFonts w:ascii="宋体" w:hAnsi="宋体" w:cs="宋体"/>
          <w:b/>
          <w:color w:val="auto"/>
          <w:szCs w:val="20"/>
          <w:highlight w:val="none"/>
        </w:rPr>
      </w:pPr>
    </w:p>
    <w:p>
      <w:pPr>
        <w:adjustRightInd w:val="0"/>
        <w:snapToGrid w:val="0"/>
        <w:spacing w:line="360" w:lineRule="auto"/>
        <w:jc w:val="center"/>
        <w:rPr>
          <w:rFonts w:ascii="宋体" w:hAnsi="宋体" w:cs="宋体"/>
          <w:b/>
          <w:color w:val="auto"/>
          <w:szCs w:val="21"/>
          <w:highlight w:val="none"/>
        </w:rPr>
      </w:pPr>
      <w:r>
        <w:rPr>
          <w:rFonts w:hint="eastAsia" w:ascii="宋体" w:hAnsi="宋体" w:cs="宋体"/>
          <w:b/>
          <w:color w:val="auto"/>
          <w:szCs w:val="21"/>
          <w:highlight w:val="none"/>
        </w:rPr>
        <w:br w:type="page"/>
      </w:r>
      <w:r>
        <w:rPr>
          <w:rFonts w:hint="eastAsia" w:ascii="宋体" w:hAnsi="宋体" w:cs="宋体"/>
          <w:b/>
          <w:color w:val="auto"/>
          <w:sz w:val="24"/>
          <w:highlight w:val="none"/>
        </w:rPr>
        <w:t>投标函</w:t>
      </w:r>
    </w:p>
    <w:p>
      <w:pPr>
        <w:adjustRightInd w:val="0"/>
        <w:snapToGrid w:val="0"/>
        <w:spacing w:line="360" w:lineRule="auto"/>
        <w:rPr>
          <w:rFonts w:ascii="宋体" w:hAnsi="宋体" w:cs="宋体"/>
          <w:color w:val="auto"/>
          <w:szCs w:val="21"/>
          <w:highlight w:val="none"/>
        </w:rPr>
      </w:pPr>
    </w:p>
    <w:p>
      <w:pPr>
        <w:adjustRightInd w:val="0"/>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致</w:t>
      </w:r>
      <w:r>
        <w:rPr>
          <w:rFonts w:hint="eastAsia" w:ascii="宋体" w:hAnsi="宋体" w:cs="宋体"/>
          <w:color w:val="auto"/>
          <w:szCs w:val="21"/>
          <w:highlight w:val="none"/>
          <w:u w:val="single"/>
        </w:rPr>
        <w:t xml:space="preserve">       （采购人名称）           </w:t>
      </w:r>
      <w:r>
        <w:rPr>
          <w:rFonts w:hint="eastAsia" w:ascii="宋体" w:hAnsi="宋体" w:cs="宋体"/>
          <w:color w:val="auto"/>
          <w:szCs w:val="21"/>
          <w:highlight w:val="none"/>
        </w:rPr>
        <w:t>：</w:t>
      </w:r>
    </w:p>
    <w:p>
      <w:pPr>
        <w:adjustRightInd w:val="0"/>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u w:val="single"/>
        </w:rPr>
        <w:t xml:space="preserve">     　（供应商全称）   　</w:t>
      </w:r>
      <w:r>
        <w:rPr>
          <w:rFonts w:hint="eastAsia" w:ascii="宋体" w:hAnsi="宋体" w:cs="宋体"/>
          <w:color w:val="auto"/>
          <w:szCs w:val="21"/>
          <w:highlight w:val="none"/>
        </w:rPr>
        <w:t>授权</w:t>
      </w:r>
      <w:r>
        <w:rPr>
          <w:rFonts w:hint="eastAsia" w:ascii="宋体" w:hAnsi="宋体" w:cs="宋体"/>
          <w:color w:val="auto"/>
          <w:szCs w:val="21"/>
          <w:highlight w:val="none"/>
          <w:u w:val="single"/>
        </w:rPr>
        <w:t xml:space="preserve">  （全名、职务）  </w:t>
      </w:r>
      <w:r>
        <w:rPr>
          <w:rFonts w:hint="eastAsia" w:ascii="宋体" w:hAnsi="宋体" w:cs="宋体"/>
          <w:color w:val="auto"/>
          <w:szCs w:val="21"/>
          <w:highlight w:val="none"/>
        </w:rPr>
        <w:t>为全权代表，参加贵方组织的</w:t>
      </w:r>
      <w:r>
        <w:rPr>
          <w:rFonts w:hint="eastAsia" w:ascii="宋体" w:hAnsi="宋体" w:cs="宋体"/>
          <w:color w:val="auto"/>
          <w:szCs w:val="21"/>
          <w:highlight w:val="none"/>
          <w:u w:val="single"/>
        </w:rPr>
        <w:t xml:space="preserve">     （项目名称）    </w:t>
      </w:r>
      <w:r>
        <w:rPr>
          <w:rFonts w:hint="eastAsia" w:ascii="宋体" w:hAnsi="宋体" w:cs="宋体"/>
          <w:color w:val="auto"/>
          <w:szCs w:val="21"/>
          <w:highlight w:val="none"/>
        </w:rPr>
        <w:t>（项目编号：</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）招标活动并投标，为便于贵方公正、择优地确定中标供应商及其投标服务，我方就本次投标有关事项郑重声明如下：</w:t>
      </w:r>
    </w:p>
    <w:p>
      <w:pPr>
        <w:adjustRightInd w:val="0"/>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1．据此函，签字代表宣布并承诺：</w:t>
      </w:r>
    </w:p>
    <w:p>
      <w:pPr>
        <w:pStyle w:val="11"/>
        <w:tabs>
          <w:tab w:val="left" w:pos="993"/>
        </w:tabs>
        <w:adjustRightInd w:val="0"/>
        <w:snapToGrid w:val="0"/>
        <w:spacing w:line="360" w:lineRule="auto"/>
        <w:ind w:firstLine="404" w:firstLineChars="200"/>
        <w:rPr>
          <w:rFonts w:hAnsi="宋体" w:cs="宋体"/>
          <w:color w:val="auto"/>
          <w:sz w:val="21"/>
          <w:szCs w:val="21"/>
          <w:highlight w:val="none"/>
        </w:rPr>
      </w:pPr>
      <w:r>
        <w:rPr>
          <w:rFonts w:hint="eastAsia" w:hAnsi="宋体" w:cs="宋体"/>
          <w:color w:val="auto"/>
          <w:sz w:val="21"/>
          <w:szCs w:val="21"/>
          <w:highlight w:val="none"/>
        </w:rPr>
        <w:t>（1）我方对招标项目愿以承诺的投标总价承担招标文件规定全部内容的服务。</w:t>
      </w:r>
    </w:p>
    <w:p>
      <w:pPr>
        <w:pStyle w:val="11"/>
        <w:tabs>
          <w:tab w:val="left" w:pos="993"/>
        </w:tabs>
        <w:adjustRightInd w:val="0"/>
        <w:snapToGrid w:val="0"/>
        <w:spacing w:line="360" w:lineRule="auto"/>
        <w:ind w:firstLine="404" w:firstLineChars="200"/>
        <w:rPr>
          <w:rFonts w:hAnsi="宋体" w:cs="宋体"/>
          <w:color w:val="auto"/>
          <w:sz w:val="21"/>
          <w:szCs w:val="21"/>
          <w:highlight w:val="none"/>
        </w:rPr>
      </w:pPr>
      <w:r>
        <w:rPr>
          <w:rFonts w:hint="eastAsia" w:hAnsi="宋体" w:cs="宋体"/>
          <w:color w:val="auto"/>
          <w:sz w:val="21"/>
          <w:szCs w:val="21"/>
          <w:highlight w:val="none"/>
        </w:rPr>
        <w:t>（2）本报价已经包含了所提供服务应纳的税金及招标文件规定的报价方式应包含的其它费用。</w:t>
      </w:r>
    </w:p>
    <w:p>
      <w:pPr>
        <w:pStyle w:val="11"/>
        <w:tabs>
          <w:tab w:val="left" w:pos="993"/>
        </w:tabs>
        <w:adjustRightInd w:val="0"/>
        <w:snapToGrid w:val="0"/>
        <w:spacing w:line="360" w:lineRule="auto"/>
        <w:ind w:firstLine="404" w:firstLineChars="200"/>
        <w:rPr>
          <w:rFonts w:hAnsi="宋体" w:cs="宋体"/>
          <w:color w:val="auto"/>
          <w:sz w:val="21"/>
          <w:szCs w:val="21"/>
          <w:highlight w:val="none"/>
        </w:rPr>
      </w:pPr>
      <w:r>
        <w:rPr>
          <w:rFonts w:hint="eastAsia" w:hAnsi="宋体" w:cs="宋体"/>
          <w:color w:val="auto"/>
          <w:sz w:val="21"/>
          <w:szCs w:val="21"/>
          <w:highlight w:val="none"/>
        </w:rPr>
        <w:t>（3）本投标</w:t>
      </w:r>
      <w:r>
        <w:rPr>
          <w:rFonts w:hint="eastAsia" w:hAnsi="宋体" w:cs="宋体"/>
          <w:bCs/>
          <w:color w:val="auto"/>
          <w:sz w:val="21"/>
          <w:szCs w:val="21"/>
          <w:highlight w:val="none"/>
        </w:rPr>
        <w:t>自投标截止日起</w:t>
      </w:r>
      <w:r>
        <w:rPr>
          <w:rFonts w:hint="eastAsia" w:hAnsi="宋体" w:cs="宋体"/>
          <w:bCs/>
          <w:color w:val="auto"/>
          <w:sz w:val="21"/>
          <w:szCs w:val="21"/>
          <w:highlight w:val="none"/>
          <w:u w:val="single"/>
        </w:rPr>
        <w:t xml:space="preserve">     </w:t>
      </w:r>
      <w:r>
        <w:rPr>
          <w:rFonts w:hint="eastAsia" w:hAnsi="宋体" w:cs="宋体"/>
          <w:bCs/>
          <w:color w:val="auto"/>
          <w:sz w:val="21"/>
          <w:szCs w:val="21"/>
          <w:highlight w:val="none"/>
        </w:rPr>
        <w:t>天内有效</w:t>
      </w:r>
      <w:r>
        <w:rPr>
          <w:rFonts w:hint="eastAsia" w:hAnsi="宋体" w:cs="宋体"/>
          <w:color w:val="auto"/>
          <w:sz w:val="21"/>
          <w:szCs w:val="21"/>
          <w:highlight w:val="none"/>
        </w:rPr>
        <w:t>。</w:t>
      </w:r>
    </w:p>
    <w:p>
      <w:pPr>
        <w:pStyle w:val="11"/>
        <w:tabs>
          <w:tab w:val="left" w:pos="993"/>
        </w:tabs>
        <w:adjustRightInd w:val="0"/>
        <w:snapToGrid w:val="0"/>
        <w:spacing w:line="360" w:lineRule="auto"/>
        <w:ind w:firstLine="404" w:firstLineChars="200"/>
        <w:rPr>
          <w:rFonts w:hAnsi="宋体" w:cs="宋体"/>
          <w:color w:val="auto"/>
          <w:sz w:val="21"/>
          <w:szCs w:val="21"/>
          <w:highlight w:val="none"/>
        </w:rPr>
      </w:pPr>
      <w:r>
        <w:rPr>
          <w:rFonts w:hint="eastAsia" w:hAnsi="宋体" w:cs="宋体"/>
          <w:color w:val="auto"/>
          <w:sz w:val="21"/>
          <w:szCs w:val="21"/>
          <w:highlight w:val="none"/>
        </w:rPr>
        <w:t>（4）我们已详细审查全部招标文件及有关的澄清/修改文件(如有)，我们完全理解并同意放弃对这方面提出任何异议的权利。保证遵守招标文件有关条款规定。</w:t>
      </w:r>
    </w:p>
    <w:p>
      <w:pPr>
        <w:pStyle w:val="11"/>
        <w:tabs>
          <w:tab w:val="left" w:pos="993"/>
        </w:tabs>
        <w:adjustRightInd w:val="0"/>
        <w:snapToGrid w:val="0"/>
        <w:spacing w:line="360" w:lineRule="auto"/>
        <w:ind w:firstLine="404" w:firstLineChars="200"/>
        <w:rPr>
          <w:rFonts w:hAnsi="宋体" w:cs="宋体"/>
          <w:color w:val="auto"/>
          <w:sz w:val="21"/>
          <w:szCs w:val="21"/>
          <w:highlight w:val="none"/>
        </w:rPr>
      </w:pPr>
      <w:r>
        <w:rPr>
          <w:rFonts w:hint="eastAsia" w:hAnsi="宋体" w:cs="宋体"/>
          <w:color w:val="auto"/>
          <w:sz w:val="21"/>
          <w:szCs w:val="21"/>
          <w:highlight w:val="none"/>
        </w:rPr>
        <w:t>（5）保证在中标后忠实地执行与招标人所签署的合同，并承担合同规定的责任义务。保证在中标后按照招标文件的规定支付招标代理服务费。</w:t>
      </w:r>
    </w:p>
    <w:p>
      <w:pPr>
        <w:adjustRightInd w:val="0"/>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我们郑重声明：我方符合有关法律法规规定的参加招标活动应当具备的条件：具有独立承担民事责任的能力、具有良好的商业信誉和健全的财务会计制度、具有履行合同所必需的设备和专业技术能力、有依法缴纳税收和社会保障资金的良好记录、参加招标活动前三年内，在经营活动中没有重大违法记录。</w:t>
      </w:r>
    </w:p>
    <w:p>
      <w:pPr>
        <w:adjustRightInd w:val="0"/>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3．与本投标有关的一切正式往来信函请寄：</w:t>
      </w:r>
    </w:p>
    <w:p>
      <w:pPr>
        <w:adjustRightInd w:val="0"/>
        <w:snapToGrid w:val="0"/>
        <w:spacing w:line="360" w:lineRule="auto"/>
        <w:rPr>
          <w:rFonts w:ascii="宋体" w:hAnsi="宋体" w:cs="宋体"/>
          <w:color w:val="auto"/>
          <w:szCs w:val="21"/>
          <w:highlight w:val="none"/>
        </w:rPr>
      </w:pPr>
    </w:p>
    <w:p>
      <w:pPr>
        <w:adjustRightInd w:val="0"/>
        <w:snapToGrid w:val="0"/>
        <w:spacing w:line="360" w:lineRule="auto"/>
        <w:rPr>
          <w:rFonts w:ascii="宋体" w:hAnsi="宋体" w:cs="宋体"/>
          <w:color w:val="auto"/>
          <w:szCs w:val="21"/>
          <w:highlight w:val="none"/>
        </w:rPr>
      </w:pPr>
    </w:p>
    <w:p>
      <w:pPr>
        <w:adjustRightInd w:val="0"/>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供应商： </w:t>
      </w:r>
      <w:r>
        <w:rPr>
          <w:rFonts w:hint="eastAsia" w:ascii="宋体" w:hAnsi="宋体" w:cs="宋体"/>
          <w:color w:val="auto"/>
          <w:szCs w:val="21"/>
          <w:highlight w:val="none"/>
          <w:u w:val="single"/>
        </w:rPr>
        <w:t xml:space="preserve">             （盖章）               </w:t>
      </w:r>
    </w:p>
    <w:p>
      <w:pPr>
        <w:adjustRightInd w:val="0"/>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地址：</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邮编：</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w:t>
      </w:r>
    </w:p>
    <w:p>
      <w:pPr>
        <w:adjustRightInd w:val="0"/>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电话：</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传真：</w:t>
      </w:r>
      <w:r>
        <w:rPr>
          <w:rFonts w:hint="eastAsia" w:ascii="宋体" w:hAnsi="宋体" w:cs="宋体"/>
          <w:color w:val="auto"/>
          <w:szCs w:val="21"/>
          <w:highlight w:val="none"/>
          <w:u w:val="single"/>
        </w:rPr>
        <w:t xml:space="preserve">                </w:t>
      </w:r>
    </w:p>
    <w:p>
      <w:pPr>
        <w:adjustRightInd w:val="0"/>
        <w:snapToGrid w:val="0"/>
        <w:spacing w:line="360" w:lineRule="auto"/>
        <w:ind w:firstLine="420" w:firstLineChars="200"/>
        <w:rPr>
          <w:rFonts w:ascii="宋体" w:hAnsi="宋体" w:cs="宋体"/>
          <w:color w:val="auto"/>
          <w:szCs w:val="21"/>
          <w:highlight w:val="none"/>
          <w:u w:val="single"/>
        </w:rPr>
      </w:pPr>
      <w:r>
        <w:rPr>
          <w:rFonts w:hint="eastAsia" w:ascii="宋体" w:hAnsi="宋体" w:cs="宋体"/>
          <w:color w:val="auto"/>
          <w:szCs w:val="21"/>
          <w:highlight w:val="none"/>
        </w:rPr>
        <w:t>法定代表人或单位负责人或授权代表：</w:t>
      </w:r>
      <w:r>
        <w:rPr>
          <w:rFonts w:hint="eastAsia" w:ascii="宋体" w:hAnsi="宋体" w:cs="宋体"/>
          <w:color w:val="auto"/>
          <w:szCs w:val="21"/>
          <w:highlight w:val="none"/>
          <w:u w:val="single"/>
        </w:rPr>
        <w:t xml:space="preserve">         （签字或盖章）</w:t>
      </w:r>
      <w:r>
        <w:rPr>
          <w:rFonts w:hint="eastAsia" w:ascii="宋体" w:hAnsi="宋体" w:cs="宋体"/>
          <w:color w:val="auto"/>
          <w:szCs w:val="21"/>
          <w:highlight w:val="none"/>
        </w:rPr>
        <w:t xml:space="preserve"> </w:t>
      </w:r>
    </w:p>
    <w:p>
      <w:pPr>
        <w:adjustRightInd w:val="0"/>
        <w:snapToGrid w:val="0"/>
        <w:spacing w:line="360" w:lineRule="auto"/>
        <w:ind w:firstLine="420" w:firstLineChars="200"/>
        <w:rPr>
          <w:rFonts w:ascii="宋体" w:hAnsi="宋体" w:cs="宋体"/>
          <w:b/>
          <w:color w:val="auto"/>
          <w:sz w:val="24"/>
          <w:highlight w:val="none"/>
        </w:rPr>
        <w:sectPr>
          <w:pgSz w:w="11906" w:h="16838"/>
          <w:pgMar w:top="1440" w:right="1286" w:bottom="1318" w:left="1380" w:header="851" w:footer="992" w:gutter="0"/>
          <w:pgBorders>
            <w:top w:val="none" w:sz="0" w:space="0"/>
            <w:left w:val="none" w:sz="0" w:space="0"/>
            <w:bottom w:val="none" w:sz="0" w:space="0"/>
            <w:right w:val="none" w:sz="0" w:space="0"/>
          </w:pgBorders>
          <w:cols w:space="720" w:num="1"/>
          <w:docGrid w:type="lines" w:linePitch="312" w:charSpace="0"/>
        </w:sectPr>
      </w:pPr>
      <w:r>
        <w:rPr>
          <w:rFonts w:hint="eastAsia" w:ascii="宋体" w:hAnsi="宋体" w:cs="宋体"/>
          <w:color w:val="auto"/>
          <w:szCs w:val="21"/>
          <w:highlight w:val="none"/>
        </w:rPr>
        <w:t>日期:</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年</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月</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日</w:t>
      </w:r>
    </w:p>
    <w:p>
      <w:pPr>
        <w:pStyle w:val="5"/>
        <w:spacing w:before="156" w:beforeLines="50" w:after="156" w:afterLines="50" w:line="276" w:lineRule="auto"/>
        <w:jc w:val="center"/>
        <w:rPr>
          <w:rFonts w:ascii="宋体" w:hAnsi="宋体" w:cs="宋体"/>
          <w:color w:val="auto"/>
          <w:szCs w:val="21"/>
          <w:highlight w:val="none"/>
        </w:rPr>
      </w:pPr>
      <w:r>
        <w:rPr>
          <w:rFonts w:hint="eastAsia" w:ascii="宋体" w:hAnsi="宋体" w:cs="宋体"/>
          <w:color w:val="auto"/>
          <w:sz w:val="24"/>
          <w:highlight w:val="none"/>
        </w:rPr>
        <w:t>法定代表人或单位负责人身份证明书</w:t>
      </w:r>
    </w:p>
    <w:p>
      <w:pPr>
        <w:spacing w:line="276" w:lineRule="auto"/>
        <w:jc w:val="left"/>
        <w:rPr>
          <w:rFonts w:ascii="宋体" w:hAnsi="宋体" w:cs="宋体"/>
          <w:color w:val="auto"/>
          <w:sz w:val="24"/>
          <w:highlight w:val="none"/>
        </w:rPr>
      </w:pPr>
    </w:p>
    <w:p>
      <w:pPr>
        <w:spacing w:line="360" w:lineRule="auto"/>
        <w:ind w:firstLine="420" w:firstLineChars="200"/>
        <w:jc w:val="left"/>
        <w:rPr>
          <w:rFonts w:ascii="宋体" w:hAnsi="宋体" w:cs="宋体"/>
          <w:color w:val="auto"/>
          <w:szCs w:val="21"/>
          <w:highlight w:val="none"/>
          <w:u w:val="single"/>
        </w:rPr>
      </w:pPr>
      <w:r>
        <w:rPr>
          <w:rFonts w:hint="eastAsia" w:ascii="宋体" w:hAnsi="宋体" w:cs="宋体"/>
          <w:color w:val="auto"/>
          <w:szCs w:val="21"/>
          <w:highlight w:val="none"/>
        </w:rPr>
        <w:t>供 应 商 名 称：</w:t>
      </w:r>
      <w:r>
        <w:rPr>
          <w:rFonts w:hint="eastAsia" w:ascii="宋体" w:hAnsi="宋体" w:cs="宋体"/>
          <w:color w:val="auto"/>
          <w:szCs w:val="21"/>
          <w:highlight w:val="none"/>
          <w:u w:val="single"/>
        </w:rPr>
        <w:t xml:space="preserve">                                                  </w:t>
      </w:r>
    </w:p>
    <w:p>
      <w:pPr>
        <w:spacing w:line="360" w:lineRule="auto"/>
        <w:ind w:firstLine="420" w:firstLineChars="200"/>
        <w:rPr>
          <w:rFonts w:ascii="宋体" w:hAnsi="宋体" w:cs="宋体"/>
          <w:color w:val="auto"/>
          <w:szCs w:val="21"/>
          <w:highlight w:val="none"/>
          <w:u w:val="single"/>
        </w:rPr>
      </w:pPr>
      <w:r>
        <w:rPr>
          <w:rFonts w:hint="eastAsia" w:ascii="宋体" w:hAnsi="宋体" w:cs="宋体"/>
          <w:color w:val="auto"/>
          <w:szCs w:val="21"/>
          <w:highlight w:val="none"/>
        </w:rPr>
        <w:t>姓    名：</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性    别：</w:t>
      </w:r>
      <w:r>
        <w:rPr>
          <w:rFonts w:hint="eastAsia" w:ascii="宋体" w:hAnsi="宋体" w:cs="宋体"/>
          <w:color w:val="auto"/>
          <w:szCs w:val="21"/>
          <w:highlight w:val="none"/>
          <w:u w:val="single"/>
        </w:rPr>
        <w:t xml:space="preserve">                     </w:t>
      </w:r>
    </w:p>
    <w:p>
      <w:pPr>
        <w:spacing w:line="360" w:lineRule="auto"/>
        <w:ind w:firstLine="420" w:firstLineChars="200"/>
        <w:rPr>
          <w:rFonts w:ascii="宋体" w:hAnsi="宋体" w:cs="宋体"/>
          <w:color w:val="auto"/>
          <w:szCs w:val="21"/>
          <w:highlight w:val="none"/>
          <w:u w:val="single"/>
        </w:rPr>
      </w:pPr>
      <w:r>
        <w:rPr>
          <w:rFonts w:hint="eastAsia" w:ascii="宋体" w:hAnsi="宋体" w:cs="宋体"/>
          <w:color w:val="auto"/>
          <w:szCs w:val="21"/>
          <w:highlight w:val="none"/>
        </w:rPr>
        <w:t>年    龄：</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职    务：</w:t>
      </w:r>
      <w:r>
        <w:rPr>
          <w:rFonts w:hint="eastAsia" w:ascii="宋体" w:hAnsi="宋体" w:cs="宋体"/>
          <w:color w:val="auto"/>
          <w:szCs w:val="21"/>
          <w:highlight w:val="none"/>
          <w:u w:val="single"/>
        </w:rPr>
        <w:t xml:space="preserve">                     </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系</w:t>
      </w:r>
      <w:r>
        <w:rPr>
          <w:rFonts w:hint="eastAsia" w:ascii="宋体" w:hAnsi="宋体" w:cs="宋体"/>
          <w:color w:val="auto"/>
          <w:szCs w:val="21"/>
          <w:highlight w:val="none"/>
          <w:u w:val="single"/>
        </w:rPr>
        <w:t xml:space="preserve">                 (供应商名称)         </w:t>
      </w:r>
      <w:r>
        <w:rPr>
          <w:rFonts w:hint="eastAsia" w:ascii="宋体" w:hAnsi="宋体" w:cs="宋体"/>
          <w:color w:val="auto"/>
          <w:szCs w:val="21"/>
          <w:highlight w:val="none"/>
        </w:rPr>
        <w:t>的法定代表人。</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特此证明。</w:t>
      </w:r>
    </w:p>
    <w:p>
      <w:pPr>
        <w:spacing w:line="360" w:lineRule="auto"/>
        <w:ind w:firstLine="420" w:firstLineChars="200"/>
        <w:rPr>
          <w:rFonts w:ascii="宋体" w:hAnsi="宋体" w:cs="宋体"/>
          <w:color w:val="auto"/>
          <w:szCs w:val="21"/>
          <w:highlight w:val="none"/>
        </w:rPr>
      </w:pP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附：1、法定代表人或单位负责人身份证复印件。</w:t>
      </w: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p>
    <w:p>
      <w:pPr>
        <w:wordWrap w:val="0"/>
        <w:spacing w:line="360" w:lineRule="auto"/>
        <w:jc w:val="right"/>
        <w:rPr>
          <w:rFonts w:ascii="宋体" w:hAnsi="宋体" w:cs="宋体"/>
          <w:color w:val="auto"/>
          <w:szCs w:val="21"/>
          <w:highlight w:val="none"/>
        </w:rPr>
      </w:pPr>
      <w:r>
        <w:rPr>
          <w:rFonts w:hint="eastAsia" w:ascii="宋体" w:hAnsi="宋体" w:cs="宋体"/>
          <w:color w:val="auto"/>
          <w:szCs w:val="21"/>
          <w:highlight w:val="none"/>
        </w:rPr>
        <w:t>供应商：</w:t>
      </w:r>
      <w:r>
        <w:rPr>
          <w:rFonts w:hint="eastAsia" w:ascii="宋体" w:hAnsi="宋体" w:cs="宋体"/>
          <w:color w:val="auto"/>
          <w:szCs w:val="21"/>
          <w:highlight w:val="none"/>
          <w:u w:val="single"/>
        </w:rPr>
        <w:t xml:space="preserve">       (盖章)      </w:t>
      </w:r>
    </w:p>
    <w:p>
      <w:pPr>
        <w:spacing w:line="360" w:lineRule="auto"/>
        <w:rPr>
          <w:rFonts w:ascii="宋体" w:hAnsi="宋体" w:cs="宋体"/>
          <w:color w:val="auto"/>
          <w:szCs w:val="21"/>
          <w:highlight w:val="none"/>
          <w:u w:val="single"/>
        </w:rPr>
      </w:pPr>
    </w:p>
    <w:p>
      <w:pPr>
        <w:spacing w:line="360" w:lineRule="auto"/>
        <w:jc w:val="right"/>
        <w:rPr>
          <w:rFonts w:ascii="宋体" w:hAnsi="宋体" w:cs="宋体"/>
          <w:color w:val="auto"/>
          <w:szCs w:val="21"/>
          <w:highlight w:val="none"/>
        </w:rPr>
      </w:pPr>
      <w:r>
        <w:rPr>
          <w:rFonts w:hint="eastAsia" w:ascii="宋体" w:hAnsi="宋体" w:cs="宋体"/>
          <w:color w:val="auto"/>
          <w:szCs w:val="21"/>
          <w:highlight w:val="none"/>
        </w:rPr>
        <w:t xml:space="preserve">                                            </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年</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月</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日</w:t>
      </w:r>
    </w:p>
    <w:p>
      <w:pPr>
        <w:snapToGrid w:val="0"/>
        <w:spacing w:before="156" w:beforeLines="50" w:after="50"/>
        <w:jc w:val="center"/>
        <w:rPr>
          <w:rFonts w:ascii="宋体" w:hAnsi="宋体" w:cs="宋体"/>
          <w:b/>
          <w:color w:val="auto"/>
          <w:sz w:val="24"/>
          <w:highlight w:val="none"/>
        </w:rPr>
      </w:pPr>
      <w:r>
        <w:rPr>
          <w:rFonts w:hint="eastAsia" w:ascii="宋体" w:hAnsi="宋体" w:cs="宋体"/>
          <w:color w:val="auto"/>
          <w:highlight w:val="none"/>
        </w:rPr>
        <w:br w:type="page"/>
      </w:r>
      <w:r>
        <w:rPr>
          <w:rFonts w:hint="eastAsia" w:ascii="宋体" w:hAnsi="宋体" w:cs="宋体"/>
          <w:b/>
          <w:color w:val="auto"/>
          <w:sz w:val="24"/>
          <w:highlight w:val="none"/>
        </w:rPr>
        <w:t>授权委托书</w:t>
      </w:r>
    </w:p>
    <w:p>
      <w:pPr>
        <w:snapToGrid w:val="0"/>
        <w:spacing w:before="156" w:beforeLines="50" w:after="50"/>
        <w:jc w:val="center"/>
        <w:rPr>
          <w:rFonts w:ascii="宋体" w:hAnsi="宋体" w:cs="宋体"/>
          <w:b/>
          <w:color w:val="auto"/>
          <w:szCs w:val="21"/>
          <w:highlight w:val="none"/>
        </w:rPr>
      </w:pPr>
      <w:r>
        <w:rPr>
          <w:rFonts w:hint="eastAsia" w:ascii="宋体" w:hAnsi="宋体" w:cs="宋体"/>
          <w:b/>
          <w:color w:val="auto"/>
          <w:sz w:val="24"/>
          <w:highlight w:val="none"/>
        </w:rPr>
        <w:t>（如由委托代理人签署投标文件的须提供）</w:t>
      </w:r>
    </w:p>
    <w:p>
      <w:pPr>
        <w:snapToGrid w:val="0"/>
        <w:spacing w:before="156" w:beforeLines="50" w:after="50"/>
        <w:jc w:val="center"/>
        <w:rPr>
          <w:rFonts w:ascii="宋体" w:hAnsi="宋体" w:cs="宋体"/>
          <w:b/>
          <w:color w:val="auto"/>
          <w:szCs w:val="21"/>
          <w:highlight w:val="none"/>
        </w:rPr>
      </w:pPr>
    </w:p>
    <w:p>
      <w:pPr>
        <w:adjustRightInd w:val="0"/>
        <w:snapToGrid w:val="0"/>
        <w:spacing w:line="360" w:lineRule="auto"/>
        <w:rPr>
          <w:rFonts w:ascii="宋体" w:hAnsi="宋体" w:cs="宋体"/>
          <w:color w:val="auto"/>
          <w:highlight w:val="none"/>
        </w:rPr>
      </w:pPr>
      <w:r>
        <w:rPr>
          <w:rFonts w:hint="eastAsia" w:ascii="宋体" w:hAnsi="宋体" w:cs="宋体"/>
          <w:color w:val="auto"/>
          <w:highlight w:val="none"/>
        </w:rPr>
        <w:t>致</w:t>
      </w:r>
      <w:r>
        <w:rPr>
          <w:rFonts w:hint="eastAsia" w:ascii="宋体" w:hAnsi="宋体" w:cs="宋体"/>
          <w:color w:val="auto"/>
          <w:highlight w:val="none"/>
          <w:u w:val="single"/>
        </w:rPr>
        <w:t xml:space="preserve">（采购人）               </w:t>
      </w:r>
      <w:r>
        <w:rPr>
          <w:rFonts w:hint="eastAsia" w:ascii="宋体" w:hAnsi="宋体" w:cs="宋体"/>
          <w:color w:val="auto"/>
          <w:highlight w:val="none"/>
        </w:rPr>
        <w:t>：</w:t>
      </w:r>
    </w:p>
    <w:p>
      <w:pPr>
        <w:adjustRightInd w:val="0"/>
        <w:snapToGrid w:val="0"/>
        <w:spacing w:line="360" w:lineRule="auto"/>
        <w:rPr>
          <w:rFonts w:ascii="宋体" w:hAnsi="宋体" w:cs="宋体"/>
          <w:color w:val="auto"/>
          <w:highlight w:val="none"/>
        </w:rPr>
      </w:pPr>
    </w:p>
    <w:p>
      <w:pPr>
        <w:adjustRightInd w:val="0"/>
        <w:snapToGrid w:val="0"/>
        <w:spacing w:line="360" w:lineRule="auto"/>
        <w:ind w:firstLine="420" w:firstLineChars="200"/>
        <w:rPr>
          <w:rFonts w:ascii="宋体" w:hAnsi="宋体" w:cs="宋体"/>
          <w:color w:val="auto"/>
          <w:highlight w:val="none"/>
        </w:rPr>
      </w:pPr>
      <w:r>
        <w:rPr>
          <w:rFonts w:hint="eastAsia" w:ascii="宋体" w:hAnsi="宋体" w:cs="宋体"/>
          <w:color w:val="auto"/>
          <w:highlight w:val="none"/>
          <w:u w:val="single"/>
        </w:rPr>
        <w:t xml:space="preserve">             （供应商全称）      </w:t>
      </w:r>
      <w:r>
        <w:rPr>
          <w:rFonts w:hint="eastAsia" w:ascii="宋体" w:hAnsi="宋体" w:cs="宋体"/>
          <w:color w:val="auto"/>
          <w:highlight w:val="none"/>
        </w:rPr>
        <w:t>法定代表人</w:t>
      </w:r>
      <w:r>
        <w:rPr>
          <w:rFonts w:hint="eastAsia" w:ascii="宋体" w:hAnsi="宋体" w:cs="宋体"/>
          <w:color w:val="auto"/>
          <w:highlight w:val="none"/>
          <w:u w:val="single"/>
        </w:rPr>
        <w:t xml:space="preserve">  （姓名、职务）        </w:t>
      </w:r>
      <w:r>
        <w:rPr>
          <w:rFonts w:hint="eastAsia" w:ascii="宋体" w:hAnsi="宋体" w:cs="宋体"/>
          <w:color w:val="auto"/>
          <w:highlight w:val="none"/>
        </w:rPr>
        <w:t>授权</w:t>
      </w:r>
      <w:r>
        <w:rPr>
          <w:rFonts w:hint="eastAsia" w:ascii="宋体" w:hAnsi="宋体" w:cs="宋体"/>
          <w:color w:val="auto"/>
          <w:highlight w:val="none"/>
          <w:u w:val="single"/>
        </w:rPr>
        <w:t xml:space="preserve">   （被授权代表姓名、职务）              </w:t>
      </w:r>
      <w:r>
        <w:rPr>
          <w:rFonts w:hint="eastAsia" w:ascii="宋体" w:hAnsi="宋体" w:cs="宋体"/>
          <w:color w:val="auto"/>
          <w:highlight w:val="none"/>
        </w:rPr>
        <w:t>为我方合法代理人，参加贵招标代理公司组织的</w:t>
      </w:r>
      <w:r>
        <w:rPr>
          <w:rFonts w:hint="eastAsia" w:ascii="宋体" w:hAnsi="宋体" w:cs="宋体"/>
          <w:color w:val="auto"/>
          <w:highlight w:val="none"/>
          <w:u w:val="single"/>
        </w:rPr>
        <w:t xml:space="preserve">   （招标编号） (项目名称)                   </w:t>
      </w:r>
      <w:r>
        <w:rPr>
          <w:rFonts w:hint="eastAsia" w:ascii="宋体" w:hAnsi="宋体" w:cs="宋体"/>
          <w:color w:val="auto"/>
          <w:highlight w:val="none"/>
        </w:rPr>
        <w:t>项目的招标投标活动，代表本公司处理招标投标活动中的一切事宜。</w:t>
      </w:r>
    </w:p>
    <w:p>
      <w:pPr>
        <w:adjustRightInd w:val="0"/>
        <w:snapToGrid w:val="0"/>
        <w:spacing w:line="360" w:lineRule="auto"/>
        <w:rPr>
          <w:rFonts w:ascii="宋体" w:hAnsi="宋体" w:cs="宋体"/>
          <w:color w:val="auto"/>
          <w:highlight w:val="none"/>
        </w:rPr>
      </w:pPr>
      <w:r>
        <w:rPr>
          <w:rFonts w:hint="eastAsia" w:ascii="宋体" w:hAnsi="宋体" w:cs="宋体"/>
          <w:color w:val="auto"/>
          <w:highlight w:val="none"/>
        </w:rPr>
        <w:t xml:space="preserve">     本授权书于</w:t>
      </w:r>
      <w:r>
        <w:rPr>
          <w:rFonts w:hint="eastAsia" w:ascii="宋体" w:hAnsi="宋体" w:cs="宋体"/>
          <w:color w:val="auto"/>
          <w:highlight w:val="none"/>
          <w:u w:val="single"/>
        </w:rPr>
        <w:t xml:space="preserve">       </w:t>
      </w:r>
      <w:r>
        <w:rPr>
          <w:rFonts w:hint="eastAsia" w:ascii="宋体" w:hAnsi="宋体" w:cs="宋体"/>
          <w:color w:val="auto"/>
          <w:highlight w:val="none"/>
        </w:rPr>
        <w:t>年</w:t>
      </w:r>
      <w:r>
        <w:rPr>
          <w:rFonts w:hint="eastAsia" w:ascii="宋体" w:hAnsi="宋体" w:cs="宋体"/>
          <w:color w:val="auto"/>
          <w:highlight w:val="none"/>
          <w:u w:val="single"/>
        </w:rPr>
        <w:t xml:space="preserve">   </w:t>
      </w:r>
      <w:r>
        <w:rPr>
          <w:rFonts w:hint="eastAsia" w:ascii="宋体" w:hAnsi="宋体" w:cs="宋体"/>
          <w:color w:val="auto"/>
          <w:highlight w:val="none"/>
        </w:rPr>
        <w:t>月</w:t>
      </w:r>
      <w:r>
        <w:rPr>
          <w:rFonts w:hint="eastAsia" w:ascii="宋体" w:hAnsi="宋体" w:cs="宋体"/>
          <w:color w:val="auto"/>
          <w:highlight w:val="none"/>
          <w:u w:val="single"/>
        </w:rPr>
        <w:t xml:space="preserve">    </w:t>
      </w:r>
      <w:r>
        <w:rPr>
          <w:rFonts w:hint="eastAsia" w:ascii="宋体" w:hAnsi="宋体" w:cs="宋体"/>
          <w:color w:val="auto"/>
          <w:highlight w:val="none"/>
        </w:rPr>
        <w:t>日签字生效,特此声明。</w:t>
      </w:r>
    </w:p>
    <w:p>
      <w:pPr>
        <w:adjustRightInd w:val="0"/>
        <w:snapToGrid w:val="0"/>
        <w:spacing w:line="360" w:lineRule="auto"/>
        <w:rPr>
          <w:rFonts w:ascii="宋体" w:hAnsi="宋体" w:cs="宋体"/>
          <w:color w:val="auto"/>
          <w:highlight w:val="none"/>
        </w:rPr>
      </w:pPr>
    </w:p>
    <w:p>
      <w:pPr>
        <w:adjustRightInd w:val="0"/>
        <w:snapToGrid w:val="0"/>
        <w:spacing w:line="360" w:lineRule="auto"/>
        <w:ind w:firstLine="420" w:firstLineChars="200"/>
        <w:jc w:val="left"/>
        <w:rPr>
          <w:rFonts w:ascii="宋体" w:hAnsi="宋体" w:cs="宋体"/>
          <w:color w:val="auto"/>
          <w:highlight w:val="none"/>
        </w:rPr>
      </w:pPr>
      <w:r>
        <w:rPr>
          <w:rFonts w:hint="eastAsia" w:ascii="宋体" w:hAnsi="宋体" w:cs="宋体"/>
          <w:color w:val="auto"/>
          <w:highlight w:val="none"/>
        </w:rPr>
        <w:t>法定代表人或单位负责人（签字或盖章）：</w:t>
      </w:r>
    </w:p>
    <w:p>
      <w:pPr>
        <w:adjustRightInd w:val="0"/>
        <w:snapToGrid w:val="0"/>
        <w:spacing w:line="360" w:lineRule="auto"/>
        <w:ind w:firstLine="420" w:firstLineChars="200"/>
        <w:rPr>
          <w:rFonts w:ascii="宋体" w:hAnsi="宋体" w:cs="宋体"/>
          <w:color w:val="auto"/>
          <w:highlight w:val="none"/>
        </w:rPr>
      </w:pPr>
      <w:r>
        <w:rPr>
          <w:rFonts w:hint="eastAsia" w:ascii="宋体" w:hAnsi="宋体" w:cs="宋体"/>
          <w:color w:val="auto"/>
          <w:szCs w:val="21"/>
          <w:highlight w:val="none"/>
        </w:rPr>
        <w:t>供应商</w:t>
      </w:r>
      <w:r>
        <w:rPr>
          <w:rFonts w:hint="eastAsia" w:ascii="宋体" w:hAnsi="宋体" w:cs="宋体"/>
          <w:color w:val="auto"/>
          <w:highlight w:val="none"/>
        </w:rPr>
        <w:t xml:space="preserve">（盖章）： </w:t>
      </w:r>
    </w:p>
    <w:p>
      <w:pPr>
        <w:adjustRightInd w:val="0"/>
        <w:snapToGrid w:val="0"/>
        <w:spacing w:line="360" w:lineRule="auto"/>
        <w:ind w:firstLine="420" w:firstLineChars="200"/>
        <w:rPr>
          <w:rFonts w:ascii="宋体" w:hAnsi="宋体" w:cs="宋体"/>
          <w:color w:val="auto"/>
          <w:highlight w:val="none"/>
        </w:rPr>
      </w:pPr>
      <w:r>
        <w:rPr>
          <w:rFonts w:hint="eastAsia" w:ascii="宋体" w:hAnsi="宋体" w:cs="宋体"/>
          <w:color w:val="auto"/>
          <w:highlight w:val="none"/>
        </w:rPr>
        <w:t>被授权代表姓名：（印刷体）</w:t>
      </w:r>
    </w:p>
    <w:p>
      <w:pPr>
        <w:adjustRightInd w:val="0"/>
        <w:snapToGrid w:val="0"/>
        <w:spacing w:line="360" w:lineRule="auto"/>
        <w:ind w:firstLine="420" w:firstLineChars="200"/>
        <w:rPr>
          <w:rFonts w:ascii="宋体" w:hAnsi="宋体" w:cs="宋体"/>
          <w:color w:val="auto"/>
          <w:highlight w:val="none"/>
        </w:rPr>
      </w:pPr>
      <w:r>
        <w:rPr>
          <w:rFonts w:hint="eastAsia" w:ascii="宋体" w:hAnsi="宋体" w:cs="宋体"/>
          <w:color w:val="auto"/>
          <w:highlight w:val="none"/>
        </w:rPr>
        <w:t>职      务：</w:t>
      </w:r>
    </w:p>
    <w:p>
      <w:pPr>
        <w:adjustRightInd w:val="0"/>
        <w:snapToGrid w:val="0"/>
        <w:spacing w:line="360" w:lineRule="auto"/>
        <w:ind w:firstLine="420" w:firstLineChars="200"/>
        <w:rPr>
          <w:rFonts w:ascii="宋体" w:hAnsi="宋体" w:cs="宋体"/>
          <w:color w:val="auto"/>
          <w:highlight w:val="none"/>
        </w:rPr>
      </w:pPr>
      <w:r>
        <w:rPr>
          <w:rFonts w:hint="eastAsia" w:ascii="宋体" w:hAnsi="宋体" w:cs="宋体"/>
          <w:color w:val="auto"/>
          <w:highlight w:val="none"/>
        </w:rPr>
        <w:t>被授权代表签字或盖章：</w:t>
      </w:r>
    </w:p>
    <w:p>
      <w:pPr>
        <w:adjustRightInd w:val="0"/>
        <w:snapToGrid w:val="0"/>
        <w:spacing w:line="360" w:lineRule="auto"/>
        <w:ind w:firstLine="420" w:firstLineChars="200"/>
        <w:rPr>
          <w:rFonts w:ascii="宋体" w:hAnsi="宋体" w:cs="宋体"/>
          <w:color w:val="auto"/>
          <w:highlight w:val="none"/>
        </w:rPr>
      </w:pPr>
      <w:r>
        <w:rPr>
          <w:rFonts w:hint="eastAsia" w:ascii="宋体" w:hAnsi="宋体" w:cs="宋体"/>
          <w:color w:val="auto"/>
          <w:highlight w:val="none"/>
        </w:rPr>
        <w:t>详细通讯地址：</w:t>
      </w:r>
    </w:p>
    <w:p>
      <w:pPr>
        <w:adjustRightInd w:val="0"/>
        <w:snapToGrid w:val="0"/>
        <w:spacing w:line="360" w:lineRule="auto"/>
        <w:ind w:firstLine="420" w:firstLineChars="200"/>
        <w:rPr>
          <w:rFonts w:ascii="宋体" w:hAnsi="宋体" w:cs="宋体"/>
          <w:color w:val="auto"/>
          <w:highlight w:val="none"/>
        </w:rPr>
      </w:pPr>
      <w:r>
        <w:rPr>
          <w:rFonts w:hint="eastAsia" w:ascii="宋体" w:hAnsi="宋体" w:cs="宋体"/>
          <w:color w:val="auto"/>
          <w:highlight w:val="none"/>
        </w:rPr>
        <w:t>邮 政 编  码：</w:t>
      </w:r>
    </w:p>
    <w:p>
      <w:pPr>
        <w:adjustRightInd w:val="0"/>
        <w:snapToGrid w:val="0"/>
        <w:spacing w:line="360" w:lineRule="auto"/>
        <w:ind w:firstLine="420" w:firstLineChars="200"/>
        <w:rPr>
          <w:rFonts w:ascii="宋体" w:hAnsi="宋体" w:cs="宋体"/>
          <w:color w:val="auto"/>
          <w:highlight w:val="none"/>
        </w:rPr>
      </w:pPr>
      <w:r>
        <w:rPr>
          <w:rFonts w:hint="eastAsia" w:ascii="宋体" w:hAnsi="宋体" w:cs="宋体"/>
          <w:color w:val="auto"/>
          <w:highlight w:val="none"/>
        </w:rPr>
        <w:t>传      真：</w:t>
      </w:r>
    </w:p>
    <w:p>
      <w:pPr>
        <w:adjustRightInd w:val="0"/>
        <w:snapToGrid w:val="0"/>
        <w:spacing w:line="360" w:lineRule="auto"/>
        <w:ind w:firstLine="420" w:firstLineChars="200"/>
        <w:rPr>
          <w:rFonts w:ascii="宋体" w:hAnsi="宋体" w:cs="宋体"/>
          <w:color w:val="auto"/>
          <w:highlight w:val="none"/>
        </w:rPr>
      </w:pPr>
      <w:r>
        <w:rPr>
          <w:rFonts w:hint="eastAsia" w:ascii="宋体" w:hAnsi="宋体" w:cs="宋体"/>
          <w:color w:val="auto"/>
          <w:highlight w:val="none"/>
        </w:rPr>
        <w:t>电      话：</w:t>
      </w:r>
    </w:p>
    <w:p>
      <w:pPr>
        <w:adjustRightInd w:val="0"/>
        <w:snapToGrid w:val="0"/>
        <w:spacing w:before="50" w:after="156" w:afterLines="50" w:line="360" w:lineRule="auto"/>
        <w:jc w:val="left"/>
        <w:rPr>
          <w:rFonts w:ascii="宋体" w:hAnsi="宋体" w:cs="宋体"/>
          <w:color w:val="auto"/>
          <w:sz w:val="24"/>
          <w:szCs w:val="20"/>
          <w:highlight w:val="none"/>
        </w:rPr>
      </w:pPr>
    </w:p>
    <w:p>
      <w:pPr>
        <w:adjustRightInd w:val="0"/>
        <w:snapToGrid w:val="0"/>
        <w:spacing w:line="360" w:lineRule="auto"/>
        <w:ind w:firstLine="422" w:firstLineChars="200"/>
        <w:jc w:val="left"/>
        <w:rPr>
          <w:rFonts w:ascii="宋体" w:hAnsi="宋体" w:cs="宋体"/>
          <w:b/>
          <w:color w:val="auto"/>
          <w:szCs w:val="21"/>
          <w:highlight w:val="none"/>
          <w:u w:val="double"/>
        </w:rPr>
      </w:pPr>
      <w:r>
        <w:rPr>
          <w:rFonts w:hint="eastAsia" w:ascii="宋体" w:hAnsi="宋体" w:cs="宋体"/>
          <w:b/>
          <w:bCs/>
          <w:color w:val="auto"/>
          <w:szCs w:val="21"/>
          <w:highlight w:val="none"/>
          <w:u w:val="double"/>
        </w:rPr>
        <w:t>注：</w:t>
      </w:r>
      <w:r>
        <w:rPr>
          <w:rFonts w:hint="eastAsia" w:ascii="宋体" w:hAnsi="宋体" w:cs="宋体"/>
          <w:b/>
          <w:color w:val="auto"/>
          <w:szCs w:val="20"/>
          <w:highlight w:val="none"/>
          <w:u w:val="double"/>
        </w:rPr>
        <w:t>1、</w:t>
      </w:r>
      <w:r>
        <w:rPr>
          <w:rFonts w:hint="eastAsia" w:ascii="宋体" w:hAnsi="宋体" w:cs="宋体"/>
          <w:b/>
          <w:color w:val="auto"/>
          <w:szCs w:val="21"/>
          <w:highlight w:val="none"/>
          <w:u w:val="double"/>
        </w:rPr>
        <w:t>附</w:t>
      </w:r>
      <w:r>
        <w:rPr>
          <w:rFonts w:hint="eastAsia" w:ascii="宋体" w:hAnsi="宋体" w:cs="宋体"/>
          <w:b/>
          <w:color w:val="auto"/>
          <w:highlight w:val="none"/>
          <w:u w:val="double"/>
        </w:rPr>
        <w:t>被授权代表</w:t>
      </w:r>
      <w:r>
        <w:rPr>
          <w:rFonts w:hint="eastAsia" w:ascii="宋体" w:hAnsi="宋体" w:cs="宋体"/>
          <w:b/>
          <w:color w:val="auto"/>
          <w:szCs w:val="21"/>
          <w:highlight w:val="none"/>
          <w:u w:val="double"/>
        </w:rPr>
        <w:t>身份证复印件。</w:t>
      </w:r>
    </w:p>
    <w:p>
      <w:pPr>
        <w:adjustRightInd w:val="0"/>
        <w:snapToGrid w:val="0"/>
        <w:spacing w:line="360" w:lineRule="auto"/>
        <w:jc w:val="center"/>
        <w:rPr>
          <w:rFonts w:ascii="宋体" w:hAnsi="宋体" w:cs="宋体"/>
          <w:b/>
          <w:color w:val="auto"/>
          <w:sz w:val="24"/>
          <w:highlight w:val="none"/>
        </w:rPr>
      </w:pPr>
      <w:r>
        <w:rPr>
          <w:rFonts w:hint="eastAsia" w:ascii="宋体" w:hAnsi="宋体" w:cs="宋体"/>
          <w:color w:val="auto"/>
          <w:highlight w:val="none"/>
        </w:rPr>
        <w:br w:type="page"/>
      </w:r>
      <w:bookmarkStart w:id="15" w:name="_Toc110393361"/>
      <w:bookmarkStart w:id="16" w:name="_Toc14746861"/>
      <w:bookmarkStart w:id="17" w:name="_Toc225223761"/>
      <w:bookmarkStart w:id="18" w:name="_Toc479927873"/>
      <w:bookmarkStart w:id="19" w:name="_Toc483379796"/>
      <w:bookmarkStart w:id="20" w:name="_Toc488936100"/>
      <w:r>
        <w:rPr>
          <w:rFonts w:hint="eastAsia" w:ascii="宋体" w:hAnsi="宋体" w:cs="宋体"/>
          <w:b/>
          <w:color w:val="auto"/>
          <w:sz w:val="24"/>
          <w:highlight w:val="none"/>
        </w:rPr>
        <w:t>供应商基本情况</w:t>
      </w:r>
      <w:bookmarkEnd w:id="15"/>
      <w:bookmarkEnd w:id="16"/>
      <w:bookmarkEnd w:id="17"/>
      <w:bookmarkEnd w:id="18"/>
      <w:bookmarkEnd w:id="19"/>
      <w:bookmarkEnd w:id="20"/>
      <w:r>
        <w:rPr>
          <w:rFonts w:hint="eastAsia" w:ascii="宋体" w:hAnsi="宋体" w:cs="宋体"/>
          <w:b/>
          <w:color w:val="auto"/>
          <w:sz w:val="24"/>
          <w:highlight w:val="none"/>
        </w:rPr>
        <w:t>表</w:t>
      </w:r>
    </w:p>
    <w:tbl>
      <w:tblPr>
        <w:tblStyle w:val="23"/>
        <w:tblW w:w="82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835"/>
        <w:gridCol w:w="969"/>
        <w:gridCol w:w="907"/>
        <w:gridCol w:w="1929"/>
        <w:gridCol w:w="2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47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szCs w:val="21"/>
                <w:highlight w:val="none"/>
              </w:rPr>
            </w:pPr>
            <w:r>
              <w:rPr>
                <w:rFonts w:hint="eastAsia" w:ascii="宋体" w:hAnsi="宋体" w:cs="宋体"/>
                <w:color w:val="auto"/>
                <w:szCs w:val="21"/>
                <w:highlight w:val="none"/>
              </w:rPr>
              <w:t>单位名称</w:t>
            </w:r>
          </w:p>
        </w:tc>
        <w:tc>
          <w:tcPr>
            <w:tcW w:w="2711"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szCs w:val="21"/>
                <w:highlight w:val="none"/>
              </w:rPr>
            </w:pPr>
          </w:p>
        </w:tc>
        <w:tc>
          <w:tcPr>
            <w:tcW w:w="192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szCs w:val="21"/>
                <w:highlight w:val="none"/>
              </w:rPr>
            </w:pPr>
            <w:r>
              <w:rPr>
                <w:rFonts w:hint="eastAsia" w:ascii="宋体" w:hAnsi="宋体" w:cs="宋体"/>
                <w:color w:val="auto"/>
                <w:szCs w:val="21"/>
                <w:highlight w:val="none"/>
              </w:rPr>
              <w:t>统一信用代码</w:t>
            </w:r>
          </w:p>
        </w:tc>
        <w:tc>
          <w:tcPr>
            <w:tcW w:w="21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47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szCs w:val="21"/>
                <w:highlight w:val="none"/>
              </w:rPr>
            </w:pPr>
            <w:r>
              <w:rPr>
                <w:rFonts w:hint="eastAsia" w:ascii="宋体" w:hAnsi="宋体" w:cs="宋体"/>
                <w:color w:val="auto"/>
                <w:szCs w:val="21"/>
                <w:highlight w:val="none"/>
              </w:rPr>
              <w:t>注册地址</w:t>
            </w:r>
          </w:p>
        </w:tc>
        <w:tc>
          <w:tcPr>
            <w:tcW w:w="2711"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szCs w:val="21"/>
                <w:highlight w:val="none"/>
              </w:rPr>
            </w:pPr>
          </w:p>
        </w:tc>
        <w:tc>
          <w:tcPr>
            <w:tcW w:w="192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szCs w:val="21"/>
                <w:highlight w:val="none"/>
              </w:rPr>
            </w:pPr>
            <w:r>
              <w:rPr>
                <w:rFonts w:hint="eastAsia" w:ascii="宋体" w:hAnsi="宋体" w:cs="宋体"/>
                <w:color w:val="auto"/>
                <w:szCs w:val="21"/>
                <w:highlight w:val="none"/>
              </w:rPr>
              <w:t>经营地址</w:t>
            </w:r>
          </w:p>
        </w:tc>
        <w:tc>
          <w:tcPr>
            <w:tcW w:w="21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47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szCs w:val="21"/>
                <w:highlight w:val="none"/>
              </w:rPr>
            </w:pPr>
            <w:r>
              <w:rPr>
                <w:rFonts w:hint="eastAsia" w:ascii="宋体" w:hAnsi="宋体" w:cs="宋体"/>
                <w:color w:val="auto"/>
                <w:szCs w:val="21"/>
                <w:highlight w:val="none"/>
              </w:rPr>
              <w:t>单位性质</w:t>
            </w:r>
          </w:p>
        </w:tc>
        <w:tc>
          <w:tcPr>
            <w:tcW w:w="2711" w:type="dxa"/>
            <w:gridSpan w:val="3"/>
            <w:tcBorders>
              <w:top w:val="single" w:color="auto" w:sz="4" w:space="0"/>
              <w:left w:val="single" w:color="auto" w:sz="4" w:space="0"/>
              <w:bottom w:val="single" w:color="auto" w:sz="4" w:space="0"/>
              <w:right w:val="single" w:color="auto" w:sz="4" w:space="0"/>
            </w:tcBorders>
            <w:vAlign w:val="center"/>
          </w:tcPr>
          <w:p>
            <w:pPr>
              <w:pStyle w:val="56"/>
              <w:widowControl w:val="0"/>
              <w:spacing w:before="0" w:beforeAutospacing="0" w:after="0" w:afterAutospacing="0" w:line="360" w:lineRule="exact"/>
              <w:ind w:left="2160" w:hanging="480"/>
              <w:rPr>
                <w:rFonts w:cs="宋体"/>
                <w:color w:val="auto"/>
                <w:kern w:val="2"/>
                <w:sz w:val="21"/>
                <w:szCs w:val="21"/>
                <w:highlight w:val="none"/>
              </w:rPr>
            </w:pPr>
          </w:p>
        </w:tc>
        <w:tc>
          <w:tcPr>
            <w:tcW w:w="192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spacing w:val="34"/>
                <w:szCs w:val="21"/>
                <w:highlight w:val="none"/>
              </w:rPr>
            </w:pPr>
            <w:r>
              <w:rPr>
                <w:rFonts w:hint="eastAsia" w:ascii="宋体" w:hAnsi="宋体" w:cs="宋体"/>
                <w:color w:val="auto"/>
                <w:spacing w:val="34"/>
                <w:szCs w:val="21"/>
                <w:highlight w:val="none"/>
              </w:rPr>
              <w:t>注册资本</w:t>
            </w:r>
          </w:p>
        </w:tc>
        <w:tc>
          <w:tcPr>
            <w:tcW w:w="21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47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szCs w:val="21"/>
                <w:highlight w:val="none"/>
              </w:rPr>
            </w:pPr>
            <w:r>
              <w:rPr>
                <w:rFonts w:hint="eastAsia" w:ascii="宋体" w:hAnsi="宋体" w:cs="宋体"/>
                <w:color w:val="auto"/>
                <w:szCs w:val="21"/>
                <w:highlight w:val="none"/>
              </w:rPr>
              <w:t>经营范围</w:t>
            </w:r>
          </w:p>
        </w:tc>
        <w:tc>
          <w:tcPr>
            <w:tcW w:w="2711"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szCs w:val="21"/>
                <w:highlight w:val="none"/>
              </w:rPr>
            </w:pPr>
          </w:p>
        </w:tc>
        <w:tc>
          <w:tcPr>
            <w:tcW w:w="192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szCs w:val="21"/>
                <w:highlight w:val="none"/>
              </w:rPr>
            </w:pPr>
            <w:r>
              <w:rPr>
                <w:rFonts w:hint="eastAsia" w:ascii="宋体" w:hAnsi="宋体" w:cs="宋体"/>
                <w:color w:val="auto"/>
                <w:szCs w:val="21"/>
                <w:highlight w:val="none"/>
              </w:rPr>
              <w:t>营业期限</w:t>
            </w:r>
          </w:p>
        </w:tc>
        <w:tc>
          <w:tcPr>
            <w:tcW w:w="21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szCs w:val="21"/>
                <w:highlight w:val="none"/>
              </w:rPr>
            </w:pPr>
            <w:r>
              <w:rPr>
                <w:rFonts w:hint="eastAsia" w:ascii="宋体" w:hAnsi="宋体" w:cs="宋体"/>
                <w:color w:val="auto"/>
                <w:szCs w:val="21"/>
                <w:highlight w:val="none"/>
              </w:rPr>
              <w:t>年 月-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47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szCs w:val="21"/>
                <w:highlight w:val="none"/>
              </w:rPr>
            </w:pPr>
            <w:r>
              <w:rPr>
                <w:rFonts w:hint="eastAsia" w:ascii="宋体" w:hAnsi="宋体" w:cs="宋体"/>
                <w:color w:val="auto"/>
                <w:szCs w:val="21"/>
                <w:highlight w:val="none"/>
              </w:rPr>
              <w:t>资质情况</w:t>
            </w:r>
          </w:p>
        </w:tc>
        <w:tc>
          <w:tcPr>
            <w:tcW w:w="6740"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47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szCs w:val="21"/>
                <w:highlight w:val="none"/>
              </w:rPr>
            </w:pPr>
            <w:r>
              <w:rPr>
                <w:rFonts w:hint="eastAsia" w:ascii="宋体" w:hAnsi="宋体" w:cs="宋体"/>
                <w:color w:val="auto"/>
                <w:szCs w:val="21"/>
                <w:highlight w:val="none"/>
              </w:rPr>
              <w:t>员工数量</w:t>
            </w:r>
          </w:p>
        </w:tc>
        <w:tc>
          <w:tcPr>
            <w:tcW w:w="6740"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szCs w:val="21"/>
                <w:highlight w:val="none"/>
              </w:rPr>
            </w:pPr>
            <w:r>
              <w:rPr>
                <w:rFonts w:hint="eastAsia" w:ascii="宋体" w:hAnsi="宋体" w:cs="宋体"/>
                <w:color w:val="auto"/>
                <w:szCs w:val="21"/>
                <w:highlight w:val="none"/>
              </w:rPr>
              <w:t>共</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人，其中，高级职称</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人，中级职称</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47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szCs w:val="21"/>
                <w:highlight w:val="none"/>
              </w:rPr>
            </w:pPr>
            <w:r>
              <w:rPr>
                <w:rFonts w:hint="eastAsia" w:ascii="宋体" w:hAnsi="宋体" w:cs="宋体"/>
                <w:color w:val="auto"/>
                <w:szCs w:val="21"/>
                <w:highlight w:val="none"/>
              </w:rPr>
              <w:t>联系电话</w:t>
            </w:r>
          </w:p>
        </w:tc>
        <w:tc>
          <w:tcPr>
            <w:tcW w:w="2711"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szCs w:val="21"/>
                <w:highlight w:val="none"/>
              </w:rPr>
            </w:pPr>
          </w:p>
        </w:tc>
        <w:tc>
          <w:tcPr>
            <w:tcW w:w="192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szCs w:val="21"/>
                <w:highlight w:val="none"/>
              </w:rPr>
            </w:pPr>
            <w:r>
              <w:rPr>
                <w:rFonts w:hint="eastAsia" w:ascii="宋体" w:hAnsi="宋体" w:cs="宋体"/>
                <w:color w:val="auto"/>
                <w:szCs w:val="21"/>
                <w:highlight w:val="none"/>
              </w:rPr>
              <w:t>传真</w:t>
            </w:r>
          </w:p>
        </w:tc>
        <w:tc>
          <w:tcPr>
            <w:tcW w:w="21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47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szCs w:val="21"/>
                <w:highlight w:val="none"/>
              </w:rPr>
            </w:pPr>
            <w:r>
              <w:rPr>
                <w:rFonts w:hint="eastAsia" w:ascii="宋体" w:hAnsi="宋体" w:cs="宋体"/>
                <w:color w:val="auto"/>
                <w:szCs w:val="21"/>
                <w:highlight w:val="none"/>
              </w:rPr>
              <w:t>主要业绩</w:t>
            </w:r>
          </w:p>
        </w:tc>
        <w:tc>
          <w:tcPr>
            <w:tcW w:w="6740"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szCs w:val="21"/>
                <w:highlight w:val="none"/>
              </w:rPr>
            </w:pPr>
          </w:p>
          <w:p>
            <w:pPr>
              <w:spacing w:line="360" w:lineRule="exact"/>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210" w:type="dxa"/>
            <w:gridSpan w:val="6"/>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szCs w:val="21"/>
                <w:highlight w:val="none"/>
              </w:rPr>
            </w:pPr>
            <w:r>
              <w:rPr>
                <w:rFonts w:hint="eastAsia" w:ascii="宋体" w:hAnsi="宋体" w:cs="宋体"/>
                <w:color w:val="auto"/>
                <w:szCs w:val="21"/>
                <w:highlight w:val="none"/>
              </w:rPr>
              <w:t>法 定 代 表 人 基 本 情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47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szCs w:val="21"/>
                <w:highlight w:val="none"/>
              </w:rPr>
            </w:pPr>
            <w:r>
              <w:rPr>
                <w:rFonts w:hint="eastAsia" w:ascii="宋体" w:hAnsi="宋体" w:cs="宋体"/>
                <w:color w:val="auto"/>
                <w:szCs w:val="21"/>
                <w:highlight w:val="none"/>
              </w:rPr>
              <w:t>姓  名</w:t>
            </w:r>
          </w:p>
        </w:tc>
        <w:tc>
          <w:tcPr>
            <w:tcW w:w="2711"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szCs w:val="21"/>
                <w:highlight w:val="none"/>
              </w:rPr>
            </w:pPr>
          </w:p>
        </w:tc>
        <w:tc>
          <w:tcPr>
            <w:tcW w:w="192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szCs w:val="21"/>
                <w:highlight w:val="none"/>
              </w:rPr>
            </w:pPr>
            <w:r>
              <w:rPr>
                <w:rFonts w:hint="eastAsia" w:ascii="宋体" w:hAnsi="宋体" w:cs="宋体"/>
                <w:color w:val="auto"/>
                <w:szCs w:val="21"/>
                <w:highlight w:val="none"/>
              </w:rPr>
              <w:t>身份证号码</w:t>
            </w:r>
          </w:p>
        </w:tc>
        <w:tc>
          <w:tcPr>
            <w:tcW w:w="21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47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szCs w:val="21"/>
                <w:highlight w:val="none"/>
              </w:rPr>
            </w:pPr>
            <w:r>
              <w:rPr>
                <w:rFonts w:hint="eastAsia" w:ascii="宋体" w:hAnsi="宋体" w:cs="宋体"/>
                <w:color w:val="auto"/>
                <w:szCs w:val="21"/>
                <w:highlight w:val="none"/>
              </w:rPr>
              <w:t>职  务</w:t>
            </w:r>
          </w:p>
        </w:tc>
        <w:tc>
          <w:tcPr>
            <w:tcW w:w="83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szCs w:val="21"/>
                <w:highlight w:val="none"/>
              </w:rPr>
            </w:pPr>
          </w:p>
        </w:tc>
        <w:tc>
          <w:tcPr>
            <w:tcW w:w="96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szCs w:val="21"/>
                <w:highlight w:val="none"/>
              </w:rPr>
            </w:pPr>
            <w:r>
              <w:rPr>
                <w:rFonts w:hint="eastAsia" w:ascii="宋体" w:hAnsi="宋体" w:cs="宋体"/>
                <w:color w:val="auto"/>
                <w:szCs w:val="21"/>
                <w:highlight w:val="none"/>
              </w:rPr>
              <w:t>职   称</w:t>
            </w:r>
          </w:p>
        </w:tc>
        <w:tc>
          <w:tcPr>
            <w:tcW w:w="90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szCs w:val="21"/>
                <w:highlight w:val="none"/>
              </w:rPr>
            </w:pPr>
          </w:p>
        </w:tc>
        <w:tc>
          <w:tcPr>
            <w:tcW w:w="192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szCs w:val="21"/>
                <w:highlight w:val="none"/>
              </w:rPr>
            </w:pPr>
            <w:r>
              <w:rPr>
                <w:rFonts w:hint="eastAsia" w:ascii="宋体" w:hAnsi="宋体" w:cs="宋体"/>
                <w:color w:val="auto"/>
                <w:szCs w:val="21"/>
                <w:highlight w:val="none"/>
              </w:rPr>
              <w:t>学    历</w:t>
            </w:r>
          </w:p>
        </w:tc>
        <w:tc>
          <w:tcPr>
            <w:tcW w:w="21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8210" w:type="dxa"/>
            <w:gridSpan w:val="6"/>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color w:val="auto"/>
                <w:szCs w:val="21"/>
                <w:highlight w:val="none"/>
              </w:rPr>
            </w:pPr>
            <w:r>
              <w:rPr>
                <w:rFonts w:hint="eastAsia" w:ascii="宋体" w:hAnsi="宋体" w:cs="宋体"/>
                <w:color w:val="auto"/>
                <w:szCs w:val="21"/>
                <w:highlight w:val="none"/>
              </w:rPr>
              <w:t>备注:</w:t>
            </w:r>
          </w:p>
        </w:tc>
      </w:tr>
    </w:tbl>
    <w:p>
      <w:pPr>
        <w:pStyle w:val="11"/>
        <w:tabs>
          <w:tab w:val="left" w:pos="4841"/>
        </w:tabs>
        <w:spacing w:line="360" w:lineRule="auto"/>
        <w:ind w:firstLine="406" w:firstLineChars="200"/>
        <w:rPr>
          <w:rFonts w:hAnsi="宋体" w:cs="宋体"/>
          <w:b/>
          <w:color w:val="auto"/>
          <w:sz w:val="21"/>
          <w:szCs w:val="21"/>
          <w:highlight w:val="none"/>
        </w:rPr>
      </w:pPr>
      <w:r>
        <w:rPr>
          <w:rFonts w:hint="eastAsia" w:hAnsi="宋体" w:cs="宋体"/>
          <w:b/>
          <w:color w:val="auto"/>
          <w:sz w:val="21"/>
          <w:szCs w:val="21"/>
          <w:highlight w:val="none"/>
        </w:rPr>
        <w:t>注：1、兹证明上述声明是真实、正确的，并提供了全部能提供的资料和数据，我们同意遵照贵方要求出示有关证明文件。</w:t>
      </w:r>
    </w:p>
    <w:p>
      <w:pPr>
        <w:pStyle w:val="11"/>
        <w:tabs>
          <w:tab w:val="left" w:pos="4841"/>
        </w:tabs>
        <w:spacing w:line="360" w:lineRule="auto"/>
        <w:ind w:firstLine="404" w:firstLineChars="200"/>
        <w:rPr>
          <w:rFonts w:hAnsi="宋体" w:cs="宋体"/>
          <w:color w:val="auto"/>
          <w:sz w:val="21"/>
          <w:szCs w:val="21"/>
          <w:highlight w:val="none"/>
        </w:rPr>
      </w:pPr>
    </w:p>
    <w:p>
      <w:pPr>
        <w:pStyle w:val="11"/>
        <w:tabs>
          <w:tab w:val="left" w:pos="4841"/>
        </w:tabs>
        <w:spacing w:line="360" w:lineRule="auto"/>
        <w:ind w:firstLine="404" w:firstLineChars="200"/>
        <w:rPr>
          <w:rFonts w:hAnsi="宋体" w:cs="宋体"/>
          <w:color w:val="auto"/>
          <w:sz w:val="21"/>
          <w:szCs w:val="21"/>
          <w:highlight w:val="none"/>
        </w:rPr>
      </w:pPr>
      <w:r>
        <w:rPr>
          <w:rFonts w:hint="eastAsia" w:hAnsi="宋体" w:cs="宋体"/>
          <w:color w:val="auto"/>
          <w:sz w:val="21"/>
          <w:szCs w:val="21"/>
          <w:highlight w:val="none"/>
        </w:rPr>
        <w:t>供应商（盖章）：</w:t>
      </w:r>
    </w:p>
    <w:p>
      <w:pPr>
        <w:pStyle w:val="11"/>
        <w:tabs>
          <w:tab w:val="left" w:pos="4841"/>
        </w:tabs>
        <w:spacing w:line="360" w:lineRule="auto"/>
        <w:ind w:firstLine="404" w:firstLineChars="200"/>
        <w:rPr>
          <w:rFonts w:hAnsi="宋体" w:cs="宋体"/>
          <w:color w:val="auto"/>
          <w:sz w:val="21"/>
          <w:szCs w:val="21"/>
          <w:highlight w:val="none"/>
        </w:rPr>
      </w:pPr>
      <w:r>
        <w:rPr>
          <w:rFonts w:hint="eastAsia" w:hAnsi="宋体" w:cs="宋体"/>
          <w:color w:val="auto"/>
          <w:sz w:val="21"/>
          <w:szCs w:val="21"/>
          <w:highlight w:val="none"/>
        </w:rPr>
        <w:t>法定代表人或单位负责人或其授权代表人（签字或盖章）：</w:t>
      </w:r>
    </w:p>
    <w:p>
      <w:pPr>
        <w:pStyle w:val="4"/>
        <w:spacing w:before="0" w:after="0" w:line="276" w:lineRule="auto"/>
        <w:ind w:firstLine="420" w:firstLineChars="200"/>
        <w:rPr>
          <w:rFonts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日期：    年   月   日</w:t>
      </w:r>
    </w:p>
    <w:p>
      <w:pPr>
        <w:jc w:val="center"/>
        <w:rPr>
          <w:rFonts w:ascii="宋体" w:hAnsi="宋体" w:cs="宋体"/>
          <w:b/>
          <w:bCs/>
          <w:color w:val="auto"/>
          <w:szCs w:val="21"/>
          <w:highlight w:val="none"/>
        </w:rPr>
      </w:pPr>
      <w:r>
        <w:rPr>
          <w:rFonts w:hint="eastAsia" w:ascii="宋体" w:hAnsi="宋体" w:cs="宋体"/>
          <w:b/>
          <w:bCs/>
          <w:color w:val="auto"/>
          <w:sz w:val="24"/>
          <w:highlight w:val="none"/>
        </w:rPr>
        <w:br w:type="page"/>
      </w:r>
      <w:r>
        <w:rPr>
          <w:rFonts w:hint="eastAsia" w:ascii="宋体" w:hAnsi="宋体" w:cs="宋体"/>
          <w:b/>
          <w:bCs/>
          <w:color w:val="auto"/>
          <w:sz w:val="24"/>
          <w:highlight w:val="none"/>
        </w:rPr>
        <w:t>技术商务条款偏离表</w:t>
      </w:r>
    </w:p>
    <w:p>
      <w:pPr>
        <w:ind w:firstLine="3089"/>
        <w:rPr>
          <w:rFonts w:ascii="宋体" w:hAnsi="宋体" w:cs="宋体"/>
          <w:b/>
          <w:color w:val="auto"/>
          <w:szCs w:val="21"/>
          <w:highlight w:val="none"/>
        </w:rPr>
      </w:pPr>
    </w:p>
    <w:p>
      <w:pPr>
        <w:ind w:firstLine="630" w:firstLineChars="300"/>
        <w:rPr>
          <w:rFonts w:ascii="宋体" w:hAnsi="宋体" w:cs="宋体"/>
          <w:color w:val="auto"/>
          <w:highlight w:val="none"/>
          <w:u w:val="single"/>
        </w:rPr>
      </w:pPr>
      <w:r>
        <w:rPr>
          <w:rFonts w:hint="eastAsia" w:ascii="宋体" w:hAnsi="宋体" w:cs="宋体"/>
          <w:color w:val="auto"/>
          <w:highlight w:val="none"/>
        </w:rPr>
        <w:t>招标项目名称：</w:t>
      </w:r>
      <w:r>
        <w:rPr>
          <w:rFonts w:hint="eastAsia" w:ascii="宋体" w:hAnsi="宋体" w:cs="宋体"/>
          <w:color w:val="auto"/>
          <w:highlight w:val="none"/>
          <w:u w:val="single"/>
        </w:rPr>
        <w:t xml:space="preserve">                    </w:t>
      </w:r>
      <w:r>
        <w:rPr>
          <w:rFonts w:hint="eastAsia" w:ascii="宋体" w:hAnsi="宋体" w:cs="宋体"/>
          <w:color w:val="auto"/>
          <w:highlight w:val="none"/>
        </w:rPr>
        <w:t xml:space="preserve">          招标编号：</w:t>
      </w:r>
      <w:r>
        <w:rPr>
          <w:rFonts w:hint="eastAsia" w:ascii="宋体" w:hAnsi="宋体" w:cs="宋体"/>
          <w:color w:val="auto"/>
          <w:highlight w:val="none"/>
          <w:u w:val="single"/>
        </w:rPr>
        <w:t xml:space="preserve">                  </w:t>
      </w:r>
    </w:p>
    <w:p>
      <w:pPr>
        <w:ind w:firstLine="630" w:firstLineChars="300"/>
        <w:rPr>
          <w:rFonts w:ascii="宋体" w:hAnsi="宋体" w:cs="宋体"/>
          <w:color w:val="auto"/>
          <w:highlight w:val="none"/>
          <w:u w:val="single"/>
        </w:rPr>
      </w:pPr>
    </w:p>
    <w:tbl>
      <w:tblPr>
        <w:tblStyle w:val="23"/>
        <w:tblW w:w="76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7"/>
        <w:gridCol w:w="2160"/>
        <w:gridCol w:w="2160"/>
        <w:gridCol w:w="1249"/>
        <w:gridCol w:w="13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74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color w:val="auto"/>
                <w:highlight w:val="none"/>
              </w:rPr>
            </w:pPr>
            <w:r>
              <w:rPr>
                <w:rFonts w:hint="eastAsia" w:ascii="宋体" w:hAnsi="宋体" w:cs="宋体"/>
                <w:color w:val="auto"/>
                <w:highlight w:val="none"/>
              </w:rPr>
              <w:t>序号</w:t>
            </w:r>
          </w:p>
        </w:tc>
        <w:tc>
          <w:tcPr>
            <w:tcW w:w="216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color w:val="auto"/>
                <w:highlight w:val="none"/>
              </w:rPr>
            </w:pPr>
            <w:r>
              <w:rPr>
                <w:rFonts w:hint="eastAsia" w:ascii="宋体" w:hAnsi="宋体" w:cs="宋体"/>
                <w:color w:val="auto"/>
                <w:highlight w:val="none"/>
              </w:rPr>
              <w:t>招标文件要求</w:t>
            </w:r>
          </w:p>
        </w:tc>
        <w:tc>
          <w:tcPr>
            <w:tcW w:w="2160" w:type="dxa"/>
            <w:tcBorders>
              <w:top w:val="single" w:color="auto" w:sz="4" w:space="0"/>
              <w:left w:val="single" w:color="auto" w:sz="4" w:space="0"/>
              <w:bottom w:val="single" w:color="auto" w:sz="4" w:space="0"/>
              <w:right w:val="single" w:color="auto" w:sz="4" w:space="0"/>
            </w:tcBorders>
            <w:vAlign w:val="center"/>
          </w:tcPr>
          <w:p>
            <w:pPr>
              <w:spacing w:line="500" w:lineRule="exact"/>
              <w:ind w:left="102" w:hanging="102"/>
              <w:jc w:val="center"/>
              <w:rPr>
                <w:rFonts w:ascii="宋体" w:hAnsi="宋体" w:cs="宋体"/>
                <w:color w:val="auto"/>
                <w:highlight w:val="none"/>
              </w:rPr>
            </w:pPr>
            <w:r>
              <w:rPr>
                <w:rFonts w:hint="eastAsia" w:ascii="宋体" w:hAnsi="宋体" w:cs="宋体"/>
                <w:color w:val="auto"/>
                <w:highlight w:val="none"/>
              </w:rPr>
              <w:t>投标文件响应</w:t>
            </w:r>
          </w:p>
        </w:tc>
        <w:tc>
          <w:tcPr>
            <w:tcW w:w="124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color w:val="auto"/>
                <w:highlight w:val="none"/>
              </w:rPr>
            </w:pPr>
            <w:r>
              <w:rPr>
                <w:rFonts w:hint="eastAsia" w:ascii="宋体" w:hAnsi="宋体" w:cs="宋体"/>
                <w:color w:val="auto"/>
                <w:highlight w:val="none"/>
              </w:rPr>
              <w:t>偏离情况</w:t>
            </w:r>
          </w:p>
        </w:tc>
        <w:tc>
          <w:tcPr>
            <w:tcW w:w="1343"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color w:val="auto"/>
                <w:highlight w:val="none"/>
              </w:rPr>
            </w:pPr>
            <w:r>
              <w:rPr>
                <w:rFonts w:hint="eastAsia" w:ascii="宋体" w:hAnsi="宋体" w:cs="宋体"/>
                <w:color w:val="auto"/>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74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color w:val="auto"/>
                <w:highlight w:val="none"/>
              </w:rPr>
            </w:pPr>
          </w:p>
        </w:tc>
        <w:tc>
          <w:tcPr>
            <w:tcW w:w="216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color w:val="auto"/>
                <w:highlight w:val="none"/>
              </w:rPr>
            </w:pPr>
          </w:p>
        </w:tc>
        <w:tc>
          <w:tcPr>
            <w:tcW w:w="216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color w:val="auto"/>
                <w:highlight w:val="none"/>
              </w:rPr>
            </w:pPr>
          </w:p>
        </w:tc>
        <w:tc>
          <w:tcPr>
            <w:tcW w:w="124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color w:val="auto"/>
                <w:highlight w:val="none"/>
              </w:rPr>
            </w:pPr>
          </w:p>
        </w:tc>
        <w:tc>
          <w:tcPr>
            <w:tcW w:w="1343"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74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color w:val="auto"/>
                <w:highlight w:val="none"/>
              </w:rPr>
            </w:pPr>
          </w:p>
        </w:tc>
        <w:tc>
          <w:tcPr>
            <w:tcW w:w="216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color w:val="auto"/>
                <w:highlight w:val="none"/>
              </w:rPr>
            </w:pPr>
          </w:p>
        </w:tc>
        <w:tc>
          <w:tcPr>
            <w:tcW w:w="216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color w:val="auto"/>
                <w:highlight w:val="none"/>
              </w:rPr>
            </w:pPr>
          </w:p>
        </w:tc>
        <w:tc>
          <w:tcPr>
            <w:tcW w:w="124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color w:val="auto"/>
                <w:highlight w:val="none"/>
              </w:rPr>
            </w:pPr>
          </w:p>
        </w:tc>
        <w:tc>
          <w:tcPr>
            <w:tcW w:w="1343"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74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color w:val="auto"/>
                <w:highlight w:val="none"/>
              </w:rPr>
            </w:pPr>
          </w:p>
        </w:tc>
        <w:tc>
          <w:tcPr>
            <w:tcW w:w="216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color w:val="auto"/>
                <w:highlight w:val="none"/>
              </w:rPr>
            </w:pPr>
          </w:p>
        </w:tc>
        <w:tc>
          <w:tcPr>
            <w:tcW w:w="216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color w:val="auto"/>
                <w:highlight w:val="none"/>
              </w:rPr>
            </w:pPr>
          </w:p>
        </w:tc>
        <w:tc>
          <w:tcPr>
            <w:tcW w:w="124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color w:val="auto"/>
                <w:highlight w:val="none"/>
              </w:rPr>
            </w:pPr>
          </w:p>
        </w:tc>
        <w:tc>
          <w:tcPr>
            <w:tcW w:w="1343"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74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color w:val="auto"/>
                <w:highlight w:val="none"/>
              </w:rPr>
            </w:pPr>
          </w:p>
        </w:tc>
        <w:tc>
          <w:tcPr>
            <w:tcW w:w="216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color w:val="auto"/>
                <w:highlight w:val="none"/>
              </w:rPr>
            </w:pPr>
          </w:p>
        </w:tc>
        <w:tc>
          <w:tcPr>
            <w:tcW w:w="216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color w:val="auto"/>
                <w:highlight w:val="none"/>
              </w:rPr>
            </w:pPr>
          </w:p>
        </w:tc>
        <w:tc>
          <w:tcPr>
            <w:tcW w:w="124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color w:val="auto"/>
                <w:highlight w:val="none"/>
              </w:rPr>
            </w:pPr>
          </w:p>
        </w:tc>
        <w:tc>
          <w:tcPr>
            <w:tcW w:w="1343"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74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color w:val="auto"/>
                <w:highlight w:val="none"/>
              </w:rPr>
            </w:pPr>
          </w:p>
        </w:tc>
        <w:tc>
          <w:tcPr>
            <w:tcW w:w="216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color w:val="auto"/>
                <w:highlight w:val="none"/>
              </w:rPr>
            </w:pPr>
          </w:p>
        </w:tc>
        <w:tc>
          <w:tcPr>
            <w:tcW w:w="216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color w:val="auto"/>
                <w:highlight w:val="none"/>
              </w:rPr>
            </w:pPr>
          </w:p>
        </w:tc>
        <w:tc>
          <w:tcPr>
            <w:tcW w:w="124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color w:val="auto"/>
                <w:highlight w:val="none"/>
              </w:rPr>
            </w:pPr>
          </w:p>
        </w:tc>
        <w:tc>
          <w:tcPr>
            <w:tcW w:w="1343"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74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color w:val="auto"/>
                <w:highlight w:val="none"/>
              </w:rPr>
            </w:pPr>
          </w:p>
        </w:tc>
        <w:tc>
          <w:tcPr>
            <w:tcW w:w="216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color w:val="auto"/>
                <w:highlight w:val="none"/>
              </w:rPr>
            </w:pPr>
          </w:p>
        </w:tc>
        <w:tc>
          <w:tcPr>
            <w:tcW w:w="216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color w:val="auto"/>
                <w:highlight w:val="none"/>
              </w:rPr>
            </w:pPr>
          </w:p>
        </w:tc>
        <w:tc>
          <w:tcPr>
            <w:tcW w:w="124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color w:val="auto"/>
                <w:highlight w:val="none"/>
              </w:rPr>
            </w:pPr>
          </w:p>
        </w:tc>
        <w:tc>
          <w:tcPr>
            <w:tcW w:w="1343"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74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color w:val="auto"/>
                <w:highlight w:val="none"/>
              </w:rPr>
            </w:pPr>
          </w:p>
        </w:tc>
        <w:tc>
          <w:tcPr>
            <w:tcW w:w="216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color w:val="auto"/>
                <w:highlight w:val="none"/>
              </w:rPr>
            </w:pPr>
          </w:p>
        </w:tc>
        <w:tc>
          <w:tcPr>
            <w:tcW w:w="216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color w:val="auto"/>
                <w:highlight w:val="none"/>
              </w:rPr>
            </w:pPr>
          </w:p>
        </w:tc>
        <w:tc>
          <w:tcPr>
            <w:tcW w:w="124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color w:val="auto"/>
                <w:highlight w:val="none"/>
              </w:rPr>
            </w:pPr>
          </w:p>
        </w:tc>
        <w:tc>
          <w:tcPr>
            <w:tcW w:w="1343"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74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color w:val="auto"/>
                <w:highlight w:val="none"/>
              </w:rPr>
            </w:pPr>
          </w:p>
        </w:tc>
        <w:tc>
          <w:tcPr>
            <w:tcW w:w="216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color w:val="auto"/>
                <w:highlight w:val="none"/>
              </w:rPr>
            </w:pPr>
          </w:p>
        </w:tc>
        <w:tc>
          <w:tcPr>
            <w:tcW w:w="216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color w:val="auto"/>
                <w:highlight w:val="none"/>
              </w:rPr>
            </w:pPr>
          </w:p>
        </w:tc>
        <w:tc>
          <w:tcPr>
            <w:tcW w:w="124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color w:val="auto"/>
                <w:highlight w:val="none"/>
              </w:rPr>
            </w:pPr>
          </w:p>
        </w:tc>
        <w:tc>
          <w:tcPr>
            <w:tcW w:w="1343"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747" w:type="dxa"/>
            <w:tcBorders>
              <w:top w:val="single" w:color="auto" w:sz="4" w:space="0"/>
              <w:left w:val="single" w:color="auto" w:sz="4" w:space="0"/>
              <w:bottom w:val="single" w:color="auto" w:sz="4" w:space="0"/>
              <w:right w:val="single" w:color="auto" w:sz="4" w:space="0"/>
            </w:tcBorders>
            <w:vAlign w:val="center"/>
          </w:tcPr>
          <w:p>
            <w:pPr>
              <w:pStyle w:val="64"/>
              <w:wordWrap w:val="0"/>
              <w:adjustRightInd w:val="0"/>
              <w:snapToGrid w:val="0"/>
              <w:spacing w:line="360" w:lineRule="exact"/>
              <w:ind w:right="68"/>
              <w:jc w:val="center"/>
              <w:rPr>
                <w:rFonts w:ascii="宋体" w:hAnsi="宋体" w:cs="宋体"/>
                <w:color w:val="auto"/>
                <w:highlight w:val="none"/>
              </w:rPr>
            </w:pPr>
            <w:r>
              <w:rPr>
                <w:rFonts w:hint="eastAsia" w:ascii="宋体" w:hAnsi="宋体" w:cs="宋体"/>
                <w:color w:val="auto"/>
                <w:w w:val="99"/>
                <w:szCs w:val="20"/>
                <w:highlight w:val="none"/>
              </w:rPr>
              <w:t>…</w:t>
            </w:r>
          </w:p>
        </w:tc>
        <w:tc>
          <w:tcPr>
            <w:tcW w:w="2160" w:type="dxa"/>
            <w:tcBorders>
              <w:top w:val="single" w:color="auto" w:sz="4" w:space="0"/>
              <w:left w:val="single" w:color="auto" w:sz="4" w:space="0"/>
              <w:bottom w:val="single" w:color="auto" w:sz="4" w:space="0"/>
              <w:right w:val="single" w:color="auto" w:sz="4" w:space="0"/>
            </w:tcBorders>
            <w:vAlign w:val="center"/>
          </w:tcPr>
          <w:p>
            <w:pPr>
              <w:pStyle w:val="64"/>
              <w:wordWrap w:val="0"/>
              <w:adjustRightInd w:val="0"/>
              <w:snapToGrid w:val="0"/>
              <w:spacing w:line="360" w:lineRule="exact"/>
              <w:jc w:val="center"/>
              <w:rPr>
                <w:rFonts w:ascii="宋体" w:hAnsi="宋体" w:cs="宋体"/>
                <w:color w:val="auto"/>
                <w:highlight w:val="none"/>
              </w:rPr>
            </w:pPr>
            <w:r>
              <w:rPr>
                <w:rFonts w:hint="eastAsia" w:ascii="宋体" w:hAnsi="宋体"/>
                <w:b/>
                <w:color w:val="auto"/>
                <w:szCs w:val="20"/>
                <w:highlight w:val="none"/>
              </w:rPr>
              <w:t>其他技术商务条款</w:t>
            </w:r>
          </w:p>
        </w:tc>
        <w:tc>
          <w:tcPr>
            <w:tcW w:w="2160" w:type="dxa"/>
            <w:tcBorders>
              <w:top w:val="single" w:color="auto" w:sz="4" w:space="0"/>
              <w:left w:val="single" w:color="auto" w:sz="4" w:space="0"/>
              <w:bottom w:val="single" w:color="auto" w:sz="4" w:space="0"/>
              <w:right w:val="single" w:color="auto" w:sz="4" w:space="0"/>
            </w:tcBorders>
            <w:vAlign w:val="center"/>
          </w:tcPr>
          <w:p>
            <w:pPr>
              <w:pStyle w:val="64"/>
              <w:wordWrap w:val="0"/>
              <w:adjustRightInd w:val="0"/>
              <w:snapToGrid w:val="0"/>
              <w:spacing w:line="360" w:lineRule="exact"/>
              <w:ind w:right="96"/>
              <w:jc w:val="center"/>
              <w:rPr>
                <w:rFonts w:ascii="宋体" w:hAnsi="宋体" w:cs="宋体"/>
                <w:color w:val="auto"/>
                <w:highlight w:val="none"/>
              </w:rPr>
            </w:pPr>
            <w:r>
              <w:rPr>
                <w:rFonts w:hint="eastAsia" w:ascii="宋体" w:hAnsi="宋体"/>
                <w:color w:val="auto"/>
                <w:szCs w:val="20"/>
                <w:highlight w:val="none"/>
              </w:rPr>
              <w:t>响应招标文件的其他技术商务条款</w:t>
            </w:r>
          </w:p>
        </w:tc>
        <w:tc>
          <w:tcPr>
            <w:tcW w:w="1249" w:type="dxa"/>
            <w:tcBorders>
              <w:top w:val="single" w:color="auto" w:sz="4" w:space="0"/>
              <w:left w:val="single" w:color="auto" w:sz="4" w:space="0"/>
              <w:bottom w:val="single" w:color="auto" w:sz="4" w:space="0"/>
              <w:right w:val="single" w:color="auto" w:sz="4" w:space="0"/>
            </w:tcBorders>
            <w:vAlign w:val="center"/>
          </w:tcPr>
          <w:p>
            <w:pPr>
              <w:pStyle w:val="64"/>
              <w:wordWrap w:val="0"/>
              <w:adjustRightInd w:val="0"/>
              <w:snapToGrid w:val="0"/>
              <w:spacing w:line="360" w:lineRule="exact"/>
              <w:ind w:left="122" w:right="116"/>
              <w:jc w:val="center"/>
              <w:rPr>
                <w:rFonts w:ascii="宋体" w:hAnsi="宋体" w:cs="宋体"/>
                <w:color w:val="auto"/>
                <w:highlight w:val="none"/>
              </w:rPr>
            </w:pPr>
            <w:r>
              <w:rPr>
                <w:rFonts w:hint="eastAsia" w:ascii="宋体" w:hAnsi="宋体"/>
                <w:color w:val="auto"/>
                <w:szCs w:val="20"/>
                <w:highlight w:val="none"/>
              </w:rPr>
              <w:t>无偏离</w:t>
            </w:r>
          </w:p>
        </w:tc>
        <w:tc>
          <w:tcPr>
            <w:tcW w:w="1343" w:type="dxa"/>
            <w:tcBorders>
              <w:top w:val="single" w:color="auto" w:sz="4" w:space="0"/>
              <w:left w:val="single" w:color="auto" w:sz="4" w:space="0"/>
              <w:bottom w:val="single" w:color="auto" w:sz="4" w:space="0"/>
              <w:right w:val="single" w:color="auto" w:sz="4" w:space="0"/>
            </w:tcBorders>
            <w:vAlign w:val="center"/>
          </w:tcPr>
          <w:p>
            <w:pPr>
              <w:pStyle w:val="64"/>
              <w:wordWrap w:val="0"/>
              <w:adjustRightInd w:val="0"/>
              <w:snapToGrid w:val="0"/>
              <w:spacing w:line="360" w:lineRule="exact"/>
              <w:ind w:right="68"/>
              <w:jc w:val="center"/>
              <w:rPr>
                <w:rFonts w:ascii="宋体" w:hAnsi="宋体" w:cs="宋体"/>
                <w:color w:val="auto"/>
                <w:highlight w:val="none"/>
              </w:rPr>
            </w:pPr>
            <w:r>
              <w:rPr>
                <w:rFonts w:hint="eastAsia" w:ascii="宋体" w:hAnsi="宋体"/>
                <w:color w:val="auto"/>
                <w:w w:val="99"/>
                <w:szCs w:val="20"/>
                <w:highlight w:val="none"/>
              </w:rPr>
              <w:t>…</w:t>
            </w:r>
          </w:p>
        </w:tc>
      </w:tr>
    </w:tbl>
    <w:p>
      <w:pPr>
        <w:spacing w:line="5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我们承诺本指标响应表的内容真实有效，无任何虚假之处，并且愿意承担因不满足此承诺而引起的相应的法律责任并接受相关部门的处罚。</w:t>
      </w:r>
    </w:p>
    <w:p>
      <w:pPr>
        <w:spacing w:line="500" w:lineRule="exact"/>
        <w:rPr>
          <w:rFonts w:ascii="宋体" w:hAnsi="宋体" w:cs="宋体"/>
          <w:color w:val="auto"/>
          <w:sz w:val="24"/>
          <w:highlight w:val="none"/>
        </w:rPr>
      </w:pPr>
    </w:p>
    <w:p>
      <w:pPr>
        <w:tabs>
          <w:tab w:val="left" w:pos="0"/>
        </w:tabs>
        <w:spacing w:line="360" w:lineRule="auto"/>
        <w:ind w:left="525"/>
        <w:rPr>
          <w:rFonts w:ascii="宋体" w:hAnsi="宋体" w:cs="宋体"/>
          <w:color w:val="auto"/>
          <w:szCs w:val="21"/>
          <w:highlight w:val="none"/>
        </w:rPr>
      </w:pPr>
      <w:r>
        <w:rPr>
          <w:rFonts w:hint="eastAsia" w:ascii="宋体" w:hAnsi="宋体" w:cs="宋体"/>
          <w:color w:val="auto"/>
          <w:szCs w:val="21"/>
          <w:highlight w:val="none"/>
        </w:rPr>
        <w:t xml:space="preserve">供应商(盖章)：          </w:t>
      </w:r>
    </w:p>
    <w:p>
      <w:pPr>
        <w:tabs>
          <w:tab w:val="left" w:pos="0"/>
        </w:tabs>
        <w:spacing w:line="360" w:lineRule="auto"/>
        <w:ind w:left="525"/>
        <w:rPr>
          <w:rFonts w:ascii="宋体" w:hAnsi="宋体" w:cs="宋体"/>
          <w:color w:val="auto"/>
          <w:szCs w:val="21"/>
          <w:highlight w:val="none"/>
        </w:rPr>
      </w:pPr>
      <w:r>
        <w:rPr>
          <w:rFonts w:hint="eastAsia" w:ascii="宋体" w:hAnsi="宋体" w:cs="宋体"/>
          <w:color w:val="auto"/>
          <w:szCs w:val="21"/>
          <w:highlight w:val="none"/>
        </w:rPr>
        <w:t xml:space="preserve">法定代表人或单位负责人或其授权代表人（签字或盖章）：          </w:t>
      </w:r>
    </w:p>
    <w:p>
      <w:pPr>
        <w:tabs>
          <w:tab w:val="left" w:pos="0"/>
        </w:tabs>
        <w:spacing w:line="360" w:lineRule="auto"/>
        <w:ind w:left="525"/>
        <w:rPr>
          <w:rFonts w:ascii="宋体" w:hAnsi="宋体" w:cs="宋体"/>
          <w:color w:val="auto"/>
          <w:szCs w:val="21"/>
          <w:highlight w:val="none"/>
        </w:rPr>
      </w:pPr>
      <w:r>
        <w:rPr>
          <w:rFonts w:hint="eastAsia" w:ascii="宋体" w:hAnsi="宋体" w:cs="宋体"/>
          <w:color w:val="auto"/>
          <w:szCs w:val="21"/>
          <w:highlight w:val="none"/>
        </w:rPr>
        <w:t xml:space="preserve">日期：    年  月   日 </w:t>
      </w:r>
    </w:p>
    <w:p>
      <w:pPr>
        <w:pStyle w:val="6"/>
        <w:spacing w:line="360" w:lineRule="auto"/>
        <w:ind w:firstLine="0"/>
        <w:rPr>
          <w:rFonts w:ascii="宋体" w:hAnsi="宋体" w:cs="宋体"/>
          <w:color w:val="auto"/>
          <w:highlight w:val="none"/>
        </w:rPr>
      </w:pPr>
      <w:r>
        <w:rPr>
          <w:rFonts w:hint="eastAsia" w:ascii="宋体" w:hAnsi="宋体" w:cs="宋体"/>
          <w:color w:val="auto"/>
          <w:szCs w:val="24"/>
          <w:highlight w:val="none"/>
        </w:rPr>
        <w:t xml:space="preserve">填写说明：1. </w:t>
      </w:r>
      <w:r>
        <w:rPr>
          <w:rFonts w:hint="eastAsia" w:ascii="宋体" w:hAnsi="宋体" w:cs="宋体"/>
          <w:color w:val="auto"/>
          <w:highlight w:val="none"/>
        </w:rPr>
        <w:t>供应商必须认真填写本表。</w:t>
      </w:r>
    </w:p>
    <w:p>
      <w:pPr>
        <w:pStyle w:val="6"/>
        <w:spacing w:line="360" w:lineRule="auto"/>
        <w:ind w:firstLine="1050" w:firstLineChars="500"/>
        <w:rPr>
          <w:rFonts w:ascii="宋体" w:hAnsi="宋体" w:cs="宋体"/>
          <w:color w:val="auto"/>
          <w:highlight w:val="none"/>
        </w:rPr>
      </w:pPr>
      <w:r>
        <w:rPr>
          <w:rFonts w:hint="eastAsia" w:ascii="宋体" w:hAnsi="宋体" w:cs="宋体"/>
          <w:color w:val="auto"/>
          <w:highlight w:val="none"/>
        </w:rPr>
        <w:t>2. 偏离程度请填写“正偏离、负偏离或无偏离”字样，其中“正偏离”是指投标文件服务响应优于招标文件服务要求；“负偏离”是指投标文件服务响应劣于招标文件服务要求；“无偏离”是指投标文件服务响应与招标文件服务要求无差别， 偏离的认定由评标委员会进行评议。</w:t>
      </w:r>
    </w:p>
    <w:p>
      <w:pPr>
        <w:snapToGrid w:val="0"/>
        <w:spacing w:line="360" w:lineRule="auto"/>
        <w:jc w:val="center"/>
        <w:rPr>
          <w:rFonts w:hint="eastAsia" w:ascii="宋体" w:hAnsi="宋体" w:cs="宋体"/>
          <w:color w:val="auto"/>
          <w:highlight w:val="none"/>
        </w:rPr>
      </w:pPr>
    </w:p>
    <w:p>
      <w:pPr>
        <w:snapToGrid w:val="0"/>
        <w:spacing w:line="360" w:lineRule="auto"/>
        <w:jc w:val="center"/>
        <w:rPr>
          <w:rFonts w:hint="eastAsia" w:ascii="宋体" w:hAnsi="宋体" w:cs="宋体"/>
          <w:color w:val="auto"/>
          <w:highlight w:val="none"/>
        </w:rPr>
      </w:pPr>
    </w:p>
    <w:p>
      <w:pPr>
        <w:snapToGrid w:val="0"/>
        <w:spacing w:before="50" w:after="120" w:afterLines="50" w:line="360" w:lineRule="auto"/>
        <w:jc w:val="center"/>
        <w:rPr>
          <w:rFonts w:hint="eastAsia" w:ascii="宋体" w:hAnsi="宋体" w:eastAsia="宋体" w:cs="宋体"/>
          <w:b/>
          <w:color w:val="auto"/>
          <w:szCs w:val="21"/>
          <w:highlight w:val="none"/>
        </w:rPr>
      </w:pPr>
      <w:r>
        <w:rPr>
          <w:rFonts w:hint="eastAsia" w:ascii="宋体" w:hAnsi="宋体" w:eastAsia="宋体" w:cs="宋体"/>
          <w:b/>
          <w:color w:val="auto"/>
          <w:sz w:val="24"/>
          <w:szCs w:val="24"/>
          <w:highlight w:val="none"/>
          <w:lang w:eastAsia="zh-CN"/>
        </w:rPr>
        <w:t>企业</w:t>
      </w:r>
      <w:r>
        <w:rPr>
          <w:rFonts w:hint="eastAsia" w:ascii="宋体" w:hAnsi="宋体" w:eastAsia="宋体" w:cs="宋体"/>
          <w:b/>
          <w:color w:val="auto"/>
          <w:sz w:val="24"/>
          <w:szCs w:val="24"/>
          <w:highlight w:val="none"/>
        </w:rPr>
        <w:t>业绩一览表</w:t>
      </w:r>
    </w:p>
    <w:tbl>
      <w:tblPr>
        <w:tblStyle w:val="23"/>
        <w:tblW w:w="84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2"/>
        <w:gridCol w:w="1751"/>
        <w:gridCol w:w="2528"/>
        <w:gridCol w:w="1560"/>
        <w:gridCol w:w="1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jc w:val="center"/>
        </w:trPr>
        <w:tc>
          <w:tcPr>
            <w:tcW w:w="932" w:type="dxa"/>
            <w:noWrap w:val="0"/>
            <w:vAlign w:val="center"/>
          </w:tcPr>
          <w:p>
            <w:pPr>
              <w:spacing w:line="4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序号</w:t>
            </w:r>
          </w:p>
        </w:tc>
        <w:tc>
          <w:tcPr>
            <w:tcW w:w="1751" w:type="dxa"/>
            <w:noWrap w:val="0"/>
            <w:vAlign w:val="center"/>
          </w:tcPr>
          <w:p>
            <w:pPr>
              <w:spacing w:line="4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项目名称</w:t>
            </w:r>
          </w:p>
        </w:tc>
        <w:tc>
          <w:tcPr>
            <w:tcW w:w="2528" w:type="dxa"/>
            <w:noWrap w:val="0"/>
            <w:vAlign w:val="center"/>
          </w:tcPr>
          <w:p>
            <w:pPr>
              <w:spacing w:line="400" w:lineRule="exact"/>
              <w:jc w:val="center"/>
              <w:rPr>
                <w:rFonts w:hint="eastAsia" w:ascii="宋体" w:hAnsi="宋体" w:eastAsia="宋体" w:cs="宋体"/>
                <w:color w:val="auto"/>
                <w:szCs w:val="21"/>
                <w:highlight w:val="none"/>
              </w:rPr>
            </w:pPr>
            <w:r>
              <w:rPr>
                <w:rFonts w:hint="eastAsia" w:ascii="宋体" w:hAnsi="宋体" w:eastAsia="宋体" w:cs="宋体"/>
                <w:color w:val="auto"/>
                <w:highlight w:val="none"/>
                <w:lang w:val="zh-CN"/>
              </w:rPr>
              <w:t>使用单位名称、地址及联系方式</w:t>
            </w:r>
          </w:p>
        </w:tc>
        <w:tc>
          <w:tcPr>
            <w:tcW w:w="1560" w:type="dxa"/>
            <w:noWrap w:val="0"/>
            <w:vAlign w:val="center"/>
          </w:tcPr>
          <w:p>
            <w:pPr>
              <w:spacing w:line="4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合同面积</w:t>
            </w:r>
          </w:p>
        </w:tc>
        <w:tc>
          <w:tcPr>
            <w:tcW w:w="1708" w:type="dxa"/>
            <w:noWrap w:val="0"/>
            <w:vAlign w:val="center"/>
          </w:tcPr>
          <w:p>
            <w:pPr>
              <w:spacing w:line="4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合同签订时间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32" w:type="dxa"/>
            <w:noWrap w:val="0"/>
            <w:vAlign w:val="top"/>
          </w:tcPr>
          <w:p>
            <w:pPr>
              <w:spacing w:line="400" w:lineRule="exact"/>
              <w:jc w:val="center"/>
              <w:rPr>
                <w:rFonts w:hint="eastAsia" w:ascii="宋体" w:hAnsi="宋体" w:eastAsia="宋体" w:cs="宋体"/>
                <w:color w:val="auto"/>
                <w:szCs w:val="21"/>
                <w:highlight w:val="none"/>
              </w:rPr>
            </w:pPr>
          </w:p>
        </w:tc>
        <w:tc>
          <w:tcPr>
            <w:tcW w:w="1751" w:type="dxa"/>
            <w:noWrap w:val="0"/>
            <w:vAlign w:val="top"/>
          </w:tcPr>
          <w:p>
            <w:pPr>
              <w:spacing w:line="400" w:lineRule="exact"/>
              <w:jc w:val="center"/>
              <w:rPr>
                <w:rFonts w:hint="eastAsia" w:ascii="宋体" w:hAnsi="宋体" w:eastAsia="宋体" w:cs="宋体"/>
                <w:color w:val="auto"/>
                <w:szCs w:val="21"/>
                <w:highlight w:val="none"/>
              </w:rPr>
            </w:pPr>
          </w:p>
        </w:tc>
        <w:tc>
          <w:tcPr>
            <w:tcW w:w="2528" w:type="dxa"/>
            <w:noWrap w:val="0"/>
            <w:vAlign w:val="top"/>
          </w:tcPr>
          <w:p>
            <w:pPr>
              <w:spacing w:line="400" w:lineRule="exact"/>
              <w:jc w:val="center"/>
              <w:rPr>
                <w:rFonts w:hint="eastAsia" w:ascii="宋体" w:hAnsi="宋体" w:eastAsia="宋体" w:cs="宋体"/>
                <w:color w:val="auto"/>
                <w:szCs w:val="21"/>
                <w:highlight w:val="none"/>
              </w:rPr>
            </w:pPr>
          </w:p>
        </w:tc>
        <w:tc>
          <w:tcPr>
            <w:tcW w:w="1560" w:type="dxa"/>
            <w:noWrap w:val="0"/>
            <w:vAlign w:val="top"/>
          </w:tcPr>
          <w:p>
            <w:pPr>
              <w:spacing w:line="400" w:lineRule="exact"/>
              <w:jc w:val="center"/>
              <w:rPr>
                <w:rFonts w:hint="eastAsia" w:ascii="宋体" w:hAnsi="宋体" w:eastAsia="宋体" w:cs="宋体"/>
                <w:color w:val="auto"/>
                <w:szCs w:val="21"/>
                <w:highlight w:val="none"/>
              </w:rPr>
            </w:pPr>
          </w:p>
        </w:tc>
        <w:tc>
          <w:tcPr>
            <w:tcW w:w="1708" w:type="dxa"/>
            <w:noWrap w:val="0"/>
            <w:vAlign w:val="top"/>
          </w:tcPr>
          <w:p>
            <w:pPr>
              <w:spacing w:line="400" w:lineRule="exact"/>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32" w:type="dxa"/>
            <w:noWrap w:val="0"/>
            <w:vAlign w:val="top"/>
          </w:tcPr>
          <w:p>
            <w:pPr>
              <w:spacing w:line="400" w:lineRule="exact"/>
              <w:jc w:val="center"/>
              <w:rPr>
                <w:rFonts w:hint="eastAsia" w:ascii="宋体" w:hAnsi="宋体" w:eastAsia="宋体" w:cs="宋体"/>
                <w:color w:val="auto"/>
                <w:szCs w:val="21"/>
                <w:highlight w:val="none"/>
              </w:rPr>
            </w:pPr>
          </w:p>
        </w:tc>
        <w:tc>
          <w:tcPr>
            <w:tcW w:w="1751" w:type="dxa"/>
            <w:noWrap w:val="0"/>
            <w:vAlign w:val="top"/>
          </w:tcPr>
          <w:p>
            <w:pPr>
              <w:spacing w:line="400" w:lineRule="exact"/>
              <w:jc w:val="center"/>
              <w:rPr>
                <w:rFonts w:hint="eastAsia" w:ascii="宋体" w:hAnsi="宋体" w:eastAsia="宋体" w:cs="宋体"/>
                <w:color w:val="auto"/>
                <w:szCs w:val="21"/>
                <w:highlight w:val="none"/>
              </w:rPr>
            </w:pPr>
          </w:p>
        </w:tc>
        <w:tc>
          <w:tcPr>
            <w:tcW w:w="2528" w:type="dxa"/>
            <w:noWrap w:val="0"/>
            <w:vAlign w:val="top"/>
          </w:tcPr>
          <w:p>
            <w:pPr>
              <w:spacing w:line="400" w:lineRule="exact"/>
              <w:jc w:val="center"/>
              <w:rPr>
                <w:rFonts w:hint="eastAsia" w:ascii="宋体" w:hAnsi="宋体" w:eastAsia="宋体" w:cs="宋体"/>
                <w:color w:val="auto"/>
                <w:szCs w:val="21"/>
                <w:highlight w:val="none"/>
              </w:rPr>
            </w:pPr>
          </w:p>
        </w:tc>
        <w:tc>
          <w:tcPr>
            <w:tcW w:w="1560" w:type="dxa"/>
            <w:noWrap w:val="0"/>
            <w:vAlign w:val="top"/>
          </w:tcPr>
          <w:p>
            <w:pPr>
              <w:spacing w:line="400" w:lineRule="exact"/>
              <w:jc w:val="center"/>
              <w:rPr>
                <w:rFonts w:hint="eastAsia" w:ascii="宋体" w:hAnsi="宋体" w:eastAsia="宋体" w:cs="宋体"/>
                <w:color w:val="auto"/>
                <w:szCs w:val="21"/>
                <w:highlight w:val="none"/>
              </w:rPr>
            </w:pPr>
          </w:p>
        </w:tc>
        <w:tc>
          <w:tcPr>
            <w:tcW w:w="1708" w:type="dxa"/>
            <w:noWrap w:val="0"/>
            <w:vAlign w:val="top"/>
          </w:tcPr>
          <w:p>
            <w:pPr>
              <w:spacing w:line="400" w:lineRule="exact"/>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32" w:type="dxa"/>
            <w:noWrap w:val="0"/>
            <w:vAlign w:val="top"/>
          </w:tcPr>
          <w:p>
            <w:pPr>
              <w:spacing w:line="400" w:lineRule="exact"/>
              <w:jc w:val="center"/>
              <w:rPr>
                <w:rFonts w:hint="eastAsia" w:ascii="宋体" w:hAnsi="宋体" w:eastAsia="宋体" w:cs="宋体"/>
                <w:color w:val="auto"/>
                <w:szCs w:val="21"/>
                <w:highlight w:val="none"/>
              </w:rPr>
            </w:pPr>
          </w:p>
        </w:tc>
        <w:tc>
          <w:tcPr>
            <w:tcW w:w="1751" w:type="dxa"/>
            <w:noWrap w:val="0"/>
            <w:vAlign w:val="top"/>
          </w:tcPr>
          <w:p>
            <w:pPr>
              <w:spacing w:line="400" w:lineRule="exact"/>
              <w:jc w:val="center"/>
              <w:rPr>
                <w:rFonts w:hint="eastAsia" w:ascii="宋体" w:hAnsi="宋体" w:eastAsia="宋体" w:cs="宋体"/>
                <w:color w:val="auto"/>
                <w:szCs w:val="21"/>
                <w:highlight w:val="none"/>
              </w:rPr>
            </w:pPr>
          </w:p>
        </w:tc>
        <w:tc>
          <w:tcPr>
            <w:tcW w:w="2528" w:type="dxa"/>
            <w:noWrap w:val="0"/>
            <w:vAlign w:val="top"/>
          </w:tcPr>
          <w:p>
            <w:pPr>
              <w:spacing w:line="400" w:lineRule="exact"/>
              <w:jc w:val="center"/>
              <w:rPr>
                <w:rFonts w:hint="eastAsia" w:ascii="宋体" w:hAnsi="宋体" w:eastAsia="宋体" w:cs="宋体"/>
                <w:color w:val="auto"/>
                <w:szCs w:val="21"/>
                <w:highlight w:val="none"/>
              </w:rPr>
            </w:pPr>
          </w:p>
        </w:tc>
        <w:tc>
          <w:tcPr>
            <w:tcW w:w="1560" w:type="dxa"/>
            <w:noWrap w:val="0"/>
            <w:vAlign w:val="top"/>
          </w:tcPr>
          <w:p>
            <w:pPr>
              <w:spacing w:line="400" w:lineRule="exact"/>
              <w:jc w:val="center"/>
              <w:rPr>
                <w:rFonts w:hint="eastAsia" w:ascii="宋体" w:hAnsi="宋体" w:eastAsia="宋体" w:cs="宋体"/>
                <w:color w:val="auto"/>
                <w:szCs w:val="21"/>
                <w:highlight w:val="none"/>
              </w:rPr>
            </w:pPr>
          </w:p>
        </w:tc>
        <w:tc>
          <w:tcPr>
            <w:tcW w:w="1708" w:type="dxa"/>
            <w:noWrap w:val="0"/>
            <w:vAlign w:val="top"/>
          </w:tcPr>
          <w:p>
            <w:pPr>
              <w:spacing w:line="400" w:lineRule="exact"/>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32" w:type="dxa"/>
            <w:noWrap w:val="0"/>
            <w:vAlign w:val="top"/>
          </w:tcPr>
          <w:p>
            <w:pPr>
              <w:spacing w:line="400" w:lineRule="exact"/>
              <w:jc w:val="center"/>
              <w:rPr>
                <w:rFonts w:hint="eastAsia" w:ascii="宋体" w:hAnsi="宋体" w:eastAsia="宋体" w:cs="宋体"/>
                <w:color w:val="auto"/>
                <w:szCs w:val="21"/>
                <w:highlight w:val="none"/>
              </w:rPr>
            </w:pPr>
          </w:p>
        </w:tc>
        <w:tc>
          <w:tcPr>
            <w:tcW w:w="1751" w:type="dxa"/>
            <w:noWrap w:val="0"/>
            <w:vAlign w:val="top"/>
          </w:tcPr>
          <w:p>
            <w:pPr>
              <w:spacing w:line="400" w:lineRule="exact"/>
              <w:jc w:val="center"/>
              <w:rPr>
                <w:rFonts w:hint="eastAsia" w:ascii="宋体" w:hAnsi="宋体" w:eastAsia="宋体" w:cs="宋体"/>
                <w:color w:val="auto"/>
                <w:szCs w:val="21"/>
                <w:highlight w:val="none"/>
              </w:rPr>
            </w:pPr>
          </w:p>
        </w:tc>
        <w:tc>
          <w:tcPr>
            <w:tcW w:w="2528" w:type="dxa"/>
            <w:noWrap w:val="0"/>
            <w:vAlign w:val="top"/>
          </w:tcPr>
          <w:p>
            <w:pPr>
              <w:spacing w:line="400" w:lineRule="exact"/>
              <w:jc w:val="center"/>
              <w:rPr>
                <w:rFonts w:hint="eastAsia" w:ascii="宋体" w:hAnsi="宋体" w:eastAsia="宋体" w:cs="宋体"/>
                <w:color w:val="auto"/>
                <w:szCs w:val="21"/>
                <w:highlight w:val="none"/>
              </w:rPr>
            </w:pPr>
          </w:p>
        </w:tc>
        <w:tc>
          <w:tcPr>
            <w:tcW w:w="1560" w:type="dxa"/>
            <w:noWrap w:val="0"/>
            <w:vAlign w:val="top"/>
          </w:tcPr>
          <w:p>
            <w:pPr>
              <w:spacing w:line="400" w:lineRule="exact"/>
              <w:jc w:val="center"/>
              <w:rPr>
                <w:rFonts w:hint="eastAsia" w:ascii="宋体" w:hAnsi="宋体" w:eastAsia="宋体" w:cs="宋体"/>
                <w:color w:val="auto"/>
                <w:szCs w:val="21"/>
                <w:highlight w:val="none"/>
              </w:rPr>
            </w:pPr>
          </w:p>
        </w:tc>
        <w:tc>
          <w:tcPr>
            <w:tcW w:w="1708" w:type="dxa"/>
            <w:noWrap w:val="0"/>
            <w:vAlign w:val="top"/>
          </w:tcPr>
          <w:p>
            <w:pPr>
              <w:spacing w:line="400" w:lineRule="exact"/>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32" w:type="dxa"/>
            <w:noWrap w:val="0"/>
            <w:vAlign w:val="top"/>
          </w:tcPr>
          <w:p>
            <w:pPr>
              <w:spacing w:line="400" w:lineRule="exact"/>
              <w:jc w:val="center"/>
              <w:rPr>
                <w:rFonts w:hint="eastAsia" w:ascii="宋体" w:hAnsi="宋体" w:eastAsia="宋体" w:cs="宋体"/>
                <w:color w:val="auto"/>
                <w:szCs w:val="21"/>
                <w:highlight w:val="none"/>
              </w:rPr>
            </w:pPr>
          </w:p>
        </w:tc>
        <w:tc>
          <w:tcPr>
            <w:tcW w:w="1751" w:type="dxa"/>
            <w:noWrap w:val="0"/>
            <w:vAlign w:val="top"/>
          </w:tcPr>
          <w:p>
            <w:pPr>
              <w:spacing w:line="400" w:lineRule="exact"/>
              <w:jc w:val="center"/>
              <w:rPr>
                <w:rFonts w:hint="eastAsia" w:ascii="宋体" w:hAnsi="宋体" w:eastAsia="宋体" w:cs="宋体"/>
                <w:color w:val="auto"/>
                <w:szCs w:val="21"/>
                <w:highlight w:val="none"/>
              </w:rPr>
            </w:pPr>
          </w:p>
        </w:tc>
        <w:tc>
          <w:tcPr>
            <w:tcW w:w="2528" w:type="dxa"/>
            <w:noWrap w:val="0"/>
            <w:vAlign w:val="top"/>
          </w:tcPr>
          <w:p>
            <w:pPr>
              <w:spacing w:line="400" w:lineRule="exact"/>
              <w:jc w:val="center"/>
              <w:rPr>
                <w:rFonts w:hint="eastAsia" w:ascii="宋体" w:hAnsi="宋体" w:eastAsia="宋体" w:cs="宋体"/>
                <w:color w:val="auto"/>
                <w:szCs w:val="21"/>
                <w:highlight w:val="none"/>
              </w:rPr>
            </w:pPr>
          </w:p>
        </w:tc>
        <w:tc>
          <w:tcPr>
            <w:tcW w:w="1560" w:type="dxa"/>
            <w:noWrap w:val="0"/>
            <w:vAlign w:val="top"/>
          </w:tcPr>
          <w:p>
            <w:pPr>
              <w:spacing w:line="400" w:lineRule="exact"/>
              <w:jc w:val="center"/>
              <w:rPr>
                <w:rFonts w:hint="eastAsia" w:ascii="宋体" w:hAnsi="宋体" w:eastAsia="宋体" w:cs="宋体"/>
                <w:color w:val="auto"/>
                <w:szCs w:val="21"/>
                <w:highlight w:val="none"/>
              </w:rPr>
            </w:pPr>
          </w:p>
        </w:tc>
        <w:tc>
          <w:tcPr>
            <w:tcW w:w="1708" w:type="dxa"/>
            <w:noWrap w:val="0"/>
            <w:vAlign w:val="top"/>
          </w:tcPr>
          <w:p>
            <w:pPr>
              <w:spacing w:line="400" w:lineRule="exact"/>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32" w:type="dxa"/>
            <w:noWrap w:val="0"/>
            <w:vAlign w:val="top"/>
          </w:tcPr>
          <w:p>
            <w:pPr>
              <w:spacing w:line="400" w:lineRule="exact"/>
              <w:jc w:val="center"/>
              <w:rPr>
                <w:rFonts w:hint="eastAsia" w:ascii="宋体" w:hAnsi="宋体" w:eastAsia="宋体" w:cs="宋体"/>
                <w:color w:val="auto"/>
                <w:szCs w:val="21"/>
                <w:highlight w:val="none"/>
              </w:rPr>
            </w:pPr>
          </w:p>
        </w:tc>
        <w:tc>
          <w:tcPr>
            <w:tcW w:w="1751" w:type="dxa"/>
            <w:noWrap w:val="0"/>
            <w:vAlign w:val="top"/>
          </w:tcPr>
          <w:p>
            <w:pPr>
              <w:spacing w:line="400" w:lineRule="exact"/>
              <w:jc w:val="center"/>
              <w:rPr>
                <w:rFonts w:hint="eastAsia" w:ascii="宋体" w:hAnsi="宋体" w:eastAsia="宋体" w:cs="宋体"/>
                <w:color w:val="auto"/>
                <w:szCs w:val="21"/>
                <w:highlight w:val="none"/>
              </w:rPr>
            </w:pPr>
          </w:p>
        </w:tc>
        <w:tc>
          <w:tcPr>
            <w:tcW w:w="2528" w:type="dxa"/>
            <w:noWrap w:val="0"/>
            <w:vAlign w:val="top"/>
          </w:tcPr>
          <w:p>
            <w:pPr>
              <w:spacing w:line="400" w:lineRule="exact"/>
              <w:jc w:val="center"/>
              <w:rPr>
                <w:rFonts w:hint="eastAsia" w:ascii="宋体" w:hAnsi="宋体" w:eastAsia="宋体" w:cs="宋体"/>
                <w:color w:val="auto"/>
                <w:szCs w:val="21"/>
                <w:highlight w:val="none"/>
              </w:rPr>
            </w:pPr>
          </w:p>
        </w:tc>
        <w:tc>
          <w:tcPr>
            <w:tcW w:w="1560" w:type="dxa"/>
            <w:noWrap w:val="0"/>
            <w:vAlign w:val="top"/>
          </w:tcPr>
          <w:p>
            <w:pPr>
              <w:spacing w:line="400" w:lineRule="exact"/>
              <w:jc w:val="center"/>
              <w:rPr>
                <w:rFonts w:hint="eastAsia" w:ascii="宋体" w:hAnsi="宋体" w:eastAsia="宋体" w:cs="宋体"/>
                <w:color w:val="auto"/>
                <w:szCs w:val="21"/>
                <w:highlight w:val="none"/>
              </w:rPr>
            </w:pPr>
          </w:p>
        </w:tc>
        <w:tc>
          <w:tcPr>
            <w:tcW w:w="1708" w:type="dxa"/>
            <w:noWrap w:val="0"/>
            <w:vAlign w:val="top"/>
          </w:tcPr>
          <w:p>
            <w:pPr>
              <w:spacing w:line="400" w:lineRule="exact"/>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32" w:type="dxa"/>
            <w:noWrap w:val="0"/>
            <w:vAlign w:val="top"/>
          </w:tcPr>
          <w:p>
            <w:pPr>
              <w:spacing w:line="400" w:lineRule="exact"/>
              <w:jc w:val="center"/>
              <w:rPr>
                <w:rFonts w:hint="eastAsia" w:ascii="宋体" w:hAnsi="宋体" w:eastAsia="宋体" w:cs="宋体"/>
                <w:color w:val="auto"/>
                <w:szCs w:val="21"/>
                <w:highlight w:val="none"/>
              </w:rPr>
            </w:pPr>
          </w:p>
        </w:tc>
        <w:tc>
          <w:tcPr>
            <w:tcW w:w="1751" w:type="dxa"/>
            <w:noWrap w:val="0"/>
            <w:vAlign w:val="top"/>
          </w:tcPr>
          <w:p>
            <w:pPr>
              <w:spacing w:line="400" w:lineRule="exact"/>
              <w:jc w:val="center"/>
              <w:rPr>
                <w:rFonts w:hint="eastAsia" w:ascii="宋体" w:hAnsi="宋体" w:eastAsia="宋体" w:cs="宋体"/>
                <w:color w:val="auto"/>
                <w:szCs w:val="21"/>
                <w:highlight w:val="none"/>
              </w:rPr>
            </w:pPr>
          </w:p>
        </w:tc>
        <w:tc>
          <w:tcPr>
            <w:tcW w:w="2528" w:type="dxa"/>
            <w:noWrap w:val="0"/>
            <w:vAlign w:val="top"/>
          </w:tcPr>
          <w:p>
            <w:pPr>
              <w:spacing w:line="400" w:lineRule="exact"/>
              <w:jc w:val="center"/>
              <w:rPr>
                <w:rFonts w:hint="eastAsia" w:ascii="宋体" w:hAnsi="宋体" w:eastAsia="宋体" w:cs="宋体"/>
                <w:color w:val="auto"/>
                <w:szCs w:val="21"/>
                <w:highlight w:val="none"/>
              </w:rPr>
            </w:pPr>
          </w:p>
        </w:tc>
        <w:tc>
          <w:tcPr>
            <w:tcW w:w="1560" w:type="dxa"/>
            <w:noWrap w:val="0"/>
            <w:vAlign w:val="top"/>
          </w:tcPr>
          <w:p>
            <w:pPr>
              <w:spacing w:line="400" w:lineRule="exact"/>
              <w:jc w:val="center"/>
              <w:rPr>
                <w:rFonts w:hint="eastAsia" w:ascii="宋体" w:hAnsi="宋体" w:eastAsia="宋体" w:cs="宋体"/>
                <w:color w:val="auto"/>
                <w:szCs w:val="21"/>
                <w:highlight w:val="none"/>
              </w:rPr>
            </w:pPr>
          </w:p>
        </w:tc>
        <w:tc>
          <w:tcPr>
            <w:tcW w:w="1708" w:type="dxa"/>
            <w:noWrap w:val="0"/>
            <w:vAlign w:val="top"/>
          </w:tcPr>
          <w:p>
            <w:pPr>
              <w:spacing w:line="400" w:lineRule="exact"/>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32" w:type="dxa"/>
            <w:noWrap w:val="0"/>
            <w:vAlign w:val="top"/>
          </w:tcPr>
          <w:p>
            <w:pPr>
              <w:spacing w:line="400" w:lineRule="exact"/>
              <w:jc w:val="center"/>
              <w:rPr>
                <w:rFonts w:hint="eastAsia" w:ascii="宋体" w:hAnsi="宋体" w:eastAsia="宋体" w:cs="宋体"/>
                <w:color w:val="auto"/>
                <w:szCs w:val="21"/>
                <w:highlight w:val="none"/>
              </w:rPr>
            </w:pPr>
          </w:p>
        </w:tc>
        <w:tc>
          <w:tcPr>
            <w:tcW w:w="1751" w:type="dxa"/>
            <w:noWrap w:val="0"/>
            <w:vAlign w:val="top"/>
          </w:tcPr>
          <w:p>
            <w:pPr>
              <w:spacing w:line="400" w:lineRule="exact"/>
              <w:jc w:val="center"/>
              <w:rPr>
                <w:rFonts w:hint="eastAsia" w:ascii="宋体" w:hAnsi="宋体" w:eastAsia="宋体" w:cs="宋体"/>
                <w:color w:val="auto"/>
                <w:szCs w:val="21"/>
                <w:highlight w:val="none"/>
              </w:rPr>
            </w:pPr>
          </w:p>
        </w:tc>
        <w:tc>
          <w:tcPr>
            <w:tcW w:w="2528" w:type="dxa"/>
            <w:noWrap w:val="0"/>
            <w:vAlign w:val="top"/>
          </w:tcPr>
          <w:p>
            <w:pPr>
              <w:spacing w:line="400" w:lineRule="exact"/>
              <w:jc w:val="center"/>
              <w:rPr>
                <w:rFonts w:hint="eastAsia" w:ascii="宋体" w:hAnsi="宋体" w:eastAsia="宋体" w:cs="宋体"/>
                <w:color w:val="auto"/>
                <w:szCs w:val="21"/>
                <w:highlight w:val="none"/>
              </w:rPr>
            </w:pPr>
          </w:p>
        </w:tc>
        <w:tc>
          <w:tcPr>
            <w:tcW w:w="1560" w:type="dxa"/>
            <w:noWrap w:val="0"/>
            <w:vAlign w:val="top"/>
          </w:tcPr>
          <w:p>
            <w:pPr>
              <w:spacing w:line="400" w:lineRule="exact"/>
              <w:jc w:val="center"/>
              <w:rPr>
                <w:rFonts w:hint="eastAsia" w:ascii="宋体" w:hAnsi="宋体" w:eastAsia="宋体" w:cs="宋体"/>
                <w:color w:val="auto"/>
                <w:szCs w:val="21"/>
                <w:highlight w:val="none"/>
              </w:rPr>
            </w:pPr>
          </w:p>
        </w:tc>
        <w:tc>
          <w:tcPr>
            <w:tcW w:w="1708" w:type="dxa"/>
            <w:noWrap w:val="0"/>
            <w:vAlign w:val="top"/>
          </w:tcPr>
          <w:p>
            <w:pPr>
              <w:spacing w:line="400" w:lineRule="exact"/>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32" w:type="dxa"/>
            <w:noWrap w:val="0"/>
            <w:vAlign w:val="top"/>
          </w:tcPr>
          <w:p>
            <w:pPr>
              <w:spacing w:line="400" w:lineRule="exact"/>
              <w:jc w:val="center"/>
              <w:rPr>
                <w:rFonts w:hint="eastAsia" w:ascii="宋体" w:hAnsi="宋体" w:eastAsia="宋体" w:cs="宋体"/>
                <w:color w:val="auto"/>
                <w:szCs w:val="21"/>
                <w:highlight w:val="none"/>
              </w:rPr>
            </w:pPr>
          </w:p>
        </w:tc>
        <w:tc>
          <w:tcPr>
            <w:tcW w:w="1751" w:type="dxa"/>
            <w:noWrap w:val="0"/>
            <w:vAlign w:val="top"/>
          </w:tcPr>
          <w:p>
            <w:pPr>
              <w:spacing w:line="400" w:lineRule="exact"/>
              <w:jc w:val="center"/>
              <w:rPr>
                <w:rFonts w:hint="eastAsia" w:ascii="宋体" w:hAnsi="宋体" w:eastAsia="宋体" w:cs="宋体"/>
                <w:color w:val="auto"/>
                <w:szCs w:val="21"/>
                <w:highlight w:val="none"/>
              </w:rPr>
            </w:pPr>
          </w:p>
        </w:tc>
        <w:tc>
          <w:tcPr>
            <w:tcW w:w="2528" w:type="dxa"/>
            <w:noWrap w:val="0"/>
            <w:vAlign w:val="top"/>
          </w:tcPr>
          <w:p>
            <w:pPr>
              <w:spacing w:line="400" w:lineRule="exact"/>
              <w:jc w:val="center"/>
              <w:rPr>
                <w:rFonts w:hint="eastAsia" w:ascii="宋体" w:hAnsi="宋体" w:eastAsia="宋体" w:cs="宋体"/>
                <w:color w:val="auto"/>
                <w:szCs w:val="21"/>
                <w:highlight w:val="none"/>
              </w:rPr>
            </w:pPr>
          </w:p>
        </w:tc>
        <w:tc>
          <w:tcPr>
            <w:tcW w:w="1560" w:type="dxa"/>
            <w:noWrap w:val="0"/>
            <w:vAlign w:val="top"/>
          </w:tcPr>
          <w:p>
            <w:pPr>
              <w:spacing w:line="400" w:lineRule="exact"/>
              <w:jc w:val="center"/>
              <w:rPr>
                <w:rFonts w:hint="eastAsia" w:ascii="宋体" w:hAnsi="宋体" w:eastAsia="宋体" w:cs="宋体"/>
                <w:color w:val="auto"/>
                <w:szCs w:val="21"/>
                <w:highlight w:val="none"/>
              </w:rPr>
            </w:pPr>
          </w:p>
        </w:tc>
        <w:tc>
          <w:tcPr>
            <w:tcW w:w="1708" w:type="dxa"/>
            <w:noWrap w:val="0"/>
            <w:vAlign w:val="top"/>
          </w:tcPr>
          <w:p>
            <w:pPr>
              <w:spacing w:line="400" w:lineRule="exact"/>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32" w:type="dxa"/>
            <w:noWrap w:val="0"/>
            <w:vAlign w:val="top"/>
          </w:tcPr>
          <w:p>
            <w:pPr>
              <w:spacing w:line="400" w:lineRule="exact"/>
              <w:jc w:val="center"/>
              <w:rPr>
                <w:rFonts w:hint="eastAsia" w:ascii="宋体" w:hAnsi="宋体" w:eastAsia="宋体" w:cs="宋体"/>
                <w:color w:val="auto"/>
                <w:szCs w:val="21"/>
                <w:highlight w:val="none"/>
              </w:rPr>
            </w:pPr>
          </w:p>
        </w:tc>
        <w:tc>
          <w:tcPr>
            <w:tcW w:w="1751" w:type="dxa"/>
            <w:noWrap w:val="0"/>
            <w:vAlign w:val="top"/>
          </w:tcPr>
          <w:p>
            <w:pPr>
              <w:spacing w:line="400" w:lineRule="exact"/>
              <w:jc w:val="center"/>
              <w:rPr>
                <w:rFonts w:hint="eastAsia" w:ascii="宋体" w:hAnsi="宋体" w:eastAsia="宋体" w:cs="宋体"/>
                <w:color w:val="auto"/>
                <w:szCs w:val="21"/>
                <w:highlight w:val="none"/>
              </w:rPr>
            </w:pPr>
          </w:p>
        </w:tc>
        <w:tc>
          <w:tcPr>
            <w:tcW w:w="2528" w:type="dxa"/>
            <w:noWrap w:val="0"/>
            <w:vAlign w:val="top"/>
          </w:tcPr>
          <w:p>
            <w:pPr>
              <w:spacing w:line="400" w:lineRule="exact"/>
              <w:jc w:val="center"/>
              <w:rPr>
                <w:rFonts w:hint="eastAsia" w:ascii="宋体" w:hAnsi="宋体" w:eastAsia="宋体" w:cs="宋体"/>
                <w:color w:val="auto"/>
                <w:szCs w:val="21"/>
                <w:highlight w:val="none"/>
              </w:rPr>
            </w:pPr>
          </w:p>
        </w:tc>
        <w:tc>
          <w:tcPr>
            <w:tcW w:w="1560" w:type="dxa"/>
            <w:noWrap w:val="0"/>
            <w:vAlign w:val="top"/>
          </w:tcPr>
          <w:p>
            <w:pPr>
              <w:spacing w:line="400" w:lineRule="exact"/>
              <w:jc w:val="center"/>
              <w:rPr>
                <w:rFonts w:hint="eastAsia" w:ascii="宋体" w:hAnsi="宋体" w:eastAsia="宋体" w:cs="宋体"/>
                <w:color w:val="auto"/>
                <w:szCs w:val="21"/>
                <w:highlight w:val="none"/>
              </w:rPr>
            </w:pPr>
          </w:p>
        </w:tc>
        <w:tc>
          <w:tcPr>
            <w:tcW w:w="1708" w:type="dxa"/>
            <w:noWrap w:val="0"/>
            <w:vAlign w:val="top"/>
          </w:tcPr>
          <w:p>
            <w:pPr>
              <w:spacing w:line="400" w:lineRule="exact"/>
              <w:jc w:val="center"/>
              <w:rPr>
                <w:rFonts w:hint="eastAsia" w:ascii="宋体" w:hAnsi="宋体" w:eastAsia="宋体" w:cs="宋体"/>
                <w:color w:val="auto"/>
                <w:szCs w:val="21"/>
                <w:highlight w:val="none"/>
              </w:rPr>
            </w:pPr>
          </w:p>
        </w:tc>
      </w:tr>
    </w:tbl>
    <w:p>
      <w:pPr>
        <w:pStyle w:val="7"/>
        <w:snapToGrid w:val="0"/>
        <w:spacing w:line="360" w:lineRule="auto"/>
        <w:ind w:firstLine="422" w:firstLineChars="200"/>
        <w:rPr>
          <w:rFonts w:hint="eastAsia" w:ascii="宋体" w:hAnsi="宋体" w:eastAsia="宋体" w:cs="宋体"/>
          <w:b/>
          <w:bCs/>
          <w:color w:val="auto"/>
          <w:sz w:val="21"/>
          <w:szCs w:val="21"/>
          <w:highlight w:val="none"/>
          <w:lang w:eastAsia="zh-CN"/>
        </w:rPr>
      </w:pPr>
      <w:r>
        <w:rPr>
          <w:rFonts w:hint="eastAsia" w:ascii="宋体" w:hAnsi="宋体" w:eastAsia="宋体" w:cs="宋体"/>
          <w:b/>
          <w:bCs/>
          <w:color w:val="auto"/>
          <w:sz w:val="21"/>
          <w:szCs w:val="21"/>
          <w:highlight w:val="none"/>
          <w:lang w:eastAsia="zh-CN"/>
        </w:rPr>
        <w:t>注：</w:t>
      </w:r>
      <w:r>
        <w:rPr>
          <w:rFonts w:hint="eastAsia" w:ascii="宋体" w:hAnsi="宋体" w:eastAsia="宋体" w:cs="宋体"/>
          <w:b/>
          <w:color w:val="auto"/>
          <w:szCs w:val="21"/>
          <w:highlight w:val="none"/>
          <w:lang w:eastAsia="zh-CN"/>
        </w:rPr>
        <w:t>后附</w:t>
      </w:r>
      <w:r>
        <w:rPr>
          <w:rFonts w:hint="eastAsia" w:ascii="宋体" w:hAnsi="宋体" w:eastAsia="宋体" w:cs="宋体"/>
          <w:b/>
          <w:color w:val="auto"/>
          <w:szCs w:val="21"/>
          <w:highlight w:val="none"/>
        </w:rPr>
        <w:t>合同复印件</w:t>
      </w:r>
      <w:r>
        <w:rPr>
          <w:rFonts w:hint="eastAsia" w:ascii="宋体" w:hAnsi="宋体" w:eastAsia="宋体" w:cs="宋体"/>
          <w:b/>
          <w:color w:val="auto"/>
          <w:szCs w:val="21"/>
          <w:highlight w:val="none"/>
          <w:lang w:eastAsia="zh-CN"/>
        </w:rPr>
        <w:t>。</w:t>
      </w:r>
    </w:p>
    <w:p>
      <w:pPr>
        <w:tabs>
          <w:tab w:val="left" w:pos="0"/>
        </w:tabs>
        <w:spacing w:line="400" w:lineRule="exact"/>
        <w:ind w:left="525"/>
        <w:rPr>
          <w:rFonts w:hint="eastAsia" w:ascii="宋体" w:hAnsi="宋体" w:eastAsia="宋体" w:cs="宋体"/>
          <w:color w:val="auto"/>
          <w:szCs w:val="21"/>
          <w:highlight w:val="none"/>
        </w:rPr>
      </w:pPr>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 xml:space="preserve">(盖章)：          </w:t>
      </w:r>
    </w:p>
    <w:p>
      <w:pPr>
        <w:tabs>
          <w:tab w:val="left" w:pos="0"/>
        </w:tabs>
        <w:spacing w:line="400" w:lineRule="exact"/>
        <w:ind w:left="525"/>
        <w:rPr>
          <w:rFonts w:hint="eastAsia" w:ascii="宋体" w:hAnsi="宋体" w:eastAsia="宋体" w:cs="宋体"/>
          <w:color w:val="auto"/>
          <w:szCs w:val="21"/>
          <w:highlight w:val="none"/>
        </w:rPr>
      </w:pPr>
      <w:r>
        <w:rPr>
          <w:rFonts w:hint="eastAsia" w:ascii="宋体" w:hAnsi="宋体" w:eastAsia="宋体" w:cs="宋体"/>
          <w:color w:val="auto"/>
          <w:sz w:val="21"/>
          <w:szCs w:val="21"/>
          <w:highlight w:val="none"/>
        </w:rPr>
        <w:t>法定代表人</w:t>
      </w:r>
      <w:r>
        <w:rPr>
          <w:rFonts w:hint="eastAsia" w:ascii="宋体" w:hAnsi="宋体" w:eastAsia="宋体" w:cs="宋体"/>
          <w:color w:val="auto"/>
          <w:sz w:val="21"/>
          <w:szCs w:val="21"/>
          <w:highlight w:val="none"/>
          <w:lang w:eastAsia="zh-CN"/>
        </w:rPr>
        <w:t>或单位负责人或</w:t>
      </w:r>
      <w:r>
        <w:rPr>
          <w:rFonts w:hint="eastAsia" w:ascii="宋体" w:hAnsi="宋体" w:eastAsia="宋体" w:cs="宋体"/>
          <w:color w:val="auto"/>
          <w:sz w:val="21"/>
          <w:szCs w:val="21"/>
          <w:highlight w:val="none"/>
        </w:rPr>
        <w:t>其授权代表人</w:t>
      </w:r>
      <w:r>
        <w:rPr>
          <w:rFonts w:hint="eastAsia" w:ascii="宋体" w:hAnsi="宋体" w:eastAsia="宋体" w:cs="宋体"/>
          <w:color w:val="auto"/>
          <w:szCs w:val="21"/>
          <w:highlight w:val="none"/>
        </w:rPr>
        <w:t xml:space="preserve">（签字或盖章）：          </w:t>
      </w:r>
    </w:p>
    <w:p>
      <w:pPr>
        <w:tabs>
          <w:tab w:val="left" w:pos="0"/>
        </w:tabs>
        <w:spacing w:line="400" w:lineRule="exact"/>
        <w:ind w:left="525"/>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日期：    年  月   日 </w:t>
      </w:r>
    </w:p>
    <w:p>
      <w:pPr>
        <w:pStyle w:val="4"/>
        <w:spacing w:before="0" w:after="0" w:line="276" w:lineRule="auto"/>
        <w:ind w:right="0" w:rightChars="0"/>
        <w:jc w:val="center"/>
        <w:rPr>
          <w:rFonts w:hint="eastAsia" w:ascii="宋体" w:hAnsi="宋体" w:eastAsia="宋体" w:cs="宋体"/>
          <w:b/>
          <w:bCs w:val="0"/>
          <w:color w:val="auto"/>
          <w:sz w:val="24"/>
          <w:szCs w:val="24"/>
          <w:highlight w:val="none"/>
        </w:rPr>
      </w:pPr>
      <w:r>
        <w:rPr>
          <w:rFonts w:hint="eastAsia" w:ascii="宋体" w:hAnsi="宋体" w:eastAsia="宋体" w:cs="宋体"/>
          <w:b/>
          <w:bCs w:val="0"/>
          <w:color w:val="auto"/>
          <w:sz w:val="24"/>
          <w:szCs w:val="24"/>
          <w:highlight w:val="none"/>
        </w:rPr>
        <w:br w:type="page"/>
      </w:r>
      <w:r>
        <w:rPr>
          <w:rFonts w:hint="eastAsia" w:ascii="宋体" w:hAnsi="宋体" w:eastAsia="宋体" w:cs="宋体"/>
          <w:b/>
          <w:bCs w:val="0"/>
          <w:color w:val="auto"/>
          <w:sz w:val="24"/>
          <w:szCs w:val="24"/>
          <w:highlight w:val="none"/>
        </w:rPr>
        <w:t>项目实施人员一览表</w:t>
      </w:r>
    </w:p>
    <w:p>
      <w:pPr>
        <w:rPr>
          <w:rFonts w:hint="eastAsia" w:ascii="宋体" w:hAnsi="宋体" w:eastAsia="宋体" w:cs="宋体"/>
          <w:color w:val="auto"/>
          <w:highlight w:val="none"/>
        </w:rPr>
      </w:pPr>
    </w:p>
    <w:tbl>
      <w:tblPr>
        <w:tblStyle w:val="23"/>
        <w:tblW w:w="92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5"/>
        <w:gridCol w:w="2282"/>
        <w:gridCol w:w="999"/>
        <w:gridCol w:w="987"/>
        <w:gridCol w:w="987"/>
        <w:gridCol w:w="987"/>
        <w:gridCol w:w="1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jc w:val="center"/>
        </w:trPr>
        <w:tc>
          <w:tcPr>
            <w:tcW w:w="1365" w:type="dxa"/>
            <w:noWrap w:val="0"/>
            <w:vAlign w:val="center"/>
          </w:tcPr>
          <w:p>
            <w:pPr>
              <w:spacing w:line="276"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姓名</w:t>
            </w:r>
          </w:p>
        </w:tc>
        <w:tc>
          <w:tcPr>
            <w:tcW w:w="2282" w:type="dxa"/>
            <w:noWrap w:val="0"/>
            <w:vAlign w:val="center"/>
          </w:tcPr>
          <w:p>
            <w:pPr>
              <w:spacing w:line="276"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本项目拟任岗位</w:t>
            </w:r>
          </w:p>
        </w:tc>
        <w:tc>
          <w:tcPr>
            <w:tcW w:w="999" w:type="dxa"/>
            <w:noWrap w:val="0"/>
            <w:vAlign w:val="center"/>
          </w:tcPr>
          <w:p>
            <w:pPr>
              <w:spacing w:line="276"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年龄</w:t>
            </w:r>
          </w:p>
        </w:tc>
        <w:tc>
          <w:tcPr>
            <w:tcW w:w="987" w:type="dxa"/>
            <w:noWrap w:val="0"/>
            <w:vAlign w:val="center"/>
          </w:tcPr>
          <w:p>
            <w:pPr>
              <w:spacing w:line="276"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性别</w:t>
            </w:r>
          </w:p>
        </w:tc>
        <w:tc>
          <w:tcPr>
            <w:tcW w:w="987" w:type="dxa"/>
            <w:noWrap w:val="0"/>
            <w:vAlign w:val="center"/>
          </w:tcPr>
          <w:p>
            <w:pPr>
              <w:spacing w:line="276"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专业</w:t>
            </w:r>
          </w:p>
          <w:p>
            <w:pPr>
              <w:spacing w:line="276"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学历</w:t>
            </w:r>
          </w:p>
        </w:tc>
        <w:tc>
          <w:tcPr>
            <w:tcW w:w="987" w:type="dxa"/>
            <w:noWrap w:val="0"/>
            <w:vAlign w:val="center"/>
          </w:tcPr>
          <w:p>
            <w:pPr>
              <w:spacing w:line="276"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专业</w:t>
            </w:r>
          </w:p>
          <w:p>
            <w:pPr>
              <w:spacing w:line="276"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年限</w:t>
            </w:r>
          </w:p>
        </w:tc>
        <w:tc>
          <w:tcPr>
            <w:tcW w:w="1636" w:type="dxa"/>
            <w:noWrap w:val="0"/>
            <w:vAlign w:val="center"/>
          </w:tcPr>
          <w:p>
            <w:pPr>
              <w:spacing w:line="276"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现任职务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1365" w:type="dxa"/>
            <w:noWrap w:val="0"/>
            <w:vAlign w:val="center"/>
          </w:tcPr>
          <w:p>
            <w:pPr>
              <w:spacing w:line="276" w:lineRule="auto"/>
              <w:jc w:val="center"/>
              <w:rPr>
                <w:rFonts w:hint="eastAsia" w:ascii="宋体" w:hAnsi="宋体" w:eastAsia="宋体" w:cs="宋体"/>
                <w:color w:val="auto"/>
                <w:sz w:val="21"/>
                <w:szCs w:val="21"/>
                <w:highlight w:val="none"/>
              </w:rPr>
            </w:pPr>
          </w:p>
        </w:tc>
        <w:tc>
          <w:tcPr>
            <w:tcW w:w="2282" w:type="dxa"/>
            <w:noWrap w:val="0"/>
            <w:vAlign w:val="center"/>
          </w:tcPr>
          <w:p>
            <w:pPr>
              <w:spacing w:line="276" w:lineRule="auto"/>
              <w:jc w:val="center"/>
              <w:rPr>
                <w:rFonts w:hint="eastAsia" w:ascii="宋体" w:hAnsi="宋体" w:eastAsia="宋体" w:cs="宋体"/>
                <w:color w:val="auto"/>
                <w:sz w:val="21"/>
                <w:szCs w:val="21"/>
                <w:highlight w:val="none"/>
              </w:rPr>
            </w:pPr>
          </w:p>
        </w:tc>
        <w:tc>
          <w:tcPr>
            <w:tcW w:w="999" w:type="dxa"/>
            <w:noWrap w:val="0"/>
            <w:vAlign w:val="center"/>
          </w:tcPr>
          <w:p>
            <w:pPr>
              <w:spacing w:line="276" w:lineRule="auto"/>
              <w:jc w:val="center"/>
              <w:rPr>
                <w:rFonts w:hint="eastAsia" w:ascii="宋体" w:hAnsi="宋体" w:eastAsia="宋体" w:cs="宋体"/>
                <w:color w:val="auto"/>
                <w:sz w:val="21"/>
                <w:szCs w:val="21"/>
                <w:highlight w:val="none"/>
              </w:rPr>
            </w:pPr>
          </w:p>
        </w:tc>
        <w:tc>
          <w:tcPr>
            <w:tcW w:w="987" w:type="dxa"/>
            <w:noWrap w:val="0"/>
            <w:vAlign w:val="center"/>
          </w:tcPr>
          <w:p>
            <w:pPr>
              <w:spacing w:line="276" w:lineRule="auto"/>
              <w:jc w:val="center"/>
              <w:rPr>
                <w:rFonts w:hint="eastAsia" w:ascii="宋体" w:hAnsi="宋体" w:eastAsia="宋体" w:cs="宋体"/>
                <w:color w:val="auto"/>
                <w:sz w:val="21"/>
                <w:szCs w:val="21"/>
                <w:highlight w:val="none"/>
              </w:rPr>
            </w:pPr>
          </w:p>
        </w:tc>
        <w:tc>
          <w:tcPr>
            <w:tcW w:w="987" w:type="dxa"/>
            <w:noWrap w:val="0"/>
            <w:vAlign w:val="center"/>
          </w:tcPr>
          <w:p>
            <w:pPr>
              <w:spacing w:line="276" w:lineRule="auto"/>
              <w:jc w:val="center"/>
              <w:rPr>
                <w:rFonts w:hint="eastAsia" w:ascii="宋体" w:hAnsi="宋体" w:eastAsia="宋体" w:cs="宋体"/>
                <w:color w:val="auto"/>
                <w:sz w:val="21"/>
                <w:szCs w:val="21"/>
                <w:highlight w:val="none"/>
              </w:rPr>
            </w:pPr>
          </w:p>
        </w:tc>
        <w:tc>
          <w:tcPr>
            <w:tcW w:w="987" w:type="dxa"/>
            <w:noWrap w:val="0"/>
            <w:vAlign w:val="center"/>
          </w:tcPr>
          <w:p>
            <w:pPr>
              <w:spacing w:line="276" w:lineRule="auto"/>
              <w:jc w:val="center"/>
              <w:rPr>
                <w:rFonts w:hint="eastAsia" w:ascii="宋体" w:hAnsi="宋体" w:eastAsia="宋体" w:cs="宋体"/>
                <w:color w:val="auto"/>
                <w:sz w:val="21"/>
                <w:szCs w:val="21"/>
                <w:highlight w:val="none"/>
              </w:rPr>
            </w:pPr>
          </w:p>
        </w:tc>
        <w:tc>
          <w:tcPr>
            <w:tcW w:w="1636" w:type="dxa"/>
            <w:noWrap w:val="0"/>
            <w:vAlign w:val="center"/>
          </w:tcPr>
          <w:p>
            <w:pPr>
              <w:spacing w:line="276" w:lineRule="auto"/>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1365" w:type="dxa"/>
            <w:noWrap w:val="0"/>
            <w:vAlign w:val="center"/>
          </w:tcPr>
          <w:p>
            <w:pPr>
              <w:spacing w:line="276" w:lineRule="auto"/>
              <w:jc w:val="center"/>
              <w:rPr>
                <w:rFonts w:hint="eastAsia" w:ascii="宋体" w:hAnsi="宋体" w:eastAsia="宋体" w:cs="宋体"/>
                <w:color w:val="auto"/>
                <w:sz w:val="24"/>
                <w:highlight w:val="none"/>
              </w:rPr>
            </w:pPr>
          </w:p>
        </w:tc>
        <w:tc>
          <w:tcPr>
            <w:tcW w:w="2282" w:type="dxa"/>
            <w:noWrap w:val="0"/>
            <w:vAlign w:val="center"/>
          </w:tcPr>
          <w:p>
            <w:pPr>
              <w:spacing w:line="276" w:lineRule="auto"/>
              <w:jc w:val="center"/>
              <w:rPr>
                <w:rFonts w:hint="eastAsia" w:ascii="宋体" w:hAnsi="宋体" w:eastAsia="宋体" w:cs="宋体"/>
                <w:color w:val="auto"/>
                <w:sz w:val="24"/>
                <w:highlight w:val="none"/>
              </w:rPr>
            </w:pPr>
          </w:p>
        </w:tc>
        <w:tc>
          <w:tcPr>
            <w:tcW w:w="999" w:type="dxa"/>
            <w:noWrap w:val="0"/>
            <w:vAlign w:val="center"/>
          </w:tcPr>
          <w:p>
            <w:pPr>
              <w:spacing w:line="276" w:lineRule="auto"/>
              <w:jc w:val="center"/>
              <w:rPr>
                <w:rFonts w:hint="eastAsia" w:ascii="宋体" w:hAnsi="宋体" w:eastAsia="宋体" w:cs="宋体"/>
                <w:color w:val="auto"/>
                <w:sz w:val="24"/>
                <w:highlight w:val="none"/>
              </w:rPr>
            </w:pPr>
          </w:p>
        </w:tc>
        <w:tc>
          <w:tcPr>
            <w:tcW w:w="987" w:type="dxa"/>
            <w:noWrap w:val="0"/>
            <w:vAlign w:val="center"/>
          </w:tcPr>
          <w:p>
            <w:pPr>
              <w:spacing w:line="276" w:lineRule="auto"/>
              <w:jc w:val="center"/>
              <w:rPr>
                <w:rFonts w:hint="eastAsia" w:ascii="宋体" w:hAnsi="宋体" w:eastAsia="宋体" w:cs="宋体"/>
                <w:color w:val="auto"/>
                <w:sz w:val="24"/>
                <w:highlight w:val="none"/>
              </w:rPr>
            </w:pPr>
          </w:p>
        </w:tc>
        <w:tc>
          <w:tcPr>
            <w:tcW w:w="987" w:type="dxa"/>
            <w:noWrap w:val="0"/>
            <w:vAlign w:val="center"/>
          </w:tcPr>
          <w:p>
            <w:pPr>
              <w:spacing w:line="276" w:lineRule="auto"/>
              <w:jc w:val="center"/>
              <w:rPr>
                <w:rFonts w:hint="eastAsia" w:ascii="宋体" w:hAnsi="宋体" w:eastAsia="宋体" w:cs="宋体"/>
                <w:color w:val="auto"/>
                <w:sz w:val="24"/>
                <w:highlight w:val="none"/>
              </w:rPr>
            </w:pPr>
          </w:p>
        </w:tc>
        <w:tc>
          <w:tcPr>
            <w:tcW w:w="987" w:type="dxa"/>
            <w:noWrap w:val="0"/>
            <w:vAlign w:val="center"/>
          </w:tcPr>
          <w:p>
            <w:pPr>
              <w:spacing w:line="276" w:lineRule="auto"/>
              <w:jc w:val="center"/>
              <w:rPr>
                <w:rFonts w:hint="eastAsia" w:ascii="宋体" w:hAnsi="宋体" w:eastAsia="宋体" w:cs="宋体"/>
                <w:color w:val="auto"/>
                <w:sz w:val="24"/>
                <w:highlight w:val="none"/>
              </w:rPr>
            </w:pPr>
          </w:p>
        </w:tc>
        <w:tc>
          <w:tcPr>
            <w:tcW w:w="1636" w:type="dxa"/>
            <w:noWrap w:val="0"/>
            <w:vAlign w:val="center"/>
          </w:tcPr>
          <w:p>
            <w:pPr>
              <w:spacing w:line="276"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1365" w:type="dxa"/>
            <w:noWrap w:val="0"/>
            <w:vAlign w:val="center"/>
          </w:tcPr>
          <w:p>
            <w:pPr>
              <w:spacing w:line="276" w:lineRule="auto"/>
              <w:jc w:val="center"/>
              <w:rPr>
                <w:rFonts w:hint="eastAsia" w:ascii="宋体" w:hAnsi="宋体" w:eastAsia="宋体" w:cs="宋体"/>
                <w:color w:val="auto"/>
                <w:sz w:val="24"/>
                <w:highlight w:val="none"/>
              </w:rPr>
            </w:pPr>
          </w:p>
        </w:tc>
        <w:tc>
          <w:tcPr>
            <w:tcW w:w="2282" w:type="dxa"/>
            <w:noWrap w:val="0"/>
            <w:vAlign w:val="center"/>
          </w:tcPr>
          <w:p>
            <w:pPr>
              <w:spacing w:line="276" w:lineRule="auto"/>
              <w:jc w:val="center"/>
              <w:rPr>
                <w:rFonts w:hint="eastAsia" w:ascii="宋体" w:hAnsi="宋体" w:eastAsia="宋体" w:cs="宋体"/>
                <w:color w:val="auto"/>
                <w:sz w:val="24"/>
                <w:highlight w:val="none"/>
              </w:rPr>
            </w:pPr>
          </w:p>
        </w:tc>
        <w:tc>
          <w:tcPr>
            <w:tcW w:w="999" w:type="dxa"/>
            <w:noWrap w:val="0"/>
            <w:vAlign w:val="center"/>
          </w:tcPr>
          <w:p>
            <w:pPr>
              <w:spacing w:line="276" w:lineRule="auto"/>
              <w:jc w:val="center"/>
              <w:rPr>
                <w:rFonts w:hint="eastAsia" w:ascii="宋体" w:hAnsi="宋体" w:eastAsia="宋体" w:cs="宋体"/>
                <w:color w:val="auto"/>
                <w:sz w:val="24"/>
                <w:highlight w:val="none"/>
              </w:rPr>
            </w:pPr>
          </w:p>
        </w:tc>
        <w:tc>
          <w:tcPr>
            <w:tcW w:w="987" w:type="dxa"/>
            <w:noWrap w:val="0"/>
            <w:vAlign w:val="center"/>
          </w:tcPr>
          <w:p>
            <w:pPr>
              <w:spacing w:line="276" w:lineRule="auto"/>
              <w:jc w:val="center"/>
              <w:rPr>
                <w:rFonts w:hint="eastAsia" w:ascii="宋体" w:hAnsi="宋体" w:eastAsia="宋体" w:cs="宋体"/>
                <w:color w:val="auto"/>
                <w:sz w:val="24"/>
                <w:highlight w:val="none"/>
              </w:rPr>
            </w:pPr>
          </w:p>
        </w:tc>
        <w:tc>
          <w:tcPr>
            <w:tcW w:w="987" w:type="dxa"/>
            <w:noWrap w:val="0"/>
            <w:vAlign w:val="center"/>
          </w:tcPr>
          <w:p>
            <w:pPr>
              <w:spacing w:line="276" w:lineRule="auto"/>
              <w:jc w:val="center"/>
              <w:rPr>
                <w:rFonts w:hint="eastAsia" w:ascii="宋体" w:hAnsi="宋体" w:eastAsia="宋体" w:cs="宋体"/>
                <w:color w:val="auto"/>
                <w:sz w:val="24"/>
                <w:highlight w:val="none"/>
              </w:rPr>
            </w:pPr>
          </w:p>
        </w:tc>
        <w:tc>
          <w:tcPr>
            <w:tcW w:w="987" w:type="dxa"/>
            <w:noWrap w:val="0"/>
            <w:vAlign w:val="center"/>
          </w:tcPr>
          <w:p>
            <w:pPr>
              <w:spacing w:line="276" w:lineRule="auto"/>
              <w:jc w:val="center"/>
              <w:rPr>
                <w:rFonts w:hint="eastAsia" w:ascii="宋体" w:hAnsi="宋体" w:eastAsia="宋体" w:cs="宋体"/>
                <w:color w:val="auto"/>
                <w:sz w:val="24"/>
                <w:highlight w:val="none"/>
              </w:rPr>
            </w:pPr>
          </w:p>
        </w:tc>
        <w:tc>
          <w:tcPr>
            <w:tcW w:w="1636" w:type="dxa"/>
            <w:noWrap w:val="0"/>
            <w:vAlign w:val="center"/>
          </w:tcPr>
          <w:p>
            <w:pPr>
              <w:spacing w:line="276"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1365" w:type="dxa"/>
            <w:noWrap w:val="0"/>
            <w:vAlign w:val="center"/>
          </w:tcPr>
          <w:p>
            <w:pPr>
              <w:spacing w:line="276" w:lineRule="auto"/>
              <w:jc w:val="center"/>
              <w:rPr>
                <w:rFonts w:hint="eastAsia" w:ascii="宋体" w:hAnsi="宋体" w:eastAsia="宋体" w:cs="宋体"/>
                <w:color w:val="auto"/>
                <w:sz w:val="24"/>
                <w:highlight w:val="none"/>
              </w:rPr>
            </w:pPr>
          </w:p>
        </w:tc>
        <w:tc>
          <w:tcPr>
            <w:tcW w:w="2282" w:type="dxa"/>
            <w:noWrap w:val="0"/>
            <w:vAlign w:val="center"/>
          </w:tcPr>
          <w:p>
            <w:pPr>
              <w:spacing w:line="276" w:lineRule="auto"/>
              <w:jc w:val="center"/>
              <w:rPr>
                <w:rFonts w:hint="eastAsia" w:ascii="宋体" w:hAnsi="宋体" w:eastAsia="宋体" w:cs="宋体"/>
                <w:color w:val="auto"/>
                <w:sz w:val="24"/>
                <w:highlight w:val="none"/>
              </w:rPr>
            </w:pPr>
          </w:p>
        </w:tc>
        <w:tc>
          <w:tcPr>
            <w:tcW w:w="999" w:type="dxa"/>
            <w:noWrap w:val="0"/>
            <w:vAlign w:val="center"/>
          </w:tcPr>
          <w:p>
            <w:pPr>
              <w:spacing w:line="276" w:lineRule="auto"/>
              <w:jc w:val="center"/>
              <w:rPr>
                <w:rFonts w:hint="eastAsia" w:ascii="宋体" w:hAnsi="宋体" w:eastAsia="宋体" w:cs="宋体"/>
                <w:color w:val="auto"/>
                <w:sz w:val="24"/>
                <w:highlight w:val="none"/>
              </w:rPr>
            </w:pPr>
          </w:p>
        </w:tc>
        <w:tc>
          <w:tcPr>
            <w:tcW w:w="987" w:type="dxa"/>
            <w:noWrap w:val="0"/>
            <w:vAlign w:val="center"/>
          </w:tcPr>
          <w:p>
            <w:pPr>
              <w:spacing w:line="276" w:lineRule="auto"/>
              <w:jc w:val="center"/>
              <w:rPr>
                <w:rFonts w:hint="eastAsia" w:ascii="宋体" w:hAnsi="宋体" w:eastAsia="宋体" w:cs="宋体"/>
                <w:color w:val="auto"/>
                <w:sz w:val="24"/>
                <w:highlight w:val="none"/>
              </w:rPr>
            </w:pPr>
          </w:p>
        </w:tc>
        <w:tc>
          <w:tcPr>
            <w:tcW w:w="987" w:type="dxa"/>
            <w:noWrap w:val="0"/>
            <w:vAlign w:val="center"/>
          </w:tcPr>
          <w:p>
            <w:pPr>
              <w:spacing w:line="276" w:lineRule="auto"/>
              <w:jc w:val="center"/>
              <w:rPr>
                <w:rFonts w:hint="eastAsia" w:ascii="宋体" w:hAnsi="宋体" w:eastAsia="宋体" w:cs="宋体"/>
                <w:color w:val="auto"/>
                <w:sz w:val="24"/>
                <w:highlight w:val="none"/>
              </w:rPr>
            </w:pPr>
          </w:p>
        </w:tc>
        <w:tc>
          <w:tcPr>
            <w:tcW w:w="987" w:type="dxa"/>
            <w:noWrap w:val="0"/>
            <w:vAlign w:val="center"/>
          </w:tcPr>
          <w:p>
            <w:pPr>
              <w:spacing w:line="276" w:lineRule="auto"/>
              <w:jc w:val="center"/>
              <w:rPr>
                <w:rFonts w:hint="eastAsia" w:ascii="宋体" w:hAnsi="宋体" w:eastAsia="宋体" w:cs="宋体"/>
                <w:color w:val="auto"/>
                <w:sz w:val="24"/>
                <w:highlight w:val="none"/>
              </w:rPr>
            </w:pPr>
          </w:p>
        </w:tc>
        <w:tc>
          <w:tcPr>
            <w:tcW w:w="1636" w:type="dxa"/>
            <w:noWrap w:val="0"/>
            <w:vAlign w:val="center"/>
          </w:tcPr>
          <w:p>
            <w:pPr>
              <w:spacing w:line="276"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1365" w:type="dxa"/>
            <w:noWrap w:val="0"/>
            <w:vAlign w:val="center"/>
          </w:tcPr>
          <w:p>
            <w:pPr>
              <w:spacing w:line="276" w:lineRule="auto"/>
              <w:jc w:val="center"/>
              <w:rPr>
                <w:rFonts w:hint="eastAsia" w:ascii="宋体" w:hAnsi="宋体" w:eastAsia="宋体" w:cs="宋体"/>
                <w:color w:val="auto"/>
                <w:sz w:val="24"/>
                <w:highlight w:val="none"/>
              </w:rPr>
            </w:pPr>
          </w:p>
        </w:tc>
        <w:tc>
          <w:tcPr>
            <w:tcW w:w="2282" w:type="dxa"/>
            <w:noWrap w:val="0"/>
            <w:vAlign w:val="center"/>
          </w:tcPr>
          <w:p>
            <w:pPr>
              <w:spacing w:line="276" w:lineRule="auto"/>
              <w:jc w:val="center"/>
              <w:rPr>
                <w:rFonts w:hint="eastAsia" w:ascii="宋体" w:hAnsi="宋体" w:eastAsia="宋体" w:cs="宋体"/>
                <w:color w:val="auto"/>
                <w:sz w:val="24"/>
                <w:highlight w:val="none"/>
              </w:rPr>
            </w:pPr>
          </w:p>
        </w:tc>
        <w:tc>
          <w:tcPr>
            <w:tcW w:w="999" w:type="dxa"/>
            <w:noWrap w:val="0"/>
            <w:vAlign w:val="center"/>
          </w:tcPr>
          <w:p>
            <w:pPr>
              <w:spacing w:line="276" w:lineRule="auto"/>
              <w:jc w:val="center"/>
              <w:rPr>
                <w:rFonts w:hint="eastAsia" w:ascii="宋体" w:hAnsi="宋体" w:eastAsia="宋体" w:cs="宋体"/>
                <w:color w:val="auto"/>
                <w:sz w:val="24"/>
                <w:highlight w:val="none"/>
              </w:rPr>
            </w:pPr>
          </w:p>
        </w:tc>
        <w:tc>
          <w:tcPr>
            <w:tcW w:w="987" w:type="dxa"/>
            <w:noWrap w:val="0"/>
            <w:vAlign w:val="center"/>
          </w:tcPr>
          <w:p>
            <w:pPr>
              <w:spacing w:line="276" w:lineRule="auto"/>
              <w:jc w:val="center"/>
              <w:rPr>
                <w:rFonts w:hint="eastAsia" w:ascii="宋体" w:hAnsi="宋体" w:eastAsia="宋体" w:cs="宋体"/>
                <w:color w:val="auto"/>
                <w:sz w:val="24"/>
                <w:highlight w:val="none"/>
              </w:rPr>
            </w:pPr>
          </w:p>
        </w:tc>
        <w:tc>
          <w:tcPr>
            <w:tcW w:w="987" w:type="dxa"/>
            <w:noWrap w:val="0"/>
            <w:vAlign w:val="center"/>
          </w:tcPr>
          <w:p>
            <w:pPr>
              <w:spacing w:line="276" w:lineRule="auto"/>
              <w:jc w:val="center"/>
              <w:rPr>
                <w:rFonts w:hint="eastAsia" w:ascii="宋体" w:hAnsi="宋体" w:eastAsia="宋体" w:cs="宋体"/>
                <w:color w:val="auto"/>
                <w:sz w:val="24"/>
                <w:highlight w:val="none"/>
              </w:rPr>
            </w:pPr>
          </w:p>
        </w:tc>
        <w:tc>
          <w:tcPr>
            <w:tcW w:w="987" w:type="dxa"/>
            <w:noWrap w:val="0"/>
            <w:vAlign w:val="center"/>
          </w:tcPr>
          <w:p>
            <w:pPr>
              <w:spacing w:line="276" w:lineRule="auto"/>
              <w:jc w:val="center"/>
              <w:rPr>
                <w:rFonts w:hint="eastAsia" w:ascii="宋体" w:hAnsi="宋体" w:eastAsia="宋体" w:cs="宋体"/>
                <w:color w:val="auto"/>
                <w:sz w:val="24"/>
                <w:highlight w:val="none"/>
              </w:rPr>
            </w:pPr>
          </w:p>
        </w:tc>
        <w:tc>
          <w:tcPr>
            <w:tcW w:w="1636" w:type="dxa"/>
            <w:noWrap w:val="0"/>
            <w:vAlign w:val="center"/>
          </w:tcPr>
          <w:p>
            <w:pPr>
              <w:spacing w:line="276"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1365" w:type="dxa"/>
            <w:noWrap w:val="0"/>
            <w:vAlign w:val="center"/>
          </w:tcPr>
          <w:p>
            <w:pPr>
              <w:spacing w:line="276" w:lineRule="auto"/>
              <w:jc w:val="center"/>
              <w:rPr>
                <w:rFonts w:hint="eastAsia" w:ascii="宋体" w:hAnsi="宋体" w:eastAsia="宋体" w:cs="宋体"/>
                <w:color w:val="auto"/>
                <w:sz w:val="24"/>
                <w:highlight w:val="none"/>
              </w:rPr>
            </w:pPr>
          </w:p>
        </w:tc>
        <w:tc>
          <w:tcPr>
            <w:tcW w:w="2282" w:type="dxa"/>
            <w:noWrap w:val="0"/>
            <w:vAlign w:val="center"/>
          </w:tcPr>
          <w:p>
            <w:pPr>
              <w:spacing w:line="276" w:lineRule="auto"/>
              <w:jc w:val="center"/>
              <w:rPr>
                <w:rFonts w:hint="eastAsia" w:ascii="宋体" w:hAnsi="宋体" w:eastAsia="宋体" w:cs="宋体"/>
                <w:color w:val="auto"/>
                <w:sz w:val="24"/>
                <w:highlight w:val="none"/>
              </w:rPr>
            </w:pPr>
          </w:p>
        </w:tc>
        <w:tc>
          <w:tcPr>
            <w:tcW w:w="999" w:type="dxa"/>
            <w:noWrap w:val="0"/>
            <w:vAlign w:val="center"/>
          </w:tcPr>
          <w:p>
            <w:pPr>
              <w:spacing w:line="276" w:lineRule="auto"/>
              <w:jc w:val="center"/>
              <w:rPr>
                <w:rFonts w:hint="eastAsia" w:ascii="宋体" w:hAnsi="宋体" w:eastAsia="宋体" w:cs="宋体"/>
                <w:color w:val="auto"/>
                <w:sz w:val="24"/>
                <w:highlight w:val="none"/>
              </w:rPr>
            </w:pPr>
          </w:p>
        </w:tc>
        <w:tc>
          <w:tcPr>
            <w:tcW w:w="987" w:type="dxa"/>
            <w:noWrap w:val="0"/>
            <w:vAlign w:val="center"/>
          </w:tcPr>
          <w:p>
            <w:pPr>
              <w:spacing w:line="276" w:lineRule="auto"/>
              <w:jc w:val="center"/>
              <w:rPr>
                <w:rFonts w:hint="eastAsia" w:ascii="宋体" w:hAnsi="宋体" w:eastAsia="宋体" w:cs="宋体"/>
                <w:color w:val="auto"/>
                <w:sz w:val="24"/>
                <w:highlight w:val="none"/>
              </w:rPr>
            </w:pPr>
          </w:p>
        </w:tc>
        <w:tc>
          <w:tcPr>
            <w:tcW w:w="987" w:type="dxa"/>
            <w:noWrap w:val="0"/>
            <w:vAlign w:val="center"/>
          </w:tcPr>
          <w:p>
            <w:pPr>
              <w:spacing w:line="276" w:lineRule="auto"/>
              <w:jc w:val="center"/>
              <w:rPr>
                <w:rFonts w:hint="eastAsia" w:ascii="宋体" w:hAnsi="宋体" w:eastAsia="宋体" w:cs="宋体"/>
                <w:color w:val="auto"/>
                <w:sz w:val="24"/>
                <w:highlight w:val="none"/>
              </w:rPr>
            </w:pPr>
          </w:p>
        </w:tc>
        <w:tc>
          <w:tcPr>
            <w:tcW w:w="987" w:type="dxa"/>
            <w:noWrap w:val="0"/>
            <w:vAlign w:val="center"/>
          </w:tcPr>
          <w:p>
            <w:pPr>
              <w:spacing w:line="276" w:lineRule="auto"/>
              <w:jc w:val="center"/>
              <w:rPr>
                <w:rFonts w:hint="eastAsia" w:ascii="宋体" w:hAnsi="宋体" w:eastAsia="宋体" w:cs="宋体"/>
                <w:color w:val="auto"/>
                <w:sz w:val="24"/>
                <w:highlight w:val="none"/>
              </w:rPr>
            </w:pPr>
          </w:p>
        </w:tc>
        <w:tc>
          <w:tcPr>
            <w:tcW w:w="1636" w:type="dxa"/>
            <w:noWrap w:val="0"/>
            <w:vAlign w:val="center"/>
          </w:tcPr>
          <w:p>
            <w:pPr>
              <w:spacing w:line="276"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1365" w:type="dxa"/>
            <w:noWrap w:val="0"/>
            <w:vAlign w:val="center"/>
          </w:tcPr>
          <w:p>
            <w:pPr>
              <w:spacing w:line="276" w:lineRule="auto"/>
              <w:jc w:val="center"/>
              <w:rPr>
                <w:rFonts w:hint="eastAsia" w:ascii="宋体" w:hAnsi="宋体" w:eastAsia="宋体" w:cs="宋体"/>
                <w:color w:val="auto"/>
                <w:sz w:val="24"/>
                <w:highlight w:val="none"/>
              </w:rPr>
            </w:pPr>
          </w:p>
        </w:tc>
        <w:tc>
          <w:tcPr>
            <w:tcW w:w="2282" w:type="dxa"/>
            <w:noWrap w:val="0"/>
            <w:vAlign w:val="center"/>
          </w:tcPr>
          <w:p>
            <w:pPr>
              <w:spacing w:line="276" w:lineRule="auto"/>
              <w:jc w:val="center"/>
              <w:rPr>
                <w:rFonts w:hint="eastAsia" w:ascii="宋体" w:hAnsi="宋体" w:eastAsia="宋体" w:cs="宋体"/>
                <w:color w:val="auto"/>
                <w:sz w:val="24"/>
                <w:highlight w:val="none"/>
              </w:rPr>
            </w:pPr>
          </w:p>
        </w:tc>
        <w:tc>
          <w:tcPr>
            <w:tcW w:w="999" w:type="dxa"/>
            <w:noWrap w:val="0"/>
            <w:vAlign w:val="center"/>
          </w:tcPr>
          <w:p>
            <w:pPr>
              <w:spacing w:line="276" w:lineRule="auto"/>
              <w:jc w:val="center"/>
              <w:rPr>
                <w:rFonts w:hint="eastAsia" w:ascii="宋体" w:hAnsi="宋体" w:eastAsia="宋体" w:cs="宋体"/>
                <w:color w:val="auto"/>
                <w:sz w:val="24"/>
                <w:highlight w:val="none"/>
              </w:rPr>
            </w:pPr>
          </w:p>
        </w:tc>
        <w:tc>
          <w:tcPr>
            <w:tcW w:w="987" w:type="dxa"/>
            <w:noWrap w:val="0"/>
            <w:vAlign w:val="center"/>
          </w:tcPr>
          <w:p>
            <w:pPr>
              <w:spacing w:line="276" w:lineRule="auto"/>
              <w:jc w:val="center"/>
              <w:rPr>
                <w:rFonts w:hint="eastAsia" w:ascii="宋体" w:hAnsi="宋体" w:eastAsia="宋体" w:cs="宋体"/>
                <w:color w:val="auto"/>
                <w:sz w:val="24"/>
                <w:highlight w:val="none"/>
              </w:rPr>
            </w:pPr>
          </w:p>
        </w:tc>
        <w:tc>
          <w:tcPr>
            <w:tcW w:w="987" w:type="dxa"/>
            <w:noWrap w:val="0"/>
            <w:vAlign w:val="center"/>
          </w:tcPr>
          <w:p>
            <w:pPr>
              <w:spacing w:line="276" w:lineRule="auto"/>
              <w:jc w:val="center"/>
              <w:rPr>
                <w:rFonts w:hint="eastAsia" w:ascii="宋体" w:hAnsi="宋体" w:eastAsia="宋体" w:cs="宋体"/>
                <w:color w:val="auto"/>
                <w:sz w:val="24"/>
                <w:highlight w:val="none"/>
              </w:rPr>
            </w:pPr>
          </w:p>
        </w:tc>
        <w:tc>
          <w:tcPr>
            <w:tcW w:w="987" w:type="dxa"/>
            <w:noWrap w:val="0"/>
            <w:vAlign w:val="center"/>
          </w:tcPr>
          <w:p>
            <w:pPr>
              <w:spacing w:line="276" w:lineRule="auto"/>
              <w:jc w:val="center"/>
              <w:rPr>
                <w:rFonts w:hint="eastAsia" w:ascii="宋体" w:hAnsi="宋体" w:eastAsia="宋体" w:cs="宋体"/>
                <w:color w:val="auto"/>
                <w:sz w:val="24"/>
                <w:highlight w:val="none"/>
              </w:rPr>
            </w:pPr>
          </w:p>
        </w:tc>
        <w:tc>
          <w:tcPr>
            <w:tcW w:w="1636" w:type="dxa"/>
            <w:noWrap w:val="0"/>
            <w:vAlign w:val="center"/>
          </w:tcPr>
          <w:p>
            <w:pPr>
              <w:spacing w:line="276"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1365" w:type="dxa"/>
            <w:noWrap w:val="0"/>
            <w:vAlign w:val="center"/>
          </w:tcPr>
          <w:p>
            <w:pPr>
              <w:spacing w:line="276" w:lineRule="auto"/>
              <w:jc w:val="center"/>
              <w:rPr>
                <w:rFonts w:hint="eastAsia" w:ascii="宋体" w:hAnsi="宋体" w:eastAsia="宋体" w:cs="宋体"/>
                <w:color w:val="auto"/>
                <w:sz w:val="24"/>
                <w:highlight w:val="none"/>
              </w:rPr>
            </w:pPr>
          </w:p>
        </w:tc>
        <w:tc>
          <w:tcPr>
            <w:tcW w:w="2282" w:type="dxa"/>
            <w:noWrap w:val="0"/>
            <w:vAlign w:val="center"/>
          </w:tcPr>
          <w:p>
            <w:pPr>
              <w:spacing w:line="276" w:lineRule="auto"/>
              <w:jc w:val="center"/>
              <w:rPr>
                <w:rFonts w:hint="eastAsia" w:ascii="宋体" w:hAnsi="宋体" w:eastAsia="宋体" w:cs="宋体"/>
                <w:color w:val="auto"/>
                <w:sz w:val="24"/>
                <w:highlight w:val="none"/>
              </w:rPr>
            </w:pPr>
          </w:p>
        </w:tc>
        <w:tc>
          <w:tcPr>
            <w:tcW w:w="999" w:type="dxa"/>
            <w:noWrap w:val="0"/>
            <w:vAlign w:val="center"/>
          </w:tcPr>
          <w:p>
            <w:pPr>
              <w:spacing w:line="276" w:lineRule="auto"/>
              <w:jc w:val="center"/>
              <w:rPr>
                <w:rFonts w:hint="eastAsia" w:ascii="宋体" w:hAnsi="宋体" w:eastAsia="宋体" w:cs="宋体"/>
                <w:color w:val="auto"/>
                <w:sz w:val="24"/>
                <w:highlight w:val="none"/>
              </w:rPr>
            </w:pPr>
          </w:p>
        </w:tc>
        <w:tc>
          <w:tcPr>
            <w:tcW w:w="987" w:type="dxa"/>
            <w:noWrap w:val="0"/>
            <w:vAlign w:val="center"/>
          </w:tcPr>
          <w:p>
            <w:pPr>
              <w:spacing w:line="276" w:lineRule="auto"/>
              <w:jc w:val="center"/>
              <w:rPr>
                <w:rFonts w:hint="eastAsia" w:ascii="宋体" w:hAnsi="宋体" w:eastAsia="宋体" w:cs="宋体"/>
                <w:color w:val="auto"/>
                <w:sz w:val="24"/>
                <w:highlight w:val="none"/>
              </w:rPr>
            </w:pPr>
          </w:p>
        </w:tc>
        <w:tc>
          <w:tcPr>
            <w:tcW w:w="987" w:type="dxa"/>
            <w:noWrap w:val="0"/>
            <w:vAlign w:val="center"/>
          </w:tcPr>
          <w:p>
            <w:pPr>
              <w:spacing w:line="276" w:lineRule="auto"/>
              <w:jc w:val="center"/>
              <w:rPr>
                <w:rFonts w:hint="eastAsia" w:ascii="宋体" w:hAnsi="宋体" w:eastAsia="宋体" w:cs="宋体"/>
                <w:color w:val="auto"/>
                <w:sz w:val="24"/>
                <w:highlight w:val="none"/>
              </w:rPr>
            </w:pPr>
          </w:p>
        </w:tc>
        <w:tc>
          <w:tcPr>
            <w:tcW w:w="987" w:type="dxa"/>
            <w:noWrap w:val="0"/>
            <w:vAlign w:val="center"/>
          </w:tcPr>
          <w:p>
            <w:pPr>
              <w:spacing w:line="276" w:lineRule="auto"/>
              <w:jc w:val="center"/>
              <w:rPr>
                <w:rFonts w:hint="eastAsia" w:ascii="宋体" w:hAnsi="宋体" w:eastAsia="宋体" w:cs="宋体"/>
                <w:color w:val="auto"/>
                <w:sz w:val="24"/>
                <w:highlight w:val="none"/>
              </w:rPr>
            </w:pPr>
          </w:p>
        </w:tc>
        <w:tc>
          <w:tcPr>
            <w:tcW w:w="1636" w:type="dxa"/>
            <w:noWrap w:val="0"/>
            <w:vAlign w:val="center"/>
          </w:tcPr>
          <w:p>
            <w:pPr>
              <w:spacing w:line="276"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1365" w:type="dxa"/>
            <w:noWrap w:val="0"/>
            <w:vAlign w:val="center"/>
          </w:tcPr>
          <w:p>
            <w:pPr>
              <w:spacing w:line="276" w:lineRule="auto"/>
              <w:jc w:val="center"/>
              <w:rPr>
                <w:rFonts w:hint="eastAsia" w:ascii="宋体" w:hAnsi="宋体" w:eastAsia="宋体" w:cs="宋体"/>
                <w:color w:val="auto"/>
                <w:sz w:val="24"/>
                <w:highlight w:val="none"/>
              </w:rPr>
            </w:pPr>
          </w:p>
        </w:tc>
        <w:tc>
          <w:tcPr>
            <w:tcW w:w="2282" w:type="dxa"/>
            <w:noWrap w:val="0"/>
            <w:vAlign w:val="center"/>
          </w:tcPr>
          <w:p>
            <w:pPr>
              <w:spacing w:line="276" w:lineRule="auto"/>
              <w:jc w:val="center"/>
              <w:rPr>
                <w:rFonts w:hint="eastAsia" w:ascii="宋体" w:hAnsi="宋体" w:eastAsia="宋体" w:cs="宋体"/>
                <w:color w:val="auto"/>
                <w:sz w:val="24"/>
                <w:highlight w:val="none"/>
              </w:rPr>
            </w:pPr>
          </w:p>
        </w:tc>
        <w:tc>
          <w:tcPr>
            <w:tcW w:w="999" w:type="dxa"/>
            <w:noWrap w:val="0"/>
            <w:vAlign w:val="center"/>
          </w:tcPr>
          <w:p>
            <w:pPr>
              <w:spacing w:line="276" w:lineRule="auto"/>
              <w:jc w:val="center"/>
              <w:rPr>
                <w:rFonts w:hint="eastAsia" w:ascii="宋体" w:hAnsi="宋体" w:eastAsia="宋体" w:cs="宋体"/>
                <w:color w:val="auto"/>
                <w:sz w:val="24"/>
                <w:highlight w:val="none"/>
              </w:rPr>
            </w:pPr>
          </w:p>
        </w:tc>
        <w:tc>
          <w:tcPr>
            <w:tcW w:w="987" w:type="dxa"/>
            <w:noWrap w:val="0"/>
            <w:vAlign w:val="center"/>
          </w:tcPr>
          <w:p>
            <w:pPr>
              <w:spacing w:line="276" w:lineRule="auto"/>
              <w:jc w:val="center"/>
              <w:rPr>
                <w:rFonts w:hint="eastAsia" w:ascii="宋体" w:hAnsi="宋体" w:eastAsia="宋体" w:cs="宋体"/>
                <w:color w:val="auto"/>
                <w:sz w:val="24"/>
                <w:highlight w:val="none"/>
              </w:rPr>
            </w:pPr>
          </w:p>
        </w:tc>
        <w:tc>
          <w:tcPr>
            <w:tcW w:w="987" w:type="dxa"/>
            <w:noWrap w:val="0"/>
            <w:vAlign w:val="center"/>
          </w:tcPr>
          <w:p>
            <w:pPr>
              <w:spacing w:line="276" w:lineRule="auto"/>
              <w:jc w:val="center"/>
              <w:rPr>
                <w:rFonts w:hint="eastAsia" w:ascii="宋体" w:hAnsi="宋体" w:eastAsia="宋体" w:cs="宋体"/>
                <w:color w:val="auto"/>
                <w:sz w:val="24"/>
                <w:highlight w:val="none"/>
              </w:rPr>
            </w:pPr>
          </w:p>
        </w:tc>
        <w:tc>
          <w:tcPr>
            <w:tcW w:w="987" w:type="dxa"/>
            <w:noWrap w:val="0"/>
            <w:vAlign w:val="center"/>
          </w:tcPr>
          <w:p>
            <w:pPr>
              <w:spacing w:line="276" w:lineRule="auto"/>
              <w:jc w:val="center"/>
              <w:rPr>
                <w:rFonts w:hint="eastAsia" w:ascii="宋体" w:hAnsi="宋体" w:eastAsia="宋体" w:cs="宋体"/>
                <w:color w:val="auto"/>
                <w:sz w:val="24"/>
                <w:highlight w:val="none"/>
              </w:rPr>
            </w:pPr>
          </w:p>
        </w:tc>
        <w:tc>
          <w:tcPr>
            <w:tcW w:w="1636" w:type="dxa"/>
            <w:noWrap w:val="0"/>
            <w:vAlign w:val="center"/>
          </w:tcPr>
          <w:p>
            <w:pPr>
              <w:spacing w:line="276"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1365" w:type="dxa"/>
            <w:noWrap w:val="0"/>
            <w:vAlign w:val="center"/>
          </w:tcPr>
          <w:p>
            <w:pPr>
              <w:spacing w:line="276" w:lineRule="auto"/>
              <w:jc w:val="center"/>
              <w:rPr>
                <w:rFonts w:hint="eastAsia" w:ascii="宋体" w:hAnsi="宋体" w:eastAsia="宋体" w:cs="宋体"/>
                <w:color w:val="auto"/>
                <w:sz w:val="24"/>
                <w:highlight w:val="none"/>
              </w:rPr>
            </w:pPr>
          </w:p>
        </w:tc>
        <w:tc>
          <w:tcPr>
            <w:tcW w:w="2282" w:type="dxa"/>
            <w:noWrap w:val="0"/>
            <w:vAlign w:val="center"/>
          </w:tcPr>
          <w:p>
            <w:pPr>
              <w:spacing w:line="276" w:lineRule="auto"/>
              <w:jc w:val="center"/>
              <w:rPr>
                <w:rFonts w:hint="eastAsia" w:ascii="宋体" w:hAnsi="宋体" w:eastAsia="宋体" w:cs="宋体"/>
                <w:color w:val="auto"/>
                <w:sz w:val="24"/>
                <w:highlight w:val="none"/>
              </w:rPr>
            </w:pPr>
          </w:p>
        </w:tc>
        <w:tc>
          <w:tcPr>
            <w:tcW w:w="999" w:type="dxa"/>
            <w:noWrap w:val="0"/>
            <w:vAlign w:val="center"/>
          </w:tcPr>
          <w:p>
            <w:pPr>
              <w:spacing w:line="276" w:lineRule="auto"/>
              <w:jc w:val="center"/>
              <w:rPr>
                <w:rFonts w:hint="eastAsia" w:ascii="宋体" w:hAnsi="宋体" w:eastAsia="宋体" w:cs="宋体"/>
                <w:color w:val="auto"/>
                <w:sz w:val="24"/>
                <w:highlight w:val="none"/>
              </w:rPr>
            </w:pPr>
          </w:p>
        </w:tc>
        <w:tc>
          <w:tcPr>
            <w:tcW w:w="987" w:type="dxa"/>
            <w:noWrap w:val="0"/>
            <w:vAlign w:val="center"/>
          </w:tcPr>
          <w:p>
            <w:pPr>
              <w:spacing w:line="276" w:lineRule="auto"/>
              <w:jc w:val="center"/>
              <w:rPr>
                <w:rFonts w:hint="eastAsia" w:ascii="宋体" w:hAnsi="宋体" w:eastAsia="宋体" w:cs="宋体"/>
                <w:color w:val="auto"/>
                <w:sz w:val="24"/>
                <w:highlight w:val="none"/>
              </w:rPr>
            </w:pPr>
          </w:p>
        </w:tc>
        <w:tc>
          <w:tcPr>
            <w:tcW w:w="987" w:type="dxa"/>
            <w:noWrap w:val="0"/>
            <w:vAlign w:val="center"/>
          </w:tcPr>
          <w:p>
            <w:pPr>
              <w:spacing w:line="276" w:lineRule="auto"/>
              <w:jc w:val="center"/>
              <w:rPr>
                <w:rFonts w:hint="eastAsia" w:ascii="宋体" w:hAnsi="宋体" w:eastAsia="宋体" w:cs="宋体"/>
                <w:color w:val="auto"/>
                <w:sz w:val="24"/>
                <w:highlight w:val="none"/>
              </w:rPr>
            </w:pPr>
          </w:p>
        </w:tc>
        <w:tc>
          <w:tcPr>
            <w:tcW w:w="987" w:type="dxa"/>
            <w:noWrap w:val="0"/>
            <w:vAlign w:val="center"/>
          </w:tcPr>
          <w:p>
            <w:pPr>
              <w:spacing w:line="276" w:lineRule="auto"/>
              <w:jc w:val="center"/>
              <w:rPr>
                <w:rFonts w:hint="eastAsia" w:ascii="宋体" w:hAnsi="宋体" w:eastAsia="宋体" w:cs="宋体"/>
                <w:color w:val="auto"/>
                <w:sz w:val="24"/>
                <w:highlight w:val="none"/>
              </w:rPr>
            </w:pPr>
          </w:p>
        </w:tc>
        <w:tc>
          <w:tcPr>
            <w:tcW w:w="1636" w:type="dxa"/>
            <w:noWrap w:val="0"/>
            <w:vAlign w:val="center"/>
          </w:tcPr>
          <w:p>
            <w:pPr>
              <w:spacing w:line="276"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1365" w:type="dxa"/>
            <w:noWrap w:val="0"/>
            <w:vAlign w:val="center"/>
          </w:tcPr>
          <w:p>
            <w:pPr>
              <w:spacing w:line="276" w:lineRule="auto"/>
              <w:jc w:val="center"/>
              <w:rPr>
                <w:rFonts w:hint="eastAsia" w:ascii="宋体" w:hAnsi="宋体" w:eastAsia="宋体" w:cs="宋体"/>
                <w:color w:val="auto"/>
                <w:sz w:val="24"/>
                <w:highlight w:val="none"/>
              </w:rPr>
            </w:pPr>
          </w:p>
        </w:tc>
        <w:tc>
          <w:tcPr>
            <w:tcW w:w="2282" w:type="dxa"/>
            <w:noWrap w:val="0"/>
            <w:vAlign w:val="center"/>
          </w:tcPr>
          <w:p>
            <w:pPr>
              <w:spacing w:line="276" w:lineRule="auto"/>
              <w:jc w:val="center"/>
              <w:rPr>
                <w:rFonts w:hint="eastAsia" w:ascii="宋体" w:hAnsi="宋体" w:eastAsia="宋体" w:cs="宋体"/>
                <w:color w:val="auto"/>
                <w:sz w:val="24"/>
                <w:highlight w:val="none"/>
              </w:rPr>
            </w:pPr>
          </w:p>
        </w:tc>
        <w:tc>
          <w:tcPr>
            <w:tcW w:w="999" w:type="dxa"/>
            <w:noWrap w:val="0"/>
            <w:vAlign w:val="center"/>
          </w:tcPr>
          <w:p>
            <w:pPr>
              <w:spacing w:line="276" w:lineRule="auto"/>
              <w:jc w:val="center"/>
              <w:rPr>
                <w:rFonts w:hint="eastAsia" w:ascii="宋体" w:hAnsi="宋体" w:eastAsia="宋体" w:cs="宋体"/>
                <w:color w:val="auto"/>
                <w:sz w:val="24"/>
                <w:highlight w:val="none"/>
              </w:rPr>
            </w:pPr>
          </w:p>
        </w:tc>
        <w:tc>
          <w:tcPr>
            <w:tcW w:w="987" w:type="dxa"/>
            <w:noWrap w:val="0"/>
            <w:vAlign w:val="center"/>
          </w:tcPr>
          <w:p>
            <w:pPr>
              <w:spacing w:line="276" w:lineRule="auto"/>
              <w:jc w:val="center"/>
              <w:rPr>
                <w:rFonts w:hint="eastAsia" w:ascii="宋体" w:hAnsi="宋体" w:eastAsia="宋体" w:cs="宋体"/>
                <w:color w:val="auto"/>
                <w:sz w:val="24"/>
                <w:highlight w:val="none"/>
              </w:rPr>
            </w:pPr>
          </w:p>
        </w:tc>
        <w:tc>
          <w:tcPr>
            <w:tcW w:w="987" w:type="dxa"/>
            <w:noWrap w:val="0"/>
            <w:vAlign w:val="center"/>
          </w:tcPr>
          <w:p>
            <w:pPr>
              <w:spacing w:line="276" w:lineRule="auto"/>
              <w:jc w:val="center"/>
              <w:rPr>
                <w:rFonts w:hint="eastAsia" w:ascii="宋体" w:hAnsi="宋体" w:eastAsia="宋体" w:cs="宋体"/>
                <w:color w:val="auto"/>
                <w:sz w:val="24"/>
                <w:highlight w:val="none"/>
              </w:rPr>
            </w:pPr>
          </w:p>
        </w:tc>
        <w:tc>
          <w:tcPr>
            <w:tcW w:w="987" w:type="dxa"/>
            <w:noWrap w:val="0"/>
            <w:vAlign w:val="center"/>
          </w:tcPr>
          <w:p>
            <w:pPr>
              <w:spacing w:line="276" w:lineRule="auto"/>
              <w:jc w:val="center"/>
              <w:rPr>
                <w:rFonts w:hint="eastAsia" w:ascii="宋体" w:hAnsi="宋体" w:eastAsia="宋体" w:cs="宋体"/>
                <w:color w:val="auto"/>
                <w:sz w:val="24"/>
                <w:highlight w:val="none"/>
              </w:rPr>
            </w:pPr>
          </w:p>
        </w:tc>
        <w:tc>
          <w:tcPr>
            <w:tcW w:w="1636" w:type="dxa"/>
            <w:noWrap w:val="0"/>
            <w:vAlign w:val="center"/>
          </w:tcPr>
          <w:p>
            <w:pPr>
              <w:spacing w:line="276" w:lineRule="auto"/>
              <w:jc w:val="center"/>
              <w:rPr>
                <w:rFonts w:hint="eastAsia" w:ascii="宋体" w:hAnsi="宋体" w:eastAsia="宋体" w:cs="宋体"/>
                <w:color w:val="auto"/>
                <w:sz w:val="24"/>
                <w:highlight w:val="none"/>
              </w:rPr>
            </w:pPr>
          </w:p>
        </w:tc>
      </w:tr>
    </w:tbl>
    <w:p>
      <w:pPr>
        <w:pStyle w:val="11"/>
        <w:keepNext w:val="0"/>
        <w:keepLines w:val="0"/>
        <w:pageBreakBefore w:val="0"/>
        <w:widowControl w:val="0"/>
        <w:tabs>
          <w:tab w:val="left" w:pos="4841"/>
        </w:tabs>
        <w:kinsoku/>
        <w:wordWrap/>
        <w:overflowPunct/>
        <w:topLinePunct w:val="0"/>
        <w:autoSpaceDE/>
        <w:autoSpaceDN/>
        <w:bidi w:val="0"/>
        <w:adjustRightInd/>
        <w:snapToGrid/>
        <w:spacing w:line="360" w:lineRule="auto"/>
        <w:ind w:firstLine="406" w:firstLineChars="200"/>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注：1、项目组成人员须报</w:t>
      </w:r>
      <w:r>
        <w:rPr>
          <w:rFonts w:hint="eastAsia" w:ascii="宋体" w:hAnsi="宋体" w:eastAsia="宋体" w:cs="宋体"/>
          <w:b/>
          <w:color w:val="auto"/>
          <w:sz w:val="21"/>
          <w:szCs w:val="21"/>
          <w:highlight w:val="none"/>
          <w:lang w:eastAsia="zh-CN"/>
        </w:rPr>
        <w:t>采购人</w:t>
      </w:r>
      <w:r>
        <w:rPr>
          <w:rFonts w:hint="eastAsia" w:ascii="宋体" w:hAnsi="宋体" w:eastAsia="宋体" w:cs="宋体"/>
          <w:b/>
          <w:color w:val="auto"/>
          <w:sz w:val="21"/>
          <w:szCs w:val="21"/>
          <w:highlight w:val="none"/>
        </w:rPr>
        <w:t>备案归档，服务期间不得更换，特殊情况必须更换的，更换人员满足工作及工作组组成要求的，经</w:t>
      </w:r>
      <w:r>
        <w:rPr>
          <w:rFonts w:hint="eastAsia" w:ascii="宋体" w:hAnsi="宋体" w:eastAsia="宋体" w:cs="宋体"/>
          <w:b/>
          <w:color w:val="auto"/>
          <w:sz w:val="21"/>
          <w:szCs w:val="21"/>
          <w:highlight w:val="none"/>
          <w:lang w:eastAsia="zh-CN"/>
        </w:rPr>
        <w:t>采购人</w:t>
      </w:r>
      <w:r>
        <w:rPr>
          <w:rFonts w:hint="eastAsia" w:ascii="宋体" w:hAnsi="宋体" w:eastAsia="宋体" w:cs="宋体"/>
          <w:b/>
          <w:color w:val="auto"/>
          <w:sz w:val="21"/>
          <w:szCs w:val="21"/>
          <w:highlight w:val="none"/>
        </w:rPr>
        <w:t>书面同意后，方可进行；</w:t>
      </w:r>
    </w:p>
    <w:p>
      <w:pPr>
        <w:pStyle w:val="11"/>
        <w:keepNext w:val="0"/>
        <w:keepLines w:val="0"/>
        <w:pageBreakBefore w:val="0"/>
        <w:widowControl w:val="0"/>
        <w:numPr>
          <w:ilvl w:val="0"/>
          <w:numId w:val="5"/>
        </w:numPr>
        <w:tabs>
          <w:tab w:val="left" w:pos="4841"/>
        </w:tabs>
        <w:kinsoku/>
        <w:wordWrap/>
        <w:overflowPunct/>
        <w:topLinePunct w:val="0"/>
        <w:autoSpaceDE/>
        <w:autoSpaceDN/>
        <w:bidi w:val="0"/>
        <w:adjustRightInd/>
        <w:snapToGrid/>
        <w:spacing w:line="360" w:lineRule="auto"/>
        <w:ind w:left="14" w:leftChars="0" w:firstLine="406" w:firstLineChars="0"/>
        <w:textAlignment w:val="auto"/>
        <w:rPr>
          <w:rFonts w:hint="eastAsia" w:ascii="宋体" w:hAnsi="宋体" w:eastAsia="宋体" w:cs="宋体"/>
          <w:b/>
          <w:color w:val="auto"/>
          <w:sz w:val="21"/>
          <w:szCs w:val="21"/>
          <w:highlight w:val="none"/>
          <w:lang w:eastAsia="zh-CN"/>
        </w:rPr>
      </w:pPr>
      <w:r>
        <w:rPr>
          <w:rFonts w:hint="eastAsia" w:ascii="宋体" w:hAnsi="宋体" w:eastAsia="宋体" w:cs="宋体"/>
          <w:b/>
          <w:color w:val="auto"/>
          <w:sz w:val="21"/>
          <w:szCs w:val="21"/>
          <w:highlight w:val="none"/>
        </w:rPr>
        <w:t>后附相关</w:t>
      </w:r>
      <w:r>
        <w:rPr>
          <w:rFonts w:hint="eastAsia" w:ascii="宋体" w:hAnsi="宋体" w:eastAsia="宋体" w:cs="宋体"/>
          <w:b/>
          <w:color w:val="auto"/>
          <w:sz w:val="21"/>
          <w:szCs w:val="21"/>
          <w:highlight w:val="none"/>
          <w:lang w:eastAsia="zh-CN"/>
        </w:rPr>
        <w:t>学历证书、人员</w:t>
      </w:r>
      <w:r>
        <w:rPr>
          <w:rFonts w:hint="eastAsia" w:ascii="宋体" w:hAnsi="宋体" w:eastAsia="宋体" w:cs="宋体"/>
          <w:b/>
          <w:color w:val="auto"/>
          <w:sz w:val="21"/>
          <w:szCs w:val="21"/>
          <w:highlight w:val="none"/>
        </w:rPr>
        <w:t>证书、</w:t>
      </w:r>
      <w:r>
        <w:rPr>
          <w:rFonts w:hint="eastAsia" w:ascii="宋体" w:hAnsi="宋体" w:eastAsia="宋体" w:cs="宋体"/>
          <w:b/>
          <w:bCs/>
          <w:color w:val="auto"/>
          <w:sz w:val="21"/>
          <w:szCs w:val="21"/>
          <w:highlight w:val="none"/>
          <w:lang w:eastAsia="zh-CN"/>
        </w:rPr>
        <w:t>近三月社保</w:t>
      </w:r>
      <w:r>
        <w:rPr>
          <w:rFonts w:hint="eastAsia" w:hAnsi="宋体" w:cs="宋体"/>
          <w:b/>
          <w:bCs/>
          <w:color w:val="auto"/>
          <w:sz w:val="21"/>
          <w:szCs w:val="21"/>
          <w:highlight w:val="none"/>
          <w:lang w:val="en-US" w:eastAsia="zh-CN"/>
        </w:rPr>
        <w:t>证明</w:t>
      </w:r>
      <w:r>
        <w:rPr>
          <w:rFonts w:hint="eastAsia" w:ascii="宋体" w:hAnsi="宋体" w:eastAsia="宋体" w:cs="宋体"/>
          <w:b/>
          <w:color w:val="auto"/>
          <w:sz w:val="21"/>
          <w:szCs w:val="21"/>
          <w:highlight w:val="none"/>
        </w:rPr>
        <w:t>等复印件</w:t>
      </w:r>
      <w:r>
        <w:rPr>
          <w:rFonts w:hint="eastAsia" w:ascii="宋体" w:hAnsi="宋体" w:eastAsia="宋体" w:cs="宋体"/>
          <w:b/>
          <w:color w:val="auto"/>
          <w:sz w:val="21"/>
          <w:szCs w:val="21"/>
          <w:highlight w:val="none"/>
          <w:lang w:eastAsia="zh-CN"/>
        </w:rPr>
        <w:t>。</w:t>
      </w:r>
    </w:p>
    <w:p>
      <w:pPr>
        <w:pStyle w:val="11"/>
        <w:keepNext w:val="0"/>
        <w:keepLines w:val="0"/>
        <w:pageBreakBefore w:val="0"/>
        <w:widowControl w:val="0"/>
        <w:numPr>
          <w:ilvl w:val="0"/>
          <w:numId w:val="0"/>
        </w:numPr>
        <w:tabs>
          <w:tab w:val="left" w:pos="4841"/>
        </w:tabs>
        <w:kinsoku/>
        <w:wordWrap/>
        <w:overflowPunct/>
        <w:topLinePunct w:val="0"/>
        <w:autoSpaceDE/>
        <w:autoSpaceDN/>
        <w:bidi w:val="0"/>
        <w:adjustRightInd/>
        <w:snapToGrid/>
        <w:spacing w:line="360" w:lineRule="auto"/>
        <w:textAlignment w:val="auto"/>
        <w:rPr>
          <w:rFonts w:hint="eastAsia" w:ascii="宋体" w:hAnsi="宋体" w:eastAsia="宋体" w:cs="宋体"/>
          <w:b/>
          <w:color w:val="auto"/>
          <w:sz w:val="21"/>
          <w:szCs w:val="21"/>
          <w:highlight w:val="none"/>
          <w:lang w:eastAsia="zh-CN"/>
        </w:rPr>
      </w:pPr>
    </w:p>
    <w:p>
      <w:pPr>
        <w:pStyle w:val="11"/>
        <w:keepNext w:val="0"/>
        <w:keepLines w:val="0"/>
        <w:pageBreakBefore w:val="0"/>
        <w:widowControl w:val="0"/>
        <w:tabs>
          <w:tab w:val="left" w:pos="4841"/>
        </w:tabs>
        <w:kinsoku/>
        <w:wordWrap/>
        <w:overflowPunct/>
        <w:topLinePunct w:val="0"/>
        <w:autoSpaceDE/>
        <w:autoSpaceDN/>
        <w:bidi w:val="0"/>
        <w:adjustRightInd/>
        <w:snapToGrid/>
        <w:spacing w:line="360" w:lineRule="auto"/>
        <w:ind w:firstLine="404"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供应商</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eastAsia="zh-CN"/>
        </w:rPr>
        <w:t>盖</w:t>
      </w:r>
      <w:r>
        <w:rPr>
          <w:rFonts w:hint="eastAsia" w:ascii="宋体" w:hAnsi="宋体" w:eastAsia="宋体" w:cs="宋体"/>
          <w:color w:val="auto"/>
          <w:sz w:val="21"/>
          <w:szCs w:val="21"/>
          <w:highlight w:val="none"/>
        </w:rPr>
        <w:t>章）：</w:t>
      </w:r>
    </w:p>
    <w:p>
      <w:pPr>
        <w:pStyle w:val="11"/>
        <w:keepNext w:val="0"/>
        <w:keepLines w:val="0"/>
        <w:pageBreakBefore w:val="0"/>
        <w:widowControl w:val="0"/>
        <w:tabs>
          <w:tab w:val="left" w:pos="4841"/>
        </w:tabs>
        <w:kinsoku/>
        <w:wordWrap/>
        <w:overflowPunct/>
        <w:topLinePunct w:val="0"/>
        <w:autoSpaceDE/>
        <w:autoSpaceDN/>
        <w:bidi w:val="0"/>
        <w:adjustRightInd/>
        <w:snapToGrid/>
        <w:spacing w:line="360" w:lineRule="auto"/>
        <w:ind w:firstLine="404"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法定代表人</w:t>
      </w:r>
      <w:r>
        <w:rPr>
          <w:rFonts w:hint="eastAsia" w:ascii="宋体" w:hAnsi="宋体" w:eastAsia="宋体" w:cs="宋体"/>
          <w:color w:val="auto"/>
          <w:sz w:val="21"/>
          <w:szCs w:val="21"/>
          <w:highlight w:val="none"/>
          <w:lang w:eastAsia="zh-CN"/>
        </w:rPr>
        <w:t>或单位负责人或</w:t>
      </w:r>
      <w:r>
        <w:rPr>
          <w:rFonts w:hint="eastAsia" w:ascii="宋体" w:hAnsi="宋体" w:eastAsia="宋体" w:cs="宋体"/>
          <w:color w:val="auto"/>
          <w:sz w:val="21"/>
          <w:szCs w:val="21"/>
          <w:highlight w:val="none"/>
        </w:rPr>
        <w:t>其授权代表人（签字或盖章）：</w:t>
      </w:r>
    </w:p>
    <w:p>
      <w:pPr>
        <w:pStyle w:val="11"/>
        <w:keepNext w:val="0"/>
        <w:keepLines w:val="0"/>
        <w:pageBreakBefore w:val="0"/>
        <w:widowControl w:val="0"/>
        <w:tabs>
          <w:tab w:val="left" w:pos="4841"/>
        </w:tabs>
        <w:kinsoku/>
        <w:wordWrap/>
        <w:overflowPunct/>
        <w:topLinePunct w:val="0"/>
        <w:autoSpaceDE/>
        <w:autoSpaceDN/>
        <w:bidi w:val="0"/>
        <w:adjustRightInd/>
        <w:snapToGrid/>
        <w:spacing w:line="360" w:lineRule="auto"/>
        <w:ind w:firstLine="404"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日期：    年   月   日</w:t>
      </w:r>
    </w:p>
    <w:p>
      <w:pPr>
        <w:jc w:val="center"/>
        <w:rPr>
          <w:rFonts w:hint="eastAsia" w:ascii="宋体" w:hAnsi="宋体" w:eastAsia="宋体" w:cs="宋体"/>
          <w:color w:val="auto"/>
          <w:highlight w:val="none"/>
          <w:lang w:val="en-US" w:eastAsia="zh-CN"/>
        </w:rPr>
      </w:pPr>
    </w:p>
    <w:p>
      <w:pPr>
        <w:jc w:val="center"/>
        <w:rPr>
          <w:rFonts w:hint="eastAsia" w:ascii="宋体" w:hAnsi="宋体" w:eastAsia="宋体" w:cs="宋体"/>
          <w:color w:val="auto"/>
          <w:highlight w:val="none"/>
          <w:lang w:val="en-US" w:eastAsia="zh-CN"/>
        </w:rPr>
      </w:pPr>
    </w:p>
    <w:p>
      <w:pPr>
        <w:jc w:val="center"/>
        <w:rPr>
          <w:rFonts w:hint="eastAsia" w:ascii="宋体" w:hAnsi="宋体" w:eastAsia="宋体" w:cs="宋体"/>
          <w:b/>
          <w:bCs/>
          <w:iCs/>
          <w:color w:val="auto"/>
          <w:sz w:val="36"/>
          <w:szCs w:val="36"/>
          <w:highlight w:val="none"/>
        </w:rPr>
      </w:pPr>
      <w:r>
        <w:rPr>
          <w:rFonts w:hint="eastAsia" w:ascii="宋体" w:hAnsi="宋体" w:eastAsia="宋体" w:cs="宋体"/>
          <w:b/>
          <w:color w:val="auto"/>
          <w:szCs w:val="21"/>
          <w:highlight w:val="none"/>
        </w:rPr>
        <w:br w:type="page"/>
      </w:r>
      <w:r>
        <w:rPr>
          <w:rFonts w:hint="eastAsia" w:ascii="宋体" w:hAnsi="宋体" w:eastAsia="宋体" w:cs="宋体"/>
          <w:b/>
          <w:color w:val="auto"/>
          <w:sz w:val="24"/>
          <w:szCs w:val="24"/>
          <w:highlight w:val="none"/>
        </w:rPr>
        <w:t>项目</w:t>
      </w:r>
      <w:r>
        <w:rPr>
          <w:rFonts w:hint="eastAsia" w:ascii="宋体" w:hAnsi="宋体" w:eastAsia="宋体" w:cs="宋体"/>
          <w:b/>
          <w:color w:val="auto"/>
          <w:sz w:val="24"/>
          <w:szCs w:val="24"/>
          <w:highlight w:val="none"/>
          <w:lang w:val="en-US" w:eastAsia="zh-CN"/>
        </w:rPr>
        <w:t>主要人员</w:t>
      </w:r>
      <w:r>
        <w:rPr>
          <w:rFonts w:hint="eastAsia" w:ascii="宋体" w:hAnsi="宋体" w:eastAsia="宋体" w:cs="宋体"/>
          <w:b/>
          <w:color w:val="auto"/>
          <w:sz w:val="24"/>
          <w:szCs w:val="24"/>
          <w:highlight w:val="none"/>
        </w:rPr>
        <w:t>简历表</w:t>
      </w:r>
    </w:p>
    <w:p>
      <w:pPr>
        <w:spacing w:line="400" w:lineRule="exact"/>
        <w:jc w:val="center"/>
        <w:rPr>
          <w:rFonts w:hint="eastAsia" w:ascii="宋体" w:hAnsi="宋体" w:eastAsia="宋体" w:cs="宋体"/>
          <w:color w:val="auto"/>
          <w:highlight w:val="none"/>
        </w:rPr>
      </w:pPr>
    </w:p>
    <w:p>
      <w:pPr>
        <w:spacing w:line="400" w:lineRule="exact"/>
        <w:ind w:firstLine="420" w:firstLineChars="200"/>
        <w:jc w:val="both"/>
        <w:rPr>
          <w:rFonts w:hint="eastAsia" w:ascii="宋体" w:hAnsi="宋体" w:eastAsia="宋体" w:cs="宋体"/>
          <w:color w:val="auto"/>
          <w:highlight w:val="none"/>
        </w:rPr>
      </w:pPr>
      <w:r>
        <w:rPr>
          <w:rFonts w:hint="eastAsia" w:ascii="宋体" w:hAnsi="宋体" w:eastAsia="宋体" w:cs="宋体"/>
          <w:color w:val="auto"/>
          <w:highlight w:val="none"/>
        </w:rPr>
        <w:t xml:space="preserve">招标项目名称：                                    招标项目编号：        </w:t>
      </w:r>
    </w:p>
    <w:tbl>
      <w:tblPr>
        <w:tblStyle w:val="23"/>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368"/>
        <w:gridCol w:w="1052"/>
        <w:gridCol w:w="508"/>
        <w:gridCol w:w="913"/>
        <w:gridCol w:w="152"/>
        <w:gridCol w:w="1268"/>
        <w:gridCol w:w="1420"/>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8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姓    名</w:t>
            </w:r>
          </w:p>
        </w:tc>
        <w:tc>
          <w:tcPr>
            <w:tcW w:w="105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Cs w:val="21"/>
                <w:highlight w:val="none"/>
              </w:rPr>
            </w:pPr>
          </w:p>
        </w:tc>
        <w:tc>
          <w:tcPr>
            <w:tcW w:w="142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性   别</w:t>
            </w:r>
          </w:p>
        </w:tc>
        <w:tc>
          <w:tcPr>
            <w:tcW w:w="142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Cs w:val="21"/>
                <w:highlight w:val="none"/>
              </w:rPr>
            </w:pPr>
          </w:p>
        </w:tc>
        <w:tc>
          <w:tcPr>
            <w:tcW w:w="142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出生年月</w:t>
            </w:r>
          </w:p>
        </w:tc>
        <w:tc>
          <w:tcPr>
            <w:tcW w:w="142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8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专    业</w:t>
            </w:r>
          </w:p>
        </w:tc>
        <w:tc>
          <w:tcPr>
            <w:tcW w:w="105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Cs w:val="21"/>
                <w:highlight w:val="none"/>
              </w:rPr>
            </w:pPr>
          </w:p>
        </w:tc>
        <w:tc>
          <w:tcPr>
            <w:tcW w:w="142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学   历</w:t>
            </w:r>
          </w:p>
        </w:tc>
        <w:tc>
          <w:tcPr>
            <w:tcW w:w="142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Cs w:val="21"/>
                <w:highlight w:val="none"/>
              </w:rPr>
            </w:pPr>
          </w:p>
        </w:tc>
        <w:tc>
          <w:tcPr>
            <w:tcW w:w="142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职    称</w:t>
            </w:r>
          </w:p>
        </w:tc>
        <w:tc>
          <w:tcPr>
            <w:tcW w:w="142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8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何时参加工作</w:t>
            </w:r>
          </w:p>
        </w:tc>
        <w:tc>
          <w:tcPr>
            <w:tcW w:w="6734" w:type="dxa"/>
            <w:gridSpan w:val="7"/>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8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何时进入公司</w:t>
            </w:r>
          </w:p>
        </w:tc>
        <w:tc>
          <w:tcPr>
            <w:tcW w:w="6734" w:type="dxa"/>
            <w:gridSpan w:val="7"/>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8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从事项目年限</w:t>
            </w:r>
          </w:p>
        </w:tc>
        <w:tc>
          <w:tcPr>
            <w:tcW w:w="6734" w:type="dxa"/>
            <w:gridSpan w:val="7"/>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522" w:type="dxa"/>
            <w:gridSpan w:val="9"/>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color w:val="auto"/>
                <w:szCs w:val="21"/>
                <w:highlight w:val="none"/>
              </w:rPr>
            </w:pPr>
            <w:r>
              <w:rPr>
                <w:rFonts w:hint="eastAsia" w:ascii="宋体" w:hAnsi="宋体" w:eastAsia="宋体" w:cs="宋体"/>
                <w:color w:val="auto"/>
                <w:szCs w:val="21"/>
                <w:highlight w:val="none"/>
              </w:rPr>
              <w:t>已完成项目情况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2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业主单位</w:t>
            </w:r>
          </w:p>
        </w:tc>
        <w:tc>
          <w:tcPr>
            <w:tcW w:w="1928"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项目名称</w:t>
            </w:r>
          </w:p>
        </w:tc>
        <w:tc>
          <w:tcPr>
            <w:tcW w:w="106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规模</w:t>
            </w:r>
          </w:p>
        </w:tc>
        <w:tc>
          <w:tcPr>
            <w:tcW w:w="126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合同时间</w:t>
            </w:r>
          </w:p>
        </w:tc>
        <w:tc>
          <w:tcPr>
            <w:tcW w:w="284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管理业绩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2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color w:val="auto"/>
                <w:szCs w:val="21"/>
                <w:highlight w:val="none"/>
              </w:rPr>
            </w:pPr>
          </w:p>
        </w:tc>
        <w:tc>
          <w:tcPr>
            <w:tcW w:w="1928"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color w:val="auto"/>
                <w:szCs w:val="21"/>
                <w:highlight w:val="none"/>
              </w:rPr>
            </w:pPr>
          </w:p>
        </w:tc>
        <w:tc>
          <w:tcPr>
            <w:tcW w:w="106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color w:val="auto"/>
                <w:szCs w:val="21"/>
                <w:highlight w:val="none"/>
              </w:rPr>
            </w:pPr>
          </w:p>
        </w:tc>
        <w:tc>
          <w:tcPr>
            <w:tcW w:w="126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color w:val="auto"/>
                <w:szCs w:val="21"/>
                <w:highlight w:val="none"/>
              </w:rPr>
            </w:pPr>
          </w:p>
        </w:tc>
        <w:tc>
          <w:tcPr>
            <w:tcW w:w="284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2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color w:val="auto"/>
                <w:szCs w:val="21"/>
                <w:highlight w:val="none"/>
              </w:rPr>
            </w:pPr>
          </w:p>
        </w:tc>
        <w:tc>
          <w:tcPr>
            <w:tcW w:w="1928"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color w:val="auto"/>
                <w:szCs w:val="21"/>
                <w:highlight w:val="none"/>
              </w:rPr>
            </w:pPr>
          </w:p>
        </w:tc>
        <w:tc>
          <w:tcPr>
            <w:tcW w:w="106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color w:val="auto"/>
                <w:szCs w:val="21"/>
                <w:highlight w:val="none"/>
              </w:rPr>
            </w:pPr>
          </w:p>
        </w:tc>
        <w:tc>
          <w:tcPr>
            <w:tcW w:w="126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color w:val="auto"/>
                <w:szCs w:val="21"/>
                <w:highlight w:val="none"/>
              </w:rPr>
            </w:pPr>
          </w:p>
        </w:tc>
        <w:tc>
          <w:tcPr>
            <w:tcW w:w="284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2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color w:val="auto"/>
                <w:szCs w:val="21"/>
                <w:highlight w:val="none"/>
              </w:rPr>
            </w:pPr>
          </w:p>
        </w:tc>
        <w:tc>
          <w:tcPr>
            <w:tcW w:w="1928"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color w:val="auto"/>
                <w:szCs w:val="21"/>
                <w:highlight w:val="none"/>
              </w:rPr>
            </w:pPr>
          </w:p>
        </w:tc>
        <w:tc>
          <w:tcPr>
            <w:tcW w:w="106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color w:val="auto"/>
                <w:szCs w:val="21"/>
                <w:highlight w:val="none"/>
              </w:rPr>
            </w:pPr>
          </w:p>
        </w:tc>
        <w:tc>
          <w:tcPr>
            <w:tcW w:w="126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color w:val="auto"/>
                <w:szCs w:val="21"/>
                <w:highlight w:val="none"/>
              </w:rPr>
            </w:pPr>
          </w:p>
        </w:tc>
        <w:tc>
          <w:tcPr>
            <w:tcW w:w="284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2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color w:val="auto"/>
                <w:szCs w:val="21"/>
                <w:highlight w:val="none"/>
              </w:rPr>
            </w:pPr>
          </w:p>
        </w:tc>
        <w:tc>
          <w:tcPr>
            <w:tcW w:w="1928"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color w:val="auto"/>
                <w:szCs w:val="21"/>
                <w:highlight w:val="none"/>
              </w:rPr>
            </w:pPr>
          </w:p>
        </w:tc>
        <w:tc>
          <w:tcPr>
            <w:tcW w:w="106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color w:val="auto"/>
                <w:szCs w:val="21"/>
                <w:highlight w:val="none"/>
              </w:rPr>
            </w:pPr>
          </w:p>
        </w:tc>
        <w:tc>
          <w:tcPr>
            <w:tcW w:w="126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color w:val="auto"/>
                <w:szCs w:val="21"/>
                <w:highlight w:val="none"/>
              </w:rPr>
            </w:pPr>
          </w:p>
        </w:tc>
        <w:tc>
          <w:tcPr>
            <w:tcW w:w="284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2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color w:val="auto"/>
                <w:szCs w:val="21"/>
                <w:highlight w:val="none"/>
              </w:rPr>
            </w:pPr>
          </w:p>
        </w:tc>
        <w:tc>
          <w:tcPr>
            <w:tcW w:w="1928"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color w:val="auto"/>
                <w:szCs w:val="21"/>
                <w:highlight w:val="none"/>
              </w:rPr>
            </w:pPr>
          </w:p>
        </w:tc>
        <w:tc>
          <w:tcPr>
            <w:tcW w:w="106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color w:val="auto"/>
                <w:szCs w:val="21"/>
                <w:highlight w:val="none"/>
              </w:rPr>
            </w:pPr>
          </w:p>
        </w:tc>
        <w:tc>
          <w:tcPr>
            <w:tcW w:w="126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color w:val="auto"/>
                <w:szCs w:val="21"/>
                <w:highlight w:val="none"/>
              </w:rPr>
            </w:pPr>
          </w:p>
        </w:tc>
        <w:tc>
          <w:tcPr>
            <w:tcW w:w="284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color w:val="auto"/>
                <w:szCs w:val="21"/>
                <w:highlight w:val="none"/>
              </w:rPr>
            </w:pPr>
          </w:p>
        </w:tc>
      </w:tr>
    </w:tbl>
    <w:p>
      <w:pPr>
        <w:spacing w:before="120" w:beforeLines="50"/>
        <w:ind w:firstLine="316" w:firstLineChars="150"/>
        <w:rPr>
          <w:rFonts w:hint="eastAsia" w:ascii="宋体" w:hAnsi="宋体" w:eastAsia="宋体" w:cs="宋体"/>
          <w:b/>
          <w:bCs/>
          <w:color w:val="auto"/>
          <w:sz w:val="21"/>
          <w:szCs w:val="24"/>
          <w:highlight w:val="none"/>
          <w:u w:val="none"/>
          <w:lang w:eastAsia="zh-CN"/>
        </w:rPr>
      </w:pPr>
      <w:r>
        <w:rPr>
          <w:rFonts w:hint="eastAsia" w:ascii="宋体" w:hAnsi="宋体" w:eastAsia="宋体" w:cs="宋体"/>
          <w:b/>
          <w:bCs/>
          <w:color w:val="auto"/>
          <w:sz w:val="21"/>
          <w:szCs w:val="24"/>
          <w:highlight w:val="none"/>
          <w:u w:val="none"/>
          <w:lang w:eastAsia="zh-CN"/>
        </w:rPr>
        <w:t>注：项目主要人员指项目负责人</w:t>
      </w:r>
      <w:r>
        <w:rPr>
          <w:rFonts w:hint="eastAsia" w:ascii="宋体" w:hAnsi="宋体" w:cs="宋体"/>
          <w:b/>
          <w:bCs/>
          <w:color w:val="auto"/>
          <w:sz w:val="21"/>
          <w:szCs w:val="24"/>
          <w:highlight w:val="none"/>
          <w:u w:val="none"/>
          <w:lang w:val="en-US" w:eastAsia="zh-CN"/>
        </w:rPr>
        <w:t>等</w:t>
      </w:r>
      <w:r>
        <w:rPr>
          <w:rFonts w:hint="eastAsia" w:ascii="宋体" w:hAnsi="宋体" w:cs="宋体"/>
          <w:b/>
          <w:bCs/>
          <w:color w:val="auto"/>
          <w:sz w:val="21"/>
          <w:szCs w:val="24"/>
          <w:highlight w:val="none"/>
          <w:u w:val="none"/>
          <w:lang w:eastAsia="zh-CN"/>
        </w:rPr>
        <w:t>。</w:t>
      </w:r>
    </w:p>
    <w:p>
      <w:pPr>
        <w:pStyle w:val="22"/>
        <w:rPr>
          <w:rFonts w:hint="eastAsia" w:ascii="宋体" w:hAnsi="宋体" w:eastAsia="宋体" w:cs="宋体"/>
          <w:color w:val="auto"/>
          <w:highlight w:val="none"/>
          <w:lang w:eastAsia="zh-CN"/>
        </w:rPr>
      </w:pPr>
    </w:p>
    <w:p>
      <w:pPr>
        <w:pStyle w:val="22"/>
        <w:rPr>
          <w:rFonts w:hint="eastAsia" w:ascii="宋体" w:hAnsi="宋体" w:eastAsia="宋体" w:cs="宋体"/>
          <w:color w:val="auto"/>
          <w:highlight w:val="none"/>
          <w:lang w:eastAsia="zh-CN"/>
        </w:rPr>
      </w:pPr>
    </w:p>
    <w:p>
      <w:pPr>
        <w:pStyle w:val="22"/>
        <w:rPr>
          <w:rFonts w:hint="eastAsia" w:ascii="宋体" w:hAnsi="宋体" w:eastAsia="宋体" w:cs="宋体"/>
          <w:color w:val="auto"/>
          <w:highlight w:val="none"/>
          <w:lang w:eastAsia="zh-CN"/>
        </w:rPr>
      </w:pPr>
    </w:p>
    <w:p>
      <w:pPr>
        <w:spacing w:before="120" w:beforeLines="50"/>
        <w:ind w:firstLine="315" w:firstLineChars="150"/>
        <w:rPr>
          <w:rFonts w:hint="eastAsia" w:ascii="宋体" w:hAnsi="宋体" w:eastAsia="宋体" w:cs="宋体"/>
          <w:color w:val="auto"/>
          <w:highlight w:val="none"/>
        </w:rPr>
      </w:pPr>
      <w:r>
        <w:rPr>
          <w:rFonts w:hint="eastAsia" w:ascii="宋体" w:hAnsi="宋体" w:eastAsia="宋体" w:cs="宋体"/>
          <w:color w:val="auto"/>
          <w:highlight w:val="none"/>
          <w:lang w:eastAsia="zh-CN"/>
        </w:rPr>
        <w:t>供应商（</w:t>
      </w:r>
      <w:r>
        <w:rPr>
          <w:rFonts w:hint="eastAsia" w:ascii="宋体" w:hAnsi="宋体" w:eastAsia="宋体" w:cs="宋体"/>
          <w:color w:val="auto"/>
          <w:highlight w:val="none"/>
        </w:rPr>
        <w:t>盖章</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 xml:space="preserve">：          </w:t>
      </w:r>
    </w:p>
    <w:p>
      <w:pPr>
        <w:spacing w:before="120" w:beforeLines="50"/>
        <w:ind w:firstLine="315" w:firstLineChars="150"/>
        <w:rPr>
          <w:rFonts w:hint="eastAsia" w:ascii="宋体" w:hAnsi="宋体" w:eastAsia="宋体" w:cs="宋体"/>
          <w:color w:val="auto"/>
          <w:highlight w:val="none"/>
        </w:rPr>
      </w:pPr>
      <w:r>
        <w:rPr>
          <w:rFonts w:hint="eastAsia" w:ascii="宋体" w:hAnsi="宋体" w:eastAsia="宋体" w:cs="宋体"/>
          <w:color w:val="auto"/>
          <w:sz w:val="21"/>
          <w:szCs w:val="21"/>
          <w:highlight w:val="none"/>
        </w:rPr>
        <w:t>法定代表人</w:t>
      </w:r>
      <w:r>
        <w:rPr>
          <w:rFonts w:hint="eastAsia" w:ascii="宋体" w:hAnsi="宋体" w:eastAsia="宋体" w:cs="宋体"/>
          <w:color w:val="auto"/>
          <w:sz w:val="21"/>
          <w:szCs w:val="21"/>
          <w:highlight w:val="none"/>
          <w:lang w:eastAsia="zh-CN"/>
        </w:rPr>
        <w:t>或单位负责人或</w:t>
      </w:r>
      <w:r>
        <w:rPr>
          <w:rFonts w:hint="eastAsia" w:ascii="宋体" w:hAnsi="宋体" w:eastAsia="宋体" w:cs="宋体"/>
          <w:color w:val="auto"/>
          <w:sz w:val="21"/>
          <w:szCs w:val="21"/>
          <w:highlight w:val="none"/>
        </w:rPr>
        <w:t>其授权代表人</w:t>
      </w:r>
      <w:r>
        <w:rPr>
          <w:rFonts w:hint="eastAsia" w:ascii="宋体" w:hAnsi="宋体" w:eastAsia="宋体" w:cs="宋体"/>
          <w:color w:val="auto"/>
          <w:highlight w:val="none"/>
        </w:rPr>
        <w:t xml:space="preserve">（签字或盖章）：          </w:t>
      </w:r>
    </w:p>
    <w:p>
      <w:pPr>
        <w:spacing w:before="120" w:beforeLines="50"/>
        <w:ind w:firstLine="315" w:firstLineChars="150"/>
        <w:rPr>
          <w:rFonts w:hint="eastAsia" w:ascii="宋体" w:hAnsi="宋体" w:eastAsia="宋体" w:cs="宋体"/>
          <w:color w:val="auto"/>
          <w:sz w:val="24"/>
          <w:highlight w:val="none"/>
          <w:u w:val="single"/>
        </w:rPr>
      </w:pPr>
      <w:r>
        <w:rPr>
          <w:rFonts w:hint="eastAsia" w:ascii="宋体" w:hAnsi="宋体" w:eastAsia="宋体" w:cs="宋体"/>
          <w:color w:val="auto"/>
          <w:highlight w:val="none"/>
        </w:rPr>
        <w:t xml:space="preserve">日    期：    </w:t>
      </w:r>
      <w:r>
        <w:rPr>
          <w:rFonts w:hint="eastAsia" w:ascii="宋体" w:hAnsi="宋体" w:eastAsia="宋体" w:cs="宋体"/>
          <w:color w:val="auto"/>
          <w:sz w:val="21"/>
          <w:szCs w:val="21"/>
          <w:highlight w:val="none"/>
        </w:rPr>
        <w:t>年   月   日</w:t>
      </w:r>
    </w:p>
    <w:p>
      <w:pPr>
        <w:snapToGrid w:val="0"/>
        <w:spacing w:line="360" w:lineRule="auto"/>
        <w:jc w:val="center"/>
        <w:rPr>
          <w:rFonts w:ascii="宋体" w:hAnsi="宋体" w:cs="宋体"/>
          <w:b/>
          <w:color w:val="auto"/>
          <w:sz w:val="30"/>
          <w:szCs w:val="20"/>
          <w:highlight w:val="none"/>
        </w:rPr>
      </w:pPr>
      <w:r>
        <w:rPr>
          <w:rFonts w:hint="eastAsia" w:ascii="宋体" w:hAnsi="宋体" w:cs="宋体"/>
          <w:color w:val="auto"/>
          <w:highlight w:val="none"/>
        </w:rPr>
        <w:br w:type="page"/>
      </w:r>
      <w:r>
        <w:rPr>
          <w:rFonts w:hint="eastAsia" w:ascii="宋体" w:hAnsi="宋体" w:cs="宋体"/>
          <w:b/>
          <w:color w:val="auto"/>
          <w:sz w:val="24"/>
          <w:szCs w:val="21"/>
          <w:highlight w:val="none"/>
        </w:rPr>
        <w:t>开标一览表</w:t>
      </w:r>
    </w:p>
    <w:p>
      <w:pPr>
        <w:snapToGrid w:val="0"/>
        <w:spacing w:before="50" w:after="50" w:line="360" w:lineRule="auto"/>
        <w:rPr>
          <w:rFonts w:ascii="宋体" w:hAnsi="宋体" w:cs="宋体"/>
          <w:color w:val="auto"/>
          <w:szCs w:val="21"/>
          <w:highlight w:val="none"/>
        </w:rPr>
      </w:pPr>
    </w:p>
    <w:p>
      <w:pPr>
        <w:snapToGrid w:val="0"/>
        <w:spacing w:before="50" w:after="50" w:line="360" w:lineRule="auto"/>
        <w:rPr>
          <w:rFonts w:ascii="宋体" w:hAnsi="宋体" w:cs="宋体"/>
          <w:color w:val="auto"/>
          <w:szCs w:val="21"/>
          <w:highlight w:val="none"/>
        </w:rPr>
      </w:pPr>
      <w:r>
        <w:rPr>
          <w:rFonts w:hint="eastAsia" w:ascii="宋体" w:hAnsi="宋体" w:cs="宋体"/>
          <w:color w:val="auto"/>
          <w:szCs w:val="21"/>
          <w:highlight w:val="none"/>
        </w:rPr>
        <w:t>招标项目名称：</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招标项目编号：</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w:t>
      </w:r>
    </w:p>
    <w:tbl>
      <w:tblPr>
        <w:tblStyle w:val="23"/>
        <w:tblW w:w="900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00"/>
        <w:gridCol w:w="1751"/>
        <w:gridCol w:w="2773"/>
        <w:gridCol w:w="2248"/>
        <w:gridCol w:w="152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5" w:hRule="atLeast"/>
          <w:jc w:val="center"/>
        </w:trPr>
        <w:tc>
          <w:tcPr>
            <w:tcW w:w="700"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440" w:lineRule="exact"/>
              <w:jc w:val="center"/>
              <w:rPr>
                <w:rFonts w:ascii="Times New Roman" w:hAnsi="Times New Roman"/>
                <w:b/>
                <w:color w:val="auto"/>
                <w:szCs w:val="21"/>
                <w:highlight w:val="none"/>
              </w:rPr>
            </w:pPr>
            <w:r>
              <w:rPr>
                <w:rFonts w:hint="eastAsia" w:ascii="Times New Roman" w:hAnsi="Times New Roman"/>
                <w:b/>
                <w:color w:val="auto"/>
                <w:szCs w:val="21"/>
                <w:highlight w:val="none"/>
              </w:rPr>
              <w:t>序号</w:t>
            </w:r>
          </w:p>
        </w:tc>
        <w:tc>
          <w:tcPr>
            <w:tcW w:w="1751"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440" w:lineRule="exact"/>
              <w:jc w:val="center"/>
              <w:rPr>
                <w:rFonts w:ascii="Times New Roman" w:hAnsi="Times New Roman"/>
                <w:b/>
                <w:color w:val="auto"/>
                <w:szCs w:val="21"/>
                <w:highlight w:val="none"/>
              </w:rPr>
            </w:pPr>
            <w:r>
              <w:rPr>
                <w:rFonts w:hint="eastAsia" w:ascii="Times New Roman" w:hAnsi="Times New Roman"/>
                <w:b/>
                <w:color w:val="auto"/>
                <w:szCs w:val="21"/>
                <w:highlight w:val="none"/>
              </w:rPr>
              <w:t>项目名称</w:t>
            </w:r>
          </w:p>
        </w:tc>
        <w:tc>
          <w:tcPr>
            <w:tcW w:w="2773"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440" w:lineRule="exact"/>
              <w:jc w:val="center"/>
              <w:rPr>
                <w:rFonts w:ascii="Times New Roman" w:hAnsi="Times New Roman"/>
                <w:b/>
                <w:color w:val="auto"/>
                <w:szCs w:val="21"/>
                <w:highlight w:val="none"/>
              </w:rPr>
            </w:pPr>
            <w:r>
              <w:rPr>
                <w:rFonts w:hint="eastAsia" w:ascii="Times New Roman" w:hAnsi="Times New Roman"/>
                <w:b/>
                <w:color w:val="auto"/>
                <w:szCs w:val="21"/>
                <w:highlight w:val="none"/>
              </w:rPr>
              <w:t>服务期限</w:t>
            </w:r>
          </w:p>
        </w:tc>
        <w:tc>
          <w:tcPr>
            <w:tcW w:w="2248"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440" w:lineRule="exact"/>
              <w:jc w:val="center"/>
              <w:rPr>
                <w:rFonts w:hint="eastAsia" w:ascii="Times New Roman" w:hAnsi="Times New Roman"/>
                <w:b/>
                <w:color w:val="auto"/>
                <w:szCs w:val="21"/>
                <w:highlight w:val="none"/>
              </w:rPr>
            </w:pPr>
            <w:r>
              <w:rPr>
                <w:rFonts w:hint="eastAsia" w:ascii="Times New Roman" w:hAnsi="Times New Roman"/>
                <w:b/>
                <w:color w:val="auto"/>
                <w:szCs w:val="21"/>
                <w:highlight w:val="none"/>
              </w:rPr>
              <w:t>投标总价（元</w:t>
            </w:r>
            <w:r>
              <w:rPr>
                <w:rFonts w:hint="eastAsia" w:ascii="Times New Roman" w:hAnsi="Times New Roman"/>
                <w:b/>
                <w:color w:val="auto"/>
                <w:szCs w:val="21"/>
                <w:highlight w:val="none"/>
                <w:lang w:val="en-US" w:eastAsia="zh-CN"/>
              </w:rPr>
              <w:t>/年</w:t>
            </w:r>
            <w:r>
              <w:rPr>
                <w:rFonts w:hint="eastAsia" w:ascii="Times New Roman" w:hAnsi="Times New Roman"/>
                <w:b/>
                <w:color w:val="auto"/>
                <w:szCs w:val="21"/>
                <w:highlight w:val="none"/>
              </w:rPr>
              <w:t>）</w:t>
            </w:r>
          </w:p>
        </w:tc>
        <w:tc>
          <w:tcPr>
            <w:tcW w:w="1528"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440" w:lineRule="exact"/>
              <w:jc w:val="center"/>
              <w:rPr>
                <w:rFonts w:ascii="Times New Roman" w:hAnsi="Times New Roman"/>
                <w:b/>
                <w:color w:val="auto"/>
                <w:szCs w:val="21"/>
                <w:highlight w:val="none"/>
              </w:rPr>
            </w:pPr>
            <w:r>
              <w:rPr>
                <w:rFonts w:hint="eastAsia" w:ascii="Times New Roman" w:hAnsi="Times New Roman"/>
                <w:b/>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62" w:hRule="atLeast"/>
          <w:jc w:val="center"/>
        </w:trPr>
        <w:tc>
          <w:tcPr>
            <w:tcW w:w="700"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440" w:lineRule="exact"/>
              <w:jc w:val="center"/>
              <w:rPr>
                <w:rFonts w:ascii="Times New Roman" w:hAnsi="Times New Roman"/>
                <w:color w:val="auto"/>
                <w:szCs w:val="21"/>
                <w:highlight w:val="none"/>
              </w:rPr>
            </w:pPr>
            <w:r>
              <w:rPr>
                <w:rFonts w:ascii="Times New Roman" w:hAnsi="Times New Roman"/>
                <w:color w:val="auto"/>
                <w:szCs w:val="21"/>
                <w:highlight w:val="none"/>
              </w:rPr>
              <w:t>1</w:t>
            </w:r>
          </w:p>
        </w:tc>
        <w:tc>
          <w:tcPr>
            <w:tcW w:w="1751" w:type="dxa"/>
            <w:tcBorders>
              <w:top w:val="single" w:color="auto" w:sz="4" w:space="0"/>
              <w:left w:val="single" w:color="auto" w:sz="4" w:space="0"/>
              <w:bottom w:val="nil"/>
              <w:right w:val="single" w:color="auto" w:sz="4" w:space="0"/>
            </w:tcBorders>
            <w:vAlign w:val="center"/>
          </w:tcPr>
          <w:p>
            <w:pPr>
              <w:snapToGrid w:val="0"/>
              <w:spacing w:before="50" w:after="50" w:line="440" w:lineRule="exact"/>
              <w:jc w:val="center"/>
              <w:rPr>
                <w:rFonts w:ascii="Times New Roman" w:hAnsi="Times New Roman"/>
                <w:bCs/>
                <w:color w:val="auto"/>
                <w:szCs w:val="21"/>
                <w:highlight w:val="none"/>
              </w:rPr>
            </w:pPr>
            <w:r>
              <w:rPr>
                <w:rFonts w:hint="eastAsia" w:ascii="宋体" w:hAnsi="宋体" w:cs="宋体"/>
                <w:color w:val="auto"/>
                <w:highlight w:val="none"/>
              </w:rPr>
              <w:t>谢嘉丽苑公共租赁住房小区物业管理服务项目</w:t>
            </w:r>
          </w:p>
        </w:tc>
        <w:tc>
          <w:tcPr>
            <w:tcW w:w="2773" w:type="dxa"/>
            <w:tcBorders>
              <w:top w:val="single" w:color="auto" w:sz="4" w:space="0"/>
              <w:left w:val="single" w:color="auto" w:sz="4" w:space="0"/>
              <w:bottom w:val="nil"/>
              <w:right w:val="single" w:color="auto" w:sz="4" w:space="0"/>
            </w:tcBorders>
            <w:vAlign w:val="center"/>
          </w:tcPr>
          <w:p>
            <w:pPr>
              <w:snapToGrid w:val="0"/>
              <w:spacing w:before="50" w:after="50" w:line="440" w:lineRule="exact"/>
              <w:jc w:val="center"/>
              <w:rPr>
                <w:rFonts w:ascii="Times New Roman" w:hAnsi="Times New Roman"/>
                <w:bCs/>
                <w:color w:val="auto"/>
                <w:szCs w:val="21"/>
                <w:highlight w:val="none"/>
              </w:rPr>
            </w:pPr>
          </w:p>
        </w:tc>
        <w:tc>
          <w:tcPr>
            <w:tcW w:w="2248"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440" w:lineRule="exact"/>
              <w:jc w:val="center"/>
              <w:rPr>
                <w:rFonts w:ascii="Times New Roman" w:hAnsi="Times New Roman"/>
                <w:color w:val="auto"/>
                <w:szCs w:val="21"/>
                <w:highlight w:val="none"/>
              </w:rPr>
            </w:pPr>
          </w:p>
        </w:tc>
        <w:tc>
          <w:tcPr>
            <w:tcW w:w="1528"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440" w:lineRule="exact"/>
              <w:jc w:val="center"/>
              <w:rPr>
                <w:rFonts w:ascii="Times New Roman" w:hAnsi="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8" w:hRule="atLeast"/>
          <w:jc w:val="center"/>
        </w:trPr>
        <w:tc>
          <w:tcPr>
            <w:tcW w:w="9000" w:type="dxa"/>
            <w:gridSpan w:val="5"/>
            <w:tcBorders>
              <w:top w:val="single" w:color="auto" w:sz="4" w:space="0"/>
              <w:left w:val="single" w:color="auto" w:sz="4" w:space="0"/>
              <w:bottom w:val="single" w:color="auto" w:sz="4" w:space="0"/>
              <w:right w:val="single" w:color="auto" w:sz="4" w:space="0"/>
            </w:tcBorders>
            <w:vAlign w:val="center"/>
          </w:tcPr>
          <w:p>
            <w:pPr>
              <w:snapToGrid w:val="0"/>
              <w:spacing w:before="50" w:after="50" w:line="440" w:lineRule="exact"/>
              <w:rPr>
                <w:rFonts w:hint="default" w:ascii="Times New Roman" w:hAnsi="Times New Roman"/>
                <w:color w:val="auto"/>
                <w:spacing w:val="2"/>
                <w:kern w:val="0"/>
                <w:szCs w:val="21"/>
                <w:highlight w:val="none"/>
                <w:lang w:val="en-US"/>
              </w:rPr>
            </w:pPr>
            <w:r>
              <w:rPr>
                <w:rFonts w:hint="eastAsia" w:ascii="宋体" w:hAnsi="宋体" w:eastAsia="宋体" w:cs="宋体"/>
                <w:color w:val="auto"/>
                <w:highlight w:val="none"/>
                <w:lang w:eastAsia="zh-CN"/>
              </w:rPr>
              <w:t>总价合计（小写）：</w:t>
            </w:r>
            <w:r>
              <w:rPr>
                <w:rFonts w:hint="eastAsia" w:ascii="宋体" w:hAnsi="宋体" w:eastAsia="宋体" w:cs="宋体"/>
                <w:color w:val="auto"/>
                <w:szCs w:val="21"/>
                <w:highlight w:val="none"/>
                <w:lang w:val="en-US" w:eastAsia="zh-CN"/>
              </w:rPr>
              <w:t>¥</w:t>
            </w:r>
            <w:r>
              <w:rPr>
                <w:rFonts w:hint="eastAsia" w:ascii="宋体" w:hAnsi="宋体" w:eastAsia="宋体" w:cs="宋体"/>
                <w:color w:val="auto"/>
                <w:szCs w:val="21"/>
                <w:highlight w:val="none"/>
                <w:u w:val="single"/>
                <w:lang w:val="en-US" w:eastAsia="zh-CN"/>
              </w:rPr>
              <w:t xml:space="preserve">           </w:t>
            </w:r>
            <w:r>
              <w:rPr>
                <w:rFonts w:hint="eastAsia" w:ascii="宋体" w:hAnsi="宋体" w:eastAsia="宋体" w:cs="宋体"/>
                <w:b/>
                <w:bCs/>
                <w:color w:val="auto"/>
                <w:highlight w:val="none"/>
                <w:lang w:eastAsia="zh-CN"/>
              </w:rPr>
              <w:t>元</w:t>
            </w:r>
            <w:r>
              <w:rPr>
                <w:rFonts w:hint="eastAsia" w:ascii="宋体" w:hAnsi="宋体" w:cs="宋体"/>
                <w:b/>
                <w:bCs/>
                <w:color w:val="auto"/>
                <w:highlight w:val="none"/>
                <w:lang w:val="en-US" w:eastAsia="zh-CN"/>
              </w:rPr>
              <w:t>/年</w:t>
            </w:r>
          </w:p>
          <w:p>
            <w:pPr>
              <w:snapToGrid w:val="0"/>
              <w:spacing w:before="50" w:after="50" w:line="440" w:lineRule="exact"/>
              <w:rPr>
                <w:rFonts w:ascii="Times New Roman" w:hAnsi="Times New Roman"/>
                <w:color w:val="auto"/>
                <w:szCs w:val="21"/>
                <w:highlight w:val="none"/>
                <w:u w:val="single"/>
              </w:rPr>
            </w:pPr>
            <w:r>
              <w:rPr>
                <w:rFonts w:hint="eastAsia" w:ascii="Times New Roman" w:hAnsi="Times New Roman"/>
                <w:color w:val="auto"/>
                <w:spacing w:val="2"/>
                <w:kern w:val="0"/>
                <w:szCs w:val="21"/>
                <w:highlight w:val="none"/>
              </w:rPr>
              <w:t>合</w:t>
            </w:r>
            <w:r>
              <w:rPr>
                <w:rFonts w:hint="eastAsia" w:ascii="Times New Roman" w:hAnsi="Times New Roman"/>
                <w:color w:val="auto"/>
                <w:kern w:val="0"/>
                <w:szCs w:val="21"/>
                <w:highlight w:val="none"/>
              </w:rPr>
              <w:t>计金额（元）大写：</w:t>
            </w:r>
            <w:r>
              <w:rPr>
                <w:rFonts w:hint="eastAsia" w:ascii="Times New Roman" w:hAnsi="Times New Roman"/>
                <w:color w:val="auto"/>
                <w:kern w:val="0"/>
                <w:szCs w:val="21"/>
                <w:highlight w:val="none"/>
                <w:lang w:val="en-US" w:eastAsia="zh-CN"/>
              </w:rPr>
              <w:t>人民币</w:t>
            </w:r>
            <w:r>
              <w:rPr>
                <w:rFonts w:ascii="Times New Roman" w:hAnsi="Times New Roman"/>
                <w:color w:val="auto"/>
                <w:kern w:val="0"/>
                <w:szCs w:val="21"/>
                <w:highlight w:val="none"/>
                <w:u w:val="single"/>
              </w:rPr>
              <w:t xml:space="preserve">                        </w:t>
            </w:r>
            <w:r>
              <w:rPr>
                <w:rFonts w:ascii="Times New Roman" w:hAnsi="Times New Roman"/>
                <w:color w:val="auto"/>
                <w:kern w:val="0"/>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944" w:hRule="atLeast"/>
          <w:jc w:val="center"/>
        </w:trPr>
        <w:tc>
          <w:tcPr>
            <w:tcW w:w="700"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440" w:lineRule="exact"/>
              <w:jc w:val="center"/>
              <w:rPr>
                <w:rFonts w:ascii="Times New Roman" w:hAnsi="Times New Roman"/>
                <w:color w:val="auto"/>
                <w:spacing w:val="2"/>
                <w:kern w:val="0"/>
                <w:szCs w:val="21"/>
                <w:highlight w:val="none"/>
              </w:rPr>
            </w:pPr>
            <w:r>
              <w:rPr>
                <w:rFonts w:hint="eastAsia" w:ascii="Times New Roman" w:hAnsi="Times New Roman"/>
                <w:color w:val="auto"/>
                <w:spacing w:val="2"/>
                <w:kern w:val="0"/>
                <w:szCs w:val="21"/>
                <w:highlight w:val="none"/>
              </w:rPr>
              <w:t>投标声明</w:t>
            </w:r>
          </w:p>
        </w:tc>
        <w:tc>
          <w:tcPr>
            <w:tcW w:w="8300" w:type="dxa"/>
            <w:gridSpan w:val="4"/>
            <w:tcBorders>
              <w:top w:val="single" w:color="auto" w:sz="4" w:space="0"/>
              <w:left w:val="single" w:color="auto" w:sz="4" w:space="0"/>
              <w:bottom w:val="single" w:color="auto" w:sz="4" w:space="0"/>
              <w:right w:val="single" w:color="auto" w:sz="4" w:space="0"/>
            </w:tcBorders>
            <w:vAlign w:val="center"/>
          </w:tcPr>
          <w:p>
            <w:pPr>
              <w:snapToGrid w:val="0"/>
              <w:spacing w:before="50" w:after="50" w:line="440" w:lineRule="exact"/>
              <w:rPr>
                <w:rFonts w:ascii="Times New Roman" w:hAnsi="Times New Roman"/>
                <w:color w:val="auto"/>
                <w:spacing w:val="2"/>
                <w:kern w:val="0"/>
                <w:szCs w:val="21"/>
                <w:highlight w:val="none"/>
              </w:rPr>
            </w:pPr>
          </w:p>
        </w:tc>
      </w:tr>
    </w:tbl>
    <w:p>
      <w:pPr>
        <w:pStyle w:val="11"/>
        <w:ind w:right="420" w:firstLine="0"/>
        <w:jc w:val="left"/>
        <w:rPr>
          <w:color w:val="auto"/>
          <w:szCs w:val="24"/>
          <w:highlight w:val="none"/>
        </w:rPr>
      </w:pPr>
    </w:p>
    <w:p>
      <w:pPr>
        <w:adjustRightInd w:val="0"/>
        <w:snapToGrid w:val="0"/>
        <w:spacing w:line="40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注: 1、报价一经涂改，应在涂改处加盖单位公章或者由法定代表人或授权委托人签字或盖章，否则其投标作无效标处理。</w:t>
      </w:r>
    </w:p>
    <w:p>
      <w:pPr>
        <w:numPr>
          <w:ilvl w:val="0"/>
          <w:numId w:val="6"/>
        </w:numPr>
        <w:adjustRightInd w:val="0"/>
        <w:snapToGrid w:val="0"/>
        <w:spacing w:line="40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本项目的最终报价是履行合同的最终价格</w:t>
      </w:r>
    </w:p>
    <w:p>
      <w:pPr>
        <w:snapToGrid w:val="0"/>
        <w:spacing w:before="50" w:after="50" w:line="360" w:lineRule="auto"/>
        <w:rPr>
          <w:rFonts w:ascii="宋体" w:hAnsi="宋体" w:cs="宋体"/>
          <w:color w:val="auto"/>
          <w:szCs w:val="21"/>
          <w:highlight w:val="none"/>
        </w:rPr>
      </w:pPr>
    </w:p>
    <w:p>
      <w:pPr>
        <w:pStyle w:val="11"/>
        <w:spacing w:line="400" w:lineRule="exact"/>
        <w:ind w:right="420" w:firstLine="210" w:firstLineChars="100"/>
        <w:jc w:val="left"/>
        <w:rPr>
          <w:rFonts w:ascii="Times New Roman" w:hAnsi="Times New Roman"/>
          <w:bCs/>
          <w:color w:val="auto"/>
          <w:spacing w:val="0"/>
          <w:sz w:val="21"/>
          <w:szCs w:val="21"/>
          <w:highlight w:val="none"/>
        </w:rPr>
      </w:pPr>
      <w:r>
        <w:rPr>
          <w:rFonts w:hint="eastAsia" w:ascii="Times New Roman" w:hAnsi="Times New Roman"/>
          <w:bCs/>
          <w:color w:val="auto"/>
          <w:spacing w:val="0"/>
          <w:sz w:val="21"/>
          <w:szCs w:val="21"/>
          <w:highlight w:val="none"/>
        </w:rPr>
        <w:t>供应商（盖章）：</w:t>
      </w:r>
    </w:p>
    <w:p>
      <w:pPr>
        <w:pStyle w:val="11"/>
        <w:spacing w:line="400" w:lineRule="exact"/>
        <w:ind w:right="420" w:firstLine="210" w:firstLineChars="100"/>
        <w:jc w:val="left"/>
        <w:rPr>
          <w:rFonts w:ascii="Times New Roman" w:hAnsi="Times New Roman"/>
          <w:bCs/>
          <w:color w:val="auto"/>
          <w:spacing w:val="0"/>
          <w:sz w:val="21"/>
          <w:szCs w:val="21"/>
          <w:highlight w:val="none"/>
        </w:rPr>
      </w:pPr>
      <w:r>
        <w:rPr>
          <w:rFonts w:hint="eastAsia" w:ascii="Times New Roman" w:hAnsi="Times New Roman"/>
          <w:bCs/>
          <w:color w:val="auto"/>
          <w:spacing w:val="0"/>
          <w:sz w:val="21"/>
          <w:szCs w:val="21"/>
          <w:highlight w:val="none"/>
        </w:rPr>
        <w:t>法定代表人或授权代表人（签字或盖章）：</w:t>
      </w:r>
    </w:p>
    <w:p>
      <w:pPr>
        <w:pStyle w:val="11"/>
        <w:spacing w:line="400" w:lineRule="exact"/>
        <w:ind w:right="420" w:firstLine="210" w:firstLineChars="100"/>
        <w:jc w:val="left"/>
        <w:rPr>
          <w:rFonts w:ascii="Times New Roman" w:hAnsi="Times New Roman"/>
          <w:bCs/>
          <w:color w:val="auto"/>
          <w:spacing w:val="0"/>
          <w:sz w:val="21"/>
          <w:szCs w:val="21"/>
          <w:highlight w:val="none"/>
        </w:rPr>
      </w:pPr>
      <w:r>
        <w:rPr>
          <w:rFonts w:hint="eastAsia" w:ascii="Times New Roman" w:hAnsi="Times New Roman"/>
          <w:bCs/>
          <w:color w:val="auto"/>
          <w:spacing w:val="0"/>
          <w:sz w:val="21"/>
          <w:szCs w:val="21"/>
          <w:highlight w:val="none"/>
        </w:rPr>
        <w:t>日期：</w:t>
      </w:r>
      <w:r>
        <w:rPr>
          <w:rFonts w:ascii="Times New Roman" w:hAnsi="Times New Roman"/>
          <w:bCs/>
          <w:color w:val="auto"/>
          <w:spacing w:val="0"/>
          <w:sz w:val="21"/>
          <w:szCs w:val="21"/>
          <w:highlight w:val="none"/>
        </w:rPr>
        <w:t xml:space="preserve"> </w:t>
      </w:r>
    </w:p>
    <w:p>
      <w:pPr>
        <w:snapToGrid w:val="0"/>
        <w:spacing w:before="50" w:after="50" w:line="360" w:lineRule="auto"/>
        <w:ind w:right="-817" w:rightChars="-389"/>
        <w:rPr>
          <w:rFonts w:ascii="宋体" w:hAnsi="宋体" w:cs="宋体"/>
          <w:color w:val="auto"/>
          <w:szCs w:val="21"/>
          <w:highlight w:val="none"/>
        </w:rPr>
      </w:pPr>
    </w:p>
    <w:p>
      <w:pPr>
        <w:snapToGrid w:val="0"/>
        <w:spacing w:before="50" w:after="50" w:line="360" w:lineRule="auto"/>
        <w:ind w:right="-817" w:rightChars="-389"/>
        <w:rPr>
          <w:rFonts w:ascii="宋体" w:hAnsi="宋体" w:cs="宋体"/>
          <w:color w:val="auto"/>
          <w:szCs w:val="21"/>
          <w:highlight w:val="none"/>
        </w:rPr>
      </w:pPr>
    </w:p>
    <w:p>
      <w:pPr>
        <w:pStyle w:val="3"/>
        <w:spacing w:after="156" w:afterLines="50"/>
        <w:jc w:val="center"/>
        <w:rPr>
          <w:rFonts w:hint="eastAsia" w:ascii="宋体" w:hAnsi="宋体" w:cs="宋体"/>
          <w:b w:val="0"/>
          <w:bCs w:val="0"/>
          <w:i w:val="0"/>
          <w:iCs w:val="0"/>
          <w:color w:val="auto"/>
          <w:highlight w:val="none"/>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r>
        <w:rPr>
          <w:rFonts w:hint="eastAsia" w:ascii="宋体" w:hAnsi="宋体" w:cs="宋体"/>
          <w:b w:val="0"/>
          <w:bCs w:val="0"/>
          <w:i w:val="0"/>
          <w:iCs w:val="0"/>
          <w:color w:val="auto"/>
          <w:highlight w:val="none"/>
        </w:rPr>
        <w:br w:type="page"/>
      </w:r>
      <w:bookmarkStart w:id="21" w:name="_Toc496003218"/>
      <w:bookmarkStart w:id="22" w:name="_Toc533631632"/>
    </w:p>
    <w:p>
      <w:pPr>
        <w:pStyle w:val="3"/>
        <w:spacing w:after="156" w:afterLines="50"/>
        <w:jc w:val="center"/>
        <w:rPr>
          <w:rFonts w:ascii="宋体" w:hAnsi="宋体" w:cs="宋体"/>
          <w:bCs w:val="0"/>
          <w:i w:val="0"/>
          <w:iCs w:val="0"/>
          <w:color w:val="auto"/>
          <w:sz w:val="24"/>
          <w:szCs w:val="21"/>
          <w:highlight w:val="none"/>
        </w:rPr>
      </w:pPr>
      <w:r>
        <w:rPr>
          <w:rFonts w:hint="eastAsia" w:ascii="宋体" w:hAnsi="宋体" w:cs="宋体"/>
          <w:bCs w:val="0"/>
          <w:i w:val="0"/>
          <w:iCs w:val="0"/>
          <w:color w:val="auto"/>
          <w:sz w:val="24"/>
          <w:szCs w:val="21"/>
          <w:highlight w:val="none"/>
        </w:rPr>
        <w:t>分项报价表</w:t>
      </w:r>
      <w:bookmarkEnd w:id="21"/>
      <w:bookmarkEnd w:id="22"/>
    </w:p>
    <w:p>
      <w:pPr>
        <w:snapToGrid w:val="0"/>
        <w:spacing w:before="50" w:after="50" w:line="360" w:lineRule="auto"/>
        <w:ind w:firstLine="840" w:firstLineChars="400"/>
        <w:jc w:val="left"/>
        <w:rPr>
          <w:color w:val="auto"/>
          <w:szCs w:val="21"/>
          <w:highlight w:val="none"/>
        </w:rPr>
      </w:pPr>
      <w:r>
        <w:rPr>
          <w:rFonts w:hint="eastAsia" w:ascii="宋体" w:hAnsi="宋体" w:cs="宋体"/>
          <w:color w:val="auto"/>
          <w:szCs w:val="21"/>
          <w:highlight w:val="none"/>
        </w:rPr>
        <w:t>招标项目名称：</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招标项目编号：</w:t>
      </w:r>
    </w:p>
    <w:p>
      <w:pPr>
        <w:ind w:firstLine="5295"/>
        <w:jc w:val="right"/>
        <w:rPr>
          <w:rFonts w:ascii="宋体" w:hAnsi="宋体"/>
          <w:b/>
          <w:color w:val="auto"/>
          <w:kern w:val="0"/>
          <w:sz w:val="20"/>
          <w:szCs w:val="20"/>
          <w:highlight w:val="none"/>
        </w:rPr>
      </w:pPr>
      <w:r>
        <w:rPr>
          <w:rFonts w:hint="eastAsia" w:ascii="宋体" w:hAnsi="宋体"/>
          <w:b/>
          <w:color w:val="auto"/>
          <w:kern w:val="0"/>
          <w:sz w:val="20"/>
          <w:szCs w:val="20"/>
          <w:highlight w:val="none"/>
        </w:rPr>
        <w:t>（单位：</w:t>
      </w:r>
      <w:r>
        <w:rPr>
          <w:rFonts w:hint="eastAsia" w:ascii="宋体" w:hAnsi="宋体"/>
          <w:b/>
          <w:color w:val="auto"/>
          <w:kern w:val="0"/>
          <w:sz w:val="20"/>
          <w:szCs w:val="20"/>
          <w:highlight w:val="none"/>
          <w:lang w:val="en-US" w:eastAsia="zh-CN"/>
        </w:rPr>
        <w:t>人民币</w:t>
      </w:r>
      <w:r>
        <w:rPr>
          <w:rFonts w:hint="eastAsia" w:ascii="宋体" w:hAnsi="宋体"/>
          <w:b/>
          <w:color w:val="auto"/>
          <w:kern w:val="0"/>
          <w:sz w:val="20"/>
          <w:szCs w:val="20"/>
          <w:highlight w:val="none"/>
        </w:rPr>
        <w:t>元/</w:t>
      </w:r>
      <w:r>
        <w:rPr>
          <w:rFonts w:hint="eastAsia" w:ascii="宋体" w:hAnsi="宋体"/>
          <w:b/>
          <w:color w:val="auto"/>
          <w:kern w:val="0"/>
          <w:sz w:val="20"/>
          <w:szCs w:val="20"/>
          <w:highlight w:val="none"/>
          <w:lang w:val="en-US" w:eastAsia="zh-CN"/>
        </w:rPr>
        <w:t>年</w:t>
      </w:r>
      <w:r>
        <w:rPr>
          <w:rFonts w:hint="eastAsia" w:ascii="宋体" w:hAnsi="宋体"/>
          <w:b/>
          <w:color w:val="auto"/>
          <w:kern w:val="0"/>
          <w:sz w:val="20"/>
          <w:szCs w:val="20"/>
          <w:highlight w:val="none"/>
        </w:rPr>
        <w:t>）</w:t>
      </w:r>
    </w:p>
    <w:tbl>
      <w:tblPr>
        <w:tblStyle w:val="23"/>
        <w:tblW w:w="89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6"/>
        <w:gridCol w:w="2206"/>
        <w:gridCol w:w="55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jc w:val="center"/>
        </w:trPr>
        <w:tc>
          <w:tcPr>
            <w:tcW w:w="1196"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序号</w:t>
            </w:r>
          </w:p>
        </w:tc>
        <w:tc>
          <w:tcPr>
            <w:tcW w:w="2206"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项目</w:t>
            </w:r>
          </w:p>
        </w:tc>
        <w:tc>
          <w:tcPr>
            <w:tcW w:w="5556"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jc w:val="center"/>
        </w:trPr>
        <w:tc>
          <w:tcPr>
            <w:tcW w:w="1196"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2206"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人工费用</w:t>
            </w:r>
          </w:p>
        </w:tc>
        <w:tc>
          <w:tcPr>
            <w:tcW w:w="5556" w:type="dxa"/>
            <w:tcBorders>
              <w:top w:val="single" w:color="auto" w:sz="4" w:space="0"/>
              <w:left w:val="single" w:color="auto" w:sz="4" w:space="0"/>
              <w:bottom w:val="single" w:color="auto" w:sz="4" w:space="0"/>
              <w:right w:val="single" w:color="auto" w:sz="4" w:space="0"/>
            </w:tcBorders>
            <w:vAlign w:val="center"/>
          </w:tcPr>
          <w:p>
            <w:pPr>
              <w:ind w:firstLine="420"/>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jc w:val="center"/>
        </w:trPr>
        <w:tc>
          <w:tcPr>
            <w:tcW w:w="1196"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p>
        </w:tc>
        <w:tc>
          <w:tcPr>
            <w:tcW w:w="2206"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其他费用</w:t>
            </w:r>
          </w:p>
        </w:tc>
        <w:tc>
          <w:tcPr>
            <w:tcW w:w="5556" w:type="dxa"/>
            <w:tcBorders>
              <w:top w:val="single" w:color="auto" w:sz="4" w:space="0"/>
              <w:left w:val="single" w:color="auto" w:sz="4" w:space="0"/>
              <w:bottom w:val="single" w:color="auto" w:sz="4" w:space="0"/>
              <w:right w:val="single" w:color="auto" w:sz="4" w:space="0"/>
            </w:tcBorders>
            <w:vAlign w:val="center"/>
          </w:tcPr>
          <w:p>
            <w:pPr>
              <w:ind w:firstLine="420"/>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jc w:val="center"/>
        </w:trPr>
        <w:tc>
          <w:tcPr>
            <w:tcW w:w="1196"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p>
        </w:tc>
        <w:tc>
          <w:tcPr>
            <w:tcW w:w="2206"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p>
        </w:tc>
        <w:tc>
          <w:tcPr>
            <w:tcW w:w="5556" w:type="dxa"/>
            <w:tcBorders>
              <w:top w:val="single" w:color="auto" w:sz="4" w:space="0"/>
              <w:left w:val="single" w:color="auto" w:sz="4" w:space="0"/>
              <w:bottom w:val="single" w:color="auto" w:sz="4" w:space="0"/>
              <w:right w:val="single" w:color="auto" w:sz="4" w:space="0"/>
            </w:tcBorders>
            <w:vAlign w:val="center"/>
          </w:tcPr>
          <w:p>
            <w:pPr>
              <w:ind w:firstLine="420"/>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jc w:val="center"/>
        </w:trPr>
        <w:tc>
          <w:tcPr>
            <w:tcW w:w="1196"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w:t>
            </w:r>
          </w:p>
        </w:tc>
        <w:tc>
          <w:tcPr>
            <w:tcW w:w="2206"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利润</w:t>
            </w:r>
          </w:p>
        </w:tc>
        <w:tc>
          <w:tcPr>
            <w:tcW w:w="5556" w:type="dxa"/>
            <w:tcBorders>
              <w:top w:val="single" w:color="auto" w:sz="4" w:space="0"/>
              <w:left w:val="single" w:color="auto" w:sz="4" w:space="0"/>
              <w:bottom w:val="single" w:color="auto" w:sz="4" w:space="0"/>
              <w:right w:val="single" w:color="auto" w:sz="4" w:space="0"/>
            </w:tcBorders>
            <w:vAlign w:val="center"/>
          </w:tcPr>
          <w:p>
            <w:pPr>
              <w:ind w:firstLine="420"/>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jc w:val="center"/>
        </w:trPr>
        <w:tc>
          <w:tcPr>
            <w:tcW w:w="1196"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w:t>
            </w:r>
          </w:p>
        </w:tc>
        <w:tc>
          <w:tcPr>
            <w:tcW w:w="2206"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税金</w:t>
            </w:r>
          </w:p>
        </w:tc>
        <w:tc>
          <w:tcPr>
            <w:tcW w:w="5556" w:type="dxa"/>
            <w:tcBorders>
              <w:top w:val="single" w:color="auto" w:sz="4" w:space="0"/>
              <w:left w:val="single" w:color="auto" w:sz="4" w:space="0"/>
              <w:bottom w:val="single" w:color="auto" w:sz="4" w:space="0"/>
              <w:right w:val="single" w:color="auto" w:sz="4" w:space="0"/>
            </w:tcBorders>
            <w:vAlign w:val="center"/>
          </w:tcPr>
          <w:p>
            <w:pPr>
              <w:ind w:firstLine="420"/>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jc w:val="center"/>
        </w:trPr>
        <w:tc>
          <w:tcPr>
            <w:tcW w:w="1196"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合计</w:t>
            </w:r>
          </w:p>
        </w:tc>
        <w:tc>
          <w:tcPr>
            <w:tcW w:w="7762" w:type="dxa"/>
            <w:gridSpan w:val="2"/>
            <w:tcBorders>
              <w:top w:val="single" w:color="auto" w:sz="4" w:space="0"/>
              <w:left w:val="single" w:color="auto" w:sz="4" w:space="0"/>
              <w:bottom w:val="single" w:color="auto" w:sz="4" w:space="0"/>
              <w:right w:val="single" w:color="auto" w:sz="4" w:space="0"/>
            </w:tcBorders>
            <w:vAlign w:val="center"/>
          </w:tcPr>
          <w:p>
            <w:pPr>
              <w:ind w:firstLine="42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小写：               大写：</w:t>
            </w:r>
          </w:p>
        </w:tc>
      </w:tr>
    </w:tbl>
    <w:p>
      <w:pPr>
        <w:adjustRightInd w:val="0"/>
        <w:snapToGrid w:val="0"/>
        <w:spacing w:line="360" w:lineRule="auto"/>
        <w:rPr>
          <w:rFonts w:hint="eastAsia" w:ascii="宋体" w:hAnsi="宋体" w:eastAsia="宋体" w:cs="宋体"/>
          <w:color w:val="auto"/>
          <w:kern w:val="0"/>
          <w:sz w:val="21"/>
          <w:szCs w:val="21"/>
          <w:highlight w:val="none"/>
        </w:rPr>
      </w:pPr>
    </w:p>
    <w:p>
      <w:pPr>
        <w:tabs>
          <w:tab w:val="left" w:pos="425"/>
          <w:tab w:val="left" w:pos="845"/>
        </w:tabs>
        <w:spacing w:line="360" w:lineRule="auto"/>
        <w:ind w:firstLine="420"/>
        <w:rPr>
          <w:rFonts w:hint="eastAsia" w:ascii="宋体" w:hAnsi="宋体" w:eastAsia="宋体" w:cs="宋体"/>
          <w:color w:val="auto"/>
          <w:szCs w:val="21"/>
          <w:highlight w:val="none"/>
          <w:lang w:val="zh-CN"/>
        </w:rPr>
      </w:pPr>
      <w:r>
        <w:rPr>
          <w:rFonts w:hint="eastAsia" w:ascii="宋体" w:hAnsi="宋体" w:eastAsia="宋体" w:cs="宋体"/>
          <w:color w:val="auto"/>
          <w:kern w:val="0"/>
          <w:sz w:val="21"/>
          <w:szCs w:val="21"/>
          <w:highlight w:val="none"/>
        </w:rPr>
        <w:t>注：</w:t>
      </w:r>
      <w:r>
        <w:rPr>
          <w:rFonts w:hint="eastAsia" w:ascii="宋体" w:hAnsi="宋体" w:eastAsia="宋体" w:cs="宋体"/>
          <w:color w:val="auto"/>
          <w:szCs w:val="21"/>
          <w:highlight w:val="none"/>
        </w:rPr>
        <w:t>1、投标单位按照本采购文件招标范围报价，其中包括作业期内发生的人员、材料、合理利润、税金等所有费用</w:t>
      </w:r>
      <w:r>
        <w:rPr>
          <w:rFonts w:hint="eastAsia" w:ascii="宋体" w:hAnsi="宋体" w:eastAsia="宋体" w:cs="宋体"/>
          <w:color w:val="auto"/>
          <w:szCs w:val="21"/>
          <w:highlight w:val="none"/>
          <w:lang w:val="zh-CN"/>
        </w:rPr>
        <w:t>。</w:t>
      </w:r>
    </w:p>
    <w:p>
      <w:pPr>
        <w:tabs>
          <w:tab w:val="left" w:pos="425"/>
          <w:tab w:val="left" w:pos="845"/>
        </w:tabs>
        <w:spacing w:line="360" w:lineRule="auto"/>
        <w:ind w:firstLine="420"/>
        <w:rPr>
          <w:rFonts w:hint="eastAsia" w:ascii="宋体" w:hAnsi="宋体" w:eastAsia="宋体" w:cs="宋体"/>
          <w:color w:val="auto"/>
          <w:szCs w:val="21"/>
          <w:highlight w:val="none"/>
          <w:lang w:val="zh-CN"/>
        </w:rPr>
      </w:pPr>
      <w:r>
        <w:rPr>
          <w:rFonts w:hint="eastAsia" w:ascii="宋体" w:hAnsi="宋体" w:eastAsia="宋体" w:cs="宋体"/>
          <w:color w:val="auto"/>
          <w:szCs w:val="21"/>
          <w:highlight w:val="none"/>
          <w:lang w:val="zh-CN"/>
        </w:rPr>
        <w:t>2、供应商认为应当说明而本表中无相应栏目的，请在自行增加栏目加以说明。</w:t>
      </w:r>
    </w:p>
    <w:p>
      <w:pPr>
        <w:spacing w:line="460" w:lineRule="exact"/>
        <w:ind w:firstLine="420"/>
        <w:rPr>
          <w:rFonts w:hint="eastAsia" w:ascii="宋体" w:hAnsi="宋体" w:eastAsia="宋体" w:cs="宋体"/>
          <w:color w:val="auto"/>
          <w:szCs w:val="21"/>
          <w:highlight w:val="none"/>
        </w:rPr>
      </w:pPr>
      <w:r>
        <w:rPr>
          <w:rFonts w:hint="eastAsia" w:ascii="宋体" w:hAnsi="宋体" w:eastAsia="宋体" w:cs="宋体"/>
          <w:color w:val="auto"/>
          <w:szCs w:val="21"/>
          <w:highlight w:val="none"/>
        </w:rPr>
        <w:t>3、投标人另须详细列出各类人工费用中的工资、奖金、福利费、保险费、培训费、活动费、服装费及其他补贴等的明细表，表格</w:t>
      </w:r>
      <w:r>
        <w:rPr>
          <w:rFonts w:hint="eastAsia" w:ascii="宋体" w:hAnsi="宋体" w:eastAsia="宋体" w:cs="宋体"/>
          <w:color w:val="auto"/>
          <w:szCs w:val="21"/>
          <w:highlight w:val="none"/>
          <w:lang w:val="en-US" w:eastAsia="zh-CN"/>
        </w:rPr>
        <w:t>可自拟</w:t>
      </w:r>
      <w:r>
        <w:rPr>
          <w:rFonts w:hint="eastAsia" w:ascii="宋体" w:hAnsi="宋体" w:eastAsia="宋体" w:cs="宋体"/>
          <w:color w:val="auto"/>
          <w:szCs w:val="21"/>
          <w:highlight w:val="none"/>
        </w:rPr>
        <w:t>。</w:t>
      </w:r>
    </w:p>
    <w:p>
      <w:pPr>
        <w:spacing w:line="400" w:lineRule="exact"/>
        <w:ind w:firstLine="420" w:firstLineChars="200"/>
        <w:rPr>
          <w:rFonts w:hint="eastAsia" w:ascii="宋体" w:hAnsi="宋体" w:eastAsia="宋体" w:cs="宋体"/>
          <w:color w:val="auto"/>
          <w:szCs w:val="21"/>
          <w:highlight w:val="none"/>
        </w:rPr>
      </w:pPr>
    </w:p>
    <w:p>
      <w:pPr>
        <w:pStyle w:val="11"/>
        <w:tabs>
          <w:tab w:val="left" w:pos="4185"/>
        </w:tabs>
        <w:spacing w:line="400" w:lineRule="exact"/>
        <w:ind w:firstLine="0"/>
        <w:rPr>
          <w:rFonts w:hAnsi="宋体" w:cs="宋体"/>
          <w:color w:val="auto"/>
          <w:sz w:val="21"/>
          <w:szCs w:val="21"/>
          <w:highlight w:val="none"/>
        </w:rPr>
      </w:pPr>
    </w:p>
    <w:p>
      <w:pPr>
        <w:pStyle w:val="11"/>
        <w:tabs>
          <w:tab w:val="left" w:pos="4185"/>
        </w:tabs>
        <w:spacing w:line="400" w:lineRule="exact"/>
        <w:ind w:firstLine="0"/>
        <w:rPr>
          <w:rFonts w:hAnsi="宋体" w:cs="宋体"/>
          <w:color w:val="auto"/>
          <w:sz w:val="21"/>
          <w:szCs w:val="21"/>
          <w:highlight w:val="none"/>
        </w:rPr>
      </w:pPr>
    </w:p>
    <w:p>
      <w:pPr>
        <w:pStyle w:val="11"/>
        <w:tabs>
          <w:tab w:val="left" w:pos="4185"/>
        </w:tabs>
        <w:spacing w:line="400" w:lineRule="exact"/>
        <w:ind w:firstLine="0"/>
        <w:rPr>
          <w:rFonts w:hAnsi="宋体" w:cs="宋体"/>
          <w:color w:val="auto"/>
          <w:sz w:val="21"/>
          <w:szCs w:val="21"/>
          <w:highlight w:val="none"/>
        </w:rPr>
      </w:pPr>
      <w:r>
        <w:rPr>
          <w:rFonts w:hint="eastAsia" w:hAnsi="宋体" w:cs="宋体"/>
          <w:color w:val="auto"/>
          <w:sz w:val="21"/>
          <w:szCs w:val="21"/>
          <w:highlight w:val="none"/>
        </w:rPr>
        <w:t>供应商（盖章）：</w:t>
      </w:r>
    </w:p>
    <w:p>
      <w:pPr>
        <w:pStyle w:val="11"/>
        <w:tabs>
          <w:tab w:val="left" w:pos="4185"/>
        </w:tabs>
        <w:spacing w:line="400" w:lineRule="exact"/>
        <w:ind w:firstLine="0"/>
        <w:rPr>
          <w:rFonts w:hAnsi="宋体" w:cs="宋体"/>
          <w:color w:val="auto"/>
          <w:sz w:val="21"/>
          <w:szCs w:val="21"/>
          <w:highlight w:val="none"/>
        </w:rPr>
      </w:pPr>
      <w:r>
        <w:rPr>
          <w:rFonts w:hint="eastAsia" w:hAnsi="宋体" w:cs="宋体"/>
          <w:color w:val="auto"/>
          <w:sz w:val="21"/>
          <w:szCs w:val="21"/>
          <w:highlight w:val="none"/>
        </w:rPr>
        <w:t>法定代表人或授权代表人（签字或盖章）：</w:t>
      </w:r>
    </w:p>
    <w:p>
      <w:pPr>
        <w:pStyle w:val="11"/>
        <w:spacing w:line="400" w:lineRule="exact"/>
        <w:ind w:firstLine="0"/>
        <w:rPr>
          <w:rFonts w:hAnsi="宋体" w:cs="宋体"/>
          <w:color w:val="auto"/>
          <w:sz w:val="21"/>
          <w:szCs w:val="21"/>
          <w:highlight w:val="none"/>
        </w:rPr>
      </w:pPr>
      <w:r>
        <w:rPr>
          <w:rFonts w:hint="eastAsia" w:hAnsi="宋体" w:cs="宋体"/>
          <w:color w:val="auto"/>
          <w:sz w:val="21"/>
          <w:szCs w:val="21"/>
          <w:highlight w:val="none"/>
        </w:rPr>
        <w:t>日期：</w:t>
      </w:r>
    </w:p>
    <w:p>
      <w:pPr>
        <w:adjustRightInd w:val="0"/>
        <w:snapToGrid w:val="0"/>
        <w:spacing w:line="360" w:lineRule="auto"/>
        <w:jc w:val="center"/>
        <w:rPr>
          <w:rFonts w:ascii="宋体" w:hAnsi="宋体" w:cs="宋体"/>
          <w:b/>
          <w:bCs/>
          <w:color w:val="auto"/>
          <w:sz w:val="24"/>
          <w:highlight w:val="none"/>
        </w:rPr>
        <w:sectPr>
          <w:pgSz w:w="11906" w:h="16838"/>
          <w:pgMar w:top="1440" w:right="1803" w:bottom="1440" w:left="1803" w:header="851" w:footer="992" w:gutter="0"/>
          <w:pgBorders>
            <w:top w:val="none" w:sz="0" w:space="0"/>
            <w:left w:val="none" w:sz="0" w:space="0"/>
            <w:bottom w:val="none" w:sz="0" w:space="0"/>
            <w:right w:val="none" w:sz="0" w:space="0"/>
          </w:pgBorders>
          <w:cols w:space="0" w:num="1"/>
          <w:rtlGutter w:val="0"/>
          <w:docGrid w:type="lines" w:linePitch="319" w:charSpace="0"/>
        </w:sectPr>
      </w:pPr>
    </w:p>
    <w:p>
      <w:pPr>
        <w:adjustRightInd w:val="0"/>
        <w:snapToGrid w:val="0"/>
        <w:spacing w:line="360" w:lineRule="auto"/>
        <w:jc w:val="center"/>
        <w:rPr>
          <w:rFonts w:ascii="宋体" w:hAnsi="宋体" w:cs="宋体"/>
          <w:b/>
          <w:color w:val="auto"/>
          <w:spacing w:val="40"/>
          <w:szCs w:val="21"/>
          <w:highlight w:val="none"/>
        </w:rPr>
      </w:pPr>
      <w:r>
        <w:rPr>
          <w:rFonts w:hint="eastAsia" w:ascii="宋体" w:hAnsi="宋体" w:cs="宋体"/>
          <w:b/>
          <w:bCs/>
          <w:color w:val="auto"/>
          <w:sz w:val="24"/>
          <w:highlight w:val="none"/>
        </w:rPr>
        <w:t>中小企业声明函</w:t>
      </w:r>
    </w:p>
    <w:p>
      <w:pPr>
        <w:spacing w:line="400" w:lineRule="exact"/>
        <w:rPr>
          <w:rFonts w:ascii="宋体"/>
          <w:b/>
          <w:bCs/>
          <w:color w:val="auto"/>
          <w:spacing w:val="6"/>
          <w:highlight w:val="none"/>
        </w:rPr>
      </w:pPr>
    </w:p>
    <w:p>
      <w:pPr>
        <w:spacing w:line="400" w:lineRule="exact"/>
        <w:ind w:firstLine="420" w:firstLineChars="200"/>
        <w:rPr>
          <w:rFonts w:ascii="宋体"/>
          <w:color w:val="auto"/>
          <w:highlight w:val="none"/>
        </w:rPr>
      </w:pPr>
      <w:r>
        <w:rPr>
          <w:rFonts w:hint="eastAsia" w:ascii="宋体" w:hAnsi="宋体" w:cs="宋体"/>
          <w:color w:val="auto"/>
          <w:highlight w:val="none"/>
        </w:rPr>
        <w:t>本公司郑重声明，根据《政府采购促进中小企业发展暂行办法》（财库[2011]181号）的规定，本公司为______（请填写：中型、小型、微型）企业。即，本公司同时满足以下条件：</w:t>
      </w:r>
    </w:p>
    <w:p>
      <w:pPr>
        <w:spacing w:line="400" w:lineRule="exact"/>
        <w:ind w:firstLine="420" w:firstLineChars="200"/>
        <w:rPr>
          <w:rFonts w:ascii="宋体"/>
          <w:color w:val="auto"/>
          <w:highlight w:val="none"/>
        </w:rPr>
      </w:pPr>
      <w:r>
        <w:rPr>
          <w:rFonts w:hint="eastAsia" w:ascii="宋体" w:hAnsi="宋体" w:cs="宋体"/>
          <w:color w:val="auto"/>
          <w:highlight w:val="none"/>
        </w:rPr>
        <w:t>1.根据《工业和信息化部、国家统计局、国家发展和改革委员会、财政部关于印发中小企业划型标准规定的通知》（工信部联企业[2011]300号）规定的划分标准，本公司为______（请填写：中型、小型、微型）企业。</w:t>
      </w:r>
    </w:p>
    <w:p>
      <w:pPr>
        <w:spacing w:line="400" w:lineRule="exact"/>
        <w:ind w:firstLine="420" w:firstLineChars="200"/>
        <w:rPr>
          <w:rFonts w:ascii="宋体"/>
          <w:color w:val="auto"/>
          <w:highlight w:val="none"/>
        </w:rPr>
      </w:pPr>
      <w:r>
        <w:rPr>
          <w:rFonts w:hint="eastAsia" w:ascii="宋体" w:hAnsi="宋体" w:cs="宋体"/>
          <w:color w:val="auto"/>
          <w:highlight w:val="none"/>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pPr>
        <w:spacing w:line="400" w:lineRule="exact"/>
        <w:ind w:firstLine="420" w:firstLineChars="200"/>
        <w:rPr>
          <w:rFonts w:ascii="宋体"/>
          <w:color w:val="auto"/>
          <w:highlight w:val="none"/>
        </w:rPr>
      </w:pPr>
      <w:r>
        <w:rPr>
          <w:rFonts w:hint="eastAsia" w:ascii="宋体" w:hAnsi="宋体" w:cs="宋体"/>
          <w:color w:val="auto"/>
          <w:highlight w:val="none"/>
        </w:rPr>
        <w:t>本公司对上述声明的真实性负责。如有虚假，将依法承担相应责任。</w:t>
      </w:r>
    </w:p>
    <w:p>
      <w:pPr>
        <w:spacing w:line="400" w:lineRule="exact"/>
        <w:ind w:firstLine="420" w:firstLineChars="200"/>
        <w:rPr>
          <w:rFonts w:ascii="宋体"/>
          <w:color w:val="auto"/>
          <w:highlight w:val="none"/>
        </w:rPr>
      </w:pPr>
    </w:p>
    <w:p>
      <w:pPr>
        <w:tabs>
          <w:tab w:val="left" w:pos="4860"/>
        </w:tabs>
        <w:spacing w:line="400" w:lineRule="exact"/>
        <w:ind w:right="1560" w:firstLine="420" w:firstLineChars="200"/>
        <w:jc w:val="center"/>
        <w:rPr>
          <w:rFonts w:ascii="宋体"/>
          <w:color w:val="auto"/>
          <w:highlight w:val="none"/>
        </w:rPr>
      </w:pPr>
      <w:r>
        <w:rPr>
          <w:rFonts w:hint="eastAsia" w:ascii="宋体" w:hAnsi="宋体" w:cs="宋体"/>
          <w:color w:val="auto"/>
          <w:highlight w:val="none"/>
        </w:rPr>
        <w:t xml:space="preserve">               企业名称（公章）： </w:t>
      </w:r>
    </w:p>
    <w:p>
      <w:pPr>
        <w:pStyle w:val="11"/>
        <w:spacing w:line="400" w:lineRule="exact"/>
        <w:ind w:firstLine="3636" w:firstLineChars="1800"/>
        <w:rPr>
          <w:rFonts w:hAnsi="宋体" w:cs="宋体"/>
          <w:color w:val="auto"/>
          <w:sz w:val="21"/>
          <w:szCs w:val="21"/>
          <w:highlight w:val="none"/>
        </w:rPr>
      </w:pPr>
      <w:r>
        <w:rPr>
          <w:rFonts w:hint="eastAsia" w:hAnsi="宋体" w:cs="宋体"/>
          <w:color w:val="auto"/>
          <w:sz w:val="21"/>
          <w:szCs w:val="21"/>
          <w:highlight w:val="none"/>
        </w:rPr>
        <w:t xml:space="preserve">日  期：                </w:t>
      </w:r>
    </w:p>
    <w:p>
      <w:pPr>
        <w:spacing w:line="400" w:lineRule="exact"/>
        <w:jc w:val="center"/>
        <w:rPr>
          <w:rFonts w:ascii="宋体"/>
          <w:b/>
          <w:bCs/>
          <w:color w:val="auto"/>
          <w:highlight w:val="none"/>
        </w:rPr>
      </w:pPr>
    </w:p>
    <w:p>
      <w:pPr>
        <w:spacing w:line="400" w:lineRule="exact"/>
        <w:jc w:val="center"/>
        <w:rPr>
          <w:rFonts w:ascii="宋体"/>
          <w:b/>
          <w:bCs/>
          <w:color w:val="auto"/>
          <w:highlight w:val="none"/>
        </w:rPr>
      </w:pPr>
    </w:p>
    <w:p>
      <w:pPr>
        <w:spacing w:line="400" w:lineRule="exact"/>
        <w:jc w:val="center"/>
        <w:rPr>
          <w:rFonts w:ascii="宋体"/>
          <w:b/>
          <w:bCs/>
          <w:color w:val="auto"/>
          <w:highlight w:val="none"/>
        </w:rPr>
      </w:pPr>
    </w:p>
    <w:p>
      <w:pPr>
        <w:spacing w:line="400" w:lineRule="exact"/>
        <w:jc w:val="center"/>
        <w:rPr>
          <w:rFonts w:ascii="宋体"/>
          <w:b/>
          <w:bCs/>
          <w:color w:val="auto"/>
          <w:highlight w:val="none"/>
        </w:rPr>
      </w:pPr>
    </w:p>
    <w:p>
      <w:pPr>
        <w:spacing w:line="400" w:lineRule="exact"/>
        <w:jc w:val="center"/>
        <w:rPr>
          <w:rFonts w:ascii="宋体"/>
          <w:b/>
          <w:bCs/>
          <w:color w:val="auto"/>
          <w:highlight w:val="none"/>
        </w:rPr>
      </w:pPr>
    </w:p>
    <w:p>
      <w:pPr>
        <w:spacing w:line="400" w:lineRule="exact"/>
        <w:jc w:val="center"/>
        <w:rPr>
          <w:rFonts w:ascii="宋体"/>
          <w:b/>
          <w:bCs/>
          <w:color w:val="auto"/>
          <w:highlight w:val="none"/>
        </w:rPr>
      </w:pPr>
    </w:p>
    <w:p>
      <w:pPr>
        <w:spacing w:line="400" w:lineRule="exact"/>
        <w:rPr>
          <w:rFonts w:ascii="宋体"/>
          <w:color w:val="auto"/>
          <w:highlight w:val="none"/>
        </w:rPr>
      </w:pPr>
      <w:r>
        <w:rPr>
          <w:rFonts w:hint="eastAsia" w:ascii="宋体" w:hAnsi="宋体" w:cs="宋体"/>
          <w:color w:val="auto"/>
          <w:highlight w:val="none"/>
        </w:rPr>
        <w:t>填写说明：</w:t>
      </w:r>
    </w:p>
    <w:p>
      <w:pPr>
        <w:spacing w:line="400" w:lineRule="exact"/>
        <w:ind w:firstLine="420" w:firstLineChars="200"/>
        <w:rPr>
          <w:rFonts w:ascii="宋体"/>
          <w:color w:val="auto"/>
          <w:highlight w:val="none"/>
        </w:rPr>
      </w:pPr>
      <w:r>
        <w:rPr>
          <w:rFonts w:hint="eastAsia" w:ascii="宋体" w:hAnsi="宋体" w:cs="宋体"/>
          <w:color w:val="auto"/>
          <w:highlight w:val="none"/>
        </w:rPr>
        <w:t>1、本声明函为财库[2011]181号文附件的标准格式，必须按该格式填写；本声明函由投标供应商填写，请认真阅读相关政策文件；</w:t>
      </w:r>
    </w:p>
    <w:p>
      <w:pPr>
        <w:spacing w:line="400" w:lineRule="exact"/>
        <w:ind w:firstLine="420" w:firstLineChars="200"/>
        <w:rPr>
          <w:rFonts w:ascii="宋体"/>
          <w:color w:val="auto"/>
          <w:highlight w:val="none"/>
        </w:rPr>
      </w:pPr>
      <w:r>
        <w:rPr>
          <w:rFonts w:hint="eastAsia" w:ascii="宋体" w:hAnsi="宋体" w:cs="宋体"/>
          <w:color w:val="auto"/>
          <w:highlight w:val="none"/>
        </w:rPr>
        <w:t>2、如投标供应商提供本企业制造的货物或者由本企业承担工程、提供服务的，请在相应文字处后面打钩，如“提供本企业制造的货物（√）” “由本企业承担工程（√）、提供服务（√）”。如投标供应商是代理商，提供其他企业制造的货物，请如实填写其他企业的划分类型并对其真实性负责；</w:t>
      </w:r>
    </w:p>
    <w:p>
      <w:pPr>
        <w:snapToGrid w:val="0"/>
        <w:spacing w:line="400" w:lineRule="exact"/>
        <w:jc w:val="left"/>
        <w:rPr>
          <w:rFonts w:cs="宋体"/>
          <w:color w:val="auto"/>
          <w:highlight w:val="none"/>
        </w:rPr>
      </w:pPr>
      <w:r>
        <w:rPr>
          <w:color w:val="auto"/>
          <w:highlight w:val="none"/>
        </w:rPr>
        <w:t>3</w:t>
      </w:r>
      <w:r>
        <w:rPr>
          <w:rFonts w:hint="eastAsia" w:cs="宋体"/>
          <w:color w:val="auto"/>
          <w:highlight w:val="none"/>
        </w:rPr>
        <w:t>、小型、微型企业提供中型企业制造的货物时视同中型企业，因此，只有小微企业提供自己的货物或者小微企业提供其他小微企业的货物时，投标供应商才算小微企业，才能享受评标标准里的价格扣除优惠。</w:t>
      </w:r>
    </w:p>
    <w:p>
      <w:pPr>
        <w:adjustRightInd w:val="0"/>
        <w:snapToGrid w:val="0"/>
        <w:spacing w:line="360" w:lineRule="auto"/>
        <w:ind w:right="-817" w:rightChars="-389"/>
        <w:rPr>
          <w:rFonts w:ascii="宋体" w:hAnsi="宋体" w:cs="宋体"/>
          <w:color w:val="auto"/>
          <w:szCs w:val="21"/>
          <w:highlight w:val="none"/>
        </w:rPr>
      </w:pPr>
    </w:p>
    <w:p>
      <w:pPr>
        <w:adjustRightInd w:val="0"/>
        <w:snapToGrid w:val="0"/>
        <w:spacing w:line="360" w:lineRule="auto"/>
        <w:jc w:val="center"/>
        <w:rPr>
          <w:rFonts w:ascii="宋体" w:hAnsi="宋体" w:cs="宋体"/>
          <w:b/>
          <w:color w:val="auto"/>
          <w:szCs w:val="21"/>
          <w:highlight w:val="none"/>
        </w:rPr>
      </w:pPr>
      <w:r>
        <w:rPr>
          <w:rFonts w:hint="eastAsia" w:ascii="宋体" w:hAnsi="宋体" w:cs="宋体"/>
          <w:color w:val="auto"/>
          <w:szCs w:val="21"/>
          <w:highlight w:val="none"/>
        </w:rPr>
        <w:br w:type="page"/>
      </w:r>
      <w:r>
        <w:rPr>
          <w:rFonts w:hint="eastAsia" w:ascii="宋体" w:hAnsi="宋体" w:cs="宋体"/>
          <w:b/>
          <w:color w:val="auto"/>
          <w:sz w:val="24"/>
          <w:highlight w:val="none"/>
        </w:rPr>
        <w:t>残疾人福利性单位声明函</w:t>
      </w:r>
    </w:p>
    <w:p>
      <w:pPr>
        <w:adjustRightInd w:val="0"/>
        <w:snapToGrid w:val="0"/>
        <w:spacing w:line="360" w:lineRule="auto"/>
        <w:ind w:firstLine="446" w:firstLineChars="200"/>
        <w:jc w:val="center"/>
        <w:rPr>
          <w:rFonts w:ascii="宋体" w:hAnsi="宋体" w:cs="宋体"/>
          <w:b/>
          <w:color w:val="auto"/>
          <w:spacing w:val="6"/>
          <w:szCs w:val="21"/>
          <w:highlight w:val="none"/>
        </w:rPr>
      </w:pPr>
      <w:r>
        <w:rPr>
          <w:rFonts w:hint="eastAsia" w:ascii="宋体" w:hAnsi="宋体" w:cs="宋体"/>
          <w:b/>
          <w:color w:val="auto"/>
          <w:spacing w:val="6"/>
          <w:szCs w:val="21"/>
          <w:highlight w:val="none"/>
        </w:rPr>
        <w:t>【供应商如不是残疾人福利性单位可以不用提供此表格】</w:t>
      </w:r>
    </w:p>
    <w:p>
      <w:pPr>
        <w:adjustRightInd w:val="0"/>
        <w:snapToGrid w:val="0"/>
        <w:spacing w:line="360" w:lineRule="auto"/>
        <w:rPr>
          <w:rFonts w:ascii="宋体" w:hAnsi="宋体" w:cs="宋体"/>
          <w:b/>
          <w:color w:val="auto"/>
          <w:spacing w:val="6"/>
          <w:szCs w:val="21"/>
          <w:highlight w:val="none"/>
        </w:rPr>
      </w:pPr>
    </w:p>
    <w:p>
      <w:pPr>
        <w:adjustRightInd w:val="0"/>
        <w:snapToGrid w:val="0"/>
        <w:spacing w:line="360" w:lineRule="auto"/>
        <w:ind w:firstLine="444" w:firstLineChars="200"/>
        <w:rPr>
          <w:rFonts w:ascii="宋体" w:hAnsi="宋体" w:cs="宋体"/>
          <w:color w:val="auto"/>
          <w:spacing w:val="6"/>
          <w:szCs w:val="21"/>
          <w:highlight w:val="none"/>
        </w:rPr>
      </w:pPr>
      <w:r>
        <w:rPr>
          <w:rFonts w:hint="eastAsia" w:ascii="宋体" w:hAnsi="宋体" w:cs="宋体"/>
          <w:color w:val="auto"/>
          <w:spacing w:val="6"/>
          <w:szCs w:val="21"/>
          <w:highlight w:val="none"/>
        </w:rPr>
        <w:t>本单位郑重声明，根据《财政部 民政部 中国残疾人联合会关于促进残疾人就业政府采购政策的通知》（财库</w:t>
      </w:r>
      <w:r>
        <w:rPr>
          <w:rFonts w:hint="eastAsia" w:ascii="宋体" w:hAnsi="宋体" w:cs="宋体"/>
          <w:color w:val="auto"/>
          <w:szCs w:val="21"/>
          <w:highlight w:val="none"/>
        </w:rPr>
        <w:t>〔2017〕 141</w:t>
      </w:r>
      <w:r>
        <w:rPr>
          <w:rFonts w:hint="eastAsia" w:ascii="宋体" w:hAnsi="宋体" w:cs="宋体"/>
          <w:color w:val="auto"/>
          <w:spacing w:val="6"/>
          <w:szCs w:val="21"/>
          <w:highlight w:val="none"/>
        </w:rPr>
        <w:t>号）的规定，本单位为符合条件的残疾人福利性单位，且本单位参加</w:t>
      </w:r>
      <w:r>
        <w:rPr>
          <w:rFonts w:hint="eastAsia" w:ascii="宋体" w:hAnsi="宋体" w:cs="宋体"/>
          <w:color w:val="auto"/>
          <w:spacing w:val="6"/>
          <w:szCs w:val="21"/>
          <w:highlight w:val="none"/>
          <w:u w:val="single"/>
        </w:rPr>
        <w:t xml:space="preserve">         </w:t>
      </w:r>
      <w:r>
        <w:rPr>
          <w:rFonts w:hint="eastAsia" w:ascii="宋体" w:hAnsi="宋体" w:cs="宋体"/>
          <w:color w:val="auto"/>
          <w:spacing w:val="6"/>
          <w:szCs w:val="21"/>
          <w:highlight w:val="none"/>
        </w:rPr>
        <w:t>单位（采购人）的</w:t>
      </w:r>
      <w:r>
        <w:rPr>
          <w:rFonts w:hint="eastAsia" w:ascii="宋体" w:hAnsi="宋体" w:cs="宋体"/>
          <w:color w:val="auto"/>
          <w:spacing w:val="6"/>
          <w:szCs w:val="21"/>
          <w:highlight w:val="none"/>
          <w:u w:val="single"/>
        </w:rPr>
        <w:t xml:space="preserve">                     </w:t>
      </w:r>
      <w:r>
        <w:rPr>
          <w:rFonts w:hint="eastAsia" w:ascii="宋体" w:hAnsi="宋体" w:cs="宋体"/>
          <w:color w:val="auto"/>
          <w:spacing w:val="6"/>
          <w:szCs w:val="21"/>
          <w:highlight w:val="none"/>
        </w:rPr>
        <w:t>项目采购活动提供本单位制造的货物（由本单位承担工程/提供服务），或者提供其他残疾人福利性单位制造的货物（不包括使用非残疾人福利性单位注册商标的货物）。</w:t>
      </w:r>
    </w:p>
    <w:p>
      <w:pPr>
        <w:adjustRightInd w:val="0"/>
        <w:snapToGrid w:val="0"/>
        <w:spacing w:line="360" w:lineRule="auto"/>
        <w:ind w:firstLine="444" w:firstLineChars="200"/>
        <w:rPr>
          <w:rFonts w:ascii="宋体" w:hAnsi="宋体" w:cs="宋体"/>
          <w:color w:val="auto"/>
          <w:spacing w:val="6"/>
          <w:szCs w:val="21"/>
          <w:highlight w:val="none"/>
        </w:rPr>
      </w:pPr>
      <w:r>
        <w:rPr>
          <w:rFonts w:hint="eastAsia" w:ascii="宋体" w:hAnsi="宋体" w:cs="宋体"/>
          <w:color w:val="auto"/>
          <w:spacing w:val="6"/>
          <w:szCs w:val="21"/>
          <w:highlight w:val="none"/>
        </w:rPr>
        <w:t>本单位对上述声明的真实性负责。如有虚假，将依法承担相应责任。</w:t>
      </w:r>
    </w:p>
    <w:p>
      <w:pPr>
        <w:adjustRightInd w:val="0"/>
        <w:snapToGrid w:val="0"/>
        <w:spacing w:line="360" w:lineRule="auto"/>
        <w:ind w:firstLine="444" w:firstLineChars="200"/>
        <w:rPr>
          <w:rFonts w:ascii="宋体" w:hAnsi="宋体" w:cs="宋体"/>
          <w:color w:val="auto"/>
          <w:spacing w:val="6"/>
          <w:szCs w:val="21"/>
          <w:highlight w:val="none"/>
        </w:rPr>
      </w:pPr>
    </w:p>
    <w:p>
      <w:pPr>
        <w:adjustRightInd w:val="0"/>
        <w:snapToGrid w:val="0"/>
        <w:spacing w:line="360" w:lineRule="auto"/>
        <w:ind w:firstLine="444" w:firstLineChars="200"/>
        <w:rPr>
          <w:rFonts w:ascii="宋体" w:hAnsi="宋体" w:cs="宋体"/>
          <w:color w:val="auto"/>
          <w:spacing w:val="6"/>
          <w:szCs w:val="21"/>
          <w:highlight w:val="none"/>
        </w:rPr>
      </w:pPr>
    </w:p>
    <w:p>
      <w:pPr>
        <w:wordWrap w:val="0"/>
        <w:adjustRightInd w:val="0"/>
        <w:snapToGrid w:val="0"/>
        <w:spacing w:line="360" w:lineRule="auto"/>
        <w:jc w:val="center"/>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 xml:space="preserve">                             供应商（盖章）：                                   </w:t>
      </w:r>
    </w:p>
    <w:p>
      <w:pPr>
        <w:wordWrap w:val="0"/>
        <w:adjustRightInd w:val="0"/>
        <w:snapToGrid w:val="0"/>
        <w:spacing w:line="360" w:lineRule="auto"/>
        <w:jc w:val="center"/>
        <w:rPr>
          <w:rFonts w:ascii="宋体" w:hAnsi="宋体" w:cs="宋体"/>
          <w:snapToGrid w:val="0"/>
          <w:color w:val="auto"/>
          <w:kern w:val="0"/>
          <w:szCs w:val="21"/>
          <w:highlight w:val="none"/>
        </w:rPr>
      </w:pPr>
      <w:r>
        <w:rPr>
          <w:rFonts w:hint="eastAsia" w:ascii="宋体" w:hAnsi="宋体" w:cs="宋体"/>
          <w:color w:val="auto"/>
          <w:szCs w:val="21"/>
          <w:highlight w:val="none"/>
        </w:rPr>
        <w:t xml:space="preserve">                               法定代表人或单位负责人或其授权代表人</w:t>
      </w:r>
      <w:r>
        <w:rPr>
          <w:rFonts w:hint="eastAsia" w:ascii="宋体" w:hAnsi="宋体" w:cs="宋体"/>
          <w:snapToGrid w:val="0"/>
          <w:color w:val="auto"/>
          <w:kern w:val="0"/>
          <w:szCs w:val="21"/>
          <w:highlight w:val="none"/>
        </w:rPr>
        <w:t xml:space="preserve">（签字或盖章）：  </w:t>
      </w:r>
    </w:p>
    <w:p>
      <w:pPr>
        <w:pStyle w:val="22"/>
        <w:adjustRightInd w:val="0"/>
        <w:snapToGrid w:val="0"/>
        <w:spacing w:line="360" w:lineRule="auto"/>
        <w:ind w:firstLine="3434" w:firstLineChars="1700"/>
        <w:rPr>
          <w:rFonts w:hAnsi="宋体" w:cs="宋体"/>
          <w:snapToGrid w:val="0"/>
          <w:color w:val="auto"/>
          <w:kern w:val="0"/>
          <w:sz w:val="21"/>
          <w:szCs w:val="21"/>
          <w:highlight w:val="none"/>
        </w:rPr>
      </w:pPr>
      <w:r>
        <w:rPr>
          <w:rFonts w:hint="eastAsia" w:hAnsi="宋体" w:cs="宋体"/>
          <w:snapToGrid w:val="0"/>
          <w:color w:val="auto"/>
          <w:kern w:val="0"/>
          <w:sz w:val="21"/>
          <w:szCs w:val="21"/>
          <w:highlight w:val="none"/>
        </w:rPr>
        <w:t xml:space="preserve">日期：    年  月  日  </w:t>
      </w:r>
    </w:p>
    <w:p>
      <w:pPr>
        <w:rPr>
          <w:rFonts w:ascii="宋体" w:hAnsi="宋体" w:cs="宋体"/>
          <w:color w:val="auto"/>
          <w:highlight w:val="none"/>
        </w:rPr>
      </w:pPr>
    </w:p>
    <w:p>
      <w:pPr>
        <w:rPr>
          <w:rFonts w:ascii="宋体" w:hAnsi="宋体" w:cs="宋体"/>
          <w:color w:val="auto"/>
          <w:highlight w:val="none"/>
        </w:rPr>
      </w:pPr>
    </w:p>
    <w:p>
      <w:pPr>
        <w:rPr>
          <w:color w:val="auto"/>
          <w:highlight w:val="none"/>
        </w:rPr>
      </w:pP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PMingLiU">
    <w:altName w:val="Microsoft JhengHei UI"/>
    <w:panose1 w:val="02010601000101010101"/>
    <w:charset w:val="88"/>
    <w:family w:val="roman"/>
    <w:pitch w:val="default"/>
    <w:sig w:usb0="00000000" w:usb1="00000000" w:usb2="00000016" w:usb3="00000000" w:csb0="00100001" w:csb1="00000000"/>
  </w:font>
  <w:font w:name="Microsoft JhengHei UI">
    <w:panose1 w:val="020B0604030504040204"/>
    <w:charset w:val="88"/>
    <w:family w:val="auto"/>
    <w:pitch w:val="default"/>
    <w:sig w:usb0="000002A7" w:usb1="28CF4400" w:usb2="00000016" w:usb3="00000000" w:csb0="00100009"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Calibri Light">
    <w:panose1 w:val="020F0302020204030204"/>
    <w:charset w:val="00"/>
    <w:family w:val="swiss"/>
    <w:pitch w:val="default"/>
    <w:sig w:usb0="E4002EFF" w:usb1="C000247B" w:usb2="00000009" w:usb3="00000000" w:csb0="200001FF" w:csb1="00000000"/>
  </w:font>
  <w:font w:name="Helvetica">
    <w:altName w:val="Arial"/>
    <w:panose1 w:val="020B0504020202030204"/>
    <w:charset w:val="00"/>
    <w:family w:val="swiss"/>
    <w:pitch w:val="default"/>
    <w:sig w:usb0="00000000" w:usb1="00000000" w:usb2="00000000" w:usb3="00000000" w:csb0="00000093" w:csb1="00000000"/>
  </w:font>
  <w:font w:name="新宋体">
    <w:panose1 w:val="02010609030101010101"/>
    <w:charset w:val="86"/>
    <w:family w:val="modern"/>
    <w:pitch w:val="default"/>
    <w:sig w:usb0="00000283" w:usb1="288F0000" w:usb2="00000006" w:usb3="00000000" w:csb0="00040001" w:csb1="00000000"/>
  </w:font>
  <w:font w:name="Segoe UI Symbol">
    <w:panose1 w:val="020B0502040204020203"/>
    <w:charset w:val="00"/>
    <w:family w:val="swiss"/>
    <w:pitch w:val="default"/>
    <w:sig w:usb0="800001E3" w:usb1="1200FFEF" w:usb2="00040000" w:usb3="04000000" w:csb0="00000001" w:csb1="4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fldChar w:fldCharType="begin"/>
    </w:r>
    <w:r>
      <w:instrText xml:space="preserve"> PAGE Page \* MERGEFORMAT </w:instrText>
    </w:r>
    <w:r>
      <w:fldChar w:fldCharType="separate"/>
    </w:r>
    <w:r>
      <w:t>69</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5F2ECA0"/>
    <w:multiLevelType w:val="singleLevel"/>
    <w:tmpl w:val="C5F2ECA0"/>
    <w:lvl w:ilvl="0" w:tentative="0">
      <w:start w:val="1"/>
      <w:numFmt w:val="decimal"/>
      <w:suff w:val="nothing"/>
      <w:lvlText w:val="%1、"/>
      <w:lvlJc w:val="left"/>
      <w:pPr>
        <w:ind w:left="499" w:firstLine="0"/>
      </w:pPr>
    </w:lvl>
  </w:abstractNum>
  <w:abstractNum w:abstractNumId="1">
    <w:nsid w:val="FC299716"/>
    <w:multiLevelType w:val="singleLevel"/>
    <w:tmpl w:val="FC299716"/>
    <w:lvl w:ilvl="0" w:tentative="0">
      <w:start w:val="2"/>
      <w:numFmt w:val="decimal"/>
      <w:suff w:val="nothing"/>
      <w:lvlText w:val="%1、"/>
      <w:lvlJc w:val="left"/>
      <w:pPr>
        <w:ind w:left="0" w:firstLine="0"/>
      </w:pPr>
    </w:lvl>
  </w:abstractNum>
  <w:abstractNum w:abstractNumId="2">
    <w:nsid w:val="1FB756C6"/>
    <w:multiLevelType w:val="multilevel"/>
    <w:tmpl w:val="1FB756C6"/>
    <w:lvl w:ilvl="0" w:tentative="0">
      <w:start w:val="2"/>
      <w:numFmt w:val="decimalEnclosedCircle"/>
      <w:lvlText w:val="%1"/>
      <w:lvlJc w:val="left"/>
      <w:pPr>
        <w:ind w:left="900" w:hanging="4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
    <w:nsid w:val="25E5636C"/>
    <w:multiLevelType w:val="singleLevel"/>
    <w:tmpl w:val="25E5636C"/>
    <w:lvl w:ilvl="0" w:tentative="0">
      <w:start w:val="2"/>
      <w:numFmt w:val="decimal"/>
      <w:suff w:val="nothing"/>
      <w:lvlText w:val="%1、"/>
      <w:lvlJc w:val="left"/>
      <w:pPr>
        <w:ind w:left="14"/>
      </w:pPr>
    </w:lvl>
  </w:abstractNum>
  <w:abstractNum w:abstractNumId="4">
    <w:nsid w:val="336E5492"/>
    <w:multiLevelType w:val="singleLevel"/>
    <w:tmpl w:val="336E5492"/>
    <w:lvl w:ilvl="0" w:tentative="0">
      <w:start w:val="1"/>
      <w:numFmt w:val="decimal"/>
      <w:lvlText w:val="%1."/>
      <w:lvlJc w:val="left"/>
      <w:pPr>
        <w:tabs>
          <w:tab w:val="left" w:pos="312"/>
        </w:tabs>
      </w:pPr>
    </w:lvl>
  </w:abstractNum>
  <w:abstractNum w:abstractNumId="5">
    <w:nsid w:val="4F0C25D6"/>
    <w:multiLevelType w:val="singleLevel"/>
    <w:tmpl w:val="4F0C25D6"/>
    <w:lvl w:ilvl="0" w:tentative="0">
      <w:start w:val="1"/>
      <w:numFmt w:val="decimal"/>
      <w:suff w:val="nothing"/>
      <w:lvlText w:val="%1、"/>
      <w:lvlJc w:val="left"/>
    </w:lvl>
  </w:abstractNum>
  <w:num w:numId="1">
    <w:abstractNumId w:val="2"/>
  </w:num>
  <w:num w:numId="2">
    <w:abstractNumId w:val="4"/>
  </w:num>
  <w:num w:numId="3">
    <w:abstractNumId w:val="5"/>
  </w:num>
  <w:num w:numId="4">
    <w:abstractNumId w:val="0"/>
  </w:num>
  <w:num w:numId="5">
    <w:abstractNumId w:val="3"/>
  </w:num>
  <w:num w:numId="6">
    <w:abstractNumId w:val="1"/>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EA4"/>
    <w:rsid w:val="002C685A"/>
    <w:rsid w:val="0054140F"/>
    <w:rsid w:val="007B464B"/>
    <w:rsid w:val="00872EA4"/>
    <w:rsid w:val="00BD6E65"/>
    <w:rsid w:val="00C3529E"/>
    <w:rsid w:val="00F05336"/>
    <w:rsid w:val="038014E0"/>
    <w:rsid w:val="051A4542"/>
    <w:rsid w:val="083F2DE4"/>
    <w:rsid w:val="0A555A04"/>
    <w:rsid w:val="0C01675A"/>
    <w:rsid w:val="0E066F22"/>
    <w:rsid w:val="0E484C0E"/>
    <w:rsid w:val="0E7D72E9"/>
    <w:rsid w:val="0F4322C6"/>
    <w:rsid w:val="0F864F1F"/>
    <w:rsid w:val="0F890013"/>
    <w:rsid w:val="12A86922"/>
    <w:rsid w:val="1A977A8A"/>
    <w:rsid w:val="1D784443"/>
    <w:rsid w:val="21E4036A"/>
    <w:rsid w:val="25552A53"/>
    <w:rsid w:val="263B4F6F"/>
    <w:rsid w:val="27994F11"/>
    <w:rsid w:val="29681660"/>
    <w:rsid w:val="29842509"/>
    <w:rsid w:val="2B115DCA"/>
    <w:rsid w:val="2C3079D5"/>
    <w:rsid w:val="2C6A73A8"/>
    <w:rsid w:val="2D200C29"/>
    <w:rsid w:val="2EEA4632"/>
    <w:rsid w:val="3275418E"/>
    <w:rsid w:val="35E252A2"/>
    <w:rsid w:val="35FC5651"/>
    <w:rsid w:val="37D65083"/>
    <w:rsid w:val="38CC4629"/>
    <w:rsid w:val="3AE83387"/>
    <w:rsid w:val="3B900C43"/>
    <w:rsid w:val="3C017507"/>
    <w:rsid w:val="3D995E33"/>
    <w:rsid w:val="3E23374C"/>
    <w:rsid w:val="409143B7"/>
    <w:rsid w:val="4416171A"/>
    <w:rsid w:val="447466E8"/>
    <w:rsid w:val="44B252C8"/>
    <w:rsid w:val="47661FD1"/>
    <w:rsid w:val="47D75782"/>
    <w:rsid w:val="47FB3664"/>
    <w:rsid w:val="487E12D4"/>
    <w:rsid w:val="48CC6085"/>
    <w:rsid w:val="4AEA4B2F"/>
    <w:rsid w:val="539C0E85"/>
    <w:rsid w:val="5E423B19"/>
    <w:rsid w:val="61C76C0C"/>
    <w:rsid w:val="623474C5"/>
    <w:rsid w:val="62642FDE"/>
    <w:rsid w:val="673B7548"/>
    <w:rsid w:val="687D2350"/>
    <w:rsid w:val="6AD43D16"/>
    <w:rsid w:val="6B6A4134"/>
    <w:rsid w:val="6C5D6B2D"/>
    <w:rsid w:val="6C853A9C"/>
    <w:rsid w:val="6EC758D0"/>
    <w:rsid w:val="6F187B6B"/>
    <w:rsid w:val="703135F7"/>
    <w:rsid w:val="71AF78E5"/>
    <w:rsid w:val="771F1C34"/>
    <w:rsid w:val="776D449A"/>
    <w:rsid w:val="7EFE6B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name="heading 3"/>
    <w:lsdException w:qFormat="1" w:uiPriority="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0" w:name="Normal Indent"/>
    <w:lsdException w:uiPriority="99" w:name="footnote text"/>
    <w:lsdException w:qFormat="1" w:uiPriority="0" w:name="annotation text"/>
    <w:lsdException w:qFormat="1" w:uiPriority="0" w:semiHidden="0" w:name="header"/>
    <w:lsdException w:qFormat="1"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0" w:name="Body Text"/>
    <w:lsdException w:qFormat="1"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qFormat="1" w:unhideWhenUsed="0" w:uiPriority="0" w:semiHidden="0" w:name="Body Text First Indent"/>
    <w:lsdException w:qFormat="1" w:uiPriority="0"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name="Hyperlink"/>
    <w:lsdException w:qFormat="1" w:uiPriority="0" w:name="FollowedHyperlink"/>
    <w:lsdException w:qFormat="1" w:unhideWhenUsed="0" w:uiPriority="22" w:semiHidden="0" w:name="Strong"/>
    <w:lsdException w:qFormat="1" w:unhideWhenUsed="0" w:uiPriority="0" w:semiHidden="0" w:name="Emphasis"/>
    <w:lsdException w:uiPriority="99" w:name="Document Map"/>
    <w:lsdException w:qFormat="1" w:uiPriority="0" w:name="Plain Text"/>
    <w:lsdException w:uiPriority="99" w:name="E-mail Signature"/>
    <w:lsdException w:qFormat="1" w:uiPriority="0" w:name="Normal (Web)"/>
    <w:lsdException w:uiPriority="99" w:name="HTML Acronym"/>
    <w:lsdException w:uiPriority="99" w:name="HTML Address"/>
    <w:lsdException w:qFormat="1" w:uiPriority="0" w:name="HTML Cite"/>
    <w:lsdException w:qFormat="1" w:uiPriority="0" w:name="HTML Code"/>
    <w:lsdException w:qFormat="1" w:uiPriority="0" w:name="HTML Definition"/>
    <w:lsdException w:qFormat="1" w:uiPriority="0" w:name="HTML Keyboard"/>
    <w:lsdException w:uiPriority="99" w:name="HTML Preformatted"/>
    <w:lsdException w:qFormat="1" w:uiPriority="0" w:name="HTML Sample"/>
    <w:lsdException w:uiPriority="99" w:name="HTML Typewriter"/>
    <w:lsdException w:qFormat="1" w:uiPriority="0"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40"/>
    <w:qFormat/>
    <w:uiPriority w:val="0"/>
    <w:pPr>
      <w:keepNext/>
      <w:ind w:firstLine="425"/>
      <w:outlineLvl w:val="0"/>
    </w:pPr>
    <w:rPr>
      <w:b/>
      <w:bCs/>
      <w:i/>
      <w:iCs/>
      <w:sz w:val="52"/>
      <w:szCs w:val="20"/>
    </w:rPr>
  </w:style>
  <w:style w:type="paragraph" w:styleId="4">
    <w:name w:val="heading 2"/>
    <w:basedOn w:val="1"/>
    <w:next w:val="1"/>
    <w:link w:val="41"/>
    <w:semiHidden/>
    <w:unhideWhenUsed/>
    <w:qFormat/>
    <w:uiPriority w:val="0"/>
    <w:pPr>
      <w:keepNext/>
      <w:keepLines/>
      <w:spacing w:before="260" w:after="260" w:line="412" w:lineRule="auto"/>
      <w:outlineLvl w:val="1"/>
    </w:pPr>
    <w:rPr>
      <w:rFonts w:ascii="Arial" w:hAnsi="Arial" w:eastAsia="黑体"/>
      <w:b/>
      <w:bCs/>
      <w:sz w:val="32"/>
      <w:szCs w:val="32"/>
    </w:rPr>
  </w:style>
  <w:style w:type="paragraph" w:styleId="5">
    <w:name w:val="heading 4"/>
    <w:basedOn w:val="1"/>
    <w:next w:val="6"/>
    <w:link w:val="42"/>
    <w:semiHidden/>
    <w:unhideWhenUsed/>
    <w:qFormat/>
    <w:uiPriority w:val="0"/>
    <w:pPr>
      <w:keepNext/>
      <w:keepLines/>
      <w:spacing w:line="360" w:lineRule="auto"/>
      <w:outlineLvl w:val="3"/>
    </w:pPr>
    <w:rPr>
      <w:rFonts w:ascii="Arial" w:hAnsi="Arial"/>
      <w:b/>
    </w:rPr>
  </w:style>
  <w:style w:type="character" w:default="1" w:styleId="25">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customStyle="1" w:styleId="2">
    <w:name w:val="列出段落1"/>
    <w:basedOn w:val="1"/>
    <w:unhideWhenUsed/>
    <w:qFormat/>
    <w:uiPriority w:val="99"/>
    <w:pPr>
      <w:ind w:firstLine="420" w:firstLineChars="200"/>
    </w:pPr>
  </w:style>
  <w:style w:type="paragraph" w:styleId="6">
    <w:name w:val="Normal Indent"/>
    <w:basedOn w:val="1"/>
    <w:semiHidden/>
    <w:unhideWhenUsed/>
    <w:qFormat/>
    <w:uiPriority w:val="0"/>
    <w:pPr>
      <w:ind w:firstLine="420"/>
    </w:pPr>
    <w:rPr>
      <w:szCs w:val="20"/>
    </w:rPr>
  </w:style>
  <w:style w:type="paragraph" w:styleId="7">
    <w:name w:val="caption"/>
    <w:basedOn w:val="1"/>
    <w:next w:val="1"/>
    <w:semiHidden/>
    <w:unhideWhenUsed/>
    <w:qFormat/>
    <w:uiPriority w:val="0"/>
    <w:pPr>
      <w:spacing w:before="152" w:after="160"/>
    </w:pPr>
    <w:rPr>
      <w:rFonts w:ascii="Arial" w:hAnsi="Arial" w:eastAsia="黑体" w:cs="Arial"/>
      <w:sz w:val="20"/>
      <w:szCs w:val="20"/>
    </w:rPr>
  </w:style>
  <w:style w:type="paragraph" w:styleId="8">
    <w:name w:val="annotation text"/>
    <w:basedOn w:val="1"/>
    <w:link w:val="45"/>
    <w:semiHidden/>
    <w:unhideWhenUsed/>
    <w:qFormat/>
    <w:uiPriority w:val="0"/>
    <w:pPr>
      <w:jc w:val="left"/>
    </w:pPr>
  </w:style>
  <w:style w:type="paragraph" w:styleId="9">
    <w:name w:val="Body Text"/>
    <w:basedOn w:val="1"/>
    <w:next w:val="10"/>
    <w:link w:val="47"/>
    <w:semiHidden/>
    <w:unhideWhenUsed/>
    <w:qFormat/>
    <w:uiPriority w:val="0"/>
    <w:pPr>
      <w:spacing w:after="120"/>
    </w:pPr>
    <w:rPr>
      <w:sz w:val="28"/>
    </w:rPr>
  </w:style>
  <w:style w:type="paragraph" w:customStyle="1" w:styleId="10">
    <w:name w:val="自动更正"/>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11">
    <w:name w:val="Body Text Indent"/>
    <w:basedOn w:val="1"/>
    <w:next w:val="1"/>
    <w:link w:val="48"/>
    <w:semiHidden/>
    <w:unhideWhenUsed/>
    <w:qFormat/>
    <w:uiPriority w:val="0"/>
    <w:pPr>
      <w:spacing w:line="200" w:lineRule="exact"/>
      <w:ind w:firstLine="301"/>
    </w:pPr>
    <w:rPr>
      <w:rFonts w:ascii="宋体" w:hAnsi="Courier New"/>
      <w:spacing w:val="-4"/>
      <w:sz w:val="18"/>
      <w:szCs w:val="20"/>
    </w:rPr>
  </w:style>
  <w:style w:type="paragraph" w:styleId="12">
    <w:name w:val="Plain Text"/>
    <w:basedOn w:val="1"/>
    <w:link w:val="43"/>
    <w:semiHidden/>
    <w:unhideWhenUsed/>
    <w:qFormat/>
    <w:uiPriority w:val="0"/>
    <w:rPr>
      <w:rFonts w:hAnsi="Courier New" w:cs="Courier New" w:asciiTheme="minorEastAsia" w:eastAsiaTheme="minorEastAsia"/>
    </w:rPr>
  </w:style>
  <w:style w:type="paragraph" w:styleId="13">
    <w:name w:val="footer"/>
    <w:basedOn w:val="1"/>
    <w:link w:val="39"/>
    <w:unhideWhenUsed/>
    <w:qFormat/>
    <w:uiPriority w:val="99"/>
    <w:pPr>
      <w:tabs>
        <w:tab w:val="center" w:pos="4153"/>
        <w:tab w:val="right" w:pos="8306"/>
      </w:tabs>
      <w:snapToGrid w:val="0"/>
      <w:jc w:val="left"/>
    </w:pPr>
    <w:rPr>
      <w:sz w:val="18"/>
      <w:szCs w:val="18"/>
    </w:rPr>
  </w:style>
  <w:style w:type="paragraph" w:styleId="14">
    <w:name w:val="header"/>
    <w:basedOn w:val="1"/>
    <w:link w:val="38"/>
    <w:unhideWhenUsed/>
    <w:qFormat/>
    <w:uiPriority w:val="0"/>
    <w:pPr>
      <w:pBdr>
        <w:bottom w:val="single" w:color="auto" w:sz="6" w:space="1"/>
      </w:pBdr>
      <w:tabs>
        <w:tab w:val="center" w:pos="4153"/>
        <w:tab w:val="right" w:pos="8306"/>
      </w:tabs>
      <w:snapToGrid w:val="0"/>
      <w:jc w:val="center"/>
    </w:pPr>
    <w:rPr>
      <w:sz w:val="18"/>
      <w:szCs w:val="18"/>
    </w:rPr>
  </w:style>
  <w:style w:type="paragraph" w:styleId="15">
    <w:name w:val="toc 1"/>
    <w:basedOn w:val="1"/>
    <w:next w:val="1"/>
    <w:semiHidden/>
    <w:unhideWhenUsed/>
    <w:qFormat/>
    <w:uiPriority w:val="39"/>
    <w:pPr>
      <w:keepNext/>
      <w:keepLines/>
      <w:tabs>
        <w:tab w:val="right" w:leader="dot" w:pos="9240"/>
      </w:tabs>
      <w:spacing w:line="360" w:lineRule="auto"/>
    </w:pPr>
    <w:rPr>
      <w:rFonts w:eastAsia="PMingLiU"/>
      <w:sz w:val="28"/>
      <w:szCs w:val="28"/>
      <w:lang w:eastAsia="zh-TW"/>
    </w:rPr>
  </w:style>
  <w:style w:type="paragraph" w:styleId="16">
    <w:name w:val="Subtitle"/>
    <w:basedOn w:val="1"/>
    <w:next w:val="1"/>
    <w:link w:val="49"/>
    <w:qFormat/>
    <w:uiPriority w:val="0"/>
    <w:pPr>
      <w:pageBreakBefore/>
      <w:spacing w:before="240" w:after="60" w:line="312" w:lineRule="auto"/>
      <w:jc w:val="center"/>
      <w:outlineLvl w:val="0"/>
    </w:pPr>
    <w:rPr>
      <w:rFonts w:ascii="Cambria" w:hAnsi="Cambria"/>
      <w:b/>
      <w:bCs/>
      <w:kern w:val="28"/>
      <w:sz w:val="32"/>
      <w:szCs w:val="32"/>
    </w:rPr>
  </w:style>
  <w:style w:type="paragraph" w:styleId="17">
    <w:name w:val="Body Text Indent 3"/>
    <w:basedOn w:val="1"/>
    <w:qFormat/>
    <w:uiPriority w:val="0"/>
    <w:pPr>
      <w:snapToGrid w:val="0"/>
      <w:ind w:firstLine="480" w:firstLineChars="200"/>
      <w:jc w:val="left"/>
    </w:pPr>
    <w:rPr>
      <w:rFonts w:ascii="仿宋_GB2312" w:hAnsi="宋体" w:eastAsia="仿宋_GB2312"/>
      <w:color w:val="000000"/>
      <w:sz w:val="24"/>
    </w:rPr>
  </w:style>
  <w:style w:type="paragraph" w:styleId="18">
    <w:name w:val="toc 2"/>
    <w:basedOn w:val="1"/>
    <w:next w:val="1"/>
    <w:semiHidden/>
    <w:unhideWhenUsed/>
    <w:qFormat/>
    <w:uiPriority w:val="39"/>
    <w:pPr>
      <w:tabs>
        <w:tab w:val="right" w:leader="middleDot" w:pos="8789"/>
      </w:tabs>
      <w:spacing w:after="60"/>
      <w:ind w:left="420" w:leftChars="200"/>
    </w:pPr>
  </w:style>
  <w:style w:type="paragraph" w:styleId="19">
    <w:name w:val="Normal (Web)"/>
    <w:basedOn w:val="1"/>
    <w:semiHidden/>
    <w:unhideWhenUsed/>
    <w:qFormat/>
    <w:uiPriority w:val="0"/>
    <w:pPr>
      <w:spacing w:before="100" w:beforeAutospacing="1" w:after="100" w:afterAutospacing="1"/>
      <w:jc w:val="left"/>
    </w:pPr>
    <w:rPr>
      <w:kern w:val="0"/>
      <w:sz w:val="24"/>
    </w:rPr>
  </w:style>
  <w:style w:type="paragraph" w:styleId="20">
    <w:name w:val="Title"/>
    <w:basedOn w:val="1"/>
    <w:next w:val="1"/>
    <w:link w:val="46"/>
    <w:qFormat/>
    <w:uiPriority w:val="0"/>
    <w:pPr>
      <w:spacing w:before="240" w:after="60"/>
      <w:jc w:val="center"/>
      <w:outlineLvl w:val="0"/>
    </w:pPr>
    <w:rPr>
      <w:rFonts w:ascii="Cambria" w:hAnsi="Cambria"/>
      <w:b/>
      <w:bCs/>
      <w:sz w:val="32"/>
      <w:szCs w:val="32"/>
    </w:rPr>
  </w:style>
  <w:style w:type="paragraph" w:styleId="21">
    <w:name w:val="Body Text First Indent"/>
    <w:basedOn w:val="9"/>
    <w:qFormat/>
    <w:uiPriority w:val="0"/>
    <w:pPr>
      <w:autoSpaceDE w:val="0"/>
      <w:autoSpaceDN w:val="0"/>
      <w:adjustRightInd w:val="0"/>
      <w:spacing w:after="0"/>
      <w:jc w:val="left"/>
    </w:pPr>
    <w:rPr>
      <w:rFonts w:ascii="Times New Roman" w:hAnsi="Times New Roman" w:eastAsia="宋体" w:cs="Times New Roman"/>
      <w:kern w:val="0"/>
      <w:szCs w:val="20"/>
    </w:rPr>
  </w:style>
  <w:style w:type="paragraph" w:styleId="22">
    <w:name w:val="Body Text First Indent 2"/>
    <w:basedOn w:val="11"/>
    <w:link w:val="50"/>
    <w:semiHidden/>
    <w:unhideWhenUsed/>
    <w:qFormat/>
    <w:uiPriority w:val="0"/>
    <w:pPr>
      <w:ind w:firstLine="420" w:firstLineChars="200"/>
    </w:pPr>
  </w:style>
  <w:style w:type="table" w:styleId="24">
    <w:name w:val="Table Grid"/>
    <w:basedOn w:val="23"/>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6">
    <w:name w:val="FollowedHyperlink"/>
    <w:semiHidden/>
    <w:unhideWhenUsed/>
    <w:qFormat/>
    <w:uiPriority w:val="0"/>
    <w:rPr>
      <w:color w:val="333333"/>
      <w:u w:val="none"/>
    </w:rPr>
  </w:style>
  <w:style w:type="character" w:styleId="27">
    <w:name w:val="Emphasis"/>
    <w:qFormat/>
    <w:uiPriority w:val="0"/>
  </w:style>
  <w:style w:type="character" w:styleId="28">
    <w:name w:val="HTML Definition"/>
    <w:semiHidden/>
    <w:unhideWhenUsed/>
    <w:qFormat/>
    <w:uiPriority w:val="0"/>
  </w:style>
  <w:style w:type="character" w:styleId="29">
    <w:name w:val="HTML Variable"/>
    <w:semiHidden/>
    <w:unhideWhenUsed/>
    <w:qFormat/>
    <w:uiPriority w:val="0"/>
  </w:style>
  <w:style w:type="character" w:styleId="30">
    <w:name w:val="Hyperlink"/>
    <w:semiHidden/>
    <w:unhideWhenUsed/>
    <w:qFormat/>
    <w:uiPriority w:val="99"/>
    <w:rPr>
      <w:color w:val="333333"/>
      <w:u w:val="none"/>
    </w:rPr>
  </w:style>
  <w:style w:type="character" w:styleId="31">
    <w:name w:val="HTML Code"/>
    <w:semiHidden/>
    <w:unhideWhenUsed/>
    <w:qFormat/>
    <w:uiPriority w:val="0"/>
    <w:rPr>
      <w:rFonts w:hint="default" w:ascii="Times New Roman" w:hAnsi="Times New Roman" w:eastAsia="Times New Roman" w:cs="Times New Roman"/>
      <w:sz w:val="21"/>
      <w:szCs w:val="21"/>
    </w:rPr>
  </w:style>
  <w:style w:type="character" w:styleId="32">
    <w:name w:val="HTML Cite"/>
    <w:semiHidden/>
    <w:unhideWhenUsed/>
    <w:qFormat/>
    <w:uiPriority w:val="0"/>
  </w:style>
  <w:style w:type="character" w:styleId="33">
    <w:name w:val="HTML Keyboard"/>
    <w:semiHidden/>
    <w:unhideWhenUsed/>
    <w:qFormat/>
    <w:uiPriority w:val="0"/>
    <w:rPr>
      <w:rFonts w:hint="default" w:ascii="Times New Roman" w:hAnsi="Times New Roman" w:eastAsia="Times New Roman" w:cs="Times New Roman"/>
      <w:sz w:val="21"/>
      <w:szCs w:val="21"/>
    </w:rPr>
  </w:style>
  <w:style w:type="character" w:styleId="34">
    <w:name w:val="HTML Sample"/>
    <w:semiHidden/>
    <w:unhideWhenUsed/>
    <w:qFormat/>
    <w:uiPriority w:val="0"/>
    <w:rPr>
      <w:rFonts w:hint="default" w:ascii="Times New Roman" w:hAnsi="Times New Roman" w:eastAsia="Times New Roman" w:cs="Times New Roman"/>
      <w:sz w:val="21"/>
      <w:szCs w:val="21"/>
    </w:rPr>
  </w:style>
  <w:style w:type="paragraph" w:customStyle="1" w:styleId="35">
    <w:name w:val="Default"/>
    <w:qFormat/>
    <w:uiPriority w:val="0"/>
    <w:pPr>
      <w:widowControl w:val="0"/>
      <w:autoSpaceDE w:val="0"/>
      <w:autoSpaceDN w:val="0"/>
      <w:adjustRightInd w:val="0"/>
    </w:pPr>
    <w:rPr>
      <w:rFonts w:ascii="黑体" w:hAnsi="Times New Roman" w:eastAsia="黑体" w:cs="Times New Roman"/>
      <w:color w:val="000000"/>
      <w:sz w:val="24"/>
      <w:szCs w:val="24"/>
      <w:lang w:val="en-US" w:eastAsia="zh-CN" w:bidi="ar-SA"/>
    </w:rPr>
  </w:style>
  <w:style w:type="paragraph" w:customStyle="1" w:styleId="36">
    <w:name w:val="表格文字"/>
    <w:basedOn w:val="1"/>
    <w:next w:val="9"/>
    <w:qFormat/>
    <w:uiPriority w:val="0"/>
    <w:pPr>
      <w:adjustRightInd w:val="0"/>
      <w:spacing w:line="420" w:lineRule="atLeast"/>
      <w:jc w:val="left"/>
    </w:pPr>
    <w:rPr>
      <w:kern w:val="0"/>
    </w:rPr>
  </w:style>
  <w:style w:type="paragraph" w:styleId="37">
    <w:name w:val="List Paragraph"/>
    <w:basedOn w:val="1"/>
    <w:qFormat/>
    <w:uiPriority w:val="34"/>
    <w:pPr>
      <w:ind w:firstLine="420" w:firstLineChars="200"/>
    </w:pPr>
  </w:style>
  <w:style w:type="character" w:customStyle="1" w:styleId="38">
    <w:name w:val="页眉 字符"/>
    <w:basedOn w:val="25"/>
    <w:link w:val="14"/>
    <w:qFormat/>
    <w:uiPriority w:val="0"/>
    <w:rPr>
      <w:sz w:val="18"/>
      <w:szCs w:val="18"/>
    </w:rPr>
  </w:style>
  <w:style w:type="character" w:customStyle="1" w:styleId="39">
    <w:name w:val="页脚 字符"/>
    <w:basedOn w:val="25"/>
    <w:link w:val="13"/>
    <w:qFormat/>
    <w:uiPriority w:val="99"/>
    <w:rPr>
      <w:sz w:val="18"/>
      <w:szCs w:val="18"/>
    </w:rPr>
  </w:style>
  <w:style w:type="character" w:customStyle="1" w:styleId="40">
    <w:name w:val="标题 1 字符"/>
    <w:basedOn w:val="25"/>
    <w:link w:val="3"/>
    <w:qFormat/>
    <w:uiPriority w:val="0"/>
    <w:rPr>
      <w:rFonts w:ascii="Calibri" w:hAnsi="Calibri" w:eastAsia="宋体" w:cs="Times New Roman"/>
      <w:b/>
      <w:bCs/>
      <w:i/>
      <w:iCs/>
      <w:sz w:val="52"/>
      <w:szCs w:val="20"/>
    </w:rPr>
  </w:style>
  <w:style w:type="character" w:customStyle="1" w:styleId="41">
    <w:name w:val="标题 2 字符"/>
    <w:basedOn w:val="25"/>
    <w:link w:val="4"/>
    <w:semiHidden/>
    <w:qFormat/>
    <w:uiPriority w:val="0"/>
    <w:rPr>
      <w:rFonts w:ascii="Arial" w:hAnsi="Arial" w:eastAsia="黑体" w:cs="Times New Roman"/>
      <w:b/>
      <w:bCs/>
      <w:sz w:val="32"/>
      <w:szCs w:val="32"/>
    </w:rPr>
  </w:style>
  <w:style w:type="character" w:customStyle="1" w:styleId="42">
    <w:name w:val="标题 4 字符"/>
    <w:basedOn w:val="25"/>
    <w:link w:val="5"/>
    <w:semiHidden/>
    <w:qFormat/>
    <w:uiPriority w:val="0"/>
    <w:rPr>
      <w:rFonts w:ascii="Arial" w:hAnsi="Arial" w:eastAsia="宋体" w:cs="Times New Roman"/>
      <w:b/>
      <w:szCs w:val="24"/>
    </w:rPr>
  </w:style>
  <w:style w:type="character" w:customStyle="1" w:styleId="43">
    <w:name w:val="纯文本 字符"/>
    <w:basedOn w:val="25"/>
    <w:link w:val="12"/>
    <w:semiHidden/>
    <w:qFormat/>
    <w:uiPriority w:val="0"/>
    <w:rPr>
      <w:rFonts w:hAnsi="Courier New" w:cs="Courier New" w:asciiTheme="minorEastAsia"/>
      <w:szCs w:val="24"/>
    </w:rPr>
  </w:style>
  <w:style w:type="paragraph" w:customStyle="1" w:styleId="44">
    <w:name w:val="msonormal"/>
    <w:basedOn w:val="1"/>
    <w:qFormat/>
    <w:uiPriority w:val="0"/>
    <w:pPr>
      <w:spacing w:before="100" w:beforeAutospacing="1" w:after="100" w:afterAutospacing="1"/>
      <w:jc w:val="left"/>
    </w:pPr>
    <w:rPr>
      <w:kern w:val="0"/>
      <w:sz w:val="24"/>
    </w:rPr>
  </w:style>
  <w:style w:type="character" w:customStyle="1" w:styleId="45">
    <w:name w:val="批注文字 字符"/>
    <w:basedOn w:val="25"/>
    <w:link w:val="8"/>
    <w:semiHidden/>
    <w:qFormat/>
    <w:uiPriority w:val="0"/>
    <w:rPr>
      <w:rFonts w:ascii="Calibri" w:hAnsi="Calibri" w:eastAsia="宋体" w:cs="Times New Roman"/>
      <w:szCs w:val="24"/>
    </w:rPr>
  </w:style>
  <w:style w:type="character" w:customStyle="1" w:styleId="46">
    <w:name w:val="标题 字符"/>
    <w:basedOn w:val="25"/>
    <w:link w:val="20"/>
    <w:qFormat/>
    <w:uiPriority w:val="0"/>
    <w:rPr>
      <w:rFonts w:ascii="Cambria" w:hAnsi="Cambria" w:eastAsia="宋体" w:cs="Times New Roman"/>
      <w:b/>
      <w:bCs/>
      <w:sz w:val="32"/>
      <w:szCs w:val="32"/>
    </w:rPr>
  </w:style>
  <w:style w:type="character" w:customStyle="1" w:styleId="47">
    <w:name w:val="正文文本 字符"/>
    <w:basedOn w:val="25"/>
    <w:link w:val="9"/>
    <w:semiHidden/>
    <w:qFormat/>
    <w:uiPriority w:val="0"/>
    <w:rPr>
      <w:rFonts w:ascii="Calibri" w:hAnsi="Calibri" w:eastAsia="宋体" w:cs="Times New Roman"/>
      <w:sz w:val="28"/>
      <w:szCs w:val="24"/>
    </w:rPr>
  </w:style>
  <w:style w:type="character" w:customStyle="1" w:styleId="48">
    <w:name w:val="正文文本缩进 字符"/>
    <w:basedOn w:val="25"/>
    <w:link w:val="11"/>
    <w:semiHidden/>
    <w:qFormat/>
    <w:uiPriority w:val="0"/>
    <w:rPr>
      <w:rFonts w:ascii="宋体" w:hAnsi="Courier New" w:eastAsia="宋体" w:cs="Times New Roman"/>
      <w:spacing w:val="-4"/>
      <w:sz w:val="18"/>
      <w:szCs w:val="20"/>
    </w:rPr>
  </w:style>
  <w:style w:type="character" w:customStyle="1" w:styleId="49">
    <w:name w:val="副标题 字符"/>
    <w:basedOn w:val="25"/>
    <w:link w:val="16"/>
    <w:qFormat/>
    <w:uiPriority w:val="0"/>
    <w:rPr>
      <w:rFonts w:ascii="Cambria" w:hAnsi="Cambria" w:eastAsia="宋体" w:cs="Times New Roman"/>
      <w:b/>
      <w:bCs/>
      <w:kern w:val="28"/>
      <w:sz w:val="32"/>
      <w:szCs w:val="32"/>
    </w:rPr>
  </w:style>
  <w:style w:type="character" w:customStyle="1" w:styleId="50">
    <w:name w:val="正文文本首行缩进 2 字符"/>
    <w:basedOn w:val="48"/>
    <w:link w:val="22"/>
    <w:semiHidden/>
    <w:qFormat/>
    <w:uiPriority w:val="0"/>
    <w:rPr>
      <w:rFonts w:ascii="宋体" w:hAnsi="Courier New" w:eastAsia="宋体" w:cs="Times New Roman"/>
      <w:spacing w:val="-4"/>
      <w:sz w:val="18"/>
      <w:szCs w:val="20"/>
    </w:rPr>
  </w:style>
  <w:style w:type="paragraph" w:customStyle="1" w:styleId="51">
    <w:name w:val="Header or footer|2"/>
    <w:basedOn w:val="1"/>
    <w:qFormat/>
    <w:uiPriority w:val="0"/>
    <w:rPr>
      <w:sz w:val="20"/>
      <w:szCs w:val="20"/>
      <w:lang w:val="zh-TW" w:eastAsia="zh-TW" w:bidi="zh-TW"/>
    </w:rPr>
  </w:style>
  <w:style w:type="paragraph" w:customStyle="1" w:styleId="52">
    <w:name w:val="二级标题"/>
    <w:basedOn w:val="12"/>
    <w:qFormat/>
    <w:uiPriority w:val="0"/>
    <w:pPr>
      <w:snapToGrid w:val="0"/>
      <w:spacing w:beforeLines="50"/>
      <w:ind w:firstLine="422"/>
      <w:outlineLvl w:val="1"/>
    </w:pPr>
    <w:rPr>
      <w:rFonts w:ascii="宋体" w:hAnsi="宋体" w:eastAsia="宋体" w:cs="Times New Roman"/>
      <w:b/>
      <w:szCs w:val="21"/>
    </w:rPr>
  </w:style>
  <w:style w:type="paragraph" w:customStyle="1" w:styleId="53">
    <w:name w:val="正文1"/>
    <w:basedOn w:val="1"/>
    <w:qFormat/>
    <w:uiPriority w:val="0"/>
    <w:pPr>
      <w:snapToGrid w:val="0"/>
      <w:spacing w:line="360" w:lineRule="auto"/>
      <w:ind w:firstLine="420"/>
      <w:jc w:val="left"/>
    </w:pPr>
    <w:rPr>
      <w:rFonts w:ascii="宋体" w:hAnsi="宋体"/>
      <w:color w:val="000000"/>
      <w:szCs w:val="21"/>
    </w:rPr>
  </w:style>
  <w:style w:type="paragraph" w:customStyle="1" w:styleId="54">
    <w:name w:val="三级标题"/>
    <w:basedOn w:val="1"/>
    <w:qFormat/>
    <w:uiPriority w:val="0"/>
    <w:pPr>
      <w:snapToGrid w:val="0"/>
      <w:spacing w:beforeLines="50"/>
      <w:jc w:val="left"/>
      <w:outlineLvl w:val="2"/>
    </w:pPr>
    <w:rPr>
      <w:rFonts w:ascii="宋体" w:hAnsi="宋体"/>
      <w:b/>
      <w:color w:val="000000"/>
      <w:szCs w:val="21"/>
    </w:rPr>
  </w:style>
  <w:style w:type="paragraph" w:customStyle="1" w:styleId="55">
    <w:name w:val="Body text|1"/>
    <w:basedOn w:val="1"/>
    <w:qFormat/>
    <w:uiPriority w:val="0"/>
    <w:pPr>
      <w:spacing w:line="480" w:lineRule="auto"/>
      <w:ind w:firstLine="400"/>
    </w:pPr>
    <w:rPr>
      <w:rFonts w:ascii="宋体" w:hAnsi="宋体" w:cs="宋体"/>
      <w:sz w:val="26"/>
      <w:szCs w:val="26"/>
      <w:lang w:val="zh-TW" w:eastAsia="zh-TW" w:bidi="zh-TW"/>
    </w:rPr>
  </w:style>
  <w:style w:type="paragraph" w:customStyle="1" w:styleId="56">
    <w:name w:val="xl29"/>
    <w:basedOn w:val="1"/>
    <w:qFormat/>
    <w:uiPriority w:val="0"/>
    <w:pPr>
      <w:widowControl/>
      <w:spacing w:before="100" w:beforeAutospacing="1" w:after="100" w:afterAutospacing="1"/>
      <w:jc w:val="center"/>
    </w:pPr>
    <w:rPr>
      <w:rFonts w:ascii="宋体" w:hAnsi="宋体"/>
      <w:kern w:val="0"/>
      <w:sz w:val="28"/>
      <w:szCs w:val="28"/>
    </w:rPr>
  </w:style>
  <w:style w:type="paragraph" w:customStyle="1" w:styleId="57">
    <w:name w:val="Char"/>
    <w:basedOn w:val="1"/>
    <w:qFormat/>
    <w:uiPriority w:val="0"/>
    <w:rPr>
      <w:szCs w:val="22"/>
    </w:rPr>
  </w:style>
  <w:style w:type="paragraph" w:customStyle="1" w:styleId="58">
    <w:name w:val="样式3"/>
    <w:basedOn w:val="12"/>
    <w:next w:val="1"/>
    <w:qFormat/>
    <w:uiPriority w:val="0"/>
    <w:pPr>
      <w:tabs>
        <w:tab w:val="left" w:pos="709"/>
      </w:tabs>
      <w:spacing w:beforeLines="50" w:afterLines="50"/>
      <w:ind w:left="709" w:hanging="709"/>
    </w:pPr>
    <w:rPr>
      <w:rFonts w:ascii="Tahoma" w:hAnsi="Tahoma" w:eastAsia="宋体" w:cs="Times New Roman"/>
      <w:sz w:val="28"/>
    </w:rPr>
  </w:style>
  <w:style w:type="paragraph" w:customStyle="1" w:styleId="59">
    <w:name w:val="TOC 标题2"/>
    <w:basedOn w:val="3"/>
    <w:next w:val="1"/>
    <w:qFormat/>
    <w:uiPriority w:val="39"/>
    <w:pPr>
      <w:keepLines/>
      <w:widowControl/>
      <w:spacing w:before="240" w:line="256" w:lineRule="auto"/>
      <w:ind w:firstLine="0"/>
      <w:jc w:val="left"/>
      <w:outlineLvl w:val="9"/>
    </w:pPr>
    <w:rPr>
      <w:rFonts w:ascii="Calibri Light" w:hAnsi="Calibri Light"/>
      <w:b w:val="0"/>
      <w:bCs w:val="0"/>
      <w:i w:val="0"/>
      <w:iCs w:val="0"/>
      <w:color w:val="2E75B5"/>
      <w:kern w:val="0"/>
      <w:sz w:val="32"/>
      <w:szCs w:val="32"/>
    </w:rPr>
  </w:style>
  <w:style w:type="paragraph" w:customStyle="1" w:styleId="60">
    <w:name w:val="Other|1"/>
    <w:basedOn w:val="1"/>
    <w:qFormat/>
    <w:uiPriority w:val="0"/>
    <w:pPr>
      <w:spacing w:line="480" w:lineRule="auto"/>
      <w:ind w:firstLine="400"/>
    </w:pPr>
    <w:rPr>
      <w:rFonts w:ascii="宋体" w:hAnsi="宋体" w:cs="宋体"/>
      <w:sz w:val="26"/>
      <w:szCs w:val="26"/>
      <w:lang w:val="zh-TW" w:eastAsia="zh-TW" w:bidi="zh-TW"/>
    </w:rPr>
  </w:style>
  <w:style w:type="paragraph" w:customStyle="1" w:styleId="61">
    <w:name w:val="5号20磅首行2"/>
    <w:basedOn w:val="1"/>
    <w:qFormat/>
    <w:uiPriority w:val="0"/>
    <w:pPr>
      <w:spacing w:line="400" w:lineRule="exact"/>
      <w:ind w:firstLine="420"/>
    </w:pPr>
    <w:rPr>
      <w:rFonts w:ascii="宋体" w:hAnsi="宋体"/>
      <w:szCs w:val="21"/>
    </w:rPr>
  </w:style>
  <w:style w:type="paragraph" w:customStyle="1" w:styleId="62">
    <w:name w:val="普通(网站)1"/>
    <w:basedOn w:val="1"/>
    <w:qFormat/>
    <w:uiPriority w:val="0"/>
    <w:pPr>
      <w:widowControl/>
      <w:spacing w:before="100" w:beforeAutospacing="1" w:after="100" w:afterAutospacing="1"/>
      <w:jc w:val="left"/>
    </w:pPr>
    <w:rPr>
      <w:rFonts w:ascii="宋体" w:hAnsi="宋体"/>
      <w:kern w:val="0"/>
      <w:sz w:val="24"/>
    </w:rPr>
  </w:style>
  <w:style w:type="paragraph" w:customStyle="1" w:styleId="63">
    <w:name w:val="lemmawgt-lemmatitle-title"/>
    <w:basedOn w:val="1"/>
    <w:qFormat/>
    <w:uiPriority w:val="0"/>
    <w:pPr>
      <w:spacing w:after="75" w:line="585" w:lineRule="atLeast"/>
      <w:jc w:val="left"/>
    </w:pPr>
    <w:rPr>
      <w:kern w:val="0"/>
    </w:rPr>
  </w:style>
  <w:style w:type="paragraph" w:customStyle="1" w:styleId="64">
    <w:name w:val="Table Paragraph"/>
    <w:basedOn w:val="1"/>
    <w:qFormat/>
    <w:uiPriority w:val="1"/>
  </w:style>
  <w:style w:type="paragraph" w:customStyle="1" w:styleId="65">
    <w:name w:val="Basistekst Batenburg"/>
    <w:basedOn w:val="66"/>
    <w:qFormat/>
    <w:uiPriority w:val="0"/>
  </w:style>
  <w:style w:type="paragraph" w:customStyle="1" w:styleId="66">
    <w:name w:val="Zsysbasis Batenburg"/>
    <w:next w:val="65"/>
    <w:qFormat/>
    <w:uiPriority w:val="0"/>
    <w:pPr>
      <w:spacing w:line="300" w:lineRule="atLeast"/>
    </w:pPr>
    <w:rPr>
      <w:rFonts w:ascii="Times New Roman" w:hAnsi="Times New Roman" w:eastAsia="宋体" w:cs="Times New Roman"/>
      <w:sz w:val="22"/>
      <w:szCs w:val="18"/>
      <w:lang w:val="en-US" w:eastAsia="zh-CN" w:bidi="ar-SA"/>
    </w:rPr>
  </w:style>
  <w:style w:type="paragraph" w:customStyle="1" w:styleId="67">
    <w:name w:val="章正文"/>
    <w:basedOn w:val="1"/>
    <w:qFormat/>
    <w:uiPriority w:val="0"/>
    <w:pPr>
      <w:spacing w:beforeLines="50" w:after="120" w:line="300" w:lineRule="auto"/>
      <w:ind w:firstLine="480"/>
    </w:pPr>
    <w:rPr>
      <w:rFonts w:ascii="Helvetica" w:hAnsi="Helvetica"/>
      <w:kern w:val="0"/>
      <w:sz w:val="24"/>
    </w:rPr>
  </w:style>
  <w:style w:type="character" w:customStyle="1" w:styleId="68">
    <w:name w:val="c-icon28"/>
    <w:qFormat/>
    <w:uiPriority w:val="0"/>
  </w:style>
  <w:style w:type="character" w:customStyle="1" w:styleId="69">
    <w:name w:val="hover25"/>
    <w:qFormat/>
    <w:uiPriority w:val="0"/>
    <w:rPr>
      <w:color w:val="315EFB"/>
    </w:rPr>
  </w:style>
  <w:style w:type="character" w:customStyle="1" w:styleId="70">
    <w:name w:val="hzqfin"/>
    <w:qFormat/>
    <w:uiPriority w:val="0"/>
  </w:style>
  <w:style w:type="character" w:customStyle="1" w:styleId="71">
    <w:name w:val="gcjlrr3"/>
    <w:qFormat/>
    <w:uiPriority w:val="0"/>
  </w:style>
  <w:style w:type="character" w:customStyle="1" w:styleId="72">
    <w:name w:val="c-icon30"/>
    <w:qFormat/>
    <w:uiPriority w:val="0"/>
  </w:style>
  <w:style w:type="character" w:customStyle="1" w:styleId="73">
    <w:name w:val="bsharetext"/>
    <w:qFormat/>
    <w:uiPriority w:val="0"/>
  </w:style>
  <w:style w:type="character" w:customStyle="1" w:styleId="74">
    <w:name w:val="hover24"/>
    <w:qFormat/>
    <w:uiPriority w:val="0"/>
    <w:rPr>
      <w:color w:val="315EFB"/>
    </w:rPr>
  </w:style>
  <w:style w:type="character" w:customStyle="1" w:styleId="75">
    <w:name w:val="hover23"/>
    <w:qFormat/>
    <w:uiPriority w:val="0"/>
  </w:style>
  <w:style w:type="character" w:customStyle="1" w:styleId="76">
    <w:name w:val="c-icon"/>
    <w:qFormat/>
    <w:uiPriority w:val="0"/>
  </w:style>
  <w:style w:type="character" w:customStyle="1" w:styleId="77">
    <w:name w:val="hover26"/>
    <w:qFormat/>
    <w:uiPriority w:val="0"/>
  </w:style>
  <w:style w:type="character" w:customStyle="1" w:styleId="78">
    <w:name w:val="fontstrikethrough"/>
    <w:qFormat/>
    <w:uiPriority w:val="0"/>
    <w:rPr>
      <w:strike/>
    </w:rPr>
  </w:style>
  <w:style w:type="character" w:customStyle="1" w:styleId="79">
    <w:name w:val="fontborder"/>
    <w:qFormat/>
    <w:uiPriority w:val="0"/>
    <w:rPr>
      <w:bdr w:val="single" w:color="000000" w:sz="6" w:space="0"/>
    </w:rPr>
  </w:style>
  <w:style w:type="character" w:customStyle="1" w:styleId="80">
    <w:name w:val="hover27"/>
    <w:qFormat/>
    <w:uiPriority w:val="0"/>
    <w:rPr>
      <w:color w:val="315EFB"/>
    </w:rPr>
  </w:style>
  <w:style w:type="character" w:customStyle="1" w:styleId="81">
    <w:name w:val="lemmawgt-lemmatitle-title1"/>
    <w:qFormat/>
    <w:uiPriority w:val="0"/>
  </w:style>
  <w:style w:type="character" w:customStyle="1" w:styleId="82">
    <w:name w:val="wechat_switch"/>
    <w:qFormat/>
    <w:uiPriority w:val="0"/>
  </w:style>
  <w:style w:type="character" w:customStyle="1" w:styleId="83">
    <w:name w:val="font51"/>
    <w:basedOn w:val="25"/>
    <w:qFormat/>
    <w:uiPriority w:val="0"/>
    <w:rPr>
      <w:rFonts w:ascii="Arial" w:hAnsi="Arial" w:cs="Arial"/>
      <w:color w:val="000000"/>
      <w:sz w:val="20"/>
      <w:szCs w:val="20"/>
      <w:u w:val="none"/>
    </w:rPr>
  </w:style>
  <w:style w:type="character" w:customStyle="1" w:styleId="84">
    <w:name w:val="font21"/>
    <w:basedOn w:val="25"/>
    <w:qFormat/>
    <w:uiPriority w:val="0"/>
    <w:rPr>
      <w:rFonts w:hint="eastAsia" w:ascii="宋体" w:hAnsi="宋体" w:eastAsia="宋体" w:cs="宋体"/>
      <w:color w:val="000000"/>
      <w:sz w:val="20"/>
      <w:szCs w:val="20"/>
      <w:u w:val="none"/>
    </w:rPr>
  </w:style>
  <w:style w:type="paragraph" w:customStyle="1" w:styleId="85">
    <w:name w:val="Body Text First Indent 21"/>
    <w:basedOn w:val="86"/>
    <w:qFormat/>
    <w:uiPriority w:val="99"/>
    <w:pPr>
      <w:ind w:firstLine="420"/>
    </w:pPr>
  </w:style>
  <w:style w:type="paragraph" w:customStyle="1" w:styleId="86">
    <w:name w:val="Body Text Indent1"/>
    <w:basedOn w:val="1"/>
    <w:qFormat/>
    <w:uiPriority w:val="99"/>
    <w:pPr>
      <w:ind w:left="420" w:leftChars="200"/>
    </w:pPr>
    <w:rPr>
      <w:rFonts w:ascii="Times New Roman" w:hAnsi="Times New Roman"/>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38</Pages>
  <Words>3884</Words>
  <Characters>22142</Characters>
  <Lines>184</Lines>
  <Paragraphs>51</Paragraphs>
  <TotalTime>88</TotalTime>
  <ScaleCrop>false</ScaleCrop>
  <LinksUpToDate>false</LinksUpToDate>
  <CharactersWithSpaces>25975</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2021-04-27T06:36:00Z</dcterms:created>
  <dc:creator>王 松全</dc:creator>
  <cp:lastModifiedBy>唐洁茹_浙江分公司</cp:lastModifiedBy>
  <dcterms:modified xsi:type="dcterms:W3CDTF">2022-01-27T03:59:17Z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E3D94AD9AAFD4D3E938DDDC7BE0D92F7</vt:lpwstr>
  </property>
</Properties>
</file>