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00" w:lineRule="atLeast"/>
        <w:jc w:val="center"/>
        <w:rPr>
          <w:rFonts w:ascii="Times New Roman" w:hAnsi="Times New Roman"/>
          <w:b/>
          <w:sz w:val="52"/>
        </w:rPr>
      </w:pPr>
    </w:p>
    <w:p>
      <w:pPr>
        <w:pStyle w:val="18"/>
        <w:spacing w:line="400" w:lineRule="atLeast"/>
        <w:jc w:val="center"/>
        <w:rPr>
          <w:rFonts w:ascii="Times New Roman" w:hAnsi="Times New Roman"/>
          <w:b/>
          <w:sz w:val="84"/>
        </w:rPr>
      </w:pPr>
    </w:p>
    <w:p>
      <w:pPr>
        <w:pStyle w:val="18"/>
        <w:spacing w:line="400" w:lineRule="atLeast"/>
        <w:jc w:val="center"/>
        <w:rPr>
          <w:rFonts w:ascii="Times New Roman" w:hAnsi="Times New Roman"/>
          <w:b/>
          <w:sz w:val="84"/>
        </w:rPr>
      </w:pPr>
      <w:r>
        <w:rPr>
          <w:rFonts w:ascii="Times New Roman" w:hAnsi="Times New Roman"/>
          <w:b/>
          <w:sz w:val="84"/>
        </w:rPr>
        <w:t>招标文件</w:t>
      </w:r>
    </w:p>
    <w:p>
      <w:pPr>
        <w:pStyle w:val="18"/>
        <w:spacing w:line="400" w:lineRule="atLeast"/>
        <w:jc w:val="center"/>
        <w:rPr>
          <w:rFonts w:ascii="Times New Roman" w:hAnsi="Times New Roman"/>
          <w:b/>
          <w:sz w:val="52"/>
        </w:rPr>
      </w:pPr>
    </w:p>
    <w:p>
      <w:pPr>
        <w:pStyle w:val="18"/>
        <w:spacing w:line="400" w:lineRule="atLeast"/>
        <w:rPr>
          <w:rFonts w:ascii="Times New Roman" w:hAnsi="Times New Roman"/>
          <w:b/>
          <w:sz w:val="52"/>
        </w:rPr>
      </w:pPr>
    </w:p>
    <w:p>
      <w:pPr>
        <w:pStyle w:val="18"/>
        <w:spacing w:line="400" w:lineRule="atLeast"/>
        <w:rPr>
          <w:rFonts w:ascii="Times New Roman" w:hAnsi="Times New Roman"/>
          <w:b/>
          <w:sz w:val="52"/>
        </w:rPr>
      </w:pPr>
    </w:p>
    <w:p>
      <w:pPr>
        <w:pStyle w:val="18"/>
        <w:spacing w:line="400" w:lineRule="atLeast"/>
        <w:rPr>
          <w:rFonts w:ascii="Times New Roman" w:hAnsi="Times New Roman"/>
          <w:b/>
          <w:sz w:val="36"/>
        </w:rPr>
      </w:pPr>
      <w:r>
        <w:rPr>
          <w:rFonts w:ascii="Times New Roman" w:hAnsi="Times New Roman"/>
          <w:b/>
          <w:sz w:val="36"/>
        </w:rPr>
        <w:t>项目编号：</w:t>
      </w:r>
      <w:r>
        <w:rPr>
          <w:rFonts w:hint="eastAsia" w:ascii="Times New Roman" w:hAnsi="Times New Roman"/>
          <w:b/>
          <w:sz w:val="36"/>
        </w:rPr>
        <w:t>2021-XBZC-01046</w:t>
      </w:r>
    </w:p>
    <w:p>
      <w:pPr>
        <w:pStyle w:val="18"/>
        <w:spacing w:line="400" w:lineRule="atLeast"/>
        <w:rPr>
          <w:rFonts w:ascii="Times New Roman" w:hAnsi="Times New Roman"/>
          <w:b/>
          <w:sz w:val="36"/>
        </w:rPr>
      </w:pPr>
      <w:r>
        <w:rPr>
          <w:rFonts w:ascii="Times New Roman" w:hAnsi="Times New Roman"/>
          <w:b/>
          <w:sz w:val="36"/>
        </w:rPr>
        <w:t>项目名称：</w:t>
      </w:r>
      <w:r>
        <w:rPr>
          <w:rFonts w:hint="eastAsia" w:ascii="Times New Roman" w:hAnsi="Times New Roman"/>
          <w:b/>
          <w:sz w:val="36"/>
          <w:lang w:eastAsia="zh-CN"/>
        </w:rPr>
        <w:t>乌鲁木齐市血液中心</w:t>
      </w:r>
      <w:r>
        <w:rPr>
          <w:rFonts w:hint="eastAsia" w:ascii="Times New Roman" w:hAnsi="Times New Roman"/>
          <w:b/>
          <w:sz w:val="36"/>
        </w:rPr>
        <w:t>建设项目专用设备（中华骨髓库HLA实验室仪器设备采购）项目</w:t>
      </w:r>
    </w:p>
    <w:p>
      <w:pPr>
        <w:pStyle w:val="18"/>
        <w:spacing w:line="400" w:lineRule="atLeast"/>
        <w:rPr>
          <w:rFonts w:ascii="Times New Roman" w:hAnsi="Times New Roman"/>
          <w:b/>
          <w:sz w:val="36"/>
        </w:rPr>
      </w:pPr>
      <w:r>
        <w:rPr>
          <w:rFonts w:ascii="Times New Roman" w:hAnsi="Times New Roman"/>
          <w:b/>
          <w:sz w:val="36"/>
        </w:rPr>
        <w:t>委托单位：</w:t>
      </w:r>
      <w:r>
        <w:rPr>
          <w:rFonts w:hint="eastAsia" w:ascii="Times New Roman" w:hAnsi="Times New Roman"/>
          <w:b/>
          <w:sz w:val="36"/>
        </w:rPr>
        <w:t>乌鲁木齐市血液中心</w:t>
      </w:r>
    </w:p>
    <w:p>
      <w:pPr>
        <w:pStyle w:val="18"/>
        <w:spacing w:line="400" w:lineRule="atLeast"/>
        <w:rPr>
          <w:rFonts w:ascii="Times New Roman" w:hAnsi="Times New Roman"/>
          <w:b/>
          <w:sz w:val="36"/>
        </w:rPr>
      </w:pPr>
      <w:r>
        <w:rPr>
          <w:rFonts w:ascii="Times New Roman" w:hAnsi="Times New Roman"/>
          <w:b/>
          <w:sz w:val="36"/>
        </w:rPr>
        <w:t>采购代理：新疆西北招标有限公司</w:t>
      </w:r>
    </w:p>
    <w:p>
      <w:pPr>
        <w:spacing w:line="400" w:lineRule="atLeast"/>
        <w:jc w:val="center"/>
        <w:rPr>
          <w:b/>
          <w:sz w:val="36"/>
        </w:rPr>
      </w:pPr>
    </w:p>
    <w:p>
      <w:pPr>
        <w:spacing w:line="400" w:lineRule="atLeast"/>
        <w:jc w:val="center"/>
        <w:rPr>
          <w:b/>
          <w:sz w:val="36"/>
        </w:rPr>
      </w:pPr>
      <w:r>
        <w:rPr>
          <w:rFonts w:hint="eastAsia"/>
          <w:b/>
          <w:sz w:val="36"/>
        </w:rPr>
        <w:t>2021年</w:t>
      </w:r>
      <w:r>
        <w:rPr>
          <w:rFonts w:hint="eastAsia"/>
          <w:b/>
          <w:sz w:val="36"/>
          <w:lang w:val="en-US" w:eastAsia="zh-CN"/>
        </w:rPr>
        <w:t>6</w:t>
      </w:r>
      <w:r>
        <w:rPr>
          <w:b/>
          <w:sz w:val="36"/>
        </w:rPr>
        <w:t>月</w:t>
      </w:r>
    </w:p>
    <w:p>
      <w:pPr>
        <w:spacing w:line="400" w:lineRule="atLeast"/>
        <w:jc w:val="center"/>
        <w:rPr>
          <w:b/>
          <w:sz w:val="36"/>
        </w:rPr>
      </w:pPr>
    </w:p>
    <w:p>
      <w:pPr>
        <w:pStyle w:val="32"/>
        <w:ind w:firstLine="361"/>
        <w:rPr>
          <w:b/>
          <w:sz w:val="36"/>
        </w:rPr>
      </w:pPr>
    </w:p>
    <w:p>
      <w:pPr>
        <w:pStyle w:val="32"/>
        <w:ind w:firstLine="361"/>
        <w:rPr>
          <w:b/>
          <w:sz w:val="36"/>
        </w:rPr>
      </w:pPr>
    </w:p>
    <w:p>
      <w:pPr>
        <w:spacing w:line="400" w:lineRule="atLeast"/>
        <w:jc w:val="center"/>
        <w:rPr>
          <w:b/>
          <w:sz w:val="36"/>
        </w:rPr>
      </w:pPr>
      <w:r>
        <w:rPr>
          <w:b/>
          <w:sz w:val="36"/>
        </w:rPr>
        <w:t>目录</w:t>
      </w:r>
    </w:p>
    <w:p>
      <w:pPr>
        <w:pStyle w:val="24"/>
        <w:tabs>
          <w:tab w:val="right" w:leader="dot" w:pos="9747"/>
        </w:tabs>
        <w:rPr>
          <w:sz w:val="24"/>
          <w:szCs w:val="22"/>
        </w:rPr>
      </w:pPr>
      <w:r>
        <w:rPr>
          <w:b/>
          <w:sz w:val="24"/>
          <w:szCs w:val="24"/>
        </w:rPr>
        <w:fldChar w:fldCharType="begin"/>
      </w:r>
      <w:r>
        <w:rPr>
          <w:b/>
          <w:sz w:val="24"/>
          <w:szCs w:val="24"/>
        </w:rPr>
        <w:instrText xml:space="preserve"> TOC \o "1-2" \h \z \u </w:instrText>
      </w:r>
      <w:r>
        <w:rPr>
          <w:b/>
          <w:sz w:val="24"/>
          <w:szCs w:val="24"/>
        </w:rPr>
        <w:fldChar w:fldCharType="separate"/>
      </w:r>
      <w:r>
        <w:rPr>
          <w:sz w:val="24"/>
          <w:szCs w:val="22"/>
        </w:rPr>
        <w:fldChar w:fldCharType="begin"/>
      </w:r>
      <w:r>
        <w:rPr>
          <w:sz w:val="24"/>
          <w:szCs w:val="22"/>
        </w:rPr>
        <w:instrText xml:space="preserve"> HYPERLINK \l "_Toc30923" </w:instrText>
      </w:r>
      <w:r>
        <w:rPr>
          <w:sz w:val="24"/>
          <w:szCs w:val="22"/>
        </w:rPr>
        <w:fldChar w:fldCharType="separate"/>
      </w:r>
      <w:r>
        <w:rPr>
          <w:sz w:val="24"/>
          <w:szCs w:val="40"/>
        </w:rPr>
        <w:t>第一部分  投标</w:t>
      </w:r>
      <w:r>
        <w:rPr>
          <w:rFonts w:hint="eastAsia"/>
          <w:sz w:val="24"/>
          <w:szCs w:val="40"/>
        </w:rPr>
        <w:t>公告</w:t>
      </w:r>
      <w:r>
        <w:rPr>
          <w:sz w:val="24"/>
          <w:szCs w:val="22"/>
        </w:rPr>
        <w:tab/>
      </w:r>
      <w:r>
        <w:rPr>
          <w:sz w:val="24"/>
          <w:szCs w:val="22"/>
        </w:rPr>
        <w:fldChar w:fldCharType="begin"/>
      </w:r>
      <w:r>
        <w:rPr>
          <w:sz w:val="24"/>
          <w:szCs w:val="22"/>
        </w:rPr>
        <w:instrText xml:space="preserve"> PAGEREF _Toc30923 \h </w:instrText>
      </w:r>
      <w:r>
        <w:rPr>
          <w:sz w:val="24"/>
          <w:szCs w:val="22"/>
        </w:rPr>
        <w:fldChar w:fldCharType="separate"/>
      </w:r>
      <w:r>
        <w:rPr>
          <w:sz w:val="24"/>
          <w:szCs w:val="22"/>
        </w:rPr>
        <w:t>1</w:t>
      </w:r>
      <w:r>
        <w:rPr>
          <w:sz w:val="24"/>
          <w:szCs w:val="22"/>
        </w:rPr>
        <w:fldChar w:fldCharType="end"/>
      </w:r>
      <w:r>
        <w:rPr>
          <w:sz w:val="24"/>
          <w:szCs w:val="22"/>
        </w:rPr>
        <w:fldChar w:fldCharType="end"/>
      </w:r>
    </w:p>
    <w:p/>
    <w:p>
      <w:pPr>
        <w:pStyle w:val="24"/>
        <w:tabs>
          <w:tab w:val="right" w:leader="dot" w:pos="9747"/>
        </w:tabs>
        <w:rPr>
          <w:sz w:val="24"/>
          <w:szCs w:val="22"/>
        </w:rPr>
      </w:pPr>
      <w:r>
        <w:rPr>
          <w:sz w:val="24"/>
          <w:szCs w:val="22"/>
        </w:rPr>
        <w:fldChar w:fldCharType="begin"/>
      </w:r>
      <w:r>
        <w:rPr>
          <w:sz w:val="24"/>
          <w:szCs w:val="22"/>
        </w:rPr>
        <w:instrText xml:space="preserve"> HYPERLINK \l "_Toc19920" </w:instrText>
      </w:r>
      <w:r>
        <w:rPr>
          <w:sz w:val="24"/>
          <w:szCs w:val="22"/>
        </w:rPr>
        <w:fldChar w:fldCharType="separate"/>
      </w:r>
      <w:r>
        <w:rPr>
          <w:sz w:val="24"/>
          <w:szCs w:val="44"/>
        </w:rPr>
        <w:t>第二部分投标人须知</w:t>
      </w:r>
      <w:r>
        <w:rPr>
          <w:sz w:val="24"/>
          <w:szCs w:val="22"/>
        </w:rPr>
        <w:tab/>
      </w:r>
      <w:r>
        <w:rPr>
          <w:sz w:val="24"/>
          <w:szCs w:val="22"/>
        </w:rPr>
        <w:fldChar w:fldCharType="begin"/>
      </w:r>
      <w:r>
        <w:rPr>
          <w:sz w:val="24"/>
          <w:szCs w:val="22"/>
        </w:rPr>
        <w:instrText xml:space="preserve"> PAGEREF _Toc19920 \h </w:instrText>
      </w:r>
      <w:r>
        <w:rPr>
          <w:sz w:val="24"/>
          <w:szCs w:val="22"/>
        </w:rPr>
        <w:fldChar w:fldCharType="separate"/>
      </w:r>
      <w:r>
        <w:rPr>
          <w:sz w:val="24"/>
          <w:szCs w:val="22"/>
        </w:rPr>
        <w:t>4</w:t>
      </w:r>
      <w:r>
        <w:rPr>
          <w:sz w:val="24"/>
          <w:szCs w:val="22"/>
        </w:rPr>
        <w:fldChar w:fldCharType="end"/>
      </w:r>
      <w:r>
        <w:rPr>
          <w:sz w:val="24"/>
          <w:szCs w:val="22"/>
        </w:rPr>
        <w:fldChar w:fldCharType="end"/>
      </w:r>
    </w:p>
    <w:p/>
    <w:p>
      <w:pPr>
        <w:pStyle w:val="24"/>
        <w:tabs>
          <w:tab w:val="right" w:leader="dot" w:pos="9747"/>
        </w:tabs>
        <w:rPr>
          <w:sz w:val="24"/>
          <w:szCs w:val="22"/>
        </w:rPr>
      </w:pPr>
      <w:r>
        <w:rPr>
          <w:sz w:val="24"/>
          <w:szCs w:val="22"/>
        </w:rPr>
        <w:fldChar w:fldCharType="begin"/>
      </w:r>
      <w:r>
        <w:rPr>
          <w:sz w:val="24"/>
          <w:szCs w:val="22"/>
        </w:rPr>
        <w:instrText xml:space="preserve"> HYPERLINK \l "_Toc31657" </w:instrText>
      </w:r>
      <w:r>
        <w:rPr>
          <w:sz w:val="24"/>
          <w:szCs w:val="22"/>
        </w:rPr>
        <w:fldChar w:fldCharType="separate"/>
      </w:r>
      <w:r>
        <w:rPr>
          <w:bCs/>
          <w:sz w:val="24"/>
          <w:szCs w:val="40"/>
        </w:rPr>
        <w:t>第三部分货物需求及技术要求</w:t>
      </w:r>
      <w:r>
        <w:rPr>
          <w:sz w:val="24"/>
          <w:szCs w:val="22"/>
        </w:rPr>
        <w:tab/>
      </w:r>
      <w:r>
        <w:rPr>
          <w:sz w:val="24"/>
          <w:szCs w:val="22"/>
        </w:rPr>
        <w:fldChar w:fldCharType="begin"/>
      </w:r>
      <w:r>
        <w:rPr>
          <w:sz w:val="24"/>
          <w:szCs w:val="22"/>
        </w:rPr>
        <w:instrText xml:space="preserve"> PAGEREF _Toc31657 \h </w:instrText>
      </w:r>
      <w:r>
        <w:rPr>
          <w:sz w:val="24"/>
          <w:szCs w:val="22"/>
        </w:rPr>
        <w:fldChar w:fldCharType="separate"/>
      </w:r>
      <w:r>
        <w:rPr>
          <w:sz w:val="24"/>
          <w:szCs w:val="22"/>
        </w:rPr>
        <w:t>23</w:t>
      </w:r>
      <w:r>
        <w:rPr>
          <w:sz w:val="24"/>
          <w:szCs w:val="22"/>
        </w:rPr>
        <w:fldChar w:fldCharType="end"/>
      </w:r>
      <w:r>
        <w:rPr>
          <w:sz w:val="24"/>
          <w:szCs w:val="22"/>
        </w:rPr>
        <w:fldChar w:fldCharType="end"/>
      </w:r>
    </w:p>
    <w:p/>
    <w:p>
      <w:pPr>
        <w:pStyle w:val="24"/>
        <w:tabs>
          <w:tab w:val="right" w:leader="dot" w:pos="9747"/>
        </w:tabs>
        <w:rPr>
          <w:sz w:val="24"/>
          <w:szCs w:val="22"/>
        </w:rPr>
      </w:pPr>
      <w:r>
        <w:rPr>
          <w:sz w:val="24"/>
          <w:szCs w:val="22"/>
        </w:rPr>
        <w:fldChar w:fldCharType="begin"/>
      </w:r>
      <w:r>
        <w:rPr>
          <w:sz w:val="24"/>
          <w:szCs w:val="22"/>
        </w:rPr>
        <w:instrText xml:space="preserve"> HYPERLINK \l "_Toc19331" </w:instrText>
      </w:r>
      <w:r>
        <w:rPr>
          <w:sz w:val="24"/>
          <w:szCs w:val="22"/>
        </w:rPr>
        <w:fldChar w:fldCharType="separate"/>
      </w:r>
      <w:r>
        <w:rPr>
          <w:sz w:val="24"/>
          <w:szCs w:val="40"/>
        </w:rPr>
        <w:t>第四部分合同一般条款</w:t>
      </w:r>
      <w:r>
        <w:rPr>
          <w:sz w:val="24"/>
          <w:szCs w:val="22"/>
        </w:rPr>
        <w:tab/>
      </w:r>
      <w:r>
        <w:rPr>
          <w:sz w:val="24"/>
          <w:szCs w:val="22"/>
        </w:rPr>
        <w:fldChar w:fldCharType="begin"/>
      </w:r>
      <w:r>
        <w:rPr>
          <w:sz w:val="24"/>
          <w:szCs w:val="22"/>
        </w:rPr>
        <w:instrText xml:space="preserve"> PAGEREF _Toc19331 \h </w:instrText>
      </w:r>
      <w:r>
        <w:rPr>
          <w:sz w:val="24"/>
          <w:szCs w:val="22"/>
        </w:rPr>
        <w:fldChar w:fldCharType="separate"/>
      </w:r>
      <w:r>
        <w:rPr>
          <w:sz w:val="24"/>
          <w:szCs w:val="22"/>
        </w:rPr>
        <w:t>23</w:t>
      </w:r>
      <w:r>
        <w:rPr>
          <w:sz w:val="24"/>
          <w:szCs w:val="22"/>
        </w:rPr>
        <w:fldChar w:fldCharType="end"/>
      </w:r>
      <w:r>
        <w:rPr>
          <w:sz w:val="24"/>
          <w:szCs w:val="22"/>
        </w:rPr>
        <w:fldChar w:fldCharType="end"/>
      </w:r>
    </w:p>
    <w:p/>
    <w:p>
      <w:pPr>
        <w:pStyle w:val="24"/>
        <w:tabs>
          <w:tab w:val="right" w:leader="dot" w:pos="9747"/>
        </w:tabs>
        <w:rPr>
          <w:sz w:val="24"/>
          <w:szCs w:val="22"/>
        </w:rPr>
      </w:pPr>
      <w:r>
        <w:rPr>
          <w:sz w:val="24"/>
          <w:szCs w:val="22"/>
        </w:rPr>
        <w:fldChar w:fldCharType="begin"/>
      </w:r>
      <w:r>
        <w:rPr>
          <w:sz w:val="24"/>
          <w:szCs w:val="22"/>
        </w:rPr>
        <w:instrText xml:space="preserve"> HYPERLINK \l "_Toc6134" </w:instrText>
      </w:r>
      <w:r>
        <w:rPr>
          <w:sz w:val="24"/>
          <w:szCs w:val="22"/>
        </w:rPr>
        <w:fldChar w:fldCharType="separate"/>
      </w:r>
      <w:r>
        <w:rPr>
          <w:sz w:val="24"/>
          <w:szCs w:val="40"/>
        </w:rPr>
        <w:t>第五部分合同特殊条款</w:t>
      </w:r>
      <w:r>
        <w:rPr>
          <w:sz w:val="24"/>
          <w:szCs w:val="22"/>
        </w:rPr>
        <w:tab/>
      </w:r>
      <w:r>
        <w:rPr>
          <w:sz w:val="24"/>
          <w:szCs w:val="22"/>
        </w:rPr>
        <w:fldChar w:fldCharType="begin"/>
      </w:r>
      <w:r>
        <w:rPr>
          <w:sz w:val="24"/>
          <w:szCs w:val="22"/>
        </w:rPr>
        <w:instrText xml:space="preserve"> PAGEREF _Toc6134 \h </w:instrText>
      </w:r>
      <w:r>
        <w:rPr>
          <w:sz w:val="24"/>
          <w:szCs w:val="22"/>
        </w:rPr>
        <w:fldChar w:fldCharType="separate"/>
      </w:r>
      <w:r>
        <w:rPr>
          <w:sz w:val="24"/>
          <w:szCs w:val="22"/>
        </w:rPr>
        <w:t>29</w:t>
      </w:r>
      <w:r>
        <w:rPr>
          <w:sz w:val="24"/>
          <w:szCs w:val="22"/>
        </w:rPr>
        <w:fldChar w:fldCharType="end"/>
      </w:r>
      <w:r>
        <w:rPr>
          <w:sz w:val="24"/>
          <w:szCs w:val="22"/>
        </w:rPr>
        <w:fldChar w:fldCharType="end"/>
      </w:r>
    </w:p>
    <w:p/>
    <w:p>
      <w:pPr>
        <w:pStyle w:val="24"/>
        <w:tabs>
          <w:tab w:val="right" w:leader="dot" w:pos="9747"/>
        </w:tabs>
      </w:pPr>
      <w:r>
        <w:rPr>
          <w:sz w:val="24"/>
          <w:szCs w:val="22"/>
        </w:rPr>
        <w:fldChar w:fldCharType="begin"/>
      </w:r>
      <w:r>
        <w:rPr>
          <w:sz w:val="24"/>
          <w:szCs w:val="22"/>
        </w:rPr>
        <w:instrText xml:space="preserve"> HYPERLINK \l "_Toc4722" </w:instrText>
      </w:r>
      <w:r>
        <w:rPr>
          <w:sz w:val="24"/>
          <w:szCs w:val="22"/>
        </w:rPr>
        <w:fldChar w:fldCharType="separate"/>
      </w:r>
      <w:r>
        <w:rPr>
          <w:sz w:val="24"/>
          <w:szCs w:val="40"/>
        </w:rPr>
        <w:t>第六部分　范本格式</w:t>
      </w:r>
      <w:r>
        <w:rPr>
          <w:sz w:val="24"/>
          <w:szCs w:val="22"/>
        </w:rPr>
        <w:tab/>
      </w:r>
      <w:r>
        <w:rPr>
          <w:sz w:val="24"/>
          <w:szCs w:val="22"/>
        </w:rPr>
        <w:fldChar w:fldCharType="begin"/>
      </w:r>
      <w:r>
        <w:rPr>
          <w:sz w:val="24"/>
          <w:szCs w:val="22"/>
        </w:rPr>
        <w:instrText xml:space="preserve"> PAGEREF _Toc4722 \h </w:instrText>
      </w:r>
      <w:r>
        <w:rPr>
          <w:sz w:val="24"/>
          <w:szCs w:val="22"/>
        </w:rPr>
        <w:fldChar w:fldCharType="separate"/>
      </w:r>
      <w:r>
        <w:rPr>
          <w:sz w:val="24"/>
          <w:szCs w:val="22"/>
        </w:rPr>
        <w:t>33</w:t>
      </w:r>
      <w:r>
        <w:rPr>
          <w:sz w:val="24"/>
          <w:szCs w:val="22"/>
        </w:rPr>
        <w:fldChar w:fldCharType="end"/>
      </w:r>
      <w:r>
        <w:rPr>
          <w:sz w:val="24"/>
          <w:szCs w:val="22"/>
        </w:rPr>
        <w:fldChar w:fldCharType="end"/>
      </w:r>
    </w:p>
    <w:p>
      <w:pPr>
        <w:pStyle w:val="28"/>
        <w:tabs>
          <w:tab w:val="right" w:leader="dot" w:pos="9747"/>
        </w:tabs>
      </w:pPr>
    </w:p>
    <w:p>
      <w:pPr>
        <w:pStyle w:val="24"/>
        <w:tabs>
          <w:tab w:val="right" w:leader="dot" w:pos="8541"/>
        </w:tabs>
        <w:spacing w:line="400" w:lineRule="atLeast"/>
        <w:rPr>
          <w:b/>
          <w:sz w:val="24"/>
          <w:szCs w:val="24"/>
        </w:rPr>
      </w:pPr>
      <w:r>
        <w:rPr>
          <w:szCs w:val="24"/>
        </w:rPr>
        <w:fldChar w:fldCharType="end"/>
      </w:r>
    </w:p>
    <w:p>
      <w:pPr>
        <w:keepNext/>
        <w:tabs>
          <w:tab w:val="left" w:pos="360"/>
        </w:tabs>
        <w:spacing w:line="400" w:lineRule="exact"/>
        <w:jc w:val="center"/>
        <w:rPr>
          <w:sz w:val="32"/>
          <w:szCs w:val="32"/>
        </w:rPr>
        <w:sectPr>
          <w:headerReference r:id="rId4" w:type="first"/>
          <w:footerReference r:id="rId5" w:type="first"/>
          <w:headerReference r:id="rId3" w:type="default"/>
          <w:pgSz w:w="11907" w:h="16840"/>
          <w:pgMar w:top="1440" w:right="1080" w:bottom="1440" w:left="1080" w:header="851" w:footer="68" w:gutter="0"/>
          <w:cols w:space="720" w:num="1"/>
          <w:titlePg/>
          <w:docGrid w:type="lines" w:linePitch="409" w:charSpace="0"/>
        </w:sectPr>
      </w:pPr>
      <w:bookmarkStart w:id="0" w:name="_Toc349573118"/>
      <w:bookmarkStart w:id="1" w:name="_Toc298240402"/>
      <w:bookmarkStart w:id="2" w:name="_Toc349637917"/>
    </w:p>
    <w:p>
      <w:pPr>
        <w:pStyle w:val="3"/>
        <w:numPr>
          <w:ilvl w:val="0"/>
          <w:numId w:val="0"/>
        </w:numPr>
        <w:spacing w:line="400" w:lineRule="exact"/>
        <w:jc w:val="center"/>
        <w:rPr>
          <w:sz w:val="32"/>
          <w:szCs w:val="32"/>
        </w:rPr>
      </w:pPr>
      <w:bookmarkStart w:id="3" w:name="_Toc30923"/>
      <w:r>
        <w:rPr>
          <w:sz w:val="32"/>
          <w:szCs w:val="32"/>
        </w:rPr>
        <w:t>第一部分  投标</w:t>
      </w:r>
      <w:bookmarkEnd w:id="0"/>
      <w:bookmarkEnd w:id="1"/>
      <w:bookmarkEnd w:id="2"/>
      <w:r>
        <w:rPr>
          <w:rFonts w:hint="eastAsia"/>
          <w:sz w:val="32"/>
          <w:szCs w:val="32"/>
        </w:rPr>
        <w:t>公告</w:t>
      </w:r>
      <w:bookmarkEnd w:id="3"/>
    </w:p>
    <w:p>
      <w:pPr>
        <w:jc w:val="center"/>
        <w:rPr>
          <w:sz w:val="24"/>
          <w:szCs w:val="24"/>
        </w:rPr>
      </w:pPr>
      <w:bookmarkStart w:id="4" w:name="_Toc8370"/>
      <w:bookmarkStart w:id="5" w:name="_Toc31951"/>
      <w:bookmarkStart w:id="6" w:name="_Toc19359"/>
      <w:bookmarkStart w:id="7" w:name="_Toc267301280"/>
      <w:r>
        <w:rPr>
          <w:rFonts w:hint="eastAsia"/>
          <w:sz w:val="24"/>
          <w:szCs w:val="24"/>
          <w:lang w:eastAsia="zh-CN"/>
        </w:rPr>
        <w:t>乌鲁木齐市血液中心</w:t>
      </w:r>
      <w:r>
        <w:rPr>
          <w:rFonts w:hint="eastAsia"/>
          <w:sz w:val="24"/>
          <w:szCs w:val="24"/>
        </w:rPr>
        <w:t>建设项目专用设备（中华骨髓库HLA实验室仪器设备采购）项目公开招标公告</w:t>
      </w:r>
      <w:bookmarkEnd w:id="4"/>
      <w:bookmarkEnd w:id="5"/>
      <w:bookmarkEnd w:id="6"/>
    </w:p>
    <w:tbl>
      <w:tblPr>
        <w:tblStyle w:val="34"/>
        <w:tblW w:w="973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735" w:type="dxa"/>
          </w:tcPr>
          <w:p>
            <w:pPr>
              <w:rPr>
                <w:sz w:val="24"/>
                <w:szCs w:val="24"/>
              </w:rPr>
            </w:pPr>
            <w:r>
              <w:rPr>
                <w:rFonts w:hint="eastAsia"/>
                <w:sz w:val="24"/>
                <w:szCs w:val="24"/>
              </w:rPr>
              <w:t>项目概况</w:t>
            </w:r>
          </w:p>
          <w:p>
            <w:pPr>
              <w:rPr>
                <w:sz w:val="24"/>
                <w:szCs w:val="24"/>
              </w:rPr>
            </w:pPr>
            <w:r>
              <w:rPr>
                <w:rFonts w:hint="eastAsia"/>
                <w:sz w:val="24"/>
                <w:szCs w:val="24"/>
                <w:lang w:eastAsia="zh-CN"/>
              </w:rPr>
              <w:t>乌鲁木齐市血液中心</w:t>
            </w:r>
            <w:r>
              <w:rPr>
                <w:rFonts w:hint="eastAsia"/>
                <w:sz w:val="24"/>
                <w:szCs w:val="24"/>
              </w:rPr>
              <w:t>建设项目专用设备（中华骨髓库HLA实验室仪器设备采购）项目招标项目的潜在投标人应在新疆西北招标有限公司（乌鲁木齐市伊宁路318号江西大厦9楼）获取招标文件，并于</w:t>
            </w:r>
            <w:r>
              <w:rPr>
                <w:rFonts w:hint="eastAsia"/>
                <w:sz w:val="24"/>
                <w:szCs w:val="24"/>
                <w:lang w:val="en-US" w:eastAsia="zh-CN"/>
              </w:rPr>
              <w:t>2021</w:t>
            </w:r>
            <w:r>
              <w:rPr>
                <w:rFonts w:hint="eastAsia"/>
                <w:sz w:val="24"/>
                <w:szCs w:val="24"/>
              </w:rPr>
              <w:t>年</w:t>
            </w:r>
            <w:r>
              <w:rPr>
                <w:rFonts w:hint="eastAsia"/>
                <w:sz w:val="24"/>
                <w:szCs w:val="24"/>
                <w:lang w:val="en-US" w:eastAsia="zh-CN"/>
              </w:rPr>
              <w:t>6月24日</w:t>
            </w:r>
            <w:r>
              <w:rPr>
                <w:rFonts w:hint="eastAsia"/>
                <w:sz w:val="24"/>
                <w:szCs w:val="24"/>
              </w:rPr>
              <w:t xml:space="preserve"> </w:t>
            </w:r>
            <w:r>
              <w:rPr>
                <w:rFonts w:hint="eastAsia"/>
                <w:sz w:val="24"/>
                <w:szCs w:val="24"/>
                <w:lang w:val="en-US" w:eastAsia="zh-CN"/>
              </w:rPr>
              <w:t>11</w:t>
            </w:r>
            <w:r>
              <w:rPr>
                <w:rFonts w:hint="eastAsia"/>
                <w:sz w:val="24"/>
                <w:szCs w:val="24"/>
              </w:rPr>
              <w:t xml:space="preserve"> 点</w:t>
            </w:r>
            <w:r>
              <w:rPr>
                <w:rFonts w:hint="eastAsia"/>
                <w:sz w:val="24"/>
                <w:szCs w:val="24"/>
                <w:lang w:val="en-US" w:eastAsia="zh-CN"/>
              </w:rPr>
              <w:t>00</w:t>
            </w:r>
            <w:r>
              <w:rPr>
                <w:rFonts w:hint="eastAsia"/>
                <w:sz w:val="24"/>
                <w:szCs w:val="24"/>
              </w:rPr>
              <w:t>分（北京时间）前递交投标文件。</w:t>
            </w:r>
          </w:p>
          <w:p>
            <w:pPr>
              <w:rPr>
                <w:sz w:val="24"/>
                <w:szCs w:val="24"/>
              </w:rPr>
            </w:pPr>
          </w:p>
        </w:tc>
      </w:tr>
    </w:tbl>
    <w:p>
      <w:pPr>
        <w:rPr>
          <w:sz w:val="24"/>
          <w:szCs w:val="24"/>
        </w:rPr>
      </w:pPr>
      <w:bookmarkStart w:id="8" w:name="_Toc32527"/>
      <w:bookmarkStart w:id="9" w:name="_Toc28359079"/>
      <w:bookmarkStart w:id="10" w:name="_Toc35393621"/>
      <w:bookmarkStart w:id="11" w:name="_Toc16304"/>
      <w:bookmarkStart w:id="12" w:name="_Toc28359002"/>
      <w:bookmarkStart w:id="13" w:name="_Toc35393790"/>
      <w:bookmarkStart w:id="14" w:name="_Toc915"/>
      <w:bookmarkStart w:id="15" w:name="_Hlk24379207"/>
      <w:r>
        <w:rPr>
          <w:rFonts w:hint="eastAsia"/>
          <w:sz w:val="24"/>
          <w:szCs w:val="24"/>
        </w:rPr>
        <w:t>一、项目基本情况</w:t>
      </w:r>
      <w:bookmarkEnd w:id="8"/>
      <w:bookmarkEnd w:id="9"/>
      <w:bookmarkEnd w:id="10"/>
      <w:bookmarkEnd w:id="11"/>
      <w:bookmarkEnd w:id="12"/>
      <w:bookmarkEnd w:id="13"/>
      <w:bookmarkEnd w:id="14"/>
      <w:bookmarkStart w:id="187" w:name="_GoBack"/>
      <w:bookmarkEnd w:id="187"/>
    </w:p>
    <w:p>
      <w:pPr>
        <w:rPr>
          <w:sz w:val="24"/>
          <w:szCs w:val="24"/>
        </w:rPr>
      </w:pPr>
      <w:r>
        <w:rPr>
          <w:rFonts w:hint="eastAsia"/>
          <w:sz w:val="24"/>
          <w:szCs w:val="24"/>
        </w:rPr>
        <w:t>项目编号：2021-XBZC-01046</w:t>
      </w:r>
    </w:p>
    <w:p>
      <w:pPr>
        <w:rPr>
          <w:sz w:val="24"/>
          <w:szCs w:val="24"/>
        </w:rPr>
      </w:pPr>
      <w:r>
        <w:rPr>
          <w:rFonts w:hint="eastAsia"/>
          <w:sz w:val="24"/>
          <w:szCs w:val="24"/>
        </w:rPr>
        <w:t>项目名称：</w:t>
      </w:r>
      <w:r>
        <w:rPr>
          <w:rFonts w:hint="eastAsia"/>
          <w:sz w:val="24"/>
          <w:szCs w:val="24"/>
          <w:lang w:eastAsia="zh-CN"/>
        </w:rPr>
        <w:t>乌鲁木齐市血液中心</w:t>
      </w:r>
      <w:r>
        <w:rPr>
          <w:rFonts w:hint="eastAsia"/>
          <w:sz w:val="24"/>
          <w:szCs w:val="24"/>
        </w:rPr>
        <w:t>建设项目专用设备（中华骨髓库HLA实验室仪器设备采购）项目</w:t>
      </w:r>
    </w:p>
    <w:bookmarkEnd w:id="15"/>
    <w:p>
      <w:pPr>
        <w:rPr>
          <w:sz w:val="24"/>
          <w:szCs w:val="24"/>
        </w:rPr>
      </w:pPr>
      <w:r>
        <w:rPr>
          <w:rFonts w:hint="eastAsia"/>
          <w:sz w:val="24"/>
          <w:szCs w:val="24"/>
        </w:rPr>
        <w:t>预算金额（元）：5500000.00</w:t>
      </w:r>
    </w:p>
    <w:p>
      <w:pPr>
        <w:rPr>
          <w:sz w:val="24"/>
          <w:szCs w:val="24"/>
        </w:rPr>
      </w:pPr>
      <w:r>
        <w:rPr>
          <w:rFonts w:hint="eastAsia"/>
          <w:sz w:val="24"/>
          <w:szCs w:val="24"/>
        </w:rPr>
        <w:t>最高限价（元）：5500000.00</w:t>
      </w:r>
    </w:p>
    <w:p>
      <w:pPr>
        <w:rPr>
          <w:sz w:val="24"/>
          <w:szCs w:val="24"/>
        </w:rPr>
      </w:pPr>
      <w:r>
        <w:rPr>
          <w:rFonts w:hint="eastAsia"/>
          <w:sz w:val="24"/>
          <w:szCs w:val="24"/>
        </w:rPr>
        <w:t>采购需求：</w:t>
      </w:r>
    </w:p>
    <w:tbl>
      <w:tblPr>
        <w:tblStyle w:val="33"/>
        <w:tblW w:w="10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157"/>
        <w:gridCol w:w="3807"/>
        <w:gridCol w:w="525"/>
        <w:gridCol w:w="1648"/>
        <w:gridCol w:w="1013"/>
        <w:gridCol w:w="1371"/>
        <w:gridCol w:w="1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495" w:hRule="atLeast"/>
          <w:jc w:val="center"/>
        </w:trPr>
        <w:tc>
          <w:tcPr>
            <w:tcW w:w="1157"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标项序号</w:t>
            </w:r>
          </w:p>
        </w:tc>
        <w:tc>
          <w:tcPr>
            <w:tcW w:w="3807"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标项名称</w:t>
            </w:r>
          </w:p>
        </w:tc>
        <w:tc>
          <w:tcPr>
            <w:tcW w:w="525"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数量</w:t>
            </w:r>
          </w:p>
        </w:tc>
        <w:tc>
          <w:tcPr>
            <w:tcW w:w="1648"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预算金额(</w:t>
            </w:r>
            <w:r>
              <w:rPr>
                <w:rFonts w:hint="eastAsia"/>
                <w:kern w:val="0"/>
                <w:sz w:val="24"/>
                <w:szCs w:val="24"/>
              </w:rPr>
              <w:t>万</w:t>
            </w:r>
            <w:r>
              <w:rPr>
                <w:kern w:val="0"/>
                <w:sz w:val="24"/>
                <w:szCs w:val="24"/>
              </w:rPr>
              <w:t>元)</w:t>
            </w:r>
          </w:p>
        </w:tc>
        <w:tc>
          <w:tcPr>
            <w:tcW w:w="1013"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单位</w:t>
            </w:r>
          </w:p>
        </w:tc>
        <w:tc>
          <w:tcPr>
            <w:tcW w:w="1371"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简要规格描述</w:t>
            </w:r>
          </w:p>
        </w:tc>
        <w:tc>
          <w:tcPr>
            <w:tcW w:w="1185"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665" w:hRule="atLeast"/>
          <w:jc w:val="center"/>
        </w:trPr>
        <w:tc>
          <w:tcPr>
            <w:tcW w:w="1157"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rFonts w:hint="eastAsia"/>
                <w:kern w:val="0"/>
                <w:sz w:val="24"/>
                <w:szCs w:val="24"/>
              </w:rPr>
              <w:t>第一包</w:t>
            </w:r>
          </w:p>
        </w:tc>
        <w:tc>
          <w:tcPr>
            <w:tcW w:w="3807" w:type="dxa"/>
            <w:tcBorders>
              <w:top w:val="single" w:color="auto" w:sz="4" w:space="0"/>
              <w:bottom w:val="single" w:color="auto" w:sz="4" w:space="0"/>
            </w:tcBorders>
            <w:noWrap/>
            <w:tcMar>
              <w:top w:w="75" w:type="dxa"/>
              <w:left w:w="150" w:type="dxa"/>
              <w:bottom w:w="75" w:type="dxa"/>
              <w:right w:w="150" w:type="dxa"/>
            </w:tcMar>
            <w:vAlign w:val="center"/>
          </w:tcPr>
          <w:p>
            <w:pPr>
              <w:widowControl/>
              <w:jc w:val="left"/>
              <w:textAlignment w:val="center"/>
              <w:rPr>
                <w:rFonts w:ascii="宋体" w:hAnsi="宋体" w:cs="宋体"/>
                <w:color w:val="000000"/>
                <w:kern w:val="0"/>
                <w:sz w:val="28"/>
                <w:szCs w:val="28"/>
              </w:rPr>
            </w:pPr>
            <w:r>
              <w:rPr>
                <w:rFonts w:hint="eastAsia" w:ascii="宋体" w:hAnsi="宋体" w:cs="宋体"/>
                <w:color w:val="000000"/>
                <w:kern w:val="0"/>
                <w:sz w:val="28"/>
                <w:szCs w:val="28"/>
              </w:rPr>
              <w:t>中华骨髓库HLA实</w:t>
            </w:r>
            <w:bookmarkStart w:id="16" w:name="_Toc55551937"/>
            <w:bookmarkStart w:id="17" w:name="_Toc68082832"/>
            <w:bookmarkStart w:id="18" w:name="_Toc55485218"/>
            <w:r>
              <w:rPr>
                <w:rFonts w:hint="eastAsia" w:ascii="宋体" w:hAnsi="宋体" w:cs="宋体"/>
                <w:color w:val="000000"/>
                <w:kern w:val="0"/>
                <w:sz w:val="28"/>
                <w:szCs w:val="28"/>
              </w:rPr>
              <w:t>验</w:t>
            </w:r>
            <w:bookmarkEnd w:id="16"/>
            <w:bookmarkEnd w:id="17"/>
            <w:bookmarkEnd w:id="18"/>
            <w:bookmarkStart w:id="19" w:name="_Toc55485219"/>
            <w:bookmarkStart w:id="20" w:name="_Toc55551938"/>
            <w:bookmarkStart w:id="21" w:name="_Toc68082833"/>
            <w:r>
              <w:rPr>
                <w:rFonts w:hint="eastAsia" w:ascii="宋体" w:hAnsi="宋体" w:cs="宋体"/>
                <w:color w:val="000000"/>
                <w:kern w:val="0"/>
                <w:sz w:val="28"/>
                <w:szCs w:val="28"/>
              </w:rPr>
              <w:t>室</w:t>
            </w:r>
            <w:bookmarkEnd w:id="19"/>
            <w:bookmarkEnd w:id="20"/>
            <w:bookmarkEnd w:id="21"/>
            <w:bookmarkStart w:id="22" w:name="_Toc55551939"/>
            <w:bookmarkStart w:id="23" w:name="_Toc55485220"/>
            <w:bookmarkStart w:id="24" w:name="_Toc68082834"/>
            <w:r>
              <w:rPr>
                <w:rFonts w:hint="eastAsia" w:ascii="宋体" w:hAnsi="宋体" w:cs="宋体"/>
                <w:color w:val="000000"/>
                <w:kern w:val="0"/>
                <w:sz w:val="28"/>
                <w:szCs w:val="28"/>
              </w:rPr>
              <w:t>仪</w:t>
            </w:r>
            <w:bookmarkEnd w:id="22"/>
            <w:bookmarkEnd w:id="23"/>
            <w:bookmarkEnd w:id="24"/>
            <w:bookmarkStart w:id="25" w:name="_Toc68082835"/>
            <w:bookmarkStart w:id="26" w:name="_Toc55485221"/>
            <w:bookmarkStart w:id="27" w:name="_Toc55551940"/>
            <w:r>
              <w:rPr>
                <w:rFonts w:hint="eastAsia" w:ascii="宋体" w:hAnsi="宋体" w:cs="宋体"/>
                <w:color w:val="000000"/>
                <w:kern w:val="0"/>
                <w:sz w:val="28"/>
                <w:szCs w:val="28"/>
              </w:rPr>
              <w:t>器</w:t>
            </w:r>
            <w:bookmarkEnd w:id="25"/>
            <w:bookmarkEnd w:id="26"/>
            <w:bookmarkEnd w:id="27"/>
          </w:p>
        </w:tc>
        <w:tc>
          <w:tcPr>
            <w:tcW w:w="525"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648" w:type="dxa"/>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160.00</w:t>
            </w:r>
          </w:p>
        </w:tc>
        <w:tc>
          <w:tcPr>
            <w:tcW w:w="1013"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1371"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rFonts w:hint="eastAsia"/>
                <w:kern w:val="0"/>
                <w:sz w:val="24"/>
                <w:szCs w:val="24"/>
              </w:rPr>
              <w:t>详见招标文件</w:t>
            </w:r>
          </w:p>
        </w:tc>
        <w:tc>
          <w:tcPr>
            <w:tcW w:w="1185"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cantSplit/>
          <w:trHeight w:val="665" w:hRule="atLeast"/>
          <w:jc w:val="center"/>
        </w:trPr>
        <w:tc>
          <w:tcPr>
            <w:tcW w:w="1157"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rFonts w:hint="eastAsia"/>
                <w:kern w:val="0"/>
                <w:sz w:val="24"/>
                <w:szCs w:val="24"/>
              </w:rPr>
              <w:t>第二包</w:t>
            </w:r>
          </w:p>
        </w:tc>
        <w:tc>
          <w:tcPr>
            <w:tcW w:w="3807" w:type="dxa"/>
            <w:tcBorders>
              <w:top w:val="single" w:color="auto" w:sz="4" w:space="0"/>
              <w:bottom w:val="single" w:color="auto" w:sz="4" w:space="0"/>
            </w:tcBorders>
            <w:noWrap/>
            <w:tcMar>
              <w:top w:w="75" w:type="dxa"/>
              <w:left w:w="150" w:type="dxa"/>
              <w:bottom w:w="75" w:type="dxa"/>
              <w:right w:w="150" w:type="dxa"/>
            </w:tcMar>
            <w:vAlign w:val="center"/>
          </w:tcPr>
          <w:p>
            <w:pPr>
              <w:widowControl/>
              <w:jc w:val="left"/>
              <w:textAlignment w:val="center"/>
              <w:rPr>
                <w:rFonts w:ascii="宋体" w:hAnsi="宋体" w:cs="宋体"/>
                <w:color w:val="000000"/>
                <w:kern w:val="0"/>
                <w:sz w:val="28"/>
                <w:szCs w:val="28"/>
              </w:rPr>
            </w:pPr>
            <w:r>
              <w:rPr>
                <w:rFonts w:hint="eastAsia" w:ascii="宋体" w:hAnsi="宋体" w:cs="宋体"/>
                <w:color w:val="000000"/>
                <w:kern w:val="0"/>
                <w:sz w:val="28"/>
                <w:szCs w:val="28"/>
              </w:rPr>
              <w:t>中华骨髓库HLA实验室仪器（二代测序平台实验室仪器）</w:t>
            </w:r>
          </w:p>
        </w:tc>
        <w:tc>
          <w:tcPr>
            <w:tcW w:w="525"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648" w:type="dxa"/>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390.00</w:t>
            </w:r>
          </w:p>
        </w:tc>
        <w:tc>
          <w:tcPr>
            <w:tcW w:w="1013"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1371" w:type="dxa"/>
            <w:noWrap/>
            <w:tcMar>
              <w:top w:w="75" w:type="dxa"/>
              <w:left w:w="150" w:type="dxa"/>
              <w:bottom w:w="75" w:type="dxa"/>
              <w:right w:w="150" w:type="dxa"/>
            </w:tcMar>
            <w:vAlign w:val="center"/>
          </w:tcPr>
          <w:p>
            <w:pPr>
              <w:widowControl/>
              <w:spacing w:after="150" w:line="300" w:lineRule="exact"/>
              <w:jc w:val="center"/>
              <w:rPr>
                <w:kern w:val="0"/>
                <w:sz w:val="24"/>
                <w:szCs w:val="24"/>
              </w:rPr>
            </w:pPr>
            <w:r>
              <w:rPr>
                <w:rFonts w:hint="eastAsia"/>
                <w:kern w:val="0"/>
                <w:sz w:val="24"/>
                <w:szCs w:val="24"/>
              </w:rPr>
              <w:t>详见招标文件</w:t>
            </w:r>
          </w:p>
        </w:tc>
        <w:tc>
          <w:tcPr>
            <w:tcW w:w="1185" w:type="dxa"/>
            <w:tcBorders>
              <w:top w:val="single" w:color="auto" w:sz="4" w:space="0"/>
              <w:bottom w:val="single" w:color="auto" w:sz="4" w:space="0"/>
            </w:tcBorders>
            <w:noWrap/>
            <w:tcMar>
              <w:top w:w="75" w:type="dxa"/>
              <w:left w:w="150" w:type="dxa"/>
              <w:bottom w:w="75" w:type="dxa"/>
              <w:right w:w="150" w:type="dxa"/>
            </w:tcMar>
            <w:vAlign w:val="center"/>
          </w:tcPr>
          <w:p>
            <w:pPr>
              <w:widowControl/>
              <w:jc w:val="center"/>
              <w:textAlignment w:val="center"/>
              <w:rPr>
                <w:rFonts w:ascii="宋体" w:hAnsi="宋体" w:cs="宋体"/>
                <w:color w:val="000000"/>
                <w:kern w:val="0"/>
                <w:sz w:val="28"/>
                <w:szCs w:val="28"/>
              </w:rPr>
            </w:pPr>
          </w:p>
        </w:tc>
      </w:tr>
    </w:tbl>
    <w:p>
      <w:pPr>
        <w:rPr>
          <w:b/>
          <w:bCs/>
          <w:sz w:val="24"/>
          <w:szCs w:val="24"/>
        </w:rPr>
      </w:pPr>
      <w:r>
        <w:rPr>
          <w:rFonts w:hint="eastAsia"/>
          <w:b/>
          <w:bCs/>
          <w:sz w:val="24"/>
          <w:szCs w:val="24"/>
        </w:rPr>
        <w:t>（招标清单及技术参数详见招标文件）</w:t>
      </w:r>
    </w:p>
    <w:p>
      <w:pPr>
        <w:ind w:firstLine="480" w:firstLineChars="200"/>
        <w:rPr>
          <w:sz w:val="24"/>
          <w:szCs w:val="24"/>
        </w:rPr>
      </w:pPr>
      <w:r>
        <w:rPr>
          <w:rFonts w:hint="eastAsia"/>
          <w:sz w:val="24"/>
          <w:szCs w:val="24"/>
        </w:rPr>
        <w:t>本项目（否）接受联合体投标。</w:t>
      </w:r>
    </w:p>
    <w:p>
      <w:pPr>
        <w:ind w:firstLine="480" w:firstLineChars="200"/>
        <w:rPr>
          <w:sz w:val="24"/>
          <w:szCs w:val="24"/>
        </w:rPr>
      </w:pPr>
      <w:bookmarkStart w:id="28" w:name="_Toc28359080"/>
      <w:bookmarkStart w:id="29" w:name="_Toc35393622"/>
      <w:bookmarkStart w:id="30" w:name="_Toc35393791"/>
      <w:bookmarkStart w:id="31" w:name="_Toc28359003"/>
      <w:bookmarkStart w:id="32" w:name="_Toc1334"/>
      <w:bookmarkStart w:id="33" w:name="_Toc21085"/>
      <w:bookmarkStart w:id="34" w:name="_Toc30581"/>
      <w:r>
        <w:rPr>
          <w:rFonts w:hint="eastAsia"/>
          <w:sz w:val="24"/>
          <w:szCs w:val="24"/>
        </w:rPr>
        <w:t>二、申请人的资格要求：</w:t>
      </w:r>
      <w:bookmarkEnd w:id="28"/>
      <w:bookmarkEnd w:id="29"/>
      <w:bookmarkEnd w:id="30"/>
      <w:bookmarkEnd w:id="31"/>
      <w:bookmarkEnd w:id="32"/>
      <w:bookmarkEnd w:id="33"/>
      <w:bookmarkEnd w:id="34"/>
    </w:p>
    <w:p>
      <w:pPr>
        <w:ind w:firstLine="480" w:firstLineChars="200"/>
        <w:rPr>
          <w:sz w:val="24"/>
          <w:szCs w:val="24"/>
        </w:rPr>
      </w:pPr>
      <w:r>
        <w:rPr>
          <w:rFonts w:hint="eastAsia"/>
          <w:sz w:val="24"/>
          <w:szCs w:val="24"/>
        </w:rPr>
        <w:t>1.满足《中华人民共和国政府采购法》第二十二条规定；</w:t>
      </w:r>
    </w:p>
    <w:p>
      <w:pPr>
        <w:ind w:firstLine="480" w:firstLineChars="200"/>
        <w:rPr>
          <w:sz w:val="24"/>
          <w:szCs w:val="24"/>
        </w:rPr>
      </w:pPr>
      <w:bookmarkStart w:id="35" w:name="_Toc28359004"/>
      <w:bookmarkStart w:id="36" w:name="_Toc28359081"/>
      <w:r>
        <w:rPr>
          <w:rFonts w:hint="eastAsia"/>
          <w:sz w:val="24"/>
          <w:szCs w:val="24"/>
        </w:rPr>
        <w:t>2.落实政府采购政策需满足的资格要求：本项目为非专门面向中小企业（含中型、小型、微型企业）采购项目，根据《政府采购促进中小企业发展管理办法》（财库[2020]46号）的规定，评标时将给予此类企业进行价格6%的优惠，监狱企业、残疾人福利性单位视同为小微企业，用优惠后的价格参与评审。</w:t>
      </w:r>
    </w:p>
    <w:p>
      <w:pPr>
        <w:ind w:firstLine="480" w:firstLineChars="200"/>
        <w:rPr>
          <w:sz w:val="24"/>
          <w:szCs w:val="24"/>
        </w:rPr>
      </w:pPr>
      <w:r>
        <w:rPr>
          <w:rFonts w:hint="eastAsia"/>
          <w:sz w:val="24"/>
          <w:szCs w:val="24"/>
        </w:rPr>
        <w:t>3.本项目的特定资格要求：</w:t>
      </w:r>
    </w:p>
    <w:p>
      <w:pPr>
        <w:ind w:firstLine="480" w:firstLineChars="200"/>
        <w:rPr>
          <w:sz w:val="24"/>
          <w:szCs w:val="24"/>
        </w:rPr>
      </w:pPr>
      <w:r>
        <w:rPr>
          <w:rFonts w:hint="eastAsia"/>
          <w:sz w:val="24"/>
          <w:szCs w:val="24"/>
        </w:rPr>
        <w:t>（1）投标人具备有效</w:t>
      </w:r>
      <w:r>
        <w:rPr>
          <w:kern w:val="0"/>
          <w:sz w:val="24"/>
          <w:szCs w:val="24"/>
        </w:rPr>
        <w:t>三证合一</w:t>
      </w:r>
      <w:r>
        <w:rPr>
          <w:rFonts w:hint="eastAsia"/>
          <w:sz w:val="24"/>
          <w:szCs w:val="24"/>
        </w:rPr>
        <w:t>的《营业执照》；</w:t>
      </w:r>
    </w:p>
    <w:p>
      <w:pPr>
        <w:ind w:firstLine="480" w:firstLineChars="200"/>
        <w:rPr>
          <w:sz w:val="24"/>
          <w:szCs w:val="24"/>
        </w:rPr>
      </w:pPr>
      <w:r>
        <w:rPr>
          <w:rFonts w:hint="eastAsia"/>
          <w:sz w:val="24"/>
          <w:szCs w:val="24"/>
        </w:rPr>
        <w:t xml:space="preserve">（2）投标人具有《医疗器械生产企业许可证》或《医疗器械经营企业许可证》； </w:t>
      </w:r>
    </w:p>
    <w:p>
      <w:pPr>
        <w:ind w:firstLine="480" w:firstLineChars="200"/>
        <w:rPr>
          <w:sz w:val="24"/>
          <w:szCs w:val="24"/>
        </w:rPr>
      </w:pPr>
      <w:r>
        <w:rPr>
          <w:rFonts w:hint="eastAsia"/>
          <w:sz w:val="24"/>
          <w:szCs w:val="24"/>
        </w:rPr>
        <w:t>（3）投标人如投进口产品需提</w:t>
      </w:r>
      <w:r>
        <w:rPr>
          <w:kern w:val="0"/>
          <w:sz w:val="24"/>
          <w:szCs w:val="24"/>
        </w:rPr>
        <w:t>供生产厂家授权书</w:t>
      </w:r>
      <w:r>
        <w:rPr>
          <w:rFonts w:hint="eastAsia"/>
          <w:kern w:val="0"/>
          <w:sz w:val="24"/>
          <w:szCs w:val="24"/>
        </w:rPr>
        <w:t>；</w:t>
      </w:r>
    </w:p>
    <w:p>
      <w:pPr>
        <w:ind w:firstLine="480" w:firstLineChars="200"/>
        <w:rPr>
          <w:sz w:val="24"/>
          <w:szCs w:val="24"/>
        </w:rPr>
      </w:pPr>
      <w:r>
        <w:rPr>
          <w:rFonts w:hint="eastAsia"/>
          <w:sz w:val="24"/>
          <w:szCs w:val="24"/>
        </w:rPr>
        <w:t>（4）法定代表人参加投标的，应提供法定代表人居民身份证；法定代表人授权人参加投标的，应提供法定代表人授权书及被授权人居民身份证；</w:t>
      </w:r>
    </w:p>
    <w:p>
      <w:pPr>
        <w:ind w:firstLine="480" w:firstLineChars="200"/>
        <w:rPr>
          <w:sz w:val="24"/>
          <w:szCs w:val="24"/>
        </w:rPr>
      </w:pPr>
      <w:r>
        <w:rPr>
          <w:rFonts w:hint="eastAsia"/>
          <w:sz w:val="24"/>
          <w:szCs w:val="24"/>
        </w:rPr>
        <w:t>（5）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rPr>
          <w:sz w:val="24"/>
          <w:szCs w:val="24"/>
        </w:rPr>
      </w:pPr>
      <w:bookmarkStart w:id="37" w:name="_Toc35393792"/>
      <w:bookmarkStart w:id="38" w:name="_Toc19734"/>
      <w:bookmarkStart w:id="39" w:name="_Toc35393623"/>
      <w:bookmarkStart w:id="40" w:name="_Toc21198"/>
      <w:bookmarkStart w:id="41" w:name="_Toc13998"/>
      <w:r>
        <w:rPr>
          <w:rFonts w:hint="eastAsia"/>
          <w:sz w:val="24"/>
          <w:szCs w:val="24"/>
        </w:rPr>
        <w:t>三、获取招标文件</w:t>
      </w:r>
      <w:bookmarkEnd w:id="35"/>
      <w:bookmarkEnd w:id="36"/>
      <w:bookmarkEnd w:id="37"/>
      <w:bookmarkEnd w:id="38"/>
      <w:bookmarkEnd w:id="39"/>
      <w:bookmarkEnd w:id="40"/>
      <w:bookmarkEnd w:id="41"/>
    </w:p>
    <w:p>
      <w:pPr>
        <w:ind w:firstLine="480" w:firstLineChars="200"/>
        <w:rPr>
          <w:sz w:val="24"/>
          <w:szCs w:val="24"/>
        </w:rPr>
      </w:pPr>
      <w:r>
        <w:rPr>
          <w:rFonts w:hint="eastAsia"/>
          <w:sz w:val="24"/>
          <w:szCs w:val="24"/>
        </w:rPr>
        <w:t>时间：</w:t>
      </w:r>
      <w:r>
        <w:rPr>
          <w:rFonts w:hint="eastAsia"/>
          <w:sz w:val="24"/>
          <w:szCs w:val="24"/>
          <w:lang w:val="en-US" w:eastAsia="zh-CN"/>
        </w:rPr>
        <w:t>2021</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4</w:t>
      </w:r>
      <w:r>
        <w:rPr>
          <w:rFonts w:hint="eastAsia"/>
          <w:sz w:val="24"/>
          <w:szCs w:val="24"/>
        </w:rPr>
        <w:t>日至</w:t>
      </w:r>
      <w:r>
        <w:rPr>
          <w:rFonts w:hint="eastAsia"/>
          <w:sz w:val="24"/>
          <w:szCs w:val="24"/>
          <w:lang w:val="en-US" w:eastAsia="zh-CN"/>
        </w:rPr>
        <w:t>2021</w:t>
      </w:r>
      <w:r>
        <w:rPr>
          <w:rFonts w:hint="eastAsia"/>
          <w:sz w:val="24"/>
          <w:szCs w:val="24"/>
        </w:rPr>
        <w:t xml:space="preserve"> 年</w:t>
      </w:r>
      <w:r>
        <w:rPr>
          <w:rFonts w:hint="eastAsia"/>
          <w:sz w:val="24"/>
          <w:szCs w:val="24"/>
          <w:lang w:val="en-US" w:eastAsia="zh-CN"/>
        </w:rPr>
        <w:t>06</w:t>
      </w:r>
      <w:r>
        <w:rPr>
          <w:rFonts w:hint="eastAsia"/>
          <w:sz w:val="24"/>
          <w:szCs w:val="24"/>
        </w:rPr>
        <w:t xml:space="preserve">月 </w:t>
      </w:r>
      <w:r>
        <w:rPr>
          <w:rFonts w:hint="eastAsia"/>
          <w:sz w:val="24"/>
          <w:szCs w:val="24"/>
          <w:lang w:val="en-US" w:eastAsia="zh-CN"/>
        </w:rPr>
        <w:t>10</w:t>
      </w:r>
      <w:r>
        <w:rPr>
          <w:rFonts w:hint="eastAsia"/>
          <w:sz w:val="24"/>
          <w:szCs w:val="24"/>
        </w:rPr>
        <w:t>日（提供期限自本公告发布之日起不得少于5个工作日），每天上午</w:t>
      </w:r>
      <w:r>
        <w:rPr>
          <w:rFonts w:hint="eastAsia"/>
          <w:sz w:val="24"/>
          <w:szCs w:val="24"/>
          <w:lang w:val="en-US" w:eastAsia="zh-CN"/>
        </w:rPr>
        <w:t>10：00</w:t>
      </w:r>
      <w:r>
        <w:rPr>
          <w:rFonts w:hint="eastAsia"/>
          <w:sz w:val="24"/>
          <w:szCs w:val="24"/>
        </w:rPr>
        <w:t>至</w:t>
      </w:r>
      <w:r>
        <w:rPr>
          <w:rFonts w:hint="eastAsia"/>
          <w:sz w:val="24"/>
          <w:szCs w:val="24"/>
          <w:lang w:val="en-US" w:eastAsia="zh-CN"/>
        </w:rPr>
        <w:t>13：00</w:t>
      </w:r>
      <w:r>
        <w:rPr>
          <w:rFonts w:hint="eastAsia"/>
          <w:sz w:val="24"/>
          <w:szCs w:val="24"/>
        </w:rPr>
        <w:t>　，下午</w:t>
      </w:r>
      <w:r>
        <w:rPr>
          <w:rFonts w:hint="eastAsia"/>
          <w:sz w:val="24"/>
          <w:szCs w:val="24"/>
          <w:lang w:val="en-US" w:eastAsia="zh-CN"/>
        </w:rPr>
        <w:t>15:30</w:t>
      </w:r>
      <w:r>
        <w:rPr>
          <w:rFonts w:hint="eastAsia"/>
          <w:sz w:val="24"/>
          <w:szCs w:val="24"/>
        </w:rPr>
        <w:t>至</w:t>
      </w:r>
      <w:r>
        <w:rPr>
          <w:rFonts w:hint="eastAsia"/>
          <w:sz w:val="24"/>
          <w:szCs w:val="24"/>
          <w:lang w:val="en-US" w:eastAsia="zh-CN"/>
        </w:rPr>
        <w:t>18:30</w:t>
      </w:r>
      <w:r>
        <w:rPr>
          <w:rFonts w:hint="eastAsia"/>
          <w:sz w:val="24"/>
          <w:szCs w:val="24"/>
        </w:rPr>
        <w:t>（北京时间，法定节假日除外）</w:t>
      </w:r>
    </w:p>
    <w:p>
      <w:pPr>
        <w:rPr>
          <w:sz w:val="24"/>
          <w:szCs w:val="24"/>
        </w:rPr>
      </w:pPr>
      <w:r>
        <w:rPr>
          <w:rFonts w:hint="eastAsia"/>
          <w:sz w:val="24"/>
          <w:szCs w:val="24"/>
        </w:rPr>
        <w:t>地点：新疆西北招标有限公司（乌鲁木齐市伊宁路318号江西大厦9楼）</w:t>
      </w:r>
    </w:p>
    <w:p>
      <w:pPr>
        <w:rPr>
          <w:sz w:val="24"/>
          <w:szCs w:val="24"/>
        </w:rPr>
      </w:pPr>
      <w:r>
        <w:rPr>
          <w:rFonts w:hint="eastAsia"/>
          <w:sz w:val="24"/>
          <w:szCs w:val="24"/>
        </w:rPr>
        <w:t>方式：线下获取（现场购买），售后不退。</w:t>
      </w:r>
    </w:p>
    <w:p>
      <w:pPr>
        <w:rPr>
          <w:sz w:val="24"/>
          <w:szCs w:val="24"/>
        </w:rPr>
      </w:pPr>
      <w:r>
        <w:rPr>
          <w:rFonts w:hint="eastAsia"/>
          <w:sz w:val="24"/>
          <w:szCs w:val="24"/>
        </w:rPr>
        <w:t>售价：200元/份</w:t>
      </w:r>
    </w:p>
    <w:p>
      <w:pPr>
        <w:rPr>
          <w:sz w:val="24"/>
          <w:szCs w:val="24"/>
        </w:rPr>
      </w:pPr>
      <w:bookmarkStart w:id="42" w:name="_Toc28359082"/>
      <w:bookmarkStart w:id="43" w:name="_Toc28359005"/>
      <w:bookmarkStart w:id="44" w:name="_Toc15639"/>
      <w:bookmarkStart w:id="45" w:name="_Toc35393793"/>
      <w:bookmarkStart w:id="46" w:name="_Toc35393624"/>
      <w:bookmarkStart w:id="47" w:name="_Toc27102"/>
      <w:bookmarkStart w:id="48" w:name="_Toc27726"/>
      <w:r>
        <w:rPr>
          <w:rFonts w:hint="eastAsia"/>
          <w:sz w:val="24"/>
          <w:szCs w:val="24"/>
        </w:rPr>
        <w:t>四、提交投标文件</w:t>
      </w:r>
      <w:bookmarkEnd w:id="42"/>
      <w:bookmarkEnd w:id="43"/>
      <w:r>
        <w:rPr>
          <w:rFonts w:hint="eastAsia"/>
          <w:sz w:val="24"/>
          <w:szCs w:val="24"/>
        </w:rPr>
        <w:t>截止时间、开标时间和地点</w:t>
      </w:r>
      <w:bookmarkEnd w:id="44"/>
      <w:bookmarkEnd w:id="45"/>
      <w:bookmarkEnd w:id="46"/>
      <w:bookmarkEnd w:id="47"/>
      <w:bookmarkEnd w:id="48"/>
    </w:p>
    <w:p>
      <w:pPr>
        <w:rPr>
          <w:sz w:val="24"/>
          <w:szCs w:val="24"/>
        </w:rPr>
      </w:pPr>
      <w:r>
        <w:rPr>
          <w:rFonts w:hint="eastAsia"/>
          <w:sz w:val="24"/>
          <w:szCs w:val="24"/>
        </w:rPr>
        <w:t xml:space="preserve">    </w:t>
      </w:r>
      <w:r>
        <w:rPr>
          <w:rFonts w:hint="eastAsia"/>
          <w:sz w:val="24"/>
          <w:szCs w:val="24"/>
          <w:lang w:val="en-US" w:eastAsia="zh-CN"/>
        </w:rPr>
        <w:t>2021</w:t>
      </w:r>
      <w:r>
        <w:rPr>
          <w:rFonts w:hint="eastAsia"/>
          <w:sz w:val="24"/>
          <w:szCs w:val="24"/>
        </w:rPr>
        <w:t>年</w:t>
      </w:r>
      <w:r>
        <w:rPr>
          <w:rFonts w:hint="eastAsia"/>
          <w:sz w:val="24"/>
          <w:szCs w:val="24"/>
          <w:lang w:val="en-US" w:eastAsia="zh-CN"/>
        </w:rPr>
        <w:t>06月24日11</w:t>
      </w:r>
      <w:r>
        <w:rPr>
          <w:rFonts w:hint="eastAsia"/>
          <w:sz w:val="24"/>
          <w:szCs w:val="24"/>
        </w:rPr>
        <w:t xml:space="preserve">点 </w:t>
      </w:r>
      <w:r>
        <w:rPr>
          <w:rFonts w:hint="eastAsia"/>
          <w:sz w:val="24"/>
          <w:szCs w:val="24"/>
          <w:lang w:val="en-US" w:eastAsia="zh-CN"/>
        </w:rPr>
        <w:t>00</w:t>
      </w:r>
      <w:r>
        <w:rPr>
          <w:rFonts w:hint="eastAsia"/>
          <w:sz w:val="24"/>
          <w:szCs w:val="24"/>
        </w:rPr>
        <w:t xml:space="preserve"> 分（北京时间）（自招标文件开始发出之日起至投标人提交投标文件截止之日止）</w:t>
      </w:r>
    </w:p>
    <w:p>
      <w:pPr>
        <w:ind w:firstLine="480" w:firstLineChars="200"/>
        <w:rPr>
          <w:sz w:val="24"/>
          <w:szCs w:val="24"/>
        </w:rPr>
      </w:pPr>
      <w:r>
        <w:rPr>
          <w:rFonts w:hint="eastAsia"/>
          <w:sz w:val="24"/>
          <w:szCs w:val="24"/>
        </w:rPr>
        <w:t>地点：新疆西北招标有限公司（乌鲁木齐市伊宁路318号江西大厦9楼）</w:t>
      </w:r>
    </w:p>
    <w:p>
      <w:pPr>
        <w:rPr>
          <w:sz w:val="24"/>
          <w:szCs w:val="24"/>
        </w:rPr>
      </w:pPr>
      <w:bookmarkStart w:id="49" w:name="_Toc35393625"/>
      <w:bookmarkStart w:id="50" w:name="_Toc27507"/>
      <w:bookmarkStart w:id="51" w:name="_Toc28359007"/>
      <w:bookmarkStart w:id="52" w:name="_Toc35393794"/>
      <w:bookmarkStart w:id="53" w:name="_Toc10634"/>
      <w:bookmarkStart w:id="54" w:name="_Toc31059"/>
      <w:bookmarkStart w:id="55" w:name="_Toc28359084"/>
      <w:r>
        <w:rPr>
          <w:rFonts w:hint="eastAsia"/>
          <w:sz w:val="24"/>
          <w:szCs w:val="24"/>
        </w:rPr>
        <w:t>五、公告期限</w:t>
      </w:r>
      <w:bookmarkEnd w:id="49"/>
      <w:bookmarkEnd w:id="50"/>
      <w:bookmarkEnd w:id="51"/>
      <w:bookmarkEnd w:id="52"/>
      <w:bookmarkEnd w:id="53"/>
      <w:bookmarkEnd w:id="54"/>
      <w:bookmarkEnd w:id="55"/>
    </w:p>
    <w:p>
      <w:pPr>
        <w:ind w:firstLine="480" w:firstLineChars="200"/>
        <w:rPr>
          <w:sz w:val="24"/>
          <w:szCs w:val="24"/>
        </w:rPr>
      </w:pPr>
      <w:r>
        <w:rPr>
          <w:rFonts w:hint="eastAsia"/>
          <w:sz w:val="24"/>
          <w:szCs w:val="24"/>
        </w:rPr>
        <w:t>自本公告发布之日起5个工作日。</w:t>
      </w:r>
    </w:p>
    <w:p>
      <w:pPr>
        <w:rPr>
          <w:sz w:val="24"/>
          <w:szCs w:val="24"/>
        </w:rPr>
      </w:pPr>
      <w:bookmarkStart w:id="56" w:name="_Toc35393626"/>
      <w:bookmarkStart w:id="57" w:name="_Toc12841"/>
      <w:bookmarkStart w:id="58" w:name="_Toc13206"/>
      <w:bookmarkStart w:id="59" w:name="_Toc35393795"/>
      <w:bookmarkStart w:id="60" w:name="_Toc25304"/>
      <w:r>
        <w:rPr>
          <w:rFonts w:hint="eastAsia"/>
          <w:sz w:val="24"/>
          <w:szCs w:val="24"/>
        </w:rPr>
        <w:t>六、其他补充事宜</w:t>
      </w:r>
      <w:bookmarkEnd w:id="56"/>
      <w:bookmarkEnd w:id="57"/>
      <w:bookmarkEnd w:id="58"/>
      <w:bookmarkEnd w:id="59"/>
      <w:bookmarkEnd w:id="60"/>
    </w:p>
    <w:p>
      <w:pPr>
        <w:ind w:firstLine="480" w:firstLineChars="200"/>
        <w:rPr>
          <w:sz w:val="24"/>
          <w:szCs w:val="24"/>
        </w:rPr>
      </w:pPr>
      <w:r>
        <w:rPr>
          <w:rFonts w:hint="eastAsia"/>
          <w:sz w:val="24"/>
          <w:szCs w:val="24"/>
        </w:rPr>
        <w:t>购买招标文件需提供以下资料：</w:t>
      </w:r>
    </w:p>
    <w:p>
      <w:pPr>
        <w:ind w:firstLine="480" w:firstLineChars="200"/>
        <w:rPr>
          <w:sz w:val="24"/>
          <w:szCs w:val="24"/>
        </w:rPr>
      </w:pPr>
      <w:r>
        <w:rPr>
          <w:rFonts w:hint="eastAsia"/>
          <w:sz w:val="24"/>
          <w:szCs w:val="24"/>
        </w:rPr>
        <w:t>（1）投标人具备有效</w:t>
      </w:r>
      <w:r>
        <w:rPr>
          <w:kern w:val="0"/>
          <w:sz w:val="24"/>
          <w:szCs w:val="24"/>
        </w:rPr>
        <w:t>三证合一</w:t>
      </w:r>
      <w:r>
        <w:rPr>
          <w:rFonts w:hint="eastAsia"/>
          <w:sz w:val="24"/>
          <w:szCs w:val="24"/>
        </w:rPr>
        <w:t>的《营业执照》副本原件；</w:t>
      </w:r>
    </w:p>
    <w:p>
      <w:pPr>
        <w:ind w:firstLine="480" w:firstLineChars="200"/>
        <w:rPr>
          <w:sz w:val="24"/>
          <w:szCs w:val="24"/>
        </w:rPr>
      </w:pPr>
      <w:r>
        <w:rPr>
          <w:rFonts w:hint="eastAsia"/>
          <w:sz w:val="24"/>
          <w:szCs w:val="24"/>
        </w:rPr>
        <w:t xml:space="preserve">（2）投标人具有《医疗器械生产企业许可证》或《医疗器械经营企业许可证》原件； </w:t>
      </w:r>
    </w:p>
    <w:p>
      <w:pPr>
        <w:ind w:firstLine="480" w:firstLineChars="200"/>
        <w:rPr>
          <w:sz w:val="24"/>
          <w:szCs w:val="24"/>
        </w:rPr>
      </w:pPr>
      <w:r>
        <w:rPr>
          <w:rFonts w:hint="eastAsia"/>
          <w:sz w:val="24"/>
          <w:szCs w:val="24"/>
        </w:rPr>
        <w:t>（3）投标人如投进口产品需提</w:t>
      </w:r>
      <w:r>
        <w:rPr>
          <w:kern w:val="0"/>
          <w:sz w:val="24"/>
          <w:szCs w:val="24"/>
        </w:rPr>
        <w:t>供生产厂家授权书</w:t>
      </w:r>
      <w:r>
        <w:rPr>
          <w:rFonts w:hint="eastAsia"/>
          <w:kern w:val="0"/>
          <w:sz w:val="24"/>
          <w:szCs w:val="24"/>
        </w:rPr>
        <w:t>原件；</w:t>
      </w:r>
    </w:p>
    <w:p>
      <w:pPr>
        <w:ind w:firstLine="480" w:firstLineChars="200"/>
        <w:rPr>
          <w:sz w:val="24"/>
          <w:szCs w:val="24"/>
        </w:rPr>
      </w:pPr>
      <w:r>
        <w:rPr>
          <w:rFonts w:hint="eastAsia"/>
          <w:sz w:val="24"/>
          <w:szCs w:val="24"/>
        </w:rPr>
        <w:t>（4）法定代表人参加投标的，应提供法定代表人居民身份证；法定代表人授权人参加投标的，应提供法定代表人授权书及被授权人居民身份证；</w:t>
      </w:r>
    </w:p>
    <w:p>
      <w:pPr>
        <w:ind w:firstLine="480" w:firstLineChars="200"/>
        <w:rPr>
          <w:sz w:val="24"/>
          <w:szCs w:val="24"/>
        </w:rPr>
      </w:pPr>
      <w:r>
        <w:rPr>
          <w:rFonts w:hint="eastAsia"/>
          <w:sz w:val="24"/>
          <w:szCs w:val="24"/>
        </w:rPr>
        <w:t>（</w:t>
      </w:r>
      <w:r>
        <w:rPr>
          <w:rFonts w:hint="eastAsia"/>
          <w:sz w:val="24"/>
          <w:szCs w:val="24"/>
          <w:lang w:val="en-US" w:eastAsia="zh-CN"/>
        </w:rPr>
        <w:t>5</w:t>
      </w:r>
      <w:r>
        <w:rPr>
          <w:rFonts w:hint="eastAsia"/>
          <w:sz w:val="24"/>
          <w:szCs w:val="24"/>
        </w:rPr>
        <w:t>）“信用中国”、“中国政府采购网”、“中国政府采购网”查询信用查询截图；</w:t>
      </w:r>
    </w:p>
    <w:p>
      <w:pPr>
        <w:ind w:firstLine="480" w:firstLineChars="200"/>
        <w:rPr>
          <w:sz w:val="24"/>
          <w:szCs w:val="24"/>
        </w:rPr>
      </w:pPr>
      <w:r>
        <w:rPr>
          <w:rFonts w:hint="eastAsia"/>
          <w:sz w:val="24"/>
          <w:szCs w:val="24"/>
        </w:rPr>
        <w:t>“信用中国”查询：进入“信用中国”首页，点击信用服务，查询失信被执行人和重大税收违法案件当事人名单保存完整网页截图；进入“信用中国”首页，在信用信息输入单位名称查询并下载信用报告。“中国政府采购网”首页，点击“政府采购严重违法失信行为记录名单”，输入单位名称，截图须体现无异常记录内容，保存完整网页截图。</w:t>
      </w:r>
    </w:p>
    <w:p>
      <w:pPr>
        <w:ind w:firstLine="480" w:firstLineChars="200"/>
        <w:rPr>
          <w:sz w:val="24"/>
          <w:szCs w:val="24"/>
        </w:rPr>
      </w:pPr>
      <w:r>
        <w:rPr>
          <w:rFonts w:hint="eastAsia"/>
          <w:sz w:val="24"/>
          <w:szCs w:val="24"/>
        </w:rPr>
        <w:t>说明：以上资料报名时携带所有证书原件，另还需提供复印件加盖公章一份（鲜章）</w:t>
      </w:r>
    </w:p>
    <w:p>
      <w:pPr>
        <w:rPr>
          <w:sz w:val="24"/>
          <w:szCs w:val="24"/>
        </w:rPr>
      </w:pPr>
      <w:bookmarkStart w:id="61" w:name="_Toc23643"/>
      <w:bookmarkStart w:id="62" w:name="_Toc35393796"/>
      <w:bookmarkStart w:id="63" w:name="_Toc28359085"/>
      <w:bookmarkStart w:id="64" w:name="_Toc35393627"/>
      <w:bookmarkStart w:id="65" w:name="_Toc24280"/>
      <w:bookmarkStart w:id="66" w:name="_Toc24538"/>
      <w:bookmarkStart w:id="67" w:name="_Toc28359008"/>
      <w:r>
        <w:rPr>
          <w:rFonts w:hint="eastAsia"/>
          <w:sz w:val="24"/>
          <w:szCs w:val="24"/>
        </w:rPr>
        <w:t>七、对本次招标提出询问，请按以下方式联系。</w:t>
      </w:r>
      <w:bookmarkEnd w:id="61"/>
      <w:bookmarkEnd w:id="62"/>
      <w:bookmarkEnd w:id="63"/>
      <w:bookmarkEnd w:id="64"/>
      <w:bookmarkEnd w:id="65"/>
      <w:bookmarkEnd w:id="66"/>
      <w:bookmarkEnd w:id="67"/>
    </w:p>
    <w:p>
      <w:pPr>
        <w:rPr>
          <w:sz w:val="24"/>
          <w:szCs w:val="24"/>
        </w:rPr>
      </w:pPr>
      <w:r>
        <w:rPr>
          <w:rFonts w:hint="eastAsia"/>
          <w:sz w:val="24"/>
          <w:szCs w:val="24"/>
        </w:rPr>
        <w:t>1.采购人信息</w:t>
      </w:r>
    </w:p>
    <w:p>
      <w:pPr>
        <w:ind w:firstLine="480" w:firstLineChars="200"/>
        <w:rPr>
          <w:sz w:val="24"/>
          <w:szCs w:val="24"/>
        </w:rPr>
      </w:pPr>
      <w:r>
        <w:rPr>
          <w:rFonts w:hint="eastAsia"/>
          <w:sz w:val="24"/>
          <w:szCs w:val="24"/>
        </w:rPr>
        <w:t>名 称：乌鲁木齐市血液中心　　　　　　　　　　　　</w:t>
      </w:r>
    </w:p>
    <w:p>
      <w:pPr>
        <w:ind w:firstLine="480" w:firstLineChars="200"/>
        <w:rPr>
          <w:sz w:val="24"/>
          <w:szCs w:val="24"/>
        </w:rPr>
      </w:pPr>
      <w:r>
        <w:rPr>
          <w:rFonts w:hint="eastAsia"/>
          <w:sz w:val="24"/>
          <w:szCs w:val="24"/>
        </w:rPr>
        <w:t>地址：平顶山东1路33号　　　　　　　　　　　　</w:t>
      </w:r>
    </w:p>
    <w:p>
      <w:pPr>
        <w:ind w:firstLine="480" w:firstLineChars="200"/>
        <w:rPr>
          <w:sz w:val="24"/>
          <w:szCs w:val="24"/>
        </w:rPr>
      </w:pPr>
      <w:r>
        <w:rPr>
          <w:rFonts w:hint="eastAsia"/>
          <w:sz w:val="24"/>
          <w:szCs w:val="24"/>
        </w:rPr>
        <w:t>联系人：王亮</w:t>
      </w:r>
    </w:p>
    <w:p>
      <w:pPr>
        <w:ind w:firstLine="480" w:firstLineChars="200"/>
      </w:pPr>
      <w:r>
        <w:rPr>
          <w:rFonts w:hint="eastAsia"/>
          <w:sz w:val="24"/>
          <w:szCs w:val="24"/>
        </w:rPr>
        <w:t>联系方式：0991-8738042</w:t>
      </w:r>
    </w:p>
    <w:p>
      <w:pPr>
        <w:rPr>
          <w:sz w:val="24"/>
          <w:szCs w:val="24"/>
        </w:rPr>
      </w:pPr>
      <w:bookmarkStart w:id="68" w:name="_Toc28359086"/>
      <w:bookmarkStart w:id="69" w:name="_Toc28359009"/>
      <w:r>
        <w:rPr>
          <w:rFonts w:hint="eastAsia"/>
          <w:sz w:val="24"/>
          <w:szCs w:val="24"/>
        </w:rPr>
        <w:t>2.采购代理机构信息</w:t>
      </w:r>
      <w:bookmarkEnd w:id="68"/>
      <w:bookmarkEnd w:id="69"/>
    </w:p>
    <w:p>
      <w:pPr>
        <w:ind w:firstLine="480" w:firstLineChars="200"/>
        <w:rPr>
          <w:sz w:val="24"/>
          <w:szCs w:val="24"/>
        </w:rPr>
      </w:pPr>
      <w:r>
        <w:rPr>
          <w:rFonts w:hint="eastAsia"/>
          <w:sz w:val="24"/>
          <w:szCs w:val="24"/>
        </w:rPr>
        <w:t>名 称：新疆西北招标有限公司</w:t>
      </w:r>
    </w:p>
    <w:p>
      <w:pPr>
        <w:ind w:firstLine="480" w:firstLineChars="200"/>
        <w:rPr>
          <w:sz w:val="24"/>
          <w:szCs w:val="24"/>
        </w:rPr>
      </w:pPr>
      <w:r>
        <w:rPr>
          <w:rFonts w:hint="eastAsia"/>
          <w:sz w:val="24"/>
          <w:szCs w:val="24"/>
        </w:rPr>
        <w:t>地　址：乌鲁木齐市伊宁路318号江西大厦9楼</w:t>
      </w:r>
    </w:p>
    <w:p>
      <w:pPr>
        <w:ind w:firstLine="480" w:firstLineChars="200"/>
        <w:rPr>
          <w:sz w:val="24"/>
          <w:szCs w:val="24"/>
        </w:rPr>
      </w:pPr>
      <w:r>
        <w:rPr>
          <w:rFonts w:hint="eastAsia"/>
          <w:sz w:val="24"/>
          <w:szCs w:val="24"/>
        </w:rPr>
        <w:t>联系方式：</w:t>
      </w:r>
      <w:bookmarkStart w:id="70" w:name="_Toc28359087"/>
      <w:bookmarkStart w:id="71" w:name="_Toc28359010"/>
      <w:r>
        <w:rPr>
          <w:rFonts w:hint="eastAsia"/>
          <w:sz w:val="24"/>
          <w:szCs w:val="24"/>
        </w:rPr>
        <w:t>0991-5823555</w:t>
      </w:r>
    </w:p>
    <w:p>
      <w:pPr>
        <w:rPr>
          <w:sz w:val="24"/>
          <w:szCs w:val="24"/>
        </w:rPr>
      </w:pPr>
      <w:r>
        <w:rPr>
          <w:rFonts w:hint="eastAsia"/>
          <w:sz w:val="24"/>
          <w:szCs w:val="24"/>
        </w:rPr>
        <w:t>3.项目联系方式</w:t>
      </w:r>
      <w:bookmarkEnd w:id="70"/>
      <w:bookmarkEnd w:id="71"/>
    </w:p>
    <w:p>
      <w:pPr>
        <w:ind w:firstLine="480" w:firstLineChars="200"/>
        <w:rPr>
          <w:sz w:val="24"/>
          <w:szCs w:val="24"/>
        </w:rPr>
      </w:pPr>
      <w:r>
        <w:rPr>
          <w:rFonts w:hint="eastAsia"/>
          <w:sz w:val="24"/>
          <w:szCs w:val="24"/>
        </w:rPr>
        <w:t>项目联系人：王静、陈玉萍</w:t>
      </w:r>
    </w:p>
    <w:p>
      <w:pPr>
        <w:ind w:firstLine="480" w:firstLineChars="200"/>
        <w:rPr>
          <w:rFonts w:hint="eastAsia" w:eastAsia="宋体"/>
          <w:sz w:val="24"/>
          <w:szCs w:val="24"/>
          <w:lang w:val="en-US" w:eastAsia="zh-CN"/>
        </w:rPr>
      </w:pPr>
      <w:r>
        <w:rPr>
          <w:rFonts w:hint="eastAsia"/>
          <w:sz w:val="24"/>
          <w:szCs w:val="24"/>
        </w:rPr>
        <w:t>电　话：0991-582355</w:t>
      </w:r>
      <w:r>
        <w:rPr>
          <w:rFonts w:hint="eastAsia"/>
          <w:sz w:val="24"/>
          <w:szCs w:val="24"/>
          <w:lang w:val="en-US" w:eastAsia="zh-CN"/>
        </w:rPr>
        <w:t>5</w:t>
      </w:r>
    </w:p>
    <w:p/>
    <w:p>
      <w:pPr>
        <w:jc w:val="right"/>
        <w:rPr>
          <w:sz w:val="24"/>
          <w:szCs w:val="24"/>
        </w:rPr>
      </w:pPr>
    </w:p>
    <w:p>
      <w:pPr>
        <w:jc w:val="right"/>
        <w:rPr>
          <w:kern w:val="0"/>
          <w:sz w:val="24"/>
          <w:szCs w:val="24"/>
        </w:rPr>
      </w:pPr>
    </w:p>
    <w:p>
      <w:pPr>
        <w:tabs>
          <w:tab w:val="left" w:pos="360"/>
        </w:tabs>
        <w:spacing w:line="400" w:lineRule="atLeast"/>
        <w:jc w:val="center"/>
        <w:rPr>
          <w:rStyle w:val="94"/>
          <w:sz w:val="36"/>
          <w:szCs w:val="36"/>
        </w:rPr>
      </w:pPr>
      <w:r>
        <w:rPr>
          <w:sz w:val="32"/>
          <w:szCs w:val="32"/>
        </w:rPr>
        <w:br w:type="page"/>
      </w:r>
      <w:bookmarkStart w:id="72" w:name="_Toc349573119"/>
      <w:bookmarkStart w:id="73" w:name="_Toc349637918"/>
      <w:bookmarkStart w:id="74" w:name="_Toc298240403"/>
      <w:bookmarkStart w:id="75" w:name="_Toc19920"/>
      <w:r>
        <w:rPr>
          <w:rStyle w:val="94"/>
          <w:sz w:val="36"/>
          <w:szCs w:val="36"/>
        </w:rPr>
        <w:t>第二部分投标人须知</w:t>
      </w:r>
      <w:bookmarkEnd w:id="7"/>
      <w:bookmarkEnd w:id="72"/>
      <w:bookmarkEnd w:id="73"/>
      <w:bookmarkEnd w:id="74"/>
    </w:p>
    <w:bookmarkEnd w:id="75"/>
    <w:p>
      <w:pPr>
        <w:spacing w:line="400" w:lineRule="atLeast"/>
        <w:rPr>
          <w:sz w:val="24"/>
          <w:u w:val="single"/>
        </w:rPr>
      </w:pPr>
    </w:p>
    <w:p>
      <w:pPr>
        <w:spacing w:line="400" w:lineRule="atLeast"/>
        <w:rPr>
          <w:sz w:val="24"/>
          <w:u w:val="single"/>
        </w:rPr>
      </w:pPr>
      <w:r>
        <w:rPr>
          <w:sz w:val="24"/>
          <w:u w:val="single"/>
        </w:rPr>
        <w:t>目录</w:t>
      </w:r>
    </w:p>
    <w:p>
      <w:pPr>
        <w:spacing w:line="400" w:lineRule="atLeast"/>
        <w:rPr>
          <w:sz w:val="24"/>
        </w:rPr>
      </w:pP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说明</w:t>
      </w:r>
    </w:p>
    <w:p>
      <w:pPr>
        <w:pStyle w:val="18"/>
        <w:spacing w:line="400" w:lineRule="atLeast"/>
        <w:rPr>
          <w:rFonts w:ascii="Times New Roman" w:hAnsi="Times New Roman"/>
          <w:sz w:val="24"/>
          <w:szCs w:val="24"/>
        </w:rPr>
      </w:pPr>
      <w:r>
        <w:rPr>
          <w:rFonts w:ascii="Times New Roman" w:hAnsi="Times New Roman"/>
          <w:sz w:val="24"/>
          <w:szCs w:val="24"/>
        </w:rPr>
        <w:t>1.适用范围</w:t>
      </w:r>
    </w:p>
    <w:p>
      <w:pPr>
        <w:pStyle w:val="18"/>
        <w:spacing w:line="400" w:lineRule="atLeast"/>
        <w:rPr>
          <w:rFonts w:ascii="Times New Roman" w:hAnsi="Times New Roman"/>
          <w:sz w:val="24"/>
          <w:szCs w:val="24"/>
        </w:rPr>
      </w:pPr>
      <w:r>
        <w:rPr>
          <w:rFonts w:ascii="Times New Roman" w:hAnsi="Times New Roman"/>
          <w:sz w:val="24"/>
          <w:szCs w:val="24"/>
        </w:rPr>
        <w:t>2.定义</w:t>
      </w:r>
    </w:p>
    <w:p>
      <w:pPr>
        <w:pStyle w:val="18"/>
        <w:spacing w:line="400" w:lineRule="atLeast"/>
        <w:rPr>
          <w:rFonts w:ascii="Times New Roman" w:hAnsi="Times New Roman"/>
          <w:sz w:val="24"/>
          <w:szCs w:val="24"/>
        </w:rPr>
      </w:pPr>
      <w:r>
        <w:rPr>
          <w:rFonts w:ascii="Times New Roman" w:hAnsi="Times New Roman"/>
          <w:sz w:val="24"/>
          <w:szCs w:val="24"/>
        </w:rPr>
        <w:t>3.合格的投标商</w:t>
      </w:r>
    </w:p>
    <w:p>
      <w:pPr>
        <w:pStyle w:val="18"/>
        <w:spacing w:line="400" w:lineRule="atLeast"/>
        <w:rPr>
          <w:rFonts w:ascii="Times New Roman" w:hAnsi="Times New Roman"/>
          <w:sz w:val="24"/>
          <w:szCs w:val="24"/>
        </w:rPr>
      </w:pPr>
      <w:r>
        <w:rPr>
          <w:rFonts w:ascii="Times New Roman" w:hAnsi="Times New Roman"/>
          <w:sz w:val="24"/>
          <w:szCs w:val="24"/>
        </w:rPr>
        <w:t>4.投标商资格</w:t>
      </w:r>
    </w:p>
    <w:p>
      <w:pPr>
        <w:pStyle w:val="18"/>
        <w:spacing w:line="400" w:lineRule="atLeast"/>
        <w:rPr>
          <w:rFonts w:ascii="Times New Roman" w:hAnsi="Times New Roman"/>
          <w:sz w:val="24"/>
          <w:szCs w:val="24"/>
        </w:rPr>
      </w:pPr>
      <w:r>
        <w:rPr>
          <w:rFonts w:ascii="Times New Roman" w:hAnsi="Times New Roman"/>
          <w:sz w:val="24"/>
          <w:szCs w:val="24"/>
        </w:rPr>
        <w:t>5.投标费用</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招标文件</w:t>
      </w:r>
    </w:p>
    <w:p>
      <w:pPr>
        <w:pStyle w:val="18"/>
        <w:spacing w:line="400" w:lineRule="atLeast"/>
        <w:rPr>
          <w:rFonts w:ascii="Times New Roman" w:hAnsi="Times New Roman"/>
          <w:sz w:val="24"/>
          <w:szCs w:val="24"/>
        </w:rPr>
      </w:pPr>
      <w:r>
        <w:rPr>
          <w:rFonts w:ascii="Times New Roman" w:hAnsi="Times New Roman"/>
          <w:sz w:val="24"/>
          <w:szCs w:val="24"/>
        </w:rPr>
        <w:t>6.招标文件构成</w:t>
      </w:r>
    </w:p>
    <w:p>
      <w:pPr>
        <w:pStyle w:val="18"/>
        <w:spacing w:line="400" w:lineRule="atLeast"/>
        <w:rPr>
          <w:rFonts w:ascii="Times New Roman" w:hAnsi="Times New Roman"/>
          <w:sz w:val="24"/>
          <w:szCs w:val="24"/>
        </w:rPr>
      </w:pPr>
      <w:r>
        <w:rPr>
          <w:rFonts w:ascii="Times New Roman" w:hAnsi="Times New Roman"/>
          <w:sz w:val="24"/>
          <w:szCs w:val="24"/>
        </w:rPr>
        <w:t>7.招标文件澄清</w:t>
      </w:r>
    </w:p>
    <w:p>
      <w:pPr>
        <w:pStyle w:val="18"/>
        <w:spacing w:line="400" w:lineRule="atLeast"/>
        <w:rPr>
          <w:rFonts w:ascii="Times New Roman" w:hAnsi="Times New Roman"/>
          <w:sz w:val="24"/>
          <w:szCs w:val="24"/>
        </w:rPr>
      </w:pPr>
      <w:r>
        <w:rPr>
          <w:rFonts w:ascii="Times New Roman" w:hAnsi="Times New Roman"/>
          <w:sz w:val="24"/>
          <w:szCs w:val="24"/>
        </w:rPr>
        <w:t>8.招标文件的修改</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投标文件的编写</w:t>
      </w:r>
    </w:p>
    <w:p>
      <w:pPr>
        <w:pStyle w:val="18"/>
        <w:spacing w:line="400" w:lineRule="atLeast"/>
        <w:rPr>
          <w:rFonts w:ascii="Times New Roman" w:hAnsi="Times New Roman"/>
          <w:sz w:val="24"/>
          <w:szCs w:val="24"/>
        </w:rPr>
      </w:pPr>
      <w:r>
        <w:rPr>
          <w:rFonts w:ascii="Times New Roman" w:hAnsi="Times New Roman"/>
          <w:sz w:val="24"/>
          <w:szCs w:val="24"/>
        </w:rPr>
        <w:t>9.要求</w:t>
      </w:r>
    </w:p>
    <w:p>
      <w:pPr>
        <w:pStyle w:val="18"/>
        <w:spacing w:line="400" w:lineRule="atLeast"/>
        <w:rPr>
          <w:rFonts w:ascii="Times New Roman" w:hAnsi="Times New Roman"/>
          <w:sz w:val="24"/>
          <w:szCs w:val="24"/>
        </w:rPr>
      </w:pPr>
      <w:r>
        <w:rPr>
          <w:rFonts w:ascii="Times New Roman" w:hAnsi="Times New Roman"/>
          <w:sz w:val="24"/>
          <w:szCs w:val="24"/>
        </w:rPr>
        <w:t>10.投标语言</w:t>
      </w:r>
    </w:p>
    <w:p>
      <w:pPr>
        <w:pStyle w:val="18"/>
        <w:spacing w:line="400" w:lineRule="atLeast"/>
        <w:rPr>
          <w:rFonts w:ascii="Times New Roman" w:hAnsi="Times New Roman"/>
          <w:sz w:val="24"/>
          <w:szCs w:val="24"/>
        </w:rPr>
      </w:pPr>
      <w:r>
        <w:rPr>
          <w:rFonts w:ascii="Times New Roman" w:hAnsi="Times New Roman"/>
          <w:sz w:val="24"/>
          <w:szCs w:val="24"/>
        </w:rPr>
        <w:t>11.投标文件的构成</w:t>
      </w:r>
    </w:p>
    <w:p>
      <w:pPr>
        <w:pStyle w:val="18"/>
        <w:spacing w:line="400" w:lineRule="atLeast"/>
        <w:rPr>
          <w:rFonts w:ascii="Times New Roman" w:hAnsi="Times New Roman"/>
          <w:sz w:val="24"/>
          <w:szCs w:val="24"/>
        </w:rPr>
      </w:pPr>
      <w:r>
        <w:rPr>
          <w:rFonts w:ascii="Times New Roman" w:hAnsi="Times New Roman"/>
          <w:sz w:val="24"/>
          <w:szCs w:val="24"/>
        </w:rPr>
        <w:t>12.投标文件格式</w:t>
      </w:r>
    </w:p>
    <w:p>
      <w:pPr>
        <w:pStyle w:val="18"/>
        <w:spacing w:line="400" w:lineRule="atLeast"/>
        <w:rPr>
          <w:rFonts w:ascii="Times New Roman" w:hAnsi="Times New Roman"/>
          <w:sz w:val="24"/>
          <w:szCs w:val="24"/>
        </w:rPr>
      </w:pPr>
      <w:r>
        <w:rPr>
          <w:rFonts w:ascii="Times New Roman" w:hAnsi="Times New Roman"/>
          <w:sz w:val="24"/>
          <w:szCs w:val="24"/>
        </w:rPr>
        <w:t>13.投标报价</w:t>
      </w:r>
    </w:p>
    <w:p>
      <w:pPr>
        <w:pStyle w:val="18"/>
        <w:spacing w:line="400" w:lineRule="atLeast"/>
        <w:rPr>
          <w:rFonts w:ascii="Times New Roman" w:hAnsi="Times New Roman"/>
          <w:sz w:val="24"/>
          <w:szCs w:val="24"/>
        </w:rPr>
      </w:pPr>
      <w:r>
        <w:rPr>
          <w:rFonts w:ascii="Times New Roman" w:hAnsi="Times New Roman"/>
          <w:sz w:val="24"/>
          <w:szCs w:val="24"/>
        </w:rPr>
        <w:t>14.投标货币</w:t>
      </w:r>
    </w:p>
    <w:p>
      <w:pPr>
        <w:pStyle w:val="18"/>
        <w:spacing w:line="400" w:lineRule="atLeast"/>
        <w:rPr>
          <w:rFonts w:ascii="Times New Roman" w:hAnsi="Times New Roman"/>
          <w:sz w:val="24"/>
          <w:szCs w:val="24"/>
        </w:rPr>
      </w:pPr>
      <w:r>
        <w:rPr>
          <w:rFonts w:ascii="Times New Roman" w:hAnsi="Times New Roman"/>
          <w:sz w:val="24"/>
          <w:szCs w:val="24"/>
        </w:rPr>
        <w:t>15.投标商资格的证明文件</w:t>
      </w:r>
    </w:p>
    <w:p>
      <w:pPr>
        <w:pStyle w:val="18"/>
        <w:spacing w:line="400" w:lineRule="atLeast"/>
        <w:rPr>
          <w:rFonts w:ascii="Times New Roman" w:hAnsi="Times New Roman"/>
          <w:sz w:val="24"/>
          <w:szCs w:val="24"/>
        </w:rPr>
      </w:pPr>
      <w:r>
        <w:rPr>
          <w:rFonts w:ascii="Times New Roman" w:hAnsi="Times New Roman"/>
          <w:sz w:val="24"/>
          <w:szCs w:val="24"/>
        </w:rPr>
        <w:t>16.投标货物符合招标文件规定的技术响应文件</w:t>
      </w:r>
    </w:p>
    <w:p>
      <w:pPr>
        <w:pStyle w:val="18"/>
        <w:spacing w:line="400" w:lineRule="atLeast"/>
        <w:rPr>
          <w:rFonts w:ascii="Times New Roman" w:hAnsi="Times New Roman"/>
          <w:sz w:val="24"/>
          <w:szCs w:val="24"/>
        </w:rPr>
      </w:pPr>
      <w:r>
        <w:rPr>
          <w:rFonts w:ascii="Times New Roman" w:hAnsi="Times New Roman"/>
          <w:sz w:val="24"/>
          <w:szCs w:val="24"/>
        </w:rPr>
        <w:t>17.投标有效期</w:t>
      </w:r>
    </w:p>
    <w:p>
      <w:pPr>
        <w:pStyle w:val="18"/>
        <w:spacing w:line="400" w:lineRule="atLeast"/>
        <w:rPr>
          <w:rFonts w:ascii="Times New Roman" w:hAnsi="Times New Roman"/>
          <w:sz w:val="24"/>
          <w:szCs w:val="24"/>
        </w:rPr>
      </w:pPr>
      <w:r>
        <w:rPr>
          <w:rFonts w:ascii="Times New Roman" w:hAnsi="Times New Roman"/>
          <w:sz w:val="24"/>
          <w:szCs w:val="24"/>
        </w:rPr>
        <w:t>18.投标文件的书写要求</w:t>
      </w:r>
    </w:p>
    <w:p>
      <w:pPr>
        <w:pStyle w:val="18"/>
        <w:spacing w:line="400" w:lineRule="atLeast"/>
        <w:rPr>
          <w:rFonts w:ascii="Times New Roman" w:hAnsi="Times New Roman"/>
          <w:sz w:val="24"/>
          <w:szCs w:val="24"/>
        </w:rPr>
      </w:pPr>
      <w:r>
        <w:rPr>
          <w:rFonts w:ascii="Times New Roman" w:hAnsi="Times New Roman"/>
          <w:sz w:val="24"/>
          <w:szCs w:val="24"/>
        </w:rPr>
        <w:t>19.投标保证金</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投标文件的递交</w:t>
      </w:r>
    </w:p>
    <w:p>
      <w:pPr>
        <w:pStyle w:val="18"/>
        <w:spacing w:line="400" w:lineRule="atLeast"/>
        <w:rPr>
          <w:rFonts w:ascii="Times New Roman" w:hAnsi="Times New Roman"/>
          <w:sz w:val="24"/>
          <w:szCs w:val="24"/>
        </w:rPr>
      </w:pPr>
      <w:r>
        <w:rPr>
          <w:rFonts w:ascii="Times New Roman" w:hAnsi="Times New Roman"/>
          <w:sz w:val="24"/>
          <w:szCs w:val="24"/>
        </w:rPr>
        <w:t>20.投标文件的密封与标记</w:t>
      </w:r>
    </w:p>
    <w:p>
      <w:pPr>
        <w:pStyle w:val="18"/>
        <w:spacing w:line="400" w:lineRule="atLeast"/>
        <w:rPr>
          <w:rFonts w:ascii="Times New Roman" w:hAnsi="Times New Roman"/>
          <w:sz w:val="24"/>
          <w:szCs w:val="24"/>
        </w:rPr>
      </w:pPr>
      <w:r>
        <w:rPr>
          <w:rFonts w:ascii="Times New Roman" w:hAnsi="Times New Roman"/>
          <w:sz w:val="24"/>
          <w:szCs w:val="24"/>
        </w:rPr>
        <w:t>21.投标截止时间</w:t>
      </w:r>
    </w:p>
    <w:p>
      <w:pPr>
        <w:pStyle w:val="18"/>
        <w:spacing w:line="400" w:lineRule="atLeast"/>
        <w:rPr>
          <w:rFonts w:ascii="Times New Roman" w:hAnsi="Times New Roman"/>
          <w:sz w:val="24"/>
          <w:szCs w:val="24"/>
        </w:rPr>
      </w:pPr>
      <w:r>
        <w:rPr>
          <w:rFonts w:ascii="Times New Roman" w:hAnsi="Times New Roman"/>
          <w:sz w:val="24"/>
          <w:szCs w:val="24"/>
        </w:rPr>
        <w:t>22.投标文件的修改和撤销</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评标程序</w:t>
      </w:r>
    </w:p>
    <w:p>
      <w:pPr>
        <w:pStyle w:val="18"/>
        <w:spacing w:line="400" w:lineRule="atLeast"/>
        <w:rPr>
          <w:rFonts w:ascii="Times New Roman" w:hAnsi="Times New Roman"/>
          <w:sz w:val="24"/>
          <w:szCs w:val="24"/>
        </w:rPr>
      </w:pPr>
      <w:r>
        <w:rPr>
          <w:rFonts w:ascii="Times New Roman" w:hAnsi="Times New Roman"/>
          <w:sz w:val="24"/>
          <w:szCs w:val="24"/>
        </w:rPr>
        <w:t>23.开标</w:t>
      </w:r>
    </w:p>
    <w:p>
      <w:pPr>
        <w:pStyle w:val="18"/>
        <w:spacing w:line="400" w:lineRule="atLeast"/>
        <w:rPr>
          <w:rFonts w:ascii="Times New Roman" w:hAnsi="Times New Roman"/>
          <w:sz w:val="24"/>
          <w:szCs w:val="24"/>
        </w:rPr>
      </w:pPr>
      <w:r>
        <w:rPr>
          <w:rFonts w:ascii="Times New Roman" w:hAnsi="Times New Roman"/>
          <w:sz w:val="24"/>
          <w:szCs w:val="24"/>
        </w:rPr>
        <w:t>24.评标过程</w:t>
      </w:r>
    </w:p>
    <w:p>
      <w:pPr>
        <w:pStyle w:val="18"/>
        <w:spacing w:line="400" w:lineRule="atLeast"/>
        <w:rPr>
          <w:rFonts w:ascii="Times New Roman" w:hAnsi="Times New Roman"/>
          <w:sz w:val="24"/>
          <w:szCs w:val="24"/>
        </w:rPr>
      </w:pPr>
      <w:r>
        <w:rPr>
          <w:rFonts w:ascii="Times New Roman" w:hAnsi="Times New Roman"/>
          <w:sz w:val="24"/>
          <w:szCs w:val="24"/>
        </w:rPr>
        <w:t>25.投标文件的澄清</w:t>
      </w:r>
    </w:p>
    <w:p>
      <w:pPr>
        <w:pStyle w:val="18"/>
        <w:spacing w:line="400" w:lineRule="atLeast"/>
        <w:rPr>
          <w:rFonts w:ascii="Times New Roman" w:hAnsi="Times New Roman"/>
          <w:sz w:val="24"/>
          <w:szCs w:val="24"/>
        </w:rPr>
      </w:pPr>
      <w:r>
        <w:rPr>
          <w:rFonts w:ascii="Times New Roman" w:hAnsi="Times New Roman"/>
          <w:sz w:val="24"/>
          <w:szCs w:val="24"/>
        </w:rPr>
        <w:t>26.对投标文件的评标</w:t>
      </w:r>
    </w:p>
    <w:p>
      <w:pPr>
        <w:pStyle w:val="18"/>
        <w:spacing w:line="400" w:lineRule="atLeast"/>
        <w:rPr>
          <w:rFonts w:ascii="Times New Roman" w:hAnsi="Times New Roman"/>
          <w:sz w:val="24"/>
          <w:szCs w:val="24"/>
        </w:rPr>
      </w:pPr>
      <w:r>
        <w:rPr>
          <w:rFonts w:ascii="Times New Roman" w:hAnsi="Times New Roman"/>
          <w:sz w:val="24"/>
          <w:szCs w:val="24"/>
        </w:rPr>
        <w:t>27.评标过程的保密性</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授予合同</w:t>
      </w:r>
    </w:p>
    <w:p>
      <w:pPr>
        <w:pStyle w:val="18"/>
        <w:spacing w:line="400" w:lineRule="atLeast"/>
        <w:rPr>
          <w:rFonts w:ascii="Times New Roman" w:hAnsi="Times New Roman"/>
          <w:sz w:val="24"/>
          <w:szCs w:val="24"/>
        </w:rPr>
      </w:pPr>
      <w:r>
        <w:rPr>
          <w:rFonts w:ascii="Times New Roman" w:hAnsi="Times New Roman"/>
          <w:sz w:val="24"/>
          <w:szCs w:val="24"/>
        </w:rPr>
        <w:t>28.合同授予标准</w:t>
      </w:r>
    </w:p>
    <w:p>
      <w:pPr>
        <w:pStyle w:val="18"/>
        <w:spacing w:line="400" w:lineRule="atLeast"/>
        <w:rPr>
          <w:rFonts w:ascii="Times New Roman" w:hAnsi="Times New Roman"/>
          <w:sz w:val="24"/>
          <w:szCs w:val="24"/>
        </w:rPr>
      </w:pPr>
      <w:r>
        <w:rPr>
          <w:rFonts w:ascii="Times New Roman" w:hAnsi="Times New Roman"/>
          <w:sz w:val="24"/>
          <w:szCs w:val="24"/>
        </w:rPr>
        <w:t>29.接受和拒绝任何或所有投标的权力</w:t>
      </w:r>
    </w:p>
    <w:p>
      <w:pPr>
        <w:pStyle w:val="18"/>
        <w:spacing w:line="400" w:lineRule="atLeast"/>
        <w:rPr>
          <w:rFonts w:ascii="Times New Roman" w:hAnsi="Times New Roman"/>
          <w:sz w:val="24"/>
          <w:szCs w:val="24"/>
        </w:rPr>
      </w:pPr>
      <w:r>
        <w:rPr>
          <w:rFonts w:ascii="Times New Roman" w:hAnsi="Times New Roman"/>
          <w:sz w:val="24"/>
          <w:szCs w:val="24"/>
        </w:rPr>
        <w:t>30.中标通知书</w:t>
      </w:r>
    </w:p>
    <w:p>
      <w:pPr>
        <w:pStyle w:val="18"/>
        <w:spacing w:line="400" w:lineRule="atLeast"/>
        <w:rPr>
          <w:rFonts w:ascii="Times New Roman" w:hAnsi="Times New Roman"/>
          <w:sz w:val="24"/>
          <w:szCs w:val="24"/>
        </w:rPr>
      </w:pPr>
      <w:r>
        <w:rPr>
          <w:rFonts w:ascii="Times New Roman" w:hAnsi="Times New Roman"/>
          <w:sz w:val="24"/>
          <w:szCs w:val="24"/>
        </w:rPr>
        <w:t>31.签订合同</w:t>
      </w:r>
    </w:p>
    <w:p>
      <w:pPr>
        <w:pStyle w:val="18"/>
        <w:spacing w:line="400" w:lineRule="atLeast"/>
        <w:rPr>
          <w:rFonts w:ascii="Times New Roman" w:hAnsi="Times New Roman"/>
          <w:sz w:val="24"/>
          <w:szCs w:val="24"/>
        </w:rPr>
      </w:pPr>
      <w:r>
        <w:rPr>
          <w:rFonts w:ascii="Times New Roman" w:hAnsi="Times New Roman"/>
          <w:sz w:val="24"/>
          <w:szCs w:val="24"/>
        </w:rPr>
        <w:t>32.招标代理标服务费</w:t>
      </w:r>
    </w:p>
    <w:p>
      <w:pPr>
        <w:pStyle w:val="18"/>
        <w:numPr>
          <w:ilvl w:val="0"/>
          <w:numId w:val="2"/>
        </w:numPr>
        <w:spacing w:line="400" w:lineRule="atLeast"/>
        <w:rPr>
          <w:rFonts w:ascii="Times New Roman" w:hAnsi="Times New Roman"/>
          <w:sz w:val="24"/>
          <w:szCs w:val="24"/>
        </w:rPr>
      </w:pPr>
      <w:r>
        <w:rPr>
          <w:rFonts w:ascii="Times New Roman" w:hAnsi="Times New Roman"/>
          <w:sz w:val="24"/>
          <w:szCs w:val="24"/>
        </w:rPr>
        <w:t>招标失败条件</w:t>
      </w: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pStyle w:val="4"/>
        <w:spacing w:before="0" w:after="100" w:afterAutospacing="1" w:line="400" w:lineRule="atLeast"/>
        <w:jc w:val="center"/>
        <w:rPr>
          <w:rFonts w:ascii="Times New Roman" w:hAnsi="Times New Roman" w:eastAsia="宋体"/>
          <w:sz w:val="28"/>
          <w:szCs w:val="28"/>
        </w:rPr>
      </w:pPr>
      <w:r>
        <w:rPr>
          <w:rFonts w:ascii="Times New Roman" w:hAnsi="Times New Roman" w:eastAsia="宋体"/>
          <w:b w:val="0"/>
          <w:sz w:val="24"/>
        </w:rPr>
        <w:br w:type="page"/>
      </w:r>
      <w:bookmarkStart w:id="76" w:name="_Toc267301281"/>
      <w:bookmarkStart w:id="77" w:name="_Toc349637919"/>
      <w:bookmarkStart w:id="78" w:name="_Toc349573120"/>
      <w:bookmarkStart w:id="79" w:name="_Toc4946"/>
      <w:bookmarkStart w:id="80" w:name="_Toc298240404"/>
      <w:bookmarkStart w:id="81" w:name="_Toc9058"/>
      <w:r>
        <w:rPr>
          <w:rFonts w:ascii="Times New Roman" w:hAnsi="Times New Roman" w:eastAsia="宋体"/>
          <w:sz w:val="28"/>
          <w:szCs w:val="28"/>
        </w:rPr>
        <w:t>投标人须知附表</w:t>
      </w:r>
      <w:bookmarkEnd w:id="76"/>
      <w:bookmarkEnd w:id="77"/>
      <w:bookmarkEnd w:id="78"/>
      <w:bookmarkEnd w:id="79"/>
      <w:bookmarkEnd w:id="80"/>
      <w:bookmarkEnd w:id="81"/>
    </w:p>
    <w:tbl>
      <w:tblPr>
        <w:tblStyle w:val="33"/>
        <w:tblW w:w="0" w:type="auto"/>
        <w:tblInd w:w="-3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sz w:val="24"/>
                <w:szCs w:val="24"/>
              </w:rPr>
            </w:pPr>
            <w:r>
              <w:rPr>
                <w:sz w:val="24"/>
                <w:szCs w:val="24"/>
              </w:rPr>
              <w:t>序号</w:t>
            </w:r>
          </w:p>
        </w:tc>
        <w:tc>
          <w:tcPr>
            <w:tcW w:w="9276" w:type="dxa"/>
            <w:tcBorders>
              <w:top w:val="single" w:color="auto" w:sz="4" w:space="0"/>
              <w:left w:val="single" w:color="auto" w:sz="4" w:space="0"/>
              <w:bottom w:val="single" w:color="auto" w:sz="4" w:space="0"/>
            </w:tcBorders>
            <w:vAlign w:val="center"/>
          </w:tcPr>
          <w:p>
            <w:pPr>
              <w:jc w:val="center"/>
              <w:rPr>
                <w:sz w:val="24"/>
                <w:szCs w:val="24"/>
              </w:rPr>
            </w:pPr>
            <w:r>
              <w:rPr>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40" w:type="dxa"/>
            <w:gridSpan w:val="2"/>
            <w:tcBorders>
              <w:top w:val="single" w:color="auto" w:sz="4" w:space="0"/>
              <w:bottom w:val="single" w:color="auto" w:sz="4" w:space="0"/>
            </w:tcBorders>
            <w:vAlign w:val="center"/>
          </w:tcPr>
          <w:p>
            <w:pPr>
              <w:jc w:val="center"/>
              <w:rPr>
                <w:sz w:val="24"/>
                <w:szCs w:val="24"/>
              </w:rPr>
            </w:pPr>
            <w:r>
              <w:rPr>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sz w:val="24"/>
                <w:szCs w:val="24"/>
              </w:rPr>
            </w:pPr>
            <w:r>
              <w:rPr>
                <w:sz w:val="24"/>
                <w:szCs w:val="24"/>
              </w:rPr>
              <w:t>1</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项目名称：</w:t>
            </w:r>
            <w:r>
              <w:rPr>
                <w:rFonts w:hint="eastAsia"/>
                <w:sz w:val="24"/>
                <w:szCs w:val="24"/>
                <w:lang w:eastAsia="zh-CN"/>
              </w:rPr>
              <w:t>乌鲁木齐市血液中心</w:t>
            </w:r>
            <w:r>
              <w:rPr>
                <w:rFonts w:hint="eastAsia"/>
                <w:sz w:val="24"/>
                <w:szCs w:val="24"/>
              </w:rPr>
              <w:t>建设项目专用设备（中华骨髓库HLA实验室仪器设备采购）项目</w:t>
            </w:r>
          </w:p>
          <w:p>
            <w:pPr>
              <w:widowControl/>
              <w:snapToGrid w:val="0"/>
              <w:spacing w:line="400" w:lineRule="exact"/>
              <w:jc w:val="left"/>
              <w:rPr>
                <w:sz w:val="24"/>
                <w:szCs w:val="24"/>
              </w:rPr>
            </w:pPr>
            <w:r>
              <w:rPr>
                <w:sz w:val="24"/>
                <w:szCs w:val="24"/>
              </w:rPr>
              <w:t>项目编号：</w:t>
            </w:r>
            <w:r>
              <w:rPr>
                <w:rFonts w:hint="eastAsia"/>
                <w:kern w:val="0"/>
                <w:sz w:val="24"/>
                <w:szCs w:val="24"/>
              </w:rPr>
              <w:t>2021-XBZC-01046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64" w:type="dxa"/>
            <w:tcBorders>
              <w:top w:val="single" w:color="auto" w:sz="4" w:space="0"/>
              <w:bottom w:val="single" w:color="auto" w:sz="4" w:space="0"/>
              <w:right w:val="single" w:color="auto" w:sz="4" w:space="0"/>
            </w:tcBorders>
            <w:vAlign w:val="center"/>
          </w:tcPr>
          <w:p>
            <w:pPr>
              <w:jc w:val="center"/>
              <w:rPr>
                <w:sz w:val="24"/>
                <w:szCs w:val="24"/>
              </w:rPr>
            </w:pPr>
            <w:r>
              <w:rPr>
                <w:sz w:val="24"/>
                <w:szCs w:val="24"/>
              </w:rPr>
              <w:t>2</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招标人名称：</w:t>
            </w:r>
            <w:r>
              <w:rPr>
                <w:rFonts w:hint="eastAsia"/>
                <w:sz w:val="24"/>
                <w:szCs w:val="24"/>
              </w:rPr>
              <w:t>乌鲁木齐市血液中心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sz w:val="24"/>
                <w:szCs w:val="24"/>
              </w:rPr>
            </w:pPr>
            <w:r>
              <w:rPr>
                <w:sz w:val="24"/>
                <w:szCs w:val="24"/>
              </w:rPr>
              <w:t>3</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招标代理机构名称：新疆西北招标有限公司</w:t>
            </w:r>
          </w:p>
          <w:p>
            <w:pPr>
              <w:rPr>
                <w:sz w:val="24"/>
                <w:szCs w:val="24"/>
              </w:rPr>
            </w:pPr>
            <w:r>
              <w:rPr>
                <w:sz w:val="24"/>
                <w:szCs w:val="24"/>
              </w:rPr>
              <w:t>单位地址：乌鲁木齐市伊宁路318号江西大厦9楼</w:t>
            </w:r>
          </w:p>
          <w:p>
            <w:pPr>
              <w:rPr>
                <w:sz w:val="24"/>
                <w:szCs w:val="24"/>
              </w:rPr>
            </w:pPr>
            <w:r>
              <w:rPr>
                <w:sz w:val="24"/>
                <w:szCs w:val="24"/>
              </w:rPr>
              <w:t>邮编：830000</w:t>
            </w:r>
          </w:p>
          <w:p>
            <w:pPr>
              <w:rPr>
                <w:sz w:val="24"/>
                <w:szCs w:val="24"/>
              </w:rPr>
            </w:pPr>
            <w:r>
              <w:rPr>
                <w:sz w:val="24"/>
                <w:szCs w:val="24"/>
              </w:rPr>
              <w:t>电话：0991-5823555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sz w:val="24"/>
                <w:szCs w:val="24"/>
                <w:lang w:val="en-US" w:eastAsia="zh-CN"/>
              </w:rPr>
              <w:t>4</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付款方式：</w:t>
            </w:r>
            <w:r>
              <w:rPr>
                <w:rFonts w:hint="eastAsia"/>
                <w:sz w:val="24"/>
                <w:szCs w:val="24"/>
              </w:rPr>
              <w:t>货到验收合格后付95%，使用满一年后付5%质保金。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5</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交货日期：</w:t>
            </w:r>
            <w:r>
              <w:rPr>
                <w:rFonts w:hint="eastAsia"/>
                <w:sz w:val="24"/>
                <w:szCs w:val="24"/>
              </w:rPr>
              <w:t>交货时间≤40天。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6</w:t>
            </w:r>
          </w:p>
        </w:tc>
        <w:tc>
          <w:tcPr>
            <w:tcW w:w="927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质保期：验收合格后三年。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7</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投标保证金金额：预算价的2%</w:t>
            </w:r>
            <w:r>
              <w:rPr>
                <w:rFonts w:hint="eastAsia"/>
                <w:sz w:val="24"/>
                <w:szCs w:val="24"/>
              </w:rPr>
              <w:t>，第一包保证金：32000元；第二包保证金：78000元</w:t>
            </w:r>
          </w:p>
          <w:p>
            <w:pPr>
              <w:rPr>
                <w:sz w:val="24"/>
                <w:szCs w:val="24"/>
              </w:rPr>
            </w:pPr>
            <w:r>
              <w:rPr>
                <w:sz w:val="24"/>
                <w:szCs w:val="24"/>
              </w:rPr>
              <w:t>投标保证金形式：电汇，从投标人基本账户转入新疆西北招标有限公司账上。</w:t>
            </w:r>
          </w:p>
          <w:p>
            <w:pPr>
              <w:rPr>
                <w:sz w:val="24"/>
              </w:rPr>
            </w:pPr>
            <w:r>
              <w:rPr>
                <w:sz w:val="24"/>
              </w:rPr>
              <w:t>帐户名称：</w:t>
            </w:r>
            <w:r>
              <w:rPr>
                <w:sz w:val="24"/>
                <w:u w:val="single"/>
              </w:rPr>
              <w:t>新疆西北招标有限公司</w:t>
            </w:r>
          </w:p>
          <w:p>
            <w:pPr>
              <w:rPr>
                <w:sz w:val="24"/>
                <w:u w:val="single"/>
              </w:rPr>
            </w:pPr>
            <w:r>
              <w:rPr>
                <w:sz w:val="24"/>
              </w:rPr>
              <w:t>帐号：</w:t>
            </w:r>
            <w:r>
              <w:rPr>
                <w:sz w:val="24"/>
                <w:u w:val="single"/>
              </w:rPr>
              <w:t>107638779707</w:t>
            </w:r>
          </w:p>
          <w:p>
            <w:pPr>
              <w:rPr>
                <w:sz w:val="24"/>
                <w:u w:val="single"/>
              </w:rPr>
            </w:pPr>
            <w:r>
              <w:rPr>
                <w:sz w:val="24"/>
              </w:rPr>
              <w:t>开户银行：</w:t>
            </w:r>
            <w:r>
              <w:rPr>
                <w:sz w:val="24"/>
                <w:u w:val="single"/>
              </w:rPr>
              <w:t>中国银行乌鲁木齐市奇台路支行</w:t>
            </w:r>
          </w:p>
          <w:p>
            <w:pPr>
              <w:rPr>
                <w:sz w:val="24"/>
                <w:szCs w:val="24"/>
              </w:rPr>
            </w:pPr>
            <w:r>
              <w:rPr>
                <w:sz w:val="24"/>
                <w:szCs w:val="24"/>
              </w:rPr>
              <w:t>投标保证金有效期应当与投标有效期一致。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8</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投标语言：中文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9</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投标货币：人民币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040" w:type="dxa"/>
            <w:gridSpan w:val="2"/>
            <w:tcBorders>
              <w:top w:val="single" w:color="auto" w:sz="4" w:space="0"/>
              <w:bottom w:val="single" w:color="auto" w:sz="4" w:space="0"/>
            </w:tcBorders>
            <w:vAlign w:val="center"/>
          </w:tcPr>
          <w:p>
            <w:pPr>
              <w:jc w:val="center"/>
              <w:rPr>
                <w:sz w:val="24"/>
                <w:szCs w:val="24"/>
              </w:rPr>
            </w:pPr>
            <w:r>
              <w:rPr>
                <w:sz w:val="24"/>
                <w:szCs w:val="24"/>
              </w:rPr>
              <w:t>投标文件的编制和递交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64" w:type="dxa"/>
            <w:tcBorders>
              <w:top w:val="single" w:color="auto" w:sz="4" w:space="0"/>
              <w:bottom w:val="single" w:color="auto" w:sz="4" w:space="0"/>
              <w:right w:val="single" w:color="auto" w:sz="4" w:space="0"/>
            </w:tcBorders>
            <w:vAlign w:val="center"/>
          </w:tcPr>
          <w:p>
            <w:pPr>
              <w:tabs>
                <w:tab w:val="left" w:pos="252"/>
                <w:tab w:val="left" w:pos="671"/>
              </w:tabs>
              <w:jc w:val="center"/>
              <w:rPr>
                <w:rFonts w:hint="default" w:eastAsia="宋体"/>
                <w:spacing w:val="8"/>
                <w:sz w:val="24"/>
                <w:szCs w:val="24"/>
                <w:lang w:val="en-US" w:eastAsia="zh-CN"/>
              </w:rPr>
            </w:pPr>
            <w:r>
              <w:rPr>
                <w:rFonts w:hint="eastAsia"/>
                <w:spacing w:val="8"/>
                <w:sz w:val="24"/>
                <w:szCs w:val="24"/>
                <w:lang w:val="en-US" w:eastAsia="zh-CN"/>
              </w:rPr>
              <w:t>10</w:t>
            </w:r>
          </w:p>
        </w:tc>
        <w:tc>
          <w:tcPr>
            <w:tcW w:w="9276" w:type="dxa"/>
            <w:tcBorders>
              <w:top w:val="single" w:color="auto" w:sz="4" w:space="0"/>
              <w:left w:val="single" w:color="auto" w:sz="4" w:space="0"/>
              <w:bottom w:val="single" w:color="auto" w:sz="4" w:space="0"/>
            </w:tcBorders>
            <w:vAlign w:val="center"/>
          </w:tcPr>
          <w:p>
            <w:pPr>
              <w:tabs>
                <w:tab w:val="left" w:pos="252"/>
                <w:tab w:val="left" w:pos="671"/>
              </w:tabs>
              <w:rPr>
                <w:b/>
                <w:spacing w:val="8"/>
                <w:sz w:val="24"/>
                <w:szCs w:val="24"/>
              </w:rPr>
            </w:pPr>
            <w:r>
              <w:rPr>
                <w:b/>
                <w:spacing w:val="8"/>
                <w:sz w:val="24"/>
                <w:szCs w:val="24"/>
              </w:rPr>
              <w:t>投标商资格标准：</w:t>
            </w:r>
          </w:p>
          <w:p>
            <w:pPr>
              <w:widowControl/>
              <w:snapToGrid w:val="0"/>
              <w:spacing w:line="500" w:lineRule="exact"/>
              <w:ind w:firstLine="480" w:firstLineChars="200"/>
              <w:jc w:val="left"/>
              <w:rPr>
                <w:kern w:val="0"/>
                <w:sz w:val="24"/>
                <w:szCs w:val="24"/>
              </w:rPr>
            </w:pPr>
            <w:r>
              <w:rPr>
                <w:kern w:val="0"/>
                <w:sz w:val="24"/>
                <w:szCs w:val="24"/>
              </w:rPr>
              <w:t>1）投标人应出具三证合一的《营业执照》副本原件；</w:t>
            </w:r>
          </w:p>
          <w:p>
            <w:pPr>
              <w:widowControl/>
              <w:snapToGrid w:val="0"/>
              <w:spacing w:line="500" w:lineRule="exact"/>
              <w:ind w:firstLine="480" w:firstLineChars="200"/>
              <w:jc w:val="left"/>
              <w:rPr>
                <w:kern w:val="0"/>
                <w:sz w:val="24"/>
                <w:szCs w:val="24"/>
              </w:rPr>
            </w:pPr>
            <w:r>
              <w:rPr>
                <w:kern w:val="0"/>
                <w:sz w:val="24"/>
                <w:szCs w:val="24"/>
              </w:rPr>
              <w:t xml:space="preserve">2）投标人应出具《医疗器械生产企业许可证》或《医疗器械经营企业许可证》副本原件； </w:t>
            </w:r>
          </w:p>
          <w:p>
            <w:pPr>
              <w:widowControl/>
              <w:snapToGrid w:val="0"/>
              <w:spacing w:line="500" w:lineRule="exact"/>
              <w:ind w:firstLine="480" w:firstLineChars="200"/>
              <w:jc w:val="left"/>
              <w:rPr>
                <w:kern w:val="0"/>
                <w:sz w:val="24"/>
                <w:szCs w:val="24"/>
              </w:rPr>
            </w:pPr>
            <w:r>
              <w:rPr>
                <w:kern w:val="0"/>
                <w:sz w:val="24"/>
                <w:szCs w:val="24"/>
              </w:rPr>
              <w:t>3）法定代表人参加投标的，应提供法定代表人居民身份证；法定代表人授权人参加投标的，应提供法定代表人授权书及被授权人居民身份证；</w:t>
            </w:r>
          </w:p>
          <w:p>
            <w:pPr>
              <w:widowControl/>
              <w:snapToGrid w:val="0"/>
              <w:spacing w:line="500" w:lineRule="exact"/>
              <w:ind w:firstLine="480" w:firstLineChars="200"/>
              <w:jc w:val="left"/>
            </w:pPr>
            <w:r>
              <w:rPr>
                <w:rFonts w:hint="eastAsia" w:ascii="宋体" w:hAnsi="宋体" w:cs="宋体"/>
                <w:color w:val="000000"/>
                <w:kern w:val="0"/>
                <w:sz w:val="24"/>
                <w:szCs w:val="24"/>
              </w:rPr>
              <w:t>4）进口产品需提供生产厂家授权书原件；</w:t>
            </w:r>
          </w:p>
          <w:p>
            <w:pPr>
              <w:widowControl/>
              <w:snapToGrid w:val="0"/>
              <w:spacing w:line="500" w:lineRule="exact"/>
              <w:ind w:firstLine="480" w:firstLineChars="200"/>
              <w:jc w:val="left"/>
              <w:rPr>
                <w:sz w:val="24"/>
                <w:szCs w:val="24"/>
              </w:rPr>
            </w:pPr>
            <w:r>
              <w:rPr>
                <w:rFonts w:hint="eastAsia"/>
                <w:kern w:val="0"/>
                <w:sz w:val="24"/>
                <w:szCs w:val="24"/>
              </w:rPr>
              <w:t>5</w:t>
            </w:r>
            <w:r>
              <w:rPr>
                <w:kern w:val="0"/>
                <w:sz w:val="24"/>
                <w:szCs w:val="24"/>
              </w:rPr>
              <w:t>）</w:t>
            </w:r>
            <w:r>
              <w:rPr>
                <w:sz w:val="24"/>
                <w:szCs w:val="24"/>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widowControl/>
              <w:snapToGrid w:val="0"/>
              <w:spacing w:line="500" w:lineRule="exact"/>
              <w:ind w:firstLine="480" w:firstLineChars="200"/>
              <w:jc w:val="left"/>
              <w:rPr>
                <w:sz w:val="24"/>
                <w:szCs w:val="24"/>
              </w:rPr>
            </w:pPr>
            <w:r>
              <w:rPr>
                <w:rFonts w:hint="eastAsia"/>
                <w:sz w:val="24"/>
                <w:szCs w:val="24"/>
              </w:rPr>
              <w:t>6</w:t>
            </w:r>
            <w:r>
              <w:rPr>
                <w:sz w:val="24"/>
                <w:szCs w:val="24"/>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default" w:eastAsia="宋体"/>
                <w:sz w:val="24"/>
                <w:szCs w:val="24"/>
                <w:lang w:val="en-US" w:eastAsia="zh-CN"/>
              </w:rPr>
            </w:pPr>
            <w:r>
              <w:rPr>
                <w:rFonts w:hint="eastAsia"/>
                <w:sz w:val="24"/>
                <w:szCs w:val="24"/>
                <w:lang w:val="en-US" w:eastAsia="zh-CN"/>
              </w:rPr>
              <w:t>11</w:t>
            </w:r>
          </w:p>
        </w:tc>
        <w:tc>
          <w:tcPr>
            <w:tcW w:w="9276" w:type="dxa"/>
            <w:tcBorders>
              <w:top w:val="single" w:color="auto" w:sz="4" w:space="0"/>
              <w:left w:val="single" w:color="auto" w:sz="4" w:space="0"/>
              <w:bottom w:val="single" w:color="auto" w:sz="4" w:space="0"/>
            </w:tcBorders>
            <w:vAlign w:val="center"/>
          </w:tcPr>
          <w:p>
            <w:pPr>
              <w:rPr>
                <w:b/>
                <w:sz w:val="24"/>
                <w:szCs w:val="24"/>
              </w:rPr>
            </w:pPr>
            <w:r>
              <w:rPr>
                <w:b/>
                <w:sz w:val="24"/>
                <w:szCs w:val="24"/>
                <w:highlight w:val="yellow"/>
              </w:rPr>
              <w:t>投标有效期：</w:t>
            </w:r>
            <w:r>
              <w:rPr>
                <w:b/>
                <w:sz w:val="24"/>
                <w:szCs w:val="24"/>
                <w:highlight w:val="yellow"/>
                <w:u w:val="single"/>
              </w:rPr>
              <w:t>90</w:t>
            </w:r>
            <w:r>
              <w:rPr>
                <w:b/>
                <w:sz w:val="24"/>
                <w:szCs w:val="24"/>
                <w:highlight w:val="yellow"/>
              </w:rPr>
              <w:t>天（如不满足将导致废标）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bottom w:val="single" w:color="auto" w:sz="4" w:space="0"/>
              <w:right w:val="single" w:color="auto" w:sz="4" w:space="0"/>
            </w:tcBorders>
            <w:vAlign w:val="center"/>
          </w:tcPr>
          <w:p>
            <w:pPr>
              <w:jc w:val="center"/>
              <w:rPr>
                <w:rFonts w:hint="default" w:eastAsia="宋体"/>
                <w:sz w:val="24"/>
                <w:szCs w:val="24"/>
                <w:lang w:val="en-US" w:eastAsia="zh-CN"/>
              </w:rPr>
            </w:pPr>
            <w:r>
              <w:rPr>
                <w:rFonts w:hint="eastAsia"/>
                <w:sz w:val="24"/>
                <w:szCs w:val="24"/>
                <w:lang w:val="en-US" w:eastAsia="zh-CN"/>
              </w:rPr>
              <w:t>12</w:t>
            </w:r>
          </w:p>
        </w:tc>
        <w:tc>
          <w:tcPr>
            <w:tcW w:w="9276" w:type="dxa"/>
            <w:tcBorders>
              <w:top w:val="single" w:color="auto" w:sz="4" w:space="0"/>
              <w:left w:val="single" w:color="auto" w:sz="4" w:space="0"/>
              <w:bottom w:val="single" w:color="auto" w:sz="4" w:space="0"/>
            </w:tcBorders>
            <w:vAlign w:val="center"/>
          </w:tcPr>
          <w:p>
            <w:pPr>
              <w:rPr>
                <w:rFonts w:hint="eastAsia" w:eastAsia="宋体"/>
                <w:sz w:val="24"/>
                <w:szCs w:val="24"/>
                <w:lang w:eastAsia="zh-CN"/>
              </w:rPr>
            </w:pPr>
            <w:r>
              <w:rPr>
                <w:sz w:val="24"/>
                <w:szCs w:val="24"/>
              </w:rPr>
              <w:t>投标文件：多包投标单位需以包为单位独立封包，每包：一套正本，</w:t>
            </w:r>
            <w:r>
              <w:rPr>
                <w:rFonts w:hint="eastAsia"/>
                <w:sz w:val="24"/>
                <w:szCs w:val="24"/>
              </w:rPr>
              <w:t>四</w:t>
            </w:r>
            <w:r>
              <w:rPr>
                <w:sz w:val="24"/>
                <w:szCs w:val="24"/>
              </w:rPr>
              <w:t>套副本</w:t>
            </w:r>
            <w:r>
              <w:rPr>
                <w:rFonts w:hint="eastAsia"/>
                <w:sz w:val="24"/>
                <w:szCs w:val="24"/>
              </w:rPr>
              <w:t>一份电子版</w:t>
            </w:r>
            <w:r>
              <w:rPr>
                <w:rFonts w:hint="eastAsia"/>
                <w:sz w:val="24"/>
                <w:szCs w:val="24"/>
                <w:lang w:eastAsia="zh-CN"/>
              </w:rPr>
              <w:t>，另单独提供一份报价单。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sz w:val="24"/>
                <w:szCs w:val="24"/>
              </w:rPr>
              <w:t>1</w:t>
            </w:r>
            <w:r>
              <w:rPr>
                <w:rFonts w:hint="eastAsia"/>
                <w:sz w:val="24"/>
                <w:szCs w:val="24"/>
                <w:lang w:val="en-US" w:eastAsia="zh-CN"/>
              </w:rPr>
              <w:t>3</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投标文件以密封形式递交至：开标现场</w:t>
            </w:r>
          </w:p>
          <w:p>
            <w:pPr>
              <w:rPr>
                <w:sz w:val="24"/>
                <w:szCs w:val="24"/>
              </w:rPr>
            </w:pPr>
            <w:r>
              <w:rPr>
                <w:sz w:val="24"/>
                <w:szCs w:val="24"/>
              </w:rPr>
              <w:t>投标文件递交截止时间：</w:t>
            </w:r>
            <w:r>
              <w:rPr>
                <w:rFonts w:hint="eastAsia"/>
                <w:kern w:val="0"/>
                <w:sz w:val="24"/>
                <w:szCs w:val="24"/>
              </w:rPr>
              <w:t>2021年</w:t>
            </w:r>
            <w:r>
              <w:rPr>
                <w:rFonts w:hint="eastAsia"/>
                <w:kern w:val="0"/>
                <w:sz w:val="24"/>
                <w:szCs w:val="24"/>
                <w:lang w:val="en-US" w:eastAsia="zh-CN"/>
              </w:rPr>
              <w:t>06月24日</w:t>
            </w:r>
            <w:r>
              <w:rPr>
                <w:rFonts w:hint="eastAsia"/>
                <w:kern w:val="0"/>
                <w:sz w:val="24"/>
                <w:szCs w:val="24"/>
              </w:rPr>
              <w:t>1</w:t>
            </w:r>
            <w:r>
              <w:rPr>
                <w:sz w:val="24"/>
                <w:szCs w:val="24"/>
              </w:rPr>
              <w:t>1：00时（北京时间）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764" w:type="dxa"/>
            <w:tcBorders>
              <w:top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sz w:val="24"/>
                <w:szCs w:val="24"/>
              </w:rPr>
              <w:t>1</w:t>
            </w:r>
            <w:r>
              <w:rPr>
                <w:rFonts w:hint="eastAsia"/>
                <w:sz w:val="24"/>
                <w:szCs w:val="24"/>
                <w:lang w:val="en-US" w:eastAsia="zh-CN"/>
              </w:rPr>
              <w:t>4</w:t>
            </w:r>
          </w:p>
        </w:tc>
        <w:tc>
          <w:tcPr>
            <w:tcW w:w="9276" w:type="dxa"/>
            <w:tcBorders>
              <w:top w:val="single" w:color="auto" w:sz="4" w:space="0"/>
              <w:left w:val="single" w:color="auto" w:sz="4" w:space="0"/>
              <w:bottom w:val="single" w:color="auto" w:sz="4" w:space="0"/>
            </w:tcBorders>
            <w:vAlign w:val="center"/>
          </w:tcPr>
          <w:p>
            <w:pPr>
              <w:rPr>
                <w:sz w:val="24"/>
                <w:szCs w:val="24"/>
              </w:rPr>
            </w:pPr>
            <w:r>
              <w:rPr>
                <w:sz w:val="24"/>
                <w:szCs w:val="24"/>
              </w:rPr>
              <w:t>开标日期：</w:t>
            </w:r>
            <w:r>
              <w:rPr>
                <w:rFonts w:hint="eastAsia"/>
                <w:kern w:val="0"/>
                <w:sz w:val="24"/>
                <w:szCs w:val="24"/>
              </w:rPr>
              <w:t>2021年</w:t>
            </w:r>
            <w:r>
              <w:rPr>
                <w:rFonts w:hint="eastAsia"/>
                <w:kern w:val="0"/>
                <w:sz w:val="24"/>
                <w:szCs w:val="24"/>
                <w:lang w:val="en-US" w:eastAsia="zh-CN"/>
              </w:rPr>
              <w:t>06月24日</w:t>
            </w:r>
            <w:r>
              <w:rPr>
                <w:sz w:val="24"/>
                <w:szCs w:val="24"/>
              </w:rPr>
              <w:t>11：00时（北京时间）</w:t>
            </w:r>
          </w:p>
          <w:p>
            <w:pPr>
              <w:rPr>
                <w:sz w:val="24"/>
                <w:szCs w:val="24"/>
              </w:rPr>
            </w:pPr>
            <w:r>
              <w:rPr>
                <w:sz w:val="24"/>
                <w:szCs w:val="24"/>
              </w:rPr>
              <w:t>开标地点：新疆西北招标有限公司会议室（乌市伊宁路318号江西大厦9楼）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040" w:type="dxa"/>
            <w:gridSpan w:val="2"/>
            <w:tcBorders>
              <w:top w:val="single" w:color="auto" w:sz="4" w:space="0"/>
              <w:bottom w:val="single" w:color="auto" w:sz="4" w:space="0"/>
            </w:tcBorders>
            <w:vAlign w:val="center"/>
          </w:tcPr>
          <w:p>
            <w:pPr>
              <w:jc w:val="center"/>
              <w:rPr>
                <w:sz w:val="24"/>
                <w:szCs w:val="24"/>
              </w:rPr>
            </w:pPr>
            <w:r>
              <w:rPr>
                <w:sz w:val="24"/>
                <w:szCs w:val="24"/>
              </w:rPr>
              <w:t>授　予　合　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40" w:type="dxa"/>
            <w:gridSpan w:val="2"/>
            <w:tcBorders>
              <w:top w:val="single" w:color="auto" w:sz="4" w:space="0"/>
              <w:bottom w:val="single" w:color="auto" w:sz="4" w:space="0"/>
            </w:tcBorders>
            <w:vAlign w:val="center"/>
          </w:tcPr>
          <w:p>
            <w:pPr>
              <w:rPr>
                <w:sz w:val="24"/>
                <w:szCs w:val="24"/>
              </w:rPr>
            </w:pPr>
            <w:r>
              <w:rPr>
                <w:sz w:val="24"/>
                <w:szCs w:val="24"/>
              </w:rPr>
              <w:t>适用于本投标商须知的额外增加的变动：招标代理服务费由中标方向新疆西北招标有限公司支付，招标代理服务费支付标准按照国家取费标准计取。</w:t>
            </w:r>
          </w:p>
        </w:tc>
      </w:tr>
    </w:tbl>
    <w:p>
      <w:pPr>
        <w:pStyle w:val="4"/>
        <w:spacing w:before="100" w:beforeAutospacing="1" w:after="100" w:afterAutospacing="1" w:line="400" w:lineRule="atLeast"/>
        <w:jc w:val="center"/>
        <w:rPr>
          <w:rFonts w:ascii="Times New Roman" w:hAnsi="Times New Roman" w:eastAsia="宋体"/>
          <w:sz w:val="28"/>
          <w:szCs w:val="28"/>
        </w:rPr>
      </w:pPr>
      <w:r>
        <w:rPr>
          <w:rFonts w:ascii="Times New Roman" w:hAnsi="Times New Roman" w:eastAsia="宋体"/>
          <w:sz w:val="28"/>
          <w:szCs w:val="28"/>
        </w:rPr>
        <w:br w:type="page"/>
      </w:r>
      <w:bookmarkStart w:id="82" w:name="_Toc349637920"/>
      <w:bookmarkStart w:id="83" w:name="_Toc349573121"/>
      <w:bookmarkStart w:id="84" w:name="_Toc298240405"/>
      <w:bookmarkStart w:id="85" w:name="_Toc267301282"/>
      <w:bookmarkStart w:id="86" w:name="_Toc7838"/>
      <w:bookmarkStart w:id="87" w:name="_Toc1550"/>
      <w:r>
        <w:rPr>
          <w:rFonts w:ascii="Times New Roman" w:hAnsi="Times New Roman" w:eastAsia="宋体"/>
          <w:sz w:val="28"/>
          <w:szCs w:val="28"/>
        </w:rPr>
        <w:t>A  说　明</w:t>
      </w:r>
      <w:bookmarkEnd w:id="82"/>
      <w:bookmarkEnd w:id="83"/>
      <w:bookmarkEnd w:id="84"/>
      <w:bookmarkEnd w:id="85"/>
      <w:bookmarkEnd w:id="86"/>
      <w:bookmarkEnd w:id="87"/>
    </w:p>
    <w:p>
      <w:pPr>
        <w:spacing w:line="400" w:lineRule="atLeast"/>
        <w:rPr>
          <w:sz w:val="24"/>
        </w:rPr>
      </w:pPr>
      <w:r>
        <w:rPr>
          <w:sz w:val="24"/>
        </w:rPr>
        <w:t>1. 适用范围</w:t>
      </w:r>
    </w:p>
    <w:p>
      <w:pPr>
        <w:numPr>
          <w:ilvl w:val="1"/>
          <w:numId w:val="3"/>
        </w:numPr>
        <w:spacing w:line="400" w:lineRule="atLeast"/>
        <w:rPr>
          <w:sz w:val="24"/>
        </w:rPr>
      </w:pPr>
      <w:r>
        <w:rPr>
          <w:sz w:val="24"/>
        </w:rPr>
        <w:t>本招标文件仅适用于本次投标邀请中所叙述项目的货物及服务采购。</w:t>
      </w:r>
    </w:p>
    <w:p>
      <w:pPr>
        <w:spacing w:line="400" w:lineRule="atLeast"/>
        <w:rPr>
          <w:sz w:val="24"/>
        </w:rPr>
      </w:pPr>
      <w:r>
        <w:rPr>
          <w:sz w:val="24"/>
        </w:rPr>
        <w:t>2．定义</w:t>
      </w:r>
    </w:p>
    <w:p>
      <w:pPr>
        <w:spacing w:line="400" w:lineRule="atLeast"/>
        <w:rPr>
          <w:sz w:val="24"/>
        </w:rPr>
      </w:pPr>
      <w:r>
        <w:rPr>
          <w:sz w:val="24"/>
        </w:rPr>
        <w:t>2.1 “招标代理机构”系指新疆西北招标有限公司；</w:t>
      </w:r>
    </w:p>
    <w:p>
      <w:pPr>
        <w:spacing w:line="400" w:lineRule="atLeast"/>
        <w:ind w:left="480" w:hanging="480" w:hangingChars="200"/>
        <w:rPr>
          <w:sz w:val="24"/>
        </w:rPr>
      </w:pPr>
      <w:r>
        <w:rPr>
          <w:sz w:val="24"/>
        </w:rPr>
        <w:t>2.2 “买方”系指</w:t>
      </w:r>
      <w:r>
        <w:rPr>
          <w:rFonts w:hint="eastAsia"/>
          <w:sz w:val="24"/>
          <w:szCs w:val="24"/>
        </w:rPr>
        <w:t>乌鲁木齐市血液中心</w:t>
      </w:r>
      <w:r>
        <w:rPr>
          <w:sz w:val="24"/>
        </w:rPr>
        <w:t>；</w:t>
      </w:r>
    </w:p>
    <w:p>
      <w:pPr>
        <w:spacing w:line="400" w:lineRule="atLeast"/>
        <w:rPr>
          <w:sz w:val="24"/>
        </w:rPr>
      </w:pPr>
      <w:r>
        <w:rPr>
          <w:sz w:val="24"/>
        </w:rPr>
        <w:t>2.3 “投标商”系指向招标代理机构提交投标文件的制造商或代理商；</w:t>
      </w:r>
    </w:p>
    <w:p>
      <w:pPr>
        <w:spacing w:line="400" w:lineRule="atLeast"/>
        <w:rPr>
          <w:sz w:val="24"/>
        </w:rPr>
      </w:pPr>
      <w:r>
        <w:rPr>
          <w:sz w:val="24"/>
        </w:rPr>
        <w:t>2.4 “中标方”系指在本次项目中将被授予合同的投标商。</w:t>
      </w:r>
    </w:p>
    <w:p>
      <w:pPr>
        <w:spacing w:line="400" w:lineRule="atLeast"/>
        <w:rPr>
          <w:sz w:val="24"/>
        </w:rPr>
      </w:pPr>
      <w:r>
        <w:rPr>
          <w:sz w:val="24"/>
        </w:rPr>
        <w:t>3．合格的投标商</w:t>
      </w:r>
    </w:p>
    <w:p>
      <w:pPr>
        <w:spacing w:line="400" w:lineRule="atLeast"/>
        <w:ind w:left="480" w:hanging="480" w:hangingChars="200"/>
        <w:rPr>
          <w:sz w:val="24"/>
        </w:rPr>
      </w:pPr>
      <w:r>
        <w:rPr>
          <w:sz w:val="24"/>
        </w:rPr>
        <w:t>3.1 有能力提供招标文件中所要求的货物及服务、资格审查合格的制造商或代理商为合格的投标商；</w:t>
      </w:r>
    </w:p>
    <w:p>
      <w:pPr>
        <w:spacing w:line="400" w:lineRule="atLeast"/>
        <w:rPr>
          <w:sz w:val="24"/>
        </w:rPr>
      </w:pPr>
      <w:r>
        <w:rPr>
          <w:sz w:val="24"/>
        </w:rPr>
        <w:t>3.2 投标商必须遵守有关的国内法律和规章条例。</w:t>
      </w:r>
    </w:p>
    <w:p>
      <w:pPr>
        <w:spacing w:line="400" w:lineRule="atLeast"/>
        <w:rPr>
          <w:sz w:val="24"/>
        </w:rPr>
      </w:pPr>
      <w:r>
        <w:rPr>
          <w:sz w:val="24"/>
        </w:rPr>
        <w:t>4．投标商资格(废标因素)</w:t>
      </w:r>
    </w:p>
    <w:p>
      <w:pPr>
        <w:widowControl/>
        <w:snapToGrid w:val="0"/>
        <w:spacing w:line="500" w:lineRule="exact"/>
        <w:ind w:firstLine="480" w:firstLineChars="200"/>
        <w:jc w:val="left"/>
        <w:rPr>
          <w:kern w:val="0"/>
          <w:sz w:val="24"/>
          <w:szCs w:val="24"/>
        </w:rPr>
      </w:pPr>
      <w:r>
        <w:rPr>
          <w:kern w:val="0"/>
          <w:sz w:val="24"/>
          <w:szCs w:val="24"/>
        </w:rPr>
        <w:t>1）投标人应出具三证合一的《营业执照》副本原件；</w:t>
      </w:r>
    </w:p>
    <w:p>
      <w:pPr>
        <w:widowControl/>
        <w:snapToGrid w:val="0"/>
        <w:spacing w:line="500" w:lineRule="exact"/>
        <w:ind w:firstLine="480" w:firstLineChars="200"/>
        <w:jc w:val="left"/>
        <w:rPr>
          <w:kern w:val="0"/>
          <w:sz w:val="24"/>
          <w:szCs w:val="24"/>
        </w:rPr>
      </w:pPr>
      <w:r>
        <w:rPr>
          <w:kern w:val="0"/>
          <w:sz w:val="24"/>
          <w:szCs w:val="24"/>
        </w:rPr>
        <w:t xml:space="preserve">2）投标人应出具《医疗器械生产企业许可证》或《医疗器械经营企业许可证》副本原件； </w:t>
      </w:r>
    </w:p>
    <w:p>
      <w:pPr>
        <w:widowControl/>
        <w:snapToGrid w:val="0"/>
        <w:spacing w:line="500" w:lineRule="exact"/>
        <w:ind w:firstLine="480" w:firstLineChars="200"/>
        <w:jc w:val="left"/>
        <w:rPr>
          <w:kern w:val="0"/>
          <w:sz w:val="24"/>
          <w:szCs w:val="24"/>
        </w:rPr>
      </w:pPr>
      <w:r>
        <w:rPr>
          <w:kern w:val="0"/>
          <w:sz w:val="24"/>
          <w:szCs w:val="24"/>
        </w:rPr>
        <w:t>3）法定代表人参加投标的，应提供法定代表人居民身份证；法定代表人授权人参加投标的，应提供法定代表人授权书及被授权人居民身份证；</w:t>
      </w:r>
    </w:p>
    <w:p>
      <w:pPr>
        <w:widowControl/>
        <w:snapToGrid w:val="0"/>
        <w:spacing w:line="500" w:lineRule="exact"/>
        <w:ind w:firstLine="480" w:firstLineChars="200"/>
        <w:jc w:val="left"/>
      </w:pPr>
      <w:r>
        <w:rPr>
          <w:rFonts w:hint="eastAsia" w:ascii="宋体" w:hAnsi="宋体" w:cs="宋体"/>
          <w:color w:val="000000"/>
          <w:kern w:val="0"/>
          <w:sz w:val="24"/>
          <w:szCs w:val="24"/>
        </w:rPr>
        <w:t>4）进口产品需提供生产厂家授权书原件；</w:t>
      </w:r>
    </w:p>
    <w:p>
      <w:pPr>
        <w:widowControl/>
        <w:snapToGrid w:val="0"/>
        <w:spacing w:line="500" w:lineRule="exact"/>
        <w:ind w:firstLine="480" w:firstLineChars="200"/>
        <w:jc w:val="left"/>
        <w:rPr>
          <w:kern w:val="0"/>
          <w:sz w:val="24"/>
          <w:szCs w:val="24"/>
        </w:rPr>
      </w:pPr>
      <w:r>
        <w:rPr>
          <w:rFonts w:hint="eastAsia"/>
          <w:kern w:val="0"/>
          <w:sz w:val="24"/>
          <w:szCs w:val="24"/>
        </w:rPr>
        <w:t>5</w:t>
      </w:r>
      <w:r>
        <w:rPr>
          <w:kern w:val="0"/>
          <w:sz w:val="24"/>
          <w:szCs w:val="24"/>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widowControl/>
        <w:snapToGrid w:val="0"/>
        <w:spacing w:line="500" w:lineRule="exact"/>
        <w:ind w:firstLine="480" w:firstLineChars="200"/>
        <w:jc w:val="left"/>
        <w:rPr>
          <w:kern w:val="0"/>
          <w:sz w:val="24"/>
          <w:szCs w:val="24"/>
        </w:rPr>
      </w:pPr>
      <w:r>
        <w:rPr>
          <w:rFonts w:hint="eastAsia"/>
          <w:kern w:val="0"/>
          <w:sz w:val="24"/>
          <w:szCs w:val="24"/>
        </w:rPr>
        <w:t>6</w:t>
      </w:r>
      <w:r>
        <w:rPr>
          <w:kern w:val="0"/>
          <w:sz w:val="24"/>
          <w:szCs w:val="24"/>
        </w:rPr>
        <w:t>）本项目不允许联合体投标。</w:t>
      </w:r>
    </w:p>
    <w:p>
      <w:pPr>
        <w:spacing w:line="400" w:lineRule="atLeast"/>
        <w:rPr>
          <w:sz w:val="24"/>
        </w:rPr>
      </w:pPr>
      <w:r>
        <w:rPr>
          <w:sz w:val="24"/>
        </w:rPr>
        <w:t>5．投标费用</w:t>
      </w:r>
    </w:p>
    <w:p>
      <w:pPr>
        <w:spacing w:line="400" w:lineRule="atLeast"/>
        <w:ind w:left="480" w:hanging="480"/>
        <w:rPr>
          <w:sz w:val="24"/>
        </w:rPr>
      </w:pPr>
      <w:r>
        <w:rPr>
          <w:sz w:val="24"/>
        </w:rPr>
        <w:t>5.1 无论投标过程中的作法和结果如何，投标商将自行承担所有与参加投标有关的全部费用。</w:t>
      </w:r>
    </w:p>
    <w:p>
      <w:pPr>
        <w:pStyle w:val="4"/>
        <w:spacing w:before="100" w:beforeAutospacing="1" w:after="100" w:afterAutospacing="1" w:line="400" w:lineRule="atLeast"/>
        <w:jc w:val="center"/>
        <w:rPr>
          <w:rFonts w:ascii="Times New Roman" w:hAnsi="Times New Roman" w:eastAsia="宋体"/>
          <w:sz w:val="28"/>
          <w:szCs w:val="28"/>
        </w:rPr>
      </w:pPr>
      <w:bookmarkStart w:id="88" w:name="_Toc349637921"/>
      <w:bookmarkStart w:id="89" w:name="_Toc349573122"/>
      <w:bookmarkStart w:id="90" w:name="_Toc298240406"/>
      <w:bookmarkStart w:id="91" w:name="_Toc267301283"/>
      <w:bookmarkStart w:id="92" w:name="_Toc1076"/>
      <w:bookmarkStart w:id="93" w:name="_Toc28998"/>
      <w:r>
        <w:rPr>
          <w:rFonts w:ascii="Times New Roman" w:hAnsi="Times New Roman" w:eastAsia="宋体"/>
          <w:sz w:val="28"/>
          <w:szCs w:val="28"/>
        </w:rPr>
        <w:t>B  招标文件</w:t>
      </w:r>
      <w:bookmarkEnd w:id="88"/>
      <w:bookmarkEnd w:id="89"/>
      <w:bookmarkEnd w:id="90"/>
      <w:bookmarkEnd w:id="91"/>
      <w:bookmarkEnd w:id="92"/>
      <w:bookmarkEnd w:id="93"/>
    </w:p>
    <w:p>
      <w:pPr>
        <w:spacing w:line="400" w:lineRule="atLeast"/>
        <w:rPr>
          <w:sz w:val="24"/>
        </w:rPr>
      </w:pPr>
      <w:r>
        <w:rPr>
          <w:sz w:val="24"/>
        </w:rPr>
        <w:t>6．招标文件构成</w:t>
      </w:r>
    </w:p>
    <w:p>
      <w:pPr>
        <w:spacing w:line="400" w:lineRule="atLeast"/>
        <w:rPr>
          <w:sz w:val="24"/>
        </w:rPr>
      </w:pPr>
      <w:r>
        <w:rPr>
          <w:sz w:val="24"/>
        </w:rPr>
        <w:t>6.1招标文件包括：</w:t>
      </w:r>
    </w:p>
    <w:p>
      <w:pPr>
        <w:spacing w:line="400" w:lineRule="atLeast"/>
        <w:ind w:firstLine="240"/>
        <w:rPr>
          <w:sz w:val="24"/>
        </w:rPr>
      </w:pPr>
      <w:r>
        <w:rPr>
          <w:sz w:val="24"/>
        </w:rPr>
        <w:t>⑴投标邀请；</w:t>
      </w:r>
    </w:p>
    <w:p>
      <w:pPr>
        <w:spacing w:line="400" w:lineRule="atLeast"/>
        <w:ind w:firstLine="240"/>
        <w:rPr>
          <w:sz w:val="24"/>
        </w:rPr>
      </w:pPr>
      <w:r>
        <w:rPr>
          <w:sz w:val="24"/>
        </w:rPr>
        <w:t>⑵投标商须知；</w:t>
      </w:r>
    </w:p>
    <w:p>
      <w:pPr>
        <w:spacing w:line="400" w:lineRule="atLeast"/>
        <w:ind w:firstLine="240"/>
        <w:rPr>
          <w:sz w:val="24"/>
        </w:rPr>
      </w:pPr>
      <w:r>
        <w:rPr>
          <w:sz w:val="24"/>
        </w:rPr>
        <w:t>⑶货物需求一览表及技术规格；</w:t>
      </w:r>
    </w:p>
    <w:p>
      <w:pPr>
        <w:spacing w:line="400" w:lineRule="atLeast"/>
        <w:ind w:firstLine="240"/>
        <w:rPr>
          <w:sz w:val="24"/>
        </w:rPr>
      </w:pPr>
      <w:r>
        <w:rPr>
          <w:sz w:val="24"/>
        </w:rPr>
        <w:t>⑷合同一般条款；</w:t>
      </w:r>
    </w:p>
    <w:p>
      <w:pPr>
        <w:spacing w:line="400" w:lineRule="atLeast"/>
        <w:ind w:firstLine="240"/>
        <w:rPr>
          <w:sz w:val="24"/>
        </w:rPr>
      </w:pPr>
      <w:r>
        <w:rPr>
          <w:sz w:val="24"/>
        </w:rPr>
        <w:t>⑸合同特殊条款；</w:t>
      </w:r>
    </w:p>
    <w:p>
      <w:pPr>
        <w:spacing w:line="400" w:lineRule="atLeast"/>
        <w:ind w:firstLine="240"/>
        <w:rPr>
          <w:sz w:val="24"/>
        </w:rPr>
      </w:pPr>
      <w:r>
        <w:rPr>
          <w:sz w:val="24"/>
        </w:rPr>
        <w:t>⑹范本格式。</w:t>
      </w:r>
    </w:p>
    <w:p>
      <w:pPr>
        <w:spacing w:line="400" w:lineRule="atLeast"/>
        <w:rPr>
          <w:sz w:val="24"/>
        </w:rPr>
      </w:pPr>
      <w:r>
        <w:rPr>
          <w:sz w:val="24"/>
        </w:rPr>
        <w:t>6.2 招标文件以中文编写。</w:t>
      </w:r>
    </w:p>
    <w:p>
      <w:pPr>
        <w:spacing w:line="400" w:lineRule="atLeast"/>
        <w:ind w:left="360" w:hanging="360" w:hangingChars="150"/>
        <w:rPr>
          <w:sz w:val="24"/>
        </w:rPr>
      </w:pPr>
      <w:r>
        <w:rPr>
          <w:sz w:val="24"/>
        </w:rPr>
        <w:t>6.3 投标商应认真阅读招标文件中所有的事项、格式、条款和规范等要求，从而对招标文件作出实质性响应。如果没有按照招标文件要求提交全部投标文件或资料，没有对招标文件作出实质性响应，其风险应由投标商自行承担。</w:t>
      </w:r>
    </w:p>
    <w:p>
      <w:pPr>
        <w:spacing w:line="400" w:lineRule="atLeast"/>
        <w:rPr>
          <w:sz w:val="24"/>
        </w:rPr>
      </w:pPr>
      <w:r>
        <w:rPr>
          <w:sz w:val="24"/>
        </w:rPr>
        <w:t>7．招标文件澄清</w:t>
      </w:r>
    </w:p>
    <w:p>
      <w:pPr>
        <w:spacing w:line="400" w:lineRule="atLeast"/>
        <w:ind w:left="480" w:hanging="480"/>
        <w:rPr>
          <w:sz w:val="24"/>
        </w:rPr>
      </w:pPr>
      <w:r>
        <w:rPr>
          <w:sz w:val="24"/>
        </w:rPr>
        <w:t>7.1 投标商对招标文件有疑问的，可以向招标代理机构提出询问，招标代理机构将及时做出答复；</w:t>
      </w:r>
    </w:p>
    <w:p>
      <w:pPr>
        <w:spacing w:line="400" w:lineRule="atLeast"/>
        <w:ind w:left="480" w:hanging="480"/>
        <w:rPr>
          <w:sz w:val="24"/>
        </w:rPr>
      </w:pPr>
      <w:r>
        <w:rPr>
          <w:sz w:val="24"/>
        </w:rPr>
        <w:t>7.2 投标商对招标文件有质疑，须在得到招标文件之日起，以书面形式向招标机构提出质疑；招标机构在收到书面质疑后尽快做出答复，并以书面形式通知质疑投标商。</w:t>
      </w:r>
    </w:p>
    <w:p>
      <w:pPr>
        <w:spacing w:line="400" w:lineRule="atLeast"/>
        <w:rPr>
          <w:sz w:val="24"/>
        </w:rPr>
      </w:pPr>
      <w:r>
        <w:rPr>
          <w:sz w:val="24"/>
        </w:rPr>
        <w:t>8.  招标文件的修改</w:t>
      </w:r>
    </w:p>
    <w:p>
      <w:pPr>
        <w:spacing w:line="400" w:lineRule="atLeast"/>
        <w:ind w:left="480" w:hanging="480"/>
        <w:rPr>
          <w:sz w:val="24"/>
        </w:rPr>
      </w:pPr>
      <w:r>
        <w:rPr>
          <w:sz w:val="24"/>
        </w:rPr>
        <w:t>8.1 对招标文件进行必要的修改，招标代理机构将在投标截止时间15日前以书面形式通知所有购买招标文件的投标商。该修改的内容为招标文件的组成部分；</w:t>
      </w:r>
    </w:p>
    <w:p>
      <w:pPr>
        <w:spacing w:line="400" w:lineRule="atLeast"/>
        <w:ind w:left="480" w:hanging="480"/>
        <w:rPr>
          <w:sz w:val="24"/>
        </w:rPr>
      </w:pPr>
      <w:r>
        <w:rPr>
          <w:sz w:val="24"/>
        </w:rPr>
        <w:t>8.2 在投标截止时间前，招标机构可视具体情况延长投标截止时间，并将变更时间书面通知所有购买招标文件的投标商。</w:t>
      </w:r>
    </w:p>
    <w:p>
      <w:pPr>
        <w:pStyle w:val="4"/>
        <w:spacing w:before="100" w:beforeAutospacing="1" w:after="100" w:afterAutospacing="1" w:line="400" w:lineRule="atLeast"/>
        <w:jc w:val="center"/>
        <w:rPr>
          <w:rFonts w:ascii="Times New Roman" w:hAnsi="Times New Roman" w:eastAsia="宋体"/>
          <w:sz w:val="28"/>
          <w:szCs w:val="28"/>
        </w:rPr>
      </w:pPr>
      <w:bookmarkStart w:id="94" w:name="_Toc298240407"/>
      <w:bookmarkStart w:id="95" w:name="_Toc267301284"/>
      <w:bookmarkStart w:id="96" w:name="_Toc349637922"/>
      <w:bookmarkStart w:id="97" w:name="_Toc349573123"/>
      <w:bookmarkStart w:id="98" w:name="_Toc2689"/>
      <w:bookmarkStart w:id="99" w:name="_Toc32204"/>
      <w:r>
        <w:rPr>
          <w:rFonts w:ascii="Times New Roman" w:hAnsi="Times New Roman" w:eastAsia="宋体"/>
          <w:sz w:val="28"/>
          <w:szCs w:val="28"/>
        </w:rPr>
        <w:t>C  投标文件的编写</w:t>
      </w:r>
      <w:bookmarkEnd w:id="94"/>
      <w:bookmarkEnd w:id="95"/>
      <w:bookmarkEnd w:id="96"/>
      <w:bookmarkEnd w:id="97"/>
      <w:bookmarkEnd w:id="98"/>
      <w:bookmarkEnd w:id="99"/>
    </w:p>
    <w:p>
      <w:pPr>
        <w:spacing w:line="400" w:lineRule="atLeast"/>
        <w:rPr>
          <w:sz w:val="24"/>
        </w:rPr>
      </w:pPr>
      <w:r>
        <w:rPr>
          <w:sz w:val="24"/>
        </w:rPr>
        <w:t>9．要求</w:t>
      </w:r>
    </w:p>
    <w:p>
      <w:pPr>
        <w:spacing w:line="400" w:lineRule="atLeast"/>
        <w:ind w:left="360" w:hanging="360" w:hangingChars="150"/>
        <w:rPr>
          <w:sz w:val="24"/>
        </w:rPr>
      </w:pPr>
      <w:r>
        <w:rPr>
          <w:sz w:val="24"/>
        </w:rPr>
        <w:t>9.1 投标商应仔细阅读招标文件的所有内容，按招标文件的要求提供投标文件，并保证所提供的全部资料的真实性，以使其投标对招标文件作出实质性响应，否则，其投标可能被拒绝。</w:t>
      </w:r>
    </w:p>
    <w:p>
      <w:pPr>
        <w:spacing w:line="400" w:lineRule="atLeast"/>
        <w:rPr>
          <w:sz w:val="24"/>
        </w:rPr>
      </w:pPr>
      <w:r>
        <w:rPr>
          <w:sz w:val="24"/>
        </w:rPr>
        <w:t>10．投标语言</w:t>
      </w:r>
    </w:p>
    <w:p>
      <w:pPr>
        <w:spacing w:line="400" w:lineRule="atLeast"/>
        <w:ind w:left="600" w:hanging="600" w:hangingChars="250"/>
        <w:rPr>
          <w:sz w:val="24"/>
        </w:rPr>
      </w:pPr>
      <w:r>
        <w:rPr>
          <w:sz w:val="24"/>
        </w:rPr>
        <w:t>10.1投标文件及投标商与招标代理机构就投标交换的文件和来往信件，应以中文书写。</w:t>
      </w:r>
    </w:p>
    <w:p>
      <w:pPr>
        <w:spacing w:line="400" w:lineRule="atLeast"/>
        <w:rPr>
          <w:sz w:val="24"/>
        </w:rPr>
      </w:pPr>
      <w:r>
        <w:rPr>
          <w:sz w:val="24"/>
        </w:rPr>
        <w:t>11．投标文件的构成</w:t>
      </w:r>
    </w:p>
    <w:p>
      <w:pPr>
        <w:spacing w:line="400" w:lineRule="atLeast"/>
        <w:rPr>
          <w:sz w:val="24"/>
        </w:rPr>
      </w:pPr>
      <w:r>
        <w:rPr>
          <w:sz w:val="24"/>
        </w:rPr>
        <w:t>11.1 投标商编写的投标文件应包括下列内容：</w:t>
      </w:r>
    </w:p>
    <w:p>
      <w:pPr>
        <w:numPr>
          <w:ilvl w:val="0"/>
          <w:numId w:val="4"/>
        </w:numPr>
        <w:tabs>
          <w:tab w:val="left" w:pos="540"/>
          <w:tab w:val="left" w:pos="900"/>
          <w:tab w:val="left" w:pos="1080"/>
          <w:tab w:val="clear" w:pos="1440"/>
        </w:tabs>
        <w:spacing w:line="400" w:lineRule="atLeast"/>
        <w:ind w:left="720" w:hanging="360"/>
        <w:rPr>
          <w:sz w:val="24"/>
        </w:rPr>
      </w:pPr>
      <w:r>
        <w:rPr>
          <w:sz w:val="24"/>
        </w:rPr>
        <w:t>投标书、开标一览表、投标分项报价表；</w:t>
      </w:r>
    </w:p>
    <w:p>
      <w:pPr>
        <w:numPr>
          <w:ilvl w:val="0"/>
          <w:numId w:val="4"/>
        </w:numPr>
        <w:tabs>
          <w:tab w:val="left" w:pos="540"/>
          <w:tab w:val="left" w:pos="900"/>
          <w:tab w:val="left" w:pos="1080"/>
          <w:tab w:val="clear" w:pos="1440"/>
        </w:tabs>
        <w:spacing w:line="400" w:lineRule="atLeast"/>
        <w:ind w:left="720" w:hanging="360"/>
        <w:rPr>
          <w:sz w:val="24"/>
        </w:rPr>
      </w:pPr>
      <w:r>
        <w:rPr>
          <w:sz w:val="24"/>
        </w:rPr>
        <w:t>资格证明文件；</w:t>
      </w:r>
    </w:p>
    <w:p>
      <w:pPr>
        <w:numPr>
          <w:ilvl w:val="0"/>
          <w:numId w:val="4"/>
        </w:numPr>
        <w:tabs>
          <w:tab w:val="left" w:pos="540"/>
          <w:tab w:val="left" w:pos="900"/>
          <w:tab w:val="left" w:pos="1080"/>
          <w:tab w:val="clear" w:pos="1440"/>
        </w:tabs>
        <w:spacing w:line="400" w:lineRule="atLeast"/>
        <w:ind w:left="720" w:hanging="360"/>
        <w:rPr>
          <w:sz w:val="24"/>
        </w:rPr>
      </w:pPr>
      <w:r>
        <w:rPr>
          <w:sz w:val="24"/>
        </w:rPr>
        <w:t>所投设备的相关技术/证明资料；</w:t>
      </w:r>
    </w:p>
    <w:p>
      <w:pPr>
        <w:numPr>
          <w:ilvl w:val="0"/>
          <w:numId w:val="4"/>
        </w:numPr>
        <w:tabs>
          <w:tab w:val="left" w:pos="540"/>
          <w:tab w:val="left" w:pos="900"/>
          <w:tab w:val="left" w:pos="1080"/>
          <w:tab w:val="clear" w:pos="1440"/>
        </w:tabs>
        <w:spacing w:line="400" w:lineRule="atLeast"/>
        <w:ind w:left="720" w:hanging="360"/>
        <w:rPr>
          <w:sz w:val="24"/>
        </w:rPr>
      </w:pPr>
      <w:r>
        <w:rPr>
          <w:sz w:val="24"/>
        </w:rPr>
        <w:t>投标保证金；</w:t>
      </w:r>
    </w:p>
    <w:p>
      <w:pPr>
        <w:numPr>
          <w:ilvl w:val="0"/>
          <w:numId w:val="4"/>
        </w:numPr>
        <w:tabs>
          <w:tab w:val="left" w:pos="540"/>
          <w:tab w:val="left" w:pos="900"/>
          <w:tab w:val="left" w:pos="1080"/>
          <w:tab w:val="clear" w:pos="1440"/>
        </w:tabs>
        <w:spacing w:line="400" w:lineRule="atLeast"/>
        <w:ind w:left="720" w:hanging="360"/>
        <w:rPr>
          <w:sz w:val="24"/>
        </w:rPr>
      </w:pPr>
      <w:r>
        <w:rPr>
          <w:sz w:val="24"/>
        </w:rPr>
        <w:t>招标文件货物需求及技术规格、合同特殊条款中要求提交的文件资料。</w:t>
      </w:r>
    </w:p>
    <w:p>
      <w:pPr>
        <w:numPr>
          <w:ilvl w:val="0"/>
          <w:numId w:val="4"/>
        </w:numPr>
        <w:tabs>
          <w:tab w:val="left" w:pos="540"/>
          <w:tab w:val="left" w:pos="900"/>
          <w:tab w:val="left" w:pos="1080"/>
          <w:tab w:val="clear" w:pos="1440"/>
        </w:tabs>
        <w:spacing w:line="400" w:lineRule="atLeast"/>
        <w:ind w:left="720" w:hanging="360"/>
        <w:rPr>
          <w:sz w:val="24"/>
        </w:rPr>
      </w:pPr>
      <w:r>
        <w:rPr>
          <w:sz w:val="24"/>
        </w:rPr>
        <w:t>所投设备彩页。</w:t>
      </w:r>
    </w:p>
    <w:p>
      <w:pPr>
        <w:spacing w:line="400" w:lineRule="atLeast"/>
        <w:rPr>
          <w:sz w:val="24"/>
        </w:rPr>
      </w:pPr>
      <w:r>
        <w:rPr>
          <w:sz w:val="24"/>
        </w:rPr>
        <w:t>11.2 投标商应将投标文件装订成册，并填写文件资料清单。</w:t>
      </w:r>
    </w:p>
    <w:p>
      <w:pPr>
        <w:spacing w:line="400" w:lineRule="atLeast"/>
        <w:rPr>
          <w:sz w:val="24"/>
        </w:rPr>
      </w:pPr>
      <w:r>
        <w:rPr>
          <w:sz w:val="24"/>
        </w:rPr>
        <w:t>12．投标文件格式</w:t>
      </w:r>
    </w:p>
    <w:p>
      <w:pPr>
        <w:spacing w:line="400" w:lineRule="atLeast"/>
        <w:ind w:left="600" w:hanging="600" w:hangingChars="250"/>
        <w:rPr>
          <w:sz w:val="24"/>
        </w:rPr>
      </w:pPr>
      <w:r>
        <w:rPr>
          <w:sz w:val="24"/>
        </w:rPr>
        <w:t>12.1 投标商应按招标文件的范本格式中提供的投标文件格式填写投标书、开标一览表、投标分项报价表，注明提供的货物名称、货物简介、原产地、数量和价格等。</w:t>
      </w:r>
    </w:p>
    <w:p>
      <w:pPr>
        <w:spacing w:line="400" w:lineRule="atLeast"/>
        <w:rPr>
          <w:sz w:val="24"/>
        </w:rPr>
      </w:pPr>
      <w:r>
        <w:rPr>
          <w:sz w:val="24"/>
        </w:rPr>
        <w:t>13．投标报价</w:t>
      </w:r>
    </w:p>
    <w:p>
      <w:pPr>
        <w:spacing w:line="400" w:lineRule="atLeast"/>
        <w:ind w:left="600" w:hanging="600" w:hangingChars="250"/>
        <w:rPr>
          <w:sz w:val="24"/>
        </w:rPr>
      </w:pPr>
      <w:r>
        <w:rPr>
          <w:sz w:val="24"/>
        </w:rPr>
        <w:t>13.1 投标商应在投标报价表上标明单价和总价。单价和总价要相符。小写和大写要相符。投标商应在投标报价表中标明其提供的所有货物及其相关工作范围内所有费用的总价，不接受有任何选择性报价。</w:t>
      </w:r>
    </w:p>
    <w:p>
      <w:pPr>
        <w:spacing w:line="400" w:lineRule="atLeast"/>
        <w:rPr>
          <w:sz w:val="24"/>
        </w:rPr>
      </w:pPr>
      <w:r>
        <w:rPr>
          <w:sz w:val="24"/>
        </w:rPr>
        <w:t>13.2 投标报价应注意下列要求：</w:t>
      </w:r>
    </w:p>
    <w:p>
      <w:pPr>
        <w:spacing w:line="400" w:lineRule="atLeast"/>
        <w:rPr>
          <w:sz w:val="24"/>
        </w:rPr>
      </w:pPr>
      <w:r>
        <w:rPr>
          <w:sz w:val="24"/>
        </w:rPr>
        <w:t>13.2.1招标文件中特别要求的备品备件、易损件和专用工具的费用；</w:t>
      </w:r>
    </w:p>
    <w:p>
      <w:pPr>
        <w:spacing w:line="400" w:lineRule="atLeast"/>
        <w:rPr>
          <w:sz w:val="24"/>
        </w:rPr>
      </w:pPr>
      <w:r>
        <w:rPr>
          <w:sz w:val="24"/>
        </w:rPr>
        <w:t>13.2.2招标文件中特别要求的安装、调试、培训及其它附带服务的费用；</w:t>
      </w:r>
    </w:p>
    <w:p>
      <w:pPr>
        <w:spacing w:line="400" w:lineRule="atLeast"/>
        <w:ind w:left="720" w:hanging="720" w:hangingChars="300"/>
        <w:rPr>
          <w:rStyle w:val="82"/>
          <w:rFonts w:ascii="Times New Roman"/>
          <w:color w:val="auto"/>
          <w:kern w:val="0"/>
          <w:sz w:val="24"/>
        </w:rPr>
      </w:pPr>
      <w:r>
        <w:rPr>
          <w:sz w:val="24"/>
        </w:rPr>
        <w:t>13.2.3国内供货人提供在中华人民共和国制造的，或已在中华人民共和国境内的国外产地的已经</w:t>
      </w:r>
      <w:r>
        <w:rPr>
          <w:rStyle w:val="82"/>
          <w:rFonts w:ascii="Times New Roman"/>
          <w:color w:val="auto"/>
          <w:kern w:val="0"/>
          <w:sz w:val="24"/>
        </w:rPr>
        <w:t>进口的货物的国内投标，其货物的交货价，包括制造、组装该货物所使用的零部件及原材料已付的全部关税、销售税和其他税（其关税和其他税不分别填写，计入货价内即可）。</w:t>
      </w:r>
    </w:p>
    <w:p>
      <w:pPr>
        <w:spacing w:line="400" w:lineRule="atLeast"/>
        <w:ind w:left="629" w:hanging="628" w:hangingChars="262"/>
        <w:rPr>
          <w:sz w:val="24"/>
        </w:rPr>
      </w:pPr>
      <w:r>
        <w:rPr>
          <w:sz w:val="24"/>
        </w:rPr>
        <w:t>13.3算术性修正。算术性修正是指对投标文件的报价明细进行校核，并对其算术上和运算上的差错给予修正。修正的原则如下：</w:t>
      </w:r>
    </w:p>
    <w:p>
      <w:pPr>
        <w:spacing w:line="400" w:lineRule="atLeast"/>
        <w:ind w:left="720" w:hanging="720" w:hangingChars="300"/>
        <w:rPr>
          <w:sz w:val="24"/>
        </w:rPr>
      </w:pPr>
      <w:r>
        <w:rPr>
          <w:sz w:val="24"/>
        </w:rPr>
        <w:t>13.3.1当以数字表示的金额与文字表示的金额有差异时，以文字表示的金额为准；</w:t>
      </w:r>
    </w:p>
    <w:p>
      <w:pPr>
        <w:spacing w:line="400" w:lineRule="atLeast"/>
        <w:ind w:left="720" w:hanging="720" w:hangingChars="300"/>
        <w:rPr>
          <w:sz w:val="24"/>
        </w:rPr>
      </w:pPr>
      <w:r>
        <w:rPr>
          <w:sz w:val="24"/>
        </w:rPr>
        <w:t>13.3.2当单价与数量相乘不等于合价时，以单价计算为准。如果单价有明显的小数点位置差错，应以标出的合价为准，同时对单价予以修正；</w:t>
      </w:r>
    </w:p>
    <w:p>
      <w:pPr>
        <w:spacing w:line="400" w:lineRule="atLeast"/>
        <w:ind w:left="720" w:hanging="720" w:hangingChars="300"/>
        <w:rPr>
          <w:sz w:val="24"/>
        </w:rPr>
      </w:pPr>
      <w:r>
        <w:rPr>
          <w:sz w:val="24"/>
        </w:rPr>
        <w:t>13.3.3当各明细部分的价格累计不等于合价时，应以各明细的累计计数为准，修正合价。</w:t>
      </w:r>
    </w:p>
    <w:p>
      <w:pPr>
        <w:spacing w:line="400" w:lineRule="atLeast"/>
        <w:ind w:left="720" w:hanging="720" w:hangingChars="300"/>
        <w:rPr>
          <w:sz w:val="24"/>
        </w:rPr>
      </w:pPr>
      <w:r>
        <w:rPr>
          <w:sz w:val="24"/>
        </w:rPr>
        <w:t>13.3.4按以上原则对算术性差错修正，应取得投标人的同意，并确认修正后最终投标价。如果投标人拒绝确认，则其投标文件将不予以评审并按废标处理，没收其投标担保。</w:t>
      </w:r>
    </w:p>
    <w:p>
      <w:pPr>
        <w:spacing w:line="400" w:lineRule="atLeast"/>
        <w:rPr>
          <w:sz w:val="24"/>
        </w:rPr>
      </w:pPr>
      <w:r>
        <w:rPr>
          <w:sz w:val="24"/>
        </w:rPr>
        <w:t>14．投标货币</w:t>
      </w:r>
    </w:p>
    <w:p>
      <w:pPr>
        <w:spacing w:line="400" w:lineRule="atLeast"/>
        <w:rPr>
          <w:sz w:val="24"/>
        </w:rPr>
      </w:pPr>
      <w:r>
        <w:rPr>
          <w:sz w:val="24"/>
        </w:rPr>
        <w:t>14.1人民币报价。</w:t>
      </w:r>
    </w:p>
    <w:p>
      <w:pPr>
        <w:spacing w:line="400" w:lineRule="atLeast"/>
        <w:rPr>
          <w:b/>
          <w:sz w:val="24"/>
        </w:rPr>
      </w:pPr>
      <w:r>
        <w:rPr>
          <w:sz w:val="24"/>
        </w:rPr>
        <w:t>15．</w:t>
      </w:r>
      <w:r>
        <w:rPr>
          <w:b/>
          <w:sz w:val="24"/>
        </w:rPr>
        <w:t>投标商的证明文件：</w:t>
      </w:r>
    </w:p>
    <w:p>
      <w:pPr>
        <w:spacing w:line="400" w:lineRule="atLeast"/>
        <w:ind w:left="525" w:leftChars="250"/>
        <w:rPr>
          <w:b/>
          <w:spacing w:val="8"/>
          <w:sz w:val="24"/>
          <w:szCs w:val="24"/>
        </w:rPr>
      </w:pPr>
      <w:r>
        <w:rPr>
          <w:b/>
          <w:sz w:val="24"/>
        </w:rPr>
        <w:t>投标商必须提交证明其有资格进行投标和有能力履行合同的文件（范本格式），作为投标文件的一部分。（</w:t>
      </w:r>
      <w:r>
        <w:rPr>
          <w:b/>
          <w:spacing w:val="8"/>
          <w:sz w:val="24"/>
          <w:szCs w:val="24"/>
        </w:rPr>
        <w:t>如不满足以下条款将导致废标）</w:t>
      </w:r>
    </w:p>
    <w:p>
      <w:pPr>
        <w:spacing w:line="400" w:lineRule="atLeast"/>
        <w:ind w:left="1275" w:leftChars="150" w:hanging="960" w:hangingChars="400"/>
        <w:rPr>
          <w:sz w:val="24"/>
        </w:rPr>
      </w:pPr>
      <w:r>
        <w:rPr>
          <w:sz w:val="24"/>
        </w:rPr>
        <w:t>1）投标人应出具三证合一的《营业执照》副本原件；</w:t>
      </w:r>
    </w:p>
    <w:p>
      <w:pPr>
        <w:spacing w:line="400" w:lineRule="atLeast"/>
        <w:ind w:left="1275" w:leftChars="150" w:hanging="960" w:hangingChars="400"/>
        <w:rPr>
          <w:sz w:val="24"/>
        </w:rPr>
      </w:pPr>
      <w:r>
        <w:rPr>
          <w:sz w:val="24"/>
        </w:rPr>
        <w:t xml:space="preserve">2）投标人应出具《医疗器械生产企业许可证》或《医疗器械经营企业许可证》副本原件； </w:t>
      </w:r>
    </w:p>
    <w:p>
      <w:pPr>
        <w:spacing w:line="400" w:lineRule="atLeast"/>
        <w:ind w:firstLine="240" w:firstLineChars="100"/>
        <w:rPr>
          <w:sz w:val="24"/>
        </w:rPr>
      </w:pPr>
      <w:r>
        <w:rPr>
          <w:sz w:val="24"/>
        </w:rPr>
        <w:t>3）法定代表人参加投标的，应提供法定代表人居民身份证；法定代表人授权人参加投标的，应提供法定代表人授权书及被授权人居民身份证；</w:t>
      </w:r>
    </w:p>
    <w:p>
      <w:pPr>
        <w:widowControl/>
        <w:snapToGrid w:val="0"/>
        <w:spacing w:line="500" w:lineRule="exact"/>
        <w:ind w:firstLine="480" w:firstLineChars="200"/>
        <w:jc w:val="left"/>
      </w:pPr>
      <w:r>
        <w:rPr>
          <w:rFonts w:hint="eastAsia" w:ascii="宋体" w:hAnsi="宋体" w:cs="宋体"/>
          <w:color w:val="000000"/>
          <w:kern w:val="0"/>
          <w:sz w:val="24"/>
          <w:szCs w:val="24"/>
        </w:rPr>
        <w:t>4）进口产品需提供生产厂家授权书原件；</w:t>
      </w:r>
    </w:p>
    <w:p>
      <w:pPr>
        <w:spacing w:line="400" w:lineRule="atLeast"/>
        <w:ind w:firstLine="480" w:firstLineChars="200"/>
        <w:jc w:val="left"/>
        <w:rPr>
          <w:sz w:val="24"/>
        </w:rPr>
      </w:pPr>
      <w:r>
        <w:rPr>
          <w:rFonts w:hint="eastAsia"/>
          <w:sz w:val="24"/>
        </w:rPr>
        <w:t>5</w:t>
      </w:r>
      <w:r>
        <w:rPr>
          <w:sz w:val="24"/>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spacing w:line="400" w:lineRule="atLeast"/>
        <w:ind w:left="1274" w:leftChars="264" w:hanging="720" w:hangingChars="300"/>
        <w:rPr>
          <w:sz w:val="24"/>
        </w:rPr>
      </w:pPr>
      <w:r>
        <w:rPr>
          <w:rFonts w:hint="eastAsia"/>
          <w:sz w:val="24"/>
        </w:rPr>
        <w:t>6</w:t>
      </w:r>
      <w:r>
        <w:rPr>
          <w:sz w:val="24"/>
        </w:rPr>
        <w:t>）本项目不允许联合体投标。</w:t>
      </w:r>
    </w:p>
    <w:p>
      <w:pPr>
        <w:spacing w:line="400" w:lineRule="atLeast"/>
        <w:ind w:firstLine="480" w:firstLineChars="200"/>
        <w:rPr>
          <w:b/>
          <w:spacing w:val="8"/>
          <w:sz w:val="24"/>
          <w:szCs w:val="24"/>
        </w:rPr>
      </w:pPr>
      <w:r>
        <w:rPr>
          <w:sz w:val="24"/>
        </w:rPr>
        <w:t>注：</w:t>
      </w:r>
      <w:r>
        <w:rPr>
          <w:b/>
          <w:sz w:val="24"/>
        </w:rPr>
        <w:t>（1）</w:t>
      </w:r>
      <w:r>
        <w:rPr>
          <w:b/>
          <w:spacing w:val="8"/>
          <w:sz w:val="24"/>
          <w:szCs w:val="24"/>
        </w:rPr>
        <w:t>投标文件中，所有投标商签字、法人代表签字、法人代表授权人签字和其它签字处须同时加盖有关有法律效力的印章方为有效；</w:t>
      </w:r>
    </w:p>
    <w:p>
      <w:pPr>
        <w:spacing w:line="400" w:lineRule="atLeast"/>
        <w:ind w:firstLine="723" w:firstLineChars="300"/>
        <w:rPr>
          <w:sz w:val="24"/>
        </w:rPr>
      </w:pPr>
      <w:r>
        <w:rPr>
          <w:b/>
          <w:sz w:val="24"/>
        </w:rPr>
        <w:t>（2）所有资格证明文件必须满足招标文件要求，否则将导致废标。</w:t>
      </w:r>
    </w:p>
    <w:p>
      <w:pPr>
        <w:spacing w:line="400" w:lineRule="atLeast"/>
        <w:rPr>
          <w:sz w:val="24"/>
        </w:rPr>
      </w:pPr>
      <w:r>
        <w:rPr>
          <w:sz w:val="24"/>
        </w:rPr>
        <w:t>16 投标货物符合招标文件规定的技术响应文件</w:t>
      </w:r>
    </w:p>
    <w:p>
      <w:pPr>
        <w:spacing w:line="400" w:lineRule="atLeast"/>
        <w:ind w:left="600" w:hanging="600" w:hangingChars="250"/>
        <w:rPr>
          <w:sz w:val="24"/>
        </w:rPr>
      </w:pPr>
      <w:r>
        <w:rPr>
          <w:sz w:val="24"/>
        </w:rPr>
        <w:t>16.1投标商须提交证明拟供货物和服务符合招标文件规定的技术响应文件，作为投标文件的一部分。</w:t>
      </w:r>
    </w:p>
    <w:p>
      <w:pPr>
        <w:spacing w:line="400" w:lineRule="atLeast"/>
        <w:rPr>
          <w:sz w:val="24"/>
        </w:rPr>
      </w:pPr>
      <w:r>
        <w:rPr>
          <w:sz w:val="24"/>
        </w:rPr>
        <w:t>16.2上述文件为文字资料、产品彩页和数据，并提供：</w:t>
      </w:r>
    </w:p>
    <w:p>
      <w:pPr>
        <w:spacing w:line="400" w:lineRule="atLeast"/>
        <w:ind w:firstLine="480"/>
        <w:rPr>
          <w:sz w:val="24"/>
        </w:rPr>
      </w:pPr>
      <w:r>
        <w:rPr>
          <w:sz w:val="24"/>
        </w:rPr>
        <w:t>（1）货物主要技术及性能特点的详细描述；</w:t>
      </w:r>
    </w:p>
    <w:p>
      <w:pPr>
        <w:spacing w:line="400" w:lineRule="atLeast"/>
        <w:ind w:firstLine="480"/>
        <w:rPr>
          <w:sz w:val="24"/>
        </w:rPr>
      </w:pPr>
      <w:r>
        <w:rPr>
          <w:sz w:val="24"/>
        </w:rPr>
        <w:t>（2）货物主要部件的详细资料；</w:t>
      </w:r>
    </w:p>
    <w:p>
      <w:pPr>
        <w:spacing w:line="400" w:lineRule="atLeast"/>
        <w:ind w:firstLine="480"/>
        <w:rPr>
          <w:sz w:val="24"/>
        </w:rPr>
      </w:pPr>
      <w:r>
        <w:rPr>
          <w:sz w:val="24"/>
        </w:rPr>
        <w:t>（3）一份在技术规格中规定的保证货物正常和连续运转期间所需要的所有备件和专业工具的详细清单包括价格及供货来源信息；</w:t>
      </w:r>
    </w:p>
    <w:p>
      <w:pPr>
        <w:spacing w:line="400" w:lineRule="atLeast"/>
        <w:ind w:firstLine="480"/>
        <w:rPr>
          <w:sz w:val="24"/>
        </w:rPr>
      </w:pPr>
      <w:r>
        <w:rPr>
          <w:sz w:val="24"/>
        </w:rPr>
        <w:t>（4）规格、技术参数偏离表（见附件）。</w:t>
      </w:r>
    </w:p>
    <w:p>
      <w:pPr>
        <w:spacing w:line="400" w:lineRule="atLeast"/>
        <w:ind w:firstLine="480"/>
        <w:rPr>
          <w:sz w:val="24"/>
        </w:rPr>
      </w:pPr>
      <w:r>
        <w:rPr>
          <w:sz w:val="24"/>
        </w:rPr>
        <w:t>（5）国产投标产品需附检测报告。</w:t>
      </w:r>
    </w:p>
    <w:p>
      <w:pPr>
        <w:spacing w:line="400" w:lineRule="atLeast"/>
        <w:ind w:firstLine="480"/>
        <w:rPr>
          <w:sz w:val="24"/>
        </w:rPr>
      </w:pPr>
      <w:r>
        <w:rPr>
          <w:sz w:val="24"/>
        </w:rPr>
        <w:t>（6）未按要求提供资料或提供资料不完整、对招标要求未作出实质性响应，予以废标处理。</w:t>
      </w:r>
    </w:p>
    <w:p>
      <w:pPr>
        <w:spacing w:line="400" w:lineRule="atLeast"/>
        <w:ind w:firstLine="480"/>
        <w:rPr>
          <w:sz w:val="24"/>
        </w:rPr>
      </w:pPr>
      <w:r>
        <w:rPr>
          <w:sz w:val="24"/>
        </w:rPr>
        <w:t>（7）技术偏离表与投标商所提供的技术资料参数不符情况视为虚假应标，予以废标处理，其风险由投标商自行承担。</w:t>
      </w:r>
    </w:p>
    <w:p>
      <w:pPr>
        <w:spacing w:line="400" w:lineRule="atLeast"/>
        <w:rPr>
          <w:sz w:val="24"/>
        </w:rPr>
      </w:pPr>
      <w:r>
        <w:rPr>
          <w:sz w:val="24"/>
        </w:rPr>
        <w:t>17．投标的有效期</w:t>
      </w:r>
    </w:p>
    <w:p>
      <w:pPr>
        <w:spacing w:line="400" w:lineRule="atLeast"/>
        <w:rPr>
          <w:sz w:val="24"/>
        </w:rPr>
      </w:pPr>
      <w:r>
        <w:rPr>
          <w:sz w:val="24"/>
        </w:rPr>
        <w:t>17.1</w:t>
      </w:r>
      <w:r>
        <w:rPr>
          <w:b/>
          <w:sz w:val="24"/>
        </w:rPr>
        <w:t>投标文件从开标之日起，投标有效期为</w:t>
      </w:r>
      <w:r>
        <w:rPr>
          <w:b/>
          <w:sz w:val="24"/>
          <w:u w:val="single"/>
        </w:rPr>
        <w:t>90</w:t>
      </w:r>
      <w:r>
        <w:rPr>
          <w:b/>
          <w:sz w:val="24"/>
        </w:rPr>
        <w:t>天。（如不满足将导致废标）</w:t>
      </w:r>
    </w:p>
    <w:p>
      <w:pPr>
        <w:spacing w:line="400" w:lineRule="atLeast"/>
        <w:rPr>
          <w:sz w:val="24"/>
        </w:rPr>
      </w:pPr>
      <w:r>
        <w:rPr>
          <w:sz w:val="24"/>
        </w:rPr>
        <w:t>17.2 在特殊情况下，招标代理机构可与投标商商量延长投标文件的有效期。</w:t>
      </w:r>
    </w:p>
    <w:p>
      <w:pPr>
        <w:spacing w:line="400" w:lineRule="atLeast"/>
        <w:rPr>
          <w:sz w:val="24"/>
        </w:rPr>
      </w:pPr>
      <w:r>
        <w:rPr>
          <w:sz w:val="24"/>
        </w:rPr>
        <w:t>18．投标文件的书写要求。</w:t>
      </w:r>
    </w:p>
    <w:p>
      <w:pPr>
        <w:spacing w:line="400" w:lineRule="atLeast"/>
        <w:rPr>
          <w:sz w:val="24"/>
        </w:rPr>
      </w:pPr>
      <w:r>
        <w:rPr>
          <w:sz w:val="24"/>
        </w:rPr>
        <w:t>18.1 投标文件须打印胶装，活页装订不予评审。</w:t>
      </w:r>
    </w:p>
    <w:p>
      <w:pPr>
        <w:spacing w:line="400" w:lineRule="atLeast"/>
        <w:rPr>
          <w:sz w:val="24"/>
        </w:rPr>
      </w:pPr>
      <w:r>
        <w:rPr>
          <w:sz w:val="24"/>
        </w:rPr>
        <w:t>18.2 投标文件应清楚工整，修改处应由投标全权代表签章。</w:t>
      </w:r>
    </w:p>
    <w:p>
      <w:pPr>
        <w:spacing w:line="400" w:lineRule="atLeast"/>
        <w:ind w:left="600" w:hanging="600" w:hangingChars="250"/>
        <w:rPr>
          <w:sz w:val="24"/>
        </w:rPr>
      </w:pPr>
      <w:r>
        <w:rPr>
          <w:sz w:val="24"/>
        </w:rPr>
        <w:t>18.3投标文件应由法人代表或法人授权代表在凡规定签章处逐一签署及加盖单位的公章。</w:t>
      </w:r>
    </w:p>
    <w:p>
      <w:pPr>
        <w:spacing w:line="400" w:lineRule="atLeast"/>
        <w:rPr>
          <w:sz w:val="24"/>
        </w:rPr>
      </w:pPr>
      <w:r>
        <w:rPr>
          <w:sz w:val="24"/>
        </w:rPr>
        <w:t>18.4电报、电话、传真形式的投标概不接受。</w:t>
      </w:r>
    </w:p>
    <w:p>
      <w:pPr>
        <w:spacing w:line="400" w:lineRule="atLeast"/>
        <w:rPr>
          <w:sz w:val="24"/>
        </w:rPr>
      </w:pPr>
      <w:r>
        <w:rPr>
          <w:sz w:val="24"/>
        </w:rPr>
        <w:t>18.5投标文件的份数：一式</w:t>
      </w:r>
      <w:r>
        <w:rPr>
          <w:rFonts w:hint="eastAsia"/>
          <w:sz w:val="24"/>
        </w:rPr>
        <w:t>5</w:t>
      </w:r>
      <w:r>
        <w:rPr>
          <w:sz w:val="24"/>
        </w:rPr>
        <w:t>份。正本1份，副本</w:t>
      </w:r>
      <w:r>
        <w:rPr>
          <w:rFonts w:hint="eastAsia"/>
          <w:sz w:val="24"/>
        </w:rPr>
        <w:t>4</w:t>
      </w:r>
      <w:r>
        <w:rPr>
          <w:sz w:val="24"/>
        </w:rPr>
        <w:t>份</w:t>
      </w:r>
      <w:r>
        <w:rPr>
          <w:rFonts w:hint="eastAsia"/>
          <w:sz w:val="24"/>
        </w:rPr>
        <w:t>，电子版1份</w:t>
      </w:r>
      <w:r>
        <w:rPr>
          <w:sz w:val="24"/>
        </w:rPr>
        <w:t>。</w:t>
      </w:r>
    </w:p>
    <w:p>
      <w:pPr>
        <w:spacing w:line="400" w:lineRule="atLeast"/>
        <w:rPr>
          <w:sz w:val="24"/>
        </w:rPr>
      </w:pPr>
      <w:r>
        <w:rPr>
          <w:sz w:val="24"/>
        </w:rPr>
        <w:t>19．投标保证金</w:t>
      </w:r>
    </w:p>
    <w:p>
      <w:pPr>
        <w:spacing w:line="400" w:lineRule="atLeast"/>
        <w:ind w:left="600" w:hanging="600" w:hangingChars="250"/>
        <w:rPr>
          <w:sz w:val="24"/>
        </w:rPr>
      </w:pPr>
      <w:r>
        <w:rPr>
          <w:sz w:val="24"/>
        </w:rPr>
        <w:t>19.1投标商按照预算价的2%，于投标截止时间前三日向招标代理机构交纳投标保证金。</w:t>
      </w:r>
    </w:p>
    <w:p>
      <w:pPr>
        <w:spacing w:line="400" w:lineRule="atLeast"/>
        <w:ind w:left="600" w:hanging="600" w:hangingChars="250"/>
        <w:rPr>
          <w:sz w:val="24"/>
        </w:rPr>
      </w:pPr>
      <w:r>
        <w:rPr>
          <w:sz w:val="24"/>
        </w:rPr>
        <w:t>19.2 本次招标可接受电汇作为投标保证金，</w:t>
      </w:r>
      <w:r>
        <w:rPr>
          <w:sz w:val="24"/>
          <w:szCs w:val="24"/>
        </w:rPr>
        <w:t>投标保证金有效期应当与投标有效期一致</w:t>
      </w:r>
      <w:r>
        <w:rPr>
          <w:sz w:val="24"/>
        </w:rPr>
        <w:t>。</w:t>
      </w:r>
    </w:p>
    <w:p>
      <w:pPr>
        <w:spacing w:line="400" w:lineRule="atLeast"/>
        <w:ind w:left="600" w:hanging="600" w:hangingChars="250"/>
        <w:rPr>
          <w:sz w:val="24"/>
        </w:rPr>
      </w:pPr>
      <w:r>
        <w:rPr>
          <w:sz w:val="24"/>
        </w:rPr>
        <w:t>19.3投标保证金的退还时间：</w:t>
      </w:r>
    </w:p>
    <w:p>
      <w:pPr>
        <w:spacing w:line="400" w:lineRule="atLeast"/>
        <w:rPr>
          <w:sz w:val="24"/>
        </w:rPr>
      </w:pPr>
      <w:r>
        <w:rPr>
          <w:sz w:val="24"/>
        </w:rPr>
        <w:t>19.3.1在中标通知书发出后5个工作日内退还未中标供应商的投标保证金，在采购合同签订后5个工作日内退还中标供应商的投标保证金。</w:t>
      </w:r>
    </w:p>
    <w:p>
      <w:pPr>
        <w:spacing w:line="400" w:lineRule="atLeast"/>
        <w:rPr>
          <w:sz w:val="24"/>
        </w:rPr>
      </w:pPr>
      <w:r>
        <w:rPr>
          <w:sz w:val="24"/>
        </w:rPr>
        <w:t>19.3.2最迟应当在合同签订后5日内向中标人和未中标的投标人退还投标保证金。</w:t>
      </w:r>
    </w:p>
    <w:p>
      <w:pPr>
        <w:spacing w:line="400" w:lineRule="atLeast"/>
        <w:rPr>
          <w:b/>
          <w:sz w:val="24"/>
        </w:rPr>
      </w:pPr>
      <w:r>
        <w:rPr>
          <w:sz w:val="24"/>
        </w:rPr>
        <w:t>19.4</w:t>
      </w:r>
      <w:r>
        <w:rPr>
          <w:b/>
          <w:sz w:val="24"/>
        </w:rPr>
        <w:t>未按规定提交投标保证金的投标，将被视为投标无效。</w:t>
      </w:r>
    </w:p>
    <w:p>
      <w:pPr>
        <w:pStyle w:val="18"/>
        <w:spacing w:line="400" w:lineRule="atLeast"/>
        <w:rPr>
          <w:rFonts w:ascii="Times New Roman" w:hAnsi="Times New Roman"/>
          <w:sz w:val="24"/>
        </w:rPr>
      </w:pPr>
      <w:r>
        <w:rPr>
          <w:rFonts w:ascii="Times New Roman" w:hAnsi="Times New Roman"/>
          <w:sz w:val="24"/>
        </w:rPr>
        <w:t>19.5下列任何情况发生时，投标保证金将被没收：</w:t>
      </w:r>
    </w:p>
    <w:p>
      <w:pPr>
        <w:pStyle w:val="18"/>
        <w:spacing w:line="400" w:lineRule="atLeast"/>
        <w:rPr>
          <w:rFonts w:ascii="Times New Roman" w:hAnsi="Times New Roman"/>
          <w:sz w:val="24"/>
        </w:rPr>
      </w:pPr>
      <w:r>
        <w:rPr>
          <w:rFonts w:ascii="Times New Roman" w:hAnsi="Times New Roman"/>
          <w:sz w:val="24"/>
        </w:rPr>
        <w:t>19.5.1投标商在招标文件规定的投标有效期内撤回其投标；</w:t>
      </w:r>
    </w:p>
    <w:p>
      <w:pPr>
        <w:pStyle w:val="18"/>
        <w:spacing w:line="400" w:lineRule="atLeast"/>
        <w:rPr>
          <w:rFonts w:ascii="Times New Roman" w:hAnsi="Times New Roman"/>
          <w:sz w:val="24"/>
        </w:rPr>
      </w:pPr>
      <w:r>
        <w:rPr>
          <w:rFonts w:ascii="Times New Roman" w:hAnsi="Times New Roman"/>
          <w:sz w:val="24"/>
        </w:rPr>
        <w:t>19.5.2中标方在规定期限内未能：</w:t>
      </w:r>
    </w:p>
    <w:p>
      <w:pPr>
        <w:pStyle w:val="18"/>
        <w:spacing w:line="400" w:lineRule="atLeast"/>
        <w:rPr>
          <w:rFonts w:ascii="Times New Roman" w:hAnsi="Times New Roman"/>
          <w:sz w:val="24"/>
        </w:rPr>
      </w:pPr>
      <w:r>
        <w:rPr>
          <w:rFonts w:ascii="Times New Roman" w:hAnsi="Times New Roman"/>
          <w:sz w:val="24"/>
        </w:rPr>
        <w:t>19.5.2.1按本须知第31条规定签订合同；</w:t>
      </w:r>
    </w:p>
    <w:p>
      <w:pPr>
        <w:pStyle w:val="18"/>
        <w:spacing w:line="400" w:lineRule="atLeast"/>
        <w:rPr>
          <w:rFonts w:ascii="Times New Roman" w:hAnsi="Times New Roman"/>
          <w:sz w:val="24"/>
        </w:rPr>
      </w:pPr>
      <w:r>
        <w:rPr>
          <w:rFonts w:ascii="Times New Roman" w:hAnsi="Times New Roman"/>
          <w:sz w:val="24"/>
        </w:rPr>
        <w:t>19.5.2.2按本须知第33条规定向招标代理机构交纳招标代理服务费。</w:t>
      </w:r>
    </w:p>
    <w:p>
      <w:pPr>
        <w:pStyle w:val="18"/>
        <w:spacing w:line="400" w:lineRule="atLeast"/>
        <w:rPr>
          <w:rFonts w:ascii="Times New Roman" w:hAnsi="Times New Roman"/>
          <w:sz w:val="24"/>
        </w:rPr>
      </w:pPr>
    </w:p>
    <w:p>
      <w:pPr>
        <w:pStyle w:val="4"/>
        <w:spacing w:before="100" w:beforeAutospacing="1" w:after="100" w:afterAutospacing="1" w:line="400" w:lineRule="atLeast"/>
        <w:jc w:val="center"/>
        <w:rPr>
          <w:rFonts w:ascii="Times New Roman" w:hAnsi="Times New Roman" w:eastAsia="宋体"/>
          <w:sz w:val="28"/>
          <w:szCs w:val="28"/>
        </w:rPr>
      </w:pPr>
      <w:bookmarkStart w:id="100" w:name="_Toc267301285"/>
      <w:bookmarkStart w:id="101" w:name="_Toc349637923"/>
      <w:bookmarkStart w:id="102" w:name="_Toc298240408"/>
      <w:bookmarkStart w:id="103" w:name="_Toc349573124"/>
      <w:bookmarkStart w:id="104" w:name="_Toc23449"/>
      <w:bookmarkStart w:id="105" w:name="_Toc25696"/>
      <w:r>
        <w:rPr>
          <w:rFonts w:ascii="Times New Roman" w:hAnsi="Times New Roman" w:eastAsia="宋体"/>
          <w:sz w:val="28"/>
          <w:szCs w:val="28"/>
        </w:rPr>
        <w:t>D  投标文件的递交</w:t>
      </w:r>
      <w:bookmarkEnd w:id="100"/>
      <w:bookmarkEnd w:id="101"/>
      <w:bookmarkEnd w:id="102"/>
      <w:bookmarkEnd w:id="103"/>
      <w:bookmarkEnd w:id="104"/>
      <w:bookmarkEnd w:id="105"/>
    </w:p>
    <w:p>
      <w:pPr>
        <w:spacing w:line="400" w:lineRule="atLeast"/>
        <w:rPr>
          <w:sz w:val="24"/>
        </w:rPr>
      </w:pPr>
      <w:r>
        <w:rPr>
          <w:sz w:val="24"/>
        </w:rPr>
        <w:t>20. 投标文件的密封与标记</w:t>
      </w:r>
    </w:p>
    <w:p>
      <w:pPr>
        <w:spacing w:line="400" w:lineRule="atLeast"/>
        <w:ind w:firstLine="480" w:firstLineChars="200"/>
        <w:rPr>
          <w:sz w:val="24"/>
        </w:rPr>
      </w:pPr>
      <w:r>
        <w:rPr>
          <w:sz w:val="24"/>
        </w:rPr>
        <w:t>20.1 投标商应将投标文件正、副本分别密封，在每个密封件的封面上标明投标商名称、法定代表人、单位公章、正本或副本。</w:t>
      </w:r>
    </w:p>
    <w:p>
      <w:pPr>
        <w:spacing w:line="400" w:lineRule="atLeast"/>
        <w:rPr>
          <w:sz w:val="24"/>
        </w:rPr>
      </w:pPr>
      <w:r>
        <w:rPr>
          <w:sz w:val="24"/>
        </w:rPr>
        <w:t>20.2 投标文件袋上应写明：</w:t>
      </w:r>
    </w:p>
    <w:p>
      <w:pPr>
        <w:numPr>
          <w:ilvl w:val="0"/>
          <w:numId w:val="5"/>
        </w:numPr>
        <w:tabs>
          <w:tab w:val="left" w:pos="1080"/>
          <w:tab w:val="clear" w:pos="1260"/>
        </w:tabs>
        <w:spacing w:line="400" w:lineRule="atLeast"/>
        <w:ind w:left="1080" w:hanging="720"/>
        <w:rPr>
          <w:sz w:val="24"/>
        </w:rPr>
      </w:pPr>
      <w:r>
        <w:rPr>
          <w:sz w:val="24"/>
        </w:rPr>
        <w:t>招标机构：新疆西北招标有限公司</w:t>
      </w:r>
    </w:p>
    <w:p>
      <w:pPr>
        <w:numPr>
          <w:ilvl w:val="0"/>
          <w:numId w:val="5"/>
        </w:numPr>
        <w:tabs>
          <w:tab w:val="left" w:pos="1080"/>
          <w:tab w:val="clear" w:pos="1260"/>
        </w:tabs>
        <w:spacing w:line="400" w:lineRule="atLeast"/>
        <w:ind w:left="1080" w:hanging="720"/>
        <w:rPr>
          <w:sz w:val="24"/>
        </w:rPr>
      </w:pPr>
      <w:r>
        <w:rPr>
          <w:sz w:val="24"/>
        </w:rPr>
        <w:t>项目名称：</w:t>
      </w:r>
    </w:p>
    <w:p>
      <w:pPr>
        <w:numPr>
          <w:ilvl w:val="0"/>
          <w:numId w:val="5"/>
        </w:numPr>
        <w:tabs>
          <w:tab w:val="left" w:pos="1080"/>
          <w:tab w:val="clear" w:pos="1260"/>
        </w:tabs>
        <w:spacing w:line="400" w:lineRule="atLeast"/>
        <w:ind w:left="1080" w:hanging="720"/>
        <w:rPr>
          <w:sz w:val="24"/>
        </w:rPr>
      </w:pPr>
      <w:r>
        <w:rPr>
          <w:sz w:val="24"/>
        </w:rPr>
        <w:t>项目编号：</w:t>
      </w:r>
    </w:p>
    <w:p>
      <w:pPr>
        <w:numPr>
          <w:ilvl w:val="0"/>
          <w:numId w:val="5"/>
        </w:numPr>
        <w:tabs>
          <w:tab w:val="left" w:pos="1080"/>
          <w:tab w:val="clear" w:pos="1260"/>
        </w:tabs>
        <w:spacing w:line="400" w:lineRule="atLeast"/>
        <w:ind w:left="1080" w:hanging="720"/>
        <w:rPr>
          <w:sz w:val="24"/>
        </w:rPr>
      </w:pPr>
      <w:r>
        <w:rPr>
          <w:sz w:val="24"/>
        </w:rPr>
        <w:t>包号：</w:t>
      </w:r>
    </w:p>
    <w:p>
      <w:pPr>
        <w:numPr>
          <w:ilvl w:val="0"/>
          <w:numId w:val="5"/>
        </w:numPr>
        <w:tabs>
          <w:tab w:val="left" w:pos="1080"/>
          <w:tab w:val="clear" w:pos="1260"/>
        </w:tabs>
        <w:spacing w:line="400" w:lineRule="atLeast"/>
        <w:ind w:left="1080" w:hanging="720"/>
        <w:rPr>
          <w:sz w:val="24"/>
        </w:rPr>
      </w:pPr>
      <w:r>
        <w:rPr>
          <w:sz w:val="24"/>
        </w:rPr>
        <w:t>注明“开标时才能启封”</w:t>
      </w:r>
    </w:p>
    <w:p>
      <w:pPr>
        <w:numPr>
          <w:ilvl w:val="0"/>
          <w:numId w:val="5"/>
        </w:numPr>
        <w:tabs>
          <w:tab w:val="left" w:pos="1080"/>
          <w:tab w:val="clear" w:pos="1260"/>
        </w:tabs>
        <w:spacing w:line="400" w:lineRule="atLeast"/>
        <w:ind w:left="1080" w:hanging="720"/>
        <w:rPr>
          <w:sz w:val="24"/>
        </w:rPr>
      </w:pPr>
      <w:r>
        <w:rPr>
          <w:sz w:val="24"/>
        </w:rPr>
        <w:t>投标单位名称：</w:t>
      </w:r>
    </w:p>
    <w:p>
      <w:pPr>
        <w:spacing w:line="400" w:lineRule="atLeast"/>
        <w:ind w:left="480" w:hanging="480" w:hangingChars="200"/>
        <w:rPr>
          <w:sz w:val="24"/>
        </w:rPr>
      </w:pPr>
      <w:r>
        <w:rPr>
          <w:sz w:val="24"/>
        </w:rPr>
        <w:t>20.3为方便开标唱标，投标商须将正本的投标书、开标一览表和投标保证金单独密封，并在信封上标明“开标一览表”字样，然后再装入正本投标文件密封袋中。</w:t>
      </w:r>
    </w:p>
    <w:p>
      <w:pPr>
        <w:spacing w:line="400" w:lineRule="atLeast"/>
        <w:ind w:left="600" w:hanging="600" w:hangingChars="250"/>
        <w:rPr>
          <w:sz w:val="24"/>
        </w:rPr>
      </w:pPr>
      <w:r>
        <w:rPr>
          <w:sz w:val="24"/>
        </w:rPr>
        <w:t>20.4招标文件装订要求：投标文件要求不得活页装订。</w:t>
      </w:r>
    </w:p>
    <w:p>
      <w:pPr>
        <w:spacing w:line="400" w:lineRule="atLeast"/>
        <w:rPr>
          <w:sz w:val="24"/>
        </w:rPr>
      </w:pPr>
      <w:r>
        <w:rPr>
          <w:sz w:val="24"/>
        </w:rPr>
        <w:t>21. 投标截止时间</w:t>
      </w:r>
    </w:p>
    <w:p>
      <w:pPr>
        <w:spacing w:line="400" w:lineRule="atLeast"/>
        <w:rPr>
          <w:sz w:val="24"/>
        </w:rPr>
      </w:pPr>
      <w:r>
        <w:rPr>
          <w:sz w:val="24"/>
        </w:rPr>
        <w:t>21.1 投标文件的递交不得迟于</w:t>
      </w:r>
      <w:r>
        <w:rPr>
          <w:rFonts w:hint="eastAsia"/>
          <w:kern w:val="0"/>
          <w:sz w:val="24"/>
          <w:szCs w:val="24"/>
        </w:rPr>
        <w:t>2021年</w:t>
      </w:r>
      <w:r>
        <w:rPr>
          <w:rFonts w:hint="eastAsia"/>
          <w:kern w:val="0"/>
          <w:sz w:val="24"/>
          <w:szCs w:val="24"/>
          <w:lang w:val="en-US" w:eastAsia="zh-CN"/>
        </w:rPr>
        <w:t>06月24日</w:t>
      </w:r>
      <w:r>
        <w:rPr>
          <w:sz w:val="24"/>
          <w:szCs w:val="24"/>
        </w:rPr>
        <w:t>11：00时（北京时间）</w:t>
      </w:r>
      <w:r>
        <w:rPr>
          <w:sz w:val="24"/>
        </w:rPr>
        <w:t>。</w:t>
      </w:r>
    </w:p>
    <w:p>
      <w:pPr>
        <w:spacing w:line="400" w:lineRule="atLeast"/>
        <w:ind w:left="540" w:leftChars="257"/>
        <w:rPr>
          <w:sz w:val="24"/>
        </w:rPr>
      </w:pPr>
      <w:r>
        <w:rPr>
          <w:sz w:val="24"/>
        </w:rPr>
        <w:t>投标文件以密封形式递交至：开标现场或新疆西北招标有限公司</w:t>
      </w:r>
    </w:p>
    <w:p>
      <w:pPr>
        <w:spacing w:line="400" w:lineRule="atLeast"/>
        <w:ind w:firstLine="480" w:firstLineChars="200"/>
        <w:rPr>
          <w:sz w:val="24"/>
        </w:rPr>
      </w:pPr>
      <w:r>
        <w:rPr>
          <w:sz w:val="24"/>
        </w:rPr>
        <w:t>21.2 所有投标文件不论派人送交还是通过邮寄递交，都必须按招标代理机构在投标邀请中规定的投标截止时间之前送到招标文件规定的地点。</w:t>
      </w:r>
    </w:p>
    <w:p>
      <w:pPr>
        <w:spacing w:line="400" w:lineRule="atLeast"/>
        <w:ind w:left="480" w:hanging="480" w:hangingChars="200"/>
        <w:rPr>
          <w:sz w:val="24"/>
        </w:rPr>
      </w:pPr>
      <w:r>
        <w:rPr>
          <w:sz w:val="24"/>
        </w:rPr>
        <w:t>21.3 出现第8.2款因招标文件的修改推迟投标截止时间时，则按招标代理机构修改通知规定的时间递交。</w:t>
      </w:r>
    </w:p>
    <w:p>
      <w:pPr>
        <w:spacing w:line="400" w:lineRule="atLeast"/>
        <w:rPr>
          <w:sz w:val="24"/>
        </w:rPr>
      </w:pPr>
      <w:r>
        <w:rPr>
          <w:sz w:val="24"/>
        </w:rPr>
        <w:t>22．投标文件的修改和撤销</w:t>
      </w:r>
    </w:p>
    <w:p>
      <w:pPr>
        <w:spacing w:line="400" w:lineRule="atLeast"/>
        <w:ind w:firstLine="480" w:firstLineChars="200"/>
        <w:rPr>
          <w:sz w:val="24"/>
        </w:rPr>
      </w:pPr>
      <w:r>
        <w:rPr>
          <w:sz w:val="24"/>
        </w:rPr>
        <w:t>22.1 投标商在提交投标文件后可对其投标文件进行修改或撤销，但招标代理机构须在投标截止时间之前收到该修改或撤销的书面通知，该通知须有经正式授权的投标商代表签字。</w:t>
      </w:r>
    </w:p>
    <w:p>
      <w:pPr>
        <w:spacing w:line="400" w:lineRule="atLeast"/>
        <w:rPr>
          <w:sz w:val="24"/>
        </w:rPr>
      </w:pPr>
      <w:r>
        <w:rPr>
          <w:sz w:val="24"/>
        </w:rPr>
        <w:t>22.2 投标截止时间以后不得修改投标文件。</w:t>
      </w:r>
    </w:p>
    <w:p>
      <w:pPr>
        <w:spacing w:line="400" w:lineRule="atLeast"/>
        <w:ind w:firstLine="480" w:firstLineChars="200"/>
        <w:rPr>
          <w:sz w:val="24"/>
        </w:rPr>
      </w:pPr>
      <w:r>
        <w:rPr>
          <w:sz w:val="24"/>
        </w:rPr>
        <w:t>22.3 投标商不得在开标时间起至投标有效期期满前撤销投标文件。否则招标代理机构将没收其投标保证金。</w:t>
      </w:r>
    </w:p>
    <w:p>
      <w:pPr>
        <w:pStyle w:val="4"/>
        <w:spacing w:before="100" w:beforeAutospacing="1" w:after="100" w:afterAutospacing="1" w:line="400" w:lineRule="atLeast"/>
        <w:jc w:val="center"/>
        <w:rPr>
          <w:rFonts w:ascii="Times New Roman" w:hAnsi="Times New Roman" w:eastAsia="宋体"/>
          <w:sz w:val="28"/>
          <w:szCs w:val="28"/>
        </w:rPr>
      </w:pPr>
      <w:bookmarkStart w:id="106" w:name="_Toc267301286"/>
      <w:bookmarkStart w:id="107" w:name="_Toc349637924"/>
      <w:bookmarkStart w:id="108" w:name="_Toc298240409"/>
      <w:bookmarkStart w:id="109" w:name="_Toc349573125"/>
      <w:bookmarkStart w:id="110" w:name="_Toc24774"/>
      <w:bookmarkStart w:id="111" w:name="_Toc26656"/>
      <w:r>
        <w:rPr>
          <w:rFonts w:ascii="Times New Roman" w:hAnsi="Times New Roman" w:eastAsia="宋体"/>
          <w:sz w:val="28"/>
          <w:szCs w:val="28"/>
        </w:rPr>
        <w:t>E  评标程序</w:t>
      </w:r>
      <w:bookmarkEnd w:id="106"/>
      <w:bookmarkEnd w:id="107"/>
      <w:bookmarkEnd w:id="108"/>
      <w:bookmarkEnd w:id="109"/>
      <w:bookmarkEnd w:id="110"/>
      <w:bookmarkEnd w:id="111"/>
    </w:p>
    <w:p>
      <w:pPr>
        <w:spacing w:line="400" w:lineRule="atLeast"/>
        <w:rPr>
          <w:sz w:val="24"/>
        </w:rPr>
      </w:pPr>
      <w:r>
        <w:rPr>
          <w:sz w:val="24"/>
        </w:rPr>
        <w:t>23．开标</w:t>
      </w:r>
    </w:p>
    <w:p>
      <w:pPr>
        <w:spacing w:line="400" w:lineRule="atLeast"/>
        <w:rPr>
          <w:sz w:val="24"/>
        </w:rPr>
      </w:pPr>
      <w:r>
        <w:rPr>
          <w:sz w:val="24"/>
        </w:rPr>
        <w:t>23.1</w:t>
      </w:r>
      <w:r>
        <w:rPr>
          <w:b/>
          <w:bCs/>
          <w:sz w:val="24"/>
        </w:rPr>
        <w:t>开标后，有关行政监督部门的工作人员将对投标人进行资格审查，</w:t>
      </w:r>
      <w:r>
        <w:rPr>
          <w:b/>
          <w:bCs/>
          <w:sz w:val="24"/>
          <w:u w:val="single"/>
        </w:rPr>
        <w:t>如缺项将导致废标</w:t>
      </w:r>
      <w:r>
        <w:rPr>
          <w:b/>
          <w:bCs/>
          <w:sz w:val="24"/>
        </w:rPr>
        <w:t>。</w:t>
      </w:r>
    </w:p>
    <w:p>
      <w:pPr>
        <w:spacing w:line="400" w:lineRule="atLeast"/>
        <w:rPr>
          <w:b/>
          <w:sz w:val="24"/>
        </w:rPr>
      </w:pPr>
      <w:r>
        <w:rPr>
          <w:b/>
          <w:sz w:val="24"/>
        </w:rPr>
        <w:t>资格审查含：</w:t>
      </w:r>
    </w:p>
    <w:p>
      <w:pPr>
        <w:widowControl/>
        <w:snapToGrid w:val="0"/>
        <w:spacing w:line="500" w:lineRule="exact"/>
        <w:ind w:firstLine="482" w:firstLineChars="200"/>
        <w:jc w:val="left"/>
        <w:rPr>
          <w:b/>
          <w:bCs/>
          <w:sz w:val="24"/>
        </w:rPr>
      </w:pPr>
      <w:r>
        <w:rPr>
          <w:b/>
          <w:bCs/>
          <w:sz w:val="24"/>
        </w:rPr>
        <w:t>1）投标人应出具三证合一的《营业执照》副本原件；</w:t>
      </w:r>
    </w:p>
    <w:p>
      <w:pPr>
        <w:widowControl/>
        <w:snapToGrid w:val="0"/>
        <w:spacing w:line="500" w:lineRule="exact"/>
        <w:ind w:firstLine="482" w:firstLineChars="200"/>
        <w:jc w:val="left"/>
        <w:rPr>
          <w:b/>
          <w:bCs/>
          <w:sz w:val="24"/>
        </w:rPr>
      </w:pPr>
      <w:r>
        <w:rPr>
          <w:b/>
          <w:bCs/>
          <w:sz w:val="24"/>
        </w:rPr>
        <w:t xml:space="preserve">2）投标人应出具《医疗器械生产企业许可证》或《医疗器械经营企业许可证》副本原件； </w:t>
      </w:r>
    </w:p>
    <w:p>
      <w:pPr>
        <w:widowControl/>
        <w:snapToGrid w:val="0"/>
        <w:spacing w:line="500" w:lineRule="exact"/>
        <w:ind w:firstLine="482" w:firstLineChars="200"/>
        <w:jc w:val="left"/>
        <w:rPr>
          <w:b/>
          <w:bCs/>
          <w:sz w:val="24"/>
          <w:szCs w:val="22"/>
        </w:rPr>
      </w:pPr>
      <w:r>
        <w:rPr>
          <w:b/>
          <w:bCs/>
          <w:sz w:val="24"/>
        </w:rPr>
        <w:t>3）法定代表人参加投标的，应提供法定代表人居民身份证；法定代表人授权人参加投标</w:t>
      </w:r>
      <w:r>
        <w:rPr>
          <w:b/>
          <w:bCs/>
          <w:sz w:val="24"/>
          <w:szCs w:val="22"/>
        </w:rPr>
        <w:t>的，应提供法定代表人授权书及被授权人居民身份证；</w:t>
      </w:r>
    </w:p>
    <w:p>
      <w:pPr>
        <w:widowControl/>
        <w:snapToGrid w:val="0"/>
        <w:spacing w:line="500" w:lineRule="exact"/>
        <w:ind w:firstLine="482" w:firstLineChars="200"/>
        <w:jc w:val="left"/>
      </w:pPr>
      <w:r>
        <w:rPr>
          <w:rFonts w:hint="eastAsia"/>
          <w:b/>
          <w:bCs/>
          <w:sz w:val="24"/>
          <w:szCs w:val="22"/>
        </w:rPr>
        <w:t>4）进口产品需提供生产厂家授权书原件；</w:t>
      </w:r>
    </w:p>
    <w:p>
      <w:pPr>
        <w:widowControl/>
        <w:snapToGrid w:val="0"/>
        <w:spacing w:line="500" w:lineRule="exact"/>
        <w:ind w:firstLine="482" w:firstLineChars="200"/>
        <w:jc w:val="left"/>
        <w:rPr>
          <w:b/>
          <w:bCs/>
          <w:sz w:val="24"/>
        </w:rPr>
      </w:pPr>
      <w:r>
        <w:rPr>
          <w:rFonts w:hint="eastAsia"/>
          <w:b/>
          <w:bCs/>
          <w:sz w:val="24"/>
        </w:rPr>
        <w:t>5</w:t>
      </w:r>
      <w:r>
        <w:rPr>
          <w:b/>
          <w:bCs/>
          <w:sz w:val="24"/>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widowControl/>
        <w:snapToGrid w:val="0"/>
        <w:spacing w:line="500" w:lineRule="exact"/>
        <w:ind w:firstLine="482" w:firstLineChars="200"/>
        <w:jc w:val="left"/>
        <w:rPr>
          <w:b/>
          <w:bCs/>
          <w:sz w:val="24"/>
        </w:rPr>
      </w:pPr>
      <w:r>
        <w:rPr>
          <w:rFonts w:hint="eastAsia"/>
          <w:b/>
          <w:bCs/>
          <w:sz w:val="24"/>
        </w:rPr>
        <w:t>6</w:t>
      </w:r>
      <w:r>
        <w:rPr>
          <w:b/>
          <w:bCs/>
          <w:sz w:val="24"/>
        </w:rPr>
        <w:t>）投标保证金收据复印件。</w:t>
      </w:r>
    </w:p>
    <w:p>
      <w:pPr>
        <w:spacing w:line="400" w:lineRule="atLeast"/>
        <w:ind w:left="600" w:hanging="600" w:hangingChars="250"/>
        <w:rPr>
          <w:sz w:val="24"/>
        </w:rPr>
      </w:pPr>
      <w:r>
        <w:rPr>
          <w:sz w:val="24"/>
        </w:rPr>
        <w:t>23.2本次招标按招标文件中投标邀请规定的时间地点进行开标，将邀请投标商的法定代表人或其授权委托人准时参加开标会。</w:t>
      </w:r>
    </w:p>
    <w:p>
      <w:pPr>
        <w:spacing w:line="400" w:lineRule="atLeast"/>
        <w:ind w:left="600" w:hanging="600" w:hangingChars="250"/>
        <w:rPr>
          <w:sz w:val="24"/>
        </w:rPr>
      </w:pPr>
      <w:r>
        <w:rPr>
          <w:sz w:val="24"/>
        </w:rPr>
        <w:t>23.3</w:t>
      </w:r>
      <w:r>
        <w:rPr>
          <w:sz w:val="24"/>
          <w:szCs w:val="24"/>
        </w:rPr>
        <w:t>宣布投标文件开启顺序</w:t>
      </w:r>
      <w:r>
        <w:rPr>
          <w:sz w:val="30"/>
          <w:szCs w:val="30"/>
        </w:rPr>
        <w:t>。</w:t>
      </w:r>
    </w:p>
    <w:p>
      <w:pPr>
        <w:spacing w:line="400" w:lineRule="atLeast"/>
        <w:ind w:left="600" w:hanging="600" w:hangingChars="250"/>
        <w:rPr>
          <w:sz w:val="24"/>
        </w:rPr>
      </w:pPr>
      <w:r>
        <w:rPr>
          <w:sz w:val="24"/>
        </w:rPr>
        <w:t>23.4开标时检查投标文件密封情况，确认无误后拆封唱标，唱“开标一览表”内容，以及招标代理机构认为合适的其他内容并记录。</w:t>
      </w:r>
    </w:p>
    <w:p>
      <w:pPr>
        <w:spacing w:line="400" w:lineRule="atLeast"/>
        <w:rPr>
          <w:sz w:val="24"/>
        </w:rPr>
      </w:pPr>
      <w:r>
        <w:rPr>
          <w:sz w:val="24"/>
        </w:rPr>
        <w:t>23.5评标原则在开标会议上宣布。</w:t>
      </w:r>
    </w:p>
    <w:p>
      <w:pPr>
        <w:spacing w:line="400" w:lineRule="atLeast"/>
        <w:rPr>
          <w:sz w:val="24"/>
        </w:rPr>
      </w:pPr>
      <w:r>
        <w:rPr>
          <w:sz w:val="24"/>
        </w:rPr>
        <w:t>23.6 对招标人的纪律要求</w:t>
      </w:r>
    </w:p>
    <w:p>
      <w:pPr>
        <w:spacing w:line="400" w:lineRule="atLeast"/>
        <w:ind w:left="720" w:hanging="720" w:hangingChars="300"/>
        <w:rPr>
          <w:sz w:val="24"/>
        </w:rPr>
      </w:pPr>
      <w:r>
        <w:rPr>
          <w:sz w:val="24"/>
        </w:rPr>
        <w:t>招标人不得泄露招标投标活动中应当保密的情况和资料，不得与投标人串通损害国家利益、社会公共利益或者他人合法权益。</w:t>
      </w:r>
    </w:p>
    <w:p>
      <w:pPr>
        <w:spacing w:line="400" w:lineRule="atLeast"/>
        <w:rPr>
          <w:sz w:val="24"/>
        </w:rPr>
      </w:pPr>
      <w:r>
        <w:rPr>
          <w:sz w:val="24"/>
        </w:rPr>
        <w:t>23.7对投标人的纪律要求</w:t>
      </w:r>
    </w:p>
    <w:p>
      <w:pPr>
        <w:spacing w:line="400" w:lineRule="atLeast"/>
        <w:ind w:firstLine="480" w:firstLineChars="200"/>
        <w:rPr>
          <w:sz w:val="24"/>
        </w:rPr>
      </w:pPr>
      <w:r>
        <w:rPr>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400" w:lineRule="atLeast"/>
        <w:ind w:left="720" w:hanging="720" w:hangingChars="300"/>
        <w:rPr>
          <w:sz w:val="24"/>
        </w:rPr>
      </w:pPr>
      <w:r>
        <w:rPr>
          <w:sz w:val="24"/>
        </w:rPr>
        <w:t>在评标过程中，评标委员会发现有下列情形之一的，视为投标人串通投标，其投标无效：</w:t>
      </w:r>
    </w:p>
    <w:p>
      <w:pPr>
        <w:spacing w:line="400" w:lineRule="atLeast"/>
        <w:ind w:left="720" w:hanging="720" w:hangingChars="300"/>
        <w:rPr>
          <w:sz w:val="24"/>
        </w:rPr>
      </w:pPr>
      <w:r>
        <w:rPr>
          <w:sz w:val="24"/>
        </w:rPr>
        <w:t>（1）不同投标人的投标文件由同一单位或者个人编制；</w:t>
      </w:r>
    </w:p>
    <w:p>
      <w:pPr>
        <w:spacing w:line="400" w:lineRule="atLeast"/>
        <w:ind w:left="720" w:hanging="720" w:hangingChars="300"/>
        <w:rPr>
          <w:sz w:val="24"/>
        </w:rPr>
      </w:pPr>
      <w:r>
        <w:rPr>
          <w:sz w:val="24"/>
        </w:rPr>
        <w:t>（2）不同投标人委托同一单位或者个人办理投标事宜；</w:t>
      </w:r>
    </w:p>
    <w:p>
      <w:pPr>
        <w:spacing w:line="400" w:lineRule="atLeast"/>
        <w:ind w:left="720" w:hanging="720" w:hangingChars="300"/>
        <w:rPr>
          <w:sz w:val="24"/>
        </w:rPr>
      </w:pPr>
      <w:r>
        <w:rPr>
          <w:sz w:val="24"/>
        </w:rPr>
        <w:t>（3）不同投标人的投标文件载明的项目管理成员或者联系人员为同一人；</w:t>
      </w:r>
    </w:p>
    <w:p>
      <w:pPr>
        <w:spacing w:line="400" w:lineRule="atLeast"/>
        <w:ind w:left="720" w:hanging="720" w:hangingChars="300"/>
        <w:rPr>
          <w:sz w:val="24"/>
        </w:rPr>
      </w:pPr>
      <w:r>
        <w:rPr>
          <w:sz w:val="24"/>
        </w:rPr>
        <w:t>（4）不同投标人的投标文件异常一致或者投标报价呈规律性差异；</w:t>
      </w:r>
    </w:p>
    <w:p>
      <w:pPr>
        <w:spacing w:line="400" w:lineRule="atLeast"/>
        <w:ind w:left="720" w:hanging="720" w:hangingChars="300"/>
        <w:rPr>
          <w:sz w:val="24"/>
        </w:rPr>
      </w:pPr>
      <w:r>
        <w:rPr>
          <w:sz w:val="24"/>
        </w:rPr>
        <w:t>（5）不同投标人的投标文件相互混装；</w:t>
      </w:r>
    </w:p>
    <w:p>
      <w:pPr>
        <w:spacing w:line="400" w:lineRule="atLeast"/>
        <w:rPr>
          <w:sz w:val="24"/>
        </w:rPr>
      </w:pPr>
      <w:r>
        <w:rPr>
          <w:sz w:val="24"/>
        </w:rPr>
        <w:t>（6）不同投标人的投标保证金从同一单位或者个人的账户转出。</w:t>
      </w:r>
    </w:p>
    <w:p>
      <w:pPr>
        <w:spacing w:line="400" w:lineRule="atLeast"/>
        <w:rPr>
          <w:sz w:val="24"/>
        </w:rPr>
      </w:pPr>
      <w:r>
        <w:rPr>
          <w:sz w:val="24"/>
        </w:rPr>
        <w:t>23.8 对与评标活动有关的工作人员的纪律要求</w:t>
      </w:r>
    </w:p>
    <w:p>
      <w:pPr>
        <w:spacing w:line="400" w:lineRule="atLeast"/>
        <w:rPr>
          <w:sz w:val="24"/>
        </w:rPr>
      </w:pPr>
      <w:r>
        <w:rPr>
          <w:sz w:val="24"/>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400" w:lineRule="atLeast"/>
        <w:rPr>
          <w:sz w:val="24"/>
        </w:rPr>
      </w:pPr>
      <w:r>
        <w:rPr>
          <w:sz w:val="24"/>
        </w:rPr>
        <w:t>23.9对评标委员会成员要求评标纪律</w:t>
      </w:r>
    </w:p>
    <w:p>
      <w:pPr>
        <w:spacing w:line="400" w:lineRule="atLeast"/>
        <w:rPr>
          <w:sz w:val="24"/>
        </w:rPr>
      </w:pPr>
      <w:r>
        <w:rPr>
          <w:sz w:val="24"/>
        </w:rPr>
        <w:t>23.9.1评委会应当依照有关法律法规的规定，按照招标文件确定的评标标准和办法客观、公正的对投标文件提出评审意见。招标文件设有规定的评标标准和方法不得作为评标依据。</w:t>
      </w:r>
    </w:p>
    <w:p>
      <w:pPr>
        <w:spacing w:line="400" w:lineRule="atLeast"/>
        <w:rPr>
          <w:sz w:val="24"/>
        </w:rPr>
      </w:pPr>
      <w:r>
        <w:rPr>
          <w:sz w:val="24"/>
        </w:rPr>
        <w:t>23.9.2评标委员会成员不得私下接触投标人，不得收受投标人给予的财务或者其他好处，不得向招标人征询确定中标人意向。</w:t>
      </w:r>
    </w:p>
    <w:p>
      <w:pPr>
        <w:spacing w:line="400" w:lineRule="atLeast"/>
        <w:rPr>
          <w:sz w:val="24"/>
        </w:rPr>
      </w:pPr>
      <w:r>
        <w:rPr>
          <w:sz w:val="24"/>
        </w:rPr>
        <w:t>23.9.3不得接受任何单位或个人明示或暗示提出的倾向或排斥特定投标人的要求。</w:t>
      </w:r>
    </w:p>
    <w:p>
      <w:pPr>
        <w:spacing w:line="400" w:lineRule="atLeast"/>
        <w:rPr>
          <w:sz w:val="24"/>
        </w:rPr>
      </w:pPr>
      <w:r>
        <w:rPr>
          <w:sz w:val="24"/>
        </w:rPr>
        <w:t>23.9.4不得有其他不客观，不公正履行职务的行为。</w:t>
      </w:r>
    </w:p>
    <w:p>
      <w:pPr>
        <w:spacing w:line="400" w:lineRule="atLeast"/>
        <w:rPr>
          <w:sz w:val="24"/>
        </w:rPr>
      </w:pPr>
      <w:r>
        <w:rPr>
          <w:sz w:val="24"/>
        </w:rPr>
        <w:t>24．评标过程</w:t>
      </w:r>
    </w:p>
    <w:p>
      <w:pPr>
        <w:spacing w:line="400" w:lineRule="atLeast"/>
        <w:rPr>
          <w:sz w:val="24"/>
        </w:rPr>
      </w:pPr>
      <w:r>
        <w:rPr>
          <w:sz w:val="24"/>
        </w:rPr>
        <w:t>24.1 评标的依据为招标文件和投标文件。</w:t>
      </w:r>
    </w:p>
    <w:p>
      <w:pPr>
        <w:tabs>
          <w:tab w:val="left" w:pos="1434"/>
        </w:tabs>
        <w:jc w:val="left"/>
        <w:rPr>
          <w:sz w:val="24"/>
        </w:rPr>
      </w:pPr>
      <w:r>
        <w:rPr>
          <w:sz w:val="24"/>
        </w:rPr>
        <w:t>24.2 开标后评委会将组织审查投标文件是否完整，是否有计算错误，要求的保证金是否提供，文件是否恰当地签署。</w:t>
      </w:r>
    </w:p>
    <w:p>
      <w:pPr>
        <w:spacing w:line="400" w:lineRule="atLeast"/>
        <w:ind w:left="600" w:hanging="600" w:hangingChars="250"/>
        <w:rPr>
          <w:sz w:val="24"/>
        </w:rPr>
      </w:pPr>
      <w:r>
        <w:rPr>
          <w:sz w:val="24"/>
        </w:rPr>
        <w:t>24.3 在对投标文件进行详细评估之前，评委会将对投标商提供的投标文件的符合性进行审查。如果投标商符合性审查未通过，其投标将被拒绝。符合性审查内容含：</w:t>
      </w:r>
    </w:p>
    <w:p>
      <w:pPr>
        <w:tabs>
          <w:tab w:val="left" w:pos="1434"/>
        </w:tabs>
        <w:ind w:firstLine="600" w:firstLineChars="250"/>
        <w:jc w:val="left"/>
        <w:rPr>
          <w:kern w:val="0"/>
          <w:sz w:val="24"/>
        </w:rPr>
      </w:pPr>
      <w:r>
        <w:rPr>
          <w:kern w:val="0"/>
          <w:sz w:val="24"/>
        </w:rPr>
        <w:t>1）供应商是否交纳投标保证金；</w:t>
      </w:r>
    </w:p>
    <w:p>
      <w:pPr>
        <w:tabs>
          <w:tab w:val="left" w:pos="1434"/>
        </w:tabs>
        <w:ind w:firstLine="600" w:firstLineChars="250"/>
        <w:jc w:val="left"/>
        <w:rPr>
          <w:kern w:val="0"/>
          <w:sz w:val="24"/>
        </w:rPr>
      </w:pPr>
      <w:r>
        <w:rPr>
          <w:kern w:val="0"/>
          <w:sz w:val="24"/>
        </w:rPr>
        <w:t>2）供应商资格证明文件是否满足招标文件要求；</w:t>
      </w:r>
    </w:p>
    <w:p>
      <w:pPr>
        <w:tabs>
          <w:tab w:val="left" w:pos="1434"/>
        </w:tabs>
        <w:ind w:firstLine="600" w:firstLineChars="250"/>
        <w:jc w:val="left"/>
        <w:rPr>
          <w:kern w:val="0"/>
          <w:sz w:val="24"/>
        </w:rPr>
      </w:pPr>
      <w:r>
        <w:rPr>
          <w:kern w:val="0"/>
          <w:sz w:val="24"/>
        </w:rPr>
        <w:t>3）投标文件是否按照招标文件规定要求密封、签署、盖章；</w:t>
      </w:r>
    </w:p>
    <w:p>
      <w:pPr>
        <w:tabs>
          <w:tab w:val="left" w:pos="1434"/>
        </w:tabs>
        <w:ind w:firstLine="600" w:firstLineChars="250"/>
        <w:jc w:val="left"/>
        <w:rPr>
          <w:kern w:val="0"/>
          <w:sz w:val="24"/>
        </w:rPr>
      </w:pPr>
      <w:r>
        <w:rPr>
          <w:kern w:val="0"/>
          <w:sz w:val="24"/>
        </w:rPr>
        <w:t>4）供应商的报价未超过采购预算；</w:t>
      </w:r>
    </w:p>
    <w:p>
      <w:pPr>
        <w:tabs>
          <w:tab w:val="left" w:pos="1434"/>
        </w:tabs>
        <w:ind w:firstLine="600" w:firstLineChars="250"/>
        <w:jc w:val="left"/>
        <w:rPr>
          <w:kern w:val="0"/>
          <w:sz w:val="24"/>
        </w:rPr>
      </w:pPr>
      <w:r>
        <w:rPr>
          <w:kern w:val="0"/>
          <w:sz w:val="24"/>
        </w:rPr>
        <w:t>5）供应商是否符合法律、法规和招标文件中规定的其他实质性要求；</w:t>
      </w:r>
    </w:p>
    <w:p>
      <w:pPr>
        <w:tabs>
          <w:tab w:val="left" w:pos="1434"/>
        </w:tabs>
        <w:ind w:firstLine="600" w:firstLineChars="250"/>
        <w:jc w:val="left"/>
        <w:rPr>
          <w:kern w:val="0"/>
          <w:sz w:val="24"/>
        </w:rPr>
      </w:pPr>
      <w:r>
        <w:rPr>
          <w:kern w:val="0"/>
          <w:sz w:val="24"/>
        </w:rPr>
        <w:t>6）投标文件的有效性、完整性是否响应招标文件要求，是否对招标文件的实质性要求作出响应。</w:t>
      </w:r>
    </w:p>
    <w:p>
      <w:pPr>
        <w:jc w:val="center"/>
        <w:rPr>
          <w:kern w:val="0"/>
          <w:sz w:val="24"/>
        </w:rPr>
      </w:pPr>
      <w:r>
        <w:rPr>
          <w:kern w:val="0"/>
          <w:sz w:val="24"/>
        </w:rPr>
        <w:t>符合性审查表</w:t>
      </w:r>
    </w:p>
    <w:tbl>
      <w:tblPr>
        <w:tblStyle w:val="33"/>
        <w:tblpPr w:leftFromText="180" w:rightFromText="180" w:vertAnchor="text" w:horzAnchor="page" w:tblpX="1612"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164"/>
        <w:gridCol w:w="1431"/>
        <w:gridCol w:w="14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4" w:type="dxa"/>
            <w:vMerge w:val="restart"/>
            <w:vAlign w:val="center"/>
          </w:tcPr>
          <w:p>
            <w:pPr>
              <w:jc w:val="center"/>
              <w:rPr>
                <w:kern w:val="0"/>
                <w:sz w:val="24"/>
              </w:rPr>
            </w:pPr>
            <w:r>
              <w:rPr>
                <w:kern w:val="0"/>
                <w:sz w:val="24"/>
              </w:rPr>
              <w:t>序号</w:t>
            </w:r>
          </w:p>
        </w:tc>
        <w:tc>
          <w:tcPr>
            <w:tcW w:w="4164" w:type="dxa"/>
            <w:vMerge w:val="restart"/>
            <w:vAlign w:val="center"/>
          </w:tcPr>
          <w:p>
            <w:pPr>
              <w:jc w:val="center"/>
              <w:rPr>
                <w:kern w:val="0"/>
                <w:sz w:val="24"/>
              </w:rPr>
            </w:pPr>
            <w:r>
              <w:rPr>
                <w:kern w:val="0"/>
                <w:sz w:val="24"/>
              </w:rPr>
              <w:t>评审内容</w:t>
            </w:r>
          </w:p>
        </w:tc>
        <w:tc>
          <w:tcPr>
            <w:tcW w:w="4319" w:type="dxa"/>
            <w:gridSpan w:val="3"/>
          </w:tcPr>
          <w:p>
            <w:pPr>
              <w:jc w:val="center"/>
              <w:rPr>
                <w:kern w:val="0"/>
                <w:sz w:val="24"/>
              </w:rPr>
            </w:pPr>
            <w:r>
              <w:rPr>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4" w:type="dxa"/>
            <w:vMerge w:val="continue"/>
            <w:vAlign w:val="center"/>
          </w:tcPr>
          <w:p>
            <w:pPr>
              <w:widowControl/>
              <w:jc w:val="left"/>
              <w:rPr>
                <w:kern w:val="0"/>
                <w:sz w:val="24"/>
              </w:rPr>
            </w:pPr>
          </w:p>
        </w:tc>
        <w:tc>
          <w:tcPr>
            <w:tcW w:w="4164" w:type="dxa"/>
            <w:vMerge w:val="continue"/>
            <w:vAlign w:val="center"/>
          </w:tcPr>
          <w:p>
            <w:pPr>
              <w:widowControl/>
              <w:jc w:val="left"/>
              <w:rPr>
                <w:kern w:val="0"/>
                <w:sz w:val="24"/>
              </w:rPr>
            </w:pPr>
          </w:p>
        </w:tc>
        <w:tc>
          <w:tcPr>
            <w:tcW w:w="1431" w:type="dxa"/>
          </w:tcPr>
          <w:p>
            <w:pPr>
              <w:rPr>
                <w:kern w:val="0"/>
                <w:sz w:val="24"/>
              </w:rPr>
            </w:pPr>
            <w:r>
              <w:rPr>
                <w:kern w:val="0"/>
                <w:sz w:val="24"/>
              </w:rPr>
              <w:t>供应商1</w:t>
            </w:r>
          </w:p>
        </w:tc>
        <w:tc>
          <w:tcPr>
            <w:tcW w:w="1443" w:type="dxa"/>
          </w:tcPr>
          <w:p>
            <w:pPr>
              <w:rPr>
                <w:kern w:val="0"/>
                <w:sz w:val="24"/>
              </w:rPr>
            </w:pPr>
            <w:r>
              <w:rPr>
                <w:kern w:val="0"/>
                <w:sz w:val="24"/>
              </w:rPr>
              <w:t>供应商2</w:t>
            </w:r>
          </w:p>
        </w:tc>
        <w:tc>
          <w:tcPr>
            <w:tcW w:w="1445" w:type="dxa"/>
          </w:tcPr>
          <w:p>
            <w:pPr>
              <w:rPr>
                <w:kern w:val="0"/>
                <w:sz w:val="24"/>
              </w:rPr>
            </w:pPr>
            <w:r>
              <w:rPr>
                <w:kern w:val="0"/>
                <w:sz w:val="24"/>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74" w:type="dxa"/>
            <w:vAlign w:val="center"/>
          </w:tcPr>
          <w:p>
            <w:pPr>
              <w:jc w:val="center"/>
              <w:rPr>
                <w:kern w:val="0"/>
                <w:sz w:val="24"/>
              </w:rPr>
            </w:pPr>
            <w:r>
              <w:rPr>
                <w:kern w:val="0"/>
                <w:sz w:val="24"/>
              </w:rPr>
              <w:t>1</w:t>
            </w:r>
          </w:p>
        </w:tc>
        <w:tc>
          <w:tcPr>
            <w:tcW w:w="4164" w:type="dxa"/>
            <w:vAlign w:val="center"/>
          </w:tcPr>
          <w:p>
            <w:pPr>
              <w:rPr>
                <w:kern w:val="0"/>
                <w:sz w:val="24"/>
              </w:rPr>
            </w:pPr>
            <w:r>
              <w:rPr>
                <w:kern w:val="0"/>
                <w:sz w:val="24"/>
              </w:rPr>
              <w:t>供应商交纳投标保证金；</w:t>
            </w:r>
          </w:p>
        </w:tc>
        <w:tc>
          <w:tcPr>
            <w:tcW w:w="1431" w:type="dxa"/>
          </w:tcPr>
          <w:p>
            <w:pPr>
              <w:ind w:firstLine="240" w:firstLineChars="100"/>
              <w:rPr>
                <w:kern w:val="0"/>
                <w:sz w:val="24"/>
              </w:rPr>
            </w:pPr>
          </w:p>
        </w:tc>
        <w:tc>
          <w:tcPr>
            <w:tcW w:w="1443" w:type="dxa"/>
          </w:tcPr>
          <w:p>
            <w:pPr>
              <w:ind w:firstLine="240" w:firstLineChars="100"/>
              <w:rPr>
                <w:kern w:val="0"/>
                <w:sz w:val="24"/>
              </w:rPr>
            </w:pPr>
          </w:p>
        </w:tc>
        <w:tc>
          <w:tcPr>
            <w:tcW w:w="1445" w:type="dxa"/>
          </w:tcPr>
          <w:p>
            <w:pPr>
              <w:ind w:firstLine="240" w:firstLineChars="10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74" w:type="dxa"/>
            <w:vAlign w:val="center"/>
          </w:tcPr>
          <w:p>
            <w:pPr>
              <w:jc w:val="center"/>
              <w:rPr>
                <w:kern w:val="0"/>
                <w:sz w:val="24"/>
              </w:rPr>
            </w:pPr>
            <w:r>
              <w:rPr>
                <w:kern w:val="0"/>
                <w:sz w:val="24"/>
              </w:rPr>
              <w:t>2</w:t>
            </w:r>
          </w:p>
        </w:tc>
        <w:tc>
          <w:tcPr>
            <w:tcW w:w="4164" w:type="dxa"/>
            <w:vAlign w:val="center"/>
          </w:tcPr>
          <w:p>
            <w:pPr>
              <w:rPr>
                <w:kern w:val="0"/>
                <w:sz w:val="24"/>
              </w:rPr>
            </w:pPr>
            <w:r>
              <w:rPr>
                <w:kern w:val="0"/>
                <w:sz w:val="24"/>
              </w:rPr>
              <w:t>供应商资格证明文件满足招标文件要求；</w:t>
            </w:r>
          </w:p>
        </w:tc>
        <w:tc>
          <w:tcPr>
            <w:tcW w:w="1431" w:type="dxa"/>
          </w:tcPr>
          <w:p>
            <w:pPr>
              <w:rPr>
                <w:kern w:val="0"/>
                <w:sz w:val="24"/>
              </w:rPr>
            </w:pPr>
          </w:p>
        </w:tc>
        <w:tc>
          <w:tcPr>
            <w:tcW w:w="1443" w:type="dxa"/>
          </w:tcPr>
          <w:p>
            <w:pPr>
              <w:rPr>
                <w:kern w:val="0"/>
                <w:sz w:val="24"/>
              </w:rPr>
            </w:pPr>
          </w:p>
        </w:tc>
        <w:tc>
          <w:tcPr>
            <w:tcW w:w="1445" w:type="dxa"/>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4" w:type="dxa"/>
            <w:vAlign w:val="center"/>
          </w:tcPr>
          <w:p>
            <w:pPr>
              <w:jc w:val="center"/>
              <w:rPr>
                <w:kern w:val="0"/>
                <w:sz w:val="24"/>
              </w:rPr>
            </w:pPr>
            <w:r>
              <w:rPr>
                <w:kern w:val="0"/>
                <w:sz w:val="24"/>
              </w:rPr>
              <w:t>3</w:t>
            </w:r>
          </w:p>
        </w:tc>
        <w:tc>
          <w:tcPr>
            <w:tcW w:w="4164" w:type="dxa"/>
            <w:vAlign w:val="center"/>
          </w:tcPr>
          <w:p>
            <w:pPr>
              <w:rPr>
                <w:kern w:val="0"/>
                <w:sz w:val="24"/>
              </w:rPr>
            </w:pPr>
            <w:r>
              <w:rPr>
                <w:kern w:val="0"/>
                <w:sz w:val="24"/>
              </w:rPr>
              <w:t>投标文件按照招标文件规定要求密封、签署、盖章；</w:t>
            </w:r>
          </w:p>
        </w:tc>
        <w:tc>
          <w:tcPr>
            <w:tcW w:w="1431" w:type="dxa"/>
          </w:tcPr>
          <w:p>
            <w:pPr>
              <w:rPr>
                <w:kern w:val="0"/>
                <w:sz w:val="24"/>
              </w:rPr>
            </w:pPr>
          </w:p>
        </w:tc>
        <w:tc>
          <w:tcPr>
            <w:tcW w:w="1443" w:type="dxa"/>
          </w:tcPr>
          <w:p>
            <w:pPr>
              <w:rPr>
                <w:kern w:val="0"/>
                <w:sz w:val="24"/>
              </w:rPr>
            </w:pPr>
          </w:p>
        </w:tc>
        <w:tc>
          <w:tcPr>
            <w:tcW w:w="1445" w:type="dxa"/>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74" w:type="dxa"/>
            <w:vAlign w:val="center"/>
          </w:tcPr>
          <w:p>
            <w:pPr>
              <w:jc w:val="center"/>
              <w:rPr>
                <w:kern w:val="0"/>
                <w:sz w:val="24"/>
              </w:rPr>
            </w:pPr>
            <w:r>
              <w:rPr>
                <w:kern w:val="0"/>
                <w:sz w:val="24"/>
              </w:rPr>
              <w:t>4</w:t>
            </w:r>
          </w:p>
        </w:tc>
        <w:tc>
          <w:tcPr>
            <w:tcW w:w="4164" w:type="dxa"/>
            <w:vAlign w:val="center"/>
          </w:tcPr>
          <w:p>
            <w:pPr>
              <w:rPr>
                <w:kern w:val="0"/>
                <w:sz w:val="24"/>
              </w:rPr>
            </w:pPr>
            <w:r>
              <w:rPr>
                <w:kern w:val="0"/>
                <w:sz w:val="24"/>
              </w:rPr>
              <w:t>供应商的报价未超过采购预算；</w:t>
            </w:r>
          </w:p>
        </w:tc>
        <w:tc>
          <w:tcPr>
            <w:tcW w:w="1431" w:type="dxa"/>
          </w:tcPr>
          <w:p>
            <w:pPr>
              <w:rPr>
                <w:kern w:val="0"/>
                <w:sz w:val="24"/>
              </w:rPr>
            </w:pPr>
          </w:p>
        </w:tc>
        <w:tc>
          <w:tcPr>
            <w:tcW w:w="1443" w:type="dxa"/>
          </w:tcPr>
          <w:p>
            <w:pPr>
              <w:rPr>
                <w:kern w:val="0"/>
                <w:sz w:val="24"/>
              </w:rPr>
            </w:pPr>
          </w:p>
        </w:tc>
        <w:tc>
          <w:tcPr>
            <w:tcW w:w="1445" w:type="dxa"/>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jc w:val="center"/>
              <w:rPr>
                <w:kern w:val="0"/>
                <w:sz w:val="24"/>
              </w:rPr>
            </w:pPr>
            <w:r>
              <w:rPr>
                <w:kern w:val="0"/>
                <w:sz w:val="24"/>
              </w:rPr>
              <w:t>5</w:t>
            </w:r>
          </w:p>
        </w:tc>
        <w:tc>
          <w:tcPr>
            <w:tcW w:w="4164" w:type="dxa"/>
            <w:vAlign w:val="center"/>
          </w:tcPr>
          <w:p>
            <w:pPr>
              <w:rPr>
                <w:kern w:val="0"/>
                <w:sz w:val="24"/>
              </w:rPr>
            </w:pPr>
            <w:r>
              <w:rPr>
                <w:kern w:val="0"/>
                <w:sz w:val="24"/>
              </w:rPr>
              <w:t>供应商符合法律、法规和招标文件中规定的其他实质性要求；</w:t>
            </w:r>
          </w:p>
        </w:tc>
        <w:tc>
          <w:tcPr>
            <w:tcW w:w="1431" w:type="dxa"/>
          </w:tcPr>
          <w:p>
            <w:pPr>
              <w:rPr>
                <w:kern w:val="0"/>
                <w:sz w:val="24"/>
              </w:rPr>
            </w:pPr>
          </w:p>
        </w:tc>
        <w:tc>
          <w:tcPr>
            <w:tcW w:w="1443" w:type="dxa"/>
          </w:tcPr>
          <w:p>
            <w:pPr>
              <w:rPr>
                <w:kern w:val="0"/>
                <w:sz w:val="24"/>
              </w:rPr>
            </w:pPr>
          </w:p>
        </w:tc>
        <w:tc>
          <w:tcPr>
            <w:tcW w:w="1445" w:type="dxa"/>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4" w:type="dxa"/>
            <w:vAlign w:val="center"/>
          </w:tcPr>
          <w:p>
            <w:pPr>
              <w:jc w:val="center"/>
              <w:rPr>
                <w:kern w:val="0"/>
                <w:sz w:val="24"/>
              </w:rPr>
            </w:pPr>
            <w:r>
              <w:rPr>
                <w:kern w:val="0"/>
                <w:sz w:val="24"/>
              </w:rPr>
              <w:t>6</w:t>
            </w:r>
          </w:p>
        </w:tc>
        <w:tc>
          <w:tcPr>
            <w:tcW w:w="4164" w:type="dxa"/>
            <w:vAlign w:val="center"/>
          </w:tcPr>
          <w:p>
            <w:pPr>
              <w:rPr>
                <w:kern w:val="0"/>
                <w:sz w:val="24"/>
              </w:rPr>
            </w:pPr>
            <w:r>
              <w:rPr>
                <w:kern w:val="0"/>
                <w:sz w:val="24"/>
              </w:rPr>
              <w:t>投标文件的有效性、完整性响应招标文件要求，对招标文件的实质性要求作出响应。</w:t>
            </w:r>
          </w:p>
        </w:tc>
        <w:tc>
          <w:tcPr>
            <w:tcW w:w="1431" w:type="dxa"/>
          </w:tcPr>
          <w:p>
            <w:pPr>
              <w:ind w:firstLine="360" w:firstLineChars="150"/>
              <w:rPr>
                <w:kern w:val="0"/>
                <w:sz w:val="24"/>
              </w:rPr>
            </w:pPr>
          </w:p>
        </w:tc>
        <w:tc>
          <w:tcPr>
            <w:tcW w:w="1443" w:type="dxa"/>
          </w:tcPr>
          <w:p>
            <w:pPr>
              <w:ind w:firstLine="360" w:firstLineChars="150"/>
              <w:rPr>
                <w:kern w:val="0"/>
                <w:sz w:val="24"/>
              </w:rPr>
            </w:pPr>
          </w:p>
        </w:tc>
        <w:tc>
          <w:tcPr>
            <w:tcW w:w="1445" w:type="dxa"/>
          </w:tcPr>
          <w:p>
            <w:pPr>
              <w:ind w:firstLine="360" w:firstLineChars="15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4" w:type="dxa"/>
            <w:vAlign w:val="center"/>
          </w:tcPr>
          <w:p>
            <w:pPr>
              <w:jc w:val="center"/>
              <w:rPr>
                <w:kern w:val="0"/>
                <w:sz w:val="24"/>
              </w:rPr>
            </w:pPr>
            <w:r>
              <w:rPr>
                <w:kern w:val="0"/>
                <w:sz w:val="24"/>
              </w:rPr>
              <w:t>7</w:t>
            </w:r>
          </w:p>
        </w:tc>
        <w:tc>
          <w:tcPr>
            <w:tcW w:w="4164" w:type="dxa"/>
            <w:vAlign w:val="center"/>
          </w:tcPr>
          <w:p>
            <w:pPr>
              <w:rPr>
                <w:kern w:val="0"/>
                <w:sz w:val="24"/>
              </w:rPr>
            </w:pPr>
            <w:r>
              <w:rPr>
                <w:kern w:val="0"/>
                <w:sz w:val="24"/>
              </w:rPr>
              <w:t>评审结果：</w:t>
            </w:r>
          </w:p>
        </w:tc>
        <w:tc>
          <w:tcPr>
            <w:tcW w:w="1431" w:type="dxa"/>
          </w:tcPr>
          <w:p>
            <w:pPr>
              <w:ind w:firstLine="360" w:firstLineChars="150"/>
              <w:rPr>
                <w:kern w:val="0"/>
                <w:sz w:val="24"/>
              </w:rPr>
            </w:pPr>
          </w:p>
        </w:tc>
        <w:tc>
          <w:tcPr>
            <w:tcW w:w="1443" w:type="dxa"/>
          </w:tcPr>
          <w:p>
            <w:pPr>
              <w:ind w:firstLine="360" w:firstLineChars="150"/>
              <w:rPr>
                <w:kern w:val="0"/>
                <w:sz w:val="24"/>
              </w:rPr>
            </w:pPr>
          </w:p>
        </w:tc>
        <w:tc>
          <w:tcPr>
            <w:tcW w:w="1445" w:type="dxa"/>
          </w:tcPr>
          <w:p>
            <w:pPr>
              <w:ind w:firstLine="360" w:firstLineChars="150"/>
              <w:rPr>
                <w:kern w:val="0"/>
                <w:sz w:val="24"/>
              </w:rPr>
            </w:pPr>
          </w:p>
        </w:tc>
      </w:tr>
    </w:tbl>
    <w:p>
      <w:pPr>
        <w:spacing w:line="360" w:lineRule="auto"/>
        <w:ind w:firstLine="482" w:firstLineChars="200"/>
        <w:rPr>
          <w:b/>
          <w:kern w:val="0"/>
          <w:sz w:val="24"/>
        </w:rPr>
      </w:pPr>
      <w:r>
        <w:rPr>
          <w:b/>
          <w:kern w:val="0"/>
          <w:sz w:val="24"/>
        </w:rPr>
        <w:t>备注：1.如果投标文件中有一项未通过上述审查标准，评标委员会将认定整个投标文件未响应招标文件而予以废标处理。</w:t>
      </w:r>
    </w:p>
    <w:p>
      <w:pPr>
        <w:numPr>
          <w:ilvl w:val="0"/>
          <w:numId w:val="6"/>
        </w:numPr>
        <w:spacing w:line="360" w:lineRule="auto"/>
        <w:ind w:firstLine="482" w:firstLineChars="200"/>
      </w:pPr>
      <w:r>
        <w:rPr>
          <w:b/>
          <w:kern w:val="0"/>
          <w:sz w:val="24"/>
        </w:rPr>
        <w:t>表中所述分项评审结果分两种：（1）合格用“√”表示；（2）不合格用“×”表示</w:t>
      </w:r>
      <w:r>
        <w:rPr>
          <w:kern w:val="0"/>
          <w:sz w:val="24"/>
        </w:rPr>
        <w:t>。</w:t>
      </w:r>
    </w:p>
    <w:p>
      <w:pPr>
        <w:spacing w:line="400" w:lineRule="atLeast"/>
        <w:ind w:left="600" w:hanging="600" w:hangingChars="250"/>
        <w:rPr>
          <w:sz w:val="24"/>
        </w:rPr>
      </w:pPr>
      <w:r>
        <w:rPr>
          <w:sz w:val="24"/>
        </w:rPr>
        <w:t>24.4评标委员会确定每一个通过符合性审查的投标商进行详细评审。</w:t>
      </w:r>
    </w:p>
    <w:p>
      <w:pPr>
        <w:spacing w:line="400" w:lineRule="atLeast"/>
        <w:rPr>
          <w:sz w:val="24"/>
        </w:rPr>
      </w:pPr>
      <w:r>
        <w:rPr>
          <w:sz w:val="24"/>
        </w:rPr>
        <w:t>25．投标文件的澄清</w:t>
      </w:r>
    </w:p>
    <w:p>
      <w:pPr>
        <w:spacing w:line="400" w:lineRule="atLeast"/>
        <w:rPr>
          <w:sz w:val="24"/>
        </w:rPr>
      </w:pPr>
      <w:r>
        <w:rPr>
          <w:sz w:val="24"/>
        </w:rPr>
        <w:t>25.1为有助于对投标文件进行审查、评估和比较，评标委员会将对认为需要（不是每一个）的投标商进行询标，请投标商澄清其投标内容，投标商有责任按照招标代理机构通知的时间、地点指派专人进行答疑和澄清。询标时投标商代表应作书面记录。并对重要内容作出书面答复。</w:t>
      </w:r>
    </w:p>
    <w:p>
      <w:pPr>
        <w:spacing w:line="400" w:lineRule="atLeast"/>
        <w:rPr>
          <w:sz w:val="24"/>
        </w:rPr>
      </w:pPr>
      <w:r>
        <w:rPr>
          <w:sz w:val="24"/>
        </w:rPr>
        <w:t>25.2 要澄清的答复应是书面的，但不得对投标内容进行实质性修改。澄清文件须由投标商法人代表或法人授权代表签字和/或加盖公章并作为投标文件的组成部分。</w:t>
      </w:r>
    </w:p>
    <w:p>
      <w:pPr>
        <w:spacing w:line="400" w:lineRule="atLeast"/>
        <w:rPr>
          <w:sz w:val="24"/>
        </w:rPr>
      </w:pPr>
      <w:r>
        <w:rPr>
          <w:sz w:val="24"/>
        </w:rPr>
        <w:t>26．对投标文件的评估和比较</w:t>
      </w:r>
    </w:p>
    <w:p>
      <w:pPr>
        <w:spacing w:line="400" w:lineRule="atLeast"/>
        <w:ind w:firstLine="480" w:firstLineChars="200"/>
        <w:rPr>
          <w:bCs/>
          <w:sz w:val="24"/>
        </w:rPr>
      </w:pPr>
      <w:r>
        <w:rPr>
          <w:bCs/>
          <w:sz w:val="24"/>
        </w:rPr>
        <w:t>对投标文件的评估和比较分为两步进行，评标委员会按照招标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售后、业绩及信誉情况）占70分。将每位投标商的价格得分、技术得分、商务得分相加即为该投标商的总得分。详细评分标准如下：</w:t>
      </w:r>
    </w:p>
    <w:p>
      <w:pPr>
        <w:pStyle w:val="32"/>
        <w:ind w:firstLine="240"/>
      </w:pPr>
    </w:p>
    <w:p>
      <w:pPr>
        <w:ind w:firstLine="482" w:firstLineChars="200"/>
        <w:rPr>
          <w:b/>
          <w:sz w:val="24"/>
          <w:szCs w:val="24"/>
        </w:rPr>
      </w:pPr>
      <w:r>
        <w:rPr>
          <w:b/>
          <w:sz w:val="24"/>
          <w:szCs w:val="24"/>
        </w:rPr>
        <w:t>一、价格部分（30分）</w:t>
      </w:r>
    </w:p>
    <w:p>
      <w:pPr>
        <w:ind w:firstLine="480" w:firstLineChars="200"/>
        <w:rPr>
          <w:kern w:val="0"/>
          <w:sz w:val="24"/>
          <w:szCs w:val="24"/>
        </w:rPr>
      </w:pPr>
      <w:r>
        <w:rPr>
          <w:kern w:val="0"/>
          <w:sz w:val="24"/>
          <w:szCs w:val="24"/>
        </w:rPr>
        <w:t>对于商务部分（投标报价）的评分，按以下方法进行：价格分统一采用低价优先法计算，即满足招标文件要求且评标价格最低的报价为评标 基准价，其价格分为满分。其他供应商的价格分统一按照下列公式计算：</w:t>
      </w:r>
    </w:p>
    <w:p>
      <w:pPr>
        <w:ind w:firstLine="480" w:firstLineChars="200"/>
        <w:rPr>
          <w:kern w:val="0"/>
          <w:sz w:val="24"/>
          <w:szCs w:val="24"/>
        </w:rPr>
      </w:pPr>
      <w:r>
        <w:rPr>
          <w:kern w:val="0"/>
          <w:sz w:val="24"/>
          <w:szCs w:val="24"/>
        </w:rPr>
        <w:t xml:space="preserve">报价得分=(评标基准价／评标价格)×30%×100 </w:t>
      </w:r>
    </w:p>
    <w:p>
      <w:pPr>
        <w:ind w:firstLine="480" w:firstLineChars="200"/>
        <w:rPr>
          <w:kern w:val="0"/>
          <w:sz w:val="24"/>
          <w:szCs w:val="24"/>
        </w:rPr>
      </w:pPr>
      <w:r>
        <w:rPr>
          <w:kern w:val="0"/>
          <w:sz w:val="24"/>
          <w:szCs w:val="24"/>
        </w:rPr>
        <w:t>评标价格=供应商的投标报价（经算数性修正的）-政府采购政策优惠价格扣除。</w:t>
      </w:r>
    </w:p>
    <w:p>
      <w:pPr>
        <w:ind w:firstLine="480" w:firstLineChars="200"/>
        <w:rPr>
          <w:kern w:val="0"/>
          <w:sz w:val="24"/>
          <w:szCs w:val="24"/>
        </w:rPr>
      </w:pPr>
      <w:r>
        <w:rPr>
          <w:kern w:val="0"/>
          <w:sz w:val="24"/>
          <w:szCs w:val="24"/>
        </w:rPr>
        <w:t>本项目将对小型和微型企业产品的价格给予 6%的扣除，用扣除后的价格参 与评审打分。</w:t>
      </w:r>
    </w:p>
    <w:p>
      <w:pPr>
        <w:ind w:firstLine="480" w:firstLineChars="200"/>
        <w:rPr>
          <w:kern w:val="0"/>
          <w:sz w:val="24"/>
          <w:szCs w:val="24"/>
        </w:rPr>
      </w:pPr>
      <w:r>
        <w:rPr>
          <w:kern w:val="0"/>
          <w:sz w:val="24"/>
          <w:szCs w:val="24"/>
        </w:rPr>
        <w:t>若供应商和小微企业产品/服务制造商均符合小微企业条件，并且提供了《中小企业声明函》及加盖单位公章的声明函附件（须说明供应商和产品制造 商的从业人员、营业收入、资产总额等相关情况）的，则其评标价格=供应商报 价中属于小型和微型企业产品的价格部分×（100%-6%）+供应商报价中不属于 小型和微型企业产品的价格部分；否则，其评标价=投标报价。</w:t>
      </w:r>
    </w:p>
    <w:p>
      <w:pPr>
        <w:ind w:firstLine="480" w:firstLineChars="200"/>
        <w:rPr>
          <w:kern w:val="0"/>
          <w:sz w:val="24"/>
          <w:szCs w:val="24"/>
        </w:rPr>
      </w:pPr>
      <w:r>
        <w:rPr>
          <w:kern w:val="0"/>
          <w:sz w:val="24"/>
          <w:szCs w:val="24"/>
        </w:rPr>
        <w:t>在价格评审中，评标委员会认为供应商的报价明显低于其他通 过符合性审查供应商的报价，有可能影响产品质量或者不能诚信履约的，应当要求其在评标现场合理的时间内提供书面说明，必要时提交相关证明材料，供 应商不能证明其报价合理性的，评标委员会应当将其作为无效投标处理。</w:t>
      </w:r>
    </w:p>
    <w:p>
      <w:pPr>
        <w:ind w:firstLine="480" w:firstLineChars="200"/>
        <w:rPr>
          <w:kern w:val="0"/>
          <w:sz w:val="24"/>
          <w:szCs w:val="24"/>
        </w:rPr>
      </w:pPr>
      <w:r>
        <w:rPr>
          <w:kern w:val="0"/>
          <w:sz w:val="24"/>
          <w:szCs w:val="24"/>
        </w:rPr>
        <w:t xml:space="preserve"> 在技术评审中，应当考虑设备的技术参数响应情况、设备技术 水平、工艺水平等因素，以及设备的功能性、整体配套性、经济性、先进性、 稳定性等因素；设备故障率情况及故障响应时间等因素；售后服务应当考虑其 服务的承诺内容、具体措施及其可行性等因素；业绩应当考虑投标产品近三年相同产品销售业绩，以确定供应商类似项目的供货经验及组织管理能力等。</w:t>
      </w:r>
    </w:p>
    <w:p>
      <w:pPr>
        <w:ind w:firstLine="480" w:firstLineChars="200"/>
        <w:rPr>
          <w:kern w:val="0"/>
          <w:sz w:val="24"/>
          <w:szCs w:val="24"/>
        </w:rPr>
      </w:pPr>
      <w:r>
        <w:rPr>
          <w:kern w:val="0"/>
          <w:sz w:val="24"/>
          <w:szCs w:val="24"/>
        </w:rPr>
        <w:t>涉及政府采购政策优惠的，按投标须知前附表规定调整供应商的技术、价格得分或总得分。</w:t>
      </w:r>
    </w:p>
    <w:p>
      <w:pPr>
        <w:ind w:firstLine="480" w:firstLineChars="200"/>
        <w:rPr>
          <w:kern w:val="0"/>
          <w:sz w:val="24"/>
          <w:szCs w:val="24"/>
        </w:rPr>
      </w:pPr>
      <w:r>
        <w:rPr>
          <w:kern w:val="0"/>
          <w:sz w:val="24"/>
          <w:szCs w:val="24"/>
        </w:rPr>
        <w:t>涉及多处获得政府采购政策优惠的，涉及调整得分的，按规定调整得分；</w:t>
      </w:r>
    </w:p>
    <w:p>
      <w:pPr>
        <w:ind w:firstLine="480" w:firstLineChars="200"/>
        <w:rPr>
          <w:kern w:val="0"/>
          <w:sz w:val="24"/>
          <w:szCs w:val="24"/>
        </w:rPr>
      </w:pPr>
      <w:r>
        <w:rPr>
          <w:kern w:val="0"/>
          <w:sz w:val="24"/>
          <w:szCs w:val="24"/>
        </w:rPr>
        <w:t>涉及调整价格的，按规定调整价格。</w:t>
      </w:r>
    </w:p>
    <w:p>
      <w:pPr>
        <w:ind w:firstLine="480" w:firstLineChars="200"/>
        <w:rPr>
          <w:kern w:val="0"/>
          <w:sz w:val="24"/>
          <w:szCs w:val="24"/>
        </w:rPr>
      </w:pPr>
      <w:r>
        <w:rPr>
          <w:kern w:val="0"/>
          <w:sz w:val="24"/>
          <w:szCs w:val="24"/>
        </w:rPr>
        <w:t>节能、环境标志产品评审优惠内容及加分幅度： 根据《国务院办公厅关于建立政府强制采购节能产品制度的通知》（国办发[2007]51 号）和财政部、发展改革委发布的《节能产品政府采购实施意见》（财库[2004]185 号）的规定，本次采购货物中属政府强制采购节能产品的， 供应商所投产品必须是《节能产品政府采购清单》内产品，并提供清单内证明 材料，否则投标无效。其他产品若属于“节能产品政府采购清单”内产品，在 同等条件下，优先采购清单中的产品。</w:t>
      </w:r>
    </w:p>
    <w:p>
      <w:pPr>
        <w:ind w:firstLine="480" w:firstLineChars="200"/>
      </w:pPr>
      <w:r>
        <w:rPr>
          <w:kern w:val="0"/>
          <w:sz w:val="24"/>
          <w:szCs w:val="24"/>
        </w:rPr>
        <w:t>“节能产品”系指列入财政部、国家发改委最新公布《节能产品政府采购 清单》的产品；“环境标志产品”系指列入财政部、环保部最新公布的《环境 标志政府采购清单》的产品。同一合同包内的节能、环境标志、政府采购产品 部分加分只对属于清单内的非强制类产品进行加分，强制类产品已作为投标时 强制性要求不再给予加分。若节能、环境标志清单内的产品仅是构成投标产品 的部件、组件或零件的，则该投标产品不予加分。</w:t>
      </w:r>
    </w:p>
    <w:p>
      <w:pPr>
        <w:ind w:firstLine="480" w:firstLineChars="200"/>
        <w:rPr>
          <w:kern w:val="0"/>
          <w:sz w:val="24"/>
          <w:szCs w:val="24"/>
        </w:rPr>
      </w:pPr>
      <w:r>
        <w:rPr>
          <w:kern w:val="0"/>
          <w:sz w:val="24"/>
          <w:szCs w:val="24"/>
        </w:rPr>
        <w:t>价格项加分：</w:t>
      </w:r>
    </w:p>
    <w:p>
      <w:pPr>
        <w:rPr>
          <w:kern w:val="0"/>
          <w:sz w:val="24"/>
          <w:szCs w:val="24"/>
        </w:rPr>
      </w:pPr>
      <w:r>
        <w:rPr>
          <w:kern w:val="0"/>
          <w:sz w:val="24"/>
          <w:szCs w:val="24"/>
        </w:rPr>
        <w:t>1、（节能清单部分产品的价格/投标报价）×3%×价格项满分值</w:t>
      </w:r>
    </w:p>
    <w:p>
      <w:pPr>
        <w:rPr>
          <w:kern w:val="0"/>
          <w:sz w:val="24"/>
          <w:szCs w:val="24"/>
        </w:rPr>
      </w:pPr>
      <w:r>
        <w:rPr>
          <w:kern w:val="0"/>
          <w:sz w:val="24"/>
          <w:szCs w:val="24"/>
        </w:rPr>
        <w:t>2、（环境清单部分产品的价格/投标报价）×3%×价格项满分值 技术项加分：</w:t>
      </w:r>
    </w:p>
    <w:p>
      <w:pPr>
        <w:rPr>
          <w:kern w:val="0"/>
          <w:sz w:val="24"/>
          <w:szCs w:val="24"/>
        </w:rPr>
      </w:pPr>
      <w:r>
        <w:rPr>
          <w:kern w:val="0"/>
          <w:sz w:val="24"/>
          <w:szCs w:val="24"/>
        </w:rPr>
        <w:t>1、（节能清单部分产品的价格/投标报价）×3%×技术项满分值</w:t>
      </w:r>
    </w:p>
    <w:p>
      <w:pPr>
        <w:rPr>
          <w:kern w:val="0"/>
          <w:sz w:val="24"/>
          <w:szCs w:val="24"/>
        </w:rPr>
      </w:pPr>
      <w:r>
        <w:rPr>
          <w:kern w:val="0"/>
          <w:sz w:val="24"/>
          <w:szCs w:val="24"/>
        </w:rPr>
        <w:t>2、（环境清单部分产品的价格/投标报价）×3%×技术项满分值 注：1、供应商须提供 23 期《节能产品政府采购清单》关于投标产品当前页的打印件；</w:t>
      </w:r>
    </w:p>
    <w:p>
      <w:pPr>
        <w:pStyle w:val="32"/>
        <w:ind w:firstLine="240"/>
      </w:pPr>
    </w:p>
    <w:p>
      <w:pPr>
        <w:ind w:firstLine="480" w:firstLineChars="200"/>
        <w:rPr>
          <w:kern w:val="0"/>
          <w:sz w:val="24"/>
          <w:szCs w:val="24"/>
        </w:rPr>
      </w:pPr>
      <w:r>
        <w:rPr>
          <w:kern w:val="0"/>
          <w:sz w:val="24"/>
          <w:szCs w:val="24"/>
        </w:rPr>
        <w:t>供应商提供 21 期《环境标志产品政府采购清单》关于投标产品当前页的打印件；</w:t>
      </w:r>
    </w:p>
    <w:p>
      <w:pPr>
        <w:ind w:firstLine="480" w:firstLineChars="200"/>
        <w:rPr>
          <w:kern w:val="0"/>
          <w:sz w:val="24"/>
          <w:szCs w:val="24"/>
        </w:rPr>
      </w:pPr>
      <w:r>
        <w:rPr>
          <w:kern w:val="0"/>
          <w:sz w:val="24"/>
          <w:szCs w:val="24"/>
        </w:rPr>
        <w:t>属于中小企业评审优惠内容及价格扣除幅度：根据中华人民共和国财政部、中华人民共和国工业和信息化部《政府采购促进中小企业发展暂行办法》（财库[2011]181 号）文件的规定，属于中小企业评审优惠内容及幅度如下：</w:t>
      </w:r>
    </w:p>
    <w:p>
      <w:pPr>
        <w:pStyle w:val="32"/>
        <w:ind w:firstLine="240"/>
      </w:pPr>
    </w:p>
    <w:p>
      <w:pPr>
        <w:rPr>
          <w:kern w:val="0"/>
          <w:sz w:val="24"/>
          <w:szCs w:val="24"/>
        </w:rPr>
      </w:pPr>
      <w:r>
        <w:rPr>
          <w:kern w:val="0"/>
          <w:sz w:val="24"/>
          <w:szCs w:val="24"/>
        </w:rPr>
        <w:t>（一）中小企业（含中型、小型、微型企业）应当同时符合以下条件：</w:t>
      </w:r>
    </w:p>
    <w:p>
      <w:pPr>
        <w:rPr>
          <w:kern w:val="0"/>
          <w:sz w:val="24"/>
          <w:szCs w:val="24"/>
        </w:rPr>
      </w:pPr>
      <w:r>
        <w:rPr>
          <w:kern w:val="0"/>
          <w:sz w:val="24"/>
          <w:szCs w:val="24"/>
        </w:rPr>
        <w:t>①符合中小企业划分标准（按《关于印发中小企业划型标准规定的通知》</w:t>
      </w:r>
    </w:p>
    <w:p>
      <w:pPr>
        <w:rPr>
          <w:kern w:val="0"/>
          <w:sz w:val="24"/>
          <w:szCs w:val="24"/>
        </w:rPr>
      </w:pPr>
      <w:r>
        <w:rPr>
          <w:kern w:val="0"/>
          <w:sz w:val="24"/>
          <w:szCs w:val="24"/>
        </w:rPr>
        <w:t>（工信部联企业〔2011〕300 号）执行）；</w:t>
      </w:r>
    </w:p>
    <w:p>
      <w:pPr>
        <w:rPr>
          <w:kern w:val="0"/>
          <w:sz w:val="24"/>
          <w:szCs w:val="24"/>
        </w:rPr>
      </w:pPr>
      <w:r>
        <w:rPr>
          <w:kern w:val="0"/>
          <w:sz w:val="24"/>
          <w:szCs w:val="24"/>
        </w:rPr>
        <w:t>②提供本企业制造的货物、承担的项目或者服务，或者提供其他中小企业制造的货物。本项所称货物不包括使用大型企业注册商标的货物；</w:t>
      </w:r>
    </w:p>
    <w:p>
      <w:pPr>
        <w:rPr>
          <w:kern w:val="0"/>
          <w:sz w:val="24"/>
          <w:szCs w:val="24"/>
        </w:rPr>
      </w:pPr>
      <w:r>
        <w:rPr>
          <w:kern w:val="0"/>
          <w:sz w:val="24"/>
          <w:szCs w:val="24"/>
        </w:rPr>
        <w:t>③小型、微型企业提供中型企业制造的货物的，视同为中型企业。</w:t>
      </w:r>
    </w:p>
    <w:p>
      <w:pPr>
        <w:pStyle w:val="32"/>
        <w:ind w:firstLine="240"/>
      </w:pPr>
    </w:p>
    <w:p>
      <w:pPr>
        <w:rPr>
          <w:kern w:val="0"/>
          <w:sz w:val="24"/>
          <w:szCs w:val="24"/>
        </w:rPr>
      </w:pPr>
      <w:r>
        <w:rPr>
          <w:kern w:val="0"/>
          <w:sz w:val="24"/>
          <w:szCs w:val="24"/>
        </w:rPr>
        <w:t>（二）价格扣除办法：</w:t>
      </w:r>
    </w:p>
    <w:p>
      <w:pPr>
        <w:rPr>
          <w:kern w:val="0"/>
          <w:sz w:val="24"/>
          <w:szCs w:val="24"/>
        </w:rPr>
      </w:pPr>
      <w:r>
        <w:rPr>
          <w:kern w:val="0"/>
          <w:sz w:val="24"/>
          <w:szCs w:val="24"/>
        </w:rPr>
        <w:t>①对于非专门面向中小企业的项目，对小型和微型企业（或联合体各方均为小型、微型企业的）产品的价格给予 6%的扣除，用扣除后的价格参与价格分 的评审。</w:t>
      </w:r>
    </w:p>
    <w:p>
      <w:pPr>
        <w:pStyle w:val="32"/>
        <w:ind w:firstLine="240"/>
      </w:pPr>
    </w:p>
    <w:p>
      <w:pPr>
        <w:rPr>
          <w:kern w:val="0"/>
          <w:sz w:val="24"/>
          <w:szCs w:val="24"/>
        </w:rPr>
      </w:pPr>
      <w:r>
        <w:rPr>
          <w:kern w:val="0"/>
          <w:sz w:val="24"/>
          <w:szCs w:val="24"/>
        </w:rPr>
        <w:t>（三）小型和微型企业适用价格扣除办法时应提供的相关资料：</w:t>
      </w:r>
    </w:p>
    <w:p>
      <w:pPr>
        <w:rPr>
          <w:kern w:val="0"/>
          <w:sz w:val="24"/>
          <w:szCs w:val="24"/>
        </w:rPr>
      </w:pPr>
      <w:r>
        <w:rPr>
          <w:kern w:val="0"/>
          <w:sz w:val="24"/>
          <w:szCs w:val="24"/>
        </w:rPr>
        <w:t>①、《中小企业声明函》。</w:t>
      </w:r>
    </w:p>
    <w:p>
      <w:pPr>
        <w:rPr>
          <w:kern w:val="0"/>
          <w:sz w:val="24"/>
          <w:szCs w:val="24"/>
        </w:rPr>
      </w:pPr>
      <w:r>
        <w:rPr>
          <w:kern w:val="0"/>
          <w:sz w:val="24"/>
          <w:szCs w:val="24"/>
        </w:rPr>
        <w:t>②、供应商应提供所投标产品生产厂家的属地主管部门出具的证明函；</w:t>
      </w:r>
    </w:p>
    <w:p>
      <w:pPr>
        <w:rPr>
          <w:kern w:val="0"/>
          <w:sz w:val="24"/>
          <w:szCs w:val="24"/>
        </w:rPr>
      </w:pPr>
      <w:r>
        <w:rPr>
          <w:kern w:val="0"/>
          <w:sz w:val="24"/>
          <w:szCs w:val="24"/>
        </w:rPr>
        <w:t>③、供应商应同时提供以上二个材料，否则将不给予价格扣除。</w:t>
      </w:r>
    </w:p>
    <w:p>
      <w:pPr>
        <w:rPr>
          <w:kern w:val="0"/>
          <w:sz w:val="24"/>
          <w:szCs w:val="24"/>
        </w:rPr>
      </w:pPr>
      <w:r>
        <w:rPr>
          <w:kern w:val="0"/>
          <w:sz w:val="24"/>
          <w:szCs w:val="24"/>
        </w:rPr>
        <w:t>④、供应商需在投标文件报价部分中“投标分项报价表”中逐项注明所投 产品的生产厂家具体名称并备注是否属于小型、微型企业。</w:t>
      </w:r>
    </w:p>
    <w:p>
      <w:pPr>
        <w:rPr>
          <w:kern w:val="0"/>
          <w:sz w:val="24"/>
          <w:szCs w:val="24"/>
        </w:rPr>
      </w:pPr>
      <w:r>
        <w:rPr>
          <w:kern w:val="0"/>
          <w:sz w:val="24"/>
          <w:szCs w:val="24"/>
        </w:rPr>
        <w:t>若所投标产品为进口产品的，不适用《政府采购促进中小企业发展暂行办法》。</w:t>
      </w:r>
    </w:p>
    <w:p>
      <w:pPr>
        <w:rPr>
          <w:kern w:val="0"/>
          <w:sz w:val="24"/>
          <w:szCs w:val="24"/>
        </w:rPr>
      </w:pPr>
      <w:r>
        <w:rPr>
          <w:kern w:val="0"/>
          <w:sz w:val="24"/>
          <w:szCs w:val="24"/>
        </w:rPr>
        <w:t>根据中华人民共和国财政部、中华人民共和国民政部、中国残疾人联合会</w:t>
      </w:r>
    </w:p>
    <w:p>
      <w:pPr>
        <w:rPr>
          <w:kern w:val="0"/>
          <w:sz w:val="24"/>
          <w:szCs w:val="24"/>
        </w:rPr>
      </w:pPr>
      <w:r>
        <w:rPr>
          <w:kern w:val="0"/>
          <w:sz w:val="24"/>
          <w:szCs w:val="24"/>
        </w:rPr>
        <w:t>《关于促进残疾人就业政府采购政策的通知》（财库[2017]141 号）文件的规定：残疾人福利性单位视同小型、微型企业。</w:t>
      </w:r>
    </w:p>
    <w:p>
      <w:pPr>
        <w:rPr>
          <w:kern w:val="0"/>
          <w:sz w:val="24"/>
          <w:szCs w:val="24"/>
        </w:rPr>
      </w:pPr>
      <w:r>
        <w:rPr>
          <w:kern w:val="0"/>
          <w:sz w:val="24"/>
          <w:szCs w:val="24"/>
        </w:rPr>
        <w:t>供应商若为残疾人福利性单位，须在投标文件中提供《残疾人福利性单位 声明函》，否则将不给予价格扣除。供应商须对其声明的真实性负责，若与事 实不符的，将依照《政府采购法》第七十七条第一款的规定追究法律责任。</w:t>
      </w:r>
    </w:p>
    <w:p>
      <w:pPr>
        <w:pStyle w:val="32"/>
        <w:ind w:firstLine="240"/>
        <w:rPr>
          <w:rFonts w:ascii="Times New Roman" w:hAnsi="Times New Roman"/>
          <w:kern w:val="0"/>
          <w:szCs w:val="24"/>
        </w:rPr>
      </w:pPr>
    </w:p>
    <w:p>
      <w:pPr>
        <w:rPr>
          <w:b/>
          <w:sz w:val="24"/>
          <w:szCs w:val="24"/>
        </w:rPr>
        <w:sectPr>
          <w:footerReference r:id="rId7" w:type="first"/>
          <w:footerReference r:id="rId6" w:type="default"/>
          <w:pgSz w:w="11907" w:h="16840"/>
          <w:pgMar w:top="1440" w:right="1080" w:bottom="1440" w:left="1080" w:header="851" w:footer="850" w:gutter="0"/>
          <w:pgNumType w:start="1"/>
          <w:cols w:space="720" w:num="1"/>
          <w:titlePg/>
          <w:docGrid w:type="lines" w:linePitch="409" w:charSpace="0"/>
        </w:sectPr>
      </w:pPr>
    </w:p>
    <w:p>
      <w:pPr>
        <w:rPr>
          <w:b/>
          <w:sz w:val="24"/>
          <w:szCs w:val="24"/>
        </w:rPr>
      </w:pPr>
      <w:r>
        <w:rPr>
          <w:b/>
          <w:sz w:val="24"/>
          <w:szCs w:val="24"/>
        </w:rPr>
        <w:t>价格、商务技术部分（100分）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3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Align w:val="center"/>
          </w:tcPr>
          <w:p>
            <w:pPr>
              <w:jc w:val="center"/>
              <w:rPr>
                <w:bCs/>
                <w:sz w:val="24"/>
                <w:szCs w:val="24"/>
              </w:rPr>
            </w:pPr>
            <w:r>
              <w:rPr>
                <w:bCs/>
                <w:sz w:val="24"/>
                <w:szCs w:val="24"/>
              </w:rPr>
              <w:t>评分因素</w:t>
            </w:r>
          </w:p>
        </w:tc>
        <w:tc>
          <w:tcPr>
            <w:tcW w:w="7239" w:type="dxa"/>
            <w:vAlign w:val="center"/>
          </w:tcPr>
          <w:p>
            <w:pPr>
              <w:jc w:val="center"/>
              <w:rPr>
                <w:bCs/>
                <w:sz w:val="24"/>
                <w:szCs w:val="24"/>
              </w:rPr>
            </w:pPr>
            <w:r>
              <w:rPr>
                <w:bCs/>
                <w:sz w:val="24"/>
                <w:szCs w:val="24"/>
              </w:rPr>
              <w:t>内容</w:t>
            </w:r>
          </w:p>
        </w:tc>
        <w:tc>
          <w:tcPr>
            <w:tcW w:w="882" w:type="dxa"/>
            <w:vAlign w:val="center"/>
          </w:tcPr>
          <w:p>
            <w:pPr>
              <w:tabs>
                <w:tab w:val="left" w:pos="1900"/>
              </w:tabs>
              <w:ind w:right="105"/>
              <w:jc w:val="center"/>
              <w:rPr>
                <w:bCs/>
                <w:sz w:val="24"/>
                <w:szCs w:val="24"/>
              </w:rPr>
            </w:pPr>
            <w:r>
              <w:rPr>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restart"/>
            <w:vAlign w:val="center"/>
          </w:tcPr>
          <w:p>
            <w:pPr>
              <w:jc w:val="center"/>
              <w:rPr>
                <w:bCs/>
                <w:sz w:val="24"/>
                <w:szCs w:val="24"/>
              </w:rPr>
            </w:pPr>
            <w:r>
              <w:rPr>
                <w:bCs/>
                <w:sz w:val="24"/>
                <w:szCs w:val="24"/>
              </w:rPr>
              <w:t>技术因素</w:t>
            </w:r>
          </w:p>
          <w:p>
            <w:pPr>
              <w:jc w:val="center"/>
              <w:rPr>
                <w:bCs/>
                <w:sz w:val="24"/>
                <w:szCs w:val="24"/>
              </w:rPr>
            </w:pPr>
            <w:r>
              <w:rPr>
                <w:bCs/>
                <w:sz w:val="24"/>
                <w:szCs w:val="24"/>
              </w:rPr>
              <w:t>（50分）</w:t>
            </w:r>
          </w:p>
        </w:tc>
        <w:tc>
          <w:tcPr>
            <w:tcW w:w="7239" w:type="dxa"/>
            <w:vAlign w:val="center"/>
          </w:tcPr>
          <w:p>
            <w:pPr>
              <w:jc w:val="left"/>
              <w:rPr>
                <w:bCs/>
                <w:sz w:val="24"/>
                <w:szCs w:val="24"/>
              </w:rPr>
            </w:pPr>
            <w:r>
              <w:rPr>
                <w:bCs/>
                <w:sz w:val="24"/>
                <w:szCs w:val="24"/>
              </w:rPr>
              <w:t>技术符合程度（2</w:t>
            </w:r>
            <w:r>
              <w:rPr>
                <w:rFonts w:hint="eastAsia"/>
                <w:bCs/>
                <w:sz w:val="24"/>
                <w:szCs w:val="24"/>
                <w:lang w:val="en-US" w:eastAsia="zh-CN"/>
              </w:rPr>
              <w:t>5</w:t>
            </w:r>
            <w:r>
              <w:rPr>
                <w:bCs/>
                <w:sz w:val="24"/>
                <w:szCs w:val="24"/>
              </w:rPr>
              <w:t>分）：标注“*”的参数为关键参数，按每项</w:t>
            </w:r>
            <w:r>
              <w:rPr>
                <w:rFonts w:hint="eastAsia"/>
                <w:bCs/>
                <w:sz w:val="24"/>
                <w:szCs w:val="24"/>
              </w:rPr>
              <w:t>3</w:t>
            </w:r>
            <w:r>
              <w:rPr>
                <w:bCs/>
                <w:sz w:val="24"/>
                <w:szCs w:val="24"/>
              </w:rPr>
              <w:t>分抵扣，扣完为止；未标注“*”的参数为一般参数，如不满足，按每项</w:t>
            </w:r>
            <w:r>
              <w:rPr>
                <w:rFonts w:hint="eastAsia"/>
                <w:bCs/>
                <w:sz w:val="24"/>
                <w:szCs w:val="24"/>
              </w:rPr>
              <w:t>2</w:t>
            </w:r>
            <w:r>
              <w:rPr>
                <w:bCs/>
                <w:sz w:val="24"/>
                <w:szCs w:val="24"/>
              </w:rPr>
              <w:t>分抵扣，扣完为止。</w:t>
            </w:r>
          </w:p>
        </w:tc>
        <w:tc>
          <w:tcPr>
            <w:tcW w:w="882" w:type="dxa"/>
            <w:vAlign w:val="center"/>
          </w:tcPr>
          <w:p>
            <w:pPr>
              <w:jc w:val="center"/>
              <w:rPr>
                <w:rFonts w:hint="eastAsia" w:eastAsia="宋体"/>
                <w:kern w:val="0"/>
                <w:szCs w:val="21"/>
                <w:lang w:eastAsia="zh-CN"/>
              </w:rPr>
            </w:pPr>
            <w:r>
              <w:rPr>
                <w:kern w:val="0"/>
                <w:szCs w:val="21"/>
              </w:rPr>
              <w:t>2</w:t>
            </w:r>
            <w:r>
              <w:rPr>
                <w:rFonts w:hint="eastAsia"/>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技术先进性（5分）：以利于临床工作需要为前提，关键性参数高于招标要求的，每项1分，加满为止；否则不得分。</w:t>
            </w:r>
          </w:p>
        </w:tc>
        <w:tc>
          <w:tcPr>
            <w:tcW w:w="882"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产品性能质量及安全可靠性（5分）：所投产品性能稳定，在以往销售过的产品中未出现不良使用记录，运行良好，故障率小，返修率低，酌情打分，最高不超过5分。否则不得分。</w:t>
            </w:r>
          </w:p>
        </w:tc>
        <w:tc>
          <w:tcPr>
            <w:tcW w:w="882"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配置情况（</w:t>
            </w:r>
            <w:r>
              <w:rPr>
                <w:rFonts w:hint="eastAsia"/>
                <w:bCs/>
                <w:sz w:val="24"/>
                <w:szCs w:val="24"/>
                <w:lang w:val="en-US" w:eastAsia="zh-CN"/>
              </w:rPr>
              <w:t>3</w:t>
            </w:r>
            <w:r>
              <w:rPr>
                <w:bCs/>
                <w:sz w:val="24"/>
                <w:szCs w:val="24"/>
              </w:rPr>
              <w:t>分）：以利于临床工作需要为前提，根据配置高于招标要求的程度酌情打分，最高不超过</w:t>
            </w:r>
            <w:r>
              <w:rPr>
                <w:rFonts w:hint="eastAsia"/>
                <w:bCs/>
                <w:sz w:val="24"/>
                <w:szCs w:val="24"/>
                <w:lang w:val="en-US" w:eastAsia="zh-CN"/>
              </w:rPr>
              <w:t>3</w:t>
            </w:r>
            <w:r>
              <w:rPr>
                <w:bCs/>
                <w:sz w:val="24"/>
                <w:szCs w:val="24"/>
              </w:rPr>
              <w:t>分。否则不得分。</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可操作、可维护性（5分）：所投产品操作便捷，操作上较为人性化，有利于临床工作人员提高工作效率，便于维护等方面，酌情打分，最高不超过5分。否则不得分。</w:t>
            </w:r>
          </w:p>
        </w:tc>
        <w:tc>
          <w:tcPr>
            <w:tcW w:w="882" w:type="dxa"/>
            <w:vAlign w:val="center"/>
          </w:tcPr>
          <w:p>
            <w:pPr>
              <w:jc w:val="center"/>
              <w:rPr>
                <w:kern w:val="0"/>
                <w:szCs w:val="21"/>
              </w:rPr>
            </w:pPr>
            <w:r>
              <w:rPr>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投标设备的运行成本（</w:t>
            </w:r>
            <w:r>
              <w:rPr>
                <w:rFonts w:hint="eastAsia"/>
                <w:bCs/>
                <w:sz w:val="24"/>
                <w:szCs w:val="24"/>
                <w:lang w:val="en-US" w:eastAsia="zh-CN"/>
              </w:rPr>
              <w:t>3</w:t>
            </w:r>
            <w:r>
              <w:rPr>
                <w:bCs/>
                <w:sz w:val="24"/>
                <w:szCs w:val="24"/>
              </w:rPr>
              <w:t>分）：低：</w:t>
            </w:r>
            <w:r>
              <w:rPr>
                <w:rFonts w:hint="eastAsia"/>
                <w:bCs/>
                <w:sz w:val="24"/>
                <w:szCs w:val="24"/>
                <w:lang w:val="en-US" w:eastAsia="zh-CN"/>
              </w:rPr>
              <w:t>2</w:t>
            </w:r>
            <w:r>
              <w:rPr>
                <w:bCs/>
                <w:sz w:val="24"/>
                <w:szCs w:val="24"/>
              </w:rPr>
              <w:t>-</w:t>
            </w:r>
            <w:r>
              <w:rPr>
                <w:rFonts w:hint="eastAsia"/>
                <w:bCs/>
                <w:sz w:val="24"/>
                <w:szCs w:val="24"/>
                <w:lang w:val="en-US" w:eastAsia="zh-CN"/>
              </w:rPr>
              <w:t>3</w:t>
            </w:r>
            <w:r>
              <w:rPr>
                <w:bCs/>
                <w:sz w:val="24"/>
                <w:szCs w:val="24"/>
              </w:rPr>
              <w:t>分，中：</w:t>
            </w:r>
            <w:r>
              <w:rPr>
                <w:rFonts w:hint="eastAsia"/>
                <w:bCs/>
                <w:sz w:val="24"/>
                <w:szCs w:val="24"/>
                <w:lang w:val="en-US" w:eastAsia="zh-CN"/>
              </w:rPr>
              <w:t>0</w:t>
            </w:r>
            <w:r>
              <w:rPr>
                <w:bCs/>
                <w:sz w:val="24"/>
                <w:szCs w:val="24"/>
              </w:rPr>
              <w:t>-</w:t>
            </w:r>
            <w:r>
              <w:rPr>
                <w:rFonts w:hint="eastAsia"/>
                <w:bCs/>
                <w:sz w:val="24"/>
                <w:szCs w:val="24"/>
                <w:lang w:val="en-US" w:eastAsia="zh-CN"/>
              </w:rPr>
              <w:t>1</w:t>
            </w:r>
            <w:r>
              <w:rPr>
                <w:bCs/>
                <w:sz w:val="24"/>
                <w:szCs w:val="24"/>
              </w:rPr>
              <w:t>分，高：不得分。</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其它技术因素（2分）：其他有利于临床工作需求的优惠条件。</w:t>
            </w:r>
          </w:p>
        </w:tc>
        <w:tc>
          <w:tcPr>
            <w:tcW w:w="882" w:type="dxa"/>
            <w:vAlign w:val="center"/>
          </w:tcPr>
          <w:p>
            <w:pPr>
              <w:jc w:val="center"/>
              <w:rPr>
                <w:kern w:val="0"/>
                <w:szCs w:val="21"/>
              </w:rPr>
            </w:pPr>
            <w:r>
              <w:rPr>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restart"/>
            <w:vAlign w:val="center"/>
          </w:tcPr>
          <w:p>
            <w:pPr>
              <w:jc w:val="center"/>
              <w:rPr>
                <w:bCs/>
                <w:sz w:val="24"/>
                <w:szCs w:val="24"/>
              </w:rPr>
            </w:pPr>
            <w:r>
              <w:rPr>
                <w:bCs/>
                <w:sz w:val="24"/>
                <w:szCs w:val="24"/>
              </w:rPr>
              <w:t>商务因素</w:t>
            </w:r>
          </w:p>
          <w:p>
            <w:pPr>
              <w:jc w:val="center"/>
              <w:rPr>
                <w:bCs/>
                <w:sz w:val="24"/>
                <w:szCs w:val="24"/>
              </w:rPr>
            </w:pPr>
            <w:r>
              <w:rPr>
                <w:bCs/>
                <w:sz w:val="24"/>
                <w:szCs w:val="24"/>
              </w:rPr>
              <w:t>（20分）</w:t>
            </w:r>
          </w:p>
        </w:tc>
        <w:tc>
          <w:tcPr>
            <w:tcW w:w="7239" w:type="dxa"/>
            <w:vAlign w:val="center"/>
          </w:tcPr>
          <w:p>
            <w:pPr>
              <w:jc w:val="left"/>
              <w:rPr>
                <w:bCs/>
                <w:sz w:val="24"/>
                <w:szCs w:val="24"/>
              </w:rPr>
            </w:pPr>
            <w:r>
              <w:rPr>
                <w:bCs/>
                <w:sz w:val="24"/>
                <w:szCs w:val="24"/>
              </w:rPr>
              <w:t>投标人自 201</w:t>
            </w:r>
            <w:r>
              <w:rPr>
                <w:rFonts w:hint="eastAsia"/>
                <w:bCs/>
                <w:sz w:val="24"/>
                <w:szCs w:val="24"/>
              </w:rPr>
              <w:t>8</w:t>
            </w:r>
            <w:r>
              <w:rPr>
                <w:bCs/>
                <w:sz w:val="24"/>
                <w:szCs w:val="24"/>
              </w:rPr>
              <w:t>年</w:t>
            </w:r>
            <w:r>
              <w:rPr>
                <w:rFonts w:hint="eastAsia"/>
                <w:bCs/>
                <w:sz w:val="24"/>
                <w:szCs w:val="24"/>
                <w:lang w:val="en-US" w:eastAsia="zh-CN"/>
              </w:rPr>
              <w:t>5月</w:t>
            </w:r>
            <w:r>
              <w:rPr>
                <w:bCs/>
                <w:sz w:val="24"/>
                <w:szCs w:val="24"/>
              </w:rPr>
              <w:t>以来全国性的非特定行业的类似项目成功案例， 最多提供4 个，提供中标通知书、销售合同证明材料并加盖投标单位公章， 1个合同得 1 分， 最高得分为 4 分。</w:t>
            </w:r>
          </w:p>
        </w:tc>
        <w:tc>
          <w:tcPr>
            <w:tcW w:w="882" w:type="dxa"/>
            <w:vAlign w:val="center"/>
          </w:tcPr>
          <w:p>
            <w:pPr>
              <w:jc w:val="center"/>
              <w:rPr>
                <w:kern w:val="0"/>
                <w:szCs w:val="21"/>
              </w:rPr>
            </w:pPr>
            <w:r>
              <w:rPr>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品牌市场评价（6分）：</w:t>
            </w:r>
          </w:p>
          <w:p>
            <w:pPr>
              <w:jc w:val="left"/>
              <w:rPr>
                <w:bCs/>
                <w:sz w:val="24"/>
                <w:szCs w:val="24"/>
              </w:rPr>
            </w:pPr>
            <w:r>
              <w:rPr>
                <w:bCs/>
                <w:sz w:val="24"/>
                <w:szCs w:val="24"/>
              </w:rPr>
              <w:t>市场占有率（3分）；</w:t>
            </w:r>
          </w:p>
          <w:p>
            <w:pPr>
              <w:jc w:val="left"/>
              <w:rPr>
                <w:bCs/>
                <w:sz w:val="24"/>
                <w:szCs w:val="24"/>
              </w:rPr>
            </w:pPr>
            <w:r>
              <w:rPr>
                <w:bCs/>
                <w:sz w:val="24"/>
                <w:szCs w:val="24"/>
              </w:rPr>
              <w:t>临床评价（3分）：从产品性能稳定性、故障发生率、运行寿命进行比较，酌情打分。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培训（</w:t>
            </w:r>
            <w:r>
              <w:rPr>
                <w:rFonts w:hint="eastAsia"/>
                <w:bCs/>
                <w:sz w:val="24"/>
                <w:szCs w:val="24"/>
                <w:lang w:val="en-US" w:eastAsia="zh-CN"/>
              </w:rPr>
              <w:t>3</w:t>
            </w:r>
            <w:r>
              <w:rPr>
                <w:bCs/>
                <w:sz w:val="24"/>
                <w:szCs w:val="24"/>
              </w:rPr>
              <w:t>分）：提供培训方案，内容明确详尽</w:t>
            </w:r>
            <w:r>
              <w:rPr>
                <w:rFonts w:hint="eastAsia"/>
                <w:bCs/>
                <w:sz w:val="24"/>
                <w:szCs w:val="24"/>
                <w:lang w:eastAsia="zh-CN"/>
              </w:rPr>
              <w:t>优</w:t>
            </w:r>
            <w:r>
              <w:rPr>
                <w:rFonts w:hint="eastAsia"/>
                <w:bCs/>
                <w:sz w:val="24"/>
                <w:szCs w:val="24"/>
                <w:lang w:val="en-US" w:eastAsia="zh-CN"/>
              </w:rPr>
              <w:t>3-2分，良1-0，差1-0分</w:t>
            </w:r>
            <w:r>
              <w:rPr>
                <w:bCs/>
                <w:sz w:val="24"/>
                <w:szCs w:val="24"/>
              </w:rPr>
              <w:t>。</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售后服务体系（8分）：</w:t>
            </w:r>
          </w:p>
          <w:p>
            <w:pPr>
              <w:jc w:val="left"/>
              <w:rPr>
                <w:bCs/>
                <w:sz w:val="24"/>
                <w:szCs w:val="24"/>
              </w:rPr>
            </w:pPr>
            <w:r>
              <w:rPr>
                <w:bCs/>
                <w:sz w:val="24"/>
                <w:szCs w:val="24"/>
              </w:rPr>
              <w:t>具有专职维修工程师，保证设备的日常维护及故障排除（1分）；</w:t>
            </w:r>
          </w:p>
          <w:p>
            <w:pPr>
              <w:jc w:val="left"/>
              <w:rPr>
                <w:bCs/>
                <w:sz w:val="24"/>
                <w:szCs w:val="24"/>
              </w:rPr>
            </w:pPr>
            <w:r>
              <w:rPr>
                <w:bCs/>
                <w:sz w:val="24"/>
                <w:szCs w:val="24"/>
              </w:rPr>
              <w:t>生产厂家在</w:t>
            </w:r>
            <w:r>
              <w:rPr>
                <w:rFonts w:hint="eastAsia"/>
                <w:bCs/>
                <w:sz w:val="24"/>
                <w:szCs w:val="24"/>
                <w:lang w:eastAsia="zh-CN"/>
              </w:rPr>
              <w:t>本地</w:t>
            </w:r>
            <w:r>
              <w:rPr>
                <w:bCs/>
                <w:sz w:val="24"/>
                <w:szCs w:val="24"/>
              </w:rPr>
              <w:t>设有售后服务机构（2分），拥有完善的售后服务保障体系（2分），设有常驻专业维修工程师以提供技术服务支持（2分），设有备件仓库保证常规配件供应（1分）；</w:t>
            </w:r>
          </w:p>
          <w:p>
            <w:pPr>
              <w:jc w:val="left"/>
              <w:rPr>
                <w:bCs/>
                <w:sz w:val="24"/>
                <w:szCs w:val="24"/>
              </w:rPr>
            </w:pPr>
            <w:r>
              <w:rPr>
                <w:bCs/>
                <w:sz w:val="24"/>
                <w:szCs w:val="24"/>
              </w:rPr>
              <w:t>附相应证明材料，否则不得分。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售后服务承诺（1分）：满足招标文件要求，内容全面并且可行。</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Align w:val="center"/>
          </w:tcPr>
          <w:p>
            <w:pPr>
              <w:jc w:val="center"/>
              <w:rPr>
                <w:bCs/>
                <w:sz w:val="24"/>
                <w:szCs w:val="24"/>
              </w:rPr>
            </w:pPr>
            <w:r>
              <w:rPr>
                <w:bCs/>
                <w:sz w:val="24"/>
                <w:szCs w:val="24"/>
              </w:rPr>
              <w:t>价格</w:t>
            </w:r>
          </w:p>
        </w:tc>
        <w:tc>
          <w:tcPr>
            <w:tcW w:w="7239" w:type="dxa"/>
            <w:vAlign w:val="center"/>
          </w:tcPr>
          <w:p>
            <w:pPr>
              <w:jc w:val="left"/>
              <w:rPr>
                <w:bCs/>
                <w:sz w:val="24"/>
                <w:szCs w:val="24"/>
              </w:rPr>
            </w:pPr>
            <w:r>
              <w:rPr>
                <w:bCs/>
                <w:sz w:val="24"/>
                <w:szCs w:val="24"/>
              </w:rPr>
              <w:t>价格得分的评分方法：采用低价优先法计算，即满足招标文件要求且投标价格最低的投标报价为评标基准价，其价格得分为满分。其他投标人的价格得分统一按照下列公式计算：价格得分=（评标基准价/投标报价）×30%×100，如此类推，算出所有投标供应商的价格得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30</w:t>
            </w:r>
          </w:p>
        </w:tc>
      </w:tr>
    </w:tbl>
    <w:p>
      <w:pPr>
        <w:pStyle w:val="32"/>
        <w:ind w:firstLine="240"/>
        <w:rPr>
          <w:rFonts w:ascii="Times New Roman" w:hAnsi="Times New Roman"/>
        </w:rPr>
      </w:pPr>
    </w:p>
    <w:p>
      <w:pPr>
        <w:spacing w:line="400" w:lineRule="atLeast"/>
        <w:rPr>
          <w:sz w:val="24"/>
        </w:rPr>
      </w:pPr>
      <w:r>
        <w:rPr>
          <w:sz w:val="24"/>
        </w:rPr>
        <w:t>说明：技术偏离表与投标商所提供的技术资料参数不符情况视为虚假应标，予以废标处理，其风险由投标商自行承担。</w:t>
      </w:r>
    </w:p>
    <w:p>
      <w:pPr>
        <w:spacing w:line="400" w:lineRule="atLeast"/>
        <w:rPr>
          <w:sz w:val="24"/>
        </w:rPr>
      </w:pPr>
      <w:r>
        <w:rPr>
          <w:sz w:val="24"/>
        </w:rPr>
        <w:t>27．评标过程的保密性</w:t>
      </w:r>
    </w:p>
    <w:p>
      <w:pPr>
        <w:spacing w:line="400" w:lineRule="atLeast"/>
        <w:ind w:left="15" w:leftChars="7" w:firstLine="69" w:firstLineChars="29"/>
        <w:rPr>
          <w:sz w:val="24"/>
        </w:rPr>
      </w:pPr>
      <w:r>
        <w:rPr>
          <w:sz w:val="24"/>
        </w:rPr>
        <w:t>27.1 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420" w:lineRule="exact"/>
        <w:rPr>
          <w:sz w:val="24"/>
        </w:rPr>
      </w:pPr>
      <w:r>
        <w:rPr>
          <w:sz w:val="24"/>
        </w:rPr>
        <w:t>27.2 投标商在评标过程中，所进行的力图影响评标结果的不符合《招投标法》、《政府采购法》及本次招标中有关规定的活动，将被取消其中标资格。</w:t>
      </w:r>
    </w:p>
    <w:p>
      <w:pPr>
        <w:pStyle w:val="32"/>
        <w:ind w:firstLine="0" w:firstLineChars="0"/>
        <w:rPr>
          <w:rFonts w:ascii="Times New Roman" w:hAnsi="Times New Roman"/>
          <w:szCs w:val="22"/>
        </w:rPr>
      </w:pPr>
      <w:r>
        <w:rPr>
          <w:rFonts w:ascii="Times New Roman" w:hAnsi="Times New Roman"/>
          <w:szCs w:val="22"/>
        </w:rPr>
        <w:t xml:space="preserve">27.3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最低报价不作为评标的唯一依据。采购人不承诺将合同授予报价最低的供应商。 </w:t>
      </w:r>
    </w:p>
    <w:p>
      <w:pPr>
        <w:pStyle w:val="32"/>
        <w:ind w:firstLine="240"/>
        <w:rPr>
          <w:rFonts w:ascii="Times New Roman" w:hAnsi="Times New Roman"/>
          <w:szCs w:val="22"/>
        </w:rPr>
      </w:pPr>
      <w:r>
        <w:rPr>
          <w:rFonts w:ascii="Times New Roman" w:hAnsi="Times New Roman"/>
          <w:szCs w:val="22"/>
        </w:rPr>
        <w:t>经评标委员会评议，认为投标报价过高、均超出采购人预算或最高限价的项目，可以不确立中标人，重新组织招标。中标供应商拒绝与采购人签订合同的，采购人可以按照评审报告推荐的中标人名单排序，确定下一候选人为中标人，也可以重新开展中医医院医疗设备采购项目。</w:t>
      </w:r>
    </w:p>
    <w:p>
      <w:pPr>
        <w:spacing w:line="400" w:lineRule="atLeast"/>
        <w:ind w:left="552" w:hanging="552" w:hangingChars="230"/>
        <w:rPr>
          <w:sz w:val="24"/>
        </w:rPr>
      </w:pPr>
    </w:p>
    <w:p>
      <w:pPr>
        <w:pStyle w:val="4"/>
        <w:spacing w:before="100" w:beforeAutospacing="1" w:after="100" w:afterAutospacing="1" w:line="400" w:lineRule="atLeast"/>
        <w:jc w:val="center"/>
        <w:rPr>
          <w:rFonts w:ascii="Times New Roman" w:hAnsi="Times New Roman" w:eastAsia="宋体"/>
          <w:sz w:val="28"/>
          <w:szCs w:val="28"/>
        </w:rPr>
      </w:pPr>
      <w:bookmarkStart w:id="112" w:name="_Toc298240410"/>
      <w:bookmarkStart w:id="113" w:name="_Toc349573126"/>
      <w:bookmarkStart w:id="114" w:name="_Toc349637925"/>
      <w:bookmarkStart w:id="115" w:name="_Toc267301287"/>
      <w:bookmarkStart w:id="116" w:name="_Toc14992"/>
      <w:bookmarkStart w:id="117" w:name="_Toc25239"/>
      <w:r>
        <w:rPr>
          <w:rFonts w:ascii="Times New Roman" w:hAnsi="Times New Roman" w:eastAsia="宋体"/>
          <w:sz w:val="28"/>
          <w:szCs w:val="28"/>
        </w:rPr>
        <w:t>F  授予合同</w:t>
      </w:r>
      <w:bookmarkEnd w:id="112"/>
      <w:bookmarkEnd w:id="113"/>
      <w:bookmarkEnd w:id="114"/>
      <w:bookmarkEnd w:id="115"/>
      <w:bookmarkEnd w:id="116"/>
      <w:bookmarkEnd w:id="117"/>
    </w:p>
    <w:p>
      <w:pPr>
        <w:spacing w:line="400" w:lineRule="atLeast"/>
        <w:rPr>
          <w:sz w:val="24"/>
        </w:rPr>
      </w:pPr>
      <w:r>
        <w:rPr>
          <w:sz w:val="24"/>
        </w:rPr>
        <w:t>28．合同授予标准</w:t>
      </w:r>
    </w:p>
    <w:p>
      <w:pPr>
        <w:spacing w:line="400" w:lineRule="atLeast"/>
        <w:ind w:left="600" w:hanging="600" w:hangingChars="250"/>
        <w:rPr>
          <w:sz w:val="24"/>
        </w:rPr>
      </w:pPr>
      <w:r>
        <w:rPr>
          <w:sz w:val="24"/>
        </w:rPr>
        <w:t>28.1合同将授予被确定为实质上响应招标文件要求，评标认为具备履行合同义务条件、报价合理、技术和商务条件都符合条件基础上综合评分得分最高的投标商。</w:t>
      </w:r>
    </w:p>
    <w:p>
      <w:pPr>
        <w:spacing w:line="400" w:lineRule="atLeast"/>
        <w:rPr>
          <w:sz w:val="24"/>
        </w:rPr>
      </w:pPr>
      <w:r>
        <w:rPr>
          <w:sz w:val="24"/>
        </w:rPr>
        <w:t>28.2 最低投标价不一定是被授予合同的保证。</w:t>
      </w:r>
    </w:p>
    <w:p>
      <w:pPr>
        <w:spacing w:line="400" w:lineRule="atLeast"/>
        <w:ind w:left="600" w:hanging="600" w:hangingChars="250"/>
        <w:rPr>
          <w:sz w:val="24"/>
        </w:rPr>
      </w:pPr>
      <w:r>
        <w:rPr>
          <w:sz w:val="24"/>
        </w:rPr>
        <w:t>28.3 如果确定该投标商无法圆满履行合同，招标代理机构将对下一个可能中标的投标商资格作出类似的审查。</w:t>
      </w:r>
    </w:p>
    <w:p>
      <w:pPr>
        <w:spacing w:line="400" w:lineRule="atLeast"/>
        <w:rPr>
          <w:sz w:val="24"/>
        </w:rPr>
      </w:pPr>
      <w:r>
        <w:rPr>
          <w:sz w:val="24"/>
        </w:rPr>
        <w:t>29．接受和拒绝任何或所有投标的权力</w:t>
      </w:r>
    </w:p>
    <w:p>
      <w:pPr>
        <w:spacing w:line="400" w:lineRule="atLeast"/>
        <w:ind w:left="600" w:hanging="600" w:hangingChars="250"/>
        <w:rPr>
          <w:sz w:val="24"/>
        </w:rPr>
      </w:pPr>
      <w:r>
        <w:rPr>
          <w:sz w:val="24"/>
        </w:rPr>
        <w:t>29.1为维护国家利益，招标方在授予合同之前仍有选择或拒绝任何全部投标的权力，并对所采取的行为不作任何解释。</w:t>
      </w:r>
    </w:p>
    <w:p>
      <w:pPr>
        <w:spacing w:line="400" w:lineRule="atLeast"/>
        <w:rPr>
          <w:sz w:val="24"/>
        </w:rPr>
      </w:pPr>
      <w:r>
        <w:rPr>
          <w:sz w:val="24"/>
        </w:rPr>
        <w:t>30．中标通知书</w:t>
      </w:r>
    </w:p>
    <w:p>
      <w:pPr>
        <w:spacing w:line="400" w:lineRule="atLeast"/>
        <w:ind w:left="552" w:hanging="552" w:hangingChars="230"/>
        <w:rPr>
          <w:sz w:val="24"/>
        </w:rPr>
      </w:pPr>
      <w:r>
        <w:rPr>
          <w:sz w:val="24"/>
        </w:rPr>
        <w:t>30.1 中标公告期满后，招标代理机构将以书面形式发出《中标通知书》，但发出时间不超过投标有效期，《中标通知书》一经发出即发生法律效力。</w:t>
      </w:r>
    </w:p>
    <w:p>
      <w:pPr>
        <w:spacing w:line="400" w:lineRule="atLeast"/>
        <w:rPr>
          <w:sz w:val="24"/>
        </w:rPr>
      </w:pPr>
      <w:r>
        <w:rPr>
          <w:sz w:val="24"/>
        </w:rPr>
        <w:t>30.2 《中标通知书》将作为签订合同的依据。</w:t>
      </w:r>
    </w:p>
    <w:p>
      <w:pPr>
        <w:spacing w:line="400" w:lineRule="atLeast"/>
        <w:ind w:left="600" w:hanging="600" w:hangingChars="250"/>
        <w:rPr>
          <w:sz w:val="24"/>
        </w:rPr>
      </w:pPr>
      <w:r>
        <w:rPr>
          <w:sz w:val="24"/>
        </w:rPr>
        <w:t>30.3 招标代理机构将在中标方按规定签订合同并提交履约保证金（如适用）后退还其投标保证金。</w:t>
      </w:r>
    </w:p>
    <w:p>
      <w:pPr>
        <w:spacing w:line="400" w:lineRule="atLeast"/>
        <w:rPr>
          <w:sz w:val="24"/>
        </w:rPr>
      </w:pPr>
      <w:r>
        <w:rPr>
          <w:sz w:val="24"/>
        </w:rPr>
        <w:t>31．签订合同</w:t>
      </w:r>
    </w:p>
    <w:p>
      <w:pPr>
        <w:spacing w:line="400" w:lineRule="atLeast"/>
        <w:ind w:left="540" w:hanging="540" w:hangingChars="225"/>
        <w:rPr>
          <w:sz w:val="24"/>
        </w:rPr>
      </w:pPr>
      <w:r>
        <w:rPr>
          <w:sz w:val="24"/>
        </w:rPr>
        <w:t>31.1 投标商收到《中标通知书》后，按《中标通知书》中规定的时间地点与买方签订合同。买方和中标人不得再订立背离合同实质性内容的其他协议。</w:t>
      </w:r>
    </w:p>
    <w:p>
      <w:pPr>
        <w:spacing w:line="400" w:lineRule="atLeast"/>
        <w:rPr>
          <w:sz w:val="24"/>
        </w:rPr>
      </w:pPr>
      <w:r>
        <w:rPr>
          <w:sz w:val="24"/>
        </w:rPr>
        <w:t>31.2如中标方拒签合同，则按违约处理。招标代理机构没收其投标保证金。</w:t>
      </w:r>
    </w:p>
    <w:p>
      <w:pPr>
        <w:spacing w:line="400" w:lineRule="atLeast"/>
        <w:rPr>
          <w:sz w:val="24"/>
        </w:rPr>
      </w:pPr>
      <w:r>
        <w:rPr>
          <w:sz w:val="24"/>
        </w:rPr>
        <w:t>31.3招标文件、中标方的投标文件及其澄清文件等，均为签订经济合同的依据。</w:t>
      </w:r>
    </w:p>
    <w:p>
      <w:pPr>
        <w:spacing w:line="400" w:lineRule="atLeast"/>
        <w:rPr>
          <w:sz w:val="24"/>
        </w:rPr>
      </w:pPr>
      <w:r>
        <w:rPr>
          <w:sz w:val="24"/>
        </w:rPr>
        <w:t>32．招标代理服务费</w:t>
      </w:r>
    </w:p>
    <w:p>
      <w:pPr>
        <w:pStyle w:val="18"/>
        <w:spacing w:line="400" w:lineRule="atLeast"/>
        <w:rPr>
          <w:rFonts w:ascii="Times New Roman" w:hAnsi="Times New Roman"/>
          <w:sz w:val="24"/>
        </w:rPr>
      </w:pPr>
      <w:r>
        <w:rPr>
          <w:rFonts w:ascii="Times New Roman" w:hAnsi="Times New Roman"/>
          <w:sz w:val="24"/>
        </w:rPr>
        <w:t>32.1中标方须向招标代理机构按如下标准和期限交纳招标代理服务费：</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bookmarkStart w:id="118" w:name="_Toc267301288"/>
      <w:r>
        <w:rPr>
          <w:rFonts w:ascii="Times New Roman" w:hAnsi="Times New Roman"/>
          <w:bCs/>
          <w:sz w:val="24"/>
        </w:rPr>
        <w:t>32.1.1</w:t>
      </w:r>
      <w:r>
        <w:rPr>
          <w:rFonts w:ascii="Times New Roman" w:hAnsi="Times New Roman"/>
          <w:sz w:val="24"/>
          <w:szCs w:val="24"/>
        </w:rPr>
        <w:t>招标代理服务费支付标准按照国家取费标准计取；</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32.1.2在宣布中标后一周内，中标方须按规定的标准以现金或电汇的方式一次性向招标代理机构缴纳招标代理服务费。</w:t>
      </w:r>
    </w:p>
    <w:p>
      <w:pPr>
        <w:pStyle w:val="4"/>
        <w:spacing w:before="100" w:beforeAutospacing="1" w:after="100" w:afterAutospacing="1" w:line="400" w:lineRule="atLeast"/>
        <w:jc w:val="center"/>
        <w:rPr>
          <w:rFonts w:ascii="Times New Roman" w:hAnsi="Times New Roman" w:eastAsia="宋体"/>
          <w:bCs/>
          <w:sz w:val="24"/>
        </w:rPr>
      </w:pPr>
      <w:bookmarkStart w:id="119" w:name="_Toc14640"/>
      <w:bookmarkStart w:id="120" w:name="_Toc7547"/>
      <w:r>
        <w:rPr>
          <w:rFonts w:ascii="Times New Roman" w:hAnsi="Times New Roman" w:eastAsia="宋体"/>
          <w:sz w:val="28"/>
          <w:szCs w:val="28"/>
        </w:rPr>
        <w:t>G  招标失败条件</w:t>
      </w:r>
      <w:bookmarkEnd w:id="119"/>
      <w:bookmarkEnd w:id="120"/>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33.出现影响采购公正的违法、违规行为的；</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34.因重大变故，采购任务取消的；</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35.招标文件截止时间后，实际参与的供应商不足法定家数的；</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36.最终报价均超过采购预算的；</w:t>
      </w:r>
    </w:p>
    <w:p>
      <w:pPr>
        <w:pStyle w:val="18"/>
        <w:tabs>
          <w:tab w:val="left" w:pos="720"/>
          <w:tab w:val="left" w:pos="900"/>
          <w:tab w:val="left" w:pos="1260"/>
        </w:tabs>
        <w:adjustRightInd w:val="0"/>
        <w:spacing w:line="400" w:lineRule="atLeast"/>
        <w:ind w:left="720" w:hanging="720" w:hangingChars="300"/>
        <w:rPr>
          <w:rFonts w:ascii="Times New Roman" w:hAnsi="Times New Roman"/>
          <w:bCs/>
          <w:sz w:val="24"/>
        </w:rPr>
      </w:pPr>
      <w:r>
        <w:rPr>
          <w:rFonts w:ascii="Times New Roman" w:hAnsi="Times New Roman"/>
          <w:bCs/>
          <w:sz w:val="24"/>
        </w:rPr>
        <w:t>37.对招标文件作出实质性响应的供应商不足法定家数的；</w:t>
      </w:r>
    </w:p>
    <w:p>
      <w:pPr>
        <w:widowControl/>
        <w:snapToGrid w:val="0"/>
        <w:spacing w:line="400" w:lineRule="exact"/>
        <w:jc w:val="left"/>
        <w:rPr>
          <w:b/>
          <w:bCs/>
          <w:sz w:val="24"/>
          <w:szCs w:val="24"/>
        </w:rPr>
      </w:pPr>
      <w:r>
        <w:rPr>
          <w:b/>
          <w:bCs/>
          <w:sz w:val="24"/>
          <w:szCs w:val="24"/>
        </w:rPr>
        <w:t>质疑处理</w:t>
      </w:r>
    </w:p>
    <w:p>
      <w:pPr>
        <w:widowControl/>
        <w:snapToGrid w:val="0"/>
        <w:spacing w:line="400" w:lineRule="exact"/>
        <w:ind w:left="265" w:leftChars="126"/>
        <w:jc w:val="left"/>
        <w:rPr>
          <w:sz w:val="24"/>
          <w:szCs w:val="24"/>
        </w:rPr>
      </w:pPr>
      <w:r>
        <w:rPr>
          <w:sz w:val="24"/>
          <w:szCs w:val="24"/>
        </w:rPr>
        <w:t>1参加投标供应商认为招标文件、采购过程和中标结果使自己的权益受到损害的，可以在知道或应知其权益受到损害之日起七个工作日内，以书面形式向招标公司提出质疑。上述应知其权益受到损害之日，是指：</w:t>
      </w:r>
      <w:r>
        <w:rPr>
          <w:sz w:val="24"/>
          <w:szCs w:val="24"/>
        </w:rPr>
        <w:br w:type="textWrapping"/>
      </w:r>
      <w:r>
        <w:rPr>
          <w:sz w:val="24"/>
          <w:szCs w:val="24"/>
        </w:rPr>
        <w:t>1.1对可以质疑的招标文件提出质疑的，为收到招标文件之日或者招标文件公告期限届满之日；</w:t>
      </w:r>
      <w:r>
        <w:rPr>
          <w:sz w:val="24"/>
          <w:szCs w:val="24"/>
        </w:rPr>
        <w:br w:type="textWrapping"/>
      </w:r>
      <w:r>
        <w:rPr>
          <w:sz w:val="24"/>
          <w:szCs w:val="24"/>
        </w:rPr>
        <w:t>1.2对采购过程提出质疑的，为各采购程序环节结束之日；</w:t>
      </w:r>
      <w:r>
        <w:rPr>
          <w:sz w:val="24"/>
          <w:szCs w:val="24"/>
        </w:rPr>
        <w:br w:type="textWrapping"/>
      </w:r>
      <w:r>
        <w:rPr>
          <w:sz w:val="24"/>
          <w:szCs w:val="24"/>
        </w:rPr>
        <w:t>1.3对中标结果提出质疑的，为中标结果公告期限届满之日。</w:t>
      </w:r>
      <w:r>
        <w:rPr>
          <w:sz w:val="24"/>
          <w:szCs w:val="24"/>
        </w:rPr>
        <w:br w:type="textWrapping"/>
      </w:r>
      <w:r>
        <w:rPr>
          <w:sz w:val="24"/>
          <w:szCs w:val="24"/>
        </w:rPr>
        <w:t>2质疑必须以参加投标供应商法定代表人或授权委托人（被授权人）（投标文件中所确定的）原件送达的方式提交，未按上述要求提交的质疑函（含传真、电子邮件等）招标公司有权不予受理。</w:t>
      </w:r>
      <w:r>
        <w:rPr>
          <w:sz w:val="24"/>
          <w:szCs w:val="24"/>
        </w:rPr>
        <w:br w:type="textWrapping"/>
      </w:r>
      <w:r>
        <w:rPr>
          <w:sz w:val="24"/>
          <w:szCs w:val="24"/>
        </w:rPr>
        <w:t>3未参加投标活动的供应商或在投标活动中自身权益未受到损害的供应商所提出的质疑不予受理。</w:t>
      </w:r>
      <w:r>
        <w:rPr>
          <w:sz w:val="24"/>
          <w:szCs w:val="24"/>
        </w:rPr>
        <w:br w:type="textWrapping"/>
      </w:r>
      <w:r>
        <w:rPr>
          <w:sz w:val="24"/>
          <w:szCs w:val="24"/>
        </w:rPr>
        <w:t>4质疑函应当包括下列内容：</w:t>
      </w:r>
      <w:r>
        <w:rPr>
          <w:sz w:val="24"/>
          <w:szCs w:val="24"/>
        </w:rPr>
        <w:br w:type="textWrapping"/>
      </w:r>
      <w:r>
        <w:rPr>
          <w:sz w:val="24"/>
          <w:szCs w:val="24"/>
        </w:rPr>
        <w:t>4.1质疑投标人的名称、地址、邮编、联系人、联系电话；</w:t>
      </w:r>
      <w:r>
        <w:rPr>
          <w:sz w:val="24"/>
          <w:szCs w:val="24"/>
        </w:rPr>
        <w:br w:type="textWrapping"/>
      </w:r>
      <w:r>
        <w:rPr>
          <w:sz w:val="24"/>
          <w:szCs w:val="24"/>
        </w:rPr>
        <w:t>4.2具体的质疑事项及明确的请求；</w:t>
      </w:r>
      <w:r>
        <w:rPr>
          <w:sz w:val="24"/>
          <w:szCs w:val="24"/>
        </w:rPr>
        <w:br w:type="textWrapping"/>
      </w:r>
      <w:r>
        <w:rPr>
          <w:sz w:val="24"/>
          <w:szCs w:val="24"/>
        </w:rPr>
        <w:t>4.3认为自己合法权益受到损害或可能受到损害的相关证据材料；</w:t>
      </w:r>
      <w:r>
        <w:rPr>
          <w:sz w:val="24"/>
          <w:szCs w:val="24"/>
        </w:rPr>
        <w:br w:type="textWrapping"/>
      </w:r>
      <w:r>
        <w:rPr>
          <w:sz w:val="24"/>
          <w:szCs w:val="24"/>
        </w:rPr>
        <w:t>4.4提起质疑的日期；</w:t>
      </w:r>
      <w:r>
        <w:rPr>
          <w:sz w:val="24"/>
          <w:szCs w:val="24"/>
        </w:rPr>
        <w:br w:type="textWrapping"/>
      </w:r>
      <w:r>
        <w:rPr>
          <w:sz w:val="24"/>
          <w:szCs w:val="24"/>
        </w:rPr>
        <w:t>4.5质疑函应当署名：质疑人为自然人的，应当由本人签字并附有效身份证明；质疑人为法人或其他组织的，应当由法定代表人签字并加盖单位公章。质疑人委托代理质疑的，应当向采购中心提交授权委托书，并载明委托代理的具体权限和事项。</w:t>
      </w:r>
      <w:r>
        <w:rPr>
          <w:sz w:val="24"/>
          <w:szCs w:val="24"/>
        </w:rPr>
        <w:br w:type="textWrapping"/>
      </w:r>
      <w:r>
        <w:rPr>
          <w:sz w:val="24"/>
          <w:szCs w:val="24"/>
        </w:rPr>
        <w:t>5招标公司收到质疑函后，将对质疑的形式和内容进行审查，如质疑函内容、格式不符合规定，招标公司将告知质疑人进行补正。</w:t>
      </w:r>
      <w:r>
        <w:rPr>
          <w:sz w:val="24"/>
          <w:szCs w:val="24"/>
        </w:rPr>
        <w:br w:type="textWrapping"/>
      </w:r>
      <w:r>
        <w:rPr>
          <w:sz w:val="24"/>
          <w:szCs w:val="24"/>
        </w:rPr>
        <w:t>6质疑人应当在法定质疑期限内进行补正并重新提交质疑函，拒不补正或者在法定期限内未重新提交质疑函的，为无效质疑，招标公司有权不予受理。</w:t>
      </w:r>
      <w:r>
        <w:rPr>
          <w:sz w:val="24"/>
          <w:szCs w:val="24"/>
        </w:rPr>
        <w:br w:type="textWrapping"/>
      </w:r>
      <w:r>
        <w:rPr>
          <w:sz w:val="24"/>
          <w:szCs w:val="24"/>
        </w:rPr>
        <w:t>7对于内容、格式符合规定的质疑函，招标公司应当在收到投标供应商的书面质疑后七个工作日内作出答复，并以书面形式通知质疑供应商和其他有关供应商，但答复的内容不得涉及商业秘密。</w:t>
      </w:r>
      <w:r>
        <w:rPr>
          <w:sz w:val="24"/>
          <w:szCs w:val="24"/>
        </w:rPr>
        <w:br w:type="textWrapping"/>
      </w:r>
      <w:r>
        <w:rPr>
          <w:sz w:val="24"/>
          <w:szCs w:val="24"/>
        </w:rPr>
        <w:t>8投标人提出书面质疑必须有理、有据，提供必要的证明材料，不得恶意质疑或提交虚假质疑。否则，一经查实，采购中心有权依据政府采购的有关规定，报请政府采购监管部门对该投标人进行相应的行政处罚，并扣减其诚信记录分。</w:t>
      </w:r>
      <w:r>
        <w:rPr>
          <w:sz w:val="24"/>
          <w:szCs w:val="24"/>
        </w:rPr>
        <w:br w:type="textWrapping"/>
      </w:r>
      <w:r>
        <w:rPr>
          <w:sz w:val="24"/>
          <w:szCs w:val="24"/>
        </w:rPr>
        <w:t>9质疑接受联系人：新疆西北招标有限公司</w:t>
      </w:r>
    </w:p>
    <w:p>
      <w:pPr>
        <w:widowControl/>
        <w:snapToGrid w:val="0"/>
        <w:spacing w:line="400" w:lineRule="exact"/>
        <w:ind w:left="265" w:leftChars="126"/>
        <w:jc w:val="left"/>
        <w:rPr>
          <w:sz w:val="24"/>
          <w:szCs w:val="24"/>
        </w:rPr>
      </w:pPr>
      <w:r>
        <w:rPr>
          <w:sz w:val="24"/>
          <w:szCs w:val="24"/>
        </w:rPr>
        <w:t>联系人：</w:t>
      </w:r>
      <w:r>
        <w:rPr>
          <w:rFonts w:hint="eastAsia"/>
          <w:sz w:val="24"/>
          <w:szCs w:val="24"/>
        </w:rPr>
        <w:t>王静、陈玉萍</w:t>
      </w:r>
    </w:p>
    <w:p>
      <w:pPr>
        <w:pStyle w:val="18"/>
        <w:tabs>
          <w:tab w:val="left" w:pos="720"/>
          <w:tab w:val="left" w:pos="900"/>
          <w:tab w:val="left" w:pos="1260"/>
        </w:tabs>
        <w:adjustRightInd w:val="0"/>
        <w:spacing w:line="400" w:lineRule="atLeast"/>
        <w:ind w:left="675" w:leftChars="150" w:hanging="360" w:hangingChars="150"/>
        <w:rPr>
          <w:rFonts w:ascii="Times New Roman" w:hAnsi="Times New Roman"/>
          <w:bCs/>
          <w:sz w:val="24"/>
          <w:szCs w:val="24"/>
        </w:rPr>
      </w:pPr>
      <w:r>
        <w:rPr>
          <w:rFonts w:ascii="Times New Roman" w:hAnsi="Times New Roman"/>
          <w:sz w:val="24"/>
          <w:szCs w:val="24"/>
        </w:rPr>
        <w:t>联系电话：0991-5823555</w:t>
      </w:r>
    </w:p>
    <w:p>
      <w:pPr>
        <w:pStyle w:val="3"/>
        <w:numPr>
          <w:ilvl w:val="0"/>
          <w:numId w:val="0"/>
        </w:numPr>
        <w:spacing w:line="400" w:lineRule="atLeast"/>
        <w:jc w:val="center"/>
        <w:rPr>
          <w:sz w:val="24"/>
          <w:szCs w:val="24"/>
        </w:rPr>
        <w:sectPr>
          <w:pgSz w:w="11907" w:h="16840"/>
          <w:pgMar w:top="1440" w:right="1080" w:bottom="1440" w:left="1080" w:header="851" w:footer="850" w:gutter="0"/>
          <w:cols w:space="720" w:num="1"/>
          <w:titlePg/>
          <w:docGrid w:type="lines" w:linePitch="409" w:charSpace="0"/>
        </w:sectPr>
      </w:pPr>
      <w:bookmarkStart w:id="121" w:name="_Toc349637926"/>
      <w:bookmarkStart w:id="122" w:name="_Toc298240411"/>
      <w:bookmarkStart w:id="123" w:name="_Toc349573127"/>
    </w:p>
    <w:p>
      <w:pPr>
        <w:tabs>
          <w:tab w:val="left" w:pos="-2160"/>
          <w:tab w:val="left" w:pos="2160"/>
        </w:tabs>
        <w:adjustRightInd w:val="0"/>
        <w:snapToGrid w:val="0"/>
        <w:spacing w:line="500" w:lineRule="exact"/>
        <w:jc w:val="center"/>
        <w:outlineLvl w:val="0"/>
        <w:rPr>
          <w:b/>
          <w:bCs/>
          <w:sz w:val="32"/>
          <w:szCs w:val="32"/>
        </w:rPr>
      </w:pPr>
      <w:bookmarkStart w:id="124" w:name="_Toc31657"/>
      <w:r>
        <w:rPr>
          <w:b/>
          <w:bCs/>
          <w:sz w:val="32"/>
          <w:szCs w:val="32"/>
        </w:rPr>
        <w:t>第三部分货物需求及技术要求</w:t>
      </w:r>
      <w:bookmarkEnd w:id="118"/>
      <w:bookmarkEnd w:id="121"/>
      <w:bookmarkEnd w:id="122"/>
      <w:bookmarkEnd w:id="123"/>
      <w:bookmarkEnd w:id="124"/>
      <w:bookmarkStart w:id="125" w:name="_Toc298240422"/>
      <w:bookmarkStart w:id="126" w:name="_Toc267301295"/>
      <w:bookmarkStart w:id="127" w:name="_Toc349637936"/>
      <w:bookmarkStart w:id="128" w:name="_Toc349573137"/>
    </w:p>
    <w:p>
      <w:pPr>
        <w:pStyle w:val="31"/>
        <w:spacing w:line="276" w:lineRule="auto"/>
        <w:jc w:val="left"/>
        <w:rPr>
          <w:rFonts w:hint="default" w:eastAsia="宋体"/>
          <w:sz w:val="24"/>
          <w:szCs w:val="24"/>
          <w:lang w:val="en-US" w:eastAsia="zh-CN"/>
        </w:rPr>
      </w:pPr>
      <w:r>
        <w:rPr>
          <w:rFonts w:hint="eastAsia"/>
          <w:b w:val="0"/>
          <w:bCs w:val="0"/>
          <w:sz w:val="24"/>
          <w:szCs w:val="24"/>
          <w:lang w:eastAsia="zh-CN"/>
        </w:rPr>
        <w:t>详见附件：第一包参数</w:t>
      </w:r>
      <w:r>
        <w:rPr>
          <w:rFonts w:hint="eastAsia"/>
          <w:b w:val="0"/>
          <w:bCs w:val="0"/>
          <w:sz w:val="24"/>
          <w:szCs w:val="24"/>
          <w:lang w:val="en-US" w:eastAsia="zh-CN"/>
        </w:rPr>
        <w:t>/第二包参数</w:t>
      </w:r>
    </w:p>
    <w:p>
      <w:pPr>
        <w:pStyle w:val="32"/>
        <w:ind w:firstLine="320"/>
        <w:rPr>
          <w:sz w:val="32"/>
          <w:szCs w:val="32"/>
        </w:rPr>
      </w:pPr>
    </w:p>
    <w:p>
      <w:pPr>
        <w:pStyle w:val="32"/>
        <w:ind w:firstLine="320"/>
        <w:rPr>
          <w:sz w:val="32"/>
          <w:szCs w:val="32"/>
        </w:rPr>
      </w:pPr>
    </w:p>
    <w:p>
      <w:pPr>
        <w:pStyle w:val="3"/>
        <w:numPr>
          <w:ilvl w:val="0"/>
          <w:numId w:val="0"/>
        </w:numPr>
        <w:spacing w:line="400" w:lineRule="atLeast"/>
        <w:jc w:val="center"/>
        <w:rPr>
          <w:sz w:val="24"/>
          <w:szCs w:val="24"/>
        </w:rPr>
      </w:pPr>
      <w:bookmarkStart w:id="129" w:name="_Toc19331"/>
      <w:r>
        <w:rPr>
          <w:sz w:val="32"/>
          <w:szCs w:val="32"/>
        </w:rPr>
        <w:t>第四部分合同一般条款</w:t>
      </w:r>
      <w:bookmarkEnd w:id="125"/>
      <w:bookmarkEnd w:id="126"/>
      <w:bookmarkEnd w:id="127"/>
      <w:bookmarkEnd w:id="128"/>
      <w:bookmarkEnd w:id="129"/>
    </w:p>
    <w:p>
      <w:pPr>
        <w:pStyle w:val="18"/>
        <w:spacing w:line="400" w:lineRule="atLeast"/>
        <w:rPr>
          <w:rFonts w:ascii="Times New Roman" w:hAnsi="Times New Roman"/>
          <w:sz w:val="24"/>
        </w:rPr>
      </w:pPr>
      <w:r>
        <w:rPr>
          <w:rFonts w:ascii="Times New Roman" w:hAnsi="Times New Roman"/>
          <w:b/>
          <w:bCs/>
          <w:sz w:val="24"/>
        </w:rPr>
        <w:t>此合同仅供参考，具体以后期签署合同为准</w:t>
      </w:r>
    </w:p>
    <w:p>
      <w:pPr>
        <w:pStyle w:val="18"/>
        <w:spacing w:line="400" w:lineRule="atLeast"/>
        <w:rPr>
          <w:rFonts w:ascii="Times New Roman" w:hAnsi="Times New Roman"/>
          <w:sz w:val="24"/>
        </w:rPr>
      </w:pPr>
      <w:r>
        <w:rPr>
          <w:rFonts w:ascii="Times New Roman" w:hAnsi="Times New Roman"/>
          <w:sz w:val="24"/>
        </w:rPr>
        <w:t>1．定义</w:t>
      </w:r>
    </w:p>
    <w:p>
      <w:pPr>
        <w:pStyle w:val="18"/>
        <w:spacing w:line="400" w:lineRule="atLeast"/>
        <w:rPr>
          <w:rFonts w:ascii="Times New Roman" w:hAnsi="Times New Roman"/>
          <w:sz w:val="24"/>
        </w:rPr>
      </w:pPr>
      <w:r>
        <w:rPr>
          <w:rFonts w:ascii="Times New Roman" w:hAnsi="Times New Roman"/>
          <w:sz w:val="24"/>
        </w:rPr>
        <w:t xml:space="preserve"> 1.1“合同”系指买方和卖方(以下简称合同双方)已达成的协议，即由双方签订的合同格式中的文件，包括所有的附件、附录和组成合同部分的所有其他文件。</w:t>
      </w:r>
    </w:p>
    <w:p>
      <w:pPr>
        <w:pStyle w:val="18"/>
        <w:spacing w:line="400" w:lineRule="atLeast"/>
        <w:rPr>
          <w:rFonts w:ascii="Times New Roman" w:hAnsi="Times New Roman"/>
          <w:sz w:val="24"/>
        </w:rPr>
      </w:pPr>
      <w:r>
        <w:rPr>
          <w:rFonts w:ascii="Times New Roman" w:hAnsi="Times New Roman"/>
          <w:sz w:val="24"/>
        </w:rPr>
        <w:t xml:space="preserve"> 1.2“合同价格”系指根据合同规定，在卖方全面正确地履行合同义务时应支付给卖方的款项。</w:t>
      </w:r>
    </w:p>
    <w:p>
      <w:pPr>
        <w:pStyle w:val="18"/>
        <w:spacing w:line="400" w:lineRule="atLeast"/>
        <w:rPr>
          <w:rFonts w:ascii="Times New Roman" w:hAnsi="Times New Roman"/>
          <w:sz w:val="24"/>
        </w:rPr>
      </w:pPr>
      <w:r>
        <w:rPr>
          <w:rFonts w:ascii="Times New Roman" w:hAnsi="Times New Roman"/>
          <w:sz w:val="24"/>
        </w:rPr>
        <w:t xml:space="preserve"> 1.3“货物”系指卖方按合同要求，须向买方提供的一切设备、机械、仪器仪表、备品备件、软件、工具、手册及其它技术资料和其它材料。</w:t>
      </w:r>
    </w:p>
    <w:p>
      <w:pPr>
        <w:pStyle w:val="18"/>
        <w:spacing w:line="400" w:lineRule="atLeast"/>
        <w:rPr>
          <w:rFonts w:ascii="Times New Roman" w:hAnsi="Times New Roman"/>
          <w:sz w:val="24"/>
        </w:rPr>
      </w:pPr>
      <w:r>
        <w:rPr>
          <w:rFonts w:ascii="Times New Roman" w:hAnsi="Times New Roman"/>
          <w:sz w:val="24"/>
        </w:rPr>
        <w:t xml:space="preserve"> 1.4“服务”系指合同规定卖方须承担的安装、调试、技术协助、校准、培训以及其他类似的义务。</w:t>
      </w:r>
    </w:p>
    <w:p>
      <w:pPr>
        <w:pStyle w:val="18"/>
        <w:spacing w:line="400" w:lineRule="atLeast"/>
        <w:rPr>
          <w:rFonts w:ascii="Times New Roman" w:hAnsi="Times New Roman"/>
          <w:sz w:val="24"/>
        </w:rPr>
      </w:pPr>
      <w:r>
        <w:rPr>
          <w:rFonts w:ascii="Times New Roman" w:hAnsi="Times New Roman"/>
          <w:sz w:val="24"/>
        </w:rPr>
        <w:t xml:space="preserve"> 1.5“买方”系指通过招标采购，接受合同货物及服务的企业或单位。</w:t>
      </w:r>
    </w:p>
    <w:p>
      <w:pPr>
        <w:pStyle w:val="18"/>
        <w:spacing w:line="400" w:lineRule="atLeast"/>
        <w:rPr>
          <w:rFonts w:ascii="Times New Roman" w:hAnsi="Times New Roman"/>
          <w:sz w:val="24"/>
        </w:rPr>
      </w:pPr>
      <w:r>
        <w:rPr>
          <w:rFonts w:ascii="Times New Roman" w:hAnsi="Times New Roman"/>
          <w:sz w:val="24"/>
        </w:rPr>
        <w:t xml:space="preserve"> 1.6“卖方”系指中标后提供合同货物和服务的经济实体。</w:t>
      </w:r>
    </w:p>
    <w:p>
      <w:pPr>
        <w:pStyle w:val="18"/>
        <w:spacing w:line="400" w:lineRule="atLeast"/>
        <w:rPr>
          <w:rFonts w:ascii="Times New Roman" w:hAnsi="Times New Roman"/>
          <w:sz w:val="24"/>
        </w:rPr>
      </w:pPr>
      <w:r>
        <w:rPr>
          <w:rFonts w:ascii="Times New Roman" w:hAnsi="Times New Roman"/>
          <w:sz w:val="24"/>
        </w:rPr>
        <w:t xml:space="preserve"> 1.7“现场”系指将要进行货物安装和运转的地点。</w:t>
      </w:r>
    </w:p>
    <w:p>
      <w:pPr>
        <w:pStyle w:val="18"/>
        <w:spacing w:line="400" w:lineRule="atLeast"/>
        <w:rPr>
          <w:rFonts w:ascii="Times New Roman" w:hAnsi="Times New Roman"/>
          <w:sz w:val="24"/>
        </w:rPr>
      </w:pPr>
      <w:r>
        <w:rPr>
          <w:rFonts w:ascii="Times New Roman" w:hAnsi="Times New Roman"/>
          <w:sz w:val="24"/>
        </w:rPr>
        <w:t xml:space="preserve"> 1.8“验收”系指买方依据技术规格规定接受合同货物所依据的程序和条件。</w:t>
      </w:r>
    </w:p>
    <w:p>
      <w:pPr>
        <w:pStyle w:val="18"/>
        <w:spacing w:line="400" w:lineRule="atLeast"/>
        <w:rPr>
          <w:rFonts w:ascii="Times New Roman" w:hAnsi="Times New Roman"/>
          <w:sz w:val="24"/>
        </w:rPr>
      </w:pPr>
      <w:r>
        <w:rPr>
          <w:rFonts w:ascii="Times New Roman" w:hAnsi="Times New Roman"/>
          <w:sz w:val="24"/>
        </w:rPr>
        <w:t>2．适用范围</w:t>
      </w:r>
    </w:p>
    <w:p>
      <w:pPr>
        <w:pStyle w:val="18"/>
        <w:spacing w:line="400" w:lineRule="atLeast"/>
        <w:rPr>
          <w:rFonts w:ascii="Times New Roman" w:hAnsi="Times New Roman"/>
          <w:sz w:val="24"/>
        </w:rPr>
      </w:pPr>
      <w:r>
        <w:rPr>
          <w:rFonts w:ascii="Times New Roman" w:hAnsi="Times New Roman"/>
          <w:sz w:val="24"/>
        </w:rPr>
        <w:t xml:space="preserve"> 2.1本合同条款适用于本次招标活动。</w:t>
      </w:r>
    </w:p>
    <w:p>
      <w:pPr>
        <w:pStyle w:val="18"/>
        <w:spacing w:line="400" w:lineRule="atLeast"/>
        <w:rPr>
          <w:rFonts w:ascii="Times New Roman" w:hAnsi="Times New Roman"/>
          <w:sz w:val="24"/>
        </w:rPr>
      </w:pPr>
      <w:r>
        <w:rPr>
          <w:rFonts w:ascii="Times New Roman" w:hAnsi="Times New Roman"/>
          <w:sz w:val="24"/>
        </w:rPr>
        <w:t>3．原产地</w:t>
      </w:r>
    </w:p>
    <w:p>
      <w:pPr>
        <w:pStyle w:val="18"/>
        <w:spacing w:line="400" w:lineRule="atLeast"/>
        <w:rPr>
          <w:rFonts w:ascii="Times New Roman" w:hAnsi="Times New Roman"/>
          <w:sz w:val="24"/>
        </w:rPr>
      </w:pPr>
      <w:r>
        <w:rPr>
          <w:rFonts w:ascii="Times New Roman" w:hAnsi="Times New Roman"/>
          <w:sz w:val="24"/>
        </w:rPr>
        <w:t xml:space="preserve"> 3.1原产地系指货物的生产地，或提供辅助服务的来源地。</w:t>
      </w:r>
    </w:p>
    <w:p>
      <w:pPr>
        <w:pStyle w:val="18"/>
        <w:spacing w:line="400" w:lineRule="atLeast"/>
        <w:rPr>
          <w:rFonts w:ascii="Times New Roman" w:hAnsi="Times New Roman"/>
          <w:sz w:val="24"/>
        </w:rPr>
      </w:pPr>
      <w:r>
        <w:rPr>
          <w:rFonts w:ascii="Times New Roman" w:hAnsi="Times New Roman"/>
          <w:sz w:val="24"/>
        </w:rPr>
        <w:t>4．技术规格和标准</w:t>
      </w:r>
    </w:p>
    <w:p>
      <w:pPr>
        <w:pStyle w:val="18"/>
        <w:spacing w:line="400" w:lineRule="atLeast"/>
        <w:rPr>
          <w:rFonts w:ascii="Times New Roman" w:hAnsi="Times New Roman"/>
          <w:sz w:val="24"/>
        </w:rPr>
      </w:pPr>
      <w:r>
        <w:rPr>
          <w:rFonts w:ascii="Times New Roman" w:hAnsi="Times New Roman"/>
          <w:sz w:val="24"/>
        </w:rPr>
        <w:t xml:space="preserve"> 4.1本合同项下所供货物的技术规格应与本招标文件技术规格规定的标准相一致。若技术规格中无相应规定，货物则应符合相应的国家标准或有关权威部门最新颁布的相应的正式标准。</w:t>
      </w:r>
    </w:p>
    <w:p>
      <w:pPr>
        <w:pStyle w:val="18"/>
        <w:spacing w:line="400" w:lineRule="atLeast"/>
        <w:rPr>
          <w:rFonts w:ascii="Times New Roman" w:hAnsi="Times New Roman"/>
          <w:sz w:val="24"/>
        </w:rPr>
      </w:pPr>
      <w:r>
        <w:rPr>
          <w:rFonts w:ascii="Times New Roman" w:hAnsi="Times New Roman"/>
          <w:sz w:val="24"/>
        </w:rPr>
        <w:t>5．专利权</w:t>
      </w:r>
    </w:p>
    <w:p>
      <w:pPr>
        <w:pStyle w:val="18"/>
        <w:spacing w:line="400" w:lineRule="atLeast"/>
        <w:rPr>
          <w:rFonts w:ascii="Times New Roman" w:hAnsi="Times New Roman"/>
          <w:sz w:val="24"/>
        </w:rPr>
      </w:pPr>
      <w:r>
        <w:rPr>
          <w:rFonts w:ascii="Times New Roman" w:hAnsi="Times New Roman"/>
          <w:sz w:val="24"/>
        </w:rPr>
        <w:t xml:space="preserve"> 5.1卖方须保障买方在使用其货物、服务及其任何部分不受到第三方关于侵犯专利权、商标权或工业设计权的指控。任何第三方如果提出侵权指控，卖方须与第三方交涉并承担由此而引起的一切法律责任和费用。</w:t>
      </w:r>
    </w:p>
    <w:p>
      <w:pPr>
        <w:pStyle w:val="18"/>
        <w:spacing w:line="400" w:lineRule="atLeast"/>
        <w:rPr>
          <w:rFonts w:ascii="Times New Roman" w:hAnsi="Times New Roman"/>
          <w:sz w:val="24"/>
        </w:rPr>
      </w:pPr>
      <w:r>
        <w:rPr>
          <w:rFonts w:ascii="Times New Roman" w:hAnsi="Times New Roman"/>
          <w:sz w:val="24"/>
        </w:rPr>
        <w:t>6．包装</w:t>
      </w:r>
    </w:p>
    <w:p>
      <w:pPr>
        <w:pStyle w:val="18"/>
        <w:spacing w:line="400" w:lineRule="atLeast"/>
        <w:rPr>
          <w:rFonts w:ascii="Times New Roman" w:hAnsi="Times New Roman"/>
          <w:sz w:val="24"/>
        </w:rPr>
      </w:pPr>
      <w:r>
        <w:rPr>
          <w:rFonts w:ascii="Times New Roman" w:hAnsi="Times New Roman"/>
          <w:sz w:val="24"/>
        </w:rPr>
        <w:t xml:space="preserve"> 6.1除非本合同另有规定，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的任何损失的责任或费用。</w:t>
      </w:r>
    </w:p>
    <w:p>
      <w:pPr>
        <w:pStyle w:val="18"/>
        <w:spacing w:line="400" w:lineRule="atLeast"/>
        <w:rPr>
          <w:rFonts w:ascii="Times New Roman" w:hAnsi="Times New Roman"/>
          <w:sz w:val="24"/>
        </w:rPr>
      </w:pPr>
      <w:r>
        <w:rPr>
          <w:rFonts w:ascii="Times New Roman" w:hAnsi="Times New Roman"/>
          <w:sz w:val="24"/>
        </w:rPr>
        <w:t xml:space="preserve"> 6.2每件包装应附有详细装箱单和质量证书各两套，一套在包装箱里，一套在包装箱外。7．运输标记 7.1卖方应在每一包装箱邻接的四个侧面用不易褪色的油漆以醒目的中文印刷字体标明以下各项： </w:t>
      </w:r>
    </w:p>
    <w:p>
      <w:pPr>
        <w:pStyle w:val="18"/>
        <w:spacing w:line="400" w:lineRule="atLeast"/>
        <w:ind w:firstLine="240" w:firstLineChars="100"/>
        <w:rPr>
          <w:rFonts w:ascii="Times New Roman" w:hAnsi="Times New Roman"/>
          <w:sz w:val="24"/>
        </w:rPr>
      </w:pPr>
      <w:r>
        <w:rPr>
          <w:rFonts w:ascii="Times New Roman" w:hAnsi="Times New Roman"/>
          <w:sz w:val="24"/>
        </w:rPr>
        <w:t>(1)收货人</w:t>
      </w:r>
    </w:p>
    <w:p>
      <w:pPr>
        <w:pStyle w:val="18"/>
        <w:spacing w:line="400" w:lineRule="atLeast"/>
        <w:rPr>
          <w:rFonts w:ascii="Times New Roman" w:hAnsi="Times New Roman"/>
          <w:sz w:val="24"/>
        </w:rPr>
      </w:pPr>
      <w:r>
        <w:rPr>
          <w:rFonts w:ascii="Times New Roman" w:hAnsi="Times New Roman"/>
          <w:sz w:val="24"/>
        </w:rPr>
        <w:t xml:space="preserve">  (2)合同号  </w:t>
      </w:r>
    </w:p>
    <w:p>
      <w:pPr>
        <w:pStyle w:val="18"/>
        <w:spacing w:line="400" w:lineRule="atLeast"/>
        <w:ind w:firstLine="240" w:firstLineChars="100"/>
        <w:rPr>
          <w:rFonts w:ascii="Times New Roman" w:hAnsi="Times New Roman"/>
          <w:sz w:val="24"/>
        </w:rPr>
      </w:pPr>
      <w:r>
        <w:rPr>
          <w:rFonts w:ascii="Times New Roman" w:hAnsi="Times New Roman"/>
          <w:sz w:val="24"/>
        </w:rPr>
        <w:t>(3)收货人代号</w:t>
      </w:r>
    </w:p>
    <w:p>
      <w:pPr>
        <w:pStyle w:val="18"/>
        <w:spacing w:line="400" w:lineRule="atLeast"/>
        <w:ind w:firstLine="240" w:firstLineChars="100"/>
        <w:rPr>
          <w:rFonts w:ascii="Times New Roman" w:hAnsi="Times New Roman"/>
          <w:sz w:val="24"/>
        </w:rPr>
      </w:pPr>
      <w:r>
        <w:rPr>
          <w:rFonts w:ascii="Times New Roman" w:hAnsi="Times New Roman"/>
          <w:sz w:val="24"/>
        </w:rPr>
        <w:t>(4)发货单位</w:t>
      </w:r>
    </w:p>
    <w:p>
      <w:pPr>
        <w:pStyle w:val="18"/>
        <w:spacing w:line="400" w:lineRule="atLeast"/>
        <w:ind w:firstLine="240" w:firstLineChars="100"/>
        <w:rPr>
          <w:rFonts w:ascii="Times New Roman" w:hAnsi="Times New Roman"/>
          <w:sz w:val="24"/>
        </w:rPr>
      </w:pPr>
      <w:r>
        <w:rPr>
          <w:rFonts w:ascii="Times New Roman" w:hAnsi="Times New Roman"/>
          <w:sz w:val="24"/>
        </w:rPr>
        <w:t>(5)目的地</w:t>
      </w:r>
    </w:p>
    <w:p>
      <w:pPr>
        <w:pStyle w:val="18"/>
        <w:spacing w:line="400" w:lineRule="atLeast"/>
        <w:rPr>
          <w:rFonts w:ascii="Times New Roman" w:hAnsi="Times New Roman"/>
          <w:sz w:val="24"/>
        </w:rPr>
      </w:pPr>
      <w:r>
        <w:rPr>
          <w:rFonts w:ascii="Times New Roman" w:hAnsi="Times New Roman"/>
          <w:sz w:val="24"/>
        </w:rPr>
        <w:t xml:space="preserve">  (6)货物的名称、品目号、箱号</w:t>
      </w:r>
    </w:p>
    <w:p>
      <w:pPr>
        <w:pStyle w:val="18"/>
        <w:spacing w:line="400" w:lineRule="atLeast"/>
        <w:rPr>
          <w:rFonts w:ascii="Times New Roman" w:hAnsi="Times New Roman"/>
          <w:sz w:val="24"/>
        </w:rPr>
      </w:pPr>
      <w:r>
        <w:rPr>
          <w:rFonts w:ascii="Times New Roman" w:hAnsi="Times New Roman"/>
          <w:sz w:val="24"/>
        </w:rPr>
        <w:t xml:space="preserve">  (7)出厂或装箱日期</w:t>
      </w:r>
    </w:p>
    <w:p>
      <w:pPr>
        <w:pStyle w:val="18"/>
        <w:spacing w:line="400" w:lineRule="atLeast"/>
        <w:rPr>
          <w:rFonts w:ascii="Times New Roman" w:hAnsi="Times New Roman"/>
          <w:sz w:val="24"/>
        </w:rPr>
      </w:pPr>
      <w:r>
        <w:rPr>
          <w:rFonts w:ascii="Times New Roman" w:hAnsi="Times New Roman"/>
          <w:sz w:val="24"/>
        </w:rPr>
        <w:t xml:space="preserve">  (8)毛重／净重(公斤)</w:t>
      </w:r>
    </w:p>
    <w:p>
      <w:pPr>
        <w:pStyle w:val="18"/>
        <w:spacing w:line="400" w:lineRule="atLeast"/>
        <w:rPr>
          <w:rFonts w:ascii="Times New Roman" w:hAnsi="Times New Roman"/>
          <w:sz w:val="24"/>
        </w:rPr>
      </w:pPr>
      <w:r>
        <w:rPr>
          <w:rFonts w:ascii="Times New Roman" w:hAnsi="Times New Roman"/>
          <w:sz w:val="24"/>
        </w:rPr>
        <w:t xml:space="preserve">  (9)尺寸(长x宽x高，以厘米计)</w:t>
      </w:r>
    </w:p>
    <w:p>
      <w:pPr>
        <w:pStyle w:val="18"/>
        <w:spacing w:line="400" w:lineRule="atLeast"/>
        <w:rPr>
          <w:rFonts w:ascii="Times New Roman" w:hAnsi="Times New Roman"/>
          <w:sz w:val="24"/>
        </w:rPr>
      </w:pPr>
      <w:r>
        <w:rPr>
          <w:rFonts w:ascii="Times New Roman" w:hAnsi="Times New Roman"/>
          <w:sz w:val="24"/>
        </w:rPr>
        <w:t xml:space="preserve"> 7.2凡重达两吨以上的包装，卖方应在每件包装箱的两侧用标志标明“重心”和“吊装点”，并根据货物的特点和运输的不同要求，以清晰字样在包装上注明“小心轻放”、“勿倒置”、“防潮”等适当的标志，以便装卸和搬运。</w:t>
      </w:r>
    </w:p>
    <w:p>
      <w:pPr>
        <w:pStyle w:val="18"/>
        <w:spacing w:line="400" w:lineRule="atLeast"/>
        <w:rPr>
          <w:rFonts w:ascii="Times New Roman" w:hAnsi="Times New Roman"/>
          <w:sz w:val="24"/>
        </w:rPr>
      </w:pPr>
      <w:r>
        <w:rPr>
          <w:rFonts w:ascii="Times New Roman" w:hAnsi="Times New Roman"/>
          <w:sz w:val="24"/>
        </w:rPr>
        <w:t>8.卖方的交货价合同</w:t>
      </w:r>
    </w:p>
    <w:p>
      <w:pPr>
        <w:pStyle w:val="18"/>
        <w:spacing w:line="400" w:lineRule="atLeast"/>
        <w:rPr>
          <w:rFonts w:ascii="Times New Roman" w:hAnsi="Times New Roman"/>
          <w:sz w:val="24"/>
        </w:rPr>
      </w:pPr>
      <w:r>
        <w:rPr>
          <w:rFonts w:ascii="Times New Roman" w:hAnsi="Times New Roman"/>
          <w:sz w:val="24"/>
        </w:rPr>
        <w:t xml:space="preserve"> 8.1卖方应在合同规定的交货期前6天以电报、传真或电传通知买方合同号、货物名称、数量、包装件数、总毛重、总体积(立方米)和备妥待运日期。同时，卖方应以挂号信寄给买方详细交货清单一式五份，包括合同号、货物名称、规格、数量、总毛重、总体积(立方米)和每一包装箱的尺寸(长x宽x高)、单价和总价、备妥待运日期，以及货物在运输和仓储中的特殊要求和注意事项。</w:t>
      </w:r>
    </w:p>
    <w:p>
      <w:pPr>
        <w:pStyle w:val="18"/>
        <w:spacing w:line="400" w:lineRule="atLeast"/>
        <w:rPr>
          <w:rFonts w:ascii="Times New Roman" w:hAnsi="Times New Roman"/>
          <w:sz w:val="24"/>
        </w:rPr>
      </w:pPr>
      <w:r>
        <w:rPr>
          <w:rFonts w:ascii="Times New Roman" w:hAnsi="Times New Roman"/>
          <w:sz w:val="24"/>
        </w:rPr>
        <w:t xml:space="preserve"> 8.2在目的地交货价合同条件下，由于卖方延误了以电报、传真或电传通知买方，由此而有可能造成的一切损失由卖方承担。</w:t>
      </w:r>
    </w:p>
    <w:p>
      <w:pPr>
        <w:pStyle w:val="18"/>
        <w:spacing w:line="400" w:lineRule="atLeast"/>
        <w:rPr>
          <w:rFonts w:ascii="Times New Roman" w:hAnsi="Times New Roman"/>
          <w:sz w:val="24"/>
        </w:rPr>
      </w:pPr>
      <w:r>
        <w:rPr>
          <w:rFonts w:ascii="Times New Roman" w:hAnsi="Times New Roman"/>
          <w:sz w:val="24"/>
        </w:rPr>
        <w:t xml:space="preserve"> 8.3卖方负责安排自发运地至买方现场的运输和安装、调试及技术监督部门第一次强制性检验费用，均包含在合同总价中。</w:t>
      </w:r>
    </w:p>
    <w:p>
      <w:pPr>
        <w:pStyle w:val="18"/>
        <w:spacing w:line="400" w:lineRule="atLeast"/>
        <w:rPr>
          <w:rFonts w:ascii="Times New Roman" w:hAnsi="Times New Roman"/>
          <w:sz w:val="24"/>
        </w:rPr>
      </w:pPr>
      <w:r>
        <w:rPr>
          <w:rFonts w:ascii="Times New Roman" w:hAnsi="Times New Roman"/>
          <w:sz w:val="24"/>
        </w:rPr>
        <w:t xml:space="preserve"> 8.4交货日期以货物到达买方现场为准。</w:t>
      </w:r>
    </w:p>
    <w:p>
      <w:pPr>
        <w:pStyle w:val="18"/>
        <w:spacing w:line="400" w:lineRule="atLeast"/>
        <w:rPr>
          <w:rFonts w:ascii="Times New Roman" w:hAnsi="Times New Roman"/>
          <w:sz w:val="24"/>
        </w:rPr>
      </w:pPr>
      <w:r>
        <w:rPr>
          <w:rFonts w:ascii="Times New Roman" w:hAnsi="Times New Roman"/>
          <w:sz w:val="24"/>
        </w:rPr>
        <w:t xml:space="preserve"> 8.5卖方装运的货物必须符合合同规定的货物名称、型号规格、数量或重量，否则，一切后果均由卖方承担。</w:t>
      </w:r>
    </w:p>
    <w:p>
      <w:pPr>
        <w:pStyle w:val="18"/>
        <w:spacing w:line="400" w:lineRule="atLeast"/>
        <w:rPr>
          <w:rFonts w:ascii="Times New Roman" w:hAnsi="Times New Roman"/>
          <w:sz w:val="24"/>
        </w:rPr>
      </w:pPr>
      <w:r>
        <w:rPr>
          <w:rFonts w:ascii="Times New Roman" w:hAnsi="Times New Roman"/>
          <w:sz w:val="24"/>
        </w:rPr>
        <w:t>9．装运通知</w:t>
      </w:r>
    </w:p>
    <w:p>
      <w:pPr>
        <w:pStyle w:val="18"/>
        <w:spacing w:line="400" w:lineRule="atLeast"/>
        <w:rPr>
          <w:rFonts w:ascii="Times New Roman" w:hAnsi="Times New Roman"/>
          <w:sz w:val="24"/>
        </w:rPr>
      </w:pPr>
      <w:r>
        <w:rPr>
          <w:rFonts w:ascii="Times New Roman" w:hAnsi="Times New Roman"/>
          <w:sz w:val="24"/>
        </w:rPr>
        <w:t xml:space="preserve"> 9.1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pPr>
        <w:pStyle w:val="18"/>
        <w:spacing w:line="400" w:lineRule="atLeast"/>
        <w:rPr>
          <w:rFonts w:ascii="Times New Roman" w:hAnsi="Times New Roman"/>
          <w:sz w:val="24"/>
        </w:rPr>
      </w:pPr>
      <w:r>
        <w:rPr>
          <w:rFonts w:ascii="Times New Roman" w:hAnsi="Times New Roman"/>
          <w:sz w:val="24"/>
        </w:rPr>
        <w:t>10．保险</w:t>
      </w:r>
    </w:p>
    <w:p>
      <w:pPr>
        <w:spacing w:line="400" w:lineRule="atLeast"/>
        <w:ind w:firstLine="101"/>
        <w:rPr>
          <w:sz w:val="24"/>
        </w:rPr>
      </w:pPr>
      <w:r>
        <w:rPr>
          <w:sz w:val="24"/>
        </w:rPr>
        <w:t>10.1在国内交货价合同条件下，由买方在货物装运前或接到装运通知后办理保险。或由买卖双方具体商定。</w:t>
      </w:r>
    </w:p>
    <w:p>
      <w:pPr>
        <w:pStyle w:val="18"/>
        <w:numPr>
          <w:ilvl w:val="0"/>
          <w:numId w:val="7"/>
        </w:numPr>
        <w:spacing w:line="400" w:lineRule="atLeast"/>
        <w:rPr>
          <w:rFonts w:ascii="Times New Roman" w:hAnsi="Times New Roman"/>
          <w:sz w:val="24"/>
        </w:rPr>
      </w:pPr>
      <w:r>
        <w:rPr>
          <w:rFonts w:ascii="Times New Roman" w:hAnsi="Times New Roman"/>
          <w:sz w:val="24"/>
        </w:rPr>
        <w:t xml:space="preserve">支付 </w:t>
      </w:r>
    </w:p>
    <w:p>
      <w:pPr>
        <w:pStyle w:val="18"/>
        <w:spacing w:line="400" w:lineRule="atLeast"/>
        <w:ind w:firstLine="240" w:firstLineChars="100"/>
        <w:rPr>
          <w:rFonts w:ascii="Times New Roman" w:hAnsi="Times New Roman"/>
          <w:sz w:val="24"/>
        </w:rPr>
      </w:pPr>
      <w:r>
        <w:rPr>
          <w:rFonts w:ascii="Times New Roman" w:hAnsi="Times New Roman"/>
          <w:sz w:val="24"/>
        </w:rPr>
        <w:t>11.1除另有规定外，可采用下列付款之方式一种付款：    (1)转帐支票；     (2)电汇付款。</w:t>
      </w:r>
    </w:p>
    <w:p>
      <w:pPr>
        <w:pStyle w:val="18"/>
        <w:spacing w:line="400" w:lineRule="atLeast"/>
        <w:ind w:firstLine="240" w:firstLineChars="100"/>
        <w:rPr>
          <w:rFonts w:ascii="Times New Roman" w:hAnsi="Times New Roman"/>
          <w:sz w:val="24"/>
        </w:rPr>
      </w:pPr>
      <w:r>
        <w:rPr>
          <w:rFonts w:ascii="Times New Roman" w:hAnsi="Times New Roman"/>
          <w:sz w:val="24"/>
        </w:rPr>
        <w:t>11.2 付款方式见合同特殊条款。</w:t>
      </w:r>
    </w:p>
    <w:p>
      <w:pPr>
        <w:pStyle w:val="18"/>
        <w:spacing w:line="400" w:lineRule="atLeast"/>
        <w:ind w:firstLine="240" w:firstLineChars="100"/>
        <w:rPr>
          <w:rFonts w:ascii="Times New Roman" w:hAnsi="Times New Roman"/>
          <w:sz w:val="24"/>
        </w:rPr>
      </w:pPr>
      <w:r>
        <w:rPr>
          <w:rFonts w:ascii="Times New Roman" w:hAnsi="Times New Roman"/>
          <w:sz w:val="24"/>
        </w:rPr>
        <w:t xml:space="preserve">12．技术资料 </w:t>
      </w:r>
    </w:p>
    <w:p>
      <w:pPr>
        <w:pStyle w:val="18"/>
        <w:spacing w:line="400" w:lineRule="atLeast"/>
        <w:ind w:firstLine="240" w:firstLineChars="100"/>
        <w:rPr>
          <w:rFonts w:ascii="Times New Roman" w:hAnsi="Times New Roman"/>
          <w:sz w:val="24"/>
        </w:rPr>
      </w:pPr>
      <w:r>
        <w:rPr>
          <w:rFonts w:ascii="Times New Roman" w:hAnsi="Times New Roman"/>
          <w:sz w:val="24"/>
        </w:rPr>
        <w:t>12.1除招标文件的技术规范书中另有规定的外，卖方应准备与合同设备或仪器相符中文技术资料，并于合同生效后15天内寄送到买方，例如：样本、图纸、操作手册、使用说明、维修指南或服务手册等。如本条款所述资料寄送不完整或丢失，卖方应在收到买方通知后立即免费另寄。</w:t>
      </w:r>
    </w:p>
    <w:p>
      <w:pPr>
        <w:pStyle w:val="18"/>
        <w:spacing w:line="400" w:lineRule="atLeast"/>
        <w:rPr>
          <w:rFonts w:ascii="Times New Roman" w:hAnsi="Times New Roman"/>
          <w:sz w:val="24"/>
        </w:rPr>
      </w:pPr>
      <w:r>
        <w:rPr>
          <w:rFonts w:ascii="Times New Roman" w:hAnsi="Times New Roman"/>
          <w:sz w:val="24"/>
        </w:rPr>
        <w:t xml:space="preserve"> 12.2上述一套完整的资料应包装好随每批货物一起发运。</w:t>
      </w:r>
    </w:p>
    <w:p>
      <w:pPr>
        <w:pStyle w:val="18"/>
        <w:spacing w:line="400" w:lineRule="atLeast"/>
        <w:rPr>
          <w:rFonts w:ascii="Times New Roman" w:hAnsi="Times New Roman"/>
          <w:sz w:val="24"/>
        </w:rPr>
      </w:pPr>
      <w:r>
        <w:rPr>
          <w:rFonts w:ascii="Times New Roman" w:hAnsi="Times New Roman"/>
          <w:sz w:val="24"/>
        </w:rPr>
        <w:t>13．价格</w:t>
      </w:r>
    </w:p>
    <w:p>
      <w:pPr>
        <w:pStyle w:val="18"/>
        <w:spacing w:line="400" w:lineRule="atLeast"/>
        <w:rPr>
          <w:rFonts w:ascii="Times New Roman" w:hAnsi="Times New Roman"/>
          <w:sz w:val="24"/>
        </w:rPr>
      </w:pPr>
      <w:r>
        <w:rPr>
          <w:rFonts w:ascii="Times New Roman" w:hAnsi="Times New Roman"/>
          <w:sz w:val="24"/>
        </w:rPr>
        <w:t xml:space="preserve"> 13.1除非合同中另有规定，卖方为其所供货物和服务而要求买方支付的金额应与其投标报价一致。</w:t>
      </w:r>
    </w:p>
    <w:p>
      <w:pPr>
        <w:pStyle w:val="18"/>
        <w:spacing w:line="400" w:lineRule="atLeast"/>
        <w:rPr>
          <w:rFonts w:ascii="Times New Roman" w:hAnsi="Times New Roman"/>
          <w:sz w:val="24"/>
        </w:rPr>
      </w:pPr>
      <w:r>
        <w:rPr>
          <w:rFonts w:ascii="Times New Roman" w:hAnsi="Times New Roman"/>
          <w:sz w:val="24"/>
        </w:rPr>
        <w:t>14．质量保证</w:t>
      </w:r>
    </w:p>
    <w:p>
      <w:pPr>
        <w:pStyle w:val="18"/>
        <w:spacing w:line="400" w:lineRule="atLeast"/>
        <w:rPr>
          <w:rFonts w:ascii="Times New Roman" w:hAnsi="Times New Roman"/>
          <w:sz w:val="24"/>
        </w:rPr>
      </w:pPr>
      <w:r>
        <w:rPr>
          <w:rFonts w:ascii="Times New Roman" w:hAnsi="Times New Roman"/>
          <w:sz w:val="24"/>
        </w:rPr>
        <w:t xml:space="preserve"> 14.1卖方应保证其提供的货物是全新的、未使用过的，采用的是最佳材料和第一流的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外，出现上述情况，卖方应在收到买方通知后10天内，免费负责修理或更换有缺陷的零部件或整机。对造成的损失买方保留索赔的权利。</w:t>
      </w:r>
    </w:p>
    <w:p>
      <w:pPr>
        <w:pStyle w:val="18"/>
        <w:spacing w:line="400" w:lineRule="atLeast"/>
        <w:rPr>
          <w:rFonts w:ascii="Times New Roman" w:hAnsi="Times New Roman"/>
          <w:sz w:val="24"/>
        </w:rPr>
      </w:pPr>
      <w:r>
        <w:rPr>
          <w:rFonts w:ascii="Times New Roman" w:hAnsi="Times New Roman"/>
          <w:sz w:val="24"/>
        </w:rPr>
        <w:t xml:space="preserve"> 14.2除非合同中另有规定，合同项下货物的质量保证期为货物正式验收后12个月。</w:t>
      </w:r>
    </w:p>
    <w:p>
      <w:pPr>
        <w:pStyle w:val="18"/>
        <w:spacing w:line="400" w:lineRule="atLeast"/>
        <w:rPr>
          <w:rFonts w:ascii="Times New Roman" w:hAnsi="Times New Roman"/>
          <w:sz w:val="24"/>
        </w:rPr>
      </w:pPr>
      <w:r>
        <w:rPr>
          <w:rFonts w:ascii="Times New Roman" w:hAnsi="Times New Roman"/>
          <w:sz w:val="24"/>
        </w:rPr>
        <w:t>15．检验</w:t>
      </w:r>
    </w:p>
    <w:p>
      <w:pPr>
        <w:pStyle w:val="18"/>
        <w:spacing w:line="400" w:lineRule="atLeast"/>
        <w:rPr>
          <w:rFonts w:ascii="Times New Roman" w:hAnsi="Times New Roman"/>
          <w:sz w:val="24"/>
        </w:rPr>
      </w:pPr>
      <w:r>
        <w:rPr>
          <w:rFonts w:ascii="Times New Roman" w:hAnsi="Times New Roman"/>
          <w:sz w:val="24"/>
        </w:rPr>
        <w:t xml:space="preserve"> 15.1卖方应让制造商在发货之前，对货物的有关内在和外观质量、规格、性能、数量和重量进行准确的和全面的检验，并出具其货物符合合同规定的质量证书。该证书将作为提交给议付银行付款单据的组成部分，但不应视为是对质量、规格、性能、数量或重量的最终定论。质量证书应附有写明制造商检验的细节和结果的说明。</w:t>
      </w:r>
    </w:p>
    <w:p>
      <w:pPr>
        <w:pStyle w:val="18"/>
        <w:spacing w:line="400" w:lineRule="atLeast"/>
        <w:rPr>
          <w:rFonts w:ascii="Times New Roman" w:hAnsi="Times New Roman"/>
          <w:sz w:val="24"/>
        </w:rPr>
      </w:pPr>
      <w:r>
        <w:rPr>
          <w:rFonts w:ascii="Times New Roman" w:hAnsi="Times New Roman"/>
          <w:sz w:val="24"/>
        </w:rPr>
        <w:t xml:space="preserve"> 15.2在合同规定的质量保证期内，如果发现货物的质量或规格与合同规定不符，或证明货物有缺陷，包括潜在的缺陷或使用不合适的原材料等，买方应申请商检局检验，并有权根据商检证书及质量保证条款立即向卖方提出索赔。</w:t>
      </w:r>
    </w:p>
    <w:p>
      <w:pPr>
        <w:pStyle w:val="18"/>
        <w:spacing w:line="400" w:lineRule="atLeast"/>
        <w:rPr>
          <w:rFonts w:ascii="Times New Roman" w:hAnsi="Times New Roman"/>
          <w:sz w:val="24"/>
        </w:rPr>
      </w:pPr>
      <w:r>
        <w:rPr>
          <w:rFonts w:ascii="Times New Roman" w:hAnsi="Times New Roman"/>
          <w:sz w:val="24"/>
        </w:rPr>
        <w:t>16．索赔</w:t>
      </w:r>
    </w:p>
    <w:p>
      <w:pPr>
        <w:pStyle w:val="18"/>
        <w:spacing w:line="400" w:lineRule="atLeast"/>
        <w:rPr>
          <w:rFonts w:ascii="Times New Roman" w:hAnsi="Times New Roman"/>
          <w:sz w:val="24"/>
        </w:rPr>
      </w:pPr>
      <w:r>
        <w:rPr>
          <w:rFonts w:ascii="Times New Roman" w:hAnsi="Times New Roman"/>
          <w:sz w:val="24"/>
        </w:rPr>
        <w:t xml:space="preserve"> 16.1卖方对货物与合同要求不符负有责任，并且买方已于规定的检验、安装、调试和验收测试期限内和质量保证期内提出索赔，卖方应按买方同意的下述一种或多种方法解决索赔事宜。</w:t>
      </w:r>
    </w:p>
    <w:p>
      <w:pPr>
        <w:pStyle w:val="18"/>
        <w:spacing w:line="400" w:lineRule="atLeast"/>
        <w:rPr>
          <w:rFonts w:ascii="Times New Roman" w:hAnsi="Times New Roman"/>
          <w:sz w:val="24"/>
        </w:rPr>
      </w:pPr>
      <w:r>
        <w:rPr>
          <w:rFonts w:ascii="Times New Roman" w:hAnsi="Times New Roman"/>
          <w:sz w:val="24"/>
        </w:rPr>
        <w:t xml:space="preserve">    (1)卖方同意买方拒收货物并把被拒收货物的金额以合同规定的同类货币付给买方，卖方负担发生的一切损失和费用，包括利息、银行费用、运输和保险费、检验费、仓储和装卸费以及为保管和保护被拒绝货物所需要的其它必要费用。</w:t>
      </w:r>
    </w:p>
    <w:p>
      <w:pPr>
        <w:pStyle w:val="18"/>
        <w:spacing w:line="400" w:lineRule="atLeast"/>
        <w:rPr>
          <w:rFonts w:ascii="Times New Roman" w:hAnsi="Times New Roman"/>
          <w:sz w:val="24"/>
        </w:rPr>
      </w:pPr>
      <w:r>
        <w:rPr>
          <w:rFonts w:ascii="Times New Roman" w:hAnsi="Times New Roman"/>
          <w:sz w:val="24"/>
        </w:rPr>
        <w:t xml:space="preserve">   (2)根据货物的疵劣和受损程度以及买方遭受损失的金额，经双方同意降低货物价格。</w:t>
      </w:r>
    </w:p>
    <w:p>
      <w:pPr>
        <w:pStyle w:val="18"/>
        <w:spacing w:line="400" w:lineRule="atLeast"/>
        <w:rPr>
          <w:rFonts w:ascii="Times New Roman" w:hAnsi="Times New Roman"/>
          <w:sz w:val="24"/>
        </w:rPr>
      </w:pPr>
      <w:r>
        <w:rPr>
          <w:rFonts w:ascii="Times New Roman" w:hAnsi="Times New Roman"/>
          <w:sz w:val="24"/>
        </w:rPr>
        <w:t xml:space="preserve">   (3)更换有缺陷的零件、部件和设备，或修理缺陷部分，以达到合同规定的规格、质量和性能，卖方承担一切费用和风险并负担买方遭受的一切直接费用。同时卖方应相应延长被更换货物的质量保证期。</w:t>
      </w:r>
    </w:p>
    <w:p>
      <w:pPr>
        <w:pStyle w:val="18"/>
        <w:spacing w:line="400" w:lineRule="atLeast"/>
        <w:rPr>
          <w:rFonts w:ascii="Times New Roman" w:hAnsi="Times New Roman"/>
          <w:sz w:val="24"/>
        </w:rPr>
      </w:pPr>
      <w:r>
        <w:rPr>
          <w:rFonts w:ascii="Times New Roman" w:hAnsi="Times New Roman"/>
          <w:sz w:val="24"/>
        </w:rPr>
        <w:t xml:space="preserve"> 16.2如果买方提出索赔通知后10天内卖方未能予以答复，该索赔应视为已被卖方接受。若卖方未能在买方提出索赔通知的10天内或买方同意的更长一些的时间内，按买方同意的上述任何一种方式处理索赔事宜，买方将从未付款或卖方提供的履约保证金中扣回索赔金额，同时保留进一步要求赔偿的权利。</w:t>
      </w:r>
    </w:p>
    <w:p>
      <w:pPr>
        <w:pStyle w:val="18"/>
        <w:spacing w:line="400" w:lineRule="atLeast"/>
        <w:rPr>
          <w:rFonts w:ascii="Times New Roman" w:hAnsi="Times New Roman"/>
          <w:sz w:val="24"/>
        </w:rPr>
      </w:pPr>
      <w:r>
        <w:rPr>
          <w:rFonts w:ascii="Times New Roman" w:hAnsi="Times New Roman"/>
          <w:sz w:val="24"/>
        </w:rPr>
        <w:t>17．延期交货与核定损失额</w:t>
      </w:r>
    </w:p>
    <w:p>
      <w:pPr>
        <w:pStyle w:val="18"/>
        <w:spacing w:line="400" w:lineRule="atLeast"/>
        <w:rPr>
          <w:rFonts w:ascii="Times New Roman" w:hAnsi="Times New Roman"/>
          <w:sz w:val="24"/>
        </w:rPr>
      </w:pPr>
      <w:r>
        <w:rPr>
          <w:rFonts w:ascii="Times New Roman" w:hAnsi="Times New Roman"/>
          <w:sz w:val="24"/>
        </w:rPr>
        <w:t xml:space="preserve"> 17.1如果卖方未能按合同规定的时间按期交货(本合同第18款规定的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pPr>
        <w:pStyle w:val="18"/>
        <w:spacing w:line="400" w:lineRule="atLeast"/>
        <w:rPr>
          <w:rFonts w:ascii="Times New Roman" w:hAnsi="Times New Roman"/>
          <w:sz w:val="24"/>
        </w:rPr>
      </w:pPr>
      <w:r>
        <w:rPr>
          <w:rFonts w:ascii="Times New Roman" w:hAnsi="Times New Roman"/>
          <w:sz w:val="24"/>
        </w:rPr>
        <w:t>18．不可抗力</w:t>
      </w:r>
    </w:p>
    <w:p>
      <w:pPr>
        <w:pStyle w:val="18"/>
        <w:spacing w:line="400" w:lineRule="atLeast"/>
        <w:rPr>
          <w:rFonts w:ascii="Times New Roman" w:hAnsi="Times New Roman"/>
          <w:sz w:val="24"/>
        </w:rPr>
      </w:pPr>
      <w:r>
        <w:rPr>
          <w:rFonts w:ascii="Times New Roman" w:hAnsi="Times New Roman"/>
          <w:sz w:val="24"/>
        </w:rPr>
        <w:t xml:space="preserve"> 18.1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pStyle w:val="18"/>
        <w:spacing w:line="400" w:lineRule="atLeast"/>
        <w:rPr>
          <w:rFonts w:ascii="Times New Roman" w:hAnsi="Times New Roman"/>
          <w:sz w:val="24"/>
        </w:rPr>
      </w:pPr>
      <w:r>
        <w:rPr>
          <w:rFonts w:ascii="Times New Roman" w:hAnsi="Times New Roman"/>
          <w:sz w:val="24"/>
        </w:rPr>
        <w:t xml:space="preserve"> 18.2受阻一方应在不可抗力事故发生后尽快用电报、传真或电传通知对方，并于事故发生后10天内将有关部门出具的证明文件用特快专递或挂号信寄给对方审阅确认。一旦不可抗力事故的影响持续20天以上，双方应通过友好协商在合理的时间内达成进一步履行合同的协议。</w:t>
      </w:r>
    </w:p>
    <w:p>
      <w:pPr>
        <w:pStyle w:val="18"/>
        <w:spacing w:line="400" w:lineRule="atLeast"/>
        <w:rPr>
          <w:rFonts w:ascii="Times New Roman" w:hAnsi="Times New Roman"/>
          <w:sz w:val="24"/>
        </w:rPr>
      </w:pPr>
      <w:r>
        <w:rPr>
          <w:rFonts w:ascii="Times New Roman" w:hAnsi="Times New Roman"/>
          <w:sz w:val="24"/>
        </w:rPr>
        <w:t>19．仲裁</w:t>
      </w:r>
    </w:p>
    <w:p>
      <w:pPr>
        <w:pStyle w:val="18"/>
        <w:spacing w:line="400" w:lineRule="atLeast"/>
        <w:rPr>
          <w:rFonts w:ascii="Times New Roman" w:hAnsi="Times New Roman"/>
          <w:sz w:val="24"/>
        </w:rPr>
      </w:pPr>
      <w:r>
        <w:rPr>
          <w:rFonts w:ascii="Times New Roman" w:hAnsi="Times New Roman"/>
          <w:sz w:val="24"/>
        </w:rPr>
        <w:t>19.1在执行本合同中发生的或与本合同有关的争端，双方应通过友好协商解决，经协商在30天内不能达成协议时，应提交仲裁。</w:t>
      </w:r>
    </w:p>
    <w:p>
      <w:pPr>
        <w:pStyle w:val="18"/>
        <w:spacing w:line="400" w:lineRule="atLeast"/>
        <w:rPr>
          <w:rFonts w:ascii="Times New Roman" w:hAnsi="Times New Roman"/>
          <w:sz w:val="24"/>
        </w:rPr>
      </w:pPr>
      <w:r>
        <w:rPr>
          <w:rFonts w:ascii="Times New Roman" w:hAnsi="Times New Roman"/>
          <w:sz w:val="24"/>
        </w:rPr>
        <w:t>19.2仲裁应由买方当地仲裁机构（乌鲁木齐市仲裁委员会）根据其仲裁程序和暂行规则进行。</w:t>
      </w:r>
    </w:p>
    <w:p>
      <w:pPr>
        <w:pStyle w:val="18"/>
        <w:spacing w:line="400" w:lineRule="atLeast"/>
        <w:rPr>
          <w:rFonts w:ascii="Times New Roman" w:hAnsi="Times New Roman"/>
          <w:sz w:val="24"/>
        </w:rPr>
      </w:pPr>
      <w:r>
        <w:rPr>
          <w:rFonts w:ascii="Times New Roman" w:hAnsi="Times New Roman"/>
          <w:sz w:val="24"/>
        </w:rPr>
        <w:t>19.3仲裁裁决应为最终决定，并对双方具有约束力。</w:t>
      </w:r>
    </w:p>
    <w:p>
      <w:pPr>
        <w:pStyle w:val="18"/>
        <w:spacing w:line="400" w:lineRule="atLeast"/>
        <w:rPr>
          <w:rFonts w:ascii="Times New Roman" w:hAnsi="Times New Roman"/>
          <w:sz w:val="24"/>
        </w:rPr>
      </w:pPr>
      <w:r>
        <w:rPr>
          <w:rFonts w:ascii="Times New Roman" w:hAnsi="Times New Roman"/>
          <w:sz w:val="24"/>
        </w:rPr>
        <w:t>19.4除另有裁决外，仲裁费应由败诉方负担。</w:t>
      </w:r>
    </w:p>
    <w:p>
      <w:pPr>
        <w:pStyle w:val="18"/>
        <w:spacing w:line="400" w:lineRule="atLeast"/>
        <w:rPr>
          <w:rFonts w:ascii="Times New Roman" w:hAnsi="Times New Roman"/>
          <w:sz w:val="24"/>
        </w:rPr>
      </w:pPr>
      <w:r>
        <w:rPr>
          <w:rFonts w:ascii="Times New Roman" w:hAnsi="Times New Roman"/>
          <w:sz w:val="24"/>
        </w:rPr>
        <w:t>19.5在仲裁期间，除正在进行仲裁部分外，合同其它部分继续执行。</w:t>
      </w:r>
    </w:p>
    <w:p>
      <w:pPr>
        <w:pStyle w:val="18"/>
        <w:spacing w:line="400" w:lineRule="atLeast"/>
        <w:rPr>
          <w:rFonts w:ascii="Times New Roman" w:hAnsi="Times New Roman"/>
          <w:sz w:val="24"/>
        </w:rPr>
      </w:pPr>
      <w:r>
        <w:rPr>
          <w:rFonts w:ascii="Times New Roman" w:hAnsi="Times New Roman"/>
          <w:sz w:val="24"/>
        </w:rPr>
        <w:t>20．违约终止合同</w:t>
      </w:r>
    </w:p>
    <w:p>
      <w:pPr>
        <w:pStyle w:val="18"/>
        <w:spacing w:line="400" w:lineRule="atLeast"/>
        <w:rPr>
          <w:rFonts w:ascii="Times New Roman" w:hAnsi="Times New Roman"/>
          <w:sz w:val="24"/>
        </w:rPr>
      </w:pPr>
      <w:r>
        <w:rPr>
          <w:rFonts w:ascii="Times New Roman" w:hAnsi="Times New Roman"/>
          <w:sz w:val="24"/>
        </w:rPr>
        <w:t xml:space="preserve">20.1在补救违约而采取的任何其他措施未能实现的情况下，即在卖方收到买方发出的违约通知后10天内(或经买方书面确认的更长时间内)仍未纠正其下述任何一种违约行为，买方可向卖方发出书面违约通知，终止全部或部分合同：    </w:t>
      </w:r>
    </w:p>
    <w:p>
      <w:pPr>
        <w:pStyle w:val="18"/>
        <w:spacing w:line="400" w:lineRule="atLeast"/>
        <w:ind w:firstLine="240"/>
        <w:rPr>
          <w:rFonts w:ascii="Times New Roman" w:hAnsi="Times New Roman"/>
          <w:sz w:val="24"/>
        </w:rPr>
      </w:pPr>
      <w:r>
        <w:rPr>
          <w:rFonts w:ascii="Times New Roman" w:hAnsi="Times New Roman"/>
          <w:sz w:val="24"/>
        </w:rPr>
        <w:t>(1)如果卖方未能在合同规定的期限内或买方准许的任何延期内交付部分或全部货物。</w:t>
      </w:r>
    </w:p>
    <w:p>
      <w:pPr>
        <w:pStyle w:val="18"/>
        <w:spacing w:line="400" w:lineRule="atLeast"/>
        <w:rPr>
          <w:rFonts w:ascii="Times New Roman" w:hAnsi="Times New Roman"/>
          <w:sz w:val="24"/>
        </w:rPr>
      </w:pPr>
      <w:r>
        <w:rPr>
          <w:rFonts w:ascii="Times New Roman" w:hAnsi="Times New Roman"/>
          <w:sz w:val="24"/>
        </w:rPr>
        <w:t xml:space="preserve">  (2)卖方未能履行合同项下的任何其它义务。</w:t>
      </w:r>
    </w:p>
    <w:p>
      <w:pPr>
        <w:pStyle w:val="18"/>
        <w:spacing w:line="400" w:lineRule="atLeast"/>
        <w:rPr>
          <w:rFonts w:ascii="Times New Roman" w:hAnsi="Times New Roman"/>
          <w:sz w:val="24"/>
        </w:rPr>
      </w:pPr>
      <w:r>
        <w:rPr>
          <w:rFonts w:ascii="Times New Roman" w:hAnsi="Times New Roman"/>
          <w:sz w:val="24"/>
        </w:rPr>
        <w:t xml:space="preserve"> 21.一旦买方根据第</w:t>
      </w:r>
    </w:p>
    <w:p>
      <w:pPr>
        <w:pStyle w:val="18"/>
        <w:spacing w:line="400" w:lineRule="atLeast"/>
        <w:rPr>
          <w:rFonts w:ascii="Times New Roman" w:hAnsi="Times New Roman"/>
          <w:sz w:val="24"/>
        </w:rPr>
      </w:pPr>
      <w:r>
        <w:rPr>
          <w:rFonts w:ascii="Times New Roman" w:hAnsi="Times New Roman"/>
          <w:sz w:val="24"/>
        </w:rPr>
        <w:t>21.1款终止部分或全部合同，买方可以按其认为适当的条件和方式采购类似未交付部分的货物。卖方应承担买方购买类似货物的额外费用。但是，卖方应继续履行合同中未终止的部分。</w:t>
      </w:r>
    </w:p>
    <w:p>
      <w:pPr>
        <w:pStyle w:val="18"/>
        <w:spacing w:line="400" w:lineRule="atLeast"/>
        <w:rPr>
          <w:rFonts w:ascii="Times New Roman" w:hAnsi="Times New Roman"/>
          <w:sz w:val="24"/>
        </w:rPr>
      </w:pPr>
      <w:r>
        <w:rPr>
          <w:rFonts w:ascii="Times New Roman" w:hAnsi="Times New Roman"/>
          <w:sz w:val="24"/>
        </w:rPr>
        <w:t>22．变更指示</w:t>
      </w:r>
    </w:p>
    <w:p>
      <w:pPr>
        <w:pStyle w:val="18"/>
        <w:spacing w:line="400" w:lineRule="atLeast"/>
        <w:rPr>
          <w:rFonts w:ascii="Times New Roman" w:hAnsi="Times New Roman"/>
          <w:sz w:val="24"/>
        </w:rPr>
      </w:pPr>
      <w:r>
        <w:rPr>
          <w:rFonts w:ascii="Times New Roman" w:hAnsi="Times New Roman"/>
          <w:sz w:val="24"/>
        </w:rPr>
        <w:t xml:space="preserve"> 22.1买方可以随时向卖方发出书面指示，在合同总体范围内对如下一点或几点提出变更：</w:t>
      </w:r>
    </w:p>
    <w:p>
      <w:pPr>
        <w:pStyle w:val="18"/>
        <w:spacing w:line="400" w:lineRule="atLeast"/>
        <w:rPr>
          <w:rFonts w:ascii="Times New Roman" w:hAnsi="Times New Roman"/>
          <w:sz w:val="24"/>
        </w:rPr>
      </w:pPr>
      <w:r>
        <w:rPr>
          <w:rFonts w:ascii="Times New Roman" w:hAnsi="Times New Roman"/>
          <w:sz w:val="24"/>
        </w:rPr>
        <w:t xml:space="preserve">    (1)合同项下需为买方特殊制造的货物的图纸、设计或规格；</w:t>
      </w:r>
    </w:p>
    <w:p>
      <w:pPr>
        <w:pStyle w:val="18"/>
        <w:spacing w:line="400" w:lineRule="atLeast"/>
        <w:rPr>
          <w:rFonts w:ascii="Times New Roman" w:hAnsi="Times New Roman"/>
          <w:sz w:val="24"/>
        </w:rPr>
      </w:pPr>
      <w:r>
        <w:rPr>
          <w:rFonts w:ascii="Times New Roman" w:hAnsi="Times New Roman"/>
          <w:sz w:val="24"/>
        </w:rPr>
        <w:t xml:space="preserve">    (2)装运方式和包装方式；</w:t>
      </w:r>
    </w:p>
    <w:p>
      <w:pPr>
        <w:pStyle w:val="18"/>
        <w:spacing w:line="400" w:lineRule="atLeast"/>
        <w:rPr>
          <w:rFonts w:ascii="Times New Roman" w:hAnsi="Times New Roman"/>
          <w:sz w:val="24"/>
        </w:rPr>
      </w:pPr>
      <w:r>
        <w:rPr>
          <w:rFonts w:ascii="Times New Roman" w:hAnsi="Times New Roman"/>
          <w:sz w:val="24"/>
        </w:rPr>
        <w:t xml:space="preserve">    (3)交货地点；</w:t>
      </w:r>
    </w:p>
    <w:p>
      <w:pPr>
        <w:pStyle w:val="18"/>
        <w:spacing w:line="400" w:lineRule="atLeast"/>
        <w:rPr>
          <w:rFonts w:ascii="Times New Roman" w:hAnsi="Times New Roman"/>
          <w:sz w:val="24"/>
        </w:rPr>
      </w:pPr>
      <w:r>
        <w:rPr>
          <w:rFonts w:ascii="Times New Roman" w:hAnsi="Times New Roman"/>
          <w:sz w:val="24"/>
        </w:rPr>
        <w:t xml:space="preserve">    (4)卖方须提供的服务。</w:t>
      </w:r>
    </w:p>
    <w:p>
      <w:pPr>
        <w:pStyle w:val="18"/>
        <w:spacing w:line="400" w:lineRule="atLeast"/>
        <w:rPr>
          <w:rFonts w:ascii="Times New Roman" w:hAnsi="Times New Roman"/>
          <w:sz w:val="24"/>
        </w:rPr>
      </w:pPr>
      <w:r>
        <w:rPr>
          <w:rFonts w:ascii="Times New Roman" w:hAnsi="Times New Roman"/>
          <w:sz w:val="24"/>
        </w:rPr>
        <w:t xml:space="preserve"> 22.2若上述变更导致了卖方履行合同项下任何部分义务的费用或所需时间的增减，应对合同价格或交货进度进行合理的调整，同时相应地修改合同。卖方必须在接到买方的变更指示后10天内根据本款提出调整的实施意见。</w:t>
      </w:r>
    </w:p>
    <w:p>
      <w:pPr>
        <w:pStyle w:val="18"/>
        <w:spacing w:line="400" w:lineRule="atLeast"/>
        <w:rPr>
          <w:rFonts w:ascii="Times New Roman" w:hAnsi="Times New Roman"/>
          <w:sz w:val="24"/>
        </w:rPr>
      </w:pPr>
      <w:r>
        <w:rPr>
          <w:rFonts w:ascii="Times New Roman" w:hAnsi="Times New Roman"/>
          <w:sz w:val="24"/>
        </w:rPr>
        <w:t>23．合同修改</w:t>
      </w:r>
    </w:p>
    <w:p>
      <w:pPr>
        <w:pStyle w:val="18"/>
        <w:spacing w:line="400" w:lineRule="atLeast"/>
        <w:rPr>
          <w:rFonts w:ascii="Times New Roman" w:hAnsi="Times New Roman"/>
          <w:sz w:val="24"/>
        </w:rPr>
      </w:pPr>
      <w:r>
        <w:rPr>
          <w:rFonts w:ascii="Times New Roman" w:hAnsi="Times New Roman"/>
          <w:sz w:val="24"/>
        </w:rPr>
        <w:t xml:space="preserve"> 23.1欲对合同条款作出任何改动或偏离，均须由买卖双方签署书面的合同修改书。</w:t>
      </w:r>
    </w:p>
    <w:p>
      <w:pPr>
        <w:pStyle w:val="18"/>
        <w:spacing w:line="400" w:lineRule="atLeast"/>
        <w:rPr>
          <w:rFonts w:ascii="Times New Roman" w:hAnsi="Times New Roman"/>
          <w:sz w:val="24"/>
        </w:rPr>
      </w:pPr>
      <w:r>
        <w:rPr>
          <w:rFonts w:ascii="Times New Roman" w:hAnsi="Times New Roman"/>
          <w:sz w:val="24"/>
        </w:rPr>
        <w:t>24．转让与分包</w:t>
      </w:r>
    </w:p>
    <w:p>
      <w:pPr>
        <w:pStyle w:val="18"/>
        <w:spacing w:line="400" w:lineRule="atLeast"/>
        <w:rPr>
          <w:rFonts w:ascii="Times New Roman" w:hAnsi="Times New Roman"/>
          <w:sz w:val="24"/>
        </w:rPr>
      </w:pPr>
      <w:r>
        <w:rPr>
          <w:rFonts w:ascii="Times New Roman" w:hAnsi="Times New Roman"/>
          <w:sz w:val="24"/>
        </w:rPr>
        <w:t xml:space="preserve"> 24.1除买方事先同意外，卖方不得部分转让或全部转让其应履行的合同项下的义务。</w:t>
      </w:r>
    </w:p>
    <w:p>
      <w:pPr>
        <w:pStyle w:val="18"/>
        <w:spacing w:line="400" w:lineRule="atLeast"/>
        <w:rPr>
          <w:rFonts w:ascii="Times New Roman" w:hAnsi="Times New Roman"/>
          <w:sz w:val="24"/>
        </w:rPr>
      </w:pPr>
      <w:r>
        <w:rPr>
          <w:rFonts w:ascii="Times New Roman" w:hAnsi="Times New Roman"/>
          <w:sz w:val="24"/>
        </w:rPr>
        <w:t xml:space="preserve"> 24.2卖方应书面通知买方本合同项下所授予的所有分包合同。但该通知不解除卖方承担的本合同项下的任何责任或义务。</w:t>
      </w:r>
    </w:p>
    <w:p>
      <w:pPr>
        <w:pStyle w:val="18"/>
        <w:spacing w:line="400" w:lineRule="atLeast"/>
        <w:rPr>
          <w:rFonts w:ascii="Times New Roman" w:hAnsi="Times New Roman"/>
          <w:sz w:val="24"/>
        </w:rPr>
      </w:pPr>
      <w:r>
        <w:rPr>
          <w:rFonts w:ascii="Times New Roman" w:hAnsi="Times New Roman"/>
          <w:sz w:val="24"/>
        </w:rPr>
        <w:t>25．适用法律</w:t>
      </w:r>
    </w:p>
    <w:p>
      <w:pPr>
        <w:pStyle w:val="18"/>
        <w:spacing w:line="400" w:lineRule="atLeast"/>
        <w:rPr>
          <w:rFonts w:ascii="Times New Roman" w:hAnsi="Times New Roman"/>
          <w:sz w:val="24"/>
        </w:rPr>
      </w:pPr>
      <w:r>
        <w:rPr>
          <w:rFonts w:ascii="Times New Roman" w:hAnsi="Times New Roman"/>
          <w:sz w:val="24"/>
        </w:rPr>
        <w:t xml:space="preserve"> 25.1本合同应按中华人民共和国的相关法律解释。</w:t>
      </w:r>
    </w:p>
    <w:p>
      <w:pPr>
        <w:pStyle w:val="18"/>
        <w:spacing w:line="400" w:lineRule="atLeast"/>
        <w:rPr>
          <w:rFonts w:ascii="Times New Roman" w:hAnsi="Times New Roman"/>
          <w:sz w:val="24"/>
        </w:rPr>
      </w:pPr>
      <w:r>
        <w:rPr>
          <w:rFonts w:ascii="Times New Roman" w:hAnsi="Times New Roman"/>
          <w:sz w:val="24"/>
        </w:rPr>
        <w:t>26．通知</w:t>
      </w:r>
    </w:p>
    <w:p>
      <w:pPr>
        <w:pStyle w:val="18"/>
        <w:spacing w:line="400" w:lineRule="atLeast"/>
        <w:rPr>
          <w:rFonts w:ascii="Times New Roman" w:hAnsi="Times New Roman"/>
          <w:sz w:val="24"/>
        </w:rPr>
      </w:pPr>
      <w:r>
        <w:rPr>
          <w:rFonts w:ascii="Times New Roman" w:hAnsi="Times New Roman"/>
          <w:sz w:val="24"/>
        </w:rPr>
        <w:t xml:space="preserve"> 26.1本合同任何一方给另一方的通知都应以书面或电传、电报、传真的形式发送，而另一方应以书面形式确并发送到对方明确的地址。</w:t>
      </w:r>
    </w:p>
    <w:p>
      <w:pPr>
        <w:pStyle w:val="18"/>
        <w:spacing w:line="400" w:lineRule="atLeast"/>
        <w:rPr>
          <w:rFonts w:ascii="Times New Roman" w:hAnsi="Times New Roman"/>
          <w:sz w:val="24"/>
        </w:rPr>
      </w:pPr>
      <w:r>
        <w:rPr>
          <w:rFonts w:ascii="Times New Roman" w:hAnsi="Times New Roman"/>
          <w:sz w:val="24"/>
        </w:rPr>
        <w:t>27．合同文件及资料的使用</w:t>
      </w:r>
    </w:p>
    <w:p>
      <w:pPr>
        <w:pStyle w:val="18"/>
        <w:spacing w:line="400" w:lineRule="atLeast"/>
        <w:rPr>
          <w:rFonts w:ascii="Times New Roman" w:hAnsi="Times New Roman"/>
          <w:sz w:val="24"/>
        </w:rPr>
      </w:pPr>
      <w:r>
        <w:rPr>
          <w:rFonts w:ascii="Times New Roman" w:hAnsi="Times New Roman"/>
          <w:sz w:val="24"/>
        </w:rPr>
        <w:t xml:space="preserve"> 27.1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pStyle w:val="18"/>
        <w:spacing w:line="400" w:lineRule="atLeast"/>
        <w:rPr>
          <w:rFonts w:ascii="Times New Roman" w:hAnsi="Times New Roman"/>
          <w:sz w:val="24"/>
        </w:rPr>
      </w:pPr>
      <w:r>
        <w:rPr>
          <w:rFonts w:ascii="Times New Roman" w:hAnsi="Times New Roman"/>
          <w:sz w:val="24"/>
        </w:rPr>
        <w:t xml:space="preserve"> 27.2除非执行合同需要，在事先末得到买方同意的情况下，卖方不得使用第27.1款中所列的任何文件和资料。</w:t>
      </w:r>
    </w:p>
    <w:p>
      <w:pPr>
        <w:pStyle w:val="18"/>
        <w:spacing w:line="400" w:lineRule="atLeast"/>
        <w:rPr>
          <w:rFonts w:ascii="Times New Roman" w:hAnsi="Times New Roman"/>
          <w:sz w:val="24"/>
        </w:rPr>
      </w:pPr>
      <w:r>
        <w:rPr>
          <w:rFonts w:ascii="Times New Roman" w:hAnsi="Times New Roman"/>
          <w:sz w:val="24"/>
        </w:rPr>
        <w:t xml:space="preserve"> 27.3除合同本身以外，27.1款列明的所有资料始终为买方的财产，若买方要求，卖方应于其合同义务履行完毕以后将这些资料(包括所有副本)退还买方。</w:t>
      </w:r>
    </w:p>
    <w:p>
      <w:pPr>
        <w:pStyle w:val="18"/>
        <w:spacing w:line="400" w:lineRule="atLeast"/>
        <w:rPr>
          <w:rFonts w:ascii="Times New Roman" w:hAnsi="Times New Roman"/>
          <w:sz w:val="24"/>
        </w:rPr>
      </w:pPr>
      <w:r>
        <w:rPr>
          <w:rFonts w:ascii="Times New Roman" w:hAnsi="Times New Roman"/>
          <w:sz w:val="24"/>
        </w:rPr>
        <w:t>28．合同生效及其他</w:t>
      </w:r>
    </w:p>
    <w:p>
      <w:pPr>
        <w:pStyle w:val="18"/>
        <w:spacing w:line="400" w:lineRule="atLeast"/>
        <w:rPr>
          <w:rFonts w:ascii="Times New Roman" w:hAnsi="Times New Roman"/>
          <w:sz w:val="24"/>
        </w:rPr>
      </w:pPr>
      <w:r>
        <w:rPr>
          <w:rFonts w:ascii="Times New Roman" w:hAnsi="Times New Roman"/>
          <w:sz w:val="24"/>
        </w:rPr>
        <w:t xml:space="preserve"> 28.1本合同应在买方和卖方签字（及买方收到卖方的履约保证金后），即开始生效。</w:t>
      </w:r>
    </w:p>
    <w:p>
      <w:pPr>
        <w:pStyle w:val="18"/>
        <w:spacing w:line="400" w:lineRule="atLeast"/>
        <w:rPr>
          <w:rFonts w:ascii="Times New Roman" w:hAnsi="Times New Roman"/>
          <w:sz w:val="24"/>
        </w:rPr>
      </w:pPr>
      <w:r>
        <w:rPr>
          <w:rFonts w:ascii="Times New Roman" w:hAnsi="Times New Roman"/>
          <w:sz w:val="24"/>
        </w:rPr>
        <w:t xml:space="preserve"> 28.2卖方须按技术规格中的规定，向买方提供与合同项下货物有关的现场安装调试、技术服务、培训等其他相关服务。</w:t>
      </w:r>
    </w:p>
    <w:p>
      <w:pPr>
        <w:pStyle w:val="18"/>
        <w:spacing w:line="400" w:lineRule="atLeast"/>
        <w:rPr>
          <w:rFonts w:ascii="Times New Roman" w:hAnsi="Times New Roman"/>
          <w:sz w:val="24"/>
        </w:rPr>
      </w:pPr>
      <w:r>
        <w:rPr>
          <w:rFonts w:ascii="Times New Roman" w:hAnsi="Times New Roman"/>
          <w:sz w:val="24"/>
        </w:rPr>
        <w:t xml:space="preserve"> 28.3 商务合同应包括买方最后确认的价格条款和付款方式。</w:t>
      </w:r>
    </w:p>
    <w:p>
      <w:pPr>
        <w:pStyle w:val="18"/>
        <w:spacing w:line="400" w:lineRule="atLeast"/>
        <w:rPr>
          <w:rFonts w:ascii="Times New Roman" w:hAnsi="Times New Roman"/>
          <w:sz w:val="24"/>
        </w:rPr>
      </w:pPr>
      <w:r>
        <w:rPr>
          <w:rFonts w:ascii="Times New Roman" w:hAnsi="Times New Roman"/>
          <w:sz w:val="24"/>
        </w:rPr>
        <w:t xml:space="preserve"> 28.4本合同正本一式两份，用中文书写，买卖双方各执一份，副本一式肆份，用中文书写，买卖双方各执贰份；</w:t>
      </w:r>
    </w:p>
    <w:p>
      <w:pPr>
        <w:pStyle w:val="18"/>
        <w:spacing w:line="400" w:lineRule="atLeast"/>
        <w:rPr>
          <w:rFonts w:ascii="Times New Roman" w:hAnsi="Times New Roman"/>
          <w:sz w:val="24"/>
        </w:rPr>
      </w:pPr>
      <w:r>
        <w:rPr>
          <w:rFonts w:ascii="Times New Roman" w:hAnsi="Times New Roman"/>
          <w:sz w:val="24"/>
        </w:rPr>
        <w:t xml:space="preserve"> 28.5下述文件将作为合同附件为本合同不可分割的部分并与本合具有同等效力；</w:t>
      </w:r>
    </w:p>
    <w:p>
      <w:pPr>
        <w:pStyle w:val="18"/>
        <w:numPr>
          <w:ilvl w:val="0"/>
          <w:numId w:val="8"/>
        </w:numPr>
        <w:spacing w:line="400" w:lineRule="atLeast"/>
        <w:rPr>
          <w:rFonts w:ascii="Times New Roman" w:hAnsi="Times New Roman"/>
          <w:sz w:val="24"/>
        </w:rPr>
      </w:pPr>
      <w:r>
        <w:rPr>
          <w:rFonts w:ascii="Times New Roman" w:hAnsi="Times New Roman"/>
          <w:sz w:val="24"/>
        </w:rPr>
        <w:t>招标文件；</w:t>
      </w:r>
    </w:p>
    <w:p>
      <w:pPr>
        <w:pStyle w:val="18"/>
        <w:numPr>
          <w:ilvl w:val="0"/>
          <w:numId w:val="8"/>
        </w:numPr>
        <w:spacing w:line="400" w:lineRule="atLeast"/>
        <w:rPr>
          <w:rFonts w:ascii="Times New Roman" w:hAnsi="Times New Roman"/>
          <w:sz w:val="24"/>
        </w:rPr>
      </w:pPr>
      <w:r>
        <w:rPr>
          <w:rFonts w:ascii="Times New Roman" w:hAnsi="Times New Roman"/>
          <w:sz w:val="24"/>
        </w:rPr>
        <w:t>中标通知书；</w:t>
      </w:r>
    </w:p>
    <w:p>
      <w:pPr>
        <w:pStyle w:val="18"/>
        <w:numPr>
          <w:ilvl w:val="0"/>
          <w:numId w:val="8"/>
        </w:numPr>
        <w:spacing w:line="400" w:lineRule="atLeast"/>
        <w:rPr>
          <w:rFonts w:ascii="Times New Roman" w:hAnsi="Times New Roman"/>
          <w:sz w:val="24"/>
        </w:rPr>
      </w:pPr>
      <w:r>
        <w:rPr>
          <w:rFonts w:ascii="Times New Roman" w:hAnsi="Times New Roman"/>
          <w:sz w:val="24"/>
        </w:rPr>
        <w:t>中标方的投标文件及询标中的书面答疑；</w:t>
      </w:r>
    </w:p>
    <w:p>
      <w:pPr>
        <w:spacing w:line="400" w:lineRule="atLeast"/>
        <w:rPr>
          <w:sz w:val="24"/>
        </w:rPr>
      </w:pPr>
      <w:r>
        <w:rPr>
          <w:sz w:val="24"/>
        </w:rPr>
        <w:t xml:space="preserve">  4）合同条款及合同特殊条款；</w:t>
      </w:r>
    </w:p>
    <w:p>
      <w:pPr>
        <w:spacing w:line="400" w:lineRule="atLeast"/>
        <w:rPr>
          <w:sz w:val="24"/>
        </w:rPr>
      </w:pPr>
    </w:p>
    <w:p>
      <w:pPr>
        <w:spacing w:line="400" w:lineRule="atLeast"/>
        <w:rPr>
          <w:sz w:val="24"/>
        </w:rPr>
      </w:pPr>
    </w:p>
    <w:p>
      <w:pPr>
        <w:spacing w:line="400" w:lineRule="atLeast"/>
        <w:ind w:firstLine="480" w:firstLineChars="200"/>
        <w:rPr>
          <w:sz w:val="24"/>
        </w:rPr>
      </w:pPr>
      <w:r>
        <w:rPr>
          <w:sz w:val="24"/>
        </w:rPr>
        <w:t>买方：卖方：</w:t>
      </w:r>
    </w:p>
    <w:p>
      <w:pPr>
        <w:spacing w:line="400" w:lineRule="atLeast"/>
        <w:ind w:firstLine="480" w:firstLineChars="200"/>
        <w:rPr>
          <w:sz w:val="24"/>
        </w:rPr>
      </w:pPr>
      <w:r>
        <w:rPr>
          <w:sz w:val="24"/>
        </w:rPr>
        <w:t>代表：代表：</w:t>
      </w: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spacing w:line="400" w:lineRule="atLeast"/>
        <w:ind w:firstLine="480" w:firstLineChars="200"/>
        <w:rPr>
          <w:sz w:val="24"/>
        </w:rPr>
      </w:pPr>
    </w:p>
    <w:p>
      <w:pPr>
        <w:pStyle w:val="32"/>
        <w:ind w:firstLine="240"/>
      </w:pPr>
    </w:p>
    <w:p>
      <w:pPr>
        <w:pStyle w:val="32"/>
        <w:ind w:firstLine="240"/>
      </w:pPr>
    </w:p>
    <w:p>
      <w:pPr>
        <w:pStyle w:val="3"/>
        <w:numPr>
          <w:ilvl w:val="0"/>
          <w:numId w:val="0"/>
        </w:numPr>
        <w:spacing w:after="100" w:afterAutospacing="1" w:line="400" w:lineRule="atLeast"/>
        <w:jc w:val="center"/>
        <w:rPr>
          <w:sz w:val="32"/>
          <w:szCs w:val="32"/>
        </w:rPr>
      </w:pPr>
      <w:bookmarkStart w:id="130" w:name="_Toc349637937"/>
      <w:bookmarkStart w:id="131" w:name="_Toc298240423"/>
      <w:bookmarkStart w:id="132" w:name="_Toc349573138"/>
      <w:bookmarkStart w:id="133" w:name="_Toc267301296"/>
      <w:bookmarkStart w:id="134" w:name="_Toc6134"/>
      <w:r>
        <w:rPr>
          <w:sz w:val="32"/>
          <w:szCs w:val="32"/>
        </w:rPr>
        <w:t>第五部分合同特殊条款</w:t>
      </w:r>
      <w:bookmarkEnd w:id="130"/>
      <w:bookmarkEnd w:id="131"/>
      <w:bookmarkEnd w:id="132"/>
      <w:bookmarkEnd w:id="133"/>
      <w:bookmarkEnd w:id="134"/>
    </w:p>
    <w:p>
      <w:pPr>
        <w:ind w:firstLine="361" w:firstLineChars="150"/>
        <w:rPr>
          <w:sz w:val="24"/>
          <w:szCs w:val="24"/>
        </w:rPr>
      </w:pPr>
      <w:bookmarkStart w:id="135" w:name="_Toc349573141"/>
      <w:bookmarkStart w:id="136" w:name="_Toc298240426"/>
      <w:bookmarkStart w:id="137" w:name="_Toc267301301"/>
      <w:bookmarkStart w:id="138" w:name="_Toc349637940"/>
      <w:bookmarkStart w:id="139" w:name="_Toc255566102"/>
      <w:bookmarkStart w:id="140" w:name="_Toc248299891"/>
      <w:r>
        <w:rPr>
          <w:b/>
          <w:bCs/>
          <w:sz w:val="24"/>
        </w:rPr>
        <w:t>此合同仅供参考，具体以后期签署合同为准</w:t>
      </w:r>
    </w:p>
    <w:p>
      <w:pPr>
        <w:ind w:firstLine="360" w:firstLineChars="150"/>
        <w:rPr>
          <w:sz w:val="24"/>
          <w:szCs w:val="24"/>
        </w:rPr>
      </w:pPr>
      <w:r>
        <w:rPr>
          <w:sz w:val="24"/>
          <w:szCs w:val="24"/>
        </w:rPr>
        <w:t>合同特殊条款是合同一般条款的补充和修改，如果两者之间有抵触，应以特殊条款为准。</w:t>
      </w:r>
    </w:p>
    <w:p>
      <w:pPr>
        <w:pStyle w:val="4"/>
        <w:numPr>
          <w:ilvl w:val="0"/>
          <w:numId w:val="9"/>
        </w:numPr>
        <w:spacing w:before="0" w:after="0" w:line="240" w:lineRule="auto"/>
        <w:rPr>
          <w:rFonts w:ascii="Times New Roman" w:hAnsi="Times New Roman" w:eastAsia="宋体"/>
          <w:sz w:val="24"/>
          <w:szCs w:val="24"/>
        </w:rPr>
      </w:pPr>
      <w:bookmarkStart w:id="141" w:name="_Toc256088516"/>
      <w:bookmarkStart w:id="142" w:name="_Toc16476"/>
      <w:bookmarkStart w:id="143" w:name="_Toc197842250"/>
      <w:bookmarkStart w:id="144" w:name="_Toc19722"/>
      <w:r>
        <w:rPr>
          <w:rFonts w:ascii="Times New Roman" w:hAnsi="Times New Roman" w:eastAsia="宋体"/>
          <w:sz w:val="24"/>
          <w:szCs w:val="24"/>
        </w:rPr>
        <w:t>检验</w:t>
      </w:r>
      <w:bookmarkEnd w:id="141"/>
      <w:bookmarkEnd w:id="142"/>
      <w:bookmarkEnd w:id="143"/>
      <w:bookmarkEnd w:id="144"/>
    </w:p>
    <w:p>
      <w:pPr>
        <w:pStyle w:val="30"/>
        <w:spacing w:before="0" w:beforeAutospacing="0" w:after="0" w:afterAutospacing="0" w:line="360" w:lineRule="atLeast"/>
        <w:rPr>
          <w:rFonts w:ascii="Times New Roman" w:hAnsi="Times New Roman" w:cs="Times New Roman"/>
          <w:kern w:val="2"/>
        </w:rPr>
      </w:pPr>
      <w:r>
        <w:rPr>
          <w:rFonts w:ascii="Times New Roman" w:hAnsi="Times New Roman" w:cs="Times New Roman"/>
          <w:kern w:val="2"/>
        </w:rPr>
        <w:t>1.1设备必须是合同生效后，由原厂生产的合同项下的设备，必须是全新的、未使用过的原装合格正品，所有设备应配套使用。并且货物质量必须符合国家相关标准，必须满足本次采购的要求，若所供货物经产品质量检测机构检测认定质量不合格，造成的损失和后果由该供应商负全责；</w:t>
      </w:r>
    </w:p>
    <w:p>
      <w:pPr>
        <w:pStyle w:val="18"/>
        <w:ind w:left="480" w:hanging="480" w:hangingChars="200"/>
        <w:rPr>
          <w:rFonts w:ascii="Times New Roman" w:hAnsi="Times New Roman"/>
          <w:sz w:val="24"/>
          <w:szCs w:val="24"/>
        </w:rPr>
      </w:pPr>
      <w:r>
        <w:rPr>
          <w:rFonts w:ascii="Times New Roman" w:hAnsi="Times New Roman"/>
          <w:sz w:val="24"/>
          <w:szCs w:val="24"/>
        </w:rPr>
        <w:t>1.2 设备到达目的地，买方、卖方及买方聘请专家一同开箱验货；</w:t>
      </w:r>
    </w:p>
    <w:p>
      <w:pPr>
        <w:pStyle w:val="18"/>
        <w:ind w:left="360" w:hanging="360" w:hangingChars="150"/>
        <w:rPr>
          <w:rFonts w:ascii="Times New Roman" w:hAnsi="Times New Roman"/>
          <w:sz w:val="24"/>
          <w:szCs w:val="24"/>
        </w:rPr>
      </w:pPr>
      <w:r>
        <w:rPr>
          <w:rFonts w:ascii="Times New Roman" w:hAnsi="Times New Roman"/>
          <w:sz w:val="24"/>
          <w:szCs w:val="24"/>
        </w:rPr>
        <w:t>1.3卖方提供的所有货品应符合中国以及国际通行的标准，并应附有相应的测试报告、合格证书；</w:t>
      </w:r>
    </w:p>
    <w:p>
      <w:pPr>
        <w:pStyle w:val="18"/>
        <w:rPr>
          <w:rFonts w:ascii="Times New Roman" w:hAnsi="Times New Roman"/>
          <w:sz w:val="24"/>
          <w:szCs w:val="24"/>
        </w:rPr>
      </w:pPr>
      <w:r>
        <w:rPr>
          <w:rFonts w:ascii="Times New Roman" w:hAnsi="Times New Roman"/>
          <w:sz w:val="24"/>
          <w:szCs w:val="24"/>
        </w:rPr>
        <w:t>1.4具体的标准应在投标文件中明确规定，并在合同中由双方确认；</w:t>
      </w:r>
    </w:p>
    <w:p>
      <w:pPr>
        <w:pStyle w:val="18"/>
        <w:ind w:left="480" w:hanging="480" w:hangingChars="200"/>
        <w:rPr>
          <w:rFonts w:ascii="Times New Roman" w:hAnsi="Times New Roman"/>
          <w:sz w:val="24"/>
          <w:szCs w:val="24"/>
        </w:rPr>
      </w:pPr>
      <w:r>
        <w:rPr>
          <w:rFonts w:ascii="Times New Roman" w:hAnsi="Times New Roman"/>
          <w:sz w:val="24"/>
          <w:szCs w:val="24"/>
        </w:rPr>
        <w:t>1.5 提供所有设备的随机资料和技术文档：</w:t>
      </w:r>
    </w:p>
    <w:p>
      <w:pPr>
        <w:rPr>
          <w:sz w:val="24"/>
          <w:szCs w:val="24"/>
        </w:rPr>
      </w:pPr>
      <w:r>
        <w:rPr>
          <w:sz w:val="24"/>
          <w:szCs w:val="24"/>
        </w:rPr>
        <w:t>1.5.1设备配套的维修手册。</w:t>
      </w:r>
    </w:p>
    <w:p>
      <w:pPr>
        <w:rPr>
          <w:sz w:val="24"/>
          <w:szCs w:val="24"/>
        </w:rPr>
      </w:pPr>
      <w:r>
        <w:rPr>
          <w:sz w:val="24"/>
          <w:szCs w:val="24"/>
        </w:rPr>
        <w:t>1.5.2设备所包含的所有软件均须提供合法的使用证书。</w:t>
      </w:r>
    </w:p>
    <w:p>
      <w:pPr>
        <w:rPr>
          <w:sz w:val="24"/>
          <w:szCs w:val="24"/>
        </w:rPr>
      </w:pPr>
      <w:r>
        <w:rPr>
          <w:sz w:val="24"/>
          <w:szCs w:val="24"/>
        </w:rPr>
        <w:t>1.5.3设备完善的中文操作手册。</w:t>
      </w:r>
    </w:p>
    <w:p>
      <w:pPr>
        <w:rPr>
          <w:sz w:val="24"/>
          <w:szCs w:val="24"/>
        </w:rPr>
      </w:pPr>
      <w:r>
        <w:rPr>
          <w:sz w:val="24"/>
          <w:szCs w:val="24"/>
        </w:rPr>
        <w:t>1.5.4中、英文的使用和维修技术资料。</w:t>
      </w:r>
    </w:p>
    <w:p>
      <w:pPr>
        <w:rPr>
          <w:sz w:val="24"/>
          <w:szCs w:val="24"/>
        </w:rPr>
      </w:pPr>
      <w:r>
        <w:rPr>
          <w:sz w:val="24"/>
          <w:szCs w:val="24"/>
        </w:rPr>
        <w:t>1.5.5设备使用软件的备份。</w:t>
      </w:r>
    </w:p>
    <w:p>
      <w:pPr>
        <w:pStyle w:val="30"/>
        <w:spacing w:before="0" w:beforeAutospacing="0" w:after="0" w:afterAutospacing="0" w:line="360" w:lineRule="atLeast"/>
        <w:rPr>
          <w:rFonts w:ascii="Times New Roman" w:hAnsi="Times New Roman" w:cs="Times New Roman"/>
          <w:kern w:val="2"/>
        </w:rPr>
      </w:pPr>
      <w:r>
        <w:rPr>
          <w:rFonts w:ascii="Times New Roman" w:hAnsi="Times New Roman" w:cs="Times New Roman"/>
          <w:kern w:val="2"/>
        </w:rPr>
        <w:t>1.5.6正规的备品备件价格表。</w:t>
      </w:r>
    </w:p>
    <w:p>
      <w:pPr>
        <w:pStyle w:val="30"/>
        <w:spacing w:before="0" w:beforeAutospacing="0" w:after="0" w:afterAutospacing="0" w:line="360" w:lineRule="atLeast"/>
        <w:rPr>
          <w:rFonts w:ascii="Times New Roman" w:hAnsi="Times New Roman" w:cs="Times New Roman"/>
          <w:kern w:val="2"/>
        </w:rPr>
      </w:pPr>
      <w:r>
        <w:rPr>
          <w:rFonts w:ascii="Times New Roman" w:hAnsi="Times New Roman" w:cs="Times New Roman"/>
          <w:kern w:val="2"/>
        </w:rPr>
        <w:t>1.5.7供应商提供资料如下：</w:t>
      </w:r>
    </w:p>
    <w:p>
      <w:pPr>
        <w:pStyle w:val="30"/>
        <w:spacing w:before="0" w:beforeAutospacing="0" w:after="0" w:afterAutospacing="0" w:line="360" w:lineRule="atLeast"/>
        <w:ind w:firstLine="480"/>
        <w:rPr>
          <w:rFonts w:ascii="Times New Roman" w:hAnsi="Times New Roman" w:cs="Times New Roman"/>
          <w:kern w:val="2"/>
        </w:rPr>
      </w:pPr>
      <w:r>
        <w:rPr>
          <w:rFonts w:ascii="Times New Roman" w:hAnsi="Times New Roman" w:cs="Times New Roman"/>
          <w:kern w:val="2"/>
        </w:rPr>
        <w:t>1、所报产品的配置清单；</w:t>
      </w:r>
    </w:p>
    <w:p>
      <w:pPr>
        <w:pStyle w:val="30"/>
        <w:spacing w:before="0" w:beforeAutospacing="0" w:after="0" w:afterAutospacing="0" w:line="360" w:lineRule="atLeast"/>
        <w:ind w:firstLine="480"/>
        <w:rPr>
          <w:rFonts w:ascii="Times New Roman" w:hAnsi="Times New Roman" w:cs="Times New Roman"/>
          <w:kern w:val="2"/>
        </w:rPr>
      </w:pPr>
      <w:r>
        <w:rPr>
          <w:rFonts w:ascii="Times New Roman" w:hAnsi="Times New Roman" w:cs="Times New Roman"/>
          <w:kern w:val="2"/>
        </w:rPr>
        <w:t>2、所报产品的详细说明书、技术资料、彩图；</w:t>
      </w:r>
    </w:p>
    <w:p>
      <w:pPr>
        <w:pStyle w:val="30"/>
        <w:spacing w:before="0" w:beforeAutospacing="0" w:after="0" w:afterAutospacing="0" w:line="360" w:lineRule="atLeast"/>
        <w:ind w:firstLine="480"/>
        <w:rPr>
          <w:rFonts w:ascii="Times New Roman" w:hAnsi="Times New Roman" w:cs="Times New Roman"/>
          <w:kern w:val="2"/>
        </w:rPr>
      </w:pPr>
      <w:r>
        <w:rPr>
          <w:rFonts w:ascii="Times New Roman" w:hAnsi="Times New Roman" w:cs="Times New Roman"/>
          <w:kern w:val="2"/>
        </w:rPr>
        <w:t>3、产品的合法代理证明如生产企业授予的“授权委托书”等。</w:t>
      </w:r>
    </w:p>
    <w:p>
      <w:pPr>
        <w:pStyle w:val="30"/>
        <w:spacing w:before="0" w:beforeAutospacing="0" w:after="0" w:afterAutospacing="0" w:line="360" w:lineRule="atLeast"/>
        <w:ind w:firstLine="480"/>
        <w:rPr>
          <w:rFonts w:ascii="Times New Roman" w:hAnsi="Times New Roman" w:cs="Times New Roman"/>
          <w:kern w:val="2"/>
        </w:rPr>
      </w:pPr>
      <w:r>
        <w:rPr>
          <w:rFonts w:ascii="Times New Roman" w:hAnsi="Times New Roman" w:cs="Times New Roman"/>
          <w:kern w:val="2"/>
        </w:rPr>
        <w:t>4、售中、售后服务承诺（包括免费质保期承诺等）。</w:t>
      </w:r>
    </w:p>
    <w:p>
      <w:pPr>
        <w:pStyle w:val="30"/>
        <w:spacing w:before="0" w:beforeAutospacing="0" w:after="0" w:afterAutospacing="0" w:line="360" w:lineRule="atLeast"/>
        <w:ind w:firstLine="480"/>
        <w:rPr>
          <w:rFonts w:ascii="Times New Roman" w:hAnsi="Times New Roman" w:cs="Times New Roman"/>
        </w:rPr>
      </w:pPr>
      <w:r>
        <w:rPr>
          <w:rFonts w:ascii="Times New Roman" w:hAnsi="Times New Roman" w:cs="Times New Roman"/>
          <w:kern w:val="2"/>
        </w:rPr>
        <w:t>5、注明交付使用日期。</w:t>
      </w:r>
    </w:p>
    <w:p>
      <w:pPr>
        <w:pStyle w:val="30"/>
        <w:spacing w:before="0" w:beforeAutospacing="0" w:after="0" w:afterAutospacing="0" w:line="360" w:lineRule="atLeast"/>
        <w:rPr>
          <w:rFonts w:ascii="Times New Roman" w:hAnsi="Times New Roman" w:cs="Times New Roman"/>
          <w:kern w:val="2"/>
        </w:rPr>
      </w:pPr>
      <w:r>
        <w:rPr>
          <w:rFonts w:ascii="Times New Roman" w:hAnsi="Times New Roman" w:cs="Times New Roman"/>
          <w:kern w:val="2"/>
        </w:rPr>
        <w:t>6、国家规定的应提供的其他资质证明资料。</w:t>
      </w:r>
    </w:p>
    <w:p>
      <w:pPr>
        <w:pStyle w:val="30"/>
        <w:spacing w:before="0" w:beforeAutospacing="0" w:after="0" w:afterAutospacing="0" w:line="360" w:lineRule="atLeast"/>
        <w:rPr>
          <w:rFonts w:ascii="Times New Roman" w:hAnsi="Times New Roman" w:cs="Times New Roman"/>
          <w:kern w:val="2"/>
        </w:rPr>
      </w:pPr>
      <w:r>
        <w:rPr>
          <w:rFonts w:ascii="Times New Roman" w:hAnsi="Times New Roman" w:cs="Times New Roman"/>
          <w:kern w:val="2"/>
        </w:rPr>
        <w:t>7、报价表（列报产品的名称、规格、型号、配置、产地、单价、总价、交货时间及优惠条款等）以及报价单位（盖章）、被授权人、联系电话、报价日期。</w:t>
      </w:r>
    </w:p>
    <w:p>
      <w:pPr>
        <w:pStyle w:val="30"/>
        <w:spacing w:before="0" w:beforeAutospacing="0" w:after="0" w:afterAutospacing="0" w:line="360" w:lineRule="atLeast"/>
        <w:rPr>
          <w:rFonts w:ascii="Times New Roman" w:hAnsi="Times New Roman" w:cs="Times New Roman"/>
          <w:bCs/>
        </w:rPr>
      </w:pPr>
      <w:r>
        <w:rPr>
          <w:rFonts w:ascii="Times New Roman" w:hAnsi="Times New Roman" w:cs="Times New Roman"/>
          <w:kern w:val="2"/>
        </w:rPr>
        <w:t>8、卖方须向买方提供设备的运行、安装、使用环境要求。</w:t>
      </w:r>
    </w:p>
    <w:p>
      <w:pPr>
        <w:pStyle w:val="30"/>
        <w:spacing w:before="0" w:beforeAutospacing="0" w:after="0" w:afterAutospacing="0" w:line="360" w:lineRule="atLeast"/>
        <w:rPr>
          <w:rFonts w:ascii="Times New Roman" w:hAnsi="Times New Roman" w:cs="Times New Roman"/>
          <w:bCs/>
        </w:rPr>
      </w:pPr>
      <w:r>
        <w:rPr>
          <w:rFonts w:ascii="Times New Roman" w:hAnsi="Times New Roman" w:cs="Times New Roman"/>
          <w:kern w:val="2"/>
        </w:rPr>
        <w:t>9、进口设备须提供商检证、报关单。</w:t>
      </w:r>
    </w:p>
    <w:p>
      <w:pPr>
        <w:pStyle w:val="4"/>
        <w:numPr>
          <w:ilvl w:val="0"/>
          <w:numId w:val="9"/>
        </w:numPr>
        <w:spacing w:before="0" w:after="0" w:line="240" w:lineRule="auto"/>
        <w:rPr>
          <w:rFonts w:ascii="Times New Roman" w:hAnsi="Times New Roman" w:eastAsia="宋体"/>
          <w:sz w:val="24"/>
          <w:szCs w:val="24"/>
        </w:rPr>
      </w:pPr>
      <w:bookmarkStart w:id="145" w:name="_Toc256088517"/>
      <w:bookmarkStart w:id="146" w:name="_Toc197842251"/>
      <w:bookmarkStart w:id="147" w:name="_Toc10561"/>
      <w:bookmarkStart w:id="148" w:name="_Toc13109"/>
      <w:r>
        <w:rPr>
          <w:rFonts w:ascii="Times New Roman" w:hAnsi="Times New Roman" w:eastAsia="宋体"/>
          <w:sz w:val="24"/>
          <w:szCs w:val="24"/>
        </w:rPr>
        <w:t>安装调试</w:t>
      </w:r>
      <w:bookmarkEnd w:id="145"/>
      <w:bookmarkEnd w:id="146"/>
      <w:bookmarkEnd w:id="147"/>
      <w:bookmarkEnd w:id="148"/>
    </w:p>
    <w:p>
      <w:pPr>
        <w:rPr>
          <w:sz w:val="24"/>
          <w:szCs w:val="24"/>
        </w:rPr>
      </w:pPr>
      <w:r>
        <w:rPr>
          <w:sz w:val="24"/>
          <w:szCs w:val="24"/>
        </w:rPr>
        <w:t>2.1卖方负责免费安装、调试的所有工作，并免费提供设备安装调试的耗品。在不增减临床应用功能的前提下，供方免费提供设备相关的软件升级。直至通过验收（同买方共同完成）；</w:t>
      </w:r>
    </w:p>
    <w:p>
      <w:pPr>
        <w:rPr>
          <w:sz w:val="24"/>
          <w:szCs w:val="24"/>
        </w:rPr>
      </w:pPr>
      <w:r>
        <w:rPr>
          <w:sz w:val="24"/>
          <w:szCs w:val="24"/>
        </w:rPr>
        <w:t>2.2</w:t>
      </w:r>
      <w:r>
        <w:rPr>
          <w:sz w:val="24"/>
          <w:szCs w:val="24"/>
        </w:rPr>
        <w:tab/>
      </w:r>
      <w:r>
        <w:rPr>
          <w:sz w:val="24"/>
          <w:szCs w:val="24"/>
        </w:rPr>
        <w:t>在货物到达使用单位后，卖方应在7天内派工程技术人员到达现场，在买方技术人员在场的情况下开箱清点货物，组织安装、调试，并承担因此发生的一切费用。</w:t>
      </w:r>
    </w:p>
    <w:p>
      <w:pPr>
        <w:rPr>
          <w:sz w:val="24"/>
          <w:szCs w:val="24"/>
        </w:rPr>
      </w:pPr>
      <w:r>
        <w:rPr>
          <w:sz w:val="24"/>
          <w:szCs w:val="24"/>
        </w:rPr>
        <w:t>2.3</w:t>
      </w:r>
      <w:r>
        <w:rPr>
          <w:sz w:val="24"/>
          <w:szCs w:val="24"/>
        </w:rPr>
        <w:tab/>
      </w:r>
      <w:r>
        <w:rPr>
          <w:sz w:val="24"/>
          <w:szCs w:val="24"/>
        </w:rPr>
        <w:t>设备安装后，医院按国际和国家标准及厂方标准进行质量验收。卖方应向买方提供详细的验收标准、验收手册。买方有权委托中国有资格的单位对上述仪器进行精度校核。</w:t>
      </w:r>
    </w:p>
    <w:p>
      <w:pPr>
        <w:rPr>
          <w:sz w:val="24"/>
          <w:szCs w:val="24"/>
        </w:rPr>
      </w:pPr>
      <w:r>
        <w:rPr>
          <w:sz w:val="24"/>
          <w:szCs w:val="24"/>
        </w:rPr>
        <w:t>2.4*在中国境内有相应的零配件保税库,并出具证明文件。</w:t>
      </w:r>
    </w:p>
    <w:p>
      <w:pPr>
        <w:pStyle w:val="18"/>
        <w:ind w:left="480" w:hanging="480" w:hangingChars="200"/>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Pr>
          <w:rFonts w:ascii="Times New Roman" w:hAnsi="Times New Roman"/>
          <w:sz w:val="24"/>
          <w:szCs w:val="24"/>
        </w:rPr>
        <w:t>中国境内有相应的维修机构，并出具证明文件。</w:t>
      </w:r>
    </w:p>
    <w:p>
      <w:pPr>
        <w:pStyle w:val="18"/>
        <w:ind w:left="480" w:hanging="480" w:hangingChars="200"/>
        <w:rPr>
          <w:rFonts w:ascii="Times New Roman" w:hAnsi="Times New Roman"/>
          <w:sz w:val="24"/>
          <w:szCs w:val="24"/>
        </w:rPr>
      </w:pPr>
      <w:r>
        <w:rPr>
          <w:rFonts w:ascii="Times New Roman" w:hAnsi="Times New Roman"/>
          <w:sz w:val="24"/>
          <w:szCs w:val="24"/>
        </w:rPr>
        <w:t>2.6在设备安装和调试结束后，由买卖双方和技术监督局按照国际和国家标准共同验收，检测费用由卖方负责。</w:t>
      </w:r>
    </w:p>
    <w:p>
      <w:pPr>
        <w:pStyle w:val="18"/>
        <w:ind w:left="480" w:hanging="480" w:hangingChars="200"/>
        <w:rPr>
          <w:rFonts w:ascii="Times New Roman" w:hAnsi="Times New Roman"/>
          <w:sz w:val="24"/>
          <w:szCs w:val="24"/>
        </w:rPr>
      </w:pPr>
      <w:r>
        <w:rPr>
          <w:rFonts w:ascii="Times New Roman" w:hAnsi="Times New Roman"/>
          <w:sz w:val="24"/>
          <w:szCs w:val="24"/>
        </w:rPr>
        <w:t>2.7 因卖方原因造成不能按时完成安装调试工作，卖方应根据合同规定向买方做出赔偿。</w:t>
      </w:r>
    </w:p>
    <w:p>
      <w:pPr>
        <w:pStyle w:val="18"/>
        <w:ind w:left="480" w:hanging="480" w:hangingChars="200"/>
        <w:rPr>
          <w:rFonts w:ascii="Times New Roman" w:hAnsi="Times New Roman"/>
          <w:sz w:val="24"/>
          <w:szCs w:val="24"/>
        </w:rPr>
      </w:pPr>
      <w:r>
        <w:rPr>
          <w:rFonts w:ascii="Times New Roman" w:hAnsi="Times New Roman"/>
          <w:sz w:val="24"/>
          <w:szCs w:val="24"/>
        </w:rPr>
        <w:t>2.8如调试后达不到合同规定的质量或技术指标要求用户有权提出退货，并予以退回货款。</w:t>
      </w:r>
    </w:p>
    <w:p>
      <w:pPr>
        <w:pStyle w:val="4"/>
        <w:numPr>
          <w:ilvl w:val="0"/>
          <w:numId w:val="9"/>
        </w:numPr>
        <w:spacing w:before="0" w:after="0" w:line="240" w:lineRule="auto"/>
        <w:rPr>
          <w:rFonts w:ascii="Times New Roman" w:hAnsi="Times New Roman" w:eastAsia="宋体"/>
          <w:sz w:val="24"/>
          <w:szCs w:val="24"/>
        </w:rPr>
      </w:pPr>
      <w:bookmarkStart w:id="149" w:name="_Toc197842252"/>
      <w:bookmarkStart w:id="150" w:name="_Toc256088518"/>
      <w:bookmarkStart w:id="151" w:name="_Toc5943"/>
      <w:bookmarkStart w:id="152" w:name="_Toc12910"/>
      <w:r>
        <w:rPr>
          <w:rFonts w:ascii="Times New Roman" w:hAnsi="Times New Roman" w:eastAsia="宋体"/>
          <w:sz w:val="24"/>
          <w:szCs w:val="24"/>
        </w:rPr>
        <w:t>培训</w:t>
      </w:r>
      <w:bookmarkEnd w:id="149"/>
      <w:bookmarkEnd w:id="150"/>
      <w:bookmarkEnd w:id="151"/>
      <w:bookmarkEnd w:id="152"/>
    </w:p>
    <w:p>
      <w:pPr>
        <w:pStyle w:val="18"/>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sz w:val="24"/>
          <w:szCs w:val="24"/>
        </w:rPr>
      </w:pPr>
      <w:r>
        <w:rPr>
          <w:rFonts w:ascii="Times New Roman" w:hAnsi="Times New Roman"/>
          <w:sz w:val="24"/>
          <w:szCs w:val="24"/>
        </w:rPr>
        <w:t>3.1</w:t>
      </w:r>
      <w:r>
        <w:rPr>
          <w:rFonts w:hint="eastAsia" w:ascii="Times New Roman" w:hAnsi="Times New Roman"/>
          <w:sz w:val="24"/>
          <w:szCs w:val="24"/>
        </w:rPr>
        <w:t>现场培训：装机完成，厂家提供免费的现场流程测试和使用培训，根据客户需求对使用人员进行现场的上机使用培训，建议培训人员为</w:t>
      </w:r>
      <w:r>
        <w:rPr>
          <w:rFonts w:ascii="Times New Roman" w:hAnsi="Times New Roman"/>
          <w:sz w:val="24"/>
          <w:szCs w:val="24"/>
        </w:rPr>
        <w:t>2-6</w:t>
      </w:r>
      <w:r>
        <w:rPr>
          <w:rFonts w:hint="eastAsia" w:ascii="Times New Roman" w:hAnsi="Times New Roman"/>
          <w:sz w:val="24"/>
          <w:szCs w:val="24"/>
        </w:rPr>
        <w:t>人。</w:t>
      </w:r>
    </w:p>
    <w:p>
      <w:pPr>
        <w:pStyle w:val="18"/>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hint="eastAsia" w:ascii="Times New Roman" w:hAnsi="Times New Roman"/>
          <w:sz w:val="24"/>
          <w:szCs w:val="24"/>
        </w:rPr>
        <w:t>全国培训班：每年提供至少</w:t>
      </w:r>
      <w:r>
        <w:rPr>
          <w:rFonts w:ascii="Times New Roman" w:hAnsi="Times New Roman"/>
          <w:sz w:val="24"/>
          <w:szCs w:val="24"/>
        </w:rPr>
        <w:t>3</w:t>
      </w:r>
      <w:r>
        <w:rPr>
          <w:rFonts w:hint="eastAsia" w:ascii="Times New Roman" w:hAnsi="Times New Roman"/>
          <w:sz w:val="24"/>
          <w:szCs w:val="24"/>
        </w:rPr>
        <w:t>场的全国自动化工作站应用培训班，每年提供</w:t>
      </w:r>
      <w:r>
        <w:rPr>
          <w:rFonts w:ascii="Times New Roman" w:hAnsi="Times New Roman"/>
          <w:sz w:val="24"/>
          <w:szCs w:val="24"/>
        </w:rPr>
        <w:t>4</w:t>
      </w:r>
      <w:r>
        <w:rPr>
          <w:rFonts w:hint="eastAsia" w:ascii="Times New Roman" w:hAnsi="Times New Roman"/>
          <w:sz w:val="24"/>
          <w:szCs w:val="24"/>
        </w:rPr>
        <w:t>个免培训费的培训名额，用户可自行选择参加场次。</w:t>
      </w:r>
    </w:p>
    <w:p>
      <w:pPr>
        <w:pStyle w:val="4"/>
        <w:numPr>
          <w:ilvl w:val="0"/>
          <w:numId w:val="9"/>
        </w:numPr>
        <w:spacing w:before="0" w:after="0" w:line="240" w:lineRule="auto"/>
        <w:rPr>
          <w:rFonts w:ascii="Times New Roman" w:hAnsi="Times New Roman" w:eastAsia="宋体"/>
          <w:sz w:val="24"/>
          <w:szCs w:val="24"/>
        </w:rPr>
      </w:pPr>
      <w:bookmarkStart w:id="153" w:name="_Toc12757"/>
      <w:bookmarkStart w:id="154" w:name="_Toc197842253"/>
      <w:bookmarkStart w:id="155" w:name="_Toc256088519"/>
      <w:bookmarkStart w:id="156" w:name="_Toc6601"/>
      <w:r>
        <w:rPr>
          <w:rFonts w:ascii="Times New Roman" w:hAnsi="Times New Roman" w:eastAsia="宋体"/>
          <w:sz w:val="24"/>
          <w:szCs w:val="24"/>
        </w:rPr>
        <w:t>售后服务</w:t>
      </w:r>
      <w:bookmarkEnd w:id="153"/>
      <w:bookmarkEnd w:id="154"/>
      <w:bookmarkEnd w:id="155"/>
      <w:bookmarkEnd w:id="156"/>
    </w:p>
    <w:p>
      <w:pPr>
        <w:ind w:left="480" w:hanging="480" w:hangingChars="200"/>
        <w:rPr>
          <w:sz w:val="24"/>
          <w:szCs w:val="24"/>
        </w:rPr>
      </w:pPr>
      <w:r>
        <w:rPr>
          <w:sz w:val="24"/>
          <w:szCs w:val="24"/>
        </w:rPr>
        <w:t>4.1 售后服务保证：投标方</w:t>
      </w:r>
      <w:r>
        <w:rPr>
          <w:rFonts w:hint="eastAsia"/>
          <w:sz w:val="24"/>
          <w:szCs w:val="24"/>
          <w:lang w:eastAsia="zh-CN"/>
        </w:rPr>
        <w:t>在本地</w:t>
      </w:r>
      <w:r>
        <w:t>内</w:t>
      </w:r>
      <w:r>
        <w:rPr>
          <w:sz w:val="24"/>
          <w:szCs w:val="24"/>
        </w:rPr>
        <w:t>应设有维修服务部门和零备件库。请投标方出示修服务部门和零备件仓库的营业执照复印件。并提供专职的维修工程师名单。</w:t>
      </w:r>
    </w:p>
    <w:p>
      <w:pPr>
        <w:ind w:left="480" w:hanging="480" w:hangingChars="200"/>
        <w:rPr>
          <w:color w:val="000000" w:themeColor="text1"/>
          <w:sz w:val="24"/>
          <w:szCs w:val="24"/>
        </w:rPr>
      </w:pPr>
      <w:r>
        <w:rPr>
          <w:color w:val="000000" w:themeColor="text1"/>
          <w:sz w:val="24"/>
          <w:szCs w:val="24"/>
        </w:rPr>
        <w:t>4.2* 产品免费全机（含附件、硬、软件）保修期为</w:t>
      </w:r>
      <w:r>
        <w:rPr>
          <w:rFonts w:hint="eastAsia"/>
          <w:color w:val="000000" w:themeColor="text1"/>
          <w:sz w:val="24"/>
          <w:szCs w:val="24"/>
        </w:rPr>
        <w:t>2</w:t>
      </w:r>
      <w:r>
        <w:rPr>
          <w:color w:val="000000" w:themeColor="text1"/>
          <w:sz w:val="24"/>
          <w:szCs w:val="24"/>
        </w:rPr>
        <w:t>年，验收合格后进入保修期。</w:t>
      </w:r>
      <w:r>
        <w:rPr>
          <w:rFonts w:hint="eastAsia"/>
          <w:color w:val="000000" w:themeColor="text1"/>
          <w:sz w:val="24"/>
          <w:szCs w:val="24"/>
        </w:rPr>
        <w:t>（此保修期内开机率〉98%（按365天计算），拟年累计故障不超过6天，每超过一天，按该机日均检查收费额累计赔偿，设备终生维护。）</w:t>
      </w:r>
    </w:p>
    <w:p>
      <w:pPr>
        <w:rPr>
          <w:sz w:val="24"/>
          <w:szCs w:val="24"/>
        </w:rPr>
      </w:pPr>
      <w:r>
        <w:rPr>
          <w:sz w:val="24"/>
          <w:szCs w:val="24"/>
        </w:rPr>
        <w:t>4.3 配件供应：</w:t>
      </w:r>
    </w:p>
    <w:p>
      <w:pPr>
        <w:rPr>
          <w:sz w:val="24"/>
          <w:szCs w:val="24"/>
        </w:rPr>
      </w:pPr>
      <w:r>
        <w:rPr>
          <w:sz w:val="24"/>
          <w:szCs w:val="24"/>
        </w:rPr>
        <w:t>4.31如有备件，卖方应随机向买方提供一套标准备件包，并列出清单及单价。</w:t>
      </w:r>
    </w:p>
    <w:p>
      <w:pPr>
        <w:rPr>
          <w:sz w:val="24"/>
          <w:szCs w:val="24"/>
        </w:rPr>
      </w:pPr>
      <w:r>
        <w:rPr>
          <w:sz w:val="24"/>
          <w:szCs w:val="24"/>
        </w:rPr>
        <w:t>4.32为保证设备正常运行，卖方应在中国境内方便的地点设置备件库，存入所有必须的备件，并保证10年以上的供应期。</w:t>
      </w:r>
    </w:p>
    <w:p>
      <w:pPr>
        <w:rPr>
          <w:sz w:val="24"/>
          <w:szCs w:val="24"/>
        </w:rPr>
      </w:pPr>
      <w:r>
        <w:rPr>
          <w:sz w:val="24"/>
          <w:szCs w:val="24"/>
        </w:rPr>
        <w:t>4.33专用工具：如有备件，卖方应随机向买方提供一套标准备件包，并列出清单及单价。</w:t>
      </w:r>
    </w:p>
    <w:p>
      <w:pPr>
        <w:rPr>
          <w:sz w:val="24"/>
          <w:szCs w:val="24"/>
        </w:rPr>
      </w:pPr>
      <w:r>
        <w:rPr>
          <w:sz w:val="24"/>
          <w:szCs w:val="24"/>
        </w:rPr>
        <w:t>4.34为保证设备正常运行，卖方应在中国境内方便的地点设置备件库，存入所有必须的备件，并保证10年以上的供应期。</w:t>
      </w:r>
    </w:p>
    <w:p>
      <w:pPr>
        <w:ind w:left="480" w:hanging="480" w:hangingChars="200"/>
        <w:rPr>
          <w:sz w:val="24"/>
          <w:szCs w:val="24"/>
        </w:rPr>
      </w:pPr>
      <w:r>
        <w:rPr>
          <w:sz w:val="24"/>
          <w:szCs w:val="24"/>
        </w:rPr>
        <w:t>4.4 软件终生免费升级。</w:t>
      </w:r>
    </w:p>
    <w:p>
      <w:pPr>
        <w:ind w:left="360" w:hanging="360" w:hangingChars="150"/>
        <w:rPr>
          <w:sz w:val="24"/>
          <w:szCs w:val="24"/>
        </w:rPr>
      </w:pPr>
      <w:r>
        <w:rPr>
          <w:sz w:val="24"/>
          <w:szCs w:val="24"/>
        </w:rPr>
        <w:t>4.5 维修响应时间：接到故障通知后2小时内响应，24小时内到达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有责任向用户说明故障的解决方法，提供优惠的配件供应，配件到达日期：不超过2天到达现场，每超过1天，按该机日均检查额累计赔偿。</w:t>
      </w:r>
    </w:p>
    <w:p>
      <w:pPr>
        <w:rPr>
          <w:sz w:val="24"/>
          <w:szCs w:val="24"/>
        </w:rPr>
      </w:pPr>
      <w:r>
        <w:rPr>
          <w:sz w:val="24"/>
          <w:szCs w:val="24"/>
        </w:rPr>
        <w:t>4.6 提供保修期后无偿技术支持。</w:t>
      </w:r>
    </w:p>
    <w:p>
      <w:pPr>
        <w:rPr>
          <w:sz w:val="24"/>
          <w:szCs w:val="24"/>
        </w:rPr>
      </w:pPr>
      <w:r>
        <w:rPr>
          <w:sz w:val="24"/>
          <w:szCs w:val="24"/>
        </w:rPr>
        <w:t>4.7 投标方必须提供维修、检测和报错系统软件。</w:t>
      </w:r>
    </w:p>
    <w:p>
      <w:pPr>
        <w:pStyle w:val="30"/>
        <w:spacing w:before="0" w:beforeAutospacing="0" w:after="0" w:afterAutospacing="0" w:line="360" w:lineRule="atLeast"/>
        <w:rPr>
          <w:rFonts w:ascii="Times New Roman" w:hAnsi="Times New Roman" w:cs="Times New Roman"/>
        </w:rPr>
      </w:pPr>
      <w:r>
        <w:rPr>
          <w:rFonts w:ascii="Times New Roman" w:hAnsi="Times New Roman" w:cs="Times New Roman"/>
          <w:kern w:val="2"/>
        </w:rPr>
        <w:t>4.8 保修期后的维修费用，先修后付款，零备件的购买，先交货后付款。</w:t>
      </w:r>
    </w:p>
    <w:p>
      <w:pPr>
        <w:rPr>
          <w:sz w:val="24"/>
          <w:szCs w:val="24"/>
        </w:rPr>
      </w:pPr>
      <w:r>
        <w:rPr>
          <w:sz w:val="24"/>
          <w:szCs w:val="24"/>
        </w:rPr>
        <w:t>4.9 国内（包括新疆地区）有维修站和维修工程师，并提供联系电话和地址。</w:t>
      </w:r>
    </w:p>
    <w:p>
      <w:pPr>
        <w:pStyle w:val="32"/>
        <w:ind w:firstLine="0" w:firstLineChars="0"/>
        <w:rPr>
          <w:rFonts w:ascii="宋体" w:hAnsi="宋体"/>
        </w:rPr>
      </w:pPr>
      <w:r>
        <w:rPr>
          <w:rFonts w:ascii="宋体" w:hAnsi="宋体"/>
        </w:rPr>
        <w:t>4.10*</w:t>
      </w:r>
      <w:r>
        <w:rPr>
          <w:rFonts w:hint="eastAsia" w:ascii="宋体" w:hAnsi="宋体"/>
        </w:rPr>
        <w:t>设备需与买方现有软件系统匹配，数据传输接口符合买方要求，由此产生的一切费用由卖方承担。</w:t>
      </w:r>
    </w:p>
    <w:p>
      <w:pPr>
        <w:pStyle w:val="4"/>
        <w:numPr>
          <w:ilvl w:val="0"/>
          <w:numId w:val="9"/>
        </w:numPr>
        <w:spacing w:before="0" w:after="0" w:line="240" w:lineRule="auto"/>
        <w:rPr>
          <w:rFonts w:ascii="Times New Roman" w:hAnsi="Times New Roman" w:eastAsia="宋体"/>
          <w:b w:val="0"/>
          <w:bCs/>
          <w:color w:val="000000" w:themeColor="text1"/>
          <w:sz w:val="24"/>
          <w:szCs w:val="24"/>
        </w:rPr>
      </w:pPr>
      <w:bookmarkStart w:id="157" w:name="_Toc22823"/>
      <w:bookmarkStart w:id="158" w:name="_Toc197842254"/>
      <w:bookmarkStart w:id="159" w:name="_Toc256088520"/>
      <w:bookmarkStart w:id="160" w:name="_Toc1559"/>
      <w:r>
        <w:rPr>
          <w:rFonts w:ascii="Times New Roman" w:hAnsi="Times New Roman" w:eastAsia="宋体"/>
          <w:b w:val="0"/>
          <w:bCs/>
          <w:color w:val="000000" w:themeColor="text1"/>
          <w:sz w:val="24"/>
          <w:szCs w:val="24"/>
        </w:rPr>
        <w:t>报价要求</w:t>
      </w:r>
      <w:bookmarkEnd w:id="157"/>
      <w:bookmarkEnd w:id="158"/>
      <w:bookmarkEnd w:id="159"/>
      <w:bookmarkEnd w:id="160"/>
    </w:p>
    <w:bookmarkEnd w:id="135"/>
    <w:bookmarkEnd w:id="136"/>
    <w:bookmarkEnd w:id="137"/>
    <w:bookmarkEnd w:id="138"/>
    <w:bookmarkEnd w:id="139"/>
    <w:bookmarkEnd w:id="140"/>
    <w:p>
      <w:pPr>
        <w:rPr>
          <w:bCs/>
          <w:color w:val="000000" w:themeColor="text1"/>
          <w:sz w:val="24"/>
          <w:szCs w:val="24"/>
        </w:rPr>
      </w:pPr>
      <w:bookmarkStart w:id="161" w:name="_Toc349637943"/>
      <w:bookmarkStart w:id="162" w:name="_Toc349573144"/>
      <w:bookmarkStart w:id="163" w:name="_Toc298240429"/>
      <w:r>
        <w:rPr>
          <w:rFonts w:hint="eastAsia"/>
          <w:bCs/>
          <w:color w:val="000000" w:themeColor="text1"/>
          <w:sz w:val="24"/>
          <w:szCs w:val="24"/>
        </w:rPr>
        <w:t>5.1</w:t>
      </w:r>
      <w:r>
        <w:rPr>
          <w:bCs/>
          <w:color w:val="000000" w:themeColor="text1"/>
          <w:sz w:val="24"/>
          <w:szCs w:val="24"/>
        </w:rPr>
        <w:t>从中华人民共和国关境内提供的货物：</w:t>
      </w:r>
    </w:p>
    <w:p>
      <w:pPr>
        <w:numPr>
          <w:ilvl w:val="0"/>
          <w:numId w:val="10"/>
        </w:numPr>
        <w:rPr>
          <w:bCs/>
          <w:color w:val="000000" w:themeColor="text1"/>
          <w:sz w:val="24"/>
          <w:szCs w:val="24"/>
        </w:rPr>
      </w:pPr>
      <w:r>
        <w:rPr>
          <w:bCs/>
          <w:color w:val="000000" w:themeColor="text1"/>
          <w:sz w:val="24"/>
          <w:szCs w:val="24"/>
        </w:rPr>
        <w:t>关境内制造的货物</w:t>
      </w:r>
    </w:p>
    <w:p>
      <w:pPr>
        <w:rPr>
          <w:bCs/>
          <w:color w:val="000000" w:themeColor="text1"/>
          <w:sz w:val="24"/>
          <w:szCs w:val="24"/>
        </w:rPr>
      </w:pPr>
      <w:r>
        <w:rPr>
          <w:bCs/>
          <w:color w:val="000000" w:themeColor="text1"/>
          <w:sz w:val="24"/>
          <w:szCs w:val="24"/>
        </w:rPr>
        <w:t>①报所供货物的EXW（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pPr>
        <w:rPr>
          <w:bCs/>
          <w:color w:val="000000" w:themeColor="text1"/>
          <w:sz w:val="24"/>
          <w:szCs w:val="24"/>
        </w:rPr>
      </w:pPr>
      <w:r>
        <w:rPr>
          <w:bCs/>
          <w:color w:val="000000" w:themeColor="text1"/>
          <w:sz w:val="24"/>
          <w:szCs w:val="24"/>
        </w:rPr>
        <w:t>②如果投标资料表中有规定，报货物运至最终目的地的关境内运输、保险和伴随货物交运的有关费用。</w:t>
      </w:r>
    </w:p>
    <w:p>
      <w:pPr>
        <w:rPr>
          <w:bCs/>
          <w:color w:val="000000" w:themeColor="text1"/>
          <w:sz w:val="24"/>
          <w:szCs w:val="24"/>
        </w:rPr>
      </w:pPr>
      <w:r>
        <w:rPr>
          <w:bCs/>
          <w:color w:val="000000" w:themeColor="text1"/>
          <w:sz w:val="24"/>
          <w:szCs w:val="24"/>
        </w:rPr>
        <w:t>③报投标资料表中列出的其他伴随服务的费用(如果有的话)。</w:t>
      </w:r>
    </w:p>
    <w:p>
      <w:pPr>
        <w:numPr>
          <w:ilvl w:val="0"/>
          <w:numId w:val="11"/>
        </w:numPr>
        <w:rPr>
          <w:bCs/>
          <w:color w:val="000000" w:themeColor="text1"/>
          <w:sz w:val="24"/>
          <w:szCs w:val="24"/>
        </w:rPr>
      </w:pPr>
      <w:r>
        <w:rPr>
          <w:bCs/>
          <w:color w:val="000000" w:themeColor="text1"/>
          <w:sz w:val="24"/>
          <w:szCs w:val="24"/>
        </w:rPr>
        <w:t>投标截止时间前已经进口的货物</w:t>
      </w:r>
    </w:p>
    <w:p>
      <w:pPr>
        <w:rPr>
          <w:bCs/>
          <w:color w:val="000000" w:themeColor="text1"/>
          <w:sz w:val="24"/>
          <w:szCs w:val="24"/>
        </w:rPr>
      </w:pPr>
      <w:r>
        <w:rPr>
          <w:bCs/>
          <w:color w:val="000000" w:themeColor="text1"/>
          <w:sz w:val="24"/>
          <w:szCs w:val="24"/>
        </w:rPr>
        <w:t>①报仓库交货价、展室交货价或货架交货价的，除应包括要向中华人民共和国政府缴纳的增值税和其它税，还应包括货物在从关境外进口时已交纳或应交纳的全部关税、增值税和其它税。</w:t>
      </w:r>
    </w:p>
    <w:p>
      <w:pPr>
        <w:rPr>
          <w:bCs/>
          <w:color w:val="000000" w:themeColor="text1"/>
          <w:sz w:val="24"/>
          <w:szCs w:val="24"/>
        </w:rPr>
      </w:pPr>
      <w:r>
        <w:rPr>
          <w:bCs/>
          <w:color w:val="000000" w:themeColor="text1"/>
          <w:sz w:val="24"/>
          <w:szCs w:val="24"/>
        </w:rPr>
        <w:t>②如果投标资料表中有规定，报货物运至最终目的地的关境内运输、保险和伴随货物交运的有关费用。</w:t>
      </w:r>
    </w:p>
    <w:p>
      <w:pPr>
        <w:rPr>
          <w:bCs/>
          <w:color w:val="000000" w:themeColor="text1"/>
          <w:sz w:val="24"/>
          <w:szCs w:val="24"/>
        </w:rPr>
      </w:pPr>
      <w:r>
        <w:rPr>
          <w:bCs/>
          <w:color w:val="000000" w:themeColor="text1"/>
          <w:sz w:val="24"/>
          <w:szCs w:val="24"/>
        </w:rPr>
        <w:t xml:space="preserve">③报投标资料表中列出的其他伴随服务的费用(如果有的话)。 </w:t>
      </w:r>
    </w:p>
    <w:p>
      <w:pPr>
        <w:rPr>
          <w:bCs/>
          <w:color w:val="000000" w:themeColor="text1"/>
          <w:sz w:val="24"/>
          <w:szCs w:val="24"/>
        </w:rPr>
      </w:pPr>
      <w:r>
        <w:rPr>
          <w:rFonts w:hint="eastAsia"/>
          <w:bCs/>
          <w:color w:val="000000" w:themeColor="text1"/>
          <w:sz w:val="24"/>
          <w:szCs w:val="24"/>
        </w:rPr>
        <w:t>5.2</w:t>
      </w:r>
      <w:r>
        <w:rPr>
          <w:bCs/>
          <w:color w:val="000000" w:themeColor="text1"/>
          <w:sz w:val="24"/>
          <w:szCs w:val="24"/>
        </w:rPr>
        <w:t>从中华人民共和国关境外提供的货物：</w:t>
      </w:r>
    </w:p>
    <w:p>
      <w:pPr>
        <w:rPr>
          <w:bCs/>
          <w:color w:val="000000" w:themeColor="text1"/>
          <w:sz w:val="24"/>
          <w:szCs w:val="24"/>
        </w:rPr>
      </w:pPr>
      <w:r>
        <w:rPr>
          <w:bCs/>
          <w:color w:val="000000" w:themeColor="text1"/>
          <w:sz w:val="24"/>
          <w:szCs w:val="24"/>
        </w:rPr>
        <w:t xml:space="preserve">相关费用：免税进口。报价需包含设备及与本项目相关的安装、调试、培训、技术服务及招标文件中规定的保险、运输和其他相关伴随服务费用，及对美加征的进口关税（仅产品注册证产地为美国的产品），并列分项清单明细。 </w:t>
      </w:r>
    </w:p>
    <w:p>
      <w:pPr>
        <w:rPr>
          <w:bCs/>
          <w:color w:val="000000" w:themeColor="text1"/>
          <w:sz w:val="24"/>
          <w:szCs w:val="24"/>
        </w:rPr>
      </w:pPr>
      <w:r>
        <w:rPr>
          <w:bCs/>
          <w:color w:val="000000" w:themeColor="text1"/>
          <w:sz w:val="24"/>
          <w:szCs w:val="24"/>
        </w:rPr>
        <w:t xml:space="preserve">投标人从中华人民共和国关境内提供的货物和服务以人民币报价。 </w:t>
      </w:r>
    </w:p>
    <w:p>
      <w:pPr>
        <w:rPr>
          <w:bCs/>
          <w:color w:val="000000" w:themeColor="text1"/>
          <w:sz w:val="24"/>
          <w:szCs w:val="24"/>
        </w:rPr>
      </w:pPr>
      <w:r>
        <w:rPr>
          <w:bCs/>
          <w:color w:val="000000" w:themeColor="text1"/>
          <w:sz w:val="24"/>
          <w:szCs w:val="24"/>
        </w:rPr>
        <w:t>投标人从中华人民共和国关境外提供的货物和服务以美元和人民币报价。</w:t>
      </w:r>
    </w:p>
    <w:p>
      <w:pPr>
        <w:rPr>
          <w:bCs/>
          <w:color w:val="000000" w:themeColor="text1"/>
          <w:sz w:val="24"/>
          <w:szCs w:val="24"/>
        </w:rPr>
      </w:pPr>
      <w:r>
        <w:rPr>
          <w:bCs/>
          <w:color w:val="000000" w:themeColor="text1"/>
          <w:sz w:val="24"/>
          <w:szCs w:val="24"/>
        </w:rPr>
        <w:t>5.</w:t>
      </w:r>
      <w:r>
        <w:rPr>
          <w:rFonts w:hint="eastAsia"/>
          <w:bCs/>
          <w:color w:val="000000" w:themeColor="text1"/>
          <w:sz w:val="24"/>
          <w:szCs w:val="24"/>
        </w:rPr>
        <w:t>3</w:t>
      </w:r>
      <w:r>
        <w:rPr>
          <w:bCs/>
          <w:color w:val="000000" w:themeColor="text1"/>
          <w:sz w:val="24"/>
          <w:szCs w:val="24"/>
        </w:rPr>
        <w:t>买方指定交货地（设备使用地）交货价；</w:t>
      </w:r>
    </w:p>
    <w:p>
      <w:pPr>
        <w:ind w:left="-2" w:hanging="2"/>
        <w:rPr>
          <w:bCs/>
          <w:color w:val="000000" w:themeColor="text1"/>
          <w:sz w:val="24"/>
        </w:rPr>
      </w:pPr>
      <w:r>
        <w:rPr>
          <w:bCs/>
          <w:color w:val="000000" w:themeColor="text1"/>
          <w:sz w:val="24"/>
          <w:szCs w:val="24"/>
        </w:rPr>
        <w:t>5.</w:t>
      </w:r>
      <w:r>
        <w:rPr>
          <w:rFonts w:hint="eastAsia"/>
          <w:bCs/>
          <w:color w:val="000000" w:themeColor="text1"/>
          <w:sz w:val="24"/>
          <w:szCs w:val="24"/>
        </w:rPr>
        <w:t>4</w:t>
      </w:r>
      <w:r>
        <w:rPr>
          <w:bCs/>
          <w:color w:val="000000" w:themeColor="text1"/>
          <w:kern w:val="0"/>
          <w:sz w:val="24"/>
          <w:szCs w:val="24"/>
          <w:lang w:val="zh-CN"/>
        </w:rPr>
        <w:t>提供主要零配件、易损件供应</w:t>
      </w:r>
      <w:r>
        <w:rPr>
          <w:bCs/>
          <w:color w:val="000000" w:themeColor="text1"/>
          <w:sz w:val="24"/>
          <w:szCs w:val="24"/>
        </w:rPr>
        <w:t>的（</w:t>
      </w:r>
      <w:r>
        <w:rPr>
          <w:rFonts w:hint="eastAsia"/>
          <w:bCs/>
          <w:color w:val="000000" w:themeColor="text1"/>
          <w:sz w:val="24"/>
          <w:szCs w:val="24"/>
        </w:rPr>
        <w:t>耗材）</w:t>
      </w:r>
      <w:r>
        <w:rPr>
          <w:bCs/>
          <w:color w:val="000000" w:themeColor="text1"/>
          <w:sz w:val="24"/>
          <w:szCs w:val="24"/>
        </w:rPr>
        <w:t>清单以及所需提供的相关服务的费用，并分项报价（应包括在总价内）。清单内容应包括：名称、数量、型号、产</w:t>
      </w:r>
      <w:r>
        <w:rPr>
          <w:bCs/>
          <w:color w:val="000000" w:themeColor="text1"/>
          <w:sz w:val="24"/>
        </w:rPr>
        <w:t>地、制造商、单价、总价。</w:t>
      </w:r>
    </w:p>
    <w:p>
      <w:pPr>
        <w:pStyle w:val="30"/>
        <w:spacing w:before="0" w:beforeAutospacing="0" w:after="0" w:afterAutospacing="0" w:line="360" w:lineRule="atLeast"/>
        <w:rPr>
          <w:rFonts w:ascii="Times New Roman" w:hAnsi="Times New Roman" w:cs="Times New Roman"/>
          <w:bCs/>
          <w:color w:val="000000" w:themeColor="text1"/>
          <w:kern w:val="2"/>
        </w:rPr>
      </w:pPr>
      <w:r>
        <w:rPr>
          <w:rFonts w:ascii="Times New Roman" w:hAnsi="Times New Roman" w:cs="Times New Roman"/>
          <w:bCs/>
          <w:color w:val="000000" w:themeColor="text1"/>
          <w:kern w:val="2"/>
        </w:rPr>
        <w:t>5.</w:t>
      </w:r>
      <w:r>
        <w:rPr>
          <w:rFonts w:hint="eastAsia" w:ascii="Times New Roman" w:hAnsi="Times New Roman" w:cs="Times New Roman"/>
          <w:bCs/>
          <w:color w:val="000000" w:themeColor="text1"/>
          <w:kern w:val="2"/>
        </w:rPr>
        <w:t>5</w:t>
      </w:r>
      <w:r>
        <w:rPr>
          <w:rFonts w:ascii="Times New Roman" w:hAnsi="Times New Roman" w:cs="Times New Roman"/>
          <w:bCs/>
          <w:color w:val="000000" w:themeColor="text1"/>
          <w:kern w:val="2"/>
        </w:rPr>
        <w:t>所有货物均应以人民币报价，金额单位元，报价人所</w:t>
      </w:r>
      <w:r>
        <w:rPr>
          <w:rFonts w:hint="eastAsia" w:ascii="Times New Roman" w:hAnsi="Times New Roman" w:cs="Times New Roman"/>
          <w:bCs/>
          <w:color w:val="000000" w:themeColor="text1"/>
          <w:kern w:val="2"/>
        </w:rPr>
        <w:t xml:space="preserve">报价应包括所有设备和辅助产品、材料的采购、安装调试、运输费、验收费、保险、人员培训、税费、利润等及质保售后服务期间所有发生一切费（本项目为交钥匙项目）。 </w:t>
      </w:r>
    </w:p>
    <w:p>
      <w:pPr>
        <w:pStyle w:val="30"/>
        <w:spacing w:before="0" w:beforeAutospacing="0" w:after="0" w:afterAutospacing="0" w:line="360" w:lineRule="exact"/>
        <w:rPr>
          <w:rFonts w:ascii="Times New Roman" w:hAnsi="Times New Roman" w:cs="Times New Roman"/>
          <w:bCs/>
          <w:color w:val="000000" w:themeColor="text1"/>
          <w:kern w:val="2"/>
        </w:rPr>
      </w:pPr>
      <w:r>
        <w:rPr>
          <w:rFonts w:hint="eastAsia" w:ascii="Times New Roman" w:hAnsi="Times New Roman" w:cs="Times New Roman"/>
          <w:bCs/>
          <w:color w:val="000000" w:themeColor="text1"/>
          <w:kern w:val="2"/>
        </w:rPr>
        <w:t>5.6境外产品不含关税、进口环节税、外贸代理费（外贸代理公司由招标人指定）。</w:t>
      </w:r>
    </w:p>
    <w:p>
      <w:pPr>
        <w:pStyle w:val="30"/>
        <w:spacing w:beforeAutospacing="0" w:afterAutospacing="0" w:line="360" w:lineRule="exact"/>
        <w:rPr>
          <w:rFonts w:ascii="Times New Roman" w:hAnsi="Times New Roman" w:cs="Times New Roman"/>
          <w:bCs/>
          <w:color w:val="000000" w:themeColor="text1"/>
          <w:kern w:val="2"/>
        </w:rPr>
      </w:pPr>
      <w:r>
        <w:rPr>
          <w:rFonts w:hint="eastAsia" w:ascii="Times New Roman" w:hAnsi="Times New Roman" w:cs="Times New Roman"/>
          <w:bCs/>
          <w:color w:val="000000" w:themeColor="text1"/>
          <w:kern w:val="2"/>
        </w:rPr>
        <w:t>免税项目：投标报价不含进口关税、进口增值税。但如果投标设备原产地系美国， 则投标报价还需包含但不限于对美加征的进口关税，不包含对美加征的进口关税相应的进口增值税。</w:t>
      </w:r>
    </w:p>
    <w:p>
      <w:pPr>
        <w:pStyle w:val="30"/>
        <w:spacing w:beforeAutospacing="0" w:afterAutospacing="0" w:line="360" w:lineRule="exact"/>
        <w:rPr>
          <w:rFonts w:ascii="Times New Roman" w:hAnsi="Times New Roman" w:cs="Times New Roman"/>
          <w:bCs/>
          <w:color w:val="000000" w:themeColor="text1"/>
          <w:kern w:val="2"/>
        </w:rPr>
      </w:pPr>
      <w:r>
        <w:rPr>
          <w:rFonts w:hint="eastAsia" w:ascii="Times New Roman" w:hAnsi="Times New Roman" w:cs="Times New Roman"/>
          <w:bCs/>
          <w:color w:val="000000" w:themeColor="text1"/>
          <w:kern w:val="2"/>
        </w:rPr>
        <w:t xml:space="preserve">征税项目：投标报价包含进口关税、进口增值税。如投标设备原 产地系美国，则投标报价还需包含但不限于对美加征的进口关税及其进口增值税。 </w:t>
      </w:r>
    </w:p>
    <w:p>
      <w:pPr>
        <w:pStyle w:val="30"/>
        <w:spacing w:before="0" w:beforeAutospacing="0" w:after="0" w:afterAutospacing="0" w:line="360" w:lineRule="exact"/>
        <w:rPr>
          <w:rFonts w:ascii="Times New Roman" w:hAnsi="Times New Roman" w:cs="Times New Roman"/>
          <w:bCs/>
          <w:color w:val="000000" w:themeColor="text1"/>
          <w:kern w:val="2"/>
        </w:rPr>
      </w:pPr>
      <w:r>
        <w:rPr>
          <w:rFonts w:hint="eastAsia" w:ascii="Times New Roman" w:hAnsi="Times New Roman" w:cs="Times New Roman"/>
          <w:bCs/>
          <w:color w:val="000000" w:themeColor="text1"/>
          <w:kern w:val="2"/>
        </w:rPr>
        <w:t>5.7境外产品具有加征关税、加征增值税及设备加征税款部分的其他费用，均包含在设备报价总价中。</w:t>
      </w:r>
    </w:p>
    <w:p>
      <w:pPr>
        <w:pStyle w:val="30"/>
        <w:spacing w:before="0" w:beforeAutospacing="0" w:after="0" w:afterAutospacing="0" w:line="360" w:lineRule="exact"/>
        <w:rPr>
          <w:rFonts w:ascii="Times New Roman" w:hAnsi="Times New Roman" w:cs="Times New Roman"/>
          <w:bCs/>
          <w:color w:val="000000" w:themeColor="text1"/>
          <w:kern w:val="2"/>
        </w:rPr>
      </w:pPr>
      <w:r>
        <w:rPr>
          <w:rFonts w:hint="eastAsia" w:ascii="Times New Roman" w:hAnsi="Times New Roman" w:cs="Times New Roman"/>
          <w:bCs/>
          <w:color w:val="000000" w:themeColor="text1"/>
          <w:kern w:val="2"/>
        </w:rPr>
        <w:t xml:space="preserve">5.8投标报价：供应商应在开标一览表中标明其提供的所有货物及相关工作范围内所有费用的总价。 </w:t>
      </w:r>
    </w:p>
    <w:p>
      <w:pPr>
        <w:pStyle w:val="4"/>
        <w:spacing w:before="0" w:after="0" w:line="360" w:lineRule="exact"/>
        <w:rPr>
          <w:rFonts w:hint="eastAsia" w:ascii="Times New Roman" w:hAnsi="Times New Roman" w:eastAsia="宋体"/>
          <w:b w:val="0"/>
          <w:bCs/>
          <w:color w:val="000000" w:themeColor="text1"/>
          <w:sz w:val="24"/>
          <w:szCs w:val="24"/>
          <w:highlight w:val="yellow"/>
        </w:rPr>
      </w:pPr>
      <w:bookmarkStart w:id="164" w:name="_Toc16234"/>
      <w:bookmarkStart w:id="165" w:name="_Toc9662"/>
      <w:bookmarkStart w:id="166" w:name="_Toc20383"/>
      <w:r>
        <w:rPr>
          <w:rFonts w:ascii="Times New Roman" w:hAnsi="Times New Roman" w:eastAsia="宋体"/>
          <w:b w:val="0"/>
          <w:bCs/>
          <w:color w:val="000000" w:themeColor="text1"/>
          <w:sz w:val="24"/>
          <w:szCs w:val="24"/>
          <w:highlight w:val="yellow"/>
        </w:rPr>
        <w:t>6.采购人付款方式：</w:t>
      </w:r>
      <w:r>
        <w:rPr>
          <w:rFonts w:hint="eastAsia" w:ascii="Times New Roman" w:hAnsi="Times New Roman" w:eastAsia="宋体"/>
          <w:b w:val="0"/>
          <w:bCs/>
          <w:color w:val="000000" w:themeColor="text1"/>
          <w:sz w:val="24"/>
          <w:szCs w:val="24"/>
          <w:highlight w:val="yellow"/>
        </w:rPr>
        <w:t>货到验收合格后付95%，使用满一年后付5%</w:t>
      </w:r>
      <w:bookmarkEnd w:id="164"/>
      <w:bookmarkEnd w:id="165"/>
      <w:bookmarkEnd w:id="166"/>
      <w:bookmarkStart w:id="167" w:name="_Toc28961"/>
      <w:bookmarkStart w:id="168" w:name="_Toc424"/>
      <w:bookmarkStart w:id="169" w:name="_Toc30211"/>
      <w:r>
        <w:rPr>
          <w:rFonts w:hint="eastAsia" w:ascii="Times New Roman" w:hAnsi="Times New Roman" w:eastAsia="宋体"/>
          <w:b w:val="0"/>
          <w:bCs/>
          <w:color w:val="000000" w:themeColor="text1"/>
          <w:sz w:val="24"/>
          <w:szCs w:val="24"/>
          <w:highlight w:val="yellow"/>
        </w:rPr>
        <w:t>质保金。</w:t>
      </w:r>
    </w:p>
    <w:p>
      <w:pPr>
        <w:pStyle w:val="4"/>
        <w:spacing w:before="0" w:after="0" w:line="360" w:lineRule="exact"/>
        <w:rPr>
          <w:rFonts w:ascii="宋体" w:hAnsi="宋体" w:cs="宋体"/>
          <w:b w:val="0"/>
          <w:bCs/>
          <w:color w:val="000000" w:themeColor="text1"/>
          <w:kern w:val="0"/>
          <w:sz w:val="24"/>
          <w:highlight w:val="yellow"/>
        </w:rPr>
      </w:pPr>
      <w:r>
        <w:rPr>
          <w:rFonts w:ascii="Times New Roman" w:hAnsi="Times New Roman" w:eastAsia="宋体"/>
          <w:b w:val="0"/>
          <w:bCs/>
          <w:color w:val="000000" w:themeColor="text1"/>
          <w:sz w:val="24"/>
          <w:szCs w:val="24"/>
          <w:highlight w:val="yellow"/>
        </w:rPr>
        <w:t xml:space="preserve"> 7.交货日期：</w:t>
      </w:r>
      <w:bookmarkEnd w:id="167"/>
      <w:bookmarkEnd w:id="168"/>
      <w:bookmarkStart w:id="170" w:name="_Toc2457"/>
      <w:bookmarkStart w:id="171" w:name="_Toc24396"/>
      <w:r>
        <w:rPr>
          <w:rFonts w:hint="eastAsia" w:ascii="宋体" w:hAnsi="宋体" w:cs="宋体"/>
          <w:b w:val="0"/>
          <w:bCs/>
          <w:color w:val="000000" w:themeColor="text1"/>
          <w:spacing w:val="3"/>
          <w:sz w:val="24"/>
          <w:szCs w:val="24"/>
          <w:highlight w:val="yellow"/>
        </w:rPr>
        <w:t>交货时间</w:t>
      </w:r>
      <w:r>
        <w:rPr>
          <w:rFonts w:hint="eastAsia" w:ascii="宋体" w:hAnsi="宋体" w:cs="宋体"/>
          <w:b w:val="0"/>
          <w:bCs/>
          <w:color w:val="000000" w:themeColor="text1"/>
          <w:kern w:val="0"/>
          <w:sz w:val="24"/>
          <w:highlight w:val="yellow"/>
        </w:rPr>
        <w:t>≤40天</w:t>
      </w:r>
      <w:bookmarkEnd w:id="169"/>
      <w:r>
        <w:rPr>
          <w:rFonts w:hint="eastAsia" w:ascii="宋体" w:hAnsi="宋体" w:cs="宋体"/>
          <w:b w:val="0"/>
          <w:bCs/>
          <w:color w:val="000000" w:themeColor="text1"/>
          <w:kern w:val="0"/>
          <w:sz w:val="24"/>
          <w:highlight w:val="yellow"/>
        </w:rPr>
        <w:t>。</w:t>
      </w:r>
    </w:p>
    <w:p>
      <w:pPr>
        <w:pStyle w:val="4"/>
        <w:spacing w:before="0" w:after="0" w:line="360" w:lineRule="exact"/>
        <w:rPr>
          <w:rFonts w:ascii="Times New Roman" w:hAnsi="Times New Roman" w:eastAsia="宋体"/>
          <w:b w:val="0"/>
          <w:bCs/>
          <w:color w:val="000000" w:themeColor="text1"/>
          <w:sz w:val="24"/>
          <w:szCs w:val="24"/>
          <w:highlight w:val="yellow"/>
        </w:rPr>
      </w:pPr>
      <w:bookmarkStart w:id="172" w:name="_Toc8378"/>
      <w:r>
        <w:rPr>
          <w:rFonts w:ascii="Times New Roman" w:hAnsi="Times New Roman" w:eastAsia="宋体"/>
          <w:b w:val="0"/>
          <w:bCs/>
          <w:color w:val="000000" w:themeColor="text1"/>
          <w:sz w:val="24"/>
          <w:szCs w:val="24"/>
          <w:highlight w:val="yellow"/>
        </w:rPr>
        <w:t>8.交货地点：用户指定地点</w:t>
      </w:r>
      <w:bookmarkEnd w:id="170"/>
      <w:bookmarkEnd w:id="171"/>
      <w:bookmarkEnd w:id="172"/>
      <w:r>
        <w:rPr>
          <w:rFonts w:ascii="Times New Roman" w:hAnsi="Times New Roman" w:eastAsia="宋体"/>
          <w:b w:val="0"/>
          <w:bCs/>
          <w:color w:val="000000" w:themeColor="text1"/>
          <w:sz w:val="24"/>
          <w:szCs w:val="24"/>
          <w:highlight w:val="yellow"/>
        </w:rPr>
        <w:t>。</w:t>
      </w:r>
    </w:p>
    <w:p>
      <w:pPr>
        <w:rPr>
          <w:bCs/>
          <w:color w:val="000000" w:themeColor="text1"/>
          <w:highlight w:val="yellow"/>
        </w:rPr>
      </w:pPr>
      <w:r>
        <w:rPr>
          <w:rFonts w:hint="eastAsia"/>
          <w:bCs/>
          <w:color w:val="000000" w:themeColor="text1"/>
          <w:sz w:val="24"/>
          <w:szCs w:val="24"/>
          <w:highlight w:val="yellow"/>
        </w:rPr>
        <w:t>9.质保期：验收合格后三年。</w:t>
      </w:r>
    </w:p>
    <w:p>
      <w:pPr>
        <w:rPr>
          <w:bCs/>
          <w:color w:val="000000" w:themeColor="text1"/>
          <w:sz w:val="24"/>
          <w:szCs w:val="24"/>
        </w:rPr>
      </w:pPr>
    </w:p>
    <w:p>
      <w:pPr>
        <w:rPr>
          <w:bCs/>
          <w:color w:val="000000" w:themeColor="text1"/>
        </w:rPr>
      </w:pPr>
    </w:p>
    <w:p>
      <w:pPr>
        <w:pStyle w:val="32"/>
        <w:ind w:firstLine="240"/>
      </w:pPr>
    </w:p>
    <w:p>
      <w:pPr>
        <w:pStyle w:val="32"/>
        <w:ind w:firstLine="240"/>
      </w:pPr>
    </w:p>
    <w:p>
      <w:pPr>
        <w:tabs>
          <w:tab w:val="left" w:pos="360"/>
        </w:tabs>
        <w:spacing w:after="100"/>
        <w:jc w:val="center"/>
        <w:rPr>
          <w:sz w:val="32"/>
          <w:szCs w:val="32"/>
        </w:rPr>
        <w:sectPr>
          <w:headerReference r:id="rId8" w:type="first"/>
          <w:footerReference r:id="rId10" w:type="first"/>
          <w:footerReference r:id="rId9" w:type="default"/>
          <w:pgSz w:w="11907" w:h="16840"/>
          <w:pgMar w:top="1440" w:right="1080" w:bottom="1440" w:left="1080" w:header="851" w:footer="567" w:gutter="0"/>
          <w:cols w:space="720" w:num="1"/>
          <w:titlePg/>
          <w:docGrid w:type="lines" w:linePitch="409" w:charSpace="0"/>
        </w:sectPr>
      </w:pPr>
    </w:p>
    <w:p>
      <w:pPr>
        <w:pStyle w:val="3"/>
        <w:numPr>
          <w:ilvl w:val="0"/>
          <w:numId w:val="0"/>
        </w:numPr>
        <w:spacing w:after="100" w:afterAutospacing="1"/>
        <w:jc w:val="center"/>
        <w:rPr>
          <w:sz w:val="32"/>
          <w:szCs w:val="32"/>
        </w:rPr>
      </w:pPr>
      <w:bookmarkStart w:id="173" w:name="_Toc4722"/>
      <w:r>
        <w:rPr>
          <w:sz w:val="32"/>
          <w:szCs w:val="32"/>
        </w:rPr>
        <w:t>第六部分　范本格式</w:t>
      </w:r>
      <w:bookmarkEnd w:id="161"/>
      <w:bookmarkEnd w:id="162"/>
      <w:bookmarkEnd w:id="163"/>
      <w:bookmarkEnd w:id="173"/>
    </w:p>
    <w:p>
      <w:pPr>
        <w:rPr>
          <w:b/>
          <w:bCs/>
          <w:sz w:val="24"/>
          <w:szCs w:val="24"/>
        </w:rPr>
      </w:pPr>
      <w:r>
        <w:rPr>
          <w:b/>
          <w:bCs/>
          <w:sz w:val="24"/>
          <w:szCs w:val="24"/>
        </w:rPr>
        <w:t>投标文件在编制时必需编制目录及对应页码</w:t>
      </w:r>
    </w:p>
    <w:tbl>
      <w:tblPr>
        <w:tblStyle w:val="33"/>
        <w:tblW w:w="11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39"/>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Align w:val="center"/>
          </w:tcPr>
          <w:p>
            <w:pPr>
              <w:jc w:val="center"/>
              <w:rPr>
                <w:bCs/>
                <w:sz w:val="24"/>
                <w:szCs w:val="24"/>
              </w:rPr>
            </w:pPr>
            <w:r>
              <w:rPr>
                <w:bCs/>
                <w:sz w:val="24"/>
                <w:szCs w:val="24"/>
              </w:rPr>
              <w:t>评分因素</w:t>
            </w:r>
          </w:p>
        </w:tc>
        <w:tc>
          <w:tcPr>
            <w:tcW w:w="7239" w:type="dxa"/>
            <w:vAlign w:val="center"/>
          </w:tcPr>
          <w:p>
            <w:pPr>
              <w:jc w:val="center"/>
              <w:rPr>
                <w:bCs/>
                <w:sz w:val="24"/>
                <w:szCs w:val="24"/>
              </w:rPr>
            </w:pPr>
            <w:r>
              <w:rPr>
                <w:bCs/>
                <w:sz w:val="24"/>
                <w:szCs w:val="24"/>
              </w:rPr>
              <w:t>内容</w:t>
            </w:r>
          </w:p>
        </w:tc>
        <w:tc>
          <w:tcPr>
            <w:tcW w:w="882" w:type="dxa"/>
            <w:vAlign w:val="center"/>
          </w:tcPr>
          <w:p>
            <w:pPr>
              <w:tabs>
                <w:tab w:val="left" w:pos="1900"/>
              </w:tabs>
              <w:ind w:right="105"/>
              <w:jc w:val="center"/>
              <w:rPr>
                <w:bCs/>
                <w:sz w:val="24"/>
                <w:szCs w:val="24"/>
              </w:rPr>
            </w:pPr>
            <w:r>
              <w:rPr>
                <w:bCs/>
                <w:sz w:val="24"/>
                <w:szCs w:val="24"/>
              </w:rPr>
              <w:t>分值</w:t>
            </w:r>
          </w:p>
        </w:tc>
        <w:tc>
          <w:tcPr>
            <w:tcW w:w="882" w:type="dxa"/>
            <w:vAlign w:val="center"/>
          </w:tcPr>
          <w:p>
            <w:pPr>
              <w:tabs>
                <w:tab w:val="left" w:pos="1900"/>
              </w:tabs>
              <w:ind w:right="105"/>
              <w:jc w:val="center"/>
              <w:rPr>
                <w:rFonts w:hint="eastAsia" w:eastAsia="宋体"/>
                <w:bCs/>
                <w:sz w:val="24"/>
                <w:szCs w:val="24"/>
                <w:lang w:eastAsia="zh-CN"/>
              </w:rPr>
            </w:pPr>
            <w:r>
              <w:rPr>
                <w:rFonts w:hint="eastAsia"/>
                <w:bCs/>
                <w:sz w:val="24"/>
                <w:szCs w:val="24"/>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restart"/>
            <w:vAlign w:val="center"/>
          </w:tcPr>
          <w:p>
            <w:pPr>
              <w:jc w:val="center"/>
              <w:rPr>
                <w:bCs/>
                <w:sz w:val="24"/>
                <w:szCs w:val="24"/>
              </w:rPr>
            </w:pPr>
            <w:r>
              <w:rPr>
                <w:bCs/>
                <w:sz w:val="24"/>
                <w:szCs w:val="24"/>
              </w:rPr>
              <w:t>技术因素</w:t>
            </w:r>
          </w:p>
          <w:p>
            <w:pPr>
              <w:jc w:val="center"/>
              <w:rPr>
                <w:bCs/>
                <w:sz w:val="24"/>
                <w:szCs w:val="24"/>
              </w:rPr>
            </w:pPr>
            <w:r>
              <w:rPr>
                <w:bCs/>
                <w:sz w:val="24"/>
                <w:szCs w:val="24"/>
              </w:rPr>
              <w:t>（50分）</w:t>
            </w:r>
          </w:p>
        </w:tc>
        <w:tc>
          <w:tcPr>
            <w:tcW w:w="7239" w:type="dxa"/>
            <w:vAlign w:val="center"/>
          </w:tcPr>
          <w:p>
            <w:pPr>
              <w:jc w:val="left"/>
              <w:rPr>
                <w:bCs/>
                <w:sz w:val="24"/>
                <w:szCs w:val="24"/>
              </w:rPr>
            </w:pPr>
            <w:r>
              <w:rPr>
                <w:bCs/>
                <w:sz w:val="24"/>
                <w:szCs w:val="24"/>
              </w:rPr>
              <w:t>技术符合程度（2</w:t>
            </w:r>
            <w:r>
              <w:rPr>
                <w:rFonts w:hint="eastAsia"/>
                <w:bCs/>
                <w:sz w:val="24"/>
                <w:szCs w:val="24"/>
                <w:lang w:val="en-US" w:eastAsia="zh-CN"/>
              </w:rPr>
              <w:t>5</w:t>
            </w:r>
            <w:r>
              <w:rPr>
                <w:bCs/>
                <w:sz w:val="24"/>
                <w:szCs w:val="24"/>
              </w:rPr>
              <w:t>分）：标注“*”的参数为关键参数，按每项</w:t>
            </w:r>
            <w:r>
              <w:rPr>
                <w:rFonts w:hint="eastAsia"/>
                <w:bCs/>
                <w:sz w:val="24"/>
                <w:szCs w:val="24"/>
              </w:rPr>
              <w:t>3</w:t>
            </w:r>
            <w:r>
              <w:rPr>
                <w:bCs/>
                <w:sz w:val="24"/>
                <w:szCs w:val="24"/>
              </w:rPr>
              <w:t>分抵扣，扣完为止；未标注“*”的参数为一般参数，如不满足，按每项</w:t>
            </w:r>
            <w:r>
              <w:rPr>
                <w:rFonts w:hint="eastAsia"/>
                <w:bCs/>
                <w:sz w:val="24"/>
                <w:szCs w:val="24"/>
              </w:rPr>
              <w:t>2</w:t>
            </w:r>
            <w:r>
              <w:rPr>
                <w:bCs/>
                <w:sz w:val="24"/>
                <w:szCs w:val="24"/>
              </w:rPr>
              <w:t>分抵扣，扣完为止。</w:t>
            </w:r>
          </w:p>
        </w:tc>
        <w:tc>
          <w:tcPr>
            <w:tcW w:w="882" w:type="dxa"/>
            <w:vAlign w:val="center"/>
          </w:tcPr>
          <w:p>
            <w:pPr>
              <w:jc w:val="center"/>
              <w:rPr>
                <w:rFonts w:hint="eastAsia" w:eastAsia="宋体"/>
                <w:kern w:val="0"/>
                <w:szCs w:val="21"/>
                <w:lang w:eastAsia="zh-CN"/>
              </w:rPr>
            </w:pPr>
            <w:r>
              <w:rPr>
                <w:kern w:val="0"/>
                <w:szCs w:val="21"/>
              </w:rPr>
              <w:t>2</w:t>
            </w:r>
            <w:r>
              <w:rPr>
                <w:rFonts w:hint="eastAsia"/>
                <w:kern w:val="0"/>
                <w:szCs w:val="21"/>
                <w:lang w:val="en-US" w:eastAsia="zh-CN"/>
              </w:rPr>
              <w:t>5</w:t>
            </w:r>
          </w:p>
        </w:tc>
        <w:tc>
          <w:tcPr>
            <w:tcW w:w="882" w:type="dxa"/>
            <w:vAlign w:val="center"/>
          </w:tcPr>
          <w:p>
            <w:pPr>
              <w:jc w:val="center"/>
              <w:rPr>
                <w:rFonts w:hint="default" w:eastAsia="宋体"/>
                <w:kern w:val="0"/>
                <w:szCs w:val="21"/>
                <w:lang w:val="en-US" w:eastAsia="zh-CN"/>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技术先进性（5分）：以利于临床工作需要为前提，关键性参数高于招标要求的，每项1分，加满为止；否则不得分。</w:t>
            </w:r>
          </w:p>
        </w:tc>
        <w:tc>
          <w:tcPr>
            <w:tcW w:w="882" w:type="dxa"/>
            <w:vAlign w:val="center"/>
          </w:tcPr>
          <w:p>
            <w:pPr>
              <w:jc w:val="center"/>
              <w:rPr>
                <w:kern w:val="0"/>
                <w:szCs w:val="21"/>
              </w:rPr>
            </w:pPr>
            <w:r>
              <w:rPr>
                <w:kern w:val="0"/>
                <w:szCs w:val="21"/>
              </w:rPr>
              <w:t>5</w:t>
            </w:r>
          </w:p>
        </w:tc>
        <w:tc>
          <w:tcPr>
            <w:tcW w:w="882" w:type="dxa"/>
            <w:vAlign w:val="center"/>
          </w:tcPr>
          <w:p>
            <w:pPr>
              <w:jc w:val="center"/>
              <w:rPr>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产品性能质量及安全可靠性（5分）：所投产品性能稳定，在以往销售过的产品中未出现不良使用记录，运行良好，故障率小，返修率低，酌情打分，最高不超过5分。否则不得分。</w:t>
            </w:r>
          </w:p>
        </w:tc>
        <w:tc>
          <w:tcPr>
            <w:tcW w:w="882" w:type="dxa"/>
            <w:vAlign w:val="center"/>
          </w:tcPr>
          <w:p>
            <w:pPr>
              <w:jc w:val="center"/>
              <w:rPr>
                <w:kern w:val="0"/>
                <w:szCs w:val="21"/>
              </w:rPr>
            </w:pPr>
            <w:r>
              <w:rPr>
                <w:kern w:val="0"/>
                <w:szCs w:val="21"/>
              </w:rPr>
              <w:t>5</w:t>
            </w:r>
          </w:p>
        </w:tc>
        <w:tc>
          <w:tcPr>
            <w:tcW w:w="882" w:type="dxa"/>
            <w:vAlign w:val="center"/>
          </w:tcPr>
          <w:p>
            <w:pPr>
              <w:jc w:val="center"/>
              <w:rPr>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配置情况（</w:t>
            </w:r>
            <w:r>
              <w:rPr>
                <w:rFonts w:hint="eastAsia"/>
                <w:bCs/>
                <w:sz w:val="24"/>
                <w:szCs w:val="24"/>
                <w:lang w:val="en-US" w:eastAsia="zh-CN"/>
              </w:rPr>
              <w:t>3</w:t>
            </w:r>
            <w:r>
              <w:rPr>
                <w:bCs/>
                <w:sz w:val="24"/>
                <w:szCs w:val="24"/>
              </w:rPr>
              <w:t>分）：以利于临床工作需要为前提，根据配置高于招标要求的程度酌情打分，最高不超过</w:t>
            </w:r>
            <w:r>
              <w:rPr>
                <w:rFonts w:hint="eastAsia"/>
                <w:bCs/>
                <w:sz w:val="24"/>
                <w:szCs w:val="24"/>
                <w:lang w:val="en-US" w:eastAsia="zh-CN"/>
              </w:rPr>
              <w:t>3</w:t>
            </w:r>
            <w:r>
              <w:rPr>
                <w:bCs/>
                <w:sz w:val="24"/>
                <w:szCs w:val="24"/>
              </w:rPr>
              <w:t>分。否则不得分。</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c>
          <w:tcPr>
            <w:tcW w:w="882" w:type="dxa"/>
            <w:vAlign w:val="center"/>
          </w:tcPr>
          <w:p>
            <w:pPr>
              <w:jc w:val="center"/>
              <w:rPr>
                <w:rFonts w:hint="eastAsia"/>
                <w:kern w:val="0"/>
                <w:szCs w:val="21"/>
                <w:lang w:val="en-US" w:eastAsia="zh-CN"/>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可操作、可维护性（5分）：所投产品操作便捷，操作上较为人性化，有利于临床工作人员提高工作效率，便于维护等方面，酌情打分，最高不超过5分。否则不得分。</w:t>
            </w:r>
          </w:p>
        </w:tc>
        <w:tc>
          <w:tcPr>
            <w:tcW w:w="882" w:type="dxa"/>
            <w:vAlign w:val="center"/>
          </w:tcPr>
          <w:p>
            <w:pPr>
              <w:jc w:val="center"/>
              <w:rPr>
                <w:kern w:val="0"/>
                <w:szCs w:val="21"/>
              </w:rPr>
            </w:pPr>
            <w:r>
              <w:rPr>
                <w:kern w:val="0"/>
                <w:szCs w:val="21"/>
              </w:rPr>
              <w:t>5</w:t>
            </w:r>
          </w:p>
        </w:tc>
        <w:tc>
          <w:tcPr>
            <w:tcW w:w="882" w:type="dxa"/>
            <w:vAlign w:val="center"/>
          </w:tcPr>
          <w:p>
            <w:pPr>
              <w:jc w:val="center"/>
              <w:rPr>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投标设备的运行成本（</w:t>
            </w:r>
            <w:r>
              <w:rPr>
                <w:rFonts w:hint="eastAsia"/>
                <w:bCs/>
                <w:sz w:val="24"/>
                <w:szCs w:val="24"/>
                <w:lang w:val="en-US" w:eastAsia="zh-CN"/>
              </w:rPr>
              <w:t>3</w:t>
            </w:r>
            <w:r>
              <w:rPr>
                <w:bCs/>
                <w:sz w:val="24"/>
                <w:szCs w:val="24"/>
              </w:rPr>
              <w:t>分）：低：</w:t>
            </w:r>
            <w:r>
              <w:rPr>
                <w:rFonts w:hint="eastAsia"/>
                <w:bCs/>
                <w:sz w:val="24"/>
                <w:szCs w:val="24"/>
                <w:lang w:val="en-US" w:eastAsia="zh-CN"/>
              </w:rPr>
              <w:t>2</w:t>
            </w:r>
            <w:r>
              <w:rPr>
                <w:bCs/>
                <w:sz w:val="24"/>
                <w:szCs w:val="24"/>
              </w:rPr>
              <w:t>-</w:t>
            </w:r>
            <w:r>
              <w:rPr>
                <w:rFonts w:hint="eastAsia"/>
                <w:bCs/>
                <w:sz w:val="24"/>
                <w:szCs w:val="24"/>
                <w:lang w:val="en-US" w:eastAsia="zh-CN"/>
              </w:rPr>
              <w:t>3</w:t>
            </w:r>
            <w:r>
              <w:rPr>
                <w:bCs/>
                <w:sz w:val="24"/>
                <w:szCs w:val="24"/>
              </w:rPr>
              <w:t>分，中：</w:t>
            </w:r>
            <w:r>
              <w:rPr>
                <w:rFonts w:hint="eastAsia"/>
                <w:bCs/>
                <w:sz w:val="24"/>
                <w:szCs w:val="24"/>
                <w:lang w:val="en-US" w:eastAsia="zh-CN"/>
              </w:rPr>
              <w:t>0</w:t>
            </w:r>
            <w:r>
              <w:rPr>
                <w:bCs/>
                <w:sz w:val="24"/>
                <w:szCs w:val="24"/>
              </w:rPr>
              <w:t>-</w:t>
            </w:r>
            <w:r>
              <w:rPr>
                <w:rFonts w:hint="eastAsia"/>
                <w:bCs/>
                <w:sz w:val="24"/>
                <w:szCs w:val="24"/>
                <w:lang w:val="en-US" w:eastAsia="zh-CN"/>
              </w:rPr>
              <w:t>1</w:t>
            </w:r>
            <w:r>
              <w:rPr>
                <w:bCs/>
                <w:sz w:val="24"/>
                <w:szCs w:val="24"/>
              </w:rPr>
              <w:t>分，高：不得分。</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c>
          <w:tcPr>
            <w:tcW w:w="882" w:type="dxa"/>
            <w:vAlign w:val="center"/>
          </w:tcPr>
          <w:p>
            <w:pPr>
              <w:jc w:val="center"/>
              <w:rPr>
                <w:rFonts w:hint="eastAsia"/>
                <w:kern w:val="0"/>
                <w:szCs w:val="21"/>
                <w:lang w:val="en-US" w:eastAsia="zh-CN"/>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其它技术因素（2分）：其他有利于临床工作需求的优惠条件。</w:t>
            </w:r>
          </w:p>
        </w:tc>
        <w:tc>
          <w:tcPr>
            <w:tcW w:w="882" w:type="dxa"/>
            <w:vAlign w:val="center"/>
          </w:tcPr>
          <w:p>
            <w:pPr>
              <w:jc w:val="center"/>
              <w:rPr>
                <w:kern w:val="0"/>
                <w:szCs w:val="21"/>
              </w:rPr>
            </w:pPr>
            <w:r>
              <w:rPr>
                <w:kern w:val="0"/>
                <w:szCs w:val="21"/>
              </w:rPr>
              <w:t>2</w:t>
            </w:r>
          </w:p>
        </w:tc>
        <w:tc>
          <w:tcPr>
            <w:tcW w:w="882" w:type="dxa"/>
            <w:vAlign w:val="center"/>
          </w:tcPr>
          <w:p>
            <w:pPr>
              <w:jc w:val="center"/>
              <w:rPr>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restart"/>
            <w:vAlign w:val="center"/>
          </w:tcPr>
          <w:p>
            <w:pPr>
              <w:jc w:val="center"/>
              <w:rPr>
                <w:bCs/>
                <w:sz w:val="24"/>
                <w:szCs w:val="24"/>
              </w:rPr>
            </w:pPr>
            <w:r>
              <w:rPr>
                <w:bCs/>
                <w:sz w:val="24"/>
                <w:szCs w:val="24"/>
              </w:rPr>
              <w:t>商务因素</w:t>
            </w:r>
          </w:p>
          <w:p>
            <w:pPr>
              <w:jc w:val="center"/>
              <w:rPr>
                <w:bCs/>
                <w:sz w:val="24"/>
                <w:szCs w:val="24"/>
              </w:rPr>
            </w:pPr>
            <w:r>
              <w:rPr>
                <w:bCs/>
                <w:sz w:val="24"/>
                <w:szCs w:val="24"/>
              </w:rPr>
              <w:t>（20分）</w:t>
            </w:r>
          </w:p>
        </w:tc>
        <w:tc>
          <w:tcPr>
            <w:tcW w:w="7239" w:type="dxa"/>
            <w:vAlign w:val="center"/>
          </w:tcPr>
          <w:p>
            <w:pPr>
              <w:jc w:val="left"/>
              <w:rPr>
                <w:bCs/>
                <w:sz w:val="24"/>
                <w:szCs w:val="24"/>
              </w:rPr>
            </w:pPr>
            <w:r>
              <w:rPr>
                <w:bCs/>
                <w:sz w:val="24"/>
                <w:szCs w:val="24"/>
              </w:rPr>
              <w:t>投标人自 201</w:t>
            </w:r>
            <w:r>
              <w:rPr>
                <w:rFonts w:hint="eastAsia"/>
                <w:bCs/>
                <w:sz w:val="24"/>
                <w:szCs w:val="24"/>
              </w:rPr>
              <w:t>8</w:t>
            </w:r>
            <w:r>
              <w:rPr>
                <w:bCs/>
                <w:sz w:val="24"/>
                <w:szCs w:val="24"/>
              </w:rPr>
              <w:t>年以来全国性的非特定行业的类似项目成功案例， 最多提供4 个，提供中标通知书、销售合同证明材料并加盖投标单位公章， 1个合同得 1 分， 最高得分为 4 分。</w:t>
            </w:r>
          </w:p>
        </w:tc>
        <w:tc>
          <w:tcPr>
            <w:tcW w:w="882" w:type="dxa"/>
            <w:vAlign w:val="center"/>
          </w:tcPr>
          <w:p>
            <w:pPr>
              <w:jc w:val="center"/>
              <w:rPr>
                <w:kern w:val="0"/>
                <w:szCs w:val="21"/>
              </w:rPr>
            </w:pPr>
            <w:r>
              <w:rPr>
                <w:kern w:val="0"/>
                <w:szCs w:val="21"/>
              </w:rPr>
              <w:t>4</w:t>
            </w:r>
          </w:p>
        </w:tc>
        <w:tc>
          <w:tcPr>
            <w:tcW w:w="882" w:type="dxa"/>
            <w:vAlign w:val="center"/>
          </w:tcPr>
          <w:p>
            <w:pPr>
              <w:jc w:val="center"/>
              <w:rPr>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品牌市场评价（6分）：</w:t>
            </w:r>
          </w:p>
          <w:p>
            <w:pPr>
              <w:jc w:val="left"/>
              <w:rPr>
                <w:bCs/>
                <w:sz w:val="24"/>
                <w:szCs w:val="24"/>
              </w:rPr>
            </w:pPr>
            <w:r>
              <w:rPr>
                <w:bCs/>
                <w:sz w:val="24"/>
                <w:szCs w:val="24"/>
              </w:rPr>
              <w:t>市场占有率（3分）；</w:t>
            </w:r>
          </w:p>
          <w:p>
            <w:pPr>
              <w:jc w:val="left"/>
              <w:rPr>
                <w:bCs/>
                <w:sz w:val="24"/>
                <w:szCs w:val="24"/>
              </w:rPr>
            </w:pPr>
            <w:r>
              <w:rPr>
                <w:bCs/>
                <w:sz w:val="24"/>
                <w:szCs w:val="24"/>
              </w:rPr>
              <w:t>临床评价（3分）：从产品性能稳定性、故障发生率、运行寿命进行比较，酌情打分。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6</w:t>
            </w:r>
          </w:p>
        </w:tc>
        <w:tc>
          <w:tcPr>
            <w:tcW w:w="882" w:type="dxa"/>
            <w:vAlign w:val="center"/>
          </w:tcPr>
          <w:p>
            <w:pPr>
              <w:ind w:firstLine="0" w:firstLineChars="0"/>
              <w:jc w:val="center"/>
              <w:rPr>
                <w:rFonts w:ascii="Times New Roman" w:hAnsi="Times New Roman"/>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培训（</w:t>
            </w:r>
            <w:r>
              <w:rPr>
                <w:rFonts w:hint="eastAsia"/>
                <w:bCs/>
                <w:sz w:val="24"/>
                <w:szCs w:val="24"/>
                <w:lang w:val="en-US" w:eastAsia="zh-CN"/>
              </w:rPr>
              <w:t>3</w:t>
            </w:r>
            <w:r>
              <w:rPr>
                <w:bCs/>
                <w:sz w:val="24"/>
                <w:szCs w:val="24"/>
              </w:rPr>
              <w:t>分）：提供培训方案，内容明确详尽</w:t>
            </w:r>
            <w:r>
              <w:rPr>
                <w:rFonts w:hint="eastAsia"/>
                <w:bCs/>
                <w:sz w:val="24"/>
                <w:szCs w:val="24"/>
                <w:lang w:eastAsia="zh-CN"/>
              </w:rPr>
              <w:t>优</w:t>
            </w:r>
            <w:r>
              <w:rPr>
                <w:rFonts w:hint="eastAsia"/>
                <w:bCs/>
                <w:sz w:val="24"/>
                <w:szCs w:val="24"/>
                <w:lang w:val="en-US" w:eastAsia="zh-CN"/>
              </w:rPr>
              <w:t>3-2分，良1-0，差1-0分</w:t>
            </w:r>
            <w:r>
              <w:rPr>
                <w:bCs/>
                <w:sz w:val="24"/>
                <w:szCs w:val="24"/>
              </w:rPr>
              <w:t>。</w:t>
            </w:r>
          </w:p>
        </w:tc>
        <w:tc>
          <w:tcPr>
            <w:tcW w:w="882" w:type="dxa"/>
            <w:vAlign w:val="center"/>
          </w:tcPr>
          <w:p>
            <w:pPr>
              <w:jc w:val="center"/>
              <w:rPr>
                <w:rFonts w:hint="eastAsia" w:eastAsia="宋体"/>
                <w:kern w:val="0"/>
                <w:szCs w:val="21"/>
                <w:lang w:eastAsia="zh-CN"/>
              </w:rPr>
            </w:pPr>
            <w:r>
              <w:rPr>
                <w:rFonts w:hint="eastAsia"/>
                <w:kern w:val="0"/>
                <w:szCs w:val="21"/>
                <w:lang w:val="en-US" w:eastAsia="zh-CN"/>
              </w:rPr>
              <w:t>3</w:t>
            </w:r>
          </w:p>
        </w:tc>
        <w:tc>
          <w:tcPr>
            <w:tcW w:w="882" w:type="dxa"/>
            <w:vAlign w:val="center"/>
          </w:tcPr>
          <w:p>
            <w:pPr>
              <w:jc w:val="center"/>
              <w:rPr>
                <w:rFonts w:hint="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售后服务体系（8分）：</w:t>
            </w:r>
          </w:p>
          <w:p>
            <w:pPr>
              <w:jc w:val="left"/>
              <w:rPr>
                <w:bCs/>
                <w:sz w:val="24"/>
                <w:szCs w:val="24"/>
              </w:rPr>
            </w:pPr>
            <w:r>
              <w:rPr>
                <w:bCs/>
                <w:sz w:val="24"/>
                <w:szCs w:val="24"/>
              </w:rPr>
              <w:t>具有专职维修工程师，保证设备的日常维护及故障排除（1分）；</w:t>
            </w:r>
          </w:p>
          <w:p>
            <w:pPr>
              <w:jc w:val="left"/>
              <w:rPr>
                <w:bCs/>
                <w:sz w:val="24"/>
                <w:szCs w:val="24"/>
              </w:rPr>
            </w:pPr>
            <w:r>
              <w:rPr>
                <w:bCs/>
                <w:sz w:val="24"/>
                <w:szCs w:val="24"/>
              </w:rPr>
              <w:t>生产厂家在</w:t>
            </w:r>
            <w:r>
              <w:rPr>
                <w:rFonts w:hint="eastAsia"/>
                <w:bCs/>
                <w:sz w:val="24"/>
                <w:szCs w:val="24"/>
                <w:lang w:eastAsia="zh-CN"/>
              </w:rPr>
              <w:t>本地</w:t>
            </w:r>
            <w:r>
              <w:rPr>
                <w:bCs/>
                <w:sz w:val="24"/>
                <w:szCs w:val="24"/>
              </w:rPr>
              <w:t>设有售后服务机构（2分），拥有完善的售后服务保障体系（2分），设有常驻专业维修工程师以提供技术服务支持（2分），设有备件仓库保证常规配件供应（1分）；</w:t>
            </w:r>
          </w:p>
          <w:p>
            <w:pPr>
              <w:jc w:val="left"/>
              <w:rPr>
                <w:bCs/>
                <w:sz w:val="24"/>
                <w:szCs w:val="24"/>
              </w:rPr>
            </w:pPr>
            <w:r>
              <w:rPr>
                <w:bCs/>
                <w:sz w:val="24"/>
                <w:szCs w:val="24"/>
              </w:rPr>
              <w:t>附相应证明材料，否则不得分。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8</w:t>
            </w:r>
          </w:p>
        </w:tc>
        <w:tc>
          <w:tcPr>
            <w:tcW w:w="882" w:type="dxa"/>
            <w:vAlign w:val="center"/>
          </w:tcPr>
          <w:p>
            <w:pPr>
              <w:ind w:firstLine="0" w:firstLineChars="0"/>
              <w:jc w:val="center"/>
              <w:rPr>
                <w:rFonts w:ascii="Times New Roman" w:hAnsi="Times New Roman"/>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Merge w:val="continue"/>
            <w:vAlign w:val="center"/>
          </w:tcPr>
          <w:p>
            <w:pPr>
              <w:jc w:val="center"/>
              <w:rPr>
                <w:bCs/>
                <w:sz w:val="24"/>
                <w:szCs w:val="24"/>
              </w:rPr>
            </w:pPr>
          </w:p>
        </w:tc>
        <w:tc>
          <w:tcPr>
            <w:tcW w:w="7239" w:type="dxa"/>
            <w:vAlign w:val="center"/>
          </w:tcPr>
          <w:p>
            <w:pPr>
              <w:jc w:val="left"/>
              <w:rPr>
                <w:bCs/>
                <w:sz w:val="24"/>
                <w:szCs w:val="24"/>
              </w:rPr>
            </w:pPr>
            <w:r>
              <w:rPr>
                <w:bCs/>
                <w:sz w:val="24"/>
                <w:szCs w:val="24"/>
              </w:rPr>
              <w:t>售后服务承诺（1分）：满足招标文件要求，内容全面并且可行。</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1</w:t>
            </w:r>
          </w:p>
        </w:tc>
        <w:tc>
          <w:tcPr>
            <w:tcW w:w="882" w:type="dxa"/>
            <w:vAlign w:val="center"/>
          </w:tcPr>
          <w:p>
            <w:pPr>
              <w:ind w:firstLine="0" w:firstLineChars="0"/>
              <w:jc w:val="center"/>
              <w:rPr>
                <w:rFonts w:ascii="Times New Roman" w:hAnsi="Times New Roman"/>
                <w:kern w:val="0"/>
                <w:szCs w:val="21"/>
              </w:rPr>
            </w:pPr>
            <w:r>
              <w:rPr>
                <w:rFonts w:hint="eastAsia"/>
                <w:kern w:val="0"/>
                <w:szCs w:val="21"/>
                <w:lang w:eastAsia="zh-CN"/>
              </w:rPr>
              <w:t>第</w:t>
            </w:r>
            <w:r>
              <w:rPr>
                <w:rFonts w:hint="eastAsia"/>
                <w:kern w:val="0"/>
                <w:szCs w:val="21"/>
                <w:lang w:val="en-US" w:eastAsia="zh-CN"/>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 w:hRule="atLeast"/>
          <w:jc w:val="center"/>
        </w:trPr>
        <w:tc>
          <w:tcPr>
            <w:tcW w:w="1271" w:type="dxa"/>
            <w:vAlign w:val="center"/>
          </w:tcPr>
          <w:p>
            <w:pPr>
              <w:jc w:val="center"/>
              <w:rPr>
                <w:bCs/>
                <w:sz w:val="24"/>
                <w:szCs w:val="24"/>
              </w:rPr>
            </w:pPr>
            <w:r>
              <w:rPr>
                <w:bCs/>
                <w:sz w:val="24"/>
                <w:szCs w:val="24"/>
              </w:rPr>
              <w:t>价格</w:t>
            </w:r>
          </w:p>
        </w:tc>
        <w:tc>
          <w:tcPr>
            <w:tcW w:w="7239" w:type="dxa"/>
            <w:vAlign w:val="center"/>
          </w:tcPr>
          <w:p>
            <w:pPr>
              <w:jc w:val="left"/>
              <w:rPr>
                <w:bCs/>
                <w:sz w:val="24"/>
                <w:szCs w:val="24"/>
              </w:rPr>
            </w:pPr>
            <w:r>
              <w:rPr>
                <w:bCs/>
                <w:sz w:val="24"/>
                <w:szCs w:val="24"/>
              </w:rPr>
              <w:t>价格得分的评分方法：采用低价优先法计算，即满足招标文件要求且投标价格最低的投标报价为评标基准价，其价格得分为满分。其他投标人的价格得分统一按照下列公式计算：价格得分=（评标基准价/投标报价）×30%×100，如此类推，算出所有投标供应商的价格得分。</w:t>
            </w:r>
          </w:p>
        </w:tc>
        <w:tc>
          <w:tcPr>
            <w:tcW w:w="882" w:type="dxa"/>
            <w:vAlign w:val="center"/>
          </w:tcPr>
          <w:p>
            <w:pPr>
              <w:pStyle w:val="125"/>
              <w:ind w:firstLine="0" w:firstLineChars="0"/>
              <w:jc w:val="center"/>
              <w:rPr>
                <w:rFonts w:ascii="Times New Roman" w:hAnsi="Times New Roman"/>
                <w:kern w:val="0"/>
                <w:szCs w:val="21"/>
              </w:rPr>
            </w:pPr>
            <w:r>
              <w:rPr>
                <w:rFonts w:ascii="Times New Roman" w:hAnsi="Times New Roman"/>
                <w:kern w:val="0"/>
                <w:szCs w:val="21"/>
              </w:rPr>
              <w:t>30</w:t>
            </w:r>
          </w:p>
        </w:tc>
        <w:tc>
          <w:tcPr>
            <w:tcW w:w="882" w:type="dxa"/>
            <w:vAlign w:val="center"/>
          </w:tcPr>
          <w:p>
            <w:pPr>
              <w:pStyle w:val="125"/>
              <w:ind w:firstLine="0" w:firstLineChars="0"/>
              <w:jc w:val="center"/>
              <w:rPr>
                <w:rFonts w:ascii="Times New Roman" w:hAnsi="Times New Roman"/>
                <w:kern w:val="0"/>
                <w:szCs w:val="21"/>
              </w:rPr>
            </w:pPr>
          </w:p>
        </w:tc>
      </w:tr>
    </w:tbl>
    <w:p>
      <w:pPr>
        <w:pStyle w:val="32"/>
        <w:ind w:firstLine="240"/>
        <w:rPr>
          <w:rFonts w:ascii="Times New Roman" w:hAnsi="Times New Roman"/>
        </w:rPr>
      </w:pPr>
    </w:p>
    <w:p>
      <w:pPr>
        <w:spacing w:line="400" w:lineRule="atLeast"/>
        <w:jc w:val="center"/>
        <w:outlineLvl w:val="1"/>
        <w:rPr>
          <w:sz w:val="24"/>
        </w:rPr>
      </w:pPr>
      <w:bookmarkStart w:id="174" w:name="_Toc23140"/>
      <w:r>
        <w:rPr>
          <w:sz w:val="24"/>
        </w:rPr>
        <w:t>1、投标书</w:t>
      </w:r>
      <w:bookmarkEnd w:id="174"/>
    </w:p>
    <w:p>
      <w:pPr>
        <w:spacing w:line="400" w:lineRule="atLeast"/>
        <w:rPr>
          <w:sz w:val="24"/>
          <w:u w:val="single"/>
        </w:rPr>
      </w:pPr>
      <w:r>
        <w:rPr>
          <w:sz w:val="24"/>
        </w:rPr>
        <w:t>致：</w:t>
      </w:r>
      <w:r>
        <w:rPr>
          <w:sz w:val="24"/>
          <w:u w:val="single"/>
        </w:rPr>
        <w:t>新疆西北招标有限公司</w:t>
      </w:r>
    </w:p>
    <w:p>
      <w:pPr>
        <w:spacing w:line="400" w:lineRule="atLeast"/>
        <w:ind w:firstLine="555"/>
        <w:rPr>
          <w:sz w:val="24"/>
        </w:rPr>
      </w:pPr>
      <w:r>
        <w:rPr>
          <w:sz w:val="24"/>
        </w:rPr>
        <w:t>根据贵方为</w:t>
      </w:r>
      <w:r>
        <w:rPr>
          <w:sz w:val="24"/>
          <w:u w:val="single"/>
        </w:rPr>
        <w:t>　　　（项目名称）</w:t>
      </w:r>
      <w:r>
        <w:rPr>
          <w:sz w:val="24"/>
        </w:rPr>
        <w:t>项目招标的招标邀请</w:t>
      </w:r>
      <w:r>
        <w:rPr>
          <w:sz w:val="24"/>
          <w:u w:val="single"/>
        </w:rPr>
        <w:t>（项目编号）</w:t>
      </w:r>
      <w:r>
        <w:rPr>
          <w:sz w:val="24"/>
        </w:rPr>
        <w:t>，签字代表</w:t>
      </w:r>
      <w:r>
        <w:rPr>
          <w:sz w:val="24"/>
          <w:u w:val="single"/>
        </w:rPr>
        <w:t>（姓名、职务）</w:t>
      </w:r>
      <w:r>
        <w:rPr>
          <w:sz w:val="24"/>
        </w:rPr>
        <w:t>经正式授权并代表投标商</w:t>
      </w:r>
      <w:r>
        <w:rPr>
          <w:sz w:val="24"/>
          <w:u w:val="single"/>
        </w:rPr>
        <w:t>（投标商名称、地址）</w:t>
      </w:r>
      <w:r>
        <w:rPr>
          <w:sz w:val="24"/>
        </w:rPr>
        <w:t>提交下述文件正本一份和副本四份。</w:t>
      </w:r>
    </w:p>
    <w:p>
      <w:pPr>
        <w:numPr>
          <w:ilvl w:val="0"/>
          <w:numId w:val="12"/>
        </w:numPr>
        <w:spacing w:line="400" w:lineRule="atLeast"/>
        <w:rPr>
          <w:sz w:val="24"/>
        </w:rPr>
      </w:pPr>
      <w:r>
        <w:rPr>
          <w:sz w:val="24"/>
        </w:rPr>
        <w:t>开标一览表</w:t>
      </w:r>
    </w:p>
    <w:p>
      <w:pPr>
        <w:numPr>
          <w:ilvl w:val="0"/>
          <w:numId w:val="12"/>
        </w:numPr>
        <w:spacing w:line="400" w:lineRule="atLeast"/>
        <w:rPr>
          <w:sz w:val="24"/>
        </w:rPr>
      </w:pPr>
      <w:r>
        <w:rPr>
          <w:sz w:val="24"/>
        </w:rPr>
        <w:t>投标分项报价表</w:t>
      </w:r>
    </w:p>
    <w:p>
      <w:pPr>
        <w:numPr>
          <w:ilvl w:val="0"/>
          <w:numId w:val="12"/>
        </w:numPr>
        <w:spacing w:line="400" w:lineRule="atLeast"/>
        <w:rPr>
          <w:sz w:val="24"/>
        </w:rPr>
      </w:pPr>
      <w:r>
        <w:rPr>
          <w:sz w:val="24"/>
        </w:rPr>
        <w:t>规格、技术参数、功能偏离表</w:t>
      </w:r>
    </w:p>
    <w:p>
      <w:pPr>
        <w:numPr>
          <w:ilvl w:val="0"/>
          <w:numId w:val="12"/>
        </w:numPr>
        <w:spacing w:line="400" w:lineRule="atLeast"/>
        <w:rPr>
          <w:sz w:val="24"/>
        </w:rPr>
      </w:pPr>
      <w:r>
        <w:rPr>
          <w:sz w:val="24"/>
        </w:rPr>
        <w:t>商务条款偏离表</w:t>
      </w:r>
    </w:p>
    <w:p>
      <w:pPr>
        <w:numPr>
          <w:ilvl w:val="0"/>
          <w:numId w:val="12"/>
        </w:numPr>
        <w:spacing w:line="400" w:lineRule="atLeast"/>
        <w:rPr>
          <w:sz w:val="24"/>
        </w:rPr>
      </w:pPr>
      <w:r>
        <w:rPr>
          <w:sz w:val="24"/>
        </w:rPr>
        <w:t>按招标文件投标商须知、技术规格要求及其他要求提供有关文件</w:t>
      </w:r>
    </w:p>
    <w:p>
      <w:pPr>
        <w:numPr>
          <w:ilvl w:val="0"/>
          <w:numId w:val="12"/>
        </w:numPr>
        <w:spacing w:line="400" w:lineRule="atLeast"/>
        <w:rPr>
          <w:sz w:val="24"/>
        </w:rPr>
      </w:pPr>
      <w:r>
        <w:rPr>
          <w:sz w:val="24"/>
        </w:rPr>
        <w:t>资格证明文件</w:t>
      </w:r>
    </w:p>
    <w:p>
      <w:pPr>
        <w:numPr>
          <w:ilvl w:val="0"/>
          <w:numId w:val="12"/>
        </w:numPr>
        <w:spacing w:line="400" w:lineRule="atLeast"/>
        <w:rPr>
          <w:sz w:val="24"/>
        </w:rPr>
      </w:pPr>
      <w:r>
        <w:rPr>
          <w:sz w:val="24"/>
        </w:rPr>
        <w:t>投标保证金，形式</w:t>
      </w:r>
      <w:r>
        <w:rPr>
          <w:sz w:val="24"/>
          <w:u w:val="single"/>
        </w:rPr>
        <w:t>（电汇）</w:t>
      </w:r>
      <w:r>
        <w:rPr>
          <w:sz w:val="24"/>
        </w:rPr>
        <w:t>，金额为</w:t>
      </w:r>
      <w:r>
        <w:rPr>
          <w:sz w:val="24"/>
          <w:u w:val="single"/>
        </w:rPr>
        <w:t>（注明币种）</w:t>
      </w:r>
      <w:r>
        <w:rPr>
          <w:sz w:val="24"/>
        </w:rPr>
        <w:t>。</w:t>
      </w:r>
    </w:p>
    <w:p>
      <w:pPr>
        <w:spacing w:line="400" w:lineRule="atLeast"/>
        <w:ind w:firstLine="555"/>
        <w:rPr>
          <w:sz w:val="24"/>
        </w:rPr>
      </w:pPr>
      <w:r>
        <w:rPr>
          <w:sz w:val="24"/>
        </w:rPr>
        <w:t>据此函，签字代表宣布同意如下：</w:t>
      </w:r>
    </w:p>
    <w:p>
      <w:pPr>
        <w:spacing w:line="400" w:lineRule="atLeast"/>
        <w:ind w:left="1112" w:hanging="560"/>
        <w:rPr>
          <w:sz w:val="24"/>
        </w:rPr>
      </w:pPr>
      <w:r>
        <w:rPr>
          <w:sz w:val="24"/>
        </w:rPr>
        <w:t>1．所附投标报价表中规定的应提交和交付的货物和服务投标总价为</w:t>
      </w:r>
      <w:r>
        <w:rPr>
          <w:sz w:val="24"/>
          <w:u w:val="single"/>
        </w:rPr>
        <w:t>（注明币种，并用文字和数字表示的投标总价</w:t>
      </w:r>
      <w:r>
        <w:rPr>
          <w:sz w:val="24"/>
        </w:rPr>
        <w:t>）。</w:t>
      </w:r>
    </w:p>
    <w:p>
      <w:pPr>
        <w:spacing w:line="400" w:lineRule="atLeast"/>
        <w:ind w:firstLine="555"/>
        <w:rPr>
          <w:sz w:val="24"/>
        </w:rPr>
      </w:pPr>
      <w:r>
        <w:rPr>
          <w:sz w:val="24"/>
        </w:rPr>
        <w:t>2．投标商将按招标文件的规定履行合同责任和义务；</w:t>
      </w:r>
    </w:p>
    <w:p>
      <w:pPr>
        <w:spacing w:line="400" w:lineRule="atLeast"/>
        <w:ind w:left="1112" w:hanging="560"/>
        <w:rPr>
          <w:sz w:val="24"/>
        </w:rPr>
      </w:pPr>
      <w:r>
        <w:rPr>
          <w:sz w:val="24"/>
        </w:rPr>
        <w:t>3．投标商已详细审查全部招标文件，包括修改文件（如有的话）。我们完全理解并同意放弃对这方面有不明及误解的权利。</w:t>
      </w:r>
    </w:p>
    <w:p>
      <w:pPr>
        <w:spacing w:line="400" w:lineRule="atLeast"/>
        <w:ind w:firstLine="555"/>
        <w:rPr>
          <w:sz w:val="24"/>
        </w:rPr>
      </w:pPr>
      <w:r>
        <w:rPr>
          <w:sz w:val="24"/>
        </w:rPr>
        <w:t>4．本投标有效期自开标之日起</w:t>
      </w:r>
      <w:r>
        <w:rPr>
          <w:sz w:val="24"/>
          <w:u w:val="single"/>
        </w:rPr>
        <w:t>　　　　</w:t>
      </w:r>
      <w:r>
        <w:rPr>
          <w:sz w:val="24"/>
        </w:rPr>
        <w:t>个日历日。</w:t>
      </w:r>
    </w:p>
    <w:p>
      <w:pPr>
        <w:spacing w:line="400" w:lineRule="atLeast"/>
        <w:ind w:left="900" w:hanging="348"/>
        <w:rPr>
          <w:sz w:val="24"/>
        </w:rPr>
      </w:pPr>
      <w:r>
        <w:rPr>
          <w:sz w:val="24"/>
        </w:rPr>
        <w:t>5．如果在规定的开标时间后，投标商在投标有效期内撤回投标，其投标保证金将被贵方没收。</w:t>
      </w:r>
    </w:p>
    <w:p>
      <w:pPr>
        <w:spacing w:line="400" w:lineRule="atLeast"/>
        <w:ind w:left="900" w:hanging="335"/>
        <w:rPr>
          <w:sz w:val="24"/>
        </w:rPr>
      </w:pPr>
      <w:r>
        <w:rPr>
          <w:sz w:val="24"/>
        </w:rPr>
        <w:t>6．投标商同意提供按照贵方可能要求的与其投标有关的一切数据或资料，完全理解贵方不一定要接受最低价的投标或收到的任何投标。</w:t>
      </w:r>
    </w:p>
    <w:p>
      <w:pPr>
        <w:spacing w:line="400" w:lineRule="atLeast"/>
        <w:ind w:firstLine="570"/>
        <w:rPr>
          <w:sz w:val="24"/>
        </w:rPr>
      </w:pPr>
      <w:r>
        <w:rPr>
          <w:sz w:val="24"/>
        </w:rPr>
        <w:t>7．与本投标有关的一切正式往来信函请寄：</w:t>
      </w:r>
    </w:p>
    <w:p>
      <w:pPr>
        <w:spacing w:line="400" w:lineRule="atLeast"/>
        <w:ind w:firstLine="720" w:firstLineChars="300"/>
        <w:rPr>
          <w:sz w:val="24"/>
        </w:rPr>
      </w:pPr>
      <w:r>
        <w:rPr>
          <w:sz w:val="24"/>
        </w:rPr>
        <w:t>地址：</w:t>
      </w:r>
      <w:r>
        <w:rPr>
          <w:sz w:val="24"/>
          <w:u w:val="single"/>
        </w:rPr>
        <w:t>　　　　　　　　　　</w:t>
      </w:r>
      <w:r>
        <w:rPr>
          <w:sz w:val="24"/>
        </w:rPr>
        <w:t>邮编：</w:t>
      </w:r>
      <w:r>
        <w:rPr>
          <w:sz w:val="24"/>
          <w:u w:val="single"/>
        </w:rPr>
        <w:t>　　　　　　　　　</w:t>
      </w:r>
    </w:p>
    <w:p>
      <w:pPr>
        <w:spacing w:line="400" w:lineRule="atLeast"/>
        <w:rPr>
          <w:sz w:val="24"/>
        </w:rPr>
      </w:pPr>
      <w:r>
        <w:rPr>
          <w:sz w:val="24"/>
        </w:rPr>
        <w:t>　</w:t>
      </w:r>
      <w:r>
        <w:rPr>
          <w:rFonts w:hint="eastAsia"/>
          <w:sz w:val="24"/>
          <w:lang w:val="en-US" w:eastAsia="zh-CN"/>
        </w:rPr>
        <w:t xml:space="preserve">   </w:t>
      </w:r>
      <w:r>
        <w:rPr>
          <w:sz w:val="24"/>
        </w:rPr>
        <w:t>电话：</w:t>
      </w:r>
      <w:r>
        <w:rPr>
          <w:sz w:val="24"/>
          <w:u w:val="single"/>
        </w:rPr>
        <w:t>　　　　　　　　　　</w:t>
      </w:r>
      <w:r>
        <w:rPr>
          <w:sz w:val="24"/>
        </w:rPr>
        <w:t>传真：</w:t>
      </w:r>
      <w:r>
        <w:rPr>
          <w:sz w:val="24"/>
          <w:u w:val="single"/>
        </w:rPr>
        <w:t>　　　　　　　　　</w:t>
      </w:r>
    </w:p>
    <w:p>
      <w:pPr>
        <w:spacing w:line="400" w:lineRule="atLeast"/>
        <w:rPr>
          <w:sz w:val="24"/>
        </w:rPr>
      </w:pPr>
      <w:r>
        <w:rPr>
          <w:sz w:val="24"/>
        </w:rPr>
        <w:t>　</w:t>
      </w:r>
      <w:r>
        <w:rPr>
          <w:rFonts w:hint="eastAsia"/>
          <w:sz w:val="24"/>
          <w:lang w:val="en-US" w:eastAsia="zh-CN"/>
        </w:rPr>
        <w:t xml:space="preserve">   </w:t>
      </w:r>
      <w:r>
        <w:rPr>
          <w:sz w:val="24"/>
        </w:rPr>
        <w:t>投标商代表签字：</w:t>
      </w:r>
      <w:r>
        <w:rPr>
          <w:sz w:val="24"/>
          <w:u w:val="single"/>
        </w:rPr>
        <w:t>　　　　　　　　　　</w:t>
      </w:r>
    </w:p>
    <w:p>
      <w:pPr>
        <w:spacing w:line="400" w:lineRule="atLeast"/>
        <w:rPr>
          <w:sz w:val="24"/>
        </w:rPr>
      </w:pPr>
      <w:r>
        <w:rPr>
          <w:sz w:val="24"/>
        </w:rPr>
        <w:t>　</w:t>
      </w:r>
      <w:r>
        <w:rPr>
          <w:rFonts w:hint="eastAsia"/>
          <w:sz w:val="24"/>
          <w:lang w:val="en-US" w:eastAsia="zh-CN"/>
        </w:rPr>
        <w:t xml:space="preserve">   </w:t>
      </w:r>
      <w:r>
        <w:rPr>
          <w:sz w:val="24"/>
        </w:rPr>
        <w:t>投标商名称：</w:t>
      </w:r>
      <w:r>
        <w:rPr>
          <w:sz w:val="24"/>
          <w:u w:val="single"/>
        </w:rPr>
        <w:t>　　　　　　　　　</w:t>
      </w:r>
    </w:p>
    <w:p>
      <w:pPr>
        <w:spacing w:line="400" w:lineRule="atLeast"/>
        <w:rPr>
          <w:sz w:val="24"/>
        </w:rPr>
      </w:pPr>
      <w:r>
        <w:rPr>
          <w:sz w:val="24"/>
        </w:rPr>
        <w:t>　</w:t>
      </w:r>
      <w:r>
        <w:rPr>
          <w:rFonts w:hint="eastAsia"/>
          <w:sz w:val="24"/>
          <w:lang w:val="en-US" w:eastAsia="zh-CN"/>
        </w:rPr>
        <w:t xml:space="preserve">   </w:t>
      </w:r>
      <w:r>
        <w:rPr>
          <w:sz w:val="24"/>
        </w:rPr>
        <w:t>公章：</w:t>
      </w:r>
      <w:r>
        <w:rPr>
          <w:sz w:val="24"/>
          <w:u w:val="single"/>
        </w:rPr>
        <w:t>　　　　　　　　　　</w:t>
      </w:r>
    </w:p>
    <w:p>
      <w:pPr>
        <w:spacing w:line="400" w:lineRule="atLeast"/>
        <w:rPr>
          <w:sz w:val="24"/>
        </w:rPr>
      </w:pPr>
      <w:r>
        <w:rPr>
          <w:sz w:val="24"/>
        </w:rPr>
        <w:t>　</w:t>
      </w:r>
      <w:r>
        <w:rPr>
          <w:rFonts w:hint="eastAsia"/>
          <w:sz w:val="24"/>
          <w:lang w:val="en-US" w:eastAsia="zh-CN"/>
        </w:rPr>
        <w:t xml:space="preserve">  </w:t>
      </w:r>
      <w:r>
        <w:rPr>
          <w:sz w:val="24"/>
        </w:rPr>
        <w:t>日　　　期：</w:t>
      </w:r>
      <w:r>
        <w:rPr>
          <w:sz w:val="24"/>
          <w:u w:val="single"/>
        </w:rPr>
        <w:t>　　　</w:t>
      </w:r>
      <w:r>
        <w:rPr>
          <w:sz w:val="24"/>
        </w:rPr>
        <w:t>年</w:t>
      </w:r>
      <w:r>
        <w:rPr>
          <w:sz w:val="24"/>
          <w:u w:val="single"/>
        </w:rPr>
        <w:t>　</w:t>
      </w:r>
      <w:r>
        <w:rPr>
          <w:sz w:val="24"/>
        </w:rPr>
        <w:t>月</w:t>
      </w:r>
      <w:r>
        <w:rPr>
          <w:sz w:val="24"/>
          <w:u w:val="single"/>
        </w:rPr>
        <w:t>　</w:t>
      </w:r>
      <w:r>
        <w:rPr>
          <w:sz w:val="24"/>
        </w:rPr>
        <w:t>日</w:t>
      </w:r>
    </w:p>
    <w:p>
      <w:pPr>
        <w:spacing w:line="400" w:lineRule="atLeast"/>
        <w:rPr>
          <w:sz w:val="24"/>
        </w:rPr>
        <w:sectPr>
          <w:pgSz w:w="11907" w:h="16840"/>
          <w:pgMar w:top="1440" w:right="1080" w:bottom="1440" w:left="1080" w:header="851" w:footer="567" w:gutter="0"/>
          <w:cols w:space="720" w:num="1"/>
          <w:titlePg/>
          <w:docGrid w:type="lines" w:linePitch="409" w:charSpace="0"/>
        </w:sectPr>
      </w:pPr>
    </w:p>
    <w:p>
      <w:pPr>
        <w:tabs>
          <w:tab w:val="left" w:pos="9135"/>
        </w:tabs>
        <w:spacing w:line="400" w:lineRule="atLeast"/>
        <w:jc w:val="center"/>
        <w:outlineLvl w:val="1"/>
        <w:rPr>
          <w:sz w:val="24"/>
        </w:rPr>
      </w:pPr>
      <w:bookmarkStart w:id="175" w:name="_Toc4913"/>
      <w:r>
        <w:rPr>
          <w:sz w:val="24"/>
        </w:rPr>
        <w:t>2、开标一览表</w:t>
      </w:r>
      <w:bookmarkEnd w:id="175"/>
    </w:p>
    <w:p>
      <w:pPr>
        <w:tabs>
          <w:tab w:val="left" w:pos="9135"/>
        </w:tabs>
        <w:spacing w:line="400" w:lineRule="atLeast"/>
        <w:rPr>
          <w:sz w:val="24"/>
        </w:rPr>
      </w:pPr>
    </w:p>
    <w:p>
      <w:pPr>
        <w:tabs>
          <w:tab w:val="left" w:pos="9135"/>
        </w:tabs>
        <w:spacing w:line="400" w:lineRule="atLeast"/>
        <w:rPr>
          <w:sz w:val="24"/>
          <w:u w:val="single"/>
        </w:rPr>
      </w:pPr>
      <w:r>
        <w:rPr>
          <w:sz w:val="24"/>
        </w:rPr>
        <w:t>投标商名称(公章)：</w:t>
      </w:r>
      <w:r>
        <w:rPr>
          <w:sz w:val="24"/>
          <w:u w:val="single"/>
        </w:rPr>
        <w:t>　　　　　　　　　　</w:t>
      </w:r>
      <w:r>
        <w:rPr>
          <w:sz w:val="24"/>
        </w:rPr>
        <w:t>项目编号：</w:t>
      </w:r>
      <w:r>
        <w:rPr>
          <w:sz w:val="24"/>
          <w:u w:val="single"/>
        </w:rPr>
        <w:t>　　　　　　　　　　</w:t>
      </w:r>
      <w:r>
        <w:rPr>
          <w:rFonts w:hint="eastAsia"/>
          <w:sz w:val="24"/>
        </w:rPr>
        <w:t>包号：</w:t>
      </w:r>
    </w:p>
    <w:tbl>
      <w:tblPr>
        <w:tblStyle w:val="33"/>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26"/>
        <w:gridCol w:w="1782"/>
        <w:gridCol w:w="1782"/>
        <w:gridCol w:w="1783"/>
        <w:gridCol w:w="1783"/>
        <w:gridCol w:w="1783"/>
        <w:gridCol w:w="1782"/>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916" w:type="dxa"/>
            <w:vAlign w:val="center"/>
          </w:tcPr>
          <w:p>
            <w:pPr>
              <w:tabs>
                <w:tab w:val="left" w:pos="9135"/>
              </w:tabs>
              <w:spacing w:line="400" w:lineRule="atLeast"/>
              <w:jc w:val="center"/>
              <w:rPr>
                <w:sz w:val="24"/>
              </w:rPr>
            </w:pPr>
            <w:r>
              <w:rPr>
                <w:rFonts w:hint="eastAsia"/>
                <w:sz w:val="24"/>
              </w:rPr>
              <w:t>序号</w:t>
            </w:r>
          </w:p>
        </w:tc>
        <w:tc>
          <w:tcPr>
            <w:tcW w:w="1826" w:type="dxa"/>
            <w:vAlign w:val="center"/>
          </w:tcPr>
          <w:p>
            <w:pPr>
              <w:tabs>
                <w:tab w:val="left" w:pos="9135"/>
              </w:tabs>
              <w:spacing w:line="400" w:lineRule="atLeast"/>
              <w:jc w:val="center"/>
              <w:rPr>
                <w:sz w:val="24"/>
              </w:rPr>
            </w:pPr>
            <w:r>
              <w:rPr>
                <w:sz w:val="24"/>
              </w:rPr>
              <w:t>名称</w:t>
            </w:r>
          </w:p>
        </w:tc>
        <w:tc>
          <w:tcPr>
            <w:tcW w:w="1782" w:type="dxa"/>
            <w:vAlign w:val="center"/>
          </w:tcPr>
          <w:p>
            <w:pPr>
              <w:tabs>
                <w:tab w:val="left" w:pos="9135"/>
              </w:tabs>
              <w:spacing w:line="400" w:lineRule="atLeast"/>
              <w:jc w:val="center"/>
              <w:rPr>
                <w:sz w:val="24"/>
              </w:rPr>
            </w:pPr>
            <w:r>
              <w:rPr>
                <w:sz w:val="24"/>
              </w:rPr>
              <w:t>数量</w:t>
            </w:r>
          </w:p>
        </w:tc>
        <w:tc>
          <w:tcPr>
            <w:tcW w:w="1782" w:type="dxa"/>
            <w:vAlign w:val="center"/>
          </w:tcPr>
          <w:p>
            <w:pPr>
              <w:tabs>
                <w:tab w:val="left" w:pos="9135"/>
              </w:tabs>
              <w:spacing w:line="400" w:lineRule="atLeast"/>
              <w:jc w:val="center"/>
              <w:rPr>
                <w:sz w:val="24"/>
              </w:rPr>
            </w:pPr>
            <w:r>
              <w:rPr>
                <w:sz w:val="24"/>
              </w:rPr>
              <w:t>制造商</w:t>
            </w:r>
          </w:p>
        </w:tc>
        <w:tc>
          <w:tcPr>
            <w:tcW w:w="1783" w:type="dxa"/>
            <w:vAlign w:val="center"/>
          </w:tcPr>
          <w:p>
            <w:pPr>
              <w:tabs>
                <w:tab w:val="left" w:pos="9135"/>
              </w:tabs>
              <w:spacing w:line="400" w:lineRule="atLeast"/>
              <w:jc w:val="center"/>
              <w:rPr>
                <w:sz w:val="24"/>
              </w:rPr>
            </w:pPr>
            <w:r>
              <w:rPr>
                <w:sz w:val="24"/>
              </w:rPr>
              <w:t>型号规格</w:t>
            </w:r>
          </w:p>
        </w:tc>
        <w:tc>
          <w:tcPr>
            <w:tcW w:w="1783" w:type="dxa"/>
            <w:vAlign w:val="center"/>
          </w:tcPr>
          <w:p>
            <w:pPr>
              <w:tabs>
                <w:tab w:val="left" w:pos="9135"/>
              </w:tabs>
              <w:spacing w:line="400" w:lineRule="atLeast"/>
              <w:jc w:val="center"/>
              <w:rPr>
                <w:sz w:val="24"/>
              </w:rPr>
            </w:pPr>
            <w:r>
              <w:rPr>
                <w:sz w:val="24"/>
              </w:rPr>
              <w:t>投标总价</w:t>
            </w:r>
          </w:p>
          <w:p>
            <w:pPr>
              <w:tabs>
                <w:tab w:val="left" w:pos="9135"/>
              </w:tabs>
              <w:spacing w:line="400" w:lineRule="atLeast"/>
              <w:jc w:val="center"/>
              <w:rPr>
                <w:sz w:val="24"/>
              </w:rPr>
            </w:pPr>
            <w:r>
              <w:rPr>
                <w:sz w:val="24"/>
              </w:rPr>
              <w:t>（万元）</w:t>
            </w:r>
          </w:p>
        </w:tc>
        <w:tc>
          <w:tcPr>
            <w:tcW w:w="1783" w:type="dxa"/>
            <w:vAlign w:val="center"/>
          </w:tcPr>
          <w:p>
            <w:pPr>
              <w:tabs>
                <w:tab w:val="left" w:pos="9135"/>
              </w:tabs>
              <w:spacing w:line="400" w:lineRule="atLeast"/>
              <w:jc w:val="center"/>
              <w:rPr>
                <w:sz w:val="24"/>
              </w:rPr>
            </w:pPr>
            <w:r>
              <w:rPr>
                <w:sz w:val="24"/>
              </w:rPr>
              <w:t>投标</w:t>
            </w:r>
          </w:p>
          <w:p>
            <w:pPr>
              <w:tabs>
                <w:tab w:val="left" w:pos="9135"/>
              </w:tabs>
              <w:spacing w:line="400" w:lineRule="atLeast"/>
              <w:jc w:val="center"/>
              <w:rPr>
                <w:sz w:val="24"/>
              </w:rPr>
            </w:pPr>
            <w:r>
              <w:rPr>
                <w:sz w:val="24"/>
              </w:rPr>
              <w:t>保证金</w:t>
            </w:r>
          </w:p>
        </w:tc>
        <w:tc>
          <w:tcPr>
            <w:tcW w:w="1782" w:type="dxa"/>
            <w:vAlign w:val="center"/>
          </w:tcPr>
          <w:p>
            <w:pPr>
              <w:tabs>
                <w:tab w:val="left" w:pos="9135"/>
              </w:tabs>
              <w:spacing w:line="400" w:lineRule="atLeast"/>
              <w:jc w:val="center"/>
              <w:rPr>
                <w:sz w:val="24"/>
              </w:rPr>
            </w:pPr>
            <w:r>
              <w:rPr>
                <w:sz w:val="24"/>
              </w:rPr>
              <w:t>交货期</w:t>
            </w:r>
          </w:p>
        </w:tc>
        <w:tc>
          <w:tcPr>
            <w:tcW w:w="1783" w:type="dxa"/>
            <w:vAlign w:val="center"/>
          </w:tcPr>
          <w:p>
            <w:pPr>
              <w:tabs>
                <w:tab w:val="left" w:pos="9135"/>
              </w:tabs>
              <w:spacing w:line="40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16" w:type="dxa"/>
            <w:vAlign w:val="center"/>
          </w:tcPr>
          <w:p/>
        </w:tc>
        <w:tc>
          <w:tcPr>
            <w:tcW w:w="1826" w:type="dxa"/>
            <w:vAlign w:val="center"/>
          </w:tcPr>
          <w:p/>
        </w:tc>
        <w:tc>
          <w:tcPr>
            <w:tcW w:w="1782" w:type="dxa"/>
            <w:vAlign w:val="center"/>
          </w:tcPr>
          <w:p/>
        </w:tc>
        <w:tc>
          <w:tcPr>
            <w:tcW w:w="1782" w:type="dxa"/>
            <w:vAlign w:val="center"/>
          </w:tcPr>
          <w:p/>
        </w:tc>
        <w:tc>
          <w:tcPr>
            <w:tcW w:w="1783" w:type="dxa"/>
            <w:vAlign w:val="center"/>
          </w:tcPr>
          <w:p/>
        </w:tc>
        <w:tc>
          <w:tcPr>
            <w:tcW w:w="1783" w:type="dxa"/>
            <w:vAlign w:val="center"/>
          </w:tcPr>
          <w:p/>
        </w:tc>
        <w:tc>
          <w:tcPr>
            <w:tcW w:w="1783" w:type="dxa"/>
            <w:vAlign w:val="center"/>
          </w:tcPr>
          <w:p/>
        </w:tc>
        <w:tc>
          <w:tcPr>
            <w:tcW w:w="1782" w:type="dxa"/>
            <w:vAlign w:val="center"/>
          </w:tcPr>
          <w:p/>
        </w:tc>
        <w:tc>
          <w:tcPr>
            <w:tcW w:w="1783" w:type="dxa"/>
            <w:vAlign w:val="center"/>
          </w:tcPr>
          <w:p>
            <w:pPr>
              <w:tabs>
                <w:tab w:val="left" w:pos="9135"/>
              </w:tabs>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16" w:type="dxa"/>
            <w:vAlign w:val="center"/>
          </w:tcPr>
          <w:p/>
        </w:tc>
        <w:tc>
          <w:tcPr>
            <w:tcW w:w="1826" w:type="dxa"/>
            <w:vAlign w:val="center"/>
          </w:tcPr>
          <w:p/>
        </w:tc>
        <w:tc>
          <w:tcPr>
            <w:tcW w:w="1782" w:type="dxa"/>
            <w:vAlign w:val="center"/>
          </w:tcPr>
          <w:p/>
        </w:tc>
        <w:tc>
          <w:tcPr>
            <w:tcW w:w="1782" w:type="dxa"/>
            <w:vAlign w:val="center"/>
          </w:tcPr>
          <w:p/>
        </w:tc>
        <w:tc>
          <w:tcPr>
            <w:tcW w:w="1783" w:type="dxa"/>
            <w:vAlign w:val="center"/>
          </w:tcPr>
          <w:p/>
        </w:tc>
        <w:tc>
          <w:tcPr>
            <w:tcW w:w="1783" w:type="dxa"/>
            <w:vAlign w:val="center"/>
          </w:tcPr>
          <w:p/>
        </w:tc>
        <w:tc>
          <w:tcPr>
            <w:tcW w:w="1783" w:type="dxa"/>
            <w:vAlign w:val="center"/>
          </w:tcPr>
          <w:p/>
        </w:tc>
        <w:tc>
          <w:tcPr>
            <w:tcW w:w="1782" w:type="dxa"/>
            <w:vAlign w:val="center"/>
          </w:tcPr>
          <w:p/>
        </w:tc>
        <w:tc>
          <w:tcPr>
            <w:tcW w:w="1783" w:type="dxa"/>
            <w:vAlign w:val="center"/>
          </w:tcPr>
          <w:p>
            <w:pPr>
              <w:tabs>
                <w:tab w:val="left" w:pos="9135"/>
              </w:tabs>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16" w:type="dxa"/>
            <w:vAlign w:val="center"/>
          </w:tcPr>
          <w:p/>
        </w:tc>
        <w:tc>
          <w:tcPr>
            <w:tcW w:w="1826" w:type="dxa"/>
            <w:vAlign w:val="center"/>
          </w:tcPr>
          <w:p/>
        </w:tc>
        <w:tc>
          <w:tcPr>
            <w:tcW w:w="1782" w:type="dxa"/>
            <w:vAlign w:val="center"/>
          </w:tcPr>
          <w:p/>
        </w:tc>
        <w:tc>
          <w:tcPr>
            <w:tcW w:w="1782" w:type="dxa"/>
            <w:vAlign w:val="center"/>
          </w:tcPr>
          <w:p/>
        </w:tc>
        <w:tc>
          <w:tcPr>
            <w:tcW w:w="1783" w:type="dxa"/>
            <w:vAlign w:val="center"/>
          </w:tcPr>
          <w:p/>
        </w:tc>
        <w:tc>
          <w:tcPr>
            <w:tcW w:w="1783" w:type="dxa"/>
            <w:vAlign w:val="center"/>
          </w:tcPr>
          <w:p/>
        </w:tc>
        <w:tc>
          <w:tcPr>
            <w:tcW w:w="1783" w:type="dxa"/>
            <w:vAlign w:val="center"/>
          </w:tcPr>
          <w:p/>
        </w:tc>
        <w:tc>
          <w:tcPr>
            <w:tcW w:w="1782" w:type="dxa"/>
            <w:vAlign w:val="center"/>
          </w:tcPr>
          <w:p/>
        </w:tc>
        <w:tc>
          <w:tcPr>
            <w:tcW w:w="1783" w:type="dxa"/>
            <w:vAlign w:val="center"/>
          </w:tcPr>
          <w:p>
            <w:pPr>
              <w:tabs>
                <w:tab w:val="left" w:pos="9135"/>
              </w:tabs>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16" w:type="dxa"/>
            <w:vAlign w:val="center"/>
          </w:tcPr>
          <w:p>
            <w:r>
              <w:rPr>
                <w:rFonts w:hint="eastAsia"/>
              </w:rPr>
              <w:t>合计</w:t>
            </w:r>
          </w:p>
        </w:tc>
        <w:tc>
          <w:tcPr>
            <w:tcW w:w="1826" w:type="dxa"/>
            <w:vAlign w:val="center"/>
          </w:tcPr>
          <w:p/>
        </w:tc>
        <w:tc>
          <w:tcPr>
            <w:tcW w:w="1782" w:type="dxa"/>
            <w:vAlign w:val="center"/>
          </w:tcPr>
          <w:p/>
        </w:tc>
        <w:tc>
          <w:tcPr>
            <w:tcW w:w="1782" w:type="dxa"/>
            <w:vAlign w:val="center"/>
          </w:tcPr>
          <w:p/>
        </w:tc>
        <w:tc>
          <w:tcPr>
            <w:tcW w:w="1783" w:type="dxa"/>
            <w:vAlign w:val="center"/>
          </w:tcPr>
          <w:p/>
        </w:tc>
        <w:tc>
          <w:tcPr>
            <w:tcW w:w="1783" w:type="dxa"/>
            <w:vAlign w:val="center"/>
          </w:tcPr>
          <w:p/>
        </w:tc>
        <w:tc>
          <w:tcPr>
            <w:tcW w:w="1783" w:type="dxa"/>
            <w:vAlign w:val="center"/>
          </w:tcPr>
          <w:p/>
        </w:tc>
        <w:tc>
          <w:tcPr>
            <w:tcW w:w="1782" w:type="dxa"/>
            <w:vAlign w:val="center"/>
          </w:tcPr>
          <w:p/>
        </w:tc>
        <w:tc>
          <w:tcPr>
            <w:tcW w:w="1783" w:type="dxa"/>
            <w:vAlign w:val="center"/>
          </w:tcPr>
          <w:p>
            <w:pPr>
              <w:tabs>
                <w:tab w:val="left" w:pos="9135"/>
              </w:tabs>
              <w:spacing w:line="400" w:lineRule="atLeast"/>
              <w:rPr>
                <w:sz w:val="24"/>
              </w:rPr>
            </w:pPr>
          </w:p>
        </w:tc>
      </w:tr>
    </w:tbl>
    <w:p>
      <w:pPr>
        <w:tabs>
          <w:tab w:val="left" w:pos="9135"/>
        </w:tabs>
        <w:spacing w:line="400" w:lineRule="atLeast"/>
        <w:rPr>
          <w:sz w:val="24"/>
        </w:rPr>
      </w:pPr>
      <w:r>
        <w:rPr>
          <w:sz w:val="24"/>
        </w:rPr>
        <w:t>投标商代表签字：</w:t>
      </w:r>
      <w:r>
        <w:rPr>
          <w:sz w:val="24"/>
          <w:u w:val="single"/>
        </w:rPr>
        <w:t>　　　　　　　　　　　</w:t>
      </w:r>
    </w:p>
    <w:p>
      <w:pPr>
        <w:tabs>
          <w:tab w:val="left" w:pos="9135"/>
        </w:tabs>
        <w:spacing w:line="400" w:lineRule="atLeast"/>
        <w:rPr>
          <w:sz w:val="24"/>
        </w:rPr>
      </w:pPr>
      <w:r>
        <w:rPr>
          <w:sz w:val="24"/>
        </w:rPr>
        <w:t>注：1、此表与投标书正本和投标保证金复印件一同装在一单独的信封内密封。</w:t>
      </w:r>
    </w:p>
    <w:p>
      <w:pPr>
        <w:tabs>
          <w:tab w:val="left" w:pos="9135"/>
        </w:tabs>
        <w:spacing w:line="400" w:lineRule="atLeast"/>
        <w:ind w:firstLine="480"/>
        <w:rPr>
          <w:sz w:val="24"/>
        </w:rPr>
      </w:pPr>
      <w:r>
        <w:rPr>
          <w:sz w:val="24"/>
        </w:rPr>
        <w:t>2、折扣条件与折扣声明应在表下注明。</w:t>
      </w:r>
    </w:p>
    <w:p>
      <w:pPr>
        <w:pStyle w:val="32"/>
        <w:ind w:firstLine="480" w:firstLineChars="200"/>
      </w:pPr>
      <w:r>
        <w:rPr>
          <w:rFonts w:hint="eastAsia"/>
        </w:rPr>
        <w:t>3、报价应包括所有设备和辅助产品、材料的采购、安装调试、运输费、验收费、保险、人员培训、税费、利润等及质保售后服务期间所有发生一切费（本项目为交钥匙项目）。</w:t>
      </w:r>
    </w:p>
    <w:p>
      <w:pPr>
        <w:pStyle w:val="32"/>
        <w:ind w:firstLine="480" w:firstLineChars="200"/>
        <w:sectPr>
          <w:pgSz w:w="16838" w:h="11906" w:orient="landscape"/>
          <w:pgMar w:top="720" w:right="720" w:bottom="720" w:left="720" w:header="851" w:footer="992" w:gutter="0"/>
          <w:cols w:space="720" w:num="1"/>
          <w:docGrid w:type="linesAndChars" w:linePitch="312" w:charSpace="0"/>
        </w:sectPr>
      </w:pPr>
      <w:r>
        <w:rPr>
          <w:rFonts w:hint="eastAsia"/>
        </w:rPr>
        <w:t xml:space="preserve">4、供应商应在开标一览表中标明其提供的所有货物及相关工作范围内所有费用的总价。  </w:t>
      </w:r>
    </w:p>
    <w:p>
      <w:pPr>
        <w:spacing w:line="400" w:lineRule="atLeast"/>
        <w:jc w:val="center"/>
        <w:outlineLvl w:val="1"/>
        <w:rPr>
          <w:sz w:val="24"/>
        </w:rPr>
      </w:pPr>
      <w:bookmarkStart w:id="176" w:name="_Toc16141"/>
      <w:bookmarkStart w:id="177" w:name="_Toc277841205"/>
      <w:r>
        <w:rPr>
          <w:sz w:val="24"/>
        </w:rPr>
        <w:t>3、分项报价表</w:t>
      </w:r>
      <w:bookmarkEnd w:id="176"/>
      <w:bookmarkEnd w:id="177"/>
    </w:p>
    <w:p>
      <w:pPr>
        <w:spacing w:line="400" w:lineRule="atLeast"/>
        <w:rPr>
          <w:sz w:val="24"/>
        </w:rPr>
      </w:pPr>
    </w:p>
    <w:p>
      <w:pPr>
        <w:spacing w:line="400" w:lineRule="atLeast"/>
        <w:rPr>
          <w:sz w:val="24"/>
          <w:u w:val="single"/>
        </w:rPr>
      </w:pPr>
      <w:r>
        <w:rPr>
          <w:sz w:val="24"/>
        </w:rPr>
        <w:t>供应商名称（公章）：</w:t>
      </w:r>
      <w:r>
        <w:rPr>
          <w:sz w:val="24"/>
          <w:u w:val="single"/>
        </w:rPr>
        <w:t>　</w:t>
      </w:r>
      <w:r>
        <w:rPr>
          <w:sz w:val="24"/>
        </w:rPr>
        <w:t>项目编号/包号：</w:t>
      </w:r>
      <w:r>
        <w:rPr>
          <w:sz w:val="24"/>
          <w:u w:val="single"/>
        </w:rPr>
        <w:t>　　　　　　　　</w:t>
      </w:r>
    </w:p>
    <w:tbl>
      <w:tblPr>
        <w:tblStyle w:val="33"/>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13"/>
        <w:gridCol w:w="1329"/>
        <w:gridCol w:w="1111"/>
        <w:gridCol w:w="772"/>
        <w:gridCol w:w="1154"/>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2" w:type="dxa"/>
            <w:vAlign w:val="center"/>
          </w:tcPr>
          <w:p>
            <w:pPr>
              <w:spacing w:line="400" w:lineRule="atLeast"/>
              <w:jc w:val="center"/>
              <w:rPr>
                <w:sz w:val="24"/>
              </w:rPr>
            </w:pPr>
            <w:r>
              <w:rPr>
                <w:sz w:val="24"/>
              </w:rPr>
              <w:t>序号</w:t>
            </w:r>
          </w:p>
        </w:tc>
        <w:tc>
          <w:tcPr>
            <w:tcW w:w="1913" w:type="dxa"/>
            <w:vAlign w:val="center"/>
          </w:tcPr>
          <w:p>
            <w:pPr>
              <w:spacing w:line="400" w:lineRule="atLeast"/>
              <w:jc w:val="center"/>
              <w:rPr>
                <w:sz w:val="24"/>
              </w:rPr>
            </w:pPr>
            <w:r>
              <w:rPr>
                <w:sz w:val="24"/>
              </w:rPr>
              <w:t>名称</w:t>
            </w:r>
          </w:p>
        </w:tc>
        <w:tc>
          <w:tcPr>
            <w:tcW w:w="1329" w:type="dxa"/>
            <w:vAlign w:val="center"/>
          </w:tcPr>
          <w:p>
            <w:pPr>
              <w:spacing w:line="400" w:lineRule="atLeast"/>
              <w:jc w:val="center"/>
              <w:rPr>
                <w:sz w:val="24"/>
              </w:rPr>
            </w:pPr>
            <w:r>
              <w:rPr>
                <w:sz w:val="24"/>
              </w:rPr>
              <w:t>规格型号</w:t>
            </w:r>
          </w:p>
        </w:tc>
        <w:tc>
          <w:tcPr>
            <w:tcW w:w="1111" w:type="dxa"/>
            <w:vAlign w:val="center"/>
          </w:tcPr>
          <w:p>
            <w:pPr>
              <w:spacing w:line="400" w:lineRule="atLeast"/>
              <w:jc w:val="center"/>
              <w:rPr>
                <w:sz w:val="24"/>
              </w:rPr>
            </w:pPr>
            <w:r>
              <w:rPr>
                <w:sz w:val="24"/>
              </w:rPr>
              <w:t>制造商</w:t>
            </w:r>
          </w:p>
        </w:tc>
        <w:tc>
          <w:tcPr>
            <w:tcW w:w="772" w:type="dxa"/>
            <w:vAlign w:val="center"/>
          </w:tcPr>
          <w:p>
            <w:pPr>
              <w:spacing w:line="400" w:lineRule="atLeast"/>
              <w:jc w:val="center"/>
              <w:rPr>
                <w:sz w:val="24"/>
              </w:rPr>
            </w:pPr>
            <w:r>
              <w:rPr>
                <w:sz w:val="24"/>
              </w:rPr>
              <w:t>数量</w:t>
            </w:r>
          </w:p>
        </w:tc>
        <w:tc>
          <w:tcPr>
            <w:tcW w:w="1154" w:type="dxa"/>
            <w:vAlign w:val="center"/>
          </w:tcPr>
          <w:p>
            <w:pPr>
              <w:spacing w:line="400" w:lineRule="atLeast"/>
              <w:jc w:val="center"/>
              <w:rPr>
                <w:sz w:val="24"/>
              </w:rPr>
            </w:pPr>
            <w:r>
              <w:rPr>
                <w:sz w:val="24"/>
              </w:rPr>
              <w:t>单价</w:t>
            </w:r>
          </w:p>
        </w:tc>
        <w:tc>
          <w:tcPr>
            <w:tcW w:w="1618" w:type="dxa"/>
            <w:vAlign w:val="center"/>
          </w:tcPr>
          <w:p>
            <w:pPr>
              <w:spacing w:line="400" w:lineRule="atLeast"/>
              <w:jc w:val="center"/>
              <w:rPr>
                <w:sz w:val="24"/>
              </w:rPr>
            </w:pPr>
            <w:r>
              <w:rPr>
                <w:sz w:val="24"/>
              </w:rPr>
              <w:t>总价</w:t>
            </w:r>
          </w:p>
        </w:tc>
        <w:tc>
          <w:tcPr>
            <w:tcW w:w="1618" w:type="dxa"/>
            <w:vAlign w:val="center"/>
          </w:tcPr>
          <w:p>
            <w:pPr>
              <w:spacing w:line="40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42" w:type="dxa"/>
            <w:vAlign w:val="center"/>
          </w:tcPr>
          <w:p>
            <w:pPr>
              <w:spacing w:line="400" w:lineRule="atLeast"/>
              <w:jc w:val="center"/>
              <w:rPr>
                <w:sz w:val="24"/>
              </w:rPr>
            </w:pPr>
            <w:r>
              <w:rPr>
                <w:sz w:val="24"/>
              </w:rPr>
              <w:t>1</w:t>
            </w: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2" w:type="dxa"/>
            <w:vAlign w:val="center"/>
          </w:tcPr>
          <w:p>
            <w:pPr>
              <w:spacing w:line="400" w:lineRule="atLeast"/>
              <w:jc w:val="center"/>
              <w:rPr>
                <w:sz w:val="24"/>
              </w:rPr>
            </w:pPr>
            <w:r>
              <w:rPr>
                <w:sz w:val="24"/>
              </w:rPr>
              <w:t>2</w:t>
            </w: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2" w:type="dxa"/>
            <w:vAlign w:val="center"/>
          </w:tcPr>
          <w:p>
            <w:pPr>
              <w:spacing w:line="400" w:lineRule="atLeast"/>
              <w:jc w:val="center"/>
              <w:rPr>
                <w:sz w:val="24"/>
              </w:rPr>
            </w:pPr>
            <w:r>
              <w:rPr>
                <w:sz w:val="24"/>
              </w:rPr>
              <w:t>3</w:t>
            </w: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2" w:type="dxa"/>
            <w:vAlign w:val="center"/>
          </w:tcPr>
          <w:p>
            <w:pPr>
              <w:spacing w:line="400" w:lineRule="atLeast"/>
              <w:jc w:val="center"/>
              <w:rPr>
                <w:sz w:val="24"/>
              </w:rPr>
            </w:pP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2" w:type="dxa"/>
            <w:vAlign w:val="center"/>
          </w:tcPr>
          <w:p>
            <w:pPr>
              <w:spacing w:line="400" w:lineRule="atLeast"/>
              <w:jc w:val="center"/>
              <w:rPr>
                <w:sz w:val="24"/>
              </w:rPr>
            </w:pP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2" w:type="dxa"/>
            <w:vAlign w:val="center"/>
          </w:tcPr>
          <w:p>
            <w:pPr>
              <w:spacing w:line="400" w:lineRule="atLeast"/>
              <w:jc w:val="center"/>
              <w:rPr>
                <w:sz w:val="24"/>
              </w:rPr>
            </w:pPr>
          </w:p>
        </w:tc>
        <w:tc>
          <w:tcPr>
            <w:tcW w:w="1913" w:type="dxa"/>
            <w:vAlign w:val="center"/>
          </w:tcPr>
          <w:p>
            <w:pPr>
              <w:spacing w:line="400" w:lineRule="atLeast"/>
              <w:jc w:val="center"/>
              <w:rPr>
                <w:sz w:val="24"/>
              </w:rPr>
            </w:pP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2" w:type="dxa"/>
            <w:vAlign w:val="center"/>
          </w:tcPr>
          <w:p>
            <w:pPr>
              <w:spacing w:line="400" w:lineRule="atLeast"/>
              <w:jc w:val="center"/>
              <w:rPr>
                <w:sz w:val="24"/>
              </w:rPr>
            </w:pPr>
          </w:p>
        </w:tc>
        <w:tc>
          <w:tcPr>
            <w:tcW w:w="1913" w:type="dxa"/>
            <w:vAlign w:val="center"/>
          </w:tcPr>
          <w:p>
            <w:pPr>
              <w:spacing w:line="400" w:lineRule="atLeast"/>
              <w:rPr>
                <w:sz w:val="24"/>
              </w:rPr>
            </w:pPr>
            <w:r>
              <w:rPr>
                <w:sz w:val="24"/>
              </w:rPr>
              <w:t>总价</w:t>
            </w:r>
          </w:p>
        </w:tc>
        <w:tc>
          <w:tcPr>
            <w:tcW w:w="1329" w:type="dxa"/>
            <w:vAlign w:val="center"/>
          </w:tcPr>
          <w:p>
            <w:pPr>
              <w:spacing w:line="400" w:lineRule="atLeast"/>
              <w:jc w:val="center"/>
              <w:rPr>
                <w:sz w:val="24"/>
              </w:rPr>
            </w:pPr>
          </w:p>
        </w:tc>
        <w:tc>
          <w:tcPr>
            <w:tcW w:w="1111" w:type="dxa"/>
            <w:vAlign w:val="center"/>
          </w:tcPr>
          <w:p>
            <w:pPr>
              <w:spacing w:line="400" w:lineRule="atLeast"/>
              <w:jc w:val="center"/>
              <w:rPr>
                <w:sz w:val="24"/>
              </w:rPr>
            </w:pPr>
          </w:p>
        </w:tc>
        <w:tc>
          <w:tcPr>
            <w:tcW w:w="772" w:type="dxa"/>
            <w:vAlign w:val="center"/>
          </w:tcPr>
          <w:p>
            <w:pPr>
              <w:spacing w:line="400" w:lineRule="atLeast"/>
              <w:jc w:val="center"/>
              <w:rPr>
                <w:sz w:val="24"/>
              </w:rPr>
            </w:pPr>
          </w:p>
        </w:tc>
        <w:tc>
          <w:tcPr>
            <w:tcW w:w="1154" w:type="dxa"/>
            <w:vAlign w:val="center"/>
          </w:tcPr>
          <w:p>
            <w:pPr>
              <w:spacing w:line="400" w:lineRule="atLeast"/>
              <w:jc w:val="center"/>
              <w:rPr>
                <w:sz w:val="24"/>
              </w:rPr>
            </w:pPr>
          </w:p>
        </w:tc>
        <w:tc>
          <w:tcPr>
            <w:tcW w:w="1618" w:type="dxa"/>
            <w:vAlign w:val="center"/>
          </w:tcPr>
          <w:p>
            <w:pPr>
              <w:spacing w:line="400" w:lineRule="atLeast"/>
              <w:jc w:val="center"/>
              <w:rPr>
                <w:sz w:val="24"/>
              </w:rPr>
            </w:pPr>
          </w:p>
        </w:tc>
        <w:tc>
          <w:tcPr>
            <w:tcW w:w="1618" w:type="dxa"/>
            <w:vAlign w:val="center"/>
          </w:tcPr>
          <w:p>
            <w:pPr>
              <w:spacing w:line="400" w:lineRule="atLeast"/>
              <w:jc w:val="center"/>
              <w:rPr>
                <w:sz w:val="24"/>
              </w:rPr>
            </w:pPr>
          </w:p>
        </w:tc>
      </w:tr>
    </w:tbl>
    <w:p>
      <w:pPr>
        <w:spacing w:line="400" w:lineRule="atLeast"/>
        <w:rPr>
          <w:sz w:val="24"/>
        </w:rPr>
      </w:pPr>
      <w:r>
        <w:rPr>
          <w:sz w:val="24"/>
        </w:rPr>
        <w:t>注：此表需详列投标的每种设备。</w:t>
      </w:r>
    </w:p>
    <w:p>
      <w:pPr>
        <w:spacing w:line="400" w:lineRule="atLeast"/>
        <w:ind w:left="2880" w:hanging="2880"/>
        <w:rPr>
          <w:sz w:val="24"/>
        </w:rPr>
      </w:pPr>
    </w:p>
    <w:p>
      <w:pPr>
        <w:spacing w:line="400" w:lineRule="atLeast"/>
        <w:ind w:left="2880" w:hanging="2880"/>
        <w:rPr>
          <w:sz w:val="24"/>
        </w:rPr>
      </w:pPr>
    </w:p>
    <w:p>
      <w:pPr>
        <w:spacing w:line="400" w:lineRule="atLeast"/>
        <w:ind w:left="2880" w:hanging="2880"/>
        <w:rPr>
          <w:sz w:val="24"/>
          <w:u w:val="single"/>
        </w:rPr>
      </w:pPr>
      <w:r>
        <w:rPr>
          <w:sz w:val="24"/>
        </w:rPr>
        <w:t>供应商代表签字：</w:t>
      </w:r>
      <w:r>
        <w:rPr>
          <w:sz w:val="24"/>
          <w:u w:val="single"/>
        </w:rPr>
        <w:t>　　　　　　　　　　　　　　　</w:t>
      </w:r>
    </w:p>
    <w:p>
      <w:pPr>
        <w:spacing w:line="400" w:lineRule="atLeast"/>
        <w:ind w:left="2880" w:hanging="2880"/>
        <w:jc w:val="center"/>
        <w:rPr>
          <w:b/>
          <w:sz w:val="24"/>
        </w:rPr>
      </w:pPr>
    </w:p>
    <w:p>
      <w:pPr>
        <w:spacing w:line="400" w:lineRule="atLeast"/>
        <w:jc w:val="center"/>
        <w:outlineLvl w:val="1"/>
        <w:rPr>
          <w:sz w:val="24"/>
        </w:rPr>
      </w:pPr>
      <w:r>
        <w:rPr>
          <w:sz w:val="24"/>
        </w:rPr>
        <w:br w:type="page"/>
      </w:r>
      <w:bookmarkStart w:id="178" w:name="_Toc24608"/>
      <w:r>
        <w:rPr>
          <w:sz w:val="24"/>
        </w:rPr>
        <w:t>4、技术参数、功能偏离表</w:t>
      </w:r>
      <w:bookmarkEnd w:id="178"/>
    </w:p>
    <w:p>
      <w:pPr>
        <w:spacing w:line="400" w:lineRule="atLeast"/>
        <w:rPr>
          <w:sz w:val="24"/>
        </w:rPr>
      </w:pPr>
    </w:p>
    <w:p>
      <w:pPr>
        <w:spacing w:line="400" w:lineRule="atLeast"/>
        <w:rPr>
          <w:sz w:val="24"/>
          <w:u w:val="single"/>
        </w:rPr>
      </w:pPr>
      <w:r>
        <w:rPr>
          <w:sz w:val="24"/>
        </w:rPr>
        <w:t>投标商名称（公章）：</w:t>
      </w:r>
      <w:r>
        <w:rPr>
          <w:sz w:val="24"/>
          <w:u w:val="single"/>
        </w:rPr>
        <w:t>　　　　　</w:t>
      </w:r>
      <w:r>
        <w:rPr>
          <w:sz w:val="24"/>
        </w:rPr>
        <w:t>项目编号/包号：</w:t>
      </w:r>
      <w:r>
        <w:rPr>
          <w:sz w:val="24"/>
          <w:u w:val="single"/>
        </w:rPr>
        <w:t>　　　　　　　　　　　</w:t>
      </w:r>
    </w:p>
    <w:tbl>
      <w:tblPr>
        <w:tblStyle w:val="3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591"/>
        <w:gridCol w:w="2428"/>
        <w:gridCol w:w="2242"/>
        <w:gridCol w:w="1604"/>
        <w:gridCol w:w="99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9" w:type="dxa"/>
            <w:vAlign w:val="center"/>
          </w:tcPr>
          <w:p>
            <w:pPr>
              <w:spacing w:line="400" w:lineRule="atLeast"/>
              <w:jc w:val="center"/>
              <w:rPr>
                <w:sz w:val="24"/>
              </w:rPr>
            </w:pPr>
            <w:r>
              <w:rPr>
                <w:sz w:val="24"/>
              </w:rPr>
              <w:t>序号</w:t>
            </w:r>
          </w:p>
        </w:tc>
        <w:tc>
          <w:tcPr>
            <w:tcW w:w="1591" w:type="dxa"/>
            <w:vAlign w:val="center"/>
          </w:tcPr>
          <w:p>
            <w:pPr>
              <w:spacing w:line="400" w:lineRule="atLeast"/>
              <w:jc w:val="center"/>
              <w:rPr>
                <w:sz w:val="24"/>
              </w:rPr>
            </w:pPr>
            <w:r>
              <w:rPr>
                <w:sz w:val="24"/>
              </w:rPr>
              <w:t>招标文件规格条目号</w:t>
            </w:r>
          </w:p>
        </w:tc>
        <w:tc>
          <w:tcPr>
            <w:tcW w:w="2428" w:type="dxa"/>
            <w:vAlign w:val="center"/>
          </w:tcPr>
          <w:p>
            <w:pPr>
              <w:spacing w:line="400" w:lineRule="atLeast"/>
              <w:jc w:val="center"/>
              <w:rPr>
                <w:sz w:val="24"/>
              </w:rPr>
            </w:pPr>
            <w:r>
              <w:rPr>
                <w:sz w:val="24"/>
              </w:rPr>
              <w:t>招标文件要求规格</w:t>
            </w:r>
          </w:p>
        </w:tc>
        <w:tc>
          <w:tcPr>
            <w:tcW w:w="2242" w:type="dxa"/>
            <w:vAlign w:val="center"/>
          </w:tcPr>
          <w:p>
            <w:pPr>
              <w:spacing w:line="400" w:lineRule="atLeast"/>
              <w:jc w:val="center"/>
              <w:rPr>
                <w:sz w:val="24"/>
              </w:rPr>
            </w:pPr>
            <w:r>
              <w:rPr>
                <w:sz w:val="24"/>
              </w:rPr>
              <w:t>投标规格</w:t>
            </w:r>
          </w:p>
        </w:tc>
        <w:tc>
          <w:tcPr>
            <w:tcW w:w="1604" w:type="dxa"/>
            <w:vAlign w:val="center"/>
          </w:tcPr>
          <w:p>
            <w:pPr>
              <w:spacing w:line="400" w:lineRule="atLeast"/>
              <w:jc w:val="center"/>
              <w:rPr>
                <w:sz w:val="24"/>
              </w:rPr>
            </w:pPr>
            <w:r>
              <w:rPr>
                <w:sz w:val="24"/>
              </w:rPr>
              <w:t>偏离</w:t>
            </w:r>
          </w:p>
        </w:tc>
        <w:tc>
          <w:tcPr>
            <w:tcW w:w="994" w:type="dxa"/>
            <w:vAlign w:val="center"/>
          </w:tcPr>
          <w:p>
            <w:pPr>
              <w:spacing w:line="400" w:lineRule="atLeast"/>
              <w:jc w:val="center"/>
              <w:rPr>
                <w:sz w:val="24"/>
              </w:rPr>
            </w:pPr>
            <w:r>
              <w:rPr>
                <w:sz w:val="24"/>
              </w:rPr>
              <w:t>说明</w:t>
            </w:r>
          </w:p>
        </w:tc>
        <w:tc>
          <w:tcPr>
            <w:tcW w:w="1253" w:type="dxa"/>
            <w:vAlign w:val="center"/>
          </w:tcPr>
          <w:p>
            <w:pPr>
              <w:spacing w:line="400" w:lineRule="atLeast"/>
              <w:jc w:val="center"/>
              <w:rPr>
                <w:sz w:val="24"/>
              </w:rPr>
            </w:pPr>
            <w:r>
              <w:rPr>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p>
            <w:pPr>
              <w:spacing w:line="400" w:lineRule="atLeast"/>
              <w:rPr>
                <w:sz w:val="24"/>
              </w:rPr>
            </w:pPr>
          </w:p>
        </w:tc>
        <w:tc>
          <w:tcPr>
            <w:tcW w:w="1591" w:type="dxa"/>
          </w:tcPr>
          <w:p>
            <w:pPr>
              <w:widowControl/>
              <w:spacing w:line="400" w:lineRule="atLeast"/>
              <w:jc w:val="left"/>
              <w:rPr>
                <w:sz w:val="24"/>
              </w:rPr>
            </w:pPr>
          </w:p>
          <w:p>
            <w:pPr>
              <w:spacing w:line="400" w:lineRule="atLeast"/>
              <w:rPr>
                <w:sz w:val="24"/>
              </w:rPr>
            </w:pPr>
          </w:p>
        </w:tc>
        <w:tc>
          <w:tcPr>
            <w:tcW w:w="2428" w:type="dxa"/>
          </w:tcPr>
          <w:p>
            <w:pPr>
              <w:spacing w:line="400" w:lineRule="atLeast"/>
              <w:rPr>
                <w:sz w:val="24"/>
              </w:rPr>
            </w:pPr>
          </w:p>
        </w:tc>
        <w:tc>
          <w:tcPr>
            <w:tcW w:w="2242" w:type="dxa"/>
          </w:tcPr>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tc>
        <w:tc>
          <w:tcPr>
            <w:tcW w:w="1591" w:type="dxa"/>
          </w:tcPr>
          <w:p>
            <w:pPr>
              <w:spacing w:line="400" w:lineRule="atLeast"/>
              <w:rPr>
                <w:sz w:val="24"/>
              </w:rPr>
            </w:pPr>
          </w:p>
        </w:tc>
        <w:tc>
          <w:tcPr>
            <w:tcW w:w="2428" w:type="dxa"/>
          </w:tcPr>
          <w:p>
            <w:pPr>
              <w:spacing w:line="400" w:lineRule="atLeast"/>
              <w:rPr>
                <w:sz w:val="24"/>
              </w:rPr>
            </w:pPr>
          </w:p>
          <w:p>
            <w:pPr>
              <w:spacing w:line="400" w:lineRule="atLeast"/>
              <w:rPr>
                <w:sz w:val="24"/>
              </w:rPr>
            </w:pPr>
          </w:p>
        </w:tc>
        <w:tc>
          <w:tcPr>
            <w:tcW w:w="2242" w:type="dxa"/>
          </w:tcPr>
          <w:p>
            <w:pPr>
              <w:widowControl/>
              <w:spacing w:line="400" w:lineRule="atLeast"/>
              <w:jc w:val="left"/>
              <w:rPr>
                <w:sz w:val="24"/>
              </w:rPr>
            </w:pPr>
          </w:p>
          <w:p>
            <w:pPr>
              <w:spacing w:line="400" w:lineRule="atLeas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tc>
        <w:tc>
          <w:tcPr>
            <w:tcW w:w="1591" w:type="dxa"/>
          </w:tcPr>
          <w:p>
            <w:pPr>
              <w:spacing w:line="400" w:lineRule="atLeast"/>
              <w:rPr>
                <w:sz w:val="24"/>
              </w:rPr>
            </w:pPr>
          </w:p>
        </w:tc>
        <w:tc>
          <w:tcPr>
            <w:tcW w:w="2428" w:type="dxa"/>
          </w:tcPr>
          <w:p>
            <w:pPr>
              <w:spacing w:line="400" w:lineRule="atLeast"/>
              <w:rPr>
                <w:sz w:val="24"/>
              </w:rPr>
            </w:pPr>
          </w:p>
        </w:tc>
        <w:tc>
          <w:tcPr>
            <w:tcW w:w="2242" w:type="dxa"/>
          </w:tcPr>
          <w:p>
            <w:pPr>
              <w:widowControl/>
              <w:spacing w:line="400" w:lineRule="atLeast"/>
              <w:jc w:val="lef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tc>
        <w:tc>
          <w:tcPr>
            <w:tcW w:w="1591" w:type="dxa"/>
          </w:tcPr>
          <w:p>
            <w:pPr>
              <w:spacing w:line="400" w:lineRule="atLeast"/>
              <w:rPr>
                <w:sz w:val="24"/>
              </w:rPr>
            </w:pPr>
          </w:p>
        </w:tc>
        <w:tc>
          <w:tcPr>
            <w:tcW w:w="2428" w:type="dxa"/>
          </w:tcPr>
          <w:p>
            <w:pPr>
              <w:spacing w:line="400" w:lineRule="atLeast"/>
              <w:rPr>
                <w:sz w:val="24"/>
              </w:rPr>
            </w:pPr>
          </w:p>
        </w:tc>
        <w:tc>
          <w:tcPr>
            <w:tcW w:w="2242" w:type="dxa"/>
          </w:tcPr>
          <w:p>
            <w:pPr>
              <w:widowControl/>
              <w:spacing w:line="400" w:lineRule="atLeast"/>
              <w:jc w:val="lef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99" w:type="dxa"/>
          </w:tcPr>
          <w:p>
            <w:pPr>
              <w:spacing w:line="400" w:lineRule="atLeast"/>
              <w:rPr>
                <w:sz w:val="24"/>
              </w:rPr>
            </w:pPr>
          </w:p>
        </w:tc>
        <w:tc>
          <w:tcPr>
            <w:tcW w:w="1591" w:type="dxa"/>
          </w:tcPr>
          <w:p>
            <w:pPr>
              <w:spacing w:line="400" w:lineRule="atLeast"/>
              <w:rPr>
                <w:sz w:val="24"/>
              </w:rPr>
            </w:pPr>
          </w:p>
        </w:tc>
        <w:tc>
          <w:tcPr>
            <w:tcW w:w="2428" w:type="dxa"/>
          </w:tcPr>
          <w:p>
            <w:pPr>
              <w:spacing w:line="400" w:lineRule="atLeast"/>
              <w:rPr>
                <w:sz w:val="24"/>
              </w:rPr>
            </w:pPr>
          </w:p>
        </w:tc>
        <w:tc>
          <w:tcPr>
            <w:tcW w:w="2242" w:type="dxa"/>
          </w:tcPr>
          <w:p>
            <w:pPr>
              <w:widowControl/>
              <w:spacing w:line="400" w:lineRule="atLeast"/>
              <w:jc w:val="left"/>
              <w:rPr>
                <w:sz w:val="24"/>
              </w:rPr>
            </w:pPr>
          </w:p>
        </w:tc>
        <w:tc>
          <w:tcPr>
            <w:tcW w:w="1604" w:type="dxa"/>
          </w:tcPr>
          <w:p>
            <w:pPr>
              <w:spacing w:line="400" w:lineRule="atLeast"/>
              <w:rPr>
                <w:sz w:val="24"/>
              </w:rPr>
            </w:pPr>
          </w:p>
        </w:tc>
        <w:tc>
          <w:tcPr>
            <w:tcW w:w="994" w:type="dxa"/>
          </w:tcPr>
          <w:p>
            <w:pPr>
              <w:spacing w:line="400" w:lineRule="atLeast"/>
              <w:rPr>
                <w:sz w:val="24"/>
              </w:rPr>
            </w:pPr>
          </w:p>
        </w:tc>
        <w:tc>
          <w:tcPr>
            <w:tcW w:w="1253" w:type="dxa"/>
          </w:tcPr>
          <w:p>
            <w:pPr>
              <w:spacing w:line="400" w:lineRule="atLeast"/>
              <w:rPr>
                <w:sz w:val="24"/>
              </w:rPr>
            </w:pPr>
          </w:p>
        </w:tc>
      </w:tr>
    </w:tbl>
    <w:p>
      <w:pPr>
        <w:spacing w:line="400" w:lineRule="atLeast"/>
        <w:rPr>
          <w:sz w:val="24"/>
        </w:rPr>
      </w:pPr>
      <w:r>
        <w:rPr>
          <w:sz w:val="24"/>
        </w:rPr>
        <w:t>注：与招标文件中“第三部分货物需求及技术要求”逐条对应填写。</w:t>
      </w:r>
    </w:p>
    <w:p>
      <w:pPr>
        <w:spacing w:line="400" w:lineRule="atLeast"/>
        <w:rPr>
          <w:sz w:val="24"/>
        </w:rPr>
      </w:pPr>
      <w:r>
        <w:rPr>
          <w:sz w:val="24"/>
        </w:rPr>
        <w:t>投标商代表签字：</w:t>
      </w:r>
      <w:r>
        <w:rPr>
          <w:sz w:val="24"/>
          <w:u w:val="single"/>
        </w:rPr>
        <w:t>　　　　　　　　　　　　　　　</w:t>
      </w:r>
    </w:p>
    <w:p>
      <w:pPr>
        <w:spacing w:line="400" w:lineRule="atLeast"/>
        <w:jc w:val="center"/>
        <w:outlineLvl w:val="1"/>
        <w:rPr>
          <w:sz w:val="24"/>
        </w:rPr>
      </w:pPr>
      <w:bookmarkStart w:id="179" w:name="_Toc22690"/>
      <w:r>
        <w:rPr>
          <w:sz w:val="24"/>
        </w:rPr>
        <w:t>5、商务条款偏离表</w:t>
      </w:r>
      <w:bookmarkEnd w:id="179"/>
    </w:p>
    <w:p>
      <w:pPr>
        <w:spacing w:line="400" w:lineRule="atLeast"/>
        <w:ind w:firstLine="2640"/>
        <w:rPr>
          <w:sz w:val="24"/>
        </w:rPr>
      </w:pPr>
    </w:p>
    <w:p>
      <w:pPr>
        <w:spacing w:line="400" w:lineRule="atLeast"/>
        <w:rPr>
          <w:sz w:val="24"/>
          <w:u w:val="single"/>
        </w:rPr>
      </w:pPr>
      <w:r>
        <w:rPr>
          <w:sz w:val="24"/>
        </w:rPr>
        <w:t>投标商名称（公章）：</w:t>
      </w:r>
      <w:r>
        <w:rPr>
          <w:sz w:val="24"/>
          <w:u w:val="single"/>
        </w:rPr>
        <w:t>　　　　　</w:t>
      </w:r>
      <w:r>
        <w:rPr>
          <w:sz w:val="24"/>
        </w:rPr>
        <w:t>项目编号/包号：</w:t>
      </w:r>
      <w:r>
        <w:rPr>
          <w:sz w:val="24"/>
          <w:u w:val="single"/>
        </w:rPr>
        <w:t>　　　　　　　　　　　</w:t>
      </w:r>
    </w:p>
    <w:tbl>
      <w:tblPr>
        <w:tblStyle w:val="3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676"/>
        <w:gridCol w:w="2973"/>
        <w:gridCol w:w="3303"/>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9" w:type="dxa"/>
            <w:vAlign w:val="center"/>
          </w:tcPr>
          <w:p>
            <w:pPr>
              <w:spacing w:line="400" w:lineRule="atLeast"/>
              <w:jc w:val="center"/>
              <w:rPr>
                <w:sz w:val="24"/>
              </w:rPr>
            </w:pPr>
            <w:r>
              <w:rPr>
                <w:sz w:val="24"/>
              </w:rPr>
              <w:t>序号</w:t>
            </w:r>
          </w:p>
        </w:tc>
        <w:tc>
          <w:tcPr>
            <w:tcW w:w="1676" w:type="dxa"/>
            <w:vAlign w:val="center"/>
          </w:tcPr>
          <w:p>
            <w:pPr>
              <w:spacing w:line="400" w:lineRule="atLeast"/>
              <w:jc w:val="center"/>
              <w:rPr>
                <w:sz w:val="24"/>
              </w:rPr>
            </w:pPr>
            <w:r>
              <w:rPr>
                <w:sz w:val="24"/>
              </w:rPr>
              <w:t>招标文件</w:t>
            </w:r>
          </w:p>
          <w:p>
            <w:pPr>
              <w:spacing w:line="400" w:lineRule="atLeast"/>
              <w:jc w:val="center"/>
              <w:rPr>
                <w:sz w:val="24"/>
              </w:rPr>
            </w:pPr>
            <w:r>
              <w:rPr>
                <w:sz w:val="24"/>
              </w:rPr>
              <w:t>条目号</w:t>
            </w:r>
          </w:p>
        </w:tc>
        <w:tc>
          <w:tcPr>
            <w:tcW w:w="2973" w:type="dxa"/>
            <w:vAlign w:val="center"/>
          </w:tcPr>
          <w:p>
            <w:pPr>
              <w:spacing w:line="400" w:lineRule="atLeast"/>
              <w:jc w:val="center"/>
              <w:rPr>
                <w:sz w:val="24"/>
              </w:rPr>
            </w:pPr>
            <w:r>
              <w:rPr>
                <w:sz w:val="24"/>
              </w:rPr>
              <w:t>招标文件的商务条款</w:t>
            </w:r>
          </w:p>
        </w:tc>
        <w:tc>
          <w:tcPr>
            <w:tcW w:w="3303" w:type="dxa"/>
            <w:vAlign w:val="center"/>
          </w:tcPr>
          <w:p>
            <w:pPr>
              <w:spacing w:line="400" w:lineRule="atLeast"/>
              <w:jc w:val="center"/>
              <w:rPr>
                <w:sz w:val="24"/>
              </w:rPr>
            </w:pPr>
            <w:r>
              <w:rPr>
                <w:sz w:val="24"/>
              </w:rPr>
              <w:t>投标文件的商务条款</w:t>
            </w:r>
          </w:p>
        </w:tc>
        <w:tc>
          <w:tcPr>
            <w:tcW w:w="2311" w:type="dxa"/>
            <w:vAlign w:val="center"/>
          </w:tcPr>
          <w:p>
            <w:pPr>
              <w:spacing w:line="400" w:lineRule="atLeast"/>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9" w:type="dxa"/>
          </w:tcPr>
          <w:p>
            <w:pPr>
              <w:spacing w:line="400" w:lineRule="atLeast"/>
              <w:rPr>
                <w:sz w:val="24"/>
              </w:rPr>
            </w:pPr>
          </w:p>
          <w:p>
            <w:pPr>
              <w:spacing w:line="400" w:lineRule="atLeast"/>
              <w:rPr>
                <w:sz w:val="24"/>
              </w:rPr>
            </w:pPr>
          </w:p>
        </w:tc>
        <w:tc>
          <w:tcPr>
            <w:tcW w:w="1676" w:type="dxa"/>
          </w:tcPr>
          <w:p>
            <w:pPr>
              <w:widowControl/>
              <w:spacing w:line="400" w:lineRule="atLeast"/>
              <w:jc w:val="left"/>
              <w:rPr>
                <w:sz w:val="24"/>
              </w:rPr>
            </w:pPr>
          </w:p>
          <w:p>
            <w:pPr>
              <w:spacing w:line="400" w:lineRule="atLeast"/>
              <w:rPr>
                <w:sz w:val="24"/>
              </w:rPr>
            </w:pPr>
          </w:p>
        </w:tc>
        <w:tc>
          <w:tcPr>
            <w:tcW w:w="2973" w:type="dxa"/>
          </w:tcPr>
          <w:p>
            <w:pPr>
              <w:spacing w:line="400" w:lineRule="atLeast"/>
              <w:rPr>
                <w:sz w:val="24"/>
              </w:rPr>
            </w:pPr>
          </w:p>
        </w:tc>
        <w:tc>
          <w:tcPr>
            <w:tcW w:w="3303" w:type="dxa"/>
          </w:tcPr>
          <w:p>
            <w:pPr>
              <w:spacing w:line="400" w:lineRule="atLeast"/>
              <w:rPr>
                <w:sz w:val="24"/>
              </w:rPr>
            </w:pPr>
          </w:p>
        </w:tc>
        <w:tc>
          <w:tcPr>
            <w:tcW w:w="2311" w:type="dxa"/>
          </w:tcPr>
          <w:p>
            <w:pPr>
              <w:spacing w:line="400" w:lineRule="atLeast"/>
              <w:rPr>
                <w:sz w:val="24"/>
              </w:rPr>
            </w:pPr>
          </w:p>
        </w:tc>
      </w:tr>
    </w:tbl>
    <w:p>
      <w:pPr>
        <w:spacing w:line="400" w:lineRule="atLeast"/>
        <w:rPr>
          <w:sz w:val="24"/>
        </w:rPr>
      </w:pPr>
      <w:r>
        <w:rPr>
          <w:sz w:val="24"/>
        </w:rPr>
        <w:t>注：与招标文件中“第五部分合同特殊条款”逐条对应填写。　</w:t>
      </w:r>
    </w:p>
    <w:p>
      <w:pPr>
        <w:spacing w:line="400" w:lineRule="atLeast"/>
        <w:rPr>
          <w:sz w:val="24"/>
        </w:rPr>
      </w:pPr>
      <w:r>
        <w:rPr>
          <w:sz w:val="24"/>
        </w:rPr>
        <w:t>投标商代表签字：</w:t>
      </w:r>
      <w:r>
        <w:rPr>
          <w:sz w:val="24"/>
          <w:u w:val="single"/>
        </w:rPr>
        <w:t>　　　　　　　　　　　　　　　</w:t>
      </w:r>
      <w:r>
        <w:rPr>
          <w:sz w:val="24"/>
        </w:rPr>
        <w:t>　</w:t>
      </w:r>
    </w:p>
    <w:p>
      <w:pPr>
        <w:spacing w:line="400" w:lineRule="atLeast"/>
        <w:jc w:val="center"/>
        <w:rPr>
          <w:sz w:val="24"/>
        </w:rPr>
      </w:pPr>
    </w:p>
    <w:p>
      <w:pPr>
        <w:spacing w:line="400" w:lineRule="atLeast"/>
        <w:jc w:val="center"/>
        <w:rPr>
          <w:sz w:val="24"/>
        </w:rPr>
      </w:pPr>
    </w:p>
    <w:p>
      <w:pPr>
        <w:spacing w:line="400" w:lineRule="atLeast"/>
        <w:jc w:val="center"/>
        <w:outlineLvl w:val="1"/>
        <w:rPr>
          <w:sz w:val="24"/>
        </w:rPr>
      </w:pPr>
      <w:bookmarkStart w:id="180" w:name="_Toc16089"/>
      <w:r>
        <w:rPr>
          <w:sz w:val="24"/>
        </w:rPr>
        <w:t>6、法人代表授权书格式</w:t>
      </w:r>
      <w:bookmarkEnd w:id="180"/>
    </w:p>
    <w:p>
      <w:pPr>
        <w:spacing w:line="400" w:lineRule="atLeast"/>
        <w:rPr>
          <w:sz w:val="24"/>
        </w:rPr>
      </w:pPr>
    </w:p>
    <w:p>
      <w:pPr>
        <w:pStyle w:val="16"/>
        <w:spacing w:line="400" w:lineRule="atLeast"/>
        <w:rPr>
          <w:rFonts w:ascii="Times New Roman" w:hAnsi="Times New Roman"/>
        </w:rPr>
      </w:pPr>
      <w:r>
        <w:rPr>
          <w:rFonts w:ascii="Times New Roman" w:hAnsi="Times New Roman"/>
        </w:rPr>
        <w:t>本授权书声明：注册于</w:t>
      </w:r>
      <w:r>
        <w:rPr>
          <w:rFonts w:ascii="Times New Roman" w:hAnsi="Times New Roman"/>
          <w:u w:val="single"/>
        </w:rPr>
        <w:t>（地区的名称）</w:t>
      </w:r>
      <w:r>
        <w:rPr>
          <w:rFonts w:ascii="Times New Roman" w:hAnsi="Times New Roman"/>
        </w:rPr>
        <w:t>的</w:t>
      </w:r>
      <w:r>
        <w:rPr>
          <w:rFonts w:ascii="Times New Roman" w:hAnsi="Times New Roman"/>
          <w:u w:val="single"/>
        </w:rPr>
        <w:t>（公司名称）</w:t>
      </w:r>
      <w:r>
        <w:rPr>
          <w:rFonts w:ascii="Times New Roman" w:hAnsi="Times New Roman"/>
        </w:rPr>
        <w:t>的在下面签字的</w:t>
      </w:r>
      <w:r>
        <w:rPr>
          <w:rFonts w:ascii="Times New Roman" w:hAnsi="Times New Roman"/>
          <w:u w:val="single"/>
        </w:rPr>
        <w:t>（法人代表姓名、职务）</w:t>
      </w:r>
      <w:r>
        <w:rPr>
          <w:rFonts w:ascii="Times New Roman" w:hAnsi="Times New Roman"/>
        </w:rPr>
        <w:t>代表本公司授权</w:t>
      </w:r>
      <w:r>
        <w:rPr>
          <w:rFonts w:ascii="Times New Roman" w:hAnsi="Times New Roman"/>
          <w:u w:val="single"/>
        </w:rPr>
        <w:t>（单位名称）</w:t>
      </w:r>
      <w:r>
        <w:rPr>
          <w:rFonts w:ascii="Times New Roman" w:hAnsi="Times New Roman"/>
        </w:rPr>
        <w:t>的在下面签字的</w:t>
      </w:r>
      <w:r>
        <w:rPr>
          <w:rFonts w:ascii="Times New Roman" w:hAnsi="Times New Roman"/>
          <w:u w:val="single"/>
        </w:rPr>
        <w:t>（被授权人的姓名、职务）</w:t>
      </w:r>
      <w:r>
        <w:rPr>
          <w:rFonts w:ascii="Times New Roman" w:hAnsi="Times New Roman"/>
        </w:rPr>
        <w:t>为本公司的合法代理人，就</w:t>
      </w:r>
      <w:r>
        <w:rPr>
          <w:rFonts w:ascii="Times New Roman" w:hAnsi="Times New Roman"/>
          <w:u w:val="single"/>
        </w:rPr>
        <w:t>（项目名称、项目编号、设备名称）</w:t>
      </w:r>
      <w:r>
        <w:rPr>
          <w:rFonts w:ascii="Times New Roman" w:hAnsi="Times New Roman"/>
        </w:rPr>
        <w:t>的投标，以本公司的名义处理一切与之有关的事务。</w:t>
      </w:r>
    </w:p>
    <w:p>
      <w:pPr>
        <w:spacing w:line="400" w:lineRule="atLeast"/>
        <w:ind w:firstLine="480"/>
        <w:rPr>
          <w:sz w:val="24"/>
        </w:rPr>
      </w:pPr>
    </w:p>
    <w:p>
      <w:pPr>
        <w:spacing w:line="400" w:lineRule="atLeast"/>
        <w:ind w:firstLine="480"/>
        <w:rPr>
          <w:sz w:val="24"/>
        </w:rPr>
      </w:pPr>
      <w:r>
        <w:rPr>
          <w:sz w:val="24"/>
        </w:rPr>
        <w:t>本授权书于</w:t>
      </w:r>
      <w:r>
        <w:rPr>
          <w:sz w:val="24"/>
          <w:u w:val="single"/>
        </w:rPr>
        <w:t>　　　　　　</w:t>
      </w:r>
      <w:r>
        <w:rPr>
          <w:sz w:val="24"/>
        </w:rPr>
        <w:t>年</w:t>
      </w:r>
      <w:r>
        <w:rPr>
          <w:sz w:val="24"/>
          <w:u w:val="single"/>
        </w:rPr>
        <w:t>　　　</w:t>
      </w:r>
      <w:r>
        <w:rPr>
          <w:sz w:val="24"/>
        </w:rPr>
        <w:t>月</w:t>
      </w:r>
      <w:r>
        <w:rPr>
          <w:sz w:val="24"/>
          <w:u w:val="single"/>
        </w:rPr>
        <w:t>　　</w:t>
      </w:r>
      <w:r>
        <w:rPr>
          <w:sz w:val="24"/>
        </w:rPr>
        <w:t>日签字生效，特此声明。</w:t>
      </w:r>
    </w:p>
    <w:p>
      <w:pPr>
        <w:spacing w:line="400" w:lineRule="atLeast"/>
        <w:ind w:firstLine="480"/>
        <w:rPr>
          <w:sz w:val="24"/>
        </w:rPr>
      </w:pPr>
    </w:p>
    <w:p>
      <w:pPr>
        <w:spacing w:line="400" w:lineRule="atLeast"/>
        <w:ind w:firstLine="480"/>
        <w:rPr>
          <w:sz w:val="24"/>
        </w:rPr>
      </w:pPr>
      <w:r>
        <w:rPr>
          <w:sz w:val="24"/>
        </w:rPr>
        <w:t>法人代表签字</w:t>
      </w:r>
      <w:r>
        <w:rPr>
          <w:sz w:val="24"/>
          <w:u w:val="single"/>
        </w:rPr>
        <w:t>　　　　　　　　　　　　　　　　　</w:t>
      </w:r>
    </w:p>
    <w:p>
      <w:pPr>
        <w:spacing w:line="400" w:lineRule="atLeast"/>
        <w:ind w:firstLine="480"/>
        <w:rPr>
          <w:sz w:val="24"/>
        </w:rPr>
      </w:pPr>
      <w:r>
        <w:rPr>
          <w:sz w:val="24"/>
        </w:rPr>
        <w:t>被授权人签字</w:t>
      </w:r>
      <w:r>
        <w:rPr>
          <w:sz w:val="24"/>
          <w:u w:val="single"/>
        </w:rPr>
        <w:t>　　　　　　　　　　　　　　　　　</w:t>
      </w:r>
    </w:p>
    <w:p>
      <w:pPr>
        <w:spacing w:line="400" w:lineRule="atLeast"/>
        <w:ind w:firstLine="480"/>
        <w:rPr>
          <w:sz w:val="24"/>
        </w:rPr>
      </w:pPr>
      <w:r>
        <w:rPr>
          <w:sz w:val="24"/>
        </w:rPr>
        <w:t>公章：</w:t>
      </w:r>
    </w:p>
    <w:p>
      <w:pPr>
        <w:spacing w:line="400" w:lineRule="atLeast"/>
        <w:ind w:firstLine="480"/>
        <w:rPr>
          <w:sz w:val="24"/>
        </w:rPr>
      </w:pPr>
    </w:p>
    <w:p>
      <w:pPr>
        <w:spacing w:line="400" w:lineRule="atLeast"/>
        <w:rPr>
          <w:sz w:val="24"/>
        </w:rPr>
      </w:pPr>
      <w:r>
        <w:rPr>
          <w:sz w:val="24"/>
        </w:rPr>
        <w:t>注：凡公司法人前来参加投标的投标商，可以不提供此项证明文件。</w:t>
      </w: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r>
        <w:rPr>
          <w:sz w:val="24"/>
        </w:rPr>
        <w:pict>
          <v:shape id="_x0000_s1026" o:spid="_x0000_s1026" o:spt="202" type="#_x0000_t202" style="position:absolute;left:0pt;margin-left:76.55pt;margin-top:9.35pt;height:182pt;width:186pt;z-index:251664384;mso-width-relative:page;mso-height-relative:page;" fillcolor="#FFFFFF" filled="t" stroked="t" coordsize="21600,21600">
            <v:path/>
            <v:fill on="t" color2="#FFFFFF" focussize="0,0"/>
            <v:stroke color="#000000" joinstyle="miter"/>
            <v:imagedata o:title=""/>
            <o:lock v:ext="edit" aspectratio="f"/>
            <v:textbox>
              <w:txbxContent>
                <w:p>
                  <w:r>
                    <w:rPr>
                      <w:rFonts w:hint="eastAsia"/>
                    </w:rPr>
                    <w:t>授权人身份证复印件正面</w:t>
                  </w:r>
                </w:p>
              </w:txbxContent>
            </v:textbox>
          </v:shape>
        </w:pict>
      </w:r>
    </w:p>
    <w:p>
      <w:pPr>
        <w:spacing w:line="400" w:lineRule="atLeast"/>
        <w:jc w:val="center"/>
        <w:rPr>
          <w:sz w:val="24"/>
        </w:rPr>
      </w:pPr>
      <w:r>
        <w:rPr>
          <w:sz w:val="24"/>
        </w:rPr>
        <w:pict>
          <v:shape id="_x0000_s1027" o:spid="_x0000_s1027" o:spt="202" type="#_x0000_t202" style="position:absolute;left:0pt;margin-left:283.2pt;margin-top:1.5pt;height:159.5pt;width:150pt;z-index:251665408;mso-width-relative:page;mso-height-relative:page;" fillcolor="#FFFFFF" filled="t" stroked="t" coordsize="21600,21600">
            <v:path/>
            <v:fill on="t" color2="#FFFFFF" focussize="0,0"/>
            <v:stroke color="#000000" joinstyle="miter"/>
            <v:imagedata o:title=""/>
            <o:lock v:ext="edit" aspectratio="f"/>
            <v:textbox>
              <w:txbxContent>
                <w:p>
                  <w:r>
                    <w:rPr>
                      <w:rFonts w:hint="eastAsia"/>
                    </w:rPr>
                    <w:t>授权人身份证复印件反面</w:t>
                  </w:r>
                </w:p>
                <w:p/>
              </w:txbxContent>
            </v:textbox>
          </v:shape>
        </w:pict>
      </w: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r>
        <w:rPr>
          <w:sz w:val="24"/>
        </w:rPr>
        <w:pict>
          <v:shape id="_x0000_s1031" o:spid="_x0000_s1031" o:spt="202" type="#_x0000_t202" style="position:absolute;left:0pt;margin-left:285.65pt;margin-top:18.15pt;height:98.2pt;width:131.25pt;z-index:251669504;mso-width-relative:page;mso-height-relative:page;" fillcolor="#FFFFFF" filled="t" stroked="t" coordsize="21600,21600">
            <v:path/>
            <v:fill on="t" color2="#FFFFFF" focussize="0,0"/>
            <v:stroke color="#000000"/>
            <v:imagedata o:title=""/>
            <o:lock v:ext="edit" aspectratio="f"/>
            <v:textbox>
              <w:txbxContent>
                <w:p>
                  <w:r>
                    <w:rPr>
                      <w:rFonts w:hint="eastAsia"/>
                      <w:lang w:eastAsia="zh-CN"/>
                    </w:rPr>
                    <w:t>被</w:t>
                  </w:r>
                  <w:r>
                    <w:rPr>
                      <w:rFonts w:hint="eastAsia"/>
                    </w:rPr>
                    <w:t>授权人身份证复印件正面</w:t>
                  </w:r>
                </w:p>
                <w:p/>
              </w:txbxContent>
            </v:textbox>
          </v:shape>
        </w:pict>
      </w:r>
      <w:r>
        <w:rPr>
          <w:sz w:val="24"/>
        </w:rPr>
        <w:pict>
          <v:rect id="_x0000_s1029" o:spid="_x0000_s1029" o:spt="1" style="position:absolute;left:0pt;margin-left:280.4pt;margin-top:12.85pt;height:108.75pt;width:140.25pt;z-index:251667456;mso-width-relative:page;mso-height-relative:page;" coordsize="21600,21600">
            <v:path/>
            <v:fill focussize="0,0"/>
            <v:stroke/>
            <v:imagedata o:title=""/>
            <o:lock v:ext="edit"/>
          </v:rect>
        </w:pict>
      </w:r>
      <w:r>
        <w:rPr>
          <w:sz w:val="24"/>
        </w:rPr>
        <w:pict>
          <v:rect id="_x0000_s1028" o:spid="_x0000_s1028" o:spt="1" style="position:absolute;left:0pt;margin-left:72.65pt;margin-top:6.85pt;height:114pt;width:159pt;mso-wrap-distance-left:9pt;mso-wrap-distance-right:9pt;z-index:-251650048;mso-width-relative:page;mso-height-relative:page;" coordsize="21600,21600" wrapcoords="21592 -2 0 0 0 21600 21592 21602 8 21602 21600 21600 21600 0 8 -2 21592 -2">
            <v:path/>
            <v:fill focussize="0,0"/>
            <v:stroke/>
            <v:imagedata o:title=""/>
            <o:lock v:ext="edit"/>
            <w10:wrap type="tight"/>
          </v:rect>
        </w:pict>
      </w:r>
    </w:p>
    <w:p>
      <w:pPr>
        <w:spacing w:line="400" w:lineRule="atLeast"/>
        <w:jc w:val="center"/>
        <w:rPr>
          <w:sz w:val="24"/>
        </w:rPr>
      </w:pPr>
      <w:r>
        <w:rPr>
          <w:sz w:val="24"/>
        </w:rPr>
        <w:pict>
          <v:shape id="_x0000_s1030" o:spid="_x0000_s1030" o:spt="202" type="#_x0000_t202" style="position:absolute;left:0pt;margin-left:80.9pt;margin-top:2.2pt;height:92.95pt;width:141pt;z-index:251668480;mso-width-relative:page;mso-height-relative:page;" fillcolor="#FFFFFF" filled="t" stroked="t" coordsize="21600,21600">
            <v:path/>
            <v:fill on="t" color2="#FFFFFF" focussize="0,0"/>
            <v:stroke color="#000000"/>
            <v:imagedata o:title=""/>
            <o:lock v:ext="edit" aspectratio="f"/>
            <v:textbox>
              <w:txbxContent>
                <w:p>
                  <w:r>
                    <w:rPr>
                      <w:rFonts w:hint="eastAsia"/>
                      <w:lang w:eastAsia="zh-CN"/>
                    </w:rPr>
                    <w:t>被</w:t>
                  </w:r>
                  <w:r>
                    <w:rPr>
                      <w:rFonts w:hint="eastAsia"/>
                    </w:rPr>
                    <w:t>授权人身份证复印件正面</w:t>
                  </w:r>
                </w:p>
                <w:p>
                  <w:pPr>
                    <w:rPr>
                      <w:rFonts w:hint="eastAsia" w:eastAsia="宋体"/>
                      <w:lang w:eastAsia="zh-CN"/>
                    </w:rPr>
                  </w:pPr>
                </w:p>
              </w:txbxContent>
            </v:textbox>
          </v:shape>
        </w:pict>
      </w: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center"/>
        <w:rPr>
          <w:sz w:val="24"/>
        </w:rPr>
      </w:pPr>
    </w:p>
    <w:p>
      <w:pPr>
        <w:spacing w:line="400" w:lineRule="atLeast"/>
        <w:jc w:val="left"/>
        <w:rPr>
          <w:sz w:val="24"/>
        </w:rPr>
      </w:pPr>
    </w:p>
    <w:p>
      <w:pPr>
        <w:spacing w:line="400" w:lineRule="atLeast"/>
        <w:jc w:val="center"/>
        <w:rPr>
          <w:sz w:val="24"/>
        </w:rPr>
      </w:pPr>
    </w:p>
    <w:p>
      <w:pPr>
        <w:spacing w:line="400" w:lineRule="atLeast"/>
        <w:jc w:val="center"/>
        <w:rPr>
          <w:sz w:val="24"/>
        </w:rPr>
      </w:pPr>
    </w:p>
    <w:p>
      <w:pPr>
        <w:spacing w:line="400" w:lineRule="atLeast"/>
        <w:rPr>
          <w:sz w:val="24"/>
        </w:rPr>
      </w:pPr>
    </w:p>
    <w:p>
      <w:pPr>
        <w:spacing w:line="400" w:lineRule="atLeast"/>
        <w:jc w:val="center"/>
        <w:rPr>
          <w:sz w:val="24"/>
        </w:rPr>
      </w:pPr>
    </w:p>
    <w:p>
      <w:pPr>
        <w:spacing w:line="400" w:lineRule="atLeast"/>
        <w:jc w:val="center"/>
        <w:outlineLvl w:val="1"/>
        <w:rPr>
          <w:sz w:val="24"/>
        </w:rPr>
      </w:pPr>
      <w:bookmarkStart w:id="181" w:name="_Toc13360"/>
      <w:r>
        <w:rPr>
          <w:sz w:val="24"/>
        </w:rPr>
        <w:t>7、关于资格的声明函</w:t>
      </w:r>
      <w:bookmarkEnd w:id="181"/>
    </w:p>
    <w:p>
      <w:pPr>
        <w:spacing w:line="400" w:lineRule="atLeast"/>
        <w:rPr>
          <w:sz w:val="24"/>
        </w:rPr>
      </w:pPr>
    </w:p>
    <w:p>
      <w:pPr>
        <w:spacing w:line="400" w:lineRule="atLeast"/>
        <w:rPr>
          <w:sz w:val="24"/>
        </w:rPr>
      </w:pPr>
      <w:r>
        <w:rPr>
          <w:sz w:val="24"/>
        </w:rPr>
        <w:t>致：</w:t>
      </w:r>
      <w:r>
        <w:rPr>
          <w:sz w:val="24"/>
          <w:u w:val="single"/>
        </w:rPr>
        <w:t>　新疆西北招标有限公司　　</w:t>
      </w:r>
      <w:r>
        <w:rPr>
          <w:sz w:val="24"/>
        </w:rPr>
        <w:t>：</w:t>
      </w:r>
    </w:p>
    <w:p>
      <w:pPr>
        <w:spacing w:line="400" w:lineRule="atLeast"/>
        <w:ind w:firstLine="570"/>
        <w:rPr>
          <w:sz w:val="24"/>
        </w:rPr>
      </w:pPr>
      <w:r>
        <w:rPr>
          <w:sz w:val="24"/>
        </w:rPr>
        <w:t>关于贵方</w:t>
      </w:r>
      <w:r>
        <w:rPr>
          <w:sz w:val="24"/>
          <w:u w:val="single"/>
        </w:rPr>
        <w:t>　　　　　</w:t>
      </w:r>
      <w:r>
        <w:rPr>
          <w:sz w:val="24"/>
        </w:rPr>
        <w:t>年</w:t>
      </w:r>
      <w:r>
        <w:rPr>
          <w:sz w:val="24"/>
          <w:u w:val="single"/>
        </w:rPr>
        <w:t>　　</w:t>
      </w:r>
      <w:r>
        <w:rPr>
          <w:sz w:val="24"/>
        </w:rPr>
        <w:t>月</w:t>
      </w:r>
      <w:r>
        <w:rPr>
          <w:sz w:val="24"/>
          <w:u w:val="single"/>
        </w:rPr>
        <w:t>　　</w:t>
      </w:r>
      <w:r>
        <w:rPr>
          <w:sz w:val="24"/>
        </w:rPr>
        <w:t>日第</w:t>
      </w:r>
      <w:r>
        <w:rPr>
          <w:sz w:val="24"/>
          <w:u w:val="single"/>
        </w:rPr>
        <w:t>（项目编号）</w:t>
      </w:r>
      <w:r>
        <w:rPr>
          <w:sz w:val="24"/>
        </w:rPr>
        <w:t>招标通告，本签字人愿意参加投标，并有能力提供</w:t>
      </w:r>
      <w:r>
        <w:rPr>
          <w:sz w:val="24"/>
          <w:u w:val="single"/>
        </w:rPr>
        <w:t>　　（项目名称）　　　</w:t>
      </w:r>
      <w:r>
        <w:rPr>
          <w:sz w:val="24"/>
        </w:rPr>
        <w:t>项目中的</w:t>
      </w:r>
      <w:r>
        <w:rPr>
          <w:sz w:val="24"/>
          <w:u w:val="single"/>
        </w:rPr>
        <w:t>　（货物名称）　　</w:t>
      </w:r>
      <w:r>
        <w:rPr>
          <w:sz w:val="24"/>
        </w:rPr>
        <w:t>招标货物及相关服务，并证明所提交的所有文件和说明是准确和真实的。</w:t>
      </w:r>
    </w:p>
    <w:p>
      <w:pPr>
        <w:spacing w:line="400" w:lineRule="atLeast"/>
        <w:rPr>
          <w:sz w:val="24"/>
        </w:rPr>
      </w:pPr>
    </w:p>
    <w:p>
      <w:pPr>
        <w:spacing w:line="400" w:lineRule="atLeast"/>
        <w:rPr>
          <w:sz w:val="24"/>
        </w:rPr>
      </w:pPr>
    </w:p>
    <w:p>
      <w:pPr>
        <w:spacing w:line="400" w:lineRule="atLeast"/>
        <w:rPr>
          <w:sz w:val="24"/>
        </w:rPr>
      </w:pPr>
      <w:r>
        <w:rPr>
          <w:sz w:val="24"/>
        </w:rPr>
        <w:t>　制造商或贸易公司的　　　　　　　受权签署本资格文件人：</w:t>
      </w:r>
    </w:p>
    <w:p>
      <w:pPr>
        <w:spacing w:line="400" w:lineRule="atLeast"/>
        <w:rPr>
          <w:sz w:val="24"/>
        </w:rPr>
      </w:pPr>
      <w:r>
        <w:rPr>
          <w:sz w:val="24"/>
        </w:rPr>
        <w:t>　名称</w:t>
      </w:r>
      <w:r>
        <w:rPr>
          <w:sz w:val="24"/>
          <w:u w:val="single"/>
        </w:rPr>
        <w:t>：　　　　　　</w:t>
      </w:r>
      <w:r>
        <w:rPr>
          <w:sz w:val="24"/>
        </w:rPr>
        <w:t>　　　　　　　签字：</w:t>
      </w:r>
      <w:r>
        <w:rPr>
          <w:sz w:val="24"/>
          <w:u w:val="single"/>
        </w:rPr>
        <w:t>　　　　　　　</w:t>
      </w:r>
    </w:p>
    <w:p>
      <w:pPr>
        <w:spacing w:line="400" w:lineRule="atLeast"/>
        <w:rPr>
          <w:sz w:val="24"/>
        </w:rPr>
      </w:pPr>
      <w:r>
        <w:rPr>
          <w:sz w:val="24"/>
        </w:rPr>
        <w:t>　地址</w:t>
      </w:r>
      <w:r>
        <w:rPr>
          <w:sz w:val="24"/>
          <w:u w:val="single"/>
        </w:rPr>
        <w:t>：　　　　　　</w:t>
      </w:r>
      <w:r>
        <w:rPr>
          <w:sz w:val="24"/>
        </w:rPr>
        <w:t>　　　　　　　签字人姓名、职务（印刷体）</w:t>
      </w:r>
    </w:p>
    <w:p>
      <w:pPr>
        <w:spacing w:line="400" w:lineRule="atLeast"/>
        <w:rPr>
          <w:sz w:val="24"/>
        </w:rPr>
      </w:pPr>
      <w:r>
        <w:rPr>
          <w:sz w:val="24"/>
        </w:rPr>
        <w:t>　传真</w:t>
      </w:r>
      <w:r>
        <w:rPr>
          <w:sz w:val="24"/>
          <w:u w:val="single"/>
        </w:rPr>
        <w:t>：　　　　　　</w:t>
      </w:r>
      <w:r>
        <w:rPr>
          <w:sz w:val="24"/>
        </w:rPr>
        <w:t xml:space="preserve">            　邮编</w:t>
      </w:r>
      <w:r>
        <w:rPr>
          <w:sz w:val="24"/>
          <w:u w:val="single"/>
        </w:rPr>
        <w:t>：　　　　　　</w:t>
      </w:r>
      <w:r>
        <w:rPr>
          <w:sz w:val="24"/>
        </w:rPr>
        <w:t>　　　　　　　</w:t>
      </w:r>
    </w:p>
    <w:p>
      <w:pPr>
        <w:spacing w:line="400" w:lineRule="atLeast"/>
        <w:ind w:firstLine="240" w:firstLineChars="100"/>
        <w:rPr>
          <w:sz w:val="24"/>
        </w:rPr>
      </w:pPr>
      <w:r>
        <w:rPr>
          <w:sz w:val="24"/>
        </w:rPr>
        <w:t>电话</w:t>
      </w:r>
      <w:r>
        <w:rPr>
          <w:sz w:val="24"/>
          <w:u w:val="single"/>
        </w:rPr>
        <w:t>：　　　　　　　</w:t>
      </w:r>
      <w:r>
        <w:rPr>
          <w:sz w:val="24"/>
        </w:rPr>
        <w:t>　</w:t>
      </w:r>
    </w:p>
    <w:p>
      <w:pPr>
        <w:spacing w:line="400" w:lineRule="atLeast"/>
        <w:rPr>
          <w:sz w:val="24"/>
        </w:rPr>
      </w:pPr>
      <w:r>
        <w:rPr>
          <w:sz w:val="24"/>
        </w:rPr>
        <w:t>　</w:t>
      </w:r>
    </w:p>
    <w:p>
      <w:pPr>
        <w:spacing w:line="400" w:lineRule="atLeast"/>
        <w:rPr>
          <w:sz w:val="24"/>
        </w:rPr>
      </w:pPr>
    </w:p>
    <w:p>
      <w:pPr>
        <w:spacing w:line="400" w:lineRule="atLeast"/>
        <w:rPr>
          <w:sz w:val="24"/>
        </w:rPr>
      </w:pPr>
      <w:r>
        <w:rPr>
          <w:sz w:val="24"/>
        </w:rPr>
        <w:t>盖章：</w:t>
      </w:r>
    </w:p>
    <w:p>
      <w:pPr>
        <w:spacing w:line="400" w:lineRule="atLeast"/>
        <w:rPr>
          <w:sz w:val="24"/>
          <w:u w:val="single"/>
        </w:rPr>
      </w:pPr>
    </w:p>
    <w:p>
      <w:pPr>
        <w:pStyle w:val="13"/>
        <w:spacing w:line="400" w:lineRule="atLeast"/>
        <w:rPr>
          <w:rFonts w:ascii="Times New Roman"/>
          <w:b w:val="0"/>
          <w:sz w:val="24"/>
        </w:rPr>
      </w:pPr>
    </w:p>
    <w:p>
      <w:pPr>
        <w:spacing w:line="400" w:lineRule="atLeast"/>
      </w:pPr>
    </w:p>
    <w:p>
      <w:pPr>
        <w:spacing w:line="400" w:lineRule="atLeast"/>
      </w:pPr>
    </w:p>
    <w:p>
      <w:pPr>
        <w:spacing w:line="400" w:lineRule="atLeast"/>
      </w:pPr>
    </w:p>
    <w:p>
      <w:pPr>
        <w:spacing w:line="400" w:lineRule="atLeast"/>
      </w:pPr>
    </w:p>
    <w:p>
      <w:pPr>
        <w:pStyle w:val="18"/>
        <w:spacing w:line="400" w:lineRule="atLeast"/>
        <w:jc w:val="center"/>
        <w:outlineLvl w:val="1"/>
        <w:rPr>
          <w:rFonts w:ascii="Times New Roman" w:hAnsi="Times New Roman"/>
          <w:sz w:val="24"/>
        </w:rPr>
      </w:pPr>
      <w:r>
        <w:rPr>
          <w:rFonts w:ascii="Times New Roman" w:hAnsi="Times New Roman"/>
          <w:sz w:val="24"/>
        </w:rPr>
        <w:br w:type="page"/>
      </w:r>
      <w:bookmarkStart w:id="182" w:name="_Toc22182"/>
      <w:r>
        <w:rPr>
          <w:rFonts w:ascii="Times New Roman" w:hAnsi="Times New Roman"/>
          <w:sz w:val="24"/>
        </w:rPr>
        <w:t>8、制造商出具的授权函</w:t>
      </w:r>
      <w:bookmarkEnd w:id="182"/>
    </w:p>
    <w:p>
      <w:pPr>
        <w:pStyle w:val="18"/>
        <w:spacing w:line="400" w:lineRule="atLeast"/>
        <w:rPr>
          <w:rFonts w:ascii="Times New Roman" w:hAnsi="Times New Roman"/>
          <w:i/>
          <w:sz w:val="24"/>
        </w:rPr>
      </w:pPr>
    </w:p>
    <w:p>
      <w:pPr>
        <w:pStyle w:val="18"/>
        <w:spacing w:line="400" w:lineRule="atLeast"/>
        <w:rPr>
          <w:rFonts w:ascii="Times New Roman" w:hAnsi="Times New Roman"/>
          <w:iCs/>
          <w:sz w:val="24"/>
          <w:u w:val="single"/>
        </w:rPr>
      </w:pPr>
      <w:r>
        <w:rPr>
          <w:rFonts w:ascii="Times New Roman" w:hAnsi="Times New Roman"/>
          <w:iCs/>
          <w:sz w:val="24"/>
        </w:rPr>
        <w:t>致：</w:t>
      </w:r>
      <w:r>
        <w:rPr>
          <w:rFonts w:ascii="Times New Roman" w:hAnsi="Times New Roman"/>
          <w:iCs/>
          <w:sz w:val="24"/>
          <w:u w:val="single"/>
        </w:rPr>
        <w:t xml:space="preserve">(招标机构)   </w:t>
      </w:r>
    </w:p>
    <w:p>
      <w:pPr>
        <w:pStyle w:val="18"/>
        <w:spacing w:line="400" w:lineRule="atLeast"/>
        <w:rPr>
          <w:rFonts w:ascii="Times New Roman" w:hAnsi="Times New Roman"/>
          <w:iCs/>
          <w:sz w:val="24"/>
        </w:rPr>
      </w:pPr>
      <w:r>
        <w:rPr>
          <w:rFonts w:ascii="Times New Roman" w:hAnsi="Times New Roman"/>
          <w:iCs/>
          <w:sz w:val="24"/>
        </w:rPr>
        <w:t>我们</w:t>
      </w:r>
      <w:r>
        <w:rPr>
          <w:rFonts w:ascii="Times New Roman" w:hAnsi="Times New Roman"/>
          <w:iCs/>
          <w:sz w:val="24"/>
          <w:u w:val="single"/>
        </w:rPr>
        <w:t>（制造商名称)</w:t>
      </w:r>
      <w:r>
        <w:rPr>
          <w:rFonts w:ascii="Times New Roman" w:hAnsi="Times New Roman"/>
          <w:iCs/>
          <w:sz w:val="24"/>
        </w:rPr>
        <w:t>兹指派主要营业地点设在</w:t>
      </w:r>
      <w:r>
        <w:rPr>
          <w:rFonts w:ascii="Times New Roman" w:hAnsi="Times New Roman"/>
          <w:iCs/>
          <w:sz w:val="24"/>
          <w:u w:val="single"/>
        </w:rPr>
        <w:t xml:space="preserve">(贸易公司地址) </w:t>
      </w:r>
      <w:r>
        <w:rPr>
          <w:rFonts w:ascii="Times New Roman" w:hAnsi="Times New Roman"/>
          <w:iCs/>
          <w:sz w:val="24"/>
        </w:rPr>
        <w:t>的</w:t>
      </w:r>
      <w:r>
        <w:rPr>
          <w:rFonts w:ascii="Times New Roman" w:hAnsi="Times New Roman"/>
          <w:iCs/>
          <w:sz w:val="24"/>
          <w:u w:val="single"/>
        </w:rPr>
        <w:t xml:space="preserve">（贸易公司名称) </w:t>
      </w:r>
      <w:r>
        <w:rPr>
          <w:rFonts w:ascii="Times New Roman" w:hAnsi="Times New Roman"/>
          <w:iCs/>
          <w:sz w:val="24"/>
        </w:rPr>
        <w:t>作为我方真正的和合法的代理人进行下列有效的活动：</w:t>
      </w:r>
    </w:p>
    <w:p>
      <w:pPr>
        <w:pStyle w:val="18"/>
        <w:spacing w:line="400" w:lineRule="atLeast"/>
        <w:ind w:firstLine="480" w:firstLineChars="200"/>
        <w:rPr>
          <w:rFonts w:ascii="Times New Roman" w:hAnsi="Times New Roman"/>
          <w:iCs/>
          <w:sz w:val="24"/>
        </w:rPr>
      </w:pPr>
      <w:r>
        <w:rPr>
          <w:rFonts w:hint="eastAsia" w:ascii="Times New Roman" w:hAnsi="Times New Roman"/>
          <w:iCs/>
          <w:sz w:val="24"/>
          <w:lang w:eastAsia="zh-CN"/>
        </w:rPr>
        <w:t>（</w:t>
      </w:r>
      <w:r>
        <w:rPr>
          <w:rFonts w:hint="eastAsia" w:ascii="Times New Roman" w:hAnsi="Times New Roman"/>
          <w:iCs/>
          <w:sz w:val="24"/>
          <w:lang w:val="en-US" w:eastAsia="zh-CN"/>
        </w:rPr>
        <w:t>1</w:t>
      </w:r>
      <w:r>
        <w:rPr>
          <w:rFonts w:hint="eastAsia" w:ascii="Times New Roman" w:hAnsi="Times New Roman"/>
          <w:iCs/>
          <w:sz w:val="24"/>
          <w:lang w:eastAsia="zh-CN"/>
        </w:rPr>
        <w:t>）</w:t>
      </w:r>
      <w:r>
        <w:rPr>
          <w:rFonts w:ascii="Times New Roman" w:hAnsi="Times New Roman"/>
          <w:iCs/>
          <w:sz w:val="24"/>
        </w:rPr>
        <w:t>代表我方办理贵方项目中要求提供的由我方制造</w:t>
      </w:r>
      <w:r>
        <w:rPr>
          <w:rFonts w:ascii="Times New Roman" w:hAnsi="Times New Roman"/>
          <w:iCs/>
          <w:sz w:val="24"/>
          <w:u w:val="single"/>
        </w:rPr>
        <w:t>（货物名称）</w:t>
      </w:r>
      <w:r>
        <w:rPr>
          <w:rFonts w:ascii="Times New Roman" w:hAnsi="Times New Roman"/>
          <w:iCs/>
          <w:sz w:val="24"/>
        </w:rPr>
        <w:t>货物的有关事宜，并对我方具有约束力；</w:t>
      </w:r>
    </w:p>
    <w:p>
      <w:pPr>
        <w:pStyle w:val="18"/>
        <w:spacing w:line="400" w:lineRule="atLeast"/>
        <w:rPr>
          <w:rFonts w:ascii="Times New Roman" w:hAnsi="Times New Roman"/>
          <w:sz w:val="24"/>
        </w:rPr>
      </w:pPr>
      <w:r>
        <w:rPr>
          <w:rFonts w:ascii="Times New Roman" w:hAnsi="Times New Roman"/>
          <w:iCs/>
          <w:sz w:val="24"/>
        </w:rPr>
        <w:t xml:space="preserve">    (2)作为制造商，我方保证以投标合作者来约束自己，并</w:t>
      </w:r>
      <w:r>
        <w:rPr>
          <w:rFonts w:ascii="Times New Roman" w:hAnsi="Times New Roman"/>
          <w:sz w:val="24"/>
        </w:rPr>
        <w:t>对该投标共同和分别承担招标文件中所规定的义务；</w:t>
      </w:r>
    </w:p>
    <w:p>
      <w:pPr>
        <w:pStyle w:val="18"/>
        <w:spacing w:line="400" w:lineRule="atLeast"/>
        <w:ind w:firstLine="480"/>
        <w:rPr>
          <w:rFonts w:ascii="Times New Roman" w:hAnsi="Times New Roman"/>
          <w:iCs/>
          <w:sz w:val="24"/>
        </w:rPr>
      </w:pPr>
      <w:r>
        <w:rPr>
          <w:rFonts w:ascii="Times New Roman" w:hAnsi="Times New Roman"/>
          <w:sz w:val="24"/>
        </w:rPr>
        <w:t>(3)我方兹授予</w:t>
      </w:r>
      <w:r>
        <w:rPr>
          <w:rFonts w:ascii="Times New Roman" w:hAnsi="Times New Roman"/>
          <w:iCs/>
          <w:sz w:val="24"/>
          <w:u w:val="single"/>
        </w:rPr>
        <w:t>（贸易公司名称)</w:t>
      </w:r>
      <w:r>
        <w:rPr>
          <w:rFonts w:ascii="Times New Roman" w:hAnsi="Times New Roman"/>
          <w:iCs/>
          <w:sz w:val="24"/>
        </w:rPr>
        <w:t>全权办理和履行上述我方为完成上述各点所必须的事宜，具有替换或撤消的全权。兹确认</w:t>
      </w:r>
      <w:r>
        <w:rPr>
          <w:rFonts w:ascii="Times New Roman" w:hAnsi="Times New Roman"/>
          <w:iCs/>
          <w:sz w:val="24"/>
          <w:u w:val="single"/>
        </w:rPr>
        <w:t xml:space="preserve">（贸易公司名称) </w:t>
      </w:r>
      <w:r>
        <w:rPr>
          <w:rFonts w:ascii="Times New Roman" w:hAnsi="Times New Roman"/>
          <w:iCs/>
          <w:sz w:val="24"/>
        </w:rPr>
        <w:t>或其正式授权代表依此合法地办理一切事宜。我方于年月日签署本文件，</w:t>
      </w:r>
      <w:r>
        <w:rPr>
          <w:rFonts w:ascii="Times New Roman" w:hAnsi="Times New Roman"/>
          <w:iCs/>
          <w:sz w:val="24"/>
          <w:u w:val="single"/>
        </w:rPr>
        <w:t xml:space="preserve">（贸易公司名称) </w:t>
      </w:r>
      <w:r>
        <w:rPr>
          <w:rFonts w:ascii="Times New Roman" w:hAnsi="Times New Roman"/>
          <w:iCs/>
          <w:sz w:val="24"/>
        </w:rPr>
        <w:t>于年</w:t>
      </w:r>
    </w:p>
    <w:p>
      <w:pPr>
        <w:pStyle w:val="18"/>
        <w:spacing w:line="400" w:lineRule="atLeast"/>
        <w:rPr>
          <w:rFonts w:ascii="Times New Roman" w:hAnsi="Times New Roman"/>
          <w:sz w:val="24"/>
        </w:rPr>
      </w:pPr>
      <w:r>
        <w:rPr>
          <w:rFonts w:ascii="Times New Roman" w:hAnsi="Times New Roman"/>
          <w:sz w:val="24"/>
        </w:rPr>
        <w:t>月日接受此件，以此为证。</w:t>
      </w:r>
    </w:p>
    <w:p>
      <w:pPr>
        <w:pStyle w:val="18"/>
        <w:spacing w:line="400" w:lineRule="atLeast"/>
        <w:rPr>
          <w:rFonts w:ascii="Times New Roman" w:hAnsi="Times New Roman"/>
          <w:sz w:val="24"/>
        </w:rPr>
      </w:pPr>
    </w:p>
    <w:p>
      <w:pPr>
        <w:pStyle w:val="18"/>
        <w:spacing w:line="400" w:lineRule="atLeast"/>
        <w:rPr>
          <w:rFonts w:ascii="Times New Roman" w:hAnsi="Times New Roman"/>
          <w:sz w:val="24"/>
        </w:rPr>
      </w:pPr>
    </w:p>
    <w:p>
      <w:pPr>
        <w:pStyle w:val="18"/>
        <w:spacing w:line="400" w:lineRule="atLeast"/>
        <w:jc w:val="left"/>
        <w:rPr>
          <w:rFonts w:ascii="Times New Roman" w:hAnsi="Times New Roman"/>
          <w:sz w:val="24"/>
        </w:rPr>
      </w:pPr>
      <w:r>
        <w:rPr>
          <w:rFonts w:ascii="Times New Roman" w:hAnsi="Times New Roman"/>
          <w:sz w:val="24"/>
        </w:rPr>
        <w:t>贸易公司名称</w:t>
      </w:r>
      <w:r>
        <w:rPr>
          <w:rFonts w:hint="eastAsia" w:ascii="Times New Roman" w:hAnsi="Times New Roman"/>
          <w:sz w:val="24"/>
          <w:lang w:val="en-US" w:eastAsia="zh-CN"/>
        </w:rPr>
        <w:t xml:space="preserve">                                                        </w:t>
      </w:r>
      <w:r>
        <w:rPr>
          <w:rFonts w:ascii="Times New Roman" w:hAnsi="Times New Roman"/>
          <w:sz w:val="24"/>
        </w:rPr>
        <w:t>制造商名称</w:t>
      </w:r>
    </w:p>
    <w:p>
      <w:pPr>
        <w:pStyle w:val="18"/>
        <w:spacing w:line="400" w:lineRule="atLeast"/>
        <w:jc w:val="left"/>
        <w:rPr>
          <w:rFonts w:ascii="Times New Roman" w:hAnsi="Times New Roman"/>
          <w:sz w:val="24"/>
        </w:rPr>
      </w:pPr>
      <w:r>
        <w:rPr>
          <w:rFonts w:ascii="Times New Roman" w:hAnsi="Times New Roman"/>
          <w:sz w:val="24"/>
        </w:rPr>
        <w:t>签字人职务和部门</w:t>
      </w:r>
      <w:r>
        <w:rPr>
          <w:rFonts w:hint="eastAsia" w:ascii="Times New Roman" w:hAnsi="Times New Roman"/>
          <w:sz w:val="24"/>
          <w:lang w:val="en-US" w:eastAsia="zh-CN"/>
        </w:rPr>
        <w:t xml:space="preserve">                                                    </w:t>
      </w:r>
      <w:r>
        <w:rPr>
          <w:rFonts w:ascii="Times New Roman" w:hAnsi="Times New Roman"/>
          <w:sz w:val="24"/>
        </w:rPr>
        <w:t>签字人职务和部门</w:t>
      </w:r>
    </w:p>
    <w:p>
      <w:pPr>
        <w:pStyle w:val="18"/>
        <w:spacing w:line="400" w:lineRule="atLeast"/>
        <w:jc w:val="left"/>
        <w:rPr>
          <w:rFonts w:ascii="Times New Roman" w:hAnsi="Times New Roman"/>
          <w:sz w:val="24"/>
        </w:rPr>
      </w:pPr>
      <w:r>
        <w:rPr>
          <w:rFonts w:ascii="Times New Roman" w:hAnsi="Times New Roman"/>
          <w:sz w:val="24"/>
        </w:rPr>
        <w:t>签字人姓名</w:t>
      </w:r>
      <w:r>
        <w:rPr>
          <w:rFonts w:hint="eastAsia" w:ascii="Times New Roman" w:hAnsi="Times New Roman"/>
          <w:sz w:val="24"/>
          <w:lang w:val="en-US" w:eastAsia="zh-CN"/>
        </w:rPr>
        <w:t xml:space="preserve">                                                           </w:t>
      </w:r>
      <w:r>
        <w:rPr>
          <w:rFonts w:ascii="Times New Roman" w:hAnsi="Times New Roman"/>
          <w:sz w:val="24"/>
        </w:rPr>
        <w:t>签字人姓名</w:t>
      </w:r>
    </w:p>
    <w:p>
      <w:pPr>
        <w:pStyle w:val="18"/>
        <w:spacing w:line="400" w:lineRule="atLeast"/>
        <w:ind w:firstLine="480"/>
        <w:rPr>
          <w:rFonts w:ascii="Times New Roman" w:hAnsi="Times New Roman"/>
          <w:sz w:val="24"/>
        </w:rPr>
      </w:pPr>
    </w:p>
    <w:p>
      <w:pPr>
        <w:pStyle w:val="18"/>
        <w:spacing w:line="400" w:lineRule="atLeast"/>
        <w:ind w:firstLine="480"/>
        <w:rPr>
          <w:rFonts w:ascii="Times New Roman" w:hAnsi="Times New Roman"/>
          <w:sz w:val="24"/>
        </w:rPr>
      </w:pPr>
      <w:r>
        <w:rPr>
          <w:rFonts w:ascii="Times New Roman" w:hAnsi="Times New Roman"/>
          <w:sz w:val="24"/>
        </w:rPr>
        <w:t>注：若制造商作为投标主体直接参与投标，可以不提供此项证明文件。</w:t>
      </w:r>
    </w:p>
    <w:p>
      <w:pPr>
        <w:spacing w:line="400" w:lineRule="atLeast"/>
        <w:jc w:val="center"/>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spacing w:line="400" w:lineRule="atLeast"/>
        <w:jc w:val="center"/>
        <w:outlineLvl w:val="1"/>
        <w:rPr>
          <w:sz w:val="24"/>
        </w:rPr>
      </w:pPr>
      <w:bookmarkStart w:id="183" w:name="_Toc14465"/>
      <w:r>
        <w:rPr>
          <w:sz w:val="24"/>
        </w:rPr>
        <w:t>9、投标人近三年在国内的销售业绩表（附采购合同或中标通知书）</w:t>
      </w:r>
      <w:bookmarkEnd w:id="183"/>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spacing w:line="400" w:lineRule="atLeast"/>
        <w:jc w:val="center"/>
        <w:outlineLvl w:val="1"/>
        <w:rPr>
          <w:sz w:val="24"/>
        </w:rPr>
      </w:pPr>
      <w:bookmarkStart w:id="184" w:name="_Toc1327"/>
      <w:r>
        <w:rPr>
          <w:sz w:val="24"/>
        </w:rPr>
        <w:t>10、资质证明文件</w:t>
      </w:r>
      <w:bookmarkEnd w:id="184"/>
    </w:p>
    <w:p>
      <w:pPr>
        <w:spacing w:line="400" w:lineRule="atLeast"/>
        <w:rPr>
          <w:sz w:val="24"/>
        </w:rPr>
      </w:pPr>
      <w:r>
        <w:rPr>
          <w:sz w:val="24"/>
        </w:rPr>
        <w:t>1、内容见第15条。</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sz w:val="24"/>
        </w:rPr>
      </w:pPr>
      <w:r>
        <w:rPr>
          <w:sz w:val="24"/>
        </w:rPr>
        <w:t>2、其它一切有利于产品和投标商的证明材料</w:t>
      </w:r>
      <w:r>
        <w:rPr>
          <w:rFonts w:hint="eastAsia"/>
          <w:sz w:val="24"/>
        </w:rPr>
        <w:t>（包括但不限于产品的生产厂家授权书及产品注册证、白皮书等）</w:t>
      </w:r>
      <w:r>
        <w:rPr>
          <w:sz w:val="24"/>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outlineLvl w:val="9"/>
        <w:rPr>
          <w:sz w:val="24"/>
        </w:rPr>
      </w:pPr>
    </w:p>
    <w:p>
      <w:pPr>
        <w:spacing w:line="400" w:lineRule="atLeast"/>
        <w:jc w:val="center"/>
        <w:outlineLvl w:val="1"/>
        <w:rPr>
          <w:sz w:val="24"/>
        </w:rPr>
      </w:pPr>
      <w:bookmarkStart w:id="185" w:name="_Toc7828"/>
      <w:r>
        <w:rPr>
          <w:sz w:val="24"/>
        </w:rPr>
        <w:t>11、产品彩页</w:t>
      </w:r>
      <w:r>
        <w:rPr>
          <w:rFonts w:hint="eastAsia"/>
          <w:sz w:val="24"/>
        </w:rPr>
        <w:t>和技术白皮书</w:t>
      </w:r>
      <w:bookmarkEnd w:id="185"/>
    </w:p>
    <w:p>
      <w:pPr>
        <w:spacing w:line="400" w:lineRule="atLeast"/>
        <w:ind w:firstLine="3730"/>
        <w:rPr>
          <w:sz w:val="24"/>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pStyle w:val="32"/>
        <w:ind w:firstLine="240"/>
        <w:rPr>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仿宋" w:hAnsi="仿宋" w:eastAsia="仿宋"/>
          <w:b/>
          <w:sz w:val="28"/>
          <w:szCs w:val="28"/>
        </w:rPr>
      </w:pPr>
      <w:bookmarkStart w:id="186" w:name="_Toc16131"/>
    </w:p>
    <w:p>
      <w:pPr>
        <w:spacing w:line="400" w:lineRule="atLeast"/>
        <w:jc w:val="center"/>
        <w:outlineLvl w:val="1"/>
        <w:rPr>
          <w:rFonts w:hint="eastAsia"/>
          <w:sz w:val="24"/>
        </w:rPr>
      </w:pPr>
      <w:r>
        <w:rPr>
          <w:rFonts w:hint="eastAsia"/>
          <w:sz w:val="24"/>
          <w:lang w:val="en-US" w:eastAsia="zh-CN"/>
        </w:rPr>
        <w:t>12.</w:t>
      </w:r>
      <w:r>
        <w:rPr>
          <w:rFonts w:hint="eastAsia"/>
          <w:sz w:val="24"/>
        </w:rPr>
        <w:t>售后服务方案及承诺</w:t>
      </w:r>
      <w:bookmarkEnd w:id="186"/>
    </w:p>
    <w:p>
      <w:pPr>
        <w:snapToGrid w:val="0"/>
        <w:spacing w:line="460" w:lineRule="exact"/>
        <w:rPr>
          <w:rFonts w:ascii="仿宋" w:hAnsi="仿宋" w:eastAsia="仿宋"/>
          <w:sz w:val="24"/>
        </w:rPr>
      </w:pPr>
      <w:r>
        <w:rPr>
          <w:rFonts w:hint="eastAsia" w:ascii="仿宋" w:hAnsi="仿宋" w:eastAsia="仿宋"/>
          <w:sz w:val="24"/>
        </w:rPr>
        <w:t>致：（采购人）</w:t>
      </w:r>
    </w:p>
    <w:p>
      <w:pPr>
        <w:snapToGrid w:val="0"/>
        <w:spacing w:line="460" w:lineRule="exact"/>
        <w:ind w:firstLine="566" w:firstLineChars="236"/>
        <w:rPr>
          <w:rFonts w:ascii="仿宋" w:hAnsi="仿宋" w:eastAsia="仿宋"/>
          <w:sz w:val="24"/>
        </w:rPr>
      </w:pPr>
      <w:r>
        <w:rPr>
          <w:rFonts w:hint="eastAsia" w:ascii="仿宋" w:hAnsi="仿宋" w:eastAsia="仿宋"/>
          <w:sz w:val="24"/>
          <w:u w:val="single"/>
        </w:rPr>
        <w:t xml:space="preserve">        （供应商名称）</w:t>
      </w:r>
      <w:r>
        <w:rPr>
          <w:rFonts w:hint="eastAsia" w:ascii="仿宋" w:hAnsi="仿宋" w:eastAsia="仿宋"/>
          <w:sz w:val="24"/>
        </w:rPr>
        <w:t>参加贵方组织的</w:t>
      </w:r>
      <w:r>
        <w:rPr>
          <w:rFonts w:hint="eastAsia" w:ascii="仿宋" w:hAnsi="仿宋" w:eastAsia="仿宋"/>
          <w:sz w:val="24"/>
          <w:u w:val="single"/>
        </w:rPr>
        <w:t xml:space="preserve">        </w:t>
      </w:r>
      <w:r>
        <w:rPr>
          <w:rFonts w:hint="eastAsia" w:ascii="仿宋" w:hAnsi="仿宋" w:eastAsia="仿宋"/>
          <w:sz w:val="24"/>
        </w:rPr>
        <w:t>项目（招标项目名称）（编号为</w:t>
      </w:r>
      <w:r>
        <w:rPr>
          <w:rFonts w:hint="eastAsia" w:ascii="仿宋" w:hAnsi="仿宋" w:eastAsia="仿宋"/>
          <w:sz w:val="24"/>
          <w:u w:val="single"/>
        </w:rPr>
        <w:t xml:space="preserve">         </w:t>
      </w:r>
      <w:r>
        <w:rPr>
          <w:rFonts w:hint="eastAsia" w:ascii="仿宋" w:hAnsi="仿宋" w:eastAsia="仿宋"/>
          <w:sz w:val="24"/>
        </w:rPr>
        <w:t>）的投标，如我方中标，我方就本次投标产品售后服务及质保期承诺如下：</w:t>
      </w:r>
    </w:p>
    <w:p>
      <w:pPr>
        <w:snapToGrid w:val="0"/>
        <w:spacing w:line="460" w:lineRule="exact"/>
        <w:ind w:firstLine="480" w:firstLineChars="200"/>
        <w:rPr>
          <w:rFonts w:hint="eastAsia" w:ascii="仿宋" w:hAnsi="仿宋" w:eastAsia="仿宋"/>
          <w:color w:val="auto"/>
          <w:sz w:val="24"/>
        </w:rPr>
      </w:pPr>
      <w:r>
        <w:rPr>
          <w:rFonts w:hint="eastAsia" w:ascii="仿宋" w:hAnsi="仿宋" w:eastAsia="仿宋"/>
          <w:sz w:val="24"/>
        </w:rPr>
        <w:t>1、我方承</w:t>
      </w:r>
      <w:r>
        <w:rPr>
          <w:rFonts w:hint="eastAsia" w:ascii="仿宋" w:hAnsi="仿宋" w:eastAsia="仿宋"/>
          <w:color w:val="auto"/>
          <w:sz w:val="24"/>
        </w:rPr>
        <w:t>诺所有产品均按照产品贴牌标签质保时间进行质保，厂家工程师提供终身质保服务</w:t>
      </w:r>
      <w:r>
        <w:rPr>
          <w:rFonts w:hint="eastAsia" w:ascii="仿宋" w:hAnsi="仿宋" w:eastAsia="仿宋"/>
          <w:color w:val="auto"/>
          <w:sz w:val="24"/>
          <w:lang w:eastAsia="zh-CN"/>
        </w:rPr>
        <w:t>，</w:t>
      </w:r>
      <w:r>
        <w:rPr>
          <w:rFonts w:hint="eastAsia" w:ascii="仿宋" w:hAnsi="仿宋" w:eastAsia="仿宋"/>
          <w:color w:val="auto"/>
          <w:sz w:val="24"/>
        </w:rPr>
        <w:t>提供</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年的免费保修期及技术支持，在质保期内若发现出现质量问题，我公司无条件更换，并承担由此造成的损失；</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rPr>
        <w:t>2、我方承诺产品的有效质量保证期须大于等于总质保期时限70%及以上，且质保期内供应商须对货物质量负责。</w:t>
      </w:r>
    </w:p>
    <w:p>
      <w:pPr>
        <w:widowControl/>
        <w:spacing w:line="460" w:lineRule="exact"/>
        <w:ind w:firstLine="480" w:firstLineChars="200"/>
        <w:rPr>
          <w:rFonts w:hint="eastAsia" w:ascii="仿宋" w:hAnsi="仿宋" w:eastAsia="仿宋"/>
          <w:sz w:val="24"/>
        </w:rPr>
      </w:pPr>
      <w:r>
        <w:rPr>
          <w:rFonts w:hint="eastAsia" w:ascii="仿宋" w:hAnsi="仿宋" w:eastAsia="仿宋" w:cs="仿宋"/>
          <w:bCs/>
          <w:sz w:val="24"/>
        </w:rPr>
        <w:t>3、</w:t>
      </w:r>
      <w:r>
        <w:rPr>
          <w:rFonts w:hint="eastAsia" w:ascii="仿宋" w:hAnsi="仿宋" w:eastAsia="仿宋"/>
          <w:sz w:val="24"/>
        </w:rPr>
        <w:t>我方承诺</w:t>
      </w:r>
      <w:r>
        <w:rPr>
          <w:rFonts w:hint="eastAsia" w:ascii="仿宋" w:hAnsi="仿宋" w:eastAsia="仿宋" w:cs="仿宋"/>
          <w:bCs/>
          <w:sz w:val="24"/>
        </w:rPr>
        <w:t>验收通过之日起（自验收报告签字确认日起开始进入质保期），应当提供1年因运输或产品质量问题造成的免费更换服务。</w:t>
      </w:r>
    </w:p>
    <w:p>
      <w:pPr>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4、售后服务响应时间：工作时间内4小时内电话响应。</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rPr>
        <w:t>5、我方承诺</w:t>
      </w:r>
      <w:r>
        <w:rPr>
          <w:rFonts w:hint="eastAsia" w:ascii="仿宋" w:hAnsi="仿宋" w:eastAsia="仿宋"/>
          <w:sz w:val="24"/>
          <w:lang w:eastAsia="zh-CN"/>
        </w:rPr>
        <w:t>在</w:t>
      </w:r>
      <w:r>
        <w:rPr>
          <w:rFonts w:hint="eastAsia" w:ascii="仿宋" w:hAnsi="仿宋" w:eastAsia="仿宋"/>
          <w:sz w:val="24"/>
        </w:rPr>
        <w:t>乌鲁木齐本地有厂家工程师提供及时现场服务。</w:t>
      </w:r>
    </w:p>
    <w:p>
      <w:pPr>
        <w:snapToGrid w:val="0"/>
        <w:spacing w:line="460" w:lineRule="exact"/>
        <w:ind w:firstLine="480" w:firstLineChars="200"/>
        <w:rPr>
          <w:rFonts w:hint="eastAsia" w:eastAsia="仿宋"/>
        </w:rPr>
      </w:pPr>
      <w:r>
        <w:rPr>
          <w:rFonts w:hint="eastAsia" w:ascii="仿宋" w:hAnsi="仿宋" w:eastAsia="仿宋"/>
          <w:sz w:val="24"/>
        </w:rPr>
        <w:t>7、我方承诺，因提供的产品造成质量、安全事故，价格不符，以次充好、贴牌、产品供货与实际不符等招标文件要求的其他取消</w:t>
      </w:r>
      <w:r>
        <w:rPr>
          <w:rFonts w:hint="eastAsia" w:ascii="仿宋" w:hAnsi="仿宋" w:eastAsia="仿宋"/>
          <w:sz w:val="24"/>
          <w:lang w:eastAsia="zh-CN"/>
        </w:rPr>
        <w:t>投标资格</w:t>
      </w:r>
      <w:r>
        <w:rPr>
          <w:rFonts w:hint="eastAsia" w:ascii="仿宋" w:hAnsi="仿宋" w:eastAsia="仿宋"/>
          <w:sz w:val="24"/>
        </w:rPr>
        <w:t>。</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rPr>
        <w:t>8、我方向贵单位提供其它售后服务承诺及质保承诺。包括以下内容：</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终端返修后在三个月内再次出现故障时，我方承诺予以免费更换。</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提供特殊时段，以及产品安装、系统变更和迁移、系统升级等的现场支持服务。</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免费更换正常使用下损坏的配件，提供免备件费、免人工费、免服务费的故障备件更换服务，包括运输途中的费用。</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现场培训：装机完成，厂家提供免费的现场流程测试和使用培训，根据客户需求对使用人员进行现场的上机使用培训，建议培训人员为2-6人。</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rPr>
        <w:t>全国培训班：每年提供至少3场的全国自动化工作站应用培训班，每年提供4个免培训费的培训名额，用户可自行选择参加场次。</w:t>
      </w:r>
    </w:p>
    <w:p>
      <w:pPr>
        <w:snapToGrid w:val="0"/>
        <w:spacing w:line="460" w:lineRule="exact"/>
        <w:ind w:firstLine="480" w:firstLineChars="200"/>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备件备品可以满足用户方日常使用、排除硬件故障、升级的需求。</w:t>
      </w:r>
    </w:p>
    <w:p>
      <w:pPr>
        <w:pStyle w:val="2"/>
        <w:ind w:firstLine="486"/>
        <w:rPr>
          <w:rFonts w:hint="eastAsia"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w:t>
      </w:r>
    </w:p>
    <w:p>
      <w:pPr>
        <w:pStyle w:val="2"/>
        <w:ind w:firstLine="486"/>
        <w:rPr>
          <w:rFonts w:hint="eastAsia" w:eastAsia="仿宋"/>
        </w:rPr>
      </w:pPr>
      <w:r>
        <w:rPr>
          <w:rFonts w:hint="eastAsia" w:ascii="仿宋" w:hAnsi="仿宋" w:eastAsia="仿宋"/>
          <w:sz w:val="24"/>
          <w:lang w:val="en-US" w:eastAsia="zh-CN"/>
        </w:rPr>
        <w:t>7）</w:t>
      </w:r>
      <w:r>
        <w:rPr>
          <w:rFonts w:hint="eastAsia" w:ascii="仿宋" w:hAnsi="仿宋" w:eastAsia="仿宋"/>
          <w:sz w:val="24"/>
        </w:rPr>
        <w:t>……</w:t>
      </w:r>
    </w:p>
    <w:p>
      <w:pPr>
        <w:pStyle w:val="2"/>
        <w:ind w:firstLine="486"/>
        <w:rPr>
          <w:rFonts w:hint="eastAsia" w:ascii="仿宋" w:hAnsi="仿宋" w:eastAsia="仿宋"/>
          <w:sz w:val="24"/>
        </w:rPr>
      </w:pPr>
      <w:r>
        <w:rPr>
          <w:rFonts w:hint="eastAsia" w:ascii="仿宋" w:hAnsi="仿宋" w:eastAsia="仿宋"/>
          <w:sz w:val="24"/>
        </w:rPr>
        <w:t>（供应商可自行增加其他承诺）</w:t>
      </w:r>
    </w:p>
    <w:p>
      <w:pPr>
        <w:ind w:firstLine="480" w:firstLineChars="200"/>
        <w:jc w:val="right"/>
        <w:rPr>
          <w:rFonts w:hint="eastAsia" w:ascii="仿宋" w:hAnsi="仿宋" w:eastAsia="仿宋"/>
        </w:rPr>
      </w:pPr>
      <w:r>
        <w:rPr>
          <w:rFonts w:hint="eastAsia" w:ascii="仿宋" w:hAnsi="仿宋" w:eastAsia="仿宋" w:cs="仿宋"/>
          <w:sz w:val="24"/>
        </w:rPr>
        <w:t xml:space="preserve">投标供应商 ： </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480" w:lineRule="exact"/>
        <w:ind w:firstLine="480" w:firstLineChars="200"/>
        <w:jc w:val="right"/>
        <w:rPr>
          <w:rFonts w:hint="eastAsia" w:ascii="仿宋" w:hAnsi="仿宋" w:eastAsia="仿宋" w:cs="仿宋"/>
          <w:sz w:val="24"/>
        </w:rPr>
      </w:pPr>
      <w:r>
        <w:rPr>
          <w:rFonts w:hint="eastAsia" w:ascii="仿宋" w:hAnsi="仿宋" w:eastAsia="仿宋" w:cs="仿宋"/>
          <w:sz w:val="24"/>
        </w:rPr>
        <w:t>法定代表人（或授权代理人）：</w:t>
      </w:r>
      <w:r>
        <w:rPr>
          <w:rFonts w:hint="eastAsia" w:ascii="仿宋" w:hAnsi="仿宋" w:eastAsia="仿宋" w:cs="仿宋"/>
          <w:sz w:val="24"/>
          <w:u w:val="single"/>
        </w:rPr>
        <w:t xml:space="preserve">    </w:t>
      </w:r>
      <w:r>
        <w:rPr>
          <w:rFonts w:hint="eastAsia" w:ascii="仿宋" w:hAnsi="仿宋" w:eastAsia="仿宋" w:cs="仿宋"/>
          <w:sz w:val="24"/>
        </w:rPr>
        <w:t>（签字）</w:t>
      </w:r>
    </w:p>
    <w:p>
      <w:pPr>
        <w:adjustRightInd w:val="0"/>
        <w:snapToGrid w:val="0"/>
        <w:spacing w:line="480" w:lineRule="exact"/>
        <w:ind w:firstLine="480" w:firstLineChars="200"/>
        <w:jc w:val="righ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firstLine="566"/>
        <w:jc w:val="right"/>
        <w:rPr>
          <w:rFonts w:hint="eastAsia" w:ascii="仿宋" w:hAnsi="仿宋" w:eastAsia="仿宋"/>
        </w:rPr>
      </w:pPr>
    </w:p>
    <w:p>
      <w:pPr>
        <w:pStyle w:val="2"/>
        <w:ind w:firstLine="566"/>
        <w:rPr>
          <w:rFonts w:hint="eastAsia" w:ascii="仿宋" w:hAnsi="仿宋" w:eastAsia="仿宋" w:cs="仿宋"/>
          <w:kern w:val="0"/>
          <w:szCs w:val="28"/>
        </w:rPr>
      </w:pPr>
    </w:p>
    <w:p>
      <w:pPr>
        <w:pStyle w:val="32"/>
        <w:ind w:firstLine="1680" w:firstLineChars="700"/>
        <w:rPr>
          <w:rFonts w:hint="default" w:eastAsia="宋体"/>
          <w:szCs w:val="24"/>
          <w:lang w:val="en-US" w:eastAsia="zh-CN"/>
        </w:rPr>
      </w:pPr>
      <w:r>
        <w:rPr>
          <w:rFonts w:hint="eastAsia"/>
          <w:szCs w:val="24"/>
          <w:lang w:val="en-US" w:eastAsia="zh-CN"/>
        </w:rPr>
        <w:t xml:space="preserve">      </w:t>
      </w:r>
    </w:p>
    <w:sectPr>
      <w:headerReference r:id="rId11" w:type="default"/>
      <w:type w:val="continuous"/>
      <w:pgSz w:w="11906" w:h="16838"/>
      <w:pgMar w:top="720" w:right="720" w:bottom="720" w:left="720" w:header="851" w:footer="992"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2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CVfXdovAEAAFMDAAAOAAAAAAAAAAEAIAAAAB8BAABkcnMvZTJvRG9jLnhtbFBLBQYAAAAA&#10;BgAGAFkBAABNBQAAAAA=&#10;">
          <v:path/>
          <v:fill on="f" focussize="0,0"/>
          <v:stroke on="f" joinstyle="miter"/>
          <v:imagedata o:title=""/>
          <o:lock v:ext="edit"/>
          <v:textbox inset="0mm,0mm,0mm,0mm" style="mso-fit-shape-to-text:t;">
            <w:txbxContent>
              <w:p>
                <w:pPr>
                  <w:snapToGrid w:val="0"/>
                  <w:rPr>
                    <w:sz w:val="18"/>
                  </w:rPr>
                </w:pPr>
              </w:p>
            </w:txbxContent>
          </v:textbox>
        </v:shape>
      </w:pict>
    </w:r>
    <w:r>
      <w:pict>
        <v:shape id="文本框 26" o:spid="_x0000_s2050" o:spt="202" type="#_x0000_t202" style="position:absolute;left:0pt;margin-top:1.65pt;height:8.7pt;width:6pt;mso-position-horizontal:center;mso-position-horizontal-relative:margin;z-index:251660288;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3t/70wAAAAQBAAAPAAAA&#10;AAAAAAEAIAAAACIAAABkcnMvZG93bnJldi54bWxQSwECFAAUAAAACACHTuJApptkt6gBAAAsAwAA&#10;DgAAAAAAAAABACAAAAAiAQAAZHJzL2Uyb0RvYy54bWxQSwUGAAAAAAYABgBZAQAAPAUAAAAA&#10;">
          <v:path/>
          <v:fill on="f" focussize="0,0"/>
          <v:stroke on="f" joinstyle="miter"/>
          <v:imagedata o:title=""/>
          <o:lock v:ext="edit"/>
          <v:textbox inset="0mm,0mm,0mm,0mm">
            <w:txbxContent>
              <w:p>
                <w:pPr>
                  <w:snapToGrid w:val="0"/>
                  <w:rPr>
                    <w:sz w:val="18"/>
                  </w:rPr>
                </w:pPr>
              </w:p>
            </w:txbxContent>
          </v:textbox>
        </v:shape>
      </w:pict>
    </w:r>
    <w:r>
      <w:pict>
        <v:shape id="文本框 9" o:spid="_x0000_s2051"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BH49GivAEAAFIDAAAOAAAAAAAAAAEAIAAAAB8BAABkcnMvZTJvRG9jLnhtbFBLBQYAAAAA&#10;BgAGAFkBAABN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63" o:spid="_x0000_s206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64" o:spid="_x0000_s206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19</w:t>
                </w:r>
                <w:r>
                  <w:fldChar w:fldCharType="end"/>
                </w:r>
              </w:p>
            </w:txbxContent>
          </v:textbox>
        </v:shape>
      </w:pict>
    </w:r>
    <w:r>
      <w:pict>
        <v:shape id="_x0000_s2054" o:spid="_x0000_s2054"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CVfXdovAEAAFMDAAAOAAAAAAAAAAEAIAAAAB8BAABkcnMvZTJvRG9jLnhtbFBLBQYAAAAA&#10;BgAGAFkBAABNBQAAAAA=&#10;">
          <v:path/>
          <v:fill on="f" focussize="0,0"/>
          <v:stroke on="f" joinstyle="miter"/>
          <v:imagedata o:title=""/>
          <o:lock v:ext="edit"/>
          <v:textbox inset="0mm,0mm,0mm,0mm" style="mso-fit-shape-to-text:t;">
            <w:txbxContent>
              <w:p>
                <w:pPr>
                  <w:snapToGrid w:val="0"/>
                  <w:rPr>
                    <w:sz w:val="18"/>
                  </w:rPr>
                </w:pPr>
              </w:p>
            </w:txbxContent>
          </v:textbox>
        </v:shape>
      </w:pict>
    </w:r>
    <w:r>
      <w:pict>
        <v:shape id="_x0000_s2055" o:spid="_x0000_s2055" o:spt="202" type="#_x0000_t202" style="position:absolute;left:0pt;margin-top:1.65pt;height:8.7pt;width:6pt;mso-position-horizontal:center;mso-position-horizontal-relative:margin;z-index:251664384;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3t/70wAAAAQBAAAPAAAA&#10;AAAAAAEAIAAAACIAAABkcnMvZG93bnJldi54bWxQSwECFAAUAAAACACHTuJApptkt6gBAAAsAwAA&#10;DgAAAAAAAAABACAAAAAiAQAAZHJzL2Uyb0RvYy54bWxQSwUGAAAAAAYABgBZAQAAPAUAAAAA&#10;">
          <v:path/>
          <v:fill on="f" focussize="0,0"/>
          <v:stroke on="f" joinstyle="miter"/>
          <v:imagedata o:title=""/>
          <o:lock v:ext="edit"/>
          <v:textbox inset="0mm,0mm,0mm,0mm">
            <w:txbxContent>
              <w:p>
                <w:pPr>
                  <w:snapToGrid w:val="0"/>
                  <w:rPr>
                    <w:sz w:val="18"/>
                  </w:rPr>
                </w:pPr>
              </w:p>
            </w:txbxContent>
          </v:textbox>
        </v:shape>
      </w:pict>
    </w:r>
    <w:r>
      <w:pict>
        <v:shape id="_x0000_s2056" o:spid="_x0000_s205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BH49GivAEAAFIDAAAOAAAAAAAAAAEAIAAAAB8BAABkcnMvZTJvRG9jLnhtbFBLBQYAAAAA&#10;BgAGAFkBAABN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32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66" o:spid="_x0000_s206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w:r>
    <w:r>
      <w:pict>
        <v:shape id="_x0000_s2062" o:spid="_x0000_s2062"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V+SdAAAAADAQAADwAAAAAAAAABACAAAAAiAAAAZHJzL2Rvd25yZXYueG1sUEsBAhQAFAAAAAgA&#10;h07iQDi4zs27AQAAUgMAAA4AAAAAAAAAAQAgAAAAHwEAAGRycy9lMm9Eb2MueG1sUEsFBgAAAAAG&#10;AAYAWQEAAEwFAA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5DFF"/>
    <w:multiLevelType w:val="singleLevel"/>
    <w:tmpl w:val="10005DFF"/>
    <w:lvl w:ilvl="0" w:tentative="0">
      <w:start w:val="2"/>
      <w:numFmt w:val="decimal"/>
      <w:lvlText w:val="%1."/>
      <w:lvlJc w:val="left"/>
      <w:pPr>
        <w:tabs>
          <w:tab w:val="left" w:pos="312"/>
        </w:tabs>
      </w:pPr>
    </w:lvl>
  </w:abstractNum>
  <w:abstractNum w:abstractNumId="1">
    <w:nsid w:val="13A95EE0"/>
    <w:multiLevelType w:val="singleLevel"/>
    <w:tmpl w:val="13A95EE0"/>
    <w:lvl w:ilvl="0" w:tentative="0">
      <w:start w:val="1"/>
      <w:numFmt w:val="decimal"/>
      <w:lvlText w:val="（%1）"/>
      <w:lvlJc w:val="left"/>
      <w:pPr>
        <w:tabs>
          <w:tab w:val="left" w:pos="1440"/>
        </w:tabs>
        <w:ind w:left="1440" w:hanging="900"/>
      </w:pPr>
      <w:rPr>
        <w:rFonts w:hint="eastAsia" w:cs="Times New Roman"/>
      </w:rPr>
    </w:lvl>
  </w:abstractNum>
  <w:abstractNum w:abstractNumId="2">
    <w:nsid w:val="148F736E"/>
    <w:multiLevelType w:val="singleLevel"/>
    <w:tmpl w:val="148F736E"/>
    <w:lvl w:ilvl="0" w:tentative="0">
      <w:start w:val="11"/>
      <w:numFmt w:val="decimal"/>
      <w:lvlText w:val="%1."/>
      <w:lvlJc w:val="left"/>
      <w:pPr>
        <w:tabs>
          <w:tab w:val="left" w:pos="312"/>
        </w:tabs>
      </w:pPr>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14644F7"/>
    <w:multiLevelType w:val="multilevel"/>
    <w:tmpl w:val="214644F7"/>
    <w:lvl w:ilvl="0" w:tentative="0">
      <w:start w:val="1"/>
      <w:numFmt w:val="decimal"/>
      <w:lvlText w:val="%1）"/>
      <w:lvlJc w:val="left"/>
      <w:pPr>
        <w:tabs>
          <w:tab w:val="left" w:pos="600"/>
        </w:tabs>
        <w:ind w:left="600" w:hanging="36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5">
    <w:nsid w:val="36AC2D83"/>
    <w:multiLevelType w:val="multilevel"/>
    <w:tmpl w:val="36AC2D8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3DA3E92D"/>
    <w:multiLevelType w:val="singleLevel"/>
    <w:tmpl w:val="3DA3E92D"/>
    <w:lvl w:ilvl="0" w:tentative="0">
      <w:start w:val="1"/>
      <w:numFmt w:val="decimal"/>
      <w:lvlText w:val="%1)"/>
      <w:lvlJc w:val="left"/>
      <w:pPr>
        <w:tabs>
          <w:tab w:val="left" w:pos="312"/>
        </w:tabs>
      </w:pPr>
    </w:lvl>
  </w:abstractNum>
  <w:abstractNum w:abstractNumId="8">
    <w:nsid w:val="455B68EC"/>
    <w:multiLevelType w:val="multilevel"/>
    <w:tmpl w:val="455B68EC"/>
    <w:lvl w:ilvl="0" w:tentative="0">
      <w:start w:val="1"/>
      <w:numFmt w:val="upperLetter"/>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3A76865"/>
    <w:multiLevelType w:val="singleLevel"/>
    <w:tmpl w:val="53A76865"/>
    <w:lvl w:ilvl="0" w:tentative="0">
      <w:start w:val="1"/>
      <w:numFmt w:val="decimal"/>
      <w:lvlText w:val="（%1）"/>
      <w:lvlJc w:val="left"/>
      <w:pPr>
        <w:tabs>
          <w:tab w:val="left" w:pos="1245"/>
        </w:tabs>
        <w:ind w:left="1245" w:hanging="690"/>
      </w:pPr>
      <w:rPr>
        <w:rFonts w:hint="eastAsia" w:cs="Times New Roman"/>
      </w:rPr>
    </w:lvl>
  </w:abstractNum>
  <w:abstractNum w:abstractNumId="10">
    <w:nsid w:val="5886D420"/>
    <w:multiLevelType w:val="singleLevel"/>
    <w:tmpl w:val="5886D420"/>
    <w:lvl w:ilvl="0" w:tentative="0">
      <w:start w:val="2"/>
      <w:numFmt w:val="decimal"/>
      <w:suff w:val="nothing"/>
      <w:lvlText w:val="%1）"/>
      <w:lvlJc w:val="left"/>
    </w:lvl>
  </w:abstractNum>
  <w:abstractNum w:abstractNumId="11">
    <w:nsid w:val="60A55D4B"/>
    <w:multiLevelType w:val="singleLevel"/>
    <w:tmpl w:val="60A55D4B"/>
    <w:lvl w:ilvl="0" w:tentative="0">
      <w:start w:val="1"/>
      <w:numFmt w:val="decimal"/>
      <w:lvlText w:val="（%1）"/>
      <w:lvlJc w:val="left"/>
      <w:pPr>
        <w:tabs>
          <w:tab w:val="left" w:pos="1260"/>
        </w:tabs>
        <w:ind w:left="1260" w:hanging="900"/>
      </w:pPr>
      <w:rPr>
        <w:rFonts w:hint="eastAsia" w:cs="Times New Roman"/>
      </w:rPr>
    </w:lvl>
  </w:abstractNum>
  <w:num w:numId="1">
    <w:abstractNumId w:val="3"/>
  </w:num>
  <w:num w:numId="2">
    <w:abstractNumId w:val="8"/>
  </w:num>
  <w:num w:numId="3">
    <w:abstractNumId w:val="6"/>
  </w:num>
  <w:num w:numId="4">
    <w:abstractNumId w:val="1"/>
  </w:num>
  <w:num w:numId="5">
    <w:abstractNumId w:val="11"/>
  </w:num>
  <w:num w:numId="6">
    <w:abstractNumId w:val="0"/>
  </w:num>
  <w:num w:numId="7">
    <w:abstractNumId w:val="2"/>
  </w:num>
  <w:num w:numId="8">
    <w:abstractNumId w:val="4"/>
  </w:num>
  <w:num w:numId="9">
    <w:abstractNumId w:val="5"/>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hideSpellingErrors/>
  <w:documentProtection w:enforcement="0"/>
  <w:defaultTabStop w:val="420"/>
  <w:drawingGridHorizontalSpacing w:val="0"/>
  <w:drawingGridVerticalSpacing w:val="40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5BD5"/>
    <w:rsid w:val="0007456B"/>
    <w:rsid w:val="00083EF1"/>
    <w:rsid w:val="000B60FC"/>
    <w:rsid w:val="001039DB"/>
    <w:rsid w:val="001336E0"/>
    <w:rsid w:val="00172A27"/>
    <w:rsid w:val="001A106B"/>
    <w:rsid w:val="001B265C"/>
    <w:rsid w:val="001B70F9"/>
    <w:rsid w:val="001C4EDC"/>
    <w:rsid w:val="001E42B6"/>
    <w:rsid w:val="002039EE"/>
    <w:rsid w:val="002105AF"/>
    <w:rsid w:val="00225364"/>
    <w:rsid w:val="002360D4"/>
    <w:rsid w:val="002462F9"/>
    <w:rsid w:val="00267330"/>
    <w:rsid w:val="002A6725"/>
    <w:rsid w:val="002B072B"/>
    <w:rsid w:val="002B5120"/>
    <w:rsid w:val="002E1738"/>
    <w:rsid w:val="002E7C4C"/>
    <w:rsid w:val="00312E7C"/>
    <w:rsid w:val="00420302"/>
    <w:rsid w:val="00441E14"/>
    <w:rsid w:val="00442C34"/>
    <w:rsid w:val="00510153"/>
    <w:rsid w:val="00510871"/>
    <w:rsid w:val="0056113E"/>
    <w:rsid w:val="00567F38"/>
    <w:rsid w:val="005B155C"/>
    <w:rsid w:val="005C3962"/>
    <w:rsid w:val="00606807"/>
    <w:rsid w:val="00614FD4"/>
    <w:rsid w:val="006E0A42"/>
    <w:rsid w:val="007646E2"/>
    <w:rsid w:val="00836DA5"/>
    <w:rsid w:val="00881EAC"/>
    <w:rsid w:val="00896219"/>
    <w:rsid w:val="008A07CB"/>
    <w:rsid w:val="008B0965"/>
    <w:rsid w:val="008B2594"/>
    <w:rsid w:val="00904B3B"/>
    <w:rsid w:val="009063F5"/>
    <w:rsid w:val="00986224"/>
    <w:rsid w:val="009975ED"/>
    <w:rsid w:val="009B10E8"/>
    <w:rsid w:val="00A02413"/>
    <w:rsid w:val="00A5211B"/>
    <w:rsid w:val="00A66492"/>
    <w:rsid w:val="00A85E09"/>
    <w:rsid w:val="00AD7D75"/>
    <w:rsid w:val="00B275D5"/>
    <w:rsid w:val="00B83E2E"/>
    <w:rsid w:val="00C10324"/>
    <w:rsid w:val="00C12351"/>
    <w:rsid w:val="00C42587"/>
    <w:rsid w:val="00C9552D"/>
    <w:rsid w:val="00D3386D"/>
    <w:rsid w:val="00D6661B"/>
    <w:rsid w:val="00D864E9"/>
    <w:rsid w:val="00DA7288"/>
    <w:rsid w:val="00DA78C1"/>
    <w:rsid w:val="00DB2628"/>
    <w:rsid w:val="00DF7286"/>
    <w:rsid w:val="00E45595"/>
    <w:rsid w:val="00EA341C"/>
    <w:rsid w:val="00ED7E51"/>
    <w:rsid w:val="00F33644"/>
    <w:rsid w:val="00F7743B"/>
    <w:rsid w:val="00F81EEB"/>
    <w:rsid w:val="00F83FD6"/>
    <w:rsid w:val="00FB51CA"/>
    <w:rsid w:val="00FC095D"/>
    <w:rsid w:val="00FE3417"/>
    <w:rsid w:val="01D6738C"/>
    <w:rsid w:val="040262C4"/>
    <w:rsid w:val="04646C7B"/>
    <w:rsid w:val="0CE63562"/>
    <w:rsid w:val="0D2F4244"/>
    <w:rsid w:val="0F0566A4"/>
    <w:rsid w:val="11720268"/>
    <w:rsid w:val="14485E77"/>
    <w:rsid w:val="14E33910"/>
    <w:rsid w:val="178C515C"/>
    <w:rsid w:val="19C6778C"/>
    <w:rsid w:val="1B3548B5"/>
    <w:rsid w:val="1D412E87"/>
    <w:rsid w:val="1F3130CC"/>
    <w:rsid w:val="20306938"/>
    <w:rsid w:val="22BA5A19"/>
    <w:rsid w:val="243A57FF"/>
    <w:rsid w:val="288726A8"/>
    <w:rsid w:val="2FD931C6"/>
    <w:rsid w:val="2FEC5DFF"/>
    <w:rsid w:val="303457FA"/>
    <w:rsid w:val="307C2DEA"/>
    <w:rsid w:val="32F72286"/>
    <w:rsid w:val="45D27AA9"/>
    <w:rsid w:val="45E3004C"/>
    <w:rsid w:val="46BB20A4"/>
    <w:rsid w:val="4ACC14E8"/>
    <w:rsid w:val="4D076C74"/>
    <w:rsid w:val="4D3B4FB6"/>
    <w:rsid w:val="4D986D0E"/>
    <w:rsid w:val="4F4D520C"/>
    <w:rsid w:val="50BB2B9C"/>
    <w:rsid w:val="51844B1C"/>
    <w:rsid w:val="51D10E8F"/>
    <w:rsid w:val="524A048A"/>
    <w:rsid w:val="594B3AE3"/>
    <w:rsid w:val="595E25A3"/>
    <w:rsid w:val="59771DC7"/>
    <w:rsid w:val="59CF4277"/>
    <w:rsid w:val="59E563F1"/>
    <w:rsid w:val="5A69114C"/>
    <w:rsid w:val="5BC84377"/>
    <w:rsid w:val="5D7A7CD6"/>
    <w:rsid w:val="60607BF8"/>
    <w:rsid w:val="606D2ACC"/>
    <w:rsid w:val="662A20B4"/>
    <w:rsid w:val="668D1038"/>
    <w:rsid w:val="6FD6077F"/>
    <w:rsid w:val="72C04342"/>
    <w:rsid w:val="757D4C77"/>
    <w:rsid w:val="78F50116"/>
    <w:rsid w:val="7D4904B9"/>
    <w:rsid w:val="7DFB5417"/>
    <w:rsid w:val="7FA31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uiPriority="1" w:name="toa heading" w:locked="1"/>
    <w:lsdException w:uiPriority="1" w:name="List" w:locked="1"/>
    <w:lsdException w:uiPriority="1" w:name="List Bullet" w:locked="1"/>
    <w:lsdException w:uiPriority="1" w:name="List Number" w:locked="1"/>
    <w:lsdException w:uiPriority="1"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1"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uiPriority="1" w:name="HTML Sample" w:locked="1"/>
    <w:lsdException w:uiPriority="1" w:name="HTML Typewriter" w:locked="1"/>
    <w:lsdException w:uiPriority="1" w:name="HTML Variable" w:locked="1"/>
    <w:lsdException w:qFormat="1" w:uiPriority="99"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uiPriority w:val="99"/>
    <w:pPr>
      <w:keepNext/>
      <w:numPr>
        <w:ilvl w:val="0"/>
        <w:numId w:val="1"/>
      </w:numPr>
      <w:outlineLvl w:val="0"/>
    </w:pPr>
    <w:rPr>
      <w:b/>
    </w:rPr>
  </w:style>
  <w:style w:type="paragraph" w:styleId="4">
    <w:name w:val="heading 2"/>
    <w:basedOn w:val="1"/>
    <w:next w:val="1"/>
    <w:link w:val="76"/>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1"/>
    <w:link w:val="45"/>
    <w:qFormat/>
    <w:uiPriority w:val="99"/>
    <w:pPr>
      <w:keepNext/>
      <w:keepLines/>
      <w:spacing w:before="260" w:after="260" w:line="416" w:lineRule="auto"/>
      <w:outlineLvl w:val="2"/>
    </w:pPr>
    <w:rPr>
      <w:b/>
      <w:bCs/>
      <w:sz w:val="32"/>
      <w:szCs w:val="32"/>
    </w:rPr>
  </w:style>
  <w:style w:type="paragraph" w:styleId="6">
    <w:name w:val="heading 4"/>
    <w:basedOn w:val="1"/>
    <w:next w:val="1"/>
    <w:link w:val="101"/>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100"/>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79"/>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77"/>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65"/>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4"/>
    </w:rPr>
  </w:style>
  <w:style w:type="paragraph" w:styleId="12">
    <w:name w:val="Document Map"/>
    <w:basedOn w:val="1"/>
    <w:link w:val="61"/>
    <w:qFormat/>
    <w:uiPriority w:val="99"/>
    <w:pPr>
      <w:shd w:val="clear" w:color="auto" w:fill="000080"/>
    </w:pPr>
  </w:style>
  <w:style w:type="paragraph" w:styleId="13">
    <w:name w:val="Salutation"/>
    <w:basedOn w:val="1"/>
    <w:next w:val="1"/>
    <w:link w:val="96"/>
    <w:qFormat/>
    <w:uiPriority w:val="99"/>
    <w:rPr>
      <w:rFonts w:ascii="宋体"/>
      <w:b/>
      <w:sz w:val="28"/>
    </w:rPr>
  </w:style>
  <w:style w:type="paragraph" w:styleId="14">
    <w:name w:val="Body Text"/>
    <w:basedOn w:val="1"/>
    <w:next w:val="15"/>
    <w:link w:val="42"/>
    <w:qFormat/>
    <w:uiPriority w:val="99"/>
    <w:rPr>
      <w:rFonts w:ascii="Arial" w:hAnsi="Arial"/>
      <w:sz w:val="24"/>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75"/>
    <w:qFormat/>
    <w:uiPriority w:val="99"/>
    <w:pPr>
      <w:ind w:firstLine="480"/>
    </w:pPr>
    <w:rPr>
      <w:rFonts w:ascii="宋体" w:hAnsi="宋体"/>
      <w:sz w:val="24"/>
    </w:rPr>
  </w:style>
  <w:style w:type="paragraph" w:styleId="17">
    <w:name w:val="toc 3"/>
    <w:basedOn w:val="1"/>
    <w:next w:val="1"/>
    <w:qFormat/>
    <w:uiPriority w:val="99"/>
    <w:pPr>
      <w:ind w:left="840" w:leftChars="400"/>
    </w:pPr>
  </w:style>
  <w:style w:type="paragraph" w:styleId="18">
    <w:name w:val="Plain Text"/>
    <w:basedOn w:val="1"/>
    <w:link w:val="74"/>
    <w:qFormat/>
    <w:uiPriority w:val="99"/>
    <w:rPr>
      <w:rFonts w:ascii="宋体" w:hAnsi="Courier New"/>
    </w:rPr>
  </w:style>
  <w:style w:type="paragraph" w:styleId="19">
    <w:name w:val="Date"/>
    <w:basedOn w:val="1"/>
    <w:next w:val="1"/>
    <w:link w:val="44"/>
    <w:qFormat/>
    <w:uiPriority w:val="99"/>
    <w:pPr>
      <w:ind w:left="100"/>
    </w:pPr>
    <w:rPr>
      <w:sz w:val="24"/>
    </w:rPr>
  </w:style>
  <w:style w:type="paragraph" w:styleId="20">
    <w:name w:val="Body Text Indent 2"/>
    <w:basedOn w:val="1"/>
    <w:link w:val="48"/>
    <w:qFormat/>
    <w:uiPriority w:val="99"/>
    <w:pPr>
      <w:ind w:firstLine="435"/>
    </w:pPr>
    <w:rPr>
      <w:rFonts w:ascii="宋体" w:hAnsi="宋体"/>
      <w:sz w:val="24"/>
    </w:rPr>
  </w:style>
  <w:style w:type="paragraph" w:styleId="21">
    <w:name w:val="Balloon Text"/>
    <w:basedOn w:val="1"/>
    <w:link w:val="51"/>
    <w:semiHidden/>
    <w:qFormat/>
    <w:uiPriority w:val="99"/>
    <w:rPr>
      <w:sz w:val="18"/>
      <w:szCs w:val="18"/>
    </w:rPr>
  </w:style>
  <w:style w:type="paragraph" w:styleId="22">
    <w:name w:val="footer"/>
    <w:basedOn w:val="1"/>
    <w:link w:val="99"/>
    <w:qFormat/>
    <w:uiPriority w:val="99"/>
    <w:pPr>
      <w:tabs>
        <w:tab w:val="center" w:pos="4153"/>
        <w:tab w:val="right" w:pos="8306"/>
      </w:tabs>
      <w:snapToGrid w:val="0"/>
      <w:jc w:val="left"/>
    </w:pPr>
    <w:rPr>
      <w:sz w:val="18"/>
    </w:rPr>
  </w:style>
  <w:style w:type="paragraph" w:styleId="23">
    <w:name w:val="header"/>
    <w:basedOn w:val="1"/>
    <w:link w:val="41"/>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99"/>
  </w:style>
  <w:style w:type="paragraph" w:styleId="25">
    <w:name w:val="toc 4"/>
    <w:basedOn w:val="1"/>
    <w:next w:val="1"/>
    <w:unhideWhenUsed/>
    <w:qFormat/>
    <w:locked/>
    <w:uiPriority w:val="39"/>
    <w:pPr>
      <w:ind w:left="1260" w:leftChars="600"/>
    </w:pPr>
  </w:style>
  <w:style w:type="paragraph" w:styleId="26">
    <w:name w:val="Subtitle"/>
    <w:basedOn w:val="1"/>
    <w:next w:val="1"/>
    <w:link w:val="59"/>
    <w:qFormat/>
    <w:uiPriority w:val="99"/>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78"/>
    <w:qFormat/>
    <w:uiPriority w:val="99"/>
    <w:pPr>
      <w:ind w:left="471" w:hanging="471" w:hangingChars="200"/>
    </w:pPr>
    <w:rPr>
      <w:rFonts w:ascii="Arial" w:hAnsi="Arial" w:cs="Arial"/>
      <w:b/>
      <w:bCs/>
      <w:sz w:val="24"/>
    </w:rPr>
  </w:style>
  <w:style w:type="paragraph" w:styleId="28">
    <w:name w:val="toc 2"/>
    <w:basedOn w:val="1"/>
    <w:next w:val="1"/>
    <w:qFormat/>
    <w:uiPriority w:val="99"/>
    <w:pPr>
      <w:ind w:left="420" w:leftChars="200"/>
    </w:pPr>
  </w:style>
  <w:style w:type="paragraph" w:styleId="29">
    <w:name w:val="Body Text 2"/>
    <w:basedOn w:val="1"/>
    <w:link w:val="86"/>
    <w:qFormat/>
    <w:uiPriority w:val="99"/>
    <w:pPr>
      <w:spacing w:line="360" w:lineRule="auto"/>
    </w:pPr>
    <w:rPr>
      <w:b/>
      <w:sz w:val="28"/>
      <w:szCs w:val="21"/>
    </w:rPr>
  </w:style>
  <w:style w:type="paragraph" w:styleId="30">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1">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32">
    <w:name w:val="Body Text First Indent"/>
    <w:basedOn w:val="14"/>
    <w:link w:val="46"/>
    <w:qFormat/>
    <w:uiPriority w:val="99"/>
    <w:pPr>
      <w:spacing w:after="120"/>
      <w:ind w:firstLine="420" w:firstLineChars="100"/>
    </w:p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cs="Times New Roman"/>
      <w:b/>
    </w:rPr>
  </w:style>
  <w:style w:type="character" w:styleId="37">
    <w:name w:val="page number"/>
    <w:basedOn w:val="35"/>
    <w:qFormat/>
    <w:uiPriority w:val="99"/>
    <w:rPr>
      <w:rFonts w:cs="Times New Roman"/>
    </w:rPr>
  </w:style>
  <w:style w:type="character" w:styleId="38">
    <w:name w:val="FollowedHyperlink"/>
    <w:qFormat/>
    <w:uiPriority w:val="99"/>
    <w:rPr>
      <w:rFonts w:cs="Times New Roman"/>
      <w:color w:val="800080"/>
      <w:u w:val="single"/>
    </w:rPr>
  </w:style>
  <w:style w:type="character" w:styleId="39">
    <w:name w:val="Emphasis"/>
    <w:qFormat/>
    <w:uiPriority w:val="99"/>
    <w:rPr>
      <w:rFonts w:cs="Times New Roman"/>
      <w:color w:val="CC0033"/>
    </w:rPr>
  </w:style>
  <w:style w:type="character" w:styleId="40">
    <w:name w:val="Hyperlink"/>
    <w:basedOn w:val="35"/>
    <w:qFormat/>
    <w:uiPriority w:val="99"/>
    <w:rPr>
      <w:rFonts w:cs="Times New Roman"/>
      <w:color w:val="0000FF"/>
      <w:u w:val="single"/>
    </w:rPr>
  </w:style>
  <w:style w:type="character" w:customStyle="1" w:styleId="41">
    <w:name w:val="页眉 Char"/>
    <w:link w:val="23"/>
    <w:semiHidden/>
    <w:qFormat/>
    <w:locked/>
    <w:uiPriority w:val="99"/>
    <w:rPr>
      <w:rFonts w:cs="Times New Roman"/>
      <w:sz w:val="18"/>
      <w:szCs w:val="18"/>
    </w:rPr>
  </w:style>
  <w:style w:type="character" w:customStyle="1" w:styleId="42">
    <w:name w:val="正文文本 Char"/>
    <w:link w:val="14"/>
    <w:semiHidden/>
    <w:qFormat/>
    <w:locked/>
    <w:uiPriority w:val="99"/>
    <w:rPr>
      <w:rFonts w:cs="Times New Roman"/>
      <w:sz w:val="20"/>
      <w:szCs w:val="20"/>
    </w:rPr>
  </w:style>
  <w:style w:type="character" w:customStyle="1" w:styleId="43">
    <w:name w:val="ca-1"/>
    <w:qFormat/>
    <w:uiPriority w:val="99"/>
    <w:rPr>
      <w:rFonts w:cs="Times New Roman"/>
    </w:rPr>
  </w:style>
  <w:style w:type="character" w:customStyle="1" w:styleId="44">
    <w:name w:val="日期 Char"/>
    <w:link w:val="19"/>
    <w:semiHidden/>
    <w:qFormat/>
    <w:locked/>
    <w:uiPriority w:val="99"/>
    <w:rPr>
      <w:rFonts w:cs="Times New Roman"/>
      <w:sz w:val="20"/>
      <w:szCs w:val="20"/>
    </w:rPr>
  </w:style>
  <w:style w:type="character" w:customStyle="1" w:styleId="45">
    <w:name w:val="标题 3 Char"/>
    <w:link w:val="5"/>
    <w:semiHidden/>
    <w:qFormat/>
    <w:locked/>
    <w:uiPriority w:val="99"/>
    <w:rPr>
      <w:rFonts w:cs="Times New Roman"/>
      <w:b/>
      <w:bCs/>
      <w:sz w:val="32"/>
      <w:szCs w:val="32"/>
    </w:rPr>
  </w:style>
  <w:style w:type="character" w:customStyle="1" w:styleId="46">
    <w:name w:val="正文首行缩进 Char"/>
    <w:link w:val="32"/>
    <w:semiHidden/>
    <w:qFormat/>
    <w:locked/>
    <w:uiPriority w:val="99"/>
    <w:rPr>
      <w:rFonts w:ascii="Arial" w:hAnsi="Arial" w:cs="Times New Roman"/>
      <w:kern w:val="2"/>
      <w:sz w:val="20"/>
      <w:szCs w:val="20"/>
    </w:rPr>
  </w:style>
  <w:style w:type="character" w:customStyle="1" w:styleId="47">
    <w:name w:val="p21"/>
    <w:qFormat/>
    <w:uiPriority w:val="99"/>
    <w:rPr>
      <w:rFonts w:ascii="Arial" w:hAnsi="Arial"/>
      <w:color w:val="333333"/>
      <w:sz w:val="18"/>
      <w:u w:val="none"/>
    </w:rPr>
  </w:style>
  <w:style w:type="character" w:customStyle="1" w:styleId="48">
    <w:name w:val="正文文本缩进 2 Char"/>
    <w:link w:val="20"/>
    <w:semiHidden/>
    <w:qFormat/>
    <w:locked/>
    <w:uiPriority w:val="99"/>
    <w:rPr>
      <w:rFonts w:cs="Times New Roman"/>
      <w:sz w:val="20"/>
      <w:szCs w:val="20"/>
    </w:rPr>
  </w:style>
  <w:style w:type="character" w:customStyle="1" w:styleId="49">
    <w:name w:val="Header Char"/>
    <w:qFormat/>
    <w:locked/>
    <w:uiPriority w:val="99"/>
    <w:rPr>
      <w:kern w:val="2"/>
      <w:sz w:val="18"/>
    </w:rPr>
  </w:style>
  <w:style w:type="character" w:customStyle="1" w:styleId="50">
    <w:name w:val="标题 1 Char Char"/>
    <w:qFormat/>
    <w:uiPriority w:val="0"/>
    <w:rPr>
      <w:rFonts w:hint="eastAsia" w:ascii="宋体" w:hAnsi="宋体" w:eastAsia="宋体"/>
      <w:b/>
      <w:spacing w:val="-2"/>
      <w:sz w:val="24"/>
      <w:lang w:val="en-US" w:eastAsia="zh-CN" w:bidi="ar-SA"/>
    </w:rPr>
  </w:style>
  <w:style w:type="character" w:customStyle="1" w:styleId="51">
    <w:name w:val="批注框文本 Char"/>
    <w:link w:val="21"/>
    <w:semiHidden/>
    <w:qFormat/>
    <w:locked/>
    <w:uiPriority w:val="99"/>
    <w:rPr>
      <w:rFonts w:cs="Times New Roman"/>
      <w:sz w:val="2"/>
    </w:rPr>
  </w:style>
  <w:style w:type="character" w:customStyle="1" w:styleId="52">
    <w:name w:val="正文文字 Char"/>
    <w:qFormat/>
    <w:uiPriority w:val="99"/>
    <w:rPr>
      <w:rFonts w:ascii="Arial" w:hAnsi="Arial" w:eastAsia="宋体"/>
      <w:kern w:val="2"/>
      <w:sz w:val="24"/>
      <w:lang w:val="en-US" w:eastAsia="zh-CN"/>
    </w:rPr>
  </w:style>
  <w:style w:type="character" w:customStyle="1" w:styleId="53">
    <w:name w:val="样式 正文缩进 + 首行缩进:  2 字符 Char"/>
    <w:link w:val="54"/>
    <w:qFormat/>
    <w:locked/>
    <w:uiPriority w:val="99"/>
    <w:rPr>
      <w:sz w:val="24"/>
    </w:rPr>
  </w:style>
  <w:style w:type="paragraph" w:customStyle="1" w:styleId="54">
    <w:name w:val="样式 正文缩进 + 首行缩进:  2 字符"/>
    <w:basedOn w:val="2"/>
    <w:link w:val="53"/>
    <w:qFormat/>
    <w:uiPriority w:val="99"/>
    <w:pPr>
      <w:spacing w:line="360" w:lineRule="auto"/>
      <w:ind w:firstLine="200"/>
    </w:pPr>
    <w:rPr>
      <w:kern w:val="0"/>
      <w:sz w:val="24"/>
      <w:szCs w:val="20"/>
    </w:rPr>
  </w:style>
  <w:style w:type="character" w:customStyle="1" w:styleId="55">
    <w:name w:val="z-窗体顶端 Char"/>
    <w:link w:val="56"/>
    <w:semiHidden/>
    <w:qFormat/>
    <w:locked/>
    <w:uiPriority w:val="99"/>
    <w:rPr>
      <w:rFonts w:ascii="Arial" w:hAnsi="Arial" w:cs="Arial"/>
      <w:vanish/>
      <w:sz w:val="16"/>
      <w:szCs w:val="16"/>
    </w:rPr>
  </w:style>
  <w:style w:type="paragraph" w:customStyle="1" w:styleId="56">
    <w:name w:val="z-窗体顶端1"/>
    <w:basedOn w:val="1"/>
    <w:link w:val="55"/>
    <w:qFormat/>
    <w:uiPriority w:val="99"/>
    <w:pPr>
      <w:ind w:firstLine="420" w:firstLineChars="200"/>
    </w:pPr>
  </w:style>
  <w:style w:type="character" w:customStyle="1" w:styleId="57">
    <w:name w:val="标题 5 Char"/>
    <w:link w:val="7"/>
    <w:qFormat/>
    <w:locked/>
    <w:uiPriority w:val="99"/>
    <w:rPr>
      <w:rFonts w:cs="Times New Roman"/>
      <w:b/>
      <w:kern w:val="2"/>
      <w:sz w:val="28"/>
    </w:rPr>
  </w:style>
  <w:style w:type="character" w:customStyle="1" w:styleId="58">
    <w:name w:val="H3 Char1"/>
    <w:qFormat/>
    <w:uiPriority w:val="99"/>
    <w:rPr>
      <w:rFonts w:eastAsia="宋体" w:cs="Times New Roman"/>
      <w:b/>
      <w:bCs/>
      <w:kern w:val="2"/>
      <w:sz w:val="24"/>
      <w:szCs w:val="24"/>
      <w:lang w:val="en-US" w:eastAsia="zh-CN" w:bidi="ar-SA"/>
    </w:rPr>
  </w:style>
  <w:style w:type="character" w:customStyle="1" w:styleId="59">
    <w:name w:val="副标题 Char"/>
    <w:link w:val="26"/>
    <w:qFormat/>
    <w:locked/>
    <w:uiPriority w:val="99"/>
    <w:rPr>
      <w:rFonts w:ascii="Cambria" w:hAnsi="Cambria" w:eastAsia="宋体" w:cs="Times New Roman"/>
      <w:b/>
      <w:bCs/>
      <w:kern w:val="28"/>
      <w:sz w:val="32"/>
      <w:szCs w:val="32"/>
      <w:lang w:val="en-US" w:eastAsia="zh-CN" w:bidi="ar-SA"/>
    </w:rPr>
  </w:style>
  <w:style w:type="character" w:customStyle="1" w:styleId="60">
    <w:name w:val="css21"/>
    <w:qFormat/>
    <w:uiPriority w:val="99"/>
    <w:rPr>
      <w:sz w:val="18"/>
    </w:rPr>
  </w:style>
  <w:style w:type="character" w:customStyle="1" w:styleId="61">
    <w:name w:val="文档结构图 Char"/>
    <w:link w:val="12"/>
    <w:semiHidden/>
    <w:qFormat/>
    <w:locked/>
    <w:uiPriority w:val="99"/>
    <w:rPr>
      <w:rFonts w:cs="Times New Roman"/>
      <w:sz w:val="2"/>
    </w:rPr>
  </w:style>
  <w:style w:type="character" w:customStyle="1" w:styleId="62">
    <w:name w:val="ca-5"/>
    <w:qFormat/>
    <w:uiPriority w:val="99"/>
    <w:rPr>
      <w:rFonts w:cs="Times New Roman"/>
    </w:rPr>
  </w:style>
  <w:style w:type="character" w:customStyle="1" w:styleId="63">
    <w:name w:val="无"/>
    <w:qFormat/>
    <w:uiPriority w:val="99"/>
  </w:style>
  <w:style w:type="character" w:customStyle="1" w:styleId="64">
    <w:name w:val="Plain Text Char"/>
    <w:qFormat/>
    <w:locked/>
    <w:uiPriority w:val="99"/>
    <w:rPr>
      <w:rFonts w:ascii="宋体" w:hAnsi="Courier New" w:eastAsia="宋体"/>
      <w:kern w:val="2"/>
      <w:sz w:val="21"/>
      <w:lang w:val="en-US" w:eastAsia="zh-CN"/>
    </w:rPr>
  </w:style>
  <w:style w:type="character" w:customStyle="1" w:styleId="65">
    <w:name w:val="标题 9 Char"/>
    <w:link w:val="11"/>
    <w:qFormat/>
    <w:locked/>
    <w:uiPriority w:val="99"/>
    <w:rPr>
      <w:rFonts w:ascii="Arial" w:hAnsi="Arial" w:eastAsia="黑体" w:cs="Times New Roman"/>
      <w:kern w:val="2"/>
      <w:sz w:val="21"/>
    </w:rPr>
  </w:style>
  <w:style w:type="character" w:customStyle="1" w:styleId="66">
    <w:name w:val="书籍标题1"/>
    <w:qFormat/>
    <w:uiPriority w:val="99"/>
    <w:rPr>
      <w:b/>
      <w:smallCaps/>
      <w:spacing w:val="5"/>
    </w:rPr>
  </w:style>
  <w:style w:type="character" w:customStyle="1" w:styleId="67">
    <w:name w:val="grame"/>
    <w:qFormat/>
    <w:uiPriority w:val="99"/>
    <w:rPr>
      <w:rFonts w:cs="Times New Roman"/>
    </w:rPr>
  </w:style>
  <w:style w:type="character" w:customStyle="1" w:styleId="68">
    <w:name w:val="Document Map Char"/>
    <w:qFormat/>
    <w:locked/>
    <w:uiPriority w:val="99"/>
    <w:rPr>
      <w:kern w:val="2"/>
      <w:sz w:val="21"/>
      <w:shd w:val="clear" w:color="auto" w:fill="000080"/>
    </w:rPr>
  </w:style>
  <w:style w:type="character" w:customStyle="1" w:styleId="69">
    <w:name w:val="ca-3"/>
    <w:qFormat/>
    <w:uiPriority w:val="99"/>
    <w:rPr>
      <w:rFonts w:cs="Times New Roman"/>
    </w:rPr>
  </w:style>
  <w:style w:type="character" w:customStyle="1" w:styleId="70">
    <w:name w:val="纯文本 Char Char Char Char Char Char"/>
    <w:qFormat/>
    <w:locked/>
    <w:uiPriority w:val="99"/>
    <w:rPr>
      <w:rFonts w:ascii="宋体" w:hAnsi="Courier New" w:eastAsia="宋体"/>
      <w:kern w:val="2"/>
      <w:sz w:val="21"/>
      <w:lang w:val="en-US" w:eastAsia="zh-CN"/>
    </w:rPr>
  </w:style>
  <w:style w:type="character" w:customStyle="1" w:styleId="71">
    <w:name w:val="Body Text First Indent Char"/>
    <w:qFormat/>
    <w:locked/>
    <w:uiPriority w:val="99"/>
    <w:rPr>
      <w:rFonts w:ascii="Arial" w:hAnsi="Arial"/>
      <w:kern w:val="2"/>
      <w:sz w:val="24"/>
    </w:rPr>
  </w:style>
  <w:style w:type="character" w:customStyle="1" w:styleId="72">
    <w:name w:val="Body Text Char"/>
    <w:qFormat/>
    <w:locked/>
    <w:uiPriority w:val="99"/>
    <w:rPr>
      <w:rFonts w:ascii="Arial" w:hAnsi="Arial"/>
      <w:kern w:val="2"/>
      <w:sz w:val="24"/>
    </w:rPr>
  </w:style>
  <w:style w:type="character" w:customStyle="1" w:styleId="73">
    <w:name w:val="ca-12"/>
    <w:qFormat/>
    <w:uiPriority w:val="99"/>
  </w:style>
  <w:style w:type="character" w:customStyle="1" w:styleId="74">
    <w:name w:val="纯文本 Char"/>
    <w:link w:val="18"/>
    <w:semiHidden/>
    <w:qFormat/>
    <w:locked/>
    <w:uiPriority w:val="99"/>
    <w:rPr>
      <w:rFonts w:ascii="宋体" w:hAnsi="Courier New" w:cs="Courier New"/>
      <w:sz w:val="21"/>
      <w:szCs w:val="21"/>
    </w:rPr>
  </w:style>
  <w:style w:type="character" w:customStyle="1" w:styleId="75">
    <w:name w:val="正文文本缩进 Char"/>
    <w:link w:val="16"/>
    <w:semiHidden/>
    <w:qFormat/>
    <w:locked/>
    <w:uiPriority w:val="99"/>
    <w:rPr>
      <w:rFonts w:cs="Times New Roman"/>
      <w:sz w:val="20"/>
      <w:szCs w:val="20"/>
    </w:rPr>
  </w:style>
  <w:style w:type="character" w:customStyle="1" w:styleId="76">
    <w:name w:val="标题 2 Char"/>
    <w:link w:val="4"/>
    <w:qFormat/>
    <w:locked/>
    <w:uiPriority w:val="99"/>
    <w:rPr>
      <w:rFonts w:ascii="Arial" w:hAnsi="Arial" w:eastAsia="黑体" w:cs="Times New Roman"/>
      <w:b/>
      <w:kern w:val="2"/>
      <w:sz w:val="32"/>
    </w:rPr>
  </w:style>
  <w:style w:type="character" w:customStyle="1" w:styleId="77">
    <w:name w:val="标题 8 Char"/>
    <w:link w:val="10"/>
    <w:qFormat/>
    <w:locked/>
    <w:uiPriority w:val="99"/>
    <w:rPr>
      <w:rFonts w:ascii="Arial" w:hAnsi="Arial" w:eastAsia="黑体" w:cs="Times New Roman"/>
      <w:kern w:val="2"/>
      <w:sz w:val="24"/>
    </w:rPr>
  </w:style>
  <w:style w:type="character" w:customStyle="1" w:styleId="78">
    <w:name w:val="正文文本缩进 3 Char"/>
    <w:link w:val="27"/>
    <w:semiHidden/>
    <w:qFormat/>
    <w:locked/>
    <w:uiPriority w:val="99"/>
    <w:rPr>
      <w:rFonts w:cs="Times New Roman"/>
      <w:sz w:val="16"/>
      <w:szCs w:val="16"/>
    </w:rPr>
  </w:style>
  <w:style w:type="character" w:customStyle="1" w:styleId="79">
    <w:name w:val="标题 7 Char"/>
    <w:link w:val="9"/>
    <w:qFormat/>
    <w:locked/>
    <w:uiPriority w:val="99"/>
    <w:rPr>
      <w:rFonts w:cs="Times New Roman"/>
      <w:b/>
      <w:kern w:val="2"/>
      <w:sz w:val="24"/>
    </w:rPr>
  </w:style>
  <w:style w:type="character" w:customStyle="1" w:styleId="80">
    <w:name w:val="font31"/>
    <w:qFormat/>
    <w:uiPriority w:val="99"/>
    <w:rPr>
      <w:rFonts w:ascii="Arial" w:hAnsi="Arial"/>
      <w:color w:val="000000"/>
      <w:sz w:val="21"/>
      <w:u w:val="none"/>
    </w:rPr>
  </w:style>
  <w:style w:type="character" w:customStyle="1" w:styleId="81">
    <w:name w:val="unnamed1"/>
    <w:qFormat/>
    <w:uiPriority w:val="99"/>
    <w:rPr>
      <w:rFonts w:cs="Times New Roman"/>
    </w:rPr>
  </w:style>
  <w:style w:type="character" w:customStyle="1" w:styleId="82">
    <w:name w:val="正文文字 Char1"/>
    <w:link w:val="83"/>
    <w:qFormat/>
    <w:locked/>
    <w:uiPriority w:val="99"/>
    <w:rPr>
      <w:rFonts w:ascii="宋体" w:eastAsia="宋体"/>
      <w:color w:val="000000"/>
      <w:sz w:val="28"/>
      <w:lang w:val="en-US" w:eastAsia="zh-CN"/>
    </w:rPr>
  </w:style>
  <w:style w:type="paragraph" w:customStyle="1" w:styleId="83">
    <w:name w:val="正文文字"/>
    <w:basedOn w:val="1"/>
    <w:link w:val="82"/>
    <w:qFormat/>
    <w:uiPriority w:val="99"/>
    <w:pPr>
      <w:widowControl/>
      <w:spacing w:line="2375" w:lineRule="atLeast"/>
      <w:ind w:firstLine="419"/>
      <w:textAlignment w:val="baseline"/>
    </w:pPr>
    <w:rPr>
      <w:rFonts w:ascii="宋体"/>
      <w:color w:val="000000"/>
      <w:kern w:val="0"/>
      <w:sz w:val="28"/>
    </w:rPr>
  </w:style>
  <w:style w:type="character" w:customStyle="1" w:styleId="84">
    <w:name w:val="Char Char"/>
    <w:qFormat/>
    <w:uiPriority w:val="99"/>
    <w:rPr>
      <w:kern w:val="2"/>
      <w:sz w:val="18"/>
    </w:rPr>
  </w:style>
  <w:style w:type="character" w:customStyle="1" w:styleId="85">
    <w:name w:val="style25"/>
    <w:qFormat/>
    <w:uiPriority w:val="99"/>
  </w:style>
  <w:style w:type="character" w:customStyle="1" w:styleId="86">
    <w:name w:val="正文文本 2 Char"/>
    <w:link w:val="29"/>
    <w:semiHidden/>
    <w:qFormat/>
    <w:locked/>
    <w:uiPriority w:val="99"/>
    <w:rPr>
      <w:rFonts w:cs="Times New Roman"/>
      <w:sz w:val="20"/>
      <w:szCs w:val="20"/>
    </w:rPr>
  </w:style>
  <w:style w:type="character" w:customStyle="1" w:styleId="87">
    <w:name w:val="ca-4"/>
    <w:qFormat/>
    <w:uiPriority w:val="99"/>
    <w:rPr>
      <w:rFonts w:cs="Times New Roman"/>
    </w:rPr>
  </w:style>
  <w:style w:type="character" w:customStyle="1" w:styleId="88">
    <w:name w:val="Char Char1"/>
    <w:qFormat/>
    <w:uiPriority w:val="99"/>
    <w:rPr>
      <w:kern w:val="2"/>
      <w:sz w:val="18"/>
    </w:rPr>
  </w:style>
  <w:style w:type="character" w:customStyle="1" w:styleId="89">
    <w:name w:val="明显参考1"/>
    <w:qFormat/>
    <w:uiPriority w:val="99"/>
    <w:rPr>
      <w:b/>
      <w:smallCaps/>
      <w:color w:val="C0504D"/>
      <w:spacing w:val="5"/>
      <w:u w:val="single"/>
    </w:rPr>
  </w:style>
  <w:style w:type="character" w:customStyle="1" w:styleId="90">
    <w:name w:val="Char Char2"/>
    <w:qFormat/>
    <w:uiPriority w:val="99"/>
    <w:rPr>
      <w:kern w:val="2"/>
      <w:sz w:val="18"/>
    </w:rPr>
  </w:style>
  <w:style w:type="character" w:customStyle="1" w:styleId="91">
    <w:name w:val="15"/>
    <w:qFormat/>
    <w:uiPriority w:val="99"/>
    <w:rPr>
      <w:rFonts w:ascii="Times New Roman" w:hAnsi="Times New Roman" w:cs="Times New Roman"/>
      <w:b/>
      <w:bCs/>
    </w:rPr>
  </w:style>
  <w:style w:type="character" w:customStyle="1" w:styleId="92">
    <w:name w:val="font11"/>
    <w:qFormat/>
    <w:uiPriority w:val="99"/>
    <w:rPr>
      <w:rFonts w:ascii="宋体" w:hAnsi="宋体" w:eastAsia="宋体"/>
      <w:color w:val="000000"/>
      <w:sz w:val="21"/>
      <w:u w:val="none"/>
    </w:rPr>
  </w:style>
  <w:style w:type="character" w:customStyle="1" w:styleId="93">
    <w:name w:val="Footer Char"/>
    <w:qFormat/>
    <w:locked/>
    <w:uiPriority w:val="99"/>
    <w:rPr>
      <w:kern w:val="2"/>
      <w:sz w:val="18"/>
    </w:rPr>
  </w:style>
  <w:style w:type="character" w:customStyle="1" w:styleId="94">
    <w:name w:val="标题 1 Char"/>
    <w:link w:val="3"/>
    <w:qFormat/>
    <w:locked/>
    <w:uiPriority w:val="99"/>
    <w:rPr>
      <w:rFonts w:cs="Times New Roman"/>
      <w:b/>
      <w:kern w:val="2"/>
      <w:sz w:val="21"/>
    </w:rPr>
  </w:style>
  <w:style w:type="character" w:customStyle="1" w:styleId="95">
    <w:name w:val="font21"/>
    <w:qFormat/>
    <w:uiPriority w:val="99"/>
    <w:rPr>
      <w:rFonts w:ascii="宋体" w:hAnsi="宋体" w:eastAsia="宋体"/>
      <w:color w:val="000000"/>
      <w:sz w:val="21"/>
      <w:u w:val="none"/>
    </w:rPr>
  </w:style>
  <w:style w:type="character" w:customStyle="1" w:styleId="96">
    <w:name w:val="称呼 Char"/>
    <w:link w:val="13"/>
    <w:semiHidden/>
    <w:qFormat/>
    <w:locked/>
    <w:uiPriority w:val="99"/>
    <w:rPr>
      <w:rFonts w:cs="Times New Roman"/>
      <w:sz w:val="20"/>
      <w:szCs w:val="20"/>
    </w:rPr>
  </w:style>
  <w:style w:type="character" w:customStyle="1" w:styleId="97">
    <w:name w:val="marklong"/>
    <w:qFormat/>
    <w:uiPriority w:val="99"/>
    <w:rPr>
      <w:rFonts w:cs="Times New Roman"/>
    </w:rPr>
  </w:style>
  <w:style w:type="character" w:customStyle="1" w:styleId="98">
    <w:name w:val="ca-2"/>
    <w:qFormat/>
    <w:uiPriority w:val="99"/>
    <w:rPr>
      <w:rFonts w:cs="Times New Roman"/>
    </w:rPr>
  </w:style>
  <w:style w:type="character" w:customStyle="1" w:styleId="99">
    <w:name w:val="页脚 Char"/>
    <w:link w:val="22"/>
    <w:semiHidden/>
    <w:qFormat/>
    <w:locked/>
    <w:uiPriority w:val="99"/>
    <w:rPr>
      <w:rFonts w:cs="Times New Roman"/>
      <w:sz w:val="18"/>
      <w:szCs w:val="18"/>
    </w:rPr>
  </w:style>
  <w:style w:type="character" w:customStyle="1" w:styleId="100">
    <w:name w:val="标题 6 Char"/>
    <w:link w:val="8"/>
    <w:qFormat/>
    <w:locked/>
    <w:uiPriority w:val="99"/>
    <w:rPr>
      <w:rFonts w:ascii="Arial" w:hAnsi="Arial" w:eastAsia="黑体" w:cs="Times New Roman"/>
      <w:b/>
      <w:kern w:val="2"/>
      <w:sz w:val="24"/>
    </w:rPr>
  </w:style>
  <w:style w:type="character" w:customStyle="1" w:styleId="101">
    <w:name w:val="标题 4 Char"/>
    <w:basedOn w:val="35"/>
    <w:link w:val="6"/>
    <w:semiHidden/>
    <w:qFormat/>
    <w:locked/>
    <w:uiPriority w:val="99"/>
    <w:rPr>
      <w:rFonts w:ascii="Cambria" w:hAnsi="Cambria" w:eastAsia="宋体" w:cs="Times New Roman"/>
      <w:b/>
      <w:bCs/>
      <w:sz w:val="28"/>
      <w:szCs w:val="28"/>
    </w:rPr>
  </w:style>
  <w:style w:type="character" w:customStyle="1" w:styleId="102">
    <w:name w:val="apple-converted-space"/>
    <w:qFormat/>
    <w:uiPriority w:val="99"/>
    <w:rPr>
      <w:rFonts w:cs="Times New Roman"/>
    </w:rPr>
  </w:style>
  <w:style w:type="paragraph" w:customStyle="1" w:styleId="103">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04">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05">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我们红色"/>
    <w:basedOn w:val="1"/>
    <w:qFormat/>
    <w:uiPriority w:val="99"/>
    <w:pPr>
      <w:spacing w:line="360" w:lineRule="auto"/>
    </w:pPr>
    <w:rPr>
      <w:rFonts w:ascii="宋体" w:hAnsi="宋体" w:cs="宋体"/>
      <w:color w:val="FF0000"/>
      <w:kern w:val="0"/>
      <w:szCs w:val="21"/>
    </w:rPr>
  </w:style>
  <w:style w:type="paragraph" w:customStyle="1" w:styleId="108">
    <w:name w:val="列出段落1"/>
    <w:basedOn w:val="1"/>
    <w:qFormat/>
    <w:uiPriority w:val="99"/>
    <w:pPr>
      <w:ind w:firstLine="420" w:firstLineChars="200"/>
    </w:pPr>
  </w:style>
  <w:style w:type="paragraph" w:customStyle="1" w:styleId="109">
    <w:name w:val="style6"/>
    <w:basedOn w:val="1"/>
    <w:qFormat/>
    <w:uiPriority w:val="99"/>
    <w:pPr>
      <w:widowControl/>
      <w:spacing w:line="300" w:lineRule="atLeast"/>
      <w:jc w:val="left"/>
    </w:pPr>
    <w:rPr>
      <w:rFonts w:ascii="宋体" w:hAnsi="宋体" w:cs="宋体"/>
      <w:kern w:val="0"/>
      <w:sz w:val="24"/>
      <w:szCs w:val="24"/>
    </w:rPr>
  </w:style>
  <w:style w:type="paragraph" w:customStyle="1" w:styleId="110">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11">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条目2"/>
    <w:basedOn w:val="18"/>
    <w:uiPriority w:val="99"/>
    <w:pPr>
      <w:tabs>
        <w:tab w:val="left" w:pos="420"/>
      </w:tabs>
      <w:spacing w:line="360" w:lineRule="auto"/>
      <w:ind w:left="420" w:hanging="420"/>
    </w:pPr>
    <w:rPr>
      <w:color w:val="000000"/>
      <w:sz w:val="30"/>
    </w:rPr>
  </w:style>
  <w:style w:type="paragraph" w:customStyle="1" w:styleId="113">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宋体加黑"/>
    <w:basedOn w:val="1"/>
    <w:qFormat/>
    <w:uiPriority w:val="99"/>
    <w:pPr>
      <w:spacing w:line="360" w:lineRule="auto"/>
      <w:jc w:val="center"/>
    </w:pPr>
    <w:rPr>
      <w:rFonts w:ascii="宋体" w:hAnsi="宋体"/>
      <w:b/>
      <w:szCs w:val="24"/>
    </w:rPr>
  </w:style>
  <w:style w:type="paragraph" w:customStyle="1" w:styleId="115">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条目3"/>
    <w:basedOn w:val="18"/>
    <w:qFormat/>
    <w:uiPriority w:val="99"/>
    <w:pPr>
      <w:tabs>
        <w:tab w:val="left" w:pos="960"/>
        <w:tab w:val="left" w:pos="2940"/>
      </w:tabs>
      <w:spacing w:line="360" w:lineRule="auto"/>
      <w:ind w:left="2940" w:hanging="420"/>
    </w:pPr>
    <w:rPr>
      <w:color w:val="000000"/>
      <w:sz w:val="30"/>
    </w:rPr>
  </w:style>
  <w:style w:type="paragraph" w:customStyle="1" w:styleId="117">
    <w:name w:val="列出段落2"/>
    <w:basedOn w:val="1"/>
    <w:qFormat/>
    <w:uiPriority w:val="99"/>
    <w:pPr>
      <w:ind w:firstLine="420" w:firstLineChars="200"/>
    </w:pPr>
    <w:rPr>
      <w:rFonts w:ascii="宋体" w:hAnsi="Courier New"/>
    </w:rPr>
  </w:style>
  <w:style w:type="paragraph" w:customStyle="1" w:styleId="118">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style9"/>
    <w:basedOn w:val="1"/>
    <w:qFormat/>
    <w:uiPriority w:val="99"/>
    <w:pPr>
      <w:widowControl/>
      <w:spacing w:line="300" w:lineRule="atLeast"/>
      <w:jc w:val="left"/>
    </w:pPr>
    <w:rPr>
      <w:rFonts w:ascii="宋体" w:hAnsi="宋体" w:cs="宋体"/>
      <w:kern w:val="0"/>
      <w:sz w:val="24"/>
      <w:szCs w:val="24"/>
    </w:rPr>
  </w:style>
  <w:style w:type="paragraph" w:customStyle="1" w:styleId="120">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1">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我们蓝色"/>
    <w:basedOn w:val="1"/>
    <w:qFormat/>
    <w:uiPriority w:val="99"/>
    <w:pPr>
      <w:spacing w:line="360" w:lineRule="auto"/>
    </w:pPr>
    <w:rPr>
      <w:color w:val="00B0F0"/>
      <w:szCs w:val="24"/>
    </w:rPr>
  </w:style>
  <w:style w:type="paragraph" w:customStyle="1" w:styleId="124">
    <w:name w:val="无间隔1"/>
    <w:qFormat/>
    <w:uiPriority w:val="99"/>
    <w:rPr>
      <w:rFonts w:ascii="Calibri" w:hAnsi="Calibri" w:eastAsia="宋体" w:cs="Times New Roman"/>
      <w:sz w:val="22"/>
      <w:szCs w:val="22"/>
      <w:lang w:val="en-US" w:eastAsia="zh-CN" w:bidi="ar-SA"/>
    </w:rPr>
  </w:style>
  <w:style w:type="paragraph" w:customStyle="1" w:styleId="125">
    <w:name w:val="_Style 70"/>
    <w:basedOn w:val="1"/>
    <w:next w:val="126"/>
    <w:qFormat/>
    <w:uiPriority w:val="99"/>
    <w:pPr>
      <w:ind w:firstLine="420" w:firstLineChars="200"/>
    </w:pPr>
    <w:rPr>
      <w:rFonts w:ascii="Calibri" w:hAnsi="Calibri"/>
      <w:szCs w:val="22"/>
    </w:rPr>
  </w:style>
  <w:style w:type="paragraph" w:styleId="126">
    <w:name w:val="List Paragraph"/>
    <w:basedOn w:val="1"/>
    <w:qFormat/>
    <w:uiPriority w:val="99"/>
    <w:pPr>
      <w:ind w:firstLine="420" w:firstLineChars="200"/>
    </w:pPr>
    <w:rPr>
      <w:rFonts w:ascii="Calibri" w:hAnsi="Calibri"/>
      <w:szCs w:val="22"/>
    </w:rPr>
  </w:style>
  <w:style w:type="paragraph" w:customStyle="1" w:styleId="127">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List Paragraph1"/>
    <w:basedOn w:val="1"/>
    <w:qFormat/>
    <w:uiPriority w:val="99"/>
    <w:pPr>
      <w:ind w:firstLine="420" w:firstLineChars="200"/>
    </w:pPr>
    <w:rPr>
      <w:rFonts w:ascii="Calibri" w:hAnsi="Calibri" w:cs="Calibri"/>
      <w:szCs w:val="21"/>
    </w:rPr>
  </w:style>
  <w:style w:type="paragraph" w:customStyle="1" w:styleId="130">
    <w:name w:val="正文缩进1"/>
    <w:basedOn w:val="1"/>
    <w:qFormat/>
    <w:uiPriority w:val="99"/>
    <w:pPr>
      <w:ind w:firstLine="420" w:firstLineChars="200"/>
    </w:pPr>
    <w:rPr>
      <w:rFonts w:ascii="Calibri" w:hAnsi="Calibri"/>
    </w:rPr>
  </w:style>
  <w:style w:type="paragraph" w:customStyle="1" w:styleId="131">
    <w:name w:val="_Style 2"/>
    <w:basedOn w:val="1"/>
    <w:qFormat/>
    <w:uiPriority w:val="99"/>
    <w:pPr>
      <w:ind w:firstLine="420" w:firstLineChars="200"/>
    </w:pPr>
  </w:style>
  <w:style w:type="paragraph" w:customStyle="1" w:styleId="132">
    <w:name w:val="Char"/>
    <w:basedOn w:val="1"/>
    <w:qFormat/>
    <w:uiPriority w:val="99"/>
    <w:rPr>
      <w:rFonts w:ascii="Tahoma" w:hAnsi="Tahoma" w:cs="仿宋_GB2312"/>
      <w:sz w:val="24"/>
      <w:szCs w:val="28"/>
    </w:rPr>
  </w:style>
  <w:style w:type="paragraph" w:customStyle="1" w:styleId="133">
    <w:name w:val="1 Char Char Char Char"/>
    <w:basedOn w:val="1"/>
    <w:qFormat/>
    <w:uiPriority w:val="99"/>
    <w:rPr>
      <w:rFonts w:ascii="Tahoma" w:hAnsi="Tahoma"/>
      <w:sz w:val="24"/>
    </w:rPr>
  </w:style>
  <w:style w:type="paragraph" w:customStyle="1" w:styleId="134">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35">
    <w:name w:val="中等深浅网格 21"/>
    <w:qFormat/>
    <w:uiPriority w:val="1"/>
    <w:rPr>
      <w:rFonts w:ascii="Calibri" w:hAnsi="Calibri" w:eastAsia="宋体" w:cs="Times New Roman"/>
      <w:sz w:val="22"/>
      <w:szCs w:val="22"/>
      <w:lang w:val="en-US" w:eastAsia="zh-CN" w:bidi="ar-SA"/>
    </w:rPr>
  </w:style>
  <w:style w:type="paragraph" w:customStyle="1" w:styleId="136">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p0"/>
    <w:basedOn w:val="1"/>
    <w:qFormat/>
    <w:uiPriority w:val="99"/>
    <w:pPr>
      <w:widowControl/>
    </w:pPr>
    <w:rPr>
      <w:kern w:val="0"/>
      <w:szCs w:val="21"/>
    </w:rPr>
  </w:style>
  <w:style w:type="paragraph" w:customStyle="1" w:styleId="138">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9">
    <w:name w:val="Body 1"/>
    <w:qFormat/>
    <w:uiPriority w:val="99"/>
    <w:pPr>
      <w:outlineLvl w:val="0"/>
    </w:pPr>
    <w:rPr>
      <w:rFonts w:ascii="Calibri" w:hAnsi="Calibri" w:eastAsia="宋体" w:cs="Times New Roman"/>
      <w:color w:val="000000"/>
      <w:sz w:val="24"/>
      <w:szCs w:val="22"/>
      <w:lang w:val="en-US" w:eastAsia="zh-CN" w:bidi="ar-SA"/>
    </w:rPr>
  </w:style>
  <w:style w:type="paragraph" w:customStyle="1" w:styleId="140">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3">
    <w:name w:val="样式1"/>
    <w:basedOn w:val="4"/>
    <w:qFormat/>
    <w:uiPriority w:val="0"/>
    <w:pPr>
      <w:spacing w:before="100" w:beforeAutospacing="1" w:after="100" w:afterAutospacing="1"/>
      <w:ind w:right="100" w:rightChars="100"/>
    </w:pPr>
    <w:rPr>
      <w:sz w:val="21"/>
    </w:rPr>
  </w:style>
  <w:style w:type="paragraph" w:customStyle="1" w:styleId="144">
    <w:name w:val="Default Text"/>
    <w:qFormat/>
    <w:uiPriority w:val="0"/>
    <w:pPr>
      <w:widowControl w:val="0"/>
      <w:autoSpaceDE w:val="0"/>
      <w:autoSpaceDN w:val="0"/>
      <w:adjustRightInd w:val="0"/>
    </w:pPr>
    <w:rPr>
      <w:rFonts w:ascii="Calibri" w:hAnsi="Calibri" w:eastAsia="等线" w:cs="宋体"/>
      <w:color w:val="000000"/>
      <w:sz w:val="24"/>
      <w:szCs w:val="22"/>
      <w:lang w:val="en-US" w:eastAsia="zh-CN" w:bidi="ar-SA"/>
    </w:rPr>
  </w:style>
  <w:style w:type="paragraph" w:customStyle="1" w:styleId="145">
    <w:name w:val="正文_39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7">
    <w:name w:val="彩色列表 - 强调文字颜色 11"/>
    <w:basedOn w:val="1"/>
    <w:qFormat/>
    <w:uiPriority w:val="0"/>
    <w:pPr>
      <w:widowControl/>
      <w:ind w:firstLine="420" w:firstLineChars="200"/>
      <w:jc w:val="left"/>
    </w:pPr>
    <w:rPr>
      <w:kern w:val="0"/>
      <w:sz w:val="24"/>
      <w:szCs w:val="24"/>
    </w:rPr>
  </w:style>
  <w:style w:type="paragraph" w:customStyle="1" w:styleId="148">
    <w:name w:val="Absatz2AL"/>
    <w:basedOn w:val="14"/>
    <w:next w:val="1"/>
    <w:qFormat/>
    <w:uiPriority w:val="0"/>
    <w:pPr>
      <w:widowControl/>
      <w:overflowPunct w:val="0"/>
      <w:autoSpaceDE w:val="0"/>
      <w:spacing w:after="0"/>
    </w:pPr>
    <w:rPr>
      <w:rFonts w:eastAsia="楷体_GB2312"/>
      <w:kern w:val="0"/>
      <w:sz w:val="24"/>
      <w:szCs w:val="20"/>
      <w:lang w:val="de-D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Info spid="_x0000_s2063"/>
    <customShpInfo spid="_x0000_s2064"/>
    <customShpInfo spid="_x0000_s2054"/>
    <customShpInfo spid="_x0000_s2055"/>
    <customShpInfo spid="_x0000_s2056"/>
    <customShpInfo spid="_x0000_s2065"/>
    <customShpInfo spid="_x0000_s2066"/>
    <customShpInfo spid="_x0000_s2062"/>
    <customShpInfo spid="_x0000_s1026"/>
    <customShpInfo spid="_x0000_s1027"/>
    <customShpInfo spid="_x0000_s1031" textRotate="1"/>
    <customShpInfo spid="_x0000_s1029"/>
    <customShpInfo spid="_x0000_s1028"/>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1</Pages>
  <Words>4178</Words>
  <Characters>23821</Characters>
  <Lines>198</Lines>
  <Paragraphs>55</Paragraphs>
  <TotalTime>32</TotalTime>
  <ScaleCrop>false</ScaleCrop>
  <LinksUpToDate>false</LinksUpToDate>
  <CharactersWithSpaces>27944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2020-09-17T04:08:00Z</dcterms:created>
  <dc:creator>xt</dc:creator>
  <cp:lastModifiedBy>*米菲*</cp:lastModifiedBy>
  <cp:lastPrinted>2016-03-23T03:35:00Z</cp:lastPrinted>
  <dcterms:modified xsi:type="dcterms:W3CDTF">2021-06-03T08:10:24Z</dcterms:modified>
  <dc:title>第一部份 投标邀请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E175185D8E2A4F5B8825064FCC793BB3</vt:lpwstr>
  </property>
</Properties>
</file>