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suppressLineNumbers w:val="0"/>
        <w:kinsoku/>
        <w:wordWrap/>
        <w:overflowPunct/>
        <w:topLinePunct w:val="0"/>
        <w:autoSpaceDE/>
        <w:autoSpaceDN/>
        <w:bidi w:val="0"/>
        <w:adjustRightInd/>
        <w:snapToGrid/>
        <w:spacing w:line="360" w:lineRule="exact"/>
        <w:ind w:firstLine="1044" w:firstLineChars="200"/>
        <w:jc w:val="right"/>
        <w:textAlignment w:val="auto"/>
        <w:rPr>
          <w:rFonts w:hint="eastAsia" w:cs="宋体"/>
          <w:b/>
          <w:color w:val="auto"/>
          <w:sz w:val="24"/>
          <w:szCs w:val="24"/>
          <w:lang w:val="en-US" w:eastAsia="zh-CN"/>
        </w:rPr>
      </w:pPr>
      <w:r>
        <w:rPr>
          <w:rFonts w:hint="eastAsia" w:ascii="宋体" w:hAnsi="宋体" w:cs="方正小标宋简体"/>
          <w:b/>
          <w:color w:val="auto"/>
          <w:kern w:val="0"/>
          <w:sz w:val="52"/>
          <w:szCs w:val="52"/>
          <w:highlight w:val="none"/>
          <w:lang w:val="en-US" w:eastAsia="zh-CN" w:bidi="ar"/>
        </w:rPr>
        <w:t xml:space="preserve"> </w:t>
      </w:r>
      <w:r>
        <w:rPr>
          <w:rFonts w:hint="eastAsia" w:ascii="宋体" w:hAnsi="宋体" w:cs="宋体"/>
          <w:b/>
          <w:color w:val="auto"/>
          <w:sz w:val="24"/>
          <w:szCs w:val="24"/>
        </w:rPr>
        <w:t>项目编码：HYYL-2023-0</w:t>
      </w:r>
      <w:r>
        <w:rPr>
          <w:rFonts w:hint="eastAsia" w:cs="宋体"/>
          <w:b/>
          <w:color w:val="auto"/>
          <w:sz w:val="24"/>
          <w:szCs w:val="24"/>
          <w:lang w:val="en-US" w:eastAsia="zh-CN"/>
        </w:rPr>
        <w:t>32</w:t>
      </w:r>
    </w:p>
    <w:p>
      <w:pPr>
        <w:pStyle w:val="39"/>
        <w:spacing w:line="360" w:lineRule="auto"/>
        <w:ind w:left="0" w:leftChars="0" w:firstLine="0" w:firstLineChars="0"/>
        <w:rPr>
          <w:rFonts w:hint="eastAsia" w:ascii="宋体" w:hAnsi="宋体" w:cs="宋体"/>
          <w:b/>
          <w:color w:val="auto"/>
          <w:sz w:val="44"/>
          <w:szCs w:val="44"/>
          <w:lang w:val="en-US" w:eastAsia="zh-CN"/>
        </w:rPr>
      </w:pPr>
    </w:p>
    <w:p>
      <w:pPr>
        <w:pStyle w:val="39"/>
        <w:spacing w:line="360" w:lineRule="auto"/>
        <w:ind w:left="0" w:leftChars="0" w:firstLine="0" w:firstLineChars="0"/>
        <w:rPr>
          <w:rFonts w:hint="eastAsia" w:ascii="宋体" w:hAnsi="宋体" w:cs="宋体"/>
          <w:b/>
          <w:color w:val="auto"/>
          <w:sz w:val="44"/>
          <w:szCs w:val="44"/>
          <w:lang w:val="en-US" w:eastAsia="zh-CN"/>
        </w:rPr>
      </w:pPr>
    </w:p>
    <w:p>
      <w:pPr>
        <w:pStyle w:val="39"/>
        <w:spacing w:line="360" w:lineRule="auto"/>
        <w:ind w:left="0" w:leftChars="0" w:firstLine="0" w:firstLineChars="0"/>
        <w:rPr>
          <w:rFonts w:ascii="宋体"/>
          <w:b/>
          <w:color w:val="auto"/>
          <w:sz w:val="36"/>
          <w:szCs w:val="36"/>
          <w:lang w:val="en-US"/>
        </w:rPr>
      </w:pPr>
      <w:r>
        <w:rPr>
          <w:rFonts w:hint="eastAsia" w:ascii="宋体" w:hAnsi="宋体" w:cs="宋体"/>
          <w:b/>
          <w:color w:val="auto"/>
          <w:sz w:val="44"/>
          <w:szCs w:val="44"/>
          <w:lang w:val="en-US" w:eastAsia="zh-CN"/>
        </w:rPr>
        <w:t>特克斯县人民医院医共体信息化项目二期建设</w:t>
      </w:r>
    </w:p>
    <w:p>
      <w:pPr>
        <w:pStyle w:val="39"/>
        <w:spacing w:line="360" w:lineRule="auto"/>
        <w:ind w:firstLine="723"/>
        <w:rPr>
          <w:rFonts w:ascii="宋体"/>
          <w:b/>
          <w:color w:val="auto"/>
          <w:sz w:val="36"/>
          <w:szCs w:val="36"/>
          <w:lang w:val="en-US"/>
        </w:rPr>
      </w:pPr>
    </w:p>
    <w:p>
      <w:pPr>
        <w:pStyle w:val="39"/>
        <w:spacing w:line="360" w:lineRule="auto"/>
        <w:ind w:firstLine="723"/>
        <w:rPr>
          <w:rFonts w:ascii="宋体"/>
          <w:b/>
          <w:color w:val="auto"/>
          <w:sz w:val="36"/>
          <w:szCs w:val="36"/>
          <w:lang w:val="en-US"/>
        </w:rPr>
      </w:pPr>
    </w:p>
    <w:p>
      <w:pPr>
        <w:pStyle w:val="39"/>
        <w:spacing w:line="360" w:lineRule="auto"/>
        <w:ind w:left="0" w:leftChars="0" w:firstLine="0" w:firstLineChars="0"/>
        <w:rPr>
          <w:rFonts w:ascii="宋体"/>
          <w:b/>
          <w:color w:val="auto"/>
          <w:sz w:val="36"/>
          <w:szCs w:val="36"/>
          <w:lang w:val="en-US"/>
        </w:rPr>
      </w:pPr>
    </w:p>
    <w:p>
      <w:pPr>
        <w:autoSpaceDE w:val="0"/>
        <w:autoSpaceDN w:val="0"/>
        <w:adjustRightInd w:val="0"/>
        <w:spacing w:line="360" w:lineRule="auto"/>
        <w:jc w:val="center"/>
        <w:rPr>
          <w:rFonts w:hint="eastAsia" w:ascii="宋体" w:hAnsi="宋体" w:cs="宋体"/>
          <w:b/>
          <w:color w:val="auto"/>
          <w:sz w:val="84"/>
          <w:szCs w:val="84"/>
        </w:rPr>
      </w:pPr>
      <w:r>
        <w:rPr>
          <w:rFonts w:ascii="宋体" w:hAnsi="宋体" w:cs="宋体"/>
          <w:b/>
          <w:color w:val="auto"/>
          <w:sz w:val="84"/>
          <w:szCs w:val="84"/>
        </w:rPr>
        <w:t xml:space="preserve"> </w:t>
      </w:r>
      <w:r>
        <w:rPr>
          <w:rFonts w:hint="eastAsia" w:ascii="宋体" w:hAnsi="宋体" w:cs="宋体"/>
          <w:b/>
          <w:color w:val="auto"/>
          <w:sz w:val="84"/>
          <w:szCs w:val="84"/>
        </w:rPr>
        <w:t>招</w:t>
      </w:r>
      <w:r>
        <w:rPr>
          <w:rFonts w:ascii="宋体" w:hAnsi="宋体" w:cs="宋体"/>
          <w:b/>
          <w:color w:val="auto"/>
          <w:sz w:val="84"/>
          <w:szCs w:val="84"/>
        </w:rPr>
        <w:t xml:space="preserve"> </w:t>
      </w:r>
      <w:r>
        <w:rPr>
          <w:rFonts w:hint="eastAsia" w:ascii="宋体" w:hAnsi="宋体" w:cs="宋体"/>
          <w:b/>
          <w:color w:val="auto"/>
          <w:sz w:val="84"/>
          <w:szCs w:val="84"/>
        </w:rPr>
        <w:t>标</w:t>
      </w:r>
      <w:r>
        <w:rPr>
          <w:rFonts w:ascii="宋体" w:hAnsi="宋体" w:cs="宋体"/>
          <w:b/>
          <w:color w:val="auto"/>
          <w:sz w:val="84"/>
          <w:szCs w:val="84"/>
        </w:rPr>
        <w:t xml:space="preserve"> </w:t>
      </w:r>
      <w:r>
        <w:rPr>
          <w:rFonts w:hint="eastAsia" w:ascii="宋体" w:hAnsi="宋体" w:cs="宋体"/>
          <w:b/>
          <w:color w:val="auto"/>
          <w:sz w:val="84"/>
          <w:szCs w:val="84"/>
        </w:rPr>
        <w:t>文</w:t>
      </w:r>
      <w:r>
        <w:rPr>
          <w:rFonts w:ascii="宋体" w:hAnsi="宋体" w:cs="宋体"/>
          <w:b/>
          <w:color w:val="auto"/>
          <w:sz w:val="84"/>
          <w:szCs w:val="84"/>
        </w:rPr>
        <w:t xml:space="preserve"> </w:t>
      </w:r>
      <w:r>
        <w:rPr>
          <w:rFonts w:hint="eastAsia" w:ascii="宋体" w:hAnsi="宋体" w:cs="宋体"/>
          <w:b/>
          <w:color w:val="auto"/>
          <w:sz w:val="84"/>
          <w:szCs w:val="84"/>
        </w:rPr>
        <w:t>件</w:t>
      </w:r>
    </w:p>
    <w:p>
      <w:pPr>
        <w:pStyle w:val="7"/>
        <w:rPr>
          <w:rFonts w:hint="eastAsia"/>
        </w:rPr>
      </w:pPr>
    </w:p>
    <w:p>
      <w:pPr>
        <w:pStyle w:val="2"/>
        <w:rPr>
          <w:rFonts w:hint="eastAsia" w:ascii="宋体" w:hAnsi="宋体" w:cs="宋体"/>
          <w:b/>
          <w:color w:val="auto"/>
          <w:sz w:val="84"/>
          <w:szCs w:val="84"/>
        </w:rPr>
      </w:pPr>
    </w:p>
    <w:p>
      <w:pPr>
        <w:autoSpaceDN w:val="0"/>
        <w:spacing w:before="100" w:beforeLines="0" w:beforeAutospacing="1" w:after="100" w:afterLines="0" w:afterAutospacing="1" w:line="360" w:lineRule="auto"/>
        <w:ind w:firstLine="562" w:firstLineChars="200"/>
        <w:rPr>
          <w:rFonts w:hint="eastAsia" w:ascii="宋体" w:hAnsi="宋体"/>
          <w:b/>
          <w:sz w:val="28"/>
          <w:szCs w:val="28"/>
          <w:u w:val="single"/>
        </w:rPr>
      </w:pPr>
      <w:r>
        <w:rPr>
          <w:rFonts w:hint="eastAsia"/>
          <w:b/>
          <w:sz w:val="28"/>
          <w:szCs w:val="28"/>
        </w:rPr>
        <w:t>采购</w:t>
      </w:r>
      <w:r>
        <w:rPr>
          <w:rFonts w:hint="eastAsia" w:ascii="宋体" w:hAnsi="宋体"/>
          <w:b/>
          <w:sz w:val="28"/>
          <w:szCs w:val="28"/>
        </w:rPr>
        <w:t>人:</w:t>
      </w:r>
      <w:r>
        <w:rPr>
          <w:rFonts w:hint="eastAsia" w:ascii="宋体" w:hAnsi="宋体" w:eastAsia="宋体" w:cs="Times New Roman"/>
          <w:b/>
          <w:sz w:val="28"/>
          <w:szCs w:val="28"/>
          <w:u w:val="single"/>
          <w:lang w:val="en-US" w:eastAsia="zh-CN"/>
        </w:rPr>
        <w:t xml:space="preserve">  </w:t>
      </w:r>
      <w:r>
        <w:rPr>
          <w:rFonts w:hint="eastAsia" w:ascii="宋体" w:hAnsi="宋体" w:cs="Times New Roman"/>
          <w:b/>
          <w:sz w:val="28"/>
          <w:szCs w:val="28"/>
          <w:u w:val="single"/>
          <w:lang w:val="en-US" w:eastAsia="zh-CN"/>
        </w:rPr>
        <w:t>特克斯县人民医院</w:t>
      </w:r>
      <w:r>
        <w:rPr>
          <w:rFonts w:hint="eastAsia" w:ascii="宋体" w:hAnsi="宋体" w:eastAsia="宋体" w:cs="Times New Roman"/>
          <w:b/>
          <w:sz w:val="28"/>
          <w:szCs w:val="28"/>
          <w:u w:val="single"/>
          <w:lang w:val="en-US" w:eastAsia="zh-CN"/>
        </w:rPr>
        <w:t xml:space="preserve">    </w:t>
      </w:r>
      <w:r>
        <w:rPr>
          <w:rFonts w:hint="eastAsia" w:ascii="宋体" w:hAnsi="宋体" w:cs="Times New Roman"/>
          <w:b/>
          <w:sz w:val="28"/>
          <w:szCs w:val="28"/>
          <w:u w:val="single"/>
          <w:lang w:val="en-US" w:eastAsia="zh-CN"/>
        </w:rPr>
        <w:t xml:space="preserve">       </w:t>
      </w:r>
      <w:r>
        <w:rPr>
          <w:rFonts w:hint="eastAsia" w:ascii="宋体" w:hAnsi="宋体" w:eastAsia="宋体" w:cs="Times New Roman"/>
          <w:b/>
          <w:sz w:val="28"/>
          <w:szCs w:val="28"/>
          <w:u w:val="single"/>
          <w:lang w:val="en-US" w:eastAsia="zh-CN"/>
        </w:rPr>
        <w:t xml:space="preserve">     </w:t>
      </w:r>
      <w:r>
        <w:rPr>
          <w:rFonts w:hint="eastAsia" w:ascii="宋体" w:hAnsi="宋体"/>
          <w:b/>
          <w:sz w:val="28"/>
          <w:szCs w:val="28"/>
        </w:rPr>
        <w:t>（盖章）</w:t>
      </w:r>
    </w:p>
    <w:p>
      <w:pPr>
        <w:autoSpaceDN w:val="0"/>
        <w:spacing w:before="100" w:beforeLines="0" w:beforeAutospacing="1" w:after="100" w:afterLines="0" w:afterAutospacing="1" w:line="360" w:lineRule="auto"/>
        <w:ind w:firstLine="562" w:firstLineChars="200"/>
        <w:rPr>
          <w:rFonts w:hint="eastAsia" w:ascii="宋体" w:hAnsi="宋体"/>
          <w:b/>
          <w:sz w:val="28"/>
          <w:szCs w:val="28"/>
          <w:u w:val="single" w:color="auto"/>
        </w:rPr>
      </w:pPr>
      <w:r>
        <w:rPr>
          <w:rFonts w:hint="eastAsia" w:ascii="宋体" w:hAnsi="宋体"/>
          <w:b/>
          <w:sz w:val="28"/>
          <w:szCs w:val="28"/>
        </w:rPr>
        <w:t>联系人：</w:t>
      </w:r>
      <w:r>
        <w:rPr>
          <w:rFonts w:hint="eastAsia" w:ascii="宋体" w:hAnsi="宋体" w:eastAsia="宋体" w:cs="Times New Roman"/>
          <w:b/>
          <w:sz w:val="28"/>
          <w:szCs w:val="28"/>
          <w:u w:val="single"/>
          <w:lang w:val="en-US" w:eastAsia="zh-CN"/>
        </w:rPr>
        <w:t xml:space="preserve"> </w:t>
      </w:r>
      <w:r>
        <w:rPr>
          <w:rFonts w:hint="eastAsia" w:ascii="宋体" w:hAnsi="宋体" w:cs="Times New Roman"/>
          <w:b/>
          <w:sz w:val="28"/>
          <w:szCs w:val="28"/>
          <w:u w:val="single"/>
          <w:lang w:val="en-US" w:eastAsia="zh-CN"/>
        </w:rPr>
        <w:t>周菊萍</w:t>
      </w:r>
      <w:r>
        <w:rPr>
          <w:rFonts w:hint="eastAsia" w:ascii="宋体" w:hAnsi="宋体" w:eastAsia="宋体" w:cs="Times New Roman"/>
          <w:b/>
          <w:sz w:val="28"/>
          <w:szCs w:val="28"/>
          <w:u w:val="single"/>
          <w:lang w:val="en-US" w:eastAsia="zh-CN"/>
        </w:rPr>
        <w:t xml:space="preserve"> </w:t>
      </w:r>
      <w:r>
        <w:rPr>
          <w:rFonts w:hint="eastAsia" w:ascii="宋体" w:hAnsi="宋体"/>
          <w:b/>
          <w:sz w:val="28"/>
          <w:szCs w:val="28"/>
        </w:rPr>
        <w:t xml:space="preserve"> </w:t>
      </w:r>
      <w:r>
        <w:rPr>
          <w:rFonts w:hint="eastAsia"/>
          <w:b/>
          <w:sz w:val="28"/>
          <w:szCs w:val="28"/>
        </w:rPr>
        <w:t xml:space="preserve"> </w:t>
      </w:r>
      <w:r>
        <w:rPr>
          <w:rFonts w:hint="eastAsia"/>
          <w:b/>
          <w:sz w:val="28"/>
          <w:szCs w:val="28"/>
          <w:lang w:val="en-US" w:eastAsia="zh-CN"/>
        </w:rPr>
        <w:t xml:space="preserve">      </w:t>
      </w:r>
      <w:r>
        <w:rPr>
          <w:rFonts w:hint="eastAsia" w:ascii="宋体" w:hAnsi="宋体"/>
          <w:b/>
          <w:sz w:val="28"/>
          <w:szCs w:val="28"/>
        </w:rPr>
        <w:t>联系电话：</w:t>
      </w:r>
      <w:r>
        <w:rPr>
          <w:rFonts w:hint="eastAsia" w:ascii="宋体" w:hAnsi="宋体" w:eastAsia="宋体" w:cs="Times New Roman"/>
          <w:b/>
          <w:sz w:val="28"/>
          <w:szCs w:val="28"/>
          <w:u w:val="single"/>
          <w:lang w:val="en-US" w:eastAsia="zh-CN"/>
        </w:rPr>
        <w:t>15894145770</w:t>
      </w:r>
    </w:p>
    <w:p>
      <w:pPr>
        <w:autoSpaceDN w:val="0"/>
        <w:spacing w:before="100" w:beforeLines="0" w:beforeAutospacing="1" w:after="100" w:afterLines="0" w:afterAutospacing="1" w:line="360" w:lineRule="auto"/>
        <w:ind w:firstLine="562" w:firstLineChars="200"/>
        <w:rPr>
          <w:rFonts w:hint="eastAsia" w:ascii="宋体" w:hAnsi="宋体"/>
          <w:b/>
          <w:sz w:val="28"/>
          <w:szCs w:val="28"/>
          <w:u w:val="thick"/>
        </w:rPr>
      </w:pPr>
      <w:r>
        <w:rPr>
          <w:rFonts w:hint="eastAsia"/>
          <w:b/>
          <w:sz w:val="28"/>
          <w:szCs w:val="28"/>
        </w:rPr>
        <w:t>采购</w:t>
      </w:r>
      <w:r>
        <w:rPr>
          <w:rFonts w:hint="eastAsia" w:ascii="宋体" w:hAnsi="宋体"/>
          <w:b/>
          <w:sz w:val="28"/>
          <w:szCs w:val="28"/>
        </w:rPr>
        <w:t>代理机构:</w:t>
      </w:r>
      <w:r>
        <w:rPr>
          <w:rFonts w:hint="eastAsia" w:ascii="宋体" w:hAnsi="宋体" w:cs="Times New Roman"/>
          <w:b/>
          <w:sz w:val="28"/>
          <w:szCs w:val="28"/>
          <w:u w:val="single"/>
          <w:lang w:val="en-US" w:eastAsia="zh-CN"/>
        </w:rPr>
        <w:t>新疆华域建设工程项目管理咨询有限公司</w:t>
      </w:r>
      <w:r>
        <w:rPr>
          <w:rFonts w:hint="eastAsia" w:ascii="宋体" w:hAnsi="宋体" w:eastAsia="宋体" w:cs="Times New Roman"/>
          <w:b/>
          <w:sz w:val="28"/>
          <w:szCs w:val="28"/>
          <w:u w:val="single"/>
          <w:lang w:val="en-US" w:eastAsia="zh-CN"/>
        </w:rPr>
        <w:t>（</w:t>
      </w:r>
      <w:r>
        <w:rPr>
          <w:rFonts w:hint="eastAsia" w:ascii="宋体" w:hAnsi="宋体"/>
          <w:b/>
          <w:sz w:val="28"/>
          <w:szCs w:val="28"/>
        </w:rPr>
        <w:t>盖章）</w:t>
      </w:r>
    </w:p>
    <w:p>
      <w:pPr>
        <w:pStyle w:val="17"/>
        <w:ind w:firstLine="562" w:firstLineChars="200"/>
        <w:jc w:val="both"/>
        <w:rPr>
          <w:rFonts w:hint="eastAsia"/>
          <w:b/>
          <w:sz w:val="28"/>
          <w:szCs w:val="28"/>
          <w:u w:val="single" w:color="auto"/>
        </w:rPr>
      </w:pPr>
      <w:r>
        <w:rPr>
          <w:rFonts w:hint="eastAsia"/>
          <w:b/>
          <w:sz w:val="28"/>
          <w:szCs w:val="28"/>
        </w:rPr>
        <w:t>联系人</w:t>
      </w:r>
      <w:r>
        <w:rPr>
          <w:rFonts w:hint="eastAsia" w:ascii="宋体" w:hAnsi="宋体"/>
          <w:b/>
          <w:sz w:val="28"/>
          <w:szCs w:val="28"/>
        </w:rPr>
        <w:t>：</w:t>
      </w:r>
      <w:r>
        <w:rPr>
          <w:rFonts w:hint="eastAsia" w:ascii="宋体" w:hAnsi="宋体"/>
          <w:b/>
          <w:sz w:val="28"/>
          <w:szCs w:val="28"/>
          <w:u w:val="single"/>
        </w:rPr>
        <w:t xml:space="preserve">戚国强   </w:t>
      </w: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b/>
          <w:sz w:val="28"/>
          <w:szCs w:val="28"/>
        </w:rPr>
        <w:t xml:space="preserve"> </w:t>
      </w:r>
      <w:r>
        <w:rPr>
          <w:rFonts w:hint="eastAsia" w:ascii="宋体" w:hAnsi="宋体"/>
          <w:b/>
          <w:sz w:val="28"/>
          <w:szCs w:val="28"/>
        </w:rPr>
        <w:t>联系电话：</w:t>
      </w:r>
      <w:r>
        <w:rPr>
          <w:rFonts w:hint="eastAsia" w:hAnsi="宋体"/>
          <w:b/>
          <w:sz w:val="28"/>
          <w:szCs w:val="28"/>
          <w:u w:val="single" w:color="auto"/>
          <w:lang w:eastAsia="zh-CN"/>
        </w:rPr>
        <w:t>18690286035</w:t>
      </w:r>
    </w:p>
    <w:p>
      <w:pPr>
        <w:pStyle w:val="17"/>
        <w:jc w:val="center"/>
        <w:rPr>
          <w:rFonts w:hint="eastAsia"/>
          <w:b/>
          <w:sz w:val="36"/>
          <w:szCs w:val="36"/>
          <w:lang w:val="en-US" w:eastAsia="zh-CN"/>
        </w:rPr>
      </w:pPr>
    </w:p>
    <w:p>
      <w:pPr>
        <w:pStyle w:val="17"/>
        <w:jc w:val="center"/>
        <w:rPr>
          <w:b/>
          <w:color w:val="auto"/>
          <w:sz w:val="20"/>
          <w:szCs w:val="18"/>
          <w:highlight w:val="none"/>
          <w:lang w:val="zh-CN"/>
        </w:rPr>
      </w:pPr>
      <w:r>
        <w:rPr>
          <w:rFonts w:hint="eastAsia"/>
          <w:b/>
          <w:sz w:val="32"/>
          <w:szCs w:val="32"/>
          <w:lang w:val="en-US" w:eastAsia="zh-CN"/>
        </w:rPr>
        <w:t>2023</w:t>
      </w:r>
      <w:r>
        <w:rPr>
          <w:rFonts w:hint="eastAsia"/>
          <w:b/>
          <w:sz w:val="32"/>
          <w:szCs w:val="32"/>
          <w:lang w:eastAsia="zh-CN"/>
        </w:rPr>
        <w:t>年</w:t>
      </w:r>
      <w:r>
        <w:rPr>
          <w:rFonts w:hint="eastAsia"/>
          <w:b/>
          <w:sz w:val="32"/>
          <w:szCs w:val="32"/>
          <w:lang w:val="en-US" w:eastAsia="zh-CN"/>
        </w:rPr>
        <w:t>05</w:t>
      </w:r>
      <w:r>
        <w:rPr>
          <w:rFonts w:hint="eastAsia"/>
          <w:b/>
          <w:sz w:val="32"/>
          <w:szCs w:val="32"/>
          <w:lang w:eastAsia="zh-CN"/>
        </w:rPr>
        <w:t>月</w:t>
      </w:r>
    </w:p>
    <w:p>
      <w:pPr>
        <w:pStyle w:val="64"/>
        <w:adjustRightInd w:val="0"/>
        <w:snapToGrid w:val="0"/>
        <w:jc w:val="center"/>
        <w:rPr>
          <w:b/>
          <w:color w:val="auto"/>
          <w:highlight w:val="none"/>
        </w:rPr>
      </w:pPr>
      <w:r>
        <w:rPr>
          <w:b/>
          <w:color w:val="auto"/>
          <w:highlight w:val="none"/>
          <w:lang w:val="zh-CN"/>
        </w:rPr>
        <w:t>目</w:t>
      </w:r>
      <w:r>
        <w:rPr>
          <w:rFonts w:hint="eastAsia"/>
          <w:b/>
          <w:color w:val="auto"/>
          <w:highlight w:val="none"/>
          <w:lang w:val="zh-CN"/>
        </w:rPr>
        <w:t xml:space="preserve">  </w:t>
      </w:r>
      <w:r>
        <w:rPr>
          <w:b/>
          <w:color w:val="auto"/>
          <w:highlight w:val="none"/>
          <w:lang w:val="zh-CN"/>
        </w:rPr>
        <w:t>录</w:t>
      </w:r>
    </w:p>
    <w:p>
      <w:pPr>
        <w:pStyle w:val="39"/>
        <w:spacing w:line="360" w:lineRule="auto"/>
        <w:ind w:left="0" w:leftChars="0" w:firstLine="0" w:firstLineChars="0"/>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TOC \o "1-3" \h \z \u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Cs w:val="28"/>
          <w:highlight w:val="none"/>
        </w:rPr>
        <w:fldChar w:fldCharType="begin"/>
      </w:r>
      <w:r>
        <w:rPr>
          <w:rFonts w:hint="eastAsia" w:asciiTheme="minorEastAsia" w:hAnsiTheme="minorEastAsia" w:eastAsiaTheme="minorEastAsia" w:cstheme="minorEastAsia"/>
          <w:szCs w:val="28"/>
          <w:highlight w:val="none"/>
        </w:rPr>
        <w:instrText xml:space="preserve"> HYPERLINK \l _Toc20454 </w:instrText>
      </w:r>
      <w:r>
        <w:rPr>
          <w:rFonts w:hint="eastAsia" w:asciiTheme="minorEastAsia" w:hAnsiTheme="minorEastAsia" w:eastAsiaTheme="minorEastAsia" w:cstheme="minorEastAsia"/>
          <w:szCs w:val="28"/>
          <w:highlight w:val="none"/>
        </w:rPr>
        <w:fldChar w:fldCharType="separate"/>
      </w:r>
      <w:r>
        <w:rPr>
          <w:rFonts w:hint="eastAsia"/>
          <w:szCs w:val="44"/>
          <w:highlight w:val="none"/>
        </w:rPr>
        <w:t xml:space="preserve">第一章 </w:t>
      </w:r>
      <w:r>
        <w:rPr>
          <w:rFonts w:hint="eastAsia" w:cs="Times New Roman"/>
          <w:kern w:val="2"/>
          <w:sz w:val="21"/>
          <w:szCs w:val="24"/>
          <w:highlight w:val="none"/>
          <w:lang w:val="en-US" w:eastAsia="zh-CN" w:bidi="ar-SA"/>
        </w:rPr>
        <w:t>招标公告</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lang w:val="en-US" w:eastAsia="zh-CN"/>
        </w:rPr>
        <w:t>5</w:t>
      </w:r>
      <w:r>
        <w:rPr>
          <w:rFonts w:hint="eastAsia" w:asciiTheme="minorEastAsia" w:hAnsiTheme="minorEastAsia" w:eastAsia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_Toc22786 </w:instrText>
      </w:r>
      <w:r>
        <w:rPr>
          <w:rFonts w:hint="eastAsia" w:asciiTheme="minorEastAsia" w:hAnsiTheme="minorEastAsia" w:cstheme="minorEastAsia"/>
          <w:szCs w:val="28"/>
          <w:highlight w:val="none"/>
        </w:rPr>
        <w:fldChar w:fldCharType="separate"/>
      </w:r>
      <w:r>
        <w:rPr>
          <w:rFonts w:hint="eastAsia"/>
          <w:highlight w:val="none"/>
        </w:rPr>
        <w:t>第二章 投标须知前附表</w:t>
      </w:r>
      <w:r>
        <w:tab/>
      </w:r>
      <w:r>
        <w:fldChar w:fldCharType="begin"/>
      </w:r>
      <w:r>
        <w:instrText xml:space="preserve"> PAGEREF _Toc22786 \h </w:instrText>
      </w:r>
      <w:r>
        <w:fldChar w:fldCharType="separate"/>
      </w:r>
      <w:r>
        <w:t>8</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_Toc3096 </w:instrText>
      </w:r>
      <w:r>
        <w:rPr>
          <w:rFonts w:hint="eastAsia" w:asciiTheme="minorEastAsia" w:hAnsiTheme="minorEastAsia" w:cstheme="minorEastAsia"/>
          <w:szCs w:val="28"/>
          <w:highlight w:val="none"/>
        </w:rPr>
        <w:fldChar w:fldCharType="separate"/>
      </w:r>
      <w:r>
        <w:rPr>
          <w:rFonts w:hint="eastAsia" w:cs="黑体" w:asciiTheme="minorEastAsia" w:hAnsiTheme="minorEastAsia" w:eastAsiaTheme="minorEastAsia"/>
          <w:kern w:val="44"/>
          <w:szCs w:val="44"/>
          <w:highlight w:val="none"/>
        </w:rPr>
        <w:t>第三章　投标人须知</w:t>
      </w:r>
      <w:r>
        <w:tab/>
      </w:r>
      <w:r>
        <w:fldChar w:fldCharType="begin"/>
      </w:r>
      <w:r>
        <w:instrText xml:space="preserve"> PAGEREF _Toc3096 \h </w:instrText>
      </w:r>
      <w:r>
        <w:fldChar w:fldCharType="separate"/>
      </w:r>
      <w:r>
        <w:t>13</w:t>
      </w:r>
      <w:r>
        <w:fldChar w:fldCharType="end"/>
      </w:r>
      <w:r>
        <w:rPr>
          <w:rFonts w:hint="eastAsia" w:asciiTheme="minorEastAsia" w:hAnsiTheme="minorEastAsia" w:cstheme="minorEastAsia"/>
          <w:color w:val="auto"/>
          <w:szCs w:val="28"/>
          <w:highlight w:val="none"/>
        </w:rPr>
        <w:fldChar w:fldCharType="end"/>
      </w:r>
    </w:p>
    <w:p>
      <w:pPr>
        <w:pStyle w:val="2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_Toc26890 </w:instrText>
      </w:r>
      <w:r>
        <w:rPr>
          <w:rFonts w:hint="eastAsia" w:asciiTheme="minorEastAsia" w:hAnsiTheme="minorEastAsia" w:cstheme="minorEastAsia"/>
          <w:szCs w:val="28"/>
          <w:highlight w:val="none"/>
        </w:rPr>
        <w:fldChar w:fldCharType="separate"/>
      </w:r>
      <w:r>
        <w:rPr>
          <w:rFonts w:hint="eastAsia" w:asciiTheme="minorEastAsia" w:hAnsiTheme="minorEastAsia" w:eastAsiaTheme="minorEastAsia"/>
          <w:szCs w:val="32"/>
          <w:highlight w:val="none"/>
        </w:rPr>
        <w:t>一、说明</w:t>
      </w:r>
      <w:r>
        <w:tab/>
      </w:r>
      <w:r>
        <w:fldChar w:fldCharType="begin"/>
      </w:r>
      <w:r>
        <w:instrText xml:space="preserve"> PAGEREF _Toc26890 \h </w:instrText>
      </w:r>
      <w:r>
        <w:fldChar w:fldCharType="separate"/>
      </w:r>
      <w:r>
        <w:t>13</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_Toc2890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 </w:t>
      </w:r>
      <w:r>
        <w:rPr>
          <w:rFonts w:hint="eastAsia" w:ascii="宋体" w:hAnsi="宋体"/>
          <w:bCs/>
          <w:kern w:val="44"/>
          <w:szCs w:val="24"/>
          <w:highlight w:val="none"/>
        </w:rPr>
        <w:t>说明：本</w:t>
      </w:r>
      <w:r>
        <w:rPr>
          <w:rFonts w:hint="eastAsia" w:ascii="宋体" w:hAnsi="宋体"/>
          <w:bCs/>
          <w:kern w:val="44"/>
          <w:szCs w:val="24"/>
          <w:highlight w:val="none"/>
          <w:lang w:eastAsia="zh-CN"/>
        </w:rPr>
        <w:t>招标文件</w:t>
      </w:r>
      <w:r>
        <w:rPr>
          <w:rFonts w:hint="eastAsia" w:ascii="宋体" w:hAnsi="宋体"/>
          <w:bCs/>
          <w:kern w:val="44"/>
          <w:szCs w:val="24"/>
          <w:highlight w:val="none"/>
        </w:rPr>
        <w:t>使用的词语有如下定义</w:t>
      </w:r>
      <w:r>
        <w:tab/>
      </w:r>
      <w:r>
        <w:fldChar w:fldCharType="begin"/>
      </w:r>
      <w:r>
        <w:instrText xml:space="preserve"> PAGEREF _Toc2890 \h </w:instrText>
      </w:r>
      <w:r>
        <w:fldChar w:fldCharType="separate"/>
      </w:r>
      <w:r>
        <w:t>13</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_Toc26165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 </w:t>
      </w:r>
      <w:r>
        <w:rPr>
          <w:rFonts w:hint="eastAsia" w:ascii="宋体" w:hAnsi="宋体"/>
          <w:bCs/>
          <w:kern w:val="44"/>
          <w:szCs w:val="24"/>
          <w:highlight w:val="none"/>
        </w:rPr>
        <w:t>合格的投标人</w:t>
      </w:r>
      <w:r>
        <w:tab/>
      </w:r>
      <w:r>
        <w:fldChar w:fldCharType="begin"/>
      </w:r>
      <w:r>
        <w:instrText xml:space="preserve"> PAGEREF _Toc26165 \h </w:instrText>
      </w:r>
      <w:r>
        <w:fldChar w:fldCharType="separate"/>
      </w:r>
      <w:r>
        <w:t>14</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_Toc2463 </w:instrText>
      </w:r>
      <w:r>
        <w:rPr>
          <w:rFonts w:hint="eastAsia" w:asciiTheme="minorEastAsia" w:hAnsiTheme="minorEastAsia" w:cstheme="minorEastAsia"/>
          <w:szCs w:val="28"/>
          <w:highlight w:val="none"/>
        </w:rPr>
        <w:fldChar w:fldCharType="separate"/>
      </w:r>
      <w:r>
        <w:rPr>
          <w:rFonts w:hint="eastAsia" w:asciiTheme="minorEastAsia" w:hAnsiTheme="minorEastAsia" w:eastAsiaTheme="minorEastAsia"/>
          <w:bCs/>
          <w:szCs w:val="24"/>
        </w:rPr>
        <w:t xml:space="preserve">3. </w:t>
      </w:r>
      <w:r>
        <w:rPr>
          <w:rFonts w:hint="eastAsia" w:asciiTheme="minorEastAsia" w:hAnsiTheme="minorEastAsia" w:eastAsiaTheme="minorEastAsia"/>
          <w:bCs/>
          <w:szCs w:val="24"/>
          <w:highlight w:val="none"/>
        </w:rPr>
        <w:t>投标费用</w:t>
      </w:r>
      <w:r>
        <w:tab/>
      </w:r>
      <w:r>
        <w:fldChar w:fldCharType="begin"/>
      </w:r>
      <w:r>
        <w:instrText xml:space="preserve"> PAGEREF _Toc2463 \h </w:instrText>
      </w:r>
      <w:r>
        <w:fldChar w:fldCharType="separate"/>
      </w:r>
      <w:r>
        <w:t>14</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_Toc22355 </w:instrText>
      </w:r>
      <w:r>
        <w:rPr>
          <w:rFonts w:hint="eastAsia" w:asciiTheme="minorEastAsia" w:hAnsiTheme="minorEastAsia" w:cstheme="minorEastAsia"/>
          <w:szCs w:val="28"/>
          <w:highlight w:val="none"/>
        </w:rPr>
        <w:fldChar w:fldCharType="separate"/>
      </w:r>
      <w:r>
        <w:rPr>
          <w:rFonts w:hint="eastAsia" w:ascii="宋体" w:hAnsi="宋体" w:cs="宋体"/>
          <w:szCs w:val="24"/>
        </w:rPr>
        <w:t xml:space="preserve">4. </w:t>
      </w:r>
      <w:r>
        <w:rPr>
          <w:rFonts w:hint="eastAsia" w:asciiTheme="minorEastAsia" w:hAnsiTheme="minorEastAsia" w:eastAsiaTheme="minorEastAsia"/>
          <w:bCs w:val="0"/>
          <w:highlight w:val="none"/>
        </w:rPr>
        <w:t>现场考察或者召开开标前答疑会</w:t>
      </w:r>
      <w:r>
        <w:tab/>
      </w:r>
      <w:r>
        <w:fldChar w:fldCharType="begin"/>
      </w:r>
      <w:r>
        <w:instrText xml:space="preserve"> PAGEREF _Toc22355 \h </w:instrText>
      </w:r>
      <w:r>
        <w:fldChar w:fldCharType="separate"/>
      </w:r>
      <w:r>
        <w:t>14</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_Toc2323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5. </w:t>
      </w:r>
      <w:r>
        <w:rPr>
          <w:rFonts w:hint="eastAsia" w:ascii="宋体" w:hAnsi="宋体"/>
          <w:bCs/>
          <w:kern w:val="44"/>
          <w:szCs w:val="24"/>
          <w:highlight w:val="none"/>
        </w:rPr>
        <w:t>开标的资质要求、时间及地点</w:t>
      </w:r>
      <w:r>
        <w:tab/>
      </w:r>
      <w:r>
        <w:fldChar w:fldCharType="begin"/>
      </w:r>
      <w:r>
        <w:instrText xml:space="preserve"> PAGEREF _Toc2323 \h </w:instrText>
      </w:r>
      <w:r>
        <w:fldChar w:fldCharType="separate"/>
      </w:r>
      <w:r>
        <w:t>14</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_Toc6954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6. </w:t>
      </w:r>
      <w:r>
        <w:rPr>
          <w:rFonts w:hint="eastAsia" w:ascii="宋体" w:hAnsi="宋体"/>
          <w:bCs/>
          <w:kern w:val="44"/>
          <w:szCs w:val="24"/>
          <w:highlight w:val="none"/>
        </w:rPr>
        <w:t>纪律与保密事项</w:t>
      </w:r>
      <w:r>
        <w:tab/>
      </w:r>
      <w:r>
        <w:fldChar w:fldCharType="begin"/>
      </w:r>
      <w:r>
        <w:instrText xml:space="preserve"> PAGEREF _Toc6954 \h </w:instrText>
      </w:r>
      <w:r>
        <w:fldChar w:fldCharType="separate"/>
      </w:r>
      <w:r>
        <w:t>15</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_Toc18189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7. </w:t>
      </w:r>
      <w:r>
        <w:rPr>
          <w:rFonts w:hint="eastAsia" w:ascii="宋体" w:hAnsi="宋体"/>
          <w:bCs/>
          <w:kern w:val="44"/>
          <w:szCs w:val="24"/>
          <w:highlight w:val="none"/>
        </w:rPr>
        <w:t>保证</w:t>
      </w:r>
      <w:r>
        <w:tab/>
      </w:r>
      <w:r>
        <w:fldChar w:fldCharType="begin"/>
      </w:r>
      <w:r>
        <w:instrText xml:space="preserve"> PAGEREF _Toc18189 \h </w:instrText>
      </w:r>
      <w:r>
        <w:fldChar w:fldCharType="separate"/>
      </w:r>
      <w:r>
        <w:t>15</w:t>
      </w:r>
      <w:r>
        <w:fldChar w:fldCharType="end"/>
      </w:r>
      <w:r>
        <w:rPr>
          <w:rFonts w:hint="eastAsia" w:asciiTheme="minorEastAsia" w:hAnsiTheme="minorEastAsia" w:cstheme="minorEastAsia"/>
          <w:color w:val="auto"/>
          <w:szCs w:val="28"/>
          <w:highlight w:val="none"/>
        </w:rPr>
        <w:fldChar w:fldCharType="end"/>
      </w:r>
    </w:p>
    <w:p>
      <w:pPr>
        <w:pStyle w:val="2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_Toc21599 </w:instrText>
      </w:r>
      <w:r>
        <w:rPr>
          <w:rFonts w:hint="eastAsia" w:asciiTheme="minorEastAsia" w:hAnsiTheme="minorEastAsia" w:cstheme="minorEastAsia"/>
          <w:szCs w:val="28"/>
          <w:highlight w:val="none"/>
        </w:rPr>
        <w:fldChar w:fldCharType="separate"/>
      </w:r>
      <w:r>
        <w:rPr>
          <w:rFonts w:hint="eastAsia" w:ascii="宋体" w:hAnsi="宋体"/>
          <w:bCs/>
          <w:szCs w:val="32"/>
          <w:highlight w:val="none"/>
        </w:rPr>
        <w:t>二、招标文件</w:t>
      </w:r>
      <w:r>
        <w:tab/>
      </w:r>
      <w:r>
        <w:fldChar w:fldCharType="begin"/>
      </w:r>
      <w:r>
        <w:instrText xml:space="preserve"> PAGEREF _Toc21599 \h </w:instrText>
      </w:r>
      <w:r>
        <w:fldChar w:fldCharType="separate"/>
      </w:r>
      <w:r>
        <w:t>15</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_Toc4904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8. </w:t>
      </w:r>
      <w:r>
        <w:rPr>
          <w:rFonts w:hint="eastAsia" w:ascii="宋体" w:hAnsi="宋体"/>
          <w:bCs/>
          <w:kern w:val="44"/>
          <w:szCs w:val="24"/>
          <w:highlight w:val="none"/>
        </w:rPr>
        <w:t>招标文件的编制依据与构成</w:t>
      </w:r>
      <w:r>
        <w:tab/>
      </w:r>
      <w:r>
        <w:fldChar w:fldCharType="begin"/>
      </w:r>
      <w:r>
        <w:instrText xml:space="preserve"> PAGEREF _Toc4904 \h </w:instrText>
      </w:r>
      <w:r>
        <w:fldChar w:fldCharType="separate"/>
      </w:r>
      <w:r>
        <w:t>15</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_Toc5501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9. </w:t>
      </w:r>
      <w:r>
        <w:rPr>
          <w:rFonts w:hint="eastAsia" w:ascii="宋体" w:hAnsi="宋体"/>
          <w:kern w:val="44"/>
          <w:szCs w:val="24"/>
          <w:highlight w:val="none"/>
        </w:rPr>
        <w:t>招标文件的澄清或修改</w:t>
      </w:r>
      <w:r>
        <w:tab/>
      </w:r>
      <w:r>
        <w:fldChar w:fldCharType="begin"/>
      </w:r>
      <w:r>
        <w:instrText xml:space="preserve"> PAGEREF _Toc5501 \h </w:instrText>
      </w:r>
      <w:r>
        <w:fldChar w:fldCharType="separate"/>
      </w:r>
      <w:r>
        <w:t>16</w:t>
      </w:r>
      <w:r>
        <w:fldChar w:fldCharType="end"/>
      </w:r>
      <w:r>
        <w:rPr>
          <w:rFonts w:hint="eastAsia" w:asciiTheme="minorEastAsia" w:hAnsiTheme="minorEastAsia" w:cstheme="minorEastAsia"/>
          <w:color w:val="auto"/>
          <w:szCs w:val="28"/>
          <w:highlight w:val="none"/>
        </w:rPr>
        <w:fldChar w:fldCharType="end"/>
      </w:r>
    </w:p>
    <w:p>
      <w:pPr>
        <w:pStyle w:val="2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_Toc14750 </w:instrText>
      </w:r>
      <w:r>
        <w:rPr>
          <w:rFonts w:hint="eastAsia" w:asciiTheme="minorEastAsia" w:hAnsiTheme="minorEastAsia" w:cstheme="minorEastAsia"/>
          <w:szCs w:val="28"/>
          <w:highlight w:val="none"/>
        </w:rPr>
        <w:fldChar w:fldCharType="separate"/>
      </w:r>
      <w:r>
        <w:rPr>
          <w:rFonts w:hint="eastAsia" w:ascii="宋体" w:hAnsi="宋体" w:eastAsia="宋体"/>
          <w:highlight w:val="none"/>
        </w:rPr>
        <w:t>三、投标文件的编制</w:t>
      </w:r>
      <w:r>
        <w:tab/>
      </w:r>
      <w:r>
        <w:fldChar w:fldCharType="begin"/>
      </w:r>
      <w:r>
        <w:instrText xml:space="preserve"> PAGEREF _Toc14750 \h </w:instrText>
      </w:r>
      <w:r>
        <w:fldChar w:fldCharType="separate"/>
      </w:r>
      <w:r>
        <w:t>16</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_Toc22093 </w:instrText>
      </w:r>
      <w:r>
        <w:rPr>
          <w:rFonts w:hint="eastAsia" w:asciiTheme="minorEastAsia" w:hAnsiTheme="minorEastAsia" w:cstheme="minorEastAsia"/>
          <w:szCs w:val="28"/>
          <w:highlight w:val="none"/>
        </w:rPr>
        <w:fldChar w:fldCharType="separate"/>
      </w:r>
      <w:r>
        <w:rPr>
          <w:rFonts w:hint="eastAsia" w:ascii="宋体" w:hAnsi="宋体"/>
          <w:bCs/>
          <w:szCs w:val="24"/>
        </w:rPr>
        <w:t xml:space="preserve">10. </w:t>
      </w:r>
      <w:r>
        <w:rPr>
          <w:rFonts w:hint="eastAsia" w:ascii="宋体" w:hAnsi="宋体"/>
          <w:bCs/>
          <w:szCs w:val="24"/>
          <w:highlight w:val="none"/>
        </w:rPr>
        <w:t>投标的语言</w:t>
      </w:r>
      <w:r>
        <w:tab/>
      </w:r>
      <w:r>
        <w:fldChar w:fldCharType="begin"/>
      </w:r>
      <w:r>
        <w:instrText xml:space="preserve"> PAGEREF _Toc22093 \h </w:instrText>
      </w:r>
      <w:r>
        <w:fldChar w:fldCharType="separate"/>
      </w:r>
      <w:r>
        <w:t>16</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_Toc1469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11. </w:t>
      </w:r>
      <w:r>
        <w:rPr>
          <w:rFonts w:hint="eastAsia" w:ascii="宋体" w:hAnsi="宋体"/>
          <w:bCs/>
          <w:kern w:val="44"/>
          <w:szCs w:val="24"/>
          <w:highlight w:val="none"/>
        </w:rPr>
        <w:t>投标文件的构成</w:t>
      </w:r>
      <w:r>
        <w:tab/>
      </w:r>
      <w:r>
        <w:fldChar w:fldCharType="begin"/>
      </w:r>
      <w:r>
        <w:instrText xml:space="preserve"> PAGEREF _Toc1469 \h </w:instrText>
      </w:r>
      <w:r>
        <w:fldChar w:fldCharType="separate"/>
      </w:r>
      <w:r>
        <w:t>17</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_Toc17632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12. </w:t>
      </w:r>
      <w:r>
        <w:rPr>
          <w:rFonts w:hint="eastAsia" w:ascii="宋体" w:hAnsi="宋体"/>
          <w:bCs/>
          <w:kern w:val="44"/>
          <w:szCs w:val="24"/>
          <w:highlight w:val="none"/>
        </w:rPr>
        <w:t>投标文件电子文档</w:t>
      </w:r>
      <w:r>
        <w:tab/>
      </w:r>
      <w:r>
        <w:fldChar w:fldCharType="begin"/>
      </w:r>
      <w:r>
        <w:instrText xml:space="preserve"> PAGEREF _Toc17632 \h </w:instrText>
      </w:r>
      <w:r>
        <w:fldChar w:fldCharType="separate"/>
      </w:r>
      <w:r>
        <w:t>17</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_Toc17740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13. </w:t>
      </w:r>
      <w:r>
        <w:rPr>
          <w:rFonts w:hint="eastAsia" w:ascii="宋体" w:hAnsi="宋体"/>
          <w:bCs/>
          <w:kern w:val="44"/>
          <w:szCs w:val="24"/>
          <w:highlight w:val="none"/>
        </w:rPr>
        <w:t>投标文件的编写</w:t>
      </w:r>
      <w:r>
        <w:tab/>
      </w:r>
      <w:r>
        <w:fldChar w:fldCharType="begin"/>
      </w:r>
      <w:r>
        <w:instrText xml:space="preserve"> PAGEREF _Toc17740 \h </w:instrText>
      </w:r>
      <w:r>
        <w:fldChar w:fldCharType="separate"/>
      </w:r>
      <w:r>
        <w:t>17</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_Toc22522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14. </w:t>
      </w:r>
      <w:r>
        <w:rPr>
          <w:rFonts w:hint="eastAsia" w:ascii="宋体" w:hAnsi="宋体"/>
          <w:bCs/>
          <w:kern w:val="44"/>
          <w:szCs w:val="24"/>
          <w:highlight w:val="none"/>
        </w:rPr>
        <w:t>投标报价</w:t>
      </w:r>
      <w:r>
        <w:tab/>
      </w:r>
      <w:r>
        <w:fldChar w:fldCharType="begin"/>
      </w:r>
      <w:r>
        <w:instrText xml:space="preserve"> PAGEREF _Toc22522 \h </w:instrText>
      </w:r>
      <w:r>
        <w:fldChar w:fldCharType="separate"/>
      </w:r>
      <w:r>
        <w:t>18</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_Toc15306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15. </w:t>
      </w:r>
      <w:r>
        <w:rPr>
          <w:rFonts w:hint="eastAsia" w:ascii="宋体" w:hAnsi="宋体"/>
          <w:bCs/>
          <w:kern w:val="44"/>
          <w:szCs w:val="24"/>
          <w:highlight w:val="none"/>
        </w:rPr>
        <w:t>投标保证金</w:t>
      </w:r>
      <w:r>
        <w:tab/>
      </w:r>
      <w:r>
        <w:fldChar w:fldCharType="begin"/>
      </w:r>
      <w:r>
        <w:instrText xml:space="preserve"> PAGEREF _Toc15306 \h </w:instrText>
      </w:r>
      <w:r>
        <w:fldChar w:fldCharType="separate"/>
      </w:r>
      <w:r>
        <w:t>18</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_Toc30142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16. </w:t>
      </w:r>
      <w:r>
        <w:rPr>
          <w:rFonts w:hint="eastAsia" w:ascii="宋体" w:hAnsi="宋体"/>
          <w:bCs/>
          <w:kern w:val="44"/>
          <w:szCs w:val="24"/>
          <w:highlight w:val="none"/>
        </w:rPr>
        <w:t>投标有效期</w:t>
      </w:r>
      <w:r>
        <w:tab/>
      </w:r>
      <w:r>
        <w:fldChar w:fldCharType="begin"/>
      </w:r>
      <w:r>
        <w:instrText xml:space="preserve"> PAGEREF _Toc30142 \h </w:instrText>
      </w:r>
      <w:r>
        <w:fldChar w:fldCharType="separate"/>
      </w:r>
      <w:r>
        <w:t>19</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_Toc11497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17. </w:t>
      </w:r>
      <w:r>
        <w:rPr>
          <w:rFonts w:hint="eastAsia" w:ascii="宋体" w:hAnsi="宋体"/>
          <w:bCs/>
          <w:kern w:val="44"/>
          <w:szCs w:val="24"/>
          <w:highlight w:val="none"/>
        </w:rPr>
        <w:t>投标文件的式样和签署、密封</w:t>
      </w:r>
      <w:r>
        <w:tab/>
      </w:r>
      <w:r>
        <w:fldChar w:fldCharType="begin"/>
      </w:r>
      <w:r>
        <w:instrText xml:space="preserve"> PAGEREF _Toc11497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_Toc22727 </w:instrText>
      </w:r>
      <w:r>
        <w:rPr>
          <w:rFonts w:hint="eastAsia" w:asciiTheme="minorEastAsia" w:hAnsiTheme="minorEastAsia" w:cstheme="minorEastAsia"/>
          <w:szCs w:val="28"/>
          <w:highlight w:val="none"/>
        </w:rPr>
        <w:fldChar w:fldCharType="separate"/>
      </w:r>
      <w:r>
        <w:rPr>
          <w:rFonts w:hint="eastAsia"/>
          <w:szCs w:val="32"/>
          <w:highlight w:val="none"/>
        </w:rPr>
        <w:t>四、投标文件的递交</w:t>
      </w:r>
      <w:r>
        <w:tab/>
      </w:r>
      <w:r>
        <w:fldChar w:fldCharType="begin"/>
      </w:r>
      <w:r>
        <w:instrText xml:space="preserve"> PAGEREF _Toc22727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_Toc8124 </w:instrText>
      </w:r>
      <w:r>
        <w:rPr>
          <w:rFonts w:hint="eastAsia" w:asciiTheme="minorEastAsia" w:hAnsiTheme="minorEastAsia" w:cstheme="minorEastAsia"/>
          <w:szCs w:val="28"/>
          <w:highlight w:val="none"/>
        </w:rPr>
        <w:fldChar w:fldCharType="separate"/>
      </w:r>
      <w:r>
        <w:rPr>
          <w:rFonts w:hint="eastAsia" w:ascii="宋体" w:hAnsi="宋体"/>
          <w:kern w:val="44"/>
          <w:szCs w:val="24"/>
        </w:rPr>
        <w:t xml:space="preserve">18. </w:t>
      </w:r>
      <w:r>
        <w:rPr>
          <w:rFonts w:hint="eastAsia" w:ascii="宋体" w:hAnsi="宋体"/>
          <w:kern w:val="44"/>
          <w:szCs w:val="24"/>
          <w:highlight w:val="none"/>
        </w:rPr>
        <w:t>投标文件递交</w:t>
      </w:r>
      <w:r>
        <w:tab/>
      </w:r>
      <w:r>
        <w:fldChar w:fldCharType="begin"/>
      </w:r>
      <w:r>
        <w:instrText xml:space="preserve"> PAGEREF _Toc8124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_Toc28446 </w:instrText>
      </w:r>
      <w:r>
        <w:rPr>
          <w:rFonts w:hint="eastAsia" w:asciiTheme="minorEastAsia" w:hAnsiTheme="minorEastAsia" w:cstheme="minorEastAsia"/>
          <w:szCs w:val="28"/>
          <w:highlight w:val="none"/>
        </w:rPr>
        <w:fldChar w:fldCharType="separate"/>
      </w:r>
      <w:r>
        <w:rPr>
          <w:rFonts w:hint="eastAsia" w:ascii="宋体" w:hAnsi="宋体"/>
          <w:kern w:val="44"/>
          <w:szCs w:val="24"/>
        </w:rPr>
        <w:t xml:space="preserve">19. </w:t>
      </w:r>
      <w:r>
        <w:rPr>
          <w:rFonts w:hint="eastAsia" w:ascii="宋体" w:hAnsi="宋体"/>
          <w:kern w:val="44"/>
          <w:szCs w:val="24"/>
          <w:highlight w:val="none"/>
        </w:rPr>
        <w:t>投标截止时间</w:t>
      </w:r>
      <w:r>
        <w:tab/>
      </w:r>
      <w:r>
        <w:fldChar w:fldCharType="begin"/>
      </w:r>
      <w:r>
        <w:instrText xml:space="preserve"> PAGEREF _Toc28446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_Toc2461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20. </w:t>
      </w:r>
      <w:r>
        <w:rPr>
          <w:rFonts w:hint="eastAsia" w:ascii="宋体" w:hAnsi="宋体"/>
          <w:kern w:val="44"/>
          <w:szCs w:val="24"/>
          <w:highlight w:val="none"/>
        </w:rPr>
        <w:t>迟交的投标文件</w:t>
      </w:r>
      <w:r>
        <w:tab/>
      </w:r>
      <w:r>
        <w:fldChar w:fldCharType="begin"/>
      </w:r>
      <w:r>
        <w:instrText xml:space="preserve"> PAGEREF _Toc2461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_Toc10185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21. </w:t>
      </w:r>
      <w:r>
        <w:rPr>
          <w:rFonts w:hint="eastAsia" w:ascii="宋体" w:hAnsi="宋体"/>
          <w:bCs/>
          <w:kern w:val="44"/>
          <w:szCs w:val="24"/>
          <w:highlight w:val="none"/>
        </w:rPr>
        <w:t>投标文件的修改和撤回、撤销</w:t>
      </w:r>
      <w:r>
        <w:tab/>
      </w:r>
      <w:r>
        <w:fldChar w:fldCharType="begin"/>
      </w:r>
      <w:r>
        <w:instrText xml:space="preserve"> PAGEREF _Toc10185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_Toc30087 </w:instrText>
      </w:r>
      <w:r>
        <w:rPr>
          <w:rFonts w:hint="eastAsia" w:asciiTheme="minorEastAsia" w:hAnsiTheme="minorEastAsia" w:cstheme="minorEastAsia"/>
          <w:szCs w:val="28"/>
          <w:highlight w:val="none"/>
        </w:rPr>
        <w:fldChar w:fldCharType="separate"/>
      </w:r>
      <w:r>
        <w:rPr>
          <w:rFonts w:hint="eastAsia" w:ascii="宋体" w:hAnsi="宋体"/>
          <w:bCs/>
          <w:szCs w:val="32"/>
          <w:highlight w:val="none"/>
        </w:rPr>
        <w:t>五、开标与评标</w:t>
      </w:r>
      <w:r>
        <w:tab/>
      </w:r>
      <w:r>
        <w:fldChar w:fldCharType="begin"/>
      </w:r>
      <w:r>
        <w:instrText xml:space="preserve"> PAGEREF _Toc30087 \h </w:instrText>
      </w:r>
      <w:r>
        <w:fldChar w:fldCharType="separate"/>
      </w:r>
      <w:r>
        <w:t>21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_Toc19246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22. </w:t>
      </w:r>
      <w:r>
        <w:rPr>
          <w:rFonts w:hint="eastAsia" w:ascii="宋体" w:hAnsi="宋体"/>
          <w:bCs/>
          <w:kern w:val="44"/>
          <w:szCs w:val="24"/>
          <w:highlight w:val="none"/>
        </w:rPr>
        <w:t>开标</w:t>
      </w:r>
      <w:r>
        <w:tab/>
      </w:r>
      <w:r>
        <w:fldChar w:fldCharType="begin"/>
      </w:r>
      <w:r>
        <w:instrText xml:space="preserve"> PAGEREF _Toc19246 \h </w:instrText>
      </w:r>
      <w:r>
        <w:fldChar w:fldCharType="separate"/>
      </w:r>
      <w:r>
        <w:t>21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_Toc10826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23. </w:t>
      </w:r>
      <w:r>
        <w:rPr>
          <w:rFonts w:hint="eastAsia" w:ascii="宋体" w:hAnsi="宋体"/>
          <w:kern w:val="44"/>
          <w:szCs w:val="24"/>
          <w:highlight w:val="none"/>
        </w:rPr>
        <w:t>公开招标失败后的处理</w:t>
      </w:r>
      <w:r>
        <w:tab/>
      </w:r>
      <w:r>
        <w:fldChar w:fldCharType="begin"/>
      </w:r>
      <w:r>
        <w:instrText xml:space="preserve"> PAGEREF _Toc10826 \h </w:instrText>
      </w:r>
      <w:r>
        <w:fldChar w:fldCharType="separate"/>
      </w:r>
      <w:r>
        <w:t>21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_Toc22191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24. </w:t>
      </w:r>
      <w:r>
        <w:rPr>
          <w:rFonts w:hint="eastAsia" w:ascii="宋体" w:hAnsi="宋体"/>
          <w:bCs/>
          <w:kern w:val="44"/>
          <w:szCs w:val="24"/>
          <w:highlight w:val="none"/>
        </w:rPr>
        <w:t>评标小组</w:t>
      </w:r>
      <w:r>
        <w:tab/>
      </w:r>
      <w:r>
        <w:fldChar w:fldCharType="begin"/>
      </w:r>
      <w:r>
        <w:instrText xml:space="preserve"> PAGEREF _Toc22191 \h </w:instrText>
      </w:r>
      <w:r>
        <w:fldChar w:fldCharType="separate"/>
      </w:r>
      <w:r>
        <w:t>21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_Toc30337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25. </w:t>
      </w:r>
      <w:r>
        <w:rPr>
          <w:rFonts w:hint="eastAsia" w:ascii="宋体" w:hAnsi="宋体"/>
          <w:kern w:val="44"/>
          <w:szCs w:val="24"/>
          <w:highlight w:val="none"/>
        </w:rPr>
        <w:t>评标原则及评标方法</w:t>
      </w:r>
      <w:r>
        <w:tab/>
      </w:r>
      <w:r>
        <w:fldChar w:fldCharType="begin"/>
      </w:r>
      <w:r>
        <w:instrText xml:space="preserve"> PAGEREF _Toc30337 \h </w:instrText>
      </w:r>
      <w:r>
        <w:fldChar w:fldCharType="separate"/>
      </w:r>
      <w:r>
        <w:t>22</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_Toc24957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26. </w:t>
      </w:r>
      <w:r>
        <w:rPr>
          <w:rFonts w:hint="eastAsia" w:ascii="宋体" w:hAnsi="宋体"/>
          <w:kern w:val="44"/>
          <w:szCs w:val="24"/>
          <w:highlight w:val="none"/>
        </w:rPr>
        <w:t>初步评审</w:t>
      </w:r>
      <w:r>
        <w:tab/>
      </w:r>
      <w:r>
        <w:fldChar w:fldCharType="begin"/>
      </w:r>
      <w:r>
        <w:instrText xml:space="preserve"> PAGEREF _Toc24957 \h </w:instrText>
      </w:r>
      <w:r>
        <w:fldChar w:fldCharType="separate"/>
      </w:r>
      <w:r>
        <w:t>23</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_Toc21733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27. </w:t>
      </w:r>
      <w:r>
        <w:rPr>
          <w:rFonts w:hint="eastAsia" w:ascii="宋体" w:hAnsi="宋体"/>
          <w:bCs/>
          <w:kern w:val="44"/>
          <w:szCs w:val="24"/>
          <w:highlight w:val="none"/>
        </w:rPr>
        <w:t>详细评审</w:t>
      </w:r>
      <w:r>
        <w:tab/>
      </w:r>
      <w:r>
        <w:fldChar w:fldCharType="begin"/>
      </w:r>
      <w:r>
        <w:instrText xml:space="preserve"> PAGEREF _Toc21733 \h </w:instrText>
      </w:r>
      <w:r>
        <w:fldChar w:fldCharType="separate"/>
      </w:r>
      <w:r>
        <w:t>23</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_Toc25223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28. </w:t>
      </w:r>
      <w:r>
        <w:rPr>
          <w:rFonts w:hint="eastAsia" w:ascii="宋体" w:hAnsi="宋体"/>
          <w:kern w:val="44"/>
          <w:szCs w:val="24"/>
          <w:highlight w:val="none"/>
        </w:rPr>
        <w:t>投标文件的修正和澄清</w:t>
      </w:r>
      <w:r>
        <w:tab/>
      </w:r>
      <w:r>
        <w:fldChar w:fldCharType="begin"/>
      </w:r>
      <w:r>
        <w:instrText xml:space="preserve"> PAGEREF _Toc25223 \h </w:instrText>
      </w:r>
      <w:r>
        <w:fldChar w:fldCharType="separate"/>
      </w:r>
      <w:r>
        <w:t>26</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_Toc13122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29. </w:t>
      </w:r>
      <w:r>
        <w:rPr>
          <w:rFonts w:hint="eastAsia" w:ascii="宋体" w:hAnsi="宋体"/>
          <w:bCs/>
          <w:kern w:val="44"/>
          <w:szCs w:val="24"/>
          <w:highlight w:val="none"/>
        </w:rPr>
        <w:t>评标总得分统计及推荐</w:t>
      </w:r>
      <w:r>
        <w:tab/>
      </w:r>
      <w:r>
        <w:fldChar w:fldCharType="begin"/>
      </w:r>
      <w:r>
        <w:instrText xml:space="preserve"> PAGEREF _Toc13122 \h </w:instrText>
      </w:r>
      <w:r>
        <w:fldChar w:fldCharType="separate"/>
      </w:r>
      <w:r>
        <w:t>26</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_Toc160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30. </w:t>
      </w:r>
      <w:r>
        <w:rPr>
          <w:rFonts w:hint="eastAsia" w:ascii="宋体" w:hAnsi="宋体"/>
          <w:kern w:val="44"/>
          <w:szCs w:val="24"/>
          <w:highlight w:val="none"/>
        </w:rPr>
        <w:t>定标</w:t>
      </w:r>
      <w:r>
        <w:tab/>
      </w:r>
      <w:r>
        <w:fldChar w:fldCharType="begin"/>
      </w:r>
      <w:r>
        <w:instrText xml:space="preserve"> PAGEREF _Toc160 \h </w:instrText>
      </w:r>
      <w:r>
        <w:fldChar w:fldCharType="separate"/>
      </w:r>
      <w:r>
        <w:t>26</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_Toc5256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31. </w:t>
      </w:r>
      <w:r>
        <w:rPr>
          <w:rFonts w:hint="eastAsia" w:ascii="宋体" w:hAnsi="宋体"/>
          <w:bCs/>
          <w:kern w:val="44"/>
          <w:szCs w:val="24"/>
          <w:highlight w:val="none"/>
        </w:rPr>
        <w:t>特别说明</w:t>
      </w:r>
      <w:r>
        <w:tab/>
      </w:r>
      <w:r>
        <w:fldChar w:fldCharType="begin"/>
      </w:r>
      <w:r>
        <w:instrText xml:space="preserve"> PAGEREF _Toc5256 \h </w:instrText>
      </w:r>
      <w:r>
        <w:fldChar w:fldCharType="separate"/>
      </w:r>
      <w:r>
        <w:t>27</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_Toc29878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32. </w:t>
      </w:r>
      <w:r>
        <w:rPr>
          <w:rFonts w:hint="eastAsia" w:ascii="宋体" w:hAnsi="宋体"/>
          <w:bCs/>
          <w:kern w:val="44"/>
          <w:szCs w:val="24"/>
          <w:highlight w:val="none"/>
        </w:rPr>
        <w:t>与采购代理机构和采购人的接触</w:t>
      </w:r>
      <w:r>
        <w:tab/>
      </w:r>
      <w:r>
        <w:fldChar w:fldCharType="begin"/>
      </w:r>
      <w:r>
        <w:instrText xml:space="preserve"> PAGEREF _Toc29878 \h </w:instrText>
      </w:r>
      <w:r>
        <w:fldChar w:fldCharType="separate"/>
      </w:r>
      <w:r>
        <w:t>27</w:t>
      </w:r>
      <w:r>
        <w:fldChar w:fldCharType="end"/>
      </w:r>
      <w:r>
        <w:rPr>
          <w:rFonts w:hint="eastAsia" w:asciiTheme="minorEastAsia" w:hAnsiTheme="minorEastAsia" w:cstheme="minorEastAsia"/>
          <w:color w:val="auto"/>
          <w:szCs w:val="28"/>
          <w:highlight w:val="none"/>
        </w:rPr>
        <w:fldChar w:fldCharType="end"/>
      </w:r>
    </w:p>
    <w:p>
      <w:pPr>
        <w:pStyle w:val="25"/>
        <w:tabs>
          <w:tab w:val="right" w:leader="dot" w:pos="8306"/>
        </w:tabs>
        <w:spacing w:line="360" w:lineRule="auto"/>
        <w:ind w:left="0" w:leftChars="0" w:firstLine="0" w:firstLineChars="0"/>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_Toc4267 </w:instrText>
      </w:r>
      <w:r>
        <w:rPr>
          <w:rFonts w:hint="eastAsia" w:asciiTheme="minorEastAsia" w:hAnsiTheme="minorEastAsia" w:cstheme="minorEastAsia"/>
          <w:szCs w:val="28"/>
          <w:highlight w:val="none"/>
        </w:rPr>
        <w:fldChar w:fldCharType="separate"/>
      </w:r>
      <w:r>
        <w:rPr>
          <w:rFonts w:hint="eastAsia" w:ascii="宋体" w:hAnsi="宋体"/>
          <w:bCs/>
          <w:szCs w:val="24"/>
          <w:highlight w:val="none"/>
        </w:rPr>
        <w:t>六、质疑与投诉</w:t>
      </w:r>
      <w:r>
        <w:tab/>
      </w:r>
      <w:r>
        <w:rPr>
          <w:rFonts w:hint="eastAsia"/>
          <w:lang w:val="en-US" w:eastAsia="zh-CN"/>
        </w:rPr>
        <w:t>2</w:t>
      </w:r>
      <w:r>
        <w:rPr>
          <w:rFonts w:hint="eastAsia" w:asciiTheme="minorEastAsia" w:hAnsiTheme="minorEastAsia" w:cstheme="minorEastAsia"/>
          <w:color w:val="auto"/>
          <w:szCs w:val="28"/>
          <w:highlight w:val="none"/>
        </w:rPr>
        <w:fldChar w:fldCharType="end"/>
      </w:r>
      <w:r>
        <w:rPr>
          <w:rFonts w:hint="eastAsia" w:ascii="Times New Roman" w:hAnsi="Times New Roman" w:eastAsia="宋体" w:cs="Times New Roman"/>
          <w:smallCaps w:val="0"/>
          <w:kern w:val="2"/>
          <w:sz w:val="21"/>
          <w:szCs w:val="24"/>
          <w:lang w:val="en-US" w:eastAsia="zh-CN" w:bidi="ar-SA"/>
        </w:rPr>
        <w:t>7</w:t>
      </w:r>
    </w:p>
    <w:p>
      <w:pPr>
        <w:pStyle w:val="22"/>
        <w:tabs>
          <w:tab w:val="right" w:leader="dot" w:pos="8306"/>
          <w:tab w:val="clear" w:pos="9628"/>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_Toc5828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33. </w:t>
      </w:r>
      <w:r>
        <w:rPr>
          <w:rFonts w:hint="eastAsia" w:ascii="宋体" w:hAnsi="宋体"/>
          <w:bCs/>
          <w:kern w:val="44"/>
          <w:szCs w:val="24"/>
          <w:highlight w:val="none"/>
        </w:rPr>
        <w:t>询问</w:t>
      </w:r>
      <w:r>
        <w:tab/>
      </w:r>
      <w:r>
        <w:rPr>
          <w:rFonts w:hint="eastAsia"/>
          <w:lang w:val="en-US" w:eastAsia="zh-CN"/>
        </w:rPr>
        <w:t>2</w:t>
      </w:r>
      <w:r>
        <w:rPr>
          <w:rFonts w:hint="eastAsia" w:asciiTheme="minorEastAsia" w:hAnsiTheme="minorEastAsia" w:cstheme="minorEastAsia"/>
          <w:color w:val="auto"/>
          <w:szCs w:val="28"/>
          <w:highlight w:val="none"/>
        </w:rPr>
        <w:fldChar w:fldCharType="end"/>
      </w:r>
      <w:r>
        <w:rPr>
          <w:rFonts w:hint="eastAsia"/>
          <w:lang w:val="en-US" w:eastAsia="zh-CN"/>
        </w:rPr>
        <w:t>7</w:t>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_Toc2109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34. </w:t>
      </w:r>
      <w:r>
        <w:rPr>
          <w:rFonts w:hint="eastAsia" w:ascii="宋体" w:hAnsi="宋体"/>
          <w:bCs/>
          <w:kern w:val="44"/>
          <w:szCs w:val="24"/>
          <w:highlight w:val="none"/>
        </w:rPr>
        <w:t>质疑</w:t>
      </w:r>
      <w:r>
        <w:tab/>
      </w:r>
      <w:r>
        <w:fldChar w:fldCharType="begin"/>
      </w:r>
      <w:r>
        <w:instrText xml:space="preserve"> PAGEREF _Toc2109 \h </w:instrText>
      </w:r>
      <w:r>
        <w:fldChar w:fldCharType="separate"/>
      </w:r>
      <w:r>
        <w:t>28</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_Toc13170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35. </w:t>
      </w:r>
      <w:r>
        <w:rPr>
          <w:rFonts w:hint="eastAsia" w:ascii="宋体" w:hAnsi="宋体"/>
          <w:bCs/>
          <w:kern w:val="44"/>
          <w:szCs w:val="24"/>
          <w:highlight w:val="none"/>
        </w:rPr>
        <w:t>投诉</w:t>
      </w:r>
      <w:r>
        <w:tab/>
      </w:r>
      <w:r>
        <w:fldChar w:fldCharType="begin"/>
      </w:r>
      <w:r>
        <w:instrText xml:space="preserve"> PAGEREF _Toc13170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_Toc21033 </w:instrText>
      </w:r>
      <w:r>
        <w:rPr>
          <w:rFonts w:hint="eastAsia" w:asciiTheme="minorEastAsia" w:hAnsiTheme="minorEastAsia" w:cstheme="minorEastAsia"/>
          <w:szCs w:val="28"/>
          <w:highlight w:val="none"/>
        </w:rPr>
        <w:fldChar w:fldCharType="separate"/>
      </w:r>
      <w:r>
        <w:rPr>
          <w:rFonts w:hint="eastAsia" w:ascii="宋体" w:hAnsi="宋体"/>
          <w:bCs/>
          <w:szCs w:val="32"/>
          <w:highlight w:val="none"/>
        </w:rPr>
        <w:t>七、授予合同</w:t>
      </w:r>
      <w:r>
        <w:tab/>
      </w:r>
      <w:r>
        <w:fldChar w:fldCharType="begin"/>
      </w:r>
      <w:r>
        <w:instrText xml:space="preserve"> PAGEREF _Toc21033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_Toc30579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36. </w:t>
      </w:r>
      <w:r>
        <w:rPr>
          <w:rFonts w:hint="eastAsia" w:ascii="宋体" w:hAnsi="宋体"/>
          <w:bCs/>
          <w:kern w:val="44"/>
          <w:szCs w:val="24"/>
          <w:highlight w:val="none"/>
        </w:rPr>
        <w:t>确定中标人</w:t>
      </w:r>
      <w:r>
        <w:tab/>
      </w:r>
      <w:r>
        <w:fldChar w:fldCharType="begin"/>
      </w:r>
      <w:r>
        <w:instrText xml:space="preserve"> PAGEREF _Toc30579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_Toc7161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37. </w:t>
      </w:r>
      <w:r>
        <w:rPr>
          <w:rFonts w:hint="eastAsia" w:ascii="宋体" w:hAnsi="宋体"/>
          <w:bCs/>
          <w:kern w:val="44"/>
          <w:szCs w:val="24"/>
          <w:highlight w:val="none"/>
        </w:rPr>
        <w:t>接受和拒绝任何或所有投标的权力</w:t>
      </w:r>
      <w:r>
        <w:tab/>
      </w:r>
      <w:r>
        <w:fldChar w:fldCharType="begin"/>
      </w:r>
      <w:r>
        <w:instrText xml:space="preserve"> PAGEREF _Toc7161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_Toc26407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38. </w:t>
      </w:r>
      <w:r>
        <w:rPr>
          <w:rFonts w:hint="eastAsia" w:ascii="宋体" w:hAnsi="宋体"/>
          <w:bCs/>
          <w:kern w:val="44"/>
          <w:szCs w:val="24"/>
          <w:highlight w:val="none"/>
        </w:rPr>
        <w:t>中标通知书</w:t>
      </w:r>
      <w:r>
        <w:tab/>
      </w:r>
      <w:r>
        <w:fldChar w:fldCharType="begin"/>
      </w:r>
      <w:r>
        <w:instrText xml:space="preserve"> PAGEREF _Toc26407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_Toc14729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39. </w:t>
      </w:r>
      <w:r>
        <w:rPr>
          <w:rFonts w:hint="eastAsia" w:ascii="宋体" w:hAnsi="宋体"/>
          <w:bCs/>
          <w:kern w:val="44"/>
          <w:szCs w:val="24"/>
          <w:highlight w:val="none"/>
        </w:rPr>
        <w:t>合同的订立</w:t>
      </w:r>
      <w:r>
        <w:tab/>
      </w:r>
      <w:r>
        <w:fldChar w:fldCharType="begin"/>
      </w:r>
      <w:r>
        <w:instrText xml:space="preserve"> PAGEREF _Toc14729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_Toc19474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40. </w:t>
      </w:r>
      <w:r>
        <w:rPr>
          <w:rFonts w:hint="eastAsia" w:ascii="宋体" w:hAnsi="宋体"/>
          <w:bCs/>
          <w:kern w:val="44"/>
          <w:szCs w:val="24"/>
          <w:highlight w:val="none"/>
        </w:rPr>
        <w:t>合同的履行</w:t>
      </w:r>
      <w:r>
        <w:tab/>
      </w:r>
      <w:r>
        <w:fldChar w:fldCharType="begin"/>
      </w:r>
      <w:r>
        <w:instrText xml:space="preserve"> PAGEREF _Toc19474 \h </w:instrText>
      </w:r>
      <w:r>
        <w:fldChar w:fldCharType="separate"/>
      </w:r>
      <w:r>
        <w:t>32</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_Toc18199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41. </w:t>
      </w:r>
      <w:r>
        <w:rPr>
          <w:rFonts w:hint="eastAsia" w:ascii="宋体" w:hAnsi="宋体"/>
          <w:bCs/>
          <w:kern w:val="44"/>
          <w:szCs w:val="24"/>
          <w:highlight w:val="none"/>
        </w:rPr>
        <w:t>采购代理服务费</w:t>
      </w:r>
      <w:r>
        <w:tab/>
      </w:r>
      <w:r>
        <w:fldChar w:fldCharType="begin"/>
      </w:r>
      <w:r>
        <w:instrText xml:space="preserve"> PAGEREF _Toc18199 \h </w:instrText>
      </w:r>
      <w:r>
        <w:fldChar w:fldCharType="separate"/>
      </w:r>
      <w:r>
        <w:t>32</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_Toc3865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42. </w:t>
      </w:r>
      <w:r>
        <w:rPr>
          <w:rFonts w:hint="eastAsia" w:ascii="宋体" w:hAnsi="宋体"/>
          <w:bCs/>
          <w:kern w:val="44"/>
          <w:szCs w:val="24"/>
          <w:highlight w:val="none"/>
        </w:rPr>
        <w:t>适用法律</w:t>
      </w:r>
      <w:r>
        <w:tab/>
      </w:r>
      <w:r>
        <w:fldChar w:fldCharType="begin"/>
      </w:r>
      <w:r>
        <w:instrText xml:space="preserve"> PAGEREF _Toc3865 \h </w:instrText>
      </w:r>
      <w:r>
        <w:fldChar w:fldCharType="separate"/>
      </w:r>
      <w:r>
        <w:t>32</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_Toc22798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43. </w:t>
      </w:r>
      <w:r>
        <w:rPr>
          <w:rFonts w:hint="eastAsia" w:ascii="宋体" w:hAnsi="宋体"/>
          <w:bCs/>
          <w:kern w:val="44"/>
          <w:szCs w:val="24"/>
          <w:highlight w:val="none"/>
        </w:rPr>
        <w:t>政府采购政策</w:t>
      </w:r>
      <w:r>
        <w:tab/>
      </w:r>
      <w:r>
        <w:fldChar w:fldCharType="begin"/>
      </w:r>
      <w:r>
        <w:instrText xml:space="preserve"> PAGEREF _Toc22798 \h </w:instrText>
      </w:r>
      <w:r>
        <w:fldChar w:fldCharType="separate"/>
      </w:r>
      <w:r>
        <w:t>32</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_Toc28078 </w:instrText>
      </w:r>
      <w:r>
        <w:rPr>
          <w:rFonts w:hint="eastAsia" w:asciiTheme="minorEastAsia" w:hAnsiTheme="minorEastAsia" w:cstheme="minorEastAsia"/>
          <w:szCs w:val="28"/>
          <w:highlight w:val="none"/>
        </w:rPr>
        <w:fldChar w:fldCharType="separate"/>
      </w:r>
      <w:r>
        <w:rPr>
          <w:rFonts w:hint="eastAsia" w:ascii="宋体" w:hAnsi="宋体"/>
          <w:bCs/>
          <w:kern w:val="44"/>
          <w:szCs w:val="24"/>
          <w:highlight w:val="none"/>
        </w:rPr>
        <w:t>第四章 合同格式</w:t>
      </w:r>
      <w:r>
        <w:tab/>
      </w:r>
      <w:r>
        <w:fldChar w:fldCharType="begin"/>
      </w:r>
      <w:r>
        <w:instrText xml:space="preserve"> PAGEREF _Toc28078 \h </w:instrText>
      </w:r>
      <w:r>
        <w:fldChar w:fldCharType="separate"/>
      </w:r>
      <w:r>
        <w:t>35</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_Toc3845 </w:instrText>
      </w:r>
      <w:r>
        <w:rPr>
          <w:rFonts w:hint="eastAsia" w:asciiTheme="minorEastAsia" w:hAnsiTheme="minorEastAsia" w:cstheme="minorEastAsia"/>
          <w:szCs w:val="28"/>
          <w:highlight w:val="none"/>
        </w:rPr>
        <w:fldChar w:fldCharType="separate"/>
      </w:r>
      <w:r>
        <w:rPr>
          <w:szCs w:val="44"/>
        </w:rPr>
        <w:t xml:space="preserve">第五章 </w:t>
      </w:r>
      <w:r>
        <w:rPr>
          <w:rFonts w:hint="eastAsia"/>
          <w:szCs w:val="44"/>
          <w:highlight w:val="none"/>
        </w:rPr>
        <w:t>采购需求</w:t>
      </w:r>
      <w:r>
        <w:tab/>
      </w:r>
      <w:r>
        <w:fldChar w:fldCharType="begin"/>
      </w:r>
      <w:r>
        <w:instrText xml:space="preserve"> PAGEREF _Toc3845 \h </w:instrText>
      </w:r>
      <w:r>
        <w:fldChar w:fldCharType="separate"/>
      </w:r>
      <w:r>
        <w:t>4</w:t>
      </w:r>
      <w:r>
        <w:rPr>
          <w:rFonts w:hint="eastAsia"/>
          <w:lang w:val="en-US" w:eastAsia="zh-CN"/>
        </w:rPr>
        <w:t>6</w:t>
      </w:r>
      <w:r>
        <w:fldChar w:fldCharType="end"/>
      </w:r>
      <w:r>
        <w:rPr>
          <w:rFonts w:hint="eastAsia" w:asciiTheme="minorEastAsia" w:hAnsiTheme="minorEastAsia" w:cstheme="minorEastAsia"/>
          <w:color w:val="auto"/>
          <w:szCs w:val="28"/>
          <w:highlight w:val="none"/>
        </w:rPr>
        <w:fldChar w:fldCharType="end"/>
      </w:r>
    </w:p>
    <w:p>
      <w:pPr>
        <w:pStyle w:val="22"/>
        <w:tabs>
          <w:tab w:val="right" w:leader="dot" w:pos="8306"/>
          <w:tab w:val="clear" w:pos="9628"/>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_Toc10572 </w:instrText>
      </w:r>
      <w:r>
        <w:rPr>
          <w:rFonts w:hint="eastAsia" w:asciiTheme="minorEastAsia" w:hAnsiTheme="minorEastAsia" w:cstheme="minorEastAsia"/>
          <w:szCs w:val="28"/>
          <w:highlight w:val="none"/>
        </w:rPr>
        <w:fldChar w:fldCharType="separate"/>
      </w:r>
      <w:r>
        <w:rPr>
          <w:rFonts w:hint="eastAsia"/>
          <w:highlight w:val="none"/>
        </w:rPr>
        <w:t>第六章</w:t>
      </w:r>
      <w:r>
        <w:rPr>
          <w:highlight w:val="none"/>
        </w:rPr>
        <w:t xml:space="preserve">   </w:t>
      </w:r>
      <w:r>
        <w:rPr>
          <w:rFonts w:hint="eastAsia"/>
          <w:highlight w:val="none"/>
        </w:rPr>
        <w:t>投标文件部分格式</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4</w:t>
      </w:r>
    </w:p>
    <w:p>
      <w:pPr>
        <w:pStyle w:val="25"/>
        <w:tabs>
          <w:tab w:val="right" w:leader="dot" w:pos="8306"/>
        </w:tabs>
        <w:spacing w:line="360" w:lineRule="auto"/>
        <w:rPr>
          <w:rFonts w:hint="default"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_Toc19393 </w:instrText>
      </w:r>
      <w:r>
        <w:rPr>
          <w:rFonts w:hint="eastAsia" w:asciiTheme="minorEastAsia" w:hAnsiTheme="minorEastAsia" w:cstheme="minorEastAsia"/>
          <w:szCs w:val="28"/>
          <w:highlight w:val="none"/>
        </w:rPr>
        <w:fldChar w:fldCharType="separate"/>
      </w:r>
      <w:r>
        <w:rPr>
          <w:rFonts w:ascii="宋体" w:hAnsi="宋体"/>
          <w:bCs w:val="0"/>
          <w:highlight w:val="none"/>
        </w:rPr>
        <w:t>1</w:t>
      </w:r>
      <w:r>
        <w:rPr>
          <w:rFonts w:hint="eastAsia" w:ascii="宋体" w:hAnsi="宋体"/>
          <w:bCs w:val="0"/>
          <w:highlight w:val="none"/>
        </w:rPr>
        <w:t>、投标承诺书</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6</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_Toc3064 </w:instrText>
      </w:r>
      <w:r>
        <w:rPr>
          <w:rFonts w:hint="eastAsia" w:asciiTheme="minorEastAsia" w:hAnsiTheme="minorEastAsia" w:cstheme="minorEastAsia"/>
          <w:szCs w:val="28"/>
          <w:highlight w:val="none"/>
        </w:rPr>
        <w:fldChar w:fldCharType="separate"/>
      </w:r>
      <w:r>
        <w:rPr>
          <w:rFonts w:hint="eastAsia" w:ascii="宋体" w:hAnsi="宋体"/>
          <w:bCs w:val="0"/>
          <w:highlight w:val="none"/>
        </w:rPr>
        <w:t>2、报价一览表</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7</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_Toc8766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3、</w:t>
      </w:r>
      <w:r>
        <w:rPr>
          <w:rFonts w:hint="eastAsia" w:ascii="宋体" w:hAnsi="宋体"/>
          <w:bCs w:val="0"/>
          <w:highlight w:val="none"/>
        </w:rPr>
        <w:t>报价一览明细表</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8</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_Toc12705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4、法定代表人（负责人）身份证明</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9</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_Toc18441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5、法定代表人（负责人）授权委托书</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0</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_Toc17805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6、保证金汇入情况说明</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1</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_Toc8056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7、技术条件响应/偏离表</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2</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_Toc7233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8、商务条件响应/偏离表</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3</w:t>
      </w:r>
    </w:p>
    <w:p>
      <w:pPr>
        <w:pStyle w:val="25"/>
        <w:tabs>
          <w:tab w:val="right" w:leader="dot" w:pos="8306"/>
        </w:tabs>
        <w:spacing w:line="360" w:lineRule="auto"/>
        <w:ind w:left="638" w:leftChars="304" w:firstLine="2" w:firstLineChars="1"/>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_Toc16507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9、投标人法人营业执照的证明材料、相关资质证书副本等材料的复印件以及商务因素、技术因素、服务因素所需证明资料（格式自拟）</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4</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_Toc5499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10、投标人近三年（2020年1月1日至今）类似项目业绩</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5</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_Toc23838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11、项目实施方案、运维方案、培训方案、承诺等内容</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6</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_Toc1779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12、投标人基本情况说明</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7</w:t>
      </w:r>
    </w:p>
    <w:p>
      <w:pPr>
        <w:pStyle w:val="2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_Toc14849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13、项目人员配置情况表</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8</w:t>
      </w:r>
    </w:p>
    <w:p>
      <w:pPr>
        <w:pStyle w:val="25"/>
        <w:tabs>
          <w:tab w:val="right" w:leader="dot" w:pos="8306"/>
        </w:tabs>
        <w:spacing w:line="360" w:lineRule="auto"/>
        <w:rPr>
          <w:rFonts w:hint="eastAsia"/>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_Toc17664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14、投标人认为需要提供的其他材料说明</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9</w:t>
      </w:r>
    </w:p>
    <w:p>
      <w:pPr>
        <w:pStyle w:val="22"/>
        <w:tabs>
          <w:tab w:val="right" w:leader="dot" w:pos="8306"/>
          <w:tab w:val="clear" w:pos="9628"/>
        </w:tabs>
        <w:spacing w:line="360" w:lineRule="auto"/>
        <w:ind w:firstLine="630" w:firstLineChars="300"/>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_Toc24440 </w:instrText>
      </w:r>
      <w:r>
        <w:rPr>
          <w:rFonts w:hint="eastAsia" w:asciiTheme="minorEastAsia" w:hAnsiTheme="minorEastAsia" w:cstheme="minorEastAsia"/>
          <w:szCs w:val="28"/>
          <w:highlight w:val="none"/>
        </w:rPr>
        <w:fldChar w:fldCharType="separate"/>
      </w:r>
      <w:r>
        <w:rPr>
          <w:rFonts w:hint="eastAsia" w:asciiTheme="minorEastAsia" w:hAnsiTheme="minorEastAsia" w:eastAsiaTheme="minorEastAsia" w:cstheme="minorEastAsia"/>
          <w:szCs w:val="52"/>
          <w:highlight w:val="none"/>
        </w:rPr>
        <w:t>附表1</w:t>
      </w:r>
      <w:r>
        <w:rPr>
          <w:rFonts w:hint="eastAsia"/>
          <w:highlight w:val="none"/>
          <w:lang w:val="en-US" w:eastAsia="zh-CN"/>
        </w:rPr>
        <w:t xml:space="preserve"> </w:t>
      </w:r>
      <w:r>
        <w:rPr>
          <w:rFonts w:hint="eastAsia"/>
          <w:highlight w:val="none"/>
        </w:rPr>
        <w:t>初步评审标准表</w:t>
      </w:r>
      <w:r>
        <w:tab/>
      </w:r>
      <w:r>
        <w:rPr>
          <w:rFonts w:hint="eastAsia"/>
          <w:lang w:val="en-US" w:eastAsia="zh-CN"/>
        </w:rPr>
        <w:t>9</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4</w:t>
      </w:r>
    </w:p>
    <w:p>
      <w:pPr>
        <w:pStyle w:val="22"/>
        <w:tabs>
          <w:tab w:val="right" w:leader="dot" w:pos="8306"/>
          <w:tab w:val="clear" w:pos="9628"/>
        </w:tabs>
        <w:spacing w:line="360" w:lineRule="auto"/>
        <w:ind w:firstLine="630" w:firstLineChars="300"/>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_Toc9700 </w:instrText>
      </w:r>
      <w:r>
        <w:rPr>
          <w:rFonts w:hint="eastAsia" w:asciiTheme="minorEastAsia" w:hAnsiTheme="minorEastAsia" w:cstheme="minorEastAsia"/>
          <w:szCs w:val="28"/>
          <w:highlight w:val="none"/>
        </w:rPr>
        <w:fldChar w:fldCharType="separate"/>
      </w:r>
      <w:r>
        <w:rPr>
          <w:rFonts w:hint="eastAsia" w:asciiTheme="minorEastAsia" w:hAnsiTheme="minorEastAsia" w:eastAsiaTheme="minorEastAsia" w:cstheme="minorEastAsia"/>
          <w:szCs w:val="36"/>
          <w:highlight w:val="none"/>
        </w:rPr>
        <w:t xml:space="preserve">附表2 </w:t>
      </w:r>
      <w:r>
        <w:rPr>
          <w:rFonts w:hint="eastAsia" w:asciiTheme="minorEastAsia" w:hAnsiTheme="minorEastAsia" w:eastAsiaTheme="minorEastAsia" w:cstheme="minorEastAsia"/>
          <w:bCs w:val="0"/>
          <w:szCs w:val="36"/>
          <w:highlight w:val="none"/>
        </w:rPr>
        <w:t>评 分 细 则</w:t>
      </w:r>
      <w:r>
        <w:tab/>
      </w:r>
      <w:r>
        <w:rPr>
          <w:rFonts w:hint="eastAsia"/>
          <w:lang w:val="en-US" w:eastAsia="zh-CN"/>
        </w:rPr>
        <w:t>9</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6</w:t>
      </w:r>
    </w:p>
    <w:p>
      <w:r>
        <w:rPr>
          <w:rFonts w:hint="eastAsia" w:asciiTheme="minorEastAsia" w:hAnsiTheme="minorEastAsia" w:cstheme="minorEastAsia"/>
          <w:color w:val="auto"/>
          <w:szCs w:val="28"/>
          <w:highlight w:val="none"/>
        </w:rPr>
        <w:fldChar w:fldCharType="end"/>
      </w:r>
    </w:p>
    <w:p>
      <w:pPr>
        <w:pStyle w:val="24"/>
        <w:rPr>
          <w:rFonts w:asciiTheme="minorEastAsia" w:hAnsiTheme="minorEastAsia" w:cstheme="minorEastAsia"/>
          <w:color w:val="auto"/>
          <w:sz w:val="28"/>
          <w:szCs w:val="28"/>
          <w:highlight w:val="none"/>
        </w:rPr>
      </w:pPr>
    </w:p>
    <w:p>
      <w:pPr>
        <w:pStyle w:val="29"/>
        <w:spacing w:line="276" w:lineRule="auto"/>
        <w:rPr>
          <w:rFonts w:asciiTheme="minorEastAsia" w:hAnsiTheme="minorEastAsia" w:cstheme="minorEastAsia"/>
          <w:color w:val="auto"/>
          <w:sz w:val="28"/>
          <w:szCs w:val="28"/>
          <w:highlight w:val="none"/>
        </w:rPr>
      </w:pPr>
    </w:p>
    <w:p>
      <w:pPr>
        <w:rPr>
          <w:color w:val="auto"/>
          <w:highlight w:val="none"/>
        </w:rPr>
      </w:pPr>
    </w:p>
    <w:p>
      <w:pPr>
        <w:pStyle w:val="29"/>
        <w:spacing w:line="276" w:lineRule="auto"/>
        <w:rPr>
          <w:rFonts w:asciiTheme="minorEastAsia" w:hAnsiTheme="minorEastAsia" w:cstheme="minorEastAsia"/>
          <w:color w:val="auto"/>
          <w:sz w:val="28"/>
          <w:szCs w:val="28"/>
          <w:highlight w:val="none"/>
        </w:rPr>
      </w:pPr>
    </w:p>
    <w:p>
      <w:pPr>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39"/>
        <w:rPr>
          <w:rFonts w:asciiTheme="minorEastAsia" w:hAnsiTheme="minorEastAsia" w:cstheme="minorEastAsia"/>
          <w:color w:val="auto"/>
          <w:sz w:val="28"/>
          <w:szCs w:val="28"/>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4"/>
        <w:rPr>
          <w:color w:val="auto"/>
          <w:szCs w:val="44"/>
          <w:highlight w:val="none"/>
        </w:rPr>
      </w:pPr>
    </w:p>
    <w:p>
      <w:pPr>
        <w:pStyle w:val="29"/>
        <w:spacing w:line="276" w:lineRule="auto"/>
        <w:jc w:val="both"/>
        <w:rPr>
          <w:rFonts w:hint="eastAsia"/>
          <w:color w:val="auto"/>
          <w:szCs w:val="44"/>
          <w:highlight w:val="none"/>
        </w:rPr>
      </w:pPr>
    </w:p>
    <w:p>
      <w:pPr>
        <w:pStyle w:val="39"/>
        <w:rPr>
          <w:rFonts w:hint="eastAsia"/>
          <w:color w:val="auto"/>
          <w:szCs w:val="44"/>
          <w:highlight w:val="none"/>
        </w:rPr>
      </w:pPr>
      <w:bookmarkStart w:id="0" w:name="_Toc20454"/>
    </w:p>
    <w:p>
      <w:pPr>
        <w:pStyle w:val="39"/>
        <w:rPr>
          <w:rFonts w:hint="eastAsia"/>
          <w:color w:val="auto"/>
          <w:szCs w:val="44"/>
          <w:highlight w:val="none"/>
        </w:rPr>
      </w:pPr>
    </w:p>
    <w:p>
      <w:pPr>
        <w:pStyle w:val="39"/>
        <w:rPr>
          <w:rFonts w:hint="eastAsia"/>
          <w:color w:val="auto"/>
          <w:szCs w:val="44"/>
          <w:highlight w:val="none"/>
        </w:rPr>
      </w:pPr>
    </w:p>
    <w:p>
      <w:pPr>
        <w:widowControl w:val="0"/>
        <w:numPr>
          <w:ilvl w:val="0"/>
          <w:numId w:val="2"/>
        </w:numPr>
        <w:snapToGrid w:val="0"/>
        <w:spacing w:beforeLines="100" w:afterLines="50" w:line="240" w:lineRule="auto"/>
        <w:jc w:val="center"/>
        <w:textAlignment w:val="baseline"/>
        <w:outlineLvl w:val="0"/>
        <w:rPr>
          <w:rFonts w:hint="eastAsia" w:ascii="仿宋" w:hAnsi="仿宋" w:eastAsia="仿宋" w:cs="仿宋"/>
          <w:b/>
          <w:bCs/>
          <w:color w:val="auto"/>
          <w:kern w:val="0"/>
          <w:sz w:val="32"/>
          <w:szCs w:val="32"/>
          <w:u w:color="000000"/>
        </w:rPr>
      </w:pPr>
      <w:r>
        <w:rPr>
          <w:rFonts w:hint="eastAsia" w:ascii="仿宋" w:hAnsi="仿宋" w:eastAsia="仿宋" w:cs="仿宋"/>
          <w:b/>
          <w:bCs/>
          <w:color w:val="auto"/>
          <w:kern w:val="0"/>
          <w:sz w:val="32"/>
          <w:szCs w:val="32"/>
          <w:u w:color="000000"/>
          <w:lang w:eastAsia="zh-CN"/>
        </w:rPr>
        <w:t>招标公告</w:t>
      </w:r>
      <w:r>
        <w:rPr>
          <w:rFonts w:hint="eastAsia" w:ascii="仿宋" w:hAnsi="仿宋" w:eastAsia="仿宋" w:cs="仿宋"/>
          <w:b/>
          <w:bCs/>
          <w:color w:val="auto"/>
          <w:kern w:val="0"/>
          <w:sz w:val="32"/>
          <w:szCs w:val="32"/>
          <w:u w:color="000000"/>
        </w:rPr>
        <w:t xml:space="preserve"> </w:t>
      </w:r>
    </w:p>
    <w:bookmarkEnd w:id="0"/>
    <w:p>
      <w:pPr>
        <w:pStyle w:val="39"/>
        <w:spacing w:line="360" w:lineRule="auto"/>
        <w:ind w:left="0" w:leftChars="0" w:firstLine="0" w:firstLineChars="0"/>
        <w:jc w:val="center"/>
        <w:rPr>
          <w:rFonts w:hint="eastAsia" w:ascii="Times New Roman" w:hAnsi="Times New Roman" w:eastAsia="宋体" w:cs="Times New Roman"/>
          <w:b/>
          <w:bCs/>
          <w:sz w:val="24"/>
          <w:szCs w:val="32"/>
        </w:rPr>
      </w:pPr>
      <w:r>
        <w:rPr>
          <w:rFonts w:hint="eastAsia" w:ascii="Times New Roman" w:hAnsi="Times New Roman" w:eastAsia="宋体" w:cs="Times New Roman"/>
          <w:b/>
          <w:bCs/>
          <w:sz w:val="24"/>
          <w:szCs w:val="32"/>
          <w:lang w:val="en-US" w:eastAsia="zh-CN"/>
        </w:rPr>
        <w:t>特克斯县人民医院医共体信息化项目二期建设</w:t>
      </w:r>
    </w:p>
    <w:p>
      <w:pPr>
        <w:spacing w:line="360" w:lineRule="auto"/>
        <w:jc w:val="center"/>
        <w:rPr>
          <w:rFonts w:hint="eastAsia" w:ascii="Times New Roman" w:hAnsi="Times New Roman" w:eastAsia="宋体" w:cs="Times New Roman"/>
          <w:b/>
          <w:bCs/>
          <w:sz w:val="24"/>
          <w:szCs w:val="32"/>
          <w:lang w:eastAsia="zh-CN"/>
        </w:rPr>
      </w:pPr>
      <w:r>
        <w:rPr>
          <w:rFonts w:ascii="Times New Roman" w:hAnsi="Times New Roman" w:eastAsia="宋体" w:cs="Times New Roman"/>
          <w:b/>
          <w:bCs/>
          <w:sz w:val="24"/>
          <w:szCs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259715</wp:posOffset>
                </wp:positionV>
                <wp:extent cx="5840095" cy="909955"/>
                <wp:effectExtent l="12700" t="12700" r="14605" b="17145"/>
                <wp:wrapNone/>
                <wp:docPr id="5" name="矩形 5"/>
                <wp:cNvGraphicFramePr/>
                <a:graphic xmlns:a="http://schemas.openxmlformats.org/drawingml/2006/main">
                  <a:graphicData uri="http://schemas.microsoft.com/office/word/2010/wordprocessingShape">
                    <wps:wsp>
                      <wps:cNvSpPr/>
                      <wps:spPr>
                        <a:xfrm>
                          <a:off x="1048385" y="2022475"/>
                          <a:ext cx="5840095" cy="90995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85pt;margin-top:20.45pt;height:71.65pt;width:459.85pt;z-index:251662336;v-text-anchor:middle;mso-width-relative:page;mso-height-relative:page;" filled="f" stroked="t" coordsize="21600,21600" o:gfxdata="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4mNZTZAAAACQEAAA8AAAAAAAAAAQAgAAAAIgAAAGRycy9kb3ducmV2&#10;LnhtbFBLAQIUABQAAAAIAIdO4kAdxD+WbQIAAM4EAAAOAAAAAAAAAAEAIAAAACgBAABkcnMvZTJv&#10;RG9jLnhtbFBLBQYAAAAABgAGAFkBAAAHBgAAAAA=&#10;">
                <v:fill on="f" focussize="0,0"/>
                <v:stroke weight="2pt" color="#000000" joinstyle="round"/>
                <v:imagedata o:title=""/>
                <o:lock v:ext="edit" aspectratio="f"/>
              </v:rect>
            </w:pict>
          </mc:Fallback>
        </mc:AlternateContent>
      </w:r>
      <w:r>
        <w:rPr>
          <w:rFonts w:ascii="Times New Roman" w:hAnsi="Times New Roman" w:eastAsia="宋体" w:cs="Times New Roman"/>
          <w:b/>
          <w:bCs/>
          <w:sz w:val="24"/>
          <w:szCs w:val="32"/>
        </w:rPr>
        <w:t>公开招标公告</w:t>
      </w:r>
    </w:p>
    <w:p>
      <w:pPr>
        <w:spacing w:line="360" w:lineRule="auto"/>
        <w:rPr>
          <w:rFonts w:hint="eastAsia"/>
        </w:rPr>
      </w:pPr>
      <w:r>
        <w:rPr>
          <w:rFonts w:hint="eastAsia"/>
        </w:rPr>
        <w:t>项目概况</w:t>
      </w:r>
    </w:p>
    <w:p>
      <w:pPr>
        <w:spacing w:line="360" w:lineRule="auto"/>
        <w:ind w:firstLine="420" w:firstLineChars="200"/>
      </w:pPr>
      <w:r>
        <w:rPr>
          <w:rFonts w:hint="eastAsia"/>
        </w:rPr>
        <w:t>特克斯县人民医院医共体信息化项目二期建设招标项目的</w:t>
      </w:r>
      <w:r>
        <w:rPr>
          <w:rFonts w:hint="eastAsia"/>
          <w:lang w:eastAsia="zh-CN"/>
        </w:rPr>
        <w:t>潜在投标人应在政采云平台线上获取获取招标文件，</w:t>
      </w:r>
      <w:r>
        <w:rPr>
          <w:rFonts w:hint="eastAsia"/>
        </w:rPr>
        <w:t>并于202</w:t>
      </w:r>
      <w:r>
        <w:rPr>
          <w:rFonts w:hint="eastAsia"/>
          <w:lang w:val="en-US" w:eastAsia="zh-CN"/>
        </w:rPr>
        <w:t>3</w:t>
      </w:r>
      <w:r>
        <w:rPr>
          <w:rFonts w:hint="eastAsia"/>
        </w:rPr>
        <w:t>年</w:t>
      </w:r>
      <w:r>
        <w:rPr>
          <w:rFonts w:hint="eastAsia"/>
          <w:lang w:val="en-US" w:eastAsia="zh-CN"/>
        </w:rPr>
        <w:t>06</w:t>
      </w:r>
      <w:r>
        <w:rPr>
          <w:rFonts w:hint="eastAsia"/>
        </w:rPr>
        <w:t>月</w:t>
      </w:r>
      <w:r>
        <w:rPr>
          <w:rFonts w:hint="eastAsia"/>
          <w:lang w:val="en-US" w:eastAsia="zh-CN"/>
        </w:rPr>
        <w:t>14</w:t>
      </w:r>
      <w:r>
        <w:rPr>
          <w:rFonts w:hint="eastAsia"/>
        </w:rPr>
        <w:t xml:space="preserve">日 </w:t>
      </w:r>
      <w:r>
        <w:rPr>
          <w:rFonts w:hint="eastAsia"/>
          <w:lang w:val="en-US" w:eastAsia="zh-CN"/>
        </w:rPr>
        <w:t>16</w:t>
      </w:r>
      <w:r>
        <w:rPr>
          <w:rFonts w:hint="eastAsia"/>
        </w:rPr>
        <w:t>:</w:t>
      </w:r>
      <w:r>
        <w:rPr>
          <w:rFonts w:hint="eastAsia"/>
          <w:lang w:val="en-US" w:eastAsia="zh-CN"/>
        </w:rPr>
        <w:t>30</w:t>
      </w:r>
      <w:r>
        <w:rPr>
          <w:rFonts w:hint="eastAsia"/>
        </w:rPr>
        <w:t>（北京时间）前递交投标文件。</w:t>
      </w:r>
    </w:p>
    <w:p>
      <w:pPr>
        <w:spacing w:line="360" w:lineRule="auto"/>
        <w:rPr>
          <w:b/>
          <w:bCs/>
        </w:rPr>
      </w:pPr>
    </w:p>
    <w:p>
      <w:pPr>
        <w:spacing w:line="360" w:lineRule="auto"/>
        <w:rPr>
          <w:b/>
          <w:bCs/>
        </w:rPr>
      </w:pPr>
      <w:r>
        <w:rPr>
          <w:b/>
          <w:bCs/>
        </w:rPr>
        <w:t>一、项目基本情况</w:t>
      </w:r>
    </w:p>
    <w:p>
      <w:pPr>
        <w:spacing w:line="360" w:lineRule="auto"/>
        <w:rPr>
          <w:rFonts w:hint="default" w:eastAsia="宋体"/>
          <w:lang w:val="en-US" w:eastAsia="zh-CN"/>
        </w:rPr>
      </w:pPr>
      <w:r>
        <w:rPr>
          <w:rFonts w:hint="eastAsia"/>
        </w:rPr>
        <w:t>项目编号：HYYL-2023-032</w:t>
      </w:r>
    </w:p>
    <w:p>
      <w:pPr>
        <w:spacing w:line="360" w:lineRule="auto"/>
        <w:rPr>
          <w:rFonts w:hint="eastAsia"/>
          <w:lang w:eastAsia="zh-CN"/>
        </w:rPr>
      </w:pPr>
      <w:r>
        <w:rPr>
          <w:rFonts w:hint="eastAsia"/>
        </w:rPr>
        <w:t>项目名称：特克斯县人民医院医共体信息化项目二期建设</w:t>
      </w:r>
    </w:p>
    <w:p>
      <w:pPr>
        <w:spacing w:line="360" w:lineRule="auto"/>
      </w:pPr>
      <w:r>
        <w:rPr>
          <w:rFonts w:hint="eastAsia"/>
        </w:rPr>
        <w:t>采购方式：公开招标</w:t>
      </w:r>
    </w:p>
    <w:p>
      <w:pPr>
        <w:spacing w:line="360" w:lineRule="auto"/>
        <w:rPr>
          <w:rFonts w:hint="default" w:eastAsia="宋体"/>
          <w:lang w:val="en-US" w:eastAsia="zh-CN"/>
        </w:rPr>
      </w:pPr>
      <w:r>
        <w:rPr>
          <w:rFonts w:hint="eastAsia"/>
        </w:rPr>
        <w:t>预算金额（元）：</w:t>
      </w:r>
      <w:r>
        <w:rPr>
          <w:rFonts w:hint="eastAsia"/>
          <w:lang w:val="en-US" w:eastAsia="zh-CN"/>
        </w:rPr>
        <w:t>6493000.00</w:t>
      </w:r>
    </w:p>
    <w:p>
      <w:pPr>
        <w:spacing w:line="360" w:lineRule="auto"/>
        <w:rPr>
          <w:rFonts w:hint="default" w:eastAsia="宋体"/>
          <w:lang w:val="en-US" w:eastAsia="zh-CN"/>
        </w:rPr>
      </w:pPr>
      <w:r>
        <w:rPr>
          <w:rFonts w:hint="eastAsia"/>
        </w:rPr>
        <w:t>最高限价（元）：6319000</w:t>
      </w:r>
      <w:r>
        <w:rPr>
          <w:rFonts w:hint="eastAsia"/>
          <w:lang w:val="en-US" w:eastAsia="zh-CN"/>
        </w:rPr>
        <w:t>.00</w:t>
      </w:r>
    </w:p>
    <w:p>
      <w:pPr>
        <w:spacing w:line="360" w:lineRule="auto"/>
      </w:pPr>
      <w:r>
        <w:rPr>
          <w:rFonts w:hint="eastAsia"/>
        </w:rPr>
        <w:t>采购需求：</w:t>
      </w:r>
    </w:p>
    <w:p>
      <w:pPr>
        <w:spacing w:line="360" w:lineRule="auto"/>
        <w:rPr>
          <w:rFonts w:hint="eastAsia"/>
          <w:lang w:eastAsia="zh-CN"/>
        </w:rPr>
      </w:pPr>
      <w:r>
        <w:rPr>
          <w:rFonts w:hint="eastAsia"/>
        </w:rPr>
        <w:t>标项名称:特克斯县人民医院医共体信息化项目二期建设</w:t>
      </w:r>
    </w:p>
    <w:p>
      <w:pPr>
        <w:spacing w:line="360" w:lineRule="auto"/>
        <w:rPr>
          <w:rFonts w:hint="eastAsia"/>
          <w:lang w:val="en-US" w:eastAsia="zh-CN"/>
        </w:rPr>
      </w:pPr>
      <w:r>
        <w:rPr>
          <w:rFonts w:hint="eastAsia"/>
        </w:rPr>
        <w:t>数量:</w:t>
      </w:r>
      <w:r>
        <w:rPr>
          <w:rFonts w:hint="eastAsia"/>
          <w:lang w:val="en-US" w:eastAsia="zh-CN"/>
        </w:rPr>
        <w:t>1</w:t>
      </w:r>
    </w:p>
    <w:p>
      <w:pPr>
        <w:spacing w:line="360" w:lineRule="auto"/>
        <w:rPr>
          <w:rFonts w:hint="default" w:eastAsia="宋体"/>
          <w:lang w:val="en-US" w:eastAsia="zh-CN"/>
        </w:rPr>
      </w:pPr>
      <w:r>
        <w:rPr>
          <w:rFonts w:hint="eastAsia"/>
        </w:rPr>
        <w:t>预算金额（元）:</w:t>
      </w:r>
      <w:r>
        <w:rPr>
          <w:rFonts w:hint="eastAsia"/>
          <w:lang w:val="en-US" w:eastAsia="zh-CN"/>
        </w:rPr>
        <w:t>6493000.00</w:t>
      </w:r>
    </w:p>
    <w:p>
      <w:pPr>
        <w:spacing w:line="360" w:lineRule="auto"/>
        <w:rPr>
          <w:rFonts w:hint="eastAsia"/>
        </w:rPr>
      </w:pPr>
      <w:r>
        <w:rPr>
          <w:rFonts w:hint="eastAsia"/>
        </w:rPr>
        <w:t>简要规格描述或项目基本概况介绍、用途：基层医疗机构信息管理能力提升，村级能力提升，医共体人、财、物及药品耗材管理系统，医共体综合监管平台，医共体绩效考核，业务协同共享平台，区域业务数据开发平台，数据容灾备份</w:t>
      </w:r>
      <w:r>
        <w:rPr>
          <w:rFonts w:hint="eastAsia"/>
          <w:lang w:eastAsia="zh-CN"/>
        </w:rPr>
        <w:t>；具体内容详见招标文件。</w:t>
      </w:r>
    </w:p>
    <w:p>
      <w:pPr>
        <w:spacing w:line="360" w:lineRule="auto"/>
        <w:rPr>
          <w:rFonts w:hint="eastAsia"/>
        </w:rPr>
      </w:pPr>
      <w:r>
        <w:rPr>
          <w:rFonts w:hint="eastAsia"/>
        </w:rPr>
        <w:t>备注：</w:t>
      </w:r>
    </w:p>
    <w:p>
      <w:pPr>
        <w:spacing w:line="360" w:lineRule="auto"/>
        <w:rPr>
          <w:rFonts w:hint="default"/>
          <w:lang w:val="en-US"/>
        </w:rPr>
      </w:pPr>
      <w:r>
        <w:rPr>
          <w:rFonts w:hint="eastAsia"/>
        </w:rPr>
        <w:t>合同履约期限：标项 1</w:t>
      </w:r>
      <w:r>
        <w:rPr>
          <w:rFonts w:hint="eastAsia"/>
          <w:lang w:eastAsia="zh-CN"/>
        </w:rPr>
        <w:t>，自合同签订之日起</w:t>
      </w:r>
      <w:r>
        <w:rPr>
          <w:rFonts w:hint="eastAsia"/>
          <w:lang w:val="en-US" w:eastAsia="zh-CN"/>
        </w:rPr>
        <w:t>2年</w:t>
      </w:r>
      <w:r>
        <w:rPr>
          <w:rFonts w:hint="eastAsia"/>
          <w:lang w:eastAsia="zh-CN"/>
        </w:rPr>
        <w:t>内完成系统</w:t>
      </w:r>
      <w:r>
        <w:rPr>
          <w:rFonts w:hint="eastAsia"/>
          <w:lang w:val="en-US" w:eastAsia="zh-CN"/>
        </w:rPr>
        <w:t>建设</w:t>
      </w:r>
      <w:r>
        <w:rPr>
          <w:rFonts w:hint="eastAsia"/>
          <w:lang w:eastAsia="zh-CN"/>
        </w:rPr>
        <w:t>、调试、验收合格并投入使用。</w:t>
      </w:r>
    </w:p>
    <w:p>
      <w:pPr>
        <w:spacing w:line="360" w:lineRule="auto"/>
      </w:pPr>
      <w:r>
        <w:rPr>
          <w:rFonts w:hint="eastAsia"/>
        </w:rPr>
        <w:t>本项目（否）接受联合体投标。</w:t>
      </w:r>
    </w:p>
    <w:p>
      <w:pPr>
        <w:spacing w:line="360" w:lineRule="auto"/>
        <w:rPr>
          <w:b/>
          <w:bCs/>
        </w:rPr>
      </w:pPr>
      <w:r>
        <w:rPr>
          <w:rFonts w:hint="eastAsia"/>
          <w:b/>
          <w:bCs/>
          <w:lang w:val="en-US" w:eastAsia="zh-CN"/>
        </w:rPr>
        <w:t>二、</w:t>
      </w:r>
      <w:r>
        <w:rPr>
          <w:b/>
          <w:bCs/>
        </w:rPr>
        <w:t>申请人的资格要求：</w:t>
      </w:r>
    </w:p>
    <w:p>
      <w:pPr>
        <w:spacing w:line="360" w:lineRule="auto"/>
        <w:rPr>
          <w:rFonts w:hint="eastAsia"/>
          <w:lang w:val="en-US" w:eastAsia="zh-CN"/>
        </w:rPr>
      </w:pPr>
      <w:r>
        <w:rPr>
          <w:rFonts w:hint="eastAsia"/>
          <w:lang w:val="en-US" w:eastAsia="zh-CN"/>
        </w:rPr>
        <w:t>1.满足《中华人民共和国政府采购法》第二十二条规定；服务商未列入失信被执行人、重大税收违法失信主体、政府采购严重违法失信行为记录名单（财库[2016]125号）。</w:t>
      </w:r>
    </w:p>
    <w:p>
      <w:pPr>
        <w:spacing w:line="360" w:lineRule="auto"/>
        <w:rPr>
          <w:rFonts w:hint="default" w:ascii="Times New Roman" w:hAnsi="Times New Roman" w:eastAsia="宋体" w:cs="Times New Roman"/>
          <w:highlight w:val="none"/>
          <w:lang w:val="en-US" w:eastAsia="zh-CN"/>
        </w:rPr>
      </w:pPr>
      <w:r>
        <w:rPr>
          <w:rFonts w:hint="eastAsia"/>
          <w:highlight w:val="none"/>
          <w:lang w:val="en-US" w:eastAsia="zh-CN"/>
        </w:rPr>
        <w:t>2.落实政府采购政策需满足的资格要求：无</w:t>
      </w:r>
    </w:p>
    <w:p>
      <w:pPr>
        <w:spacing w:line="360" w:lineRule="auto"/>
        <w:rPr>
          <w:rFonts w:hint="eastAsia"/>
          <w:lang w:val="en-US" w:eastAsia="zh-CN"/>
        </w:rPr>
      </w:pPr>
      <w:r>
        <w:rPr>
          <w:rFonts w:hint="eastAsia"/>
          <w:lang w:val="en-US" w:eastAsia="zh-CN"/>
        </w:rPr>
        <w:t>3.本项目的特定资格要求：</w:t>
      </w:r>
    </w:p>
    <w:p>
      <w:pPr>
        <w:spacing w:line="360" w:lineRule="auto"/>
        <w:rPr>
          <w:rFonts w:hint="eastAsia"/>
          <w:lang w:val="en-US" w:eastAsia="zh-CN"/>
        </w:rPr>
      </w:pPr>
      <w:r>
        <w:rPr>
          <w:rFonts w:hint="eastAsia"/>
          <w:lang w:val="en-US" w:eastAsia="zh-CN"/>
        </w:rPr>
        <w:t>【标项1】</w:t>
      </w:r>
    </w:p>
    <w:p>
      <w:pPr>
        <w:spacing w:line="360"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lang w:val="en-US" w:eastAsia="zh-CN"/>
        </w:rPr>
        <w:t>（1）投标人为企业法人应提供合法有效的标识有统一社会信用代码的营业执照；事业法人应提供事</w:t>
      </w:r>
      <w:r>
        <w:rPr>
          <w:rFonts w:hint="eastAsia" w:ascii="Times New Roman" w:hAnsi="Times New Roman" w:eastAsia="宋体" w:cs="Times New Roman"/>
          <w:highlight w:val="none"/>
          <w:lang w:val="en-US" w:eastAsia="zh-CN"/>
        </w:rPr>
        <w:t>业单位法人证书；其他组织应提供合法登记证明文件；</w:t>
      </w:r>
    </w:p>
    <w:p>
      <w:pPr>
        <w:spacing w:line="360"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（2）法定代表人（负责人）参加提供法定代表人（负责人）身份证明书及身份证（授权委托人参加提供法定代表人（负责人）授权委托书及被委托人身份证）</w:t>
      </w:r>
      <w:r>
        <w:rPr>
          <w:rFonts w:hint="eastAsia" w:cs="Times New Roman"/>
          <w:highlight w:val="none"/>
          <w:lang w:val="en-US" w:eastAsia="zh-CN"/>
        </w:rPr>
        <w:t>；</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（4）投标人提供近半年内已缴存的至少一个月的社会保障资金缴存单据或社保机构开具的社会保险参保缴费情况证明，依法不需要缴纳社会保障资金的投标人应提供相关文件证明；</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投标人提供2022年的财务审计报告（成立时间至提交投标文件截止时间不足一年的可提供成立后任意时段的资产负债表），或其开标前三个月内基本存款账户开户银行出具的资信证明及基本存款账户开户证明；</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（6）投标人提供近半年内已缴纳的至少一个月的纳税证明或完税证明，纳税证明或完税证明上应有代收机构或税务机关的公章，依法免税的投标人应提供相关文件证明；</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（7）投标人应具备良好的商业信誉，提供参加政府采购活动前3年内在经营活动中没有重大违法记录的书面声明；</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rPr>
          <w:rFonts w:hint="eastAsia" w:ascii="Times New Roman" w:hAnsi="Times New Roman" w:eastAsia="宋体" w:cs="Times New Roman"/>
          <w:lang w:val="zh-CN" w:eastAsia="zh-CN"/>
        </w:rPr>
      </w:pPr>
      <w:r>
        <w:rPr>
          <w:rFonts w:hint="eastAsia" w:ascii="Times New Roman" w:hAnsi="Times New Roman" w:eastAsia="宋体" w:cs="Times New Roman"/>
          <w:lang w:val="en-US" w:eastAsia="zh-CN"/>
        </w:rPr>
        <w:t>（9）本项目不接受联合体投标。</w:t>
      </w:r>
    </w:p>
    <w:p>
      <w:pPr>
        <w:numPr>
          <w:ilvl w:val="0"/>
          <w:numId w:val="0"/>
        </w:numPr>
        <w:spacing w:line="360" w:lineRule="auto"/>
        <w:rPr>
          <w:b/>
          <w:bCs/>
        </w:rPr>
      </w:pPr>
      <w:r>
        <w:rPr>
          <w:b/>
          <w:bCs/>
        </w:rPr>
        <w:t>三、获取招标文件</w:t>
      </w:r>
    </w:p>
    <w:p>
      <w:pPr>
        <w:spacing w:line="360" w:lineRule="auto"/>
        <w:rPr>
          <w:rFonts w:hint="eastAsia"/>
          <w:highlight w:val="none"/>
          <w:lang w:val="en-US" w:eastAsia="zh-CN"/>
        </w:rPr>
      </w:pPr>
      <w:r>
        <w:rPr>
          <w:rFonts w:hint="eastAsia"/>
          <w:highlight w:val="none"/>
          <w:lang w:val="en-US" w:eastAsia="zh-CN"/>
        </w:rPr>
        <w:t>时间：2023年05月25日至2023年06月01日，每天上午10:00至14:00，下午16:00至20:00（北京时间，法定节假日除外）；</w:t>
      </w:r>
    </w:p>
    <w:p>
      <w:pPr>
        <w:spacing w:line="360" w:lineRule="auto"/>
        <w:rPr>
          <w:rFonts w:hint="eastAsia"/>
          <w:highlight w:val="none"/>
          <w:lang w:val="en-US" w:eastAsia="zh-CN"/>
        </w:rPr>
      </w:pPr>
      <w:r>
        <w:rPr>
          <w:rFonts w:hint="eastAsia"/>
          <w:highlight w:val="none"/>
          <w:lang w:val="en-US" w:eastAsia="zh-CN"/>
        </w:rPr>
        <w:t>地点：政采云平台线上获取；</w:t>
      </w:r>
    </w:p>
    <w:p>
      <w:pPr>
        <w:spacing w:line="360" w:lineRule="auto"/>
        <w:rPr>
          <w:rFonts w:hint="eastAsia"/>
          <w:highlight w:val="none"/>
          <w:lang w:val="en-US" w:eastAsia="zh-CN"/>
        </w:rPr>
      </w:pPr>
      <w:r>
        <w:rPr>
          <w:rFonts w:hint="eastAsia"/>
          <w:highlight w:val="none"/>
          <w:lang w:val="en-US" w:eastAsia="zh-CN"/>
        </w:rPr>
        <w:t xml:space="preserve">方式：供应商登陆政采云平台 http://www.zcygov.cn/，在线申请获取采购文件 (登录政府采购云平台 → 项目采购 → 获取采购文件 → 申请，审核通过后可下载招标文件，如有操作性问题，可与政采云在线客服进行咨询，咨询电话：400-881-7190) ； </w:t>
      </w:r>
    </w:p>
    <w:p>
      <w:pPr>
        <w:spacing w:line="360" w:lineRule="auto"/>
        <w:rPr>
          <w:rFonts w:hint="eastAsia"/>
          <w:highlight w:val="none"/>
          <w:lang w:val="en-US" w:eastAsia="zh-CN"/>
        </w:rPr>
      </w:pPr>
      <w:r>
        <w:rPr>
          <w:rFonts w:hint="eastAsia"/>
          <w:highlight w:val="none"/>
          <w:lang w:val="en-US" w:eastAsia="zh-CN"/>
        </w:rPr>
        <w:t>售价（元）：0</w:t>
      </w:r>
    </w:p>
    <w:p>
      <w:pPr>
        <w:spacing w:line="360" w:lineRule="auto"/>
        <w:rPr>
          <w:b/>
          <w:bCs/>
          <w:highlight w:val="none"/>
        </w:rPr>
      </w:pPr>
      <w:r>
        <w:rPr>
          <w:b/>
          <w:bCs/>
          <w:highlight w:val="none"/>
        </w:rPr>
        <w:t>四、提交投标文件截止时间、开标时间和地点</w:t>
      </w:r>
    </w:p>
    <w:p>
      <w:pPr>
        <w:spacing w:line="360" w:lineRule="auto"/>
        <w:rPr>
          <w:rFonts w:hint="eastAsia"/>
          <w:highlight w:val="none"/>
          <w:lang w:val="en-US" w:eastAsia="zh-CN"/>
        </w:rPr>
      </w:pPr>
      <w:r>
        <w:rPr>
          <w:rFonts w:hint="eastAsia"/>
          <w:highlight w:val="none"/>
          <w:lang w:val="en-US" w:eastAsia="zh-CN"/>
        </w:rPr>
        <w:t>提交投标文件截止时间：2023年06月14日16点30分（北京时间）</w:t>
      </w:r>
    </w:p>
    <w:p>
      <w:pPr>
        <w:spacing w:line="360" w:lineRule="auto"/>
        <w:rPr>
          <w:rFonts w:hint="eastAsia"/>
          <w:highlight w:val="none"/>
          <w:lang w:val="en-US" w:eastAsia="zh-CN"/>
        </w:rPr>
      </w:pPr>
      <w:r>
        <w:rPr>
          <w:rFonts w:hint="eastAsia"/>
          <w:highlight w:val="none"/>
          <w:lang w:val="en-US" w:eastAsia="zh-CN"/>
        </w:rPr>
        <w:t>地点：政采云平台客户端投标（逾期上传或者未上传指定地点的投标文件，采购人不予受理）。</w:t>
      </w:r>
    </w:p>
    <w:p>
      <w:pPr>
        <w:spacing w:line="360" w:lineRule="auto"/>
        <w:rPr>
          <w:rFonts w:hint="eastAsia"/>
          <w:highlight w:val="none"/>
          <w:lang w:val="en-US" w:eastAsia="zh-CN"/>
        </w:rPr>
      </w:pPr>
      <w:r>
        <w:rPr>
          <w:rFonts w:hint="eastAsia"/>
          <w:highlight w:val="none"/>
          <w:lang w:val="en-US" w:eastAsia="zh-CN"/>
        </w:rPr>
        <w:t>开标时间：2023年06月14日16点30分（北京时间）</w:t>
      </w:r>
    </w:p>
    <w:p>
      <w:pPr>
        <w:spacing w:line="360" w:lineRule="auto"/>
        <w:rPr>
          <w:rFonts w:hint="eastAsia"/>
          <w:lang w:val="en-US" w:eastAsia="zh-CN"/>
        </w:rPr>
      </w:pPr>
      <w:r>
        <w:rPr>
          <w:rFonts w:hint="eastAsia"/>
          <w:lang w:val="en-US" w:eastAsia="zh-CN"/>
        </w:rPr>
        <w:t>开标地点：政采云电子开标大厅</w:t>
      </w:r>
    </w:p>
    <w:p>
      <w:pPr>
        <w:spacing w:line="360" w:lineRule="auto"/>
        <w:rPr>
          <w:b/>
          <w:bCs/>
        </w:rPr>
      </w:pPr>
      <w:r>
        <w:rPr>
          <w:b/>
          <w:bCs/>
        </w:rPr>
        <w:t>五、公告期限</w:t>
      </w:r>
    </w:p>
    <w:p>
      <w:pPr>
        <w:spacing w:line="360" w:lineRule="auto"/>
      </w:pPr>
      <w:r>
        <w:rPr>
          <w:rFonts w:hint="eastAsia"/>
        </w:rPr>
        <w:t>自本公告发布之日起5个工作日。</w:t>
      </w:r>
    </w:p>
    <w:p>
      <w:pPr>
        <w:spacing w:line="360" w:lineRule="auto"/>
        <w:rPr>
          <w:rFonts w:hint="eastAsia"/>
          <w:b/>
          <w:bCs/>
          <w:lang w:eastAsia="zh-CN"/>
        </w:rPr>
      </w:pPr>
      <w:r>
        <w:rPr>
          <w:rFonts w:hint="eastAsia"/>
          <w:b/>
          <w:bCs/>
          <w:lang w:val="en-US" w:eastAsia="zh-CN"/>
        </w:rPr>
        <w:t>六、</w:t>
      </w:r>
      <w:r>
        <w:rPr>
          <w:b/>
          <w:bCs/>
        </w:rPr>
        <w:t>其他补充事宜</w:t>
      </w:r>
    </w:p>
    <w:p>
      <w:pPr>
        <w:spacing w:line="360" w:lineRule="auto"/>
        <w:ind w:firstLine="420" w:firstLineChars="200"/>
        <w:rPr>
          <w:rFonts w:hint="eastAsia"/>
          <w:lang w:val="en-US" w:eastAsia="zh-CN"/>
        </w:rPr>
      </w:pPr>
      <w:r>
        <w:rPr>
          <w:rFonts w:hint="eastAsia"/>
          <w:lang w:val="en-US" w:eastAsia="zh-CN"/>
        </w:rPr>
        <w:t>1、本次采购采用电子交易方式，电子交易平台为“政府采购云平台 (www.zcygov.cn) ”。供应商参与本项目电子交易活动前，应注册成为政府采购云平台供应商。编制电子投标文件 前 还 需 申 领 CA 证 书 并 绑 定 帐 号 ， CA 申 领 地 址 查 看 网 址 https://www.xjca.com.cn/article/content/201802/582/1.html ， CA 服 务 电 话 ： 0991-281-9290。</w:t>
      </w:r>
    </w:p>
    <w:p>
      <w:pPr>
        <w:spacing w:line="360" w:lineRule="auto"/>
        <w:rPr>
          <w:rFonts w:hint="eastAsia"/>
          <w:lang w:val="en-US" w:eastAsia="zh-CN"/>
        </w:rPr>
      </w:pPr>
      <w:r>
        <w:rPr>
          <w:rFonts w:hint="eastAsia"/>
          <w:lang w:val="en-US" w:eastAsia="zh-CN"/>
        </w:rPr>
        <w:t>2、供应商编制电子投标文件应安装“电子招投标供应商客户端”软件，并按照本采购文 件和电子招投标供应商客户端的要求编制并加密投标文件。未按规定加密的投标文件，将被 电子招投标供应商客户端拒收。“电子招投标供应商客户端”请供应商自行前往“新疆政府 采购网—下载专区—新疆维吾尔自治区全流程电子招投标项目管理系统--电子招投标供应商 客户端”版块获取。</w:t>
      </w:r>
    </w:p>
    <w:p>
      <w:pPr>
        <w:spacing w:line="360" w:lineRule="auto"/>
        <w:rPr>
          <w:rFonts w:hint="eastAsia"/>
          <w:lang w:val="en-US" w:eastAsia="zh-CN"/>
        </w:rPr>
      </w:pPr>
      <w:r>
        <w:rPr>
          <w:rFonts w:hint="eastAsia"/>
          <w:lang w:val="en-US" w:eastAsia="zh-CN"/>
        </w:rPr>
        <w:t>3、供应商应当在投标截止时间前，将“电子招投标供应商客户端”生成的“电子加密投 标文件”上传电子交易平台。</w:t>
      </w:r>
    </w:p>
    <w:p>
      <w:pPr>
        <w:spacing w:line="360" w:lineRule="auto"/>
        <w:rPr>
          <w:rFonts w:hint="eastAsia"/>
          <w:lang w:val="en-US" w:eastAsia="zh-CN"/>
        </w:rPr>
      </w:pPr>
      <w:r>
        <w:rPr>
          <w:rFonts w:hint="eastAsia"/>
          <w:lang w:val="en-US" w:eastAsia="zh-CN"/>
        </w:rPr>
        <w:t>4、服务与支持。各政府采购代理机构 (含集采机构) 及供应商对不见面开评标系统的技 术操作咨询，可通过 https://edu.zcygov.cn/luban/xinjiang-e-biding 自助查询，也可在 政 采 云 帮 助 中 心 常 见 问 题 解 答 和 操 作 流 程 讲 解 视 频 中 自 助 查 询 ， 网 址 为 ： https://service.zcygov.cn/#/help，“项目采购”—“操作流程-电子招投标”—“政府采 购项目电子交易管理操作指南-供应商”版面获取操作指南，同时对自助查询无法解决的问题 可通过钉钉群及政采云在线客服获取服务支持。政采云热线人工号码：400-881-7190 (工作 时间：工作日 08:00~20：00) 。</w:t>
      </w:r>
    </w:p>
    <w:p>
      <w:pPr>
        <w:spacing w:line="360" w:lineRule="auto"/>
        <w:rPr>
          <w:b/>
          <w:bCs/>
        </w:rPr>
      </w:pPr>
      <w:r>
        <w:rPr>
          <w:b/>
          <w:bCs/>
        </w:rPr>
        <w:t>七、对本次采购提出询问，请按以下方式联系</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1.采购人信息</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名 称：特克斯县人民医院</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地 址：特克斯县</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联系方式：</w:t>
      </w:r>
      <w:r>
        <w:rPr>
          <w:rFonts w:hint="eastAsia" w:ascii="宋体" w:hAnsi="宋体" w:eastAsia="宋体" w:cs="宋体"/>
          <w:i w:val="0"/>
          <w:iCs w:val="0"/>
          <w:sz w:val="21"/>
          <w:szCs w:val="21"/>
          <w:highlight w:val="none"/>
          <w:u w:val="none"/>
          <w:lang w:val="en-US" w:eastAsia="zh-CN"/>
        </w:rPr>
        <w:t>15894145770</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2.采购代理机构信息</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名 称：新疆华域建设工程项目管理咨询有限公司</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地 址：伊宁市经济合作区北京路一品墅新房大厦10楼1004号</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3.项目联系方式</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项目联系人：戚国强</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电 话：18690286035</w:t>
      </w:r>
    </w:p>
    <w:p>
      <w:pPr>
        <w:pStyle w:val="29"/>
        <w:jc w:val="center"/>
        <w:rPr>
          <w:rFonts w:hint="eastAsia" w:ascii="仿宋" w:hAnsi="仿宋" w:eastAsia="仿宋" w:cs="仿宋"/>
          <w:color w:val="auto"/>
          <w:sz w:val="32"/>
          <w:szCs w:val="32"/>
          <w:highlight w:val="none"/>
        </w:rPr>
      </w:pPr>
      <w:bookmarkStart w:id="1" w:name="_Toc22786"/>
      <w:bookmarkStart w:id="2" w:name="_Toc3096"/>
    </w:p>
    <w:p>
      <w:pPr>
        <w:pStyle w:val="29"/>
        <w:jc w:val="center"/>
        <w:rPr>
          <w:rFonts w:hint="eastAsia" w:ascii="仿宋" w:hAnsi="仿宋" w:eastAsia="仿宋" w:cs="仿宋"/>
          <w:color w:val="auto"/>
          <w:sz w:val="32"/>
          <w:szCs w:val="32"/>
          <w:highlight w:val="none"/>
        </w:rPr>
      </w:pPr>
    </w:p>
    <w:p>
      <w:pPr>
        <w:pStyle w:val="29"/>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第二章 </w:t>
      </w:r>
      <w:bookmarkStart w:id="3" w:name="_Toc5345_WPSOffice_Level1"/>
      <w:r>
        <w:rPr>
          <w:rFonts w:hint="eastAsia" w:ascii="仿宋" w:hAnsi="仿宋" w:eastAsia="仿宋" w:cs="仿宋"/>
          <w:color w:val="auto"/>
          <w:sz w:val="32"/>
          <w:szCs w:val="32"/>
          <w:highlight w:val="none"/>
        </w:rPr>
        <w:t>投标须知前附表</w:t>
      </w:r>
      <w:bookmarkEnd w:id="1"/>
      <w:bookmarkEnd w:id="3"/>
    </w:p>
    <w:tbl>
      <w:tblPr>
        <w:tblStyle w:val="31"/>
        <w:tblW w:w="10533" w:type="dxa"/>
        <w:tblInd w:w="-7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2"/>
        <w:gridCol w:w="1664"/>
        <w:gridCol w:w="1293"/>
        <w:gridCol w:w="454"/>
        <w:gridCol w:w="2204"/>
        <w:gridCol w:w="186"/>
        <w:gridCol w:w="1703"/>
        <w:gridCol w:w="24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条款名称</w:t>
            </w:r>
          </w:p>
        </w:tc>
        <w:tc>
          <w:tcPr>
            <w:tcW w:w="8337" w:type="dxa"/>
            <w:gridSpan w:val="6"/>
            <w:tcBorders>
              <w:bottom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w:t>
            </w:r>
          </w:p>
        </w:tc>
        <w:tc>
          <w:tcPr>
            <w:tcW w:w="1664"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项目名称</w:t>
            </w:r>
          </w:p>
        </w:tc>
        <w:tc>
          <w:tcPr>
            <w:tcW w:w="1293" w:type="dxa"/>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7044" w:type="dxa"/>
            <w:gridSpan w:val="5"/>
            <w:tcBorders>
              <w:top w:val="single" w:color="auto" w:sz="4" w:space="0"/>
              <w:left w:val="single" w:color="auto" w:sz="4" w:space="0"/>
              <w:bottom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特克斯县人民医院医共体信息化项目二期建设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right w:val="single" w:color="auto" w:sz="4" w:space="0"/>
            </w:tcBorders>
            <w:vAlign w:val="center"/>
          </w:tcPr>
          <w:p>
            <w:pPr>
              <w:autoSpaceDE w:val="0"/>
              <w:autoSpaceDN w:val="0"/>
              <w:adjustRightIn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编号</w:t>
            </w:r>
          </w:p>
        </w:tc>
        <w:tc>
          <w:tcPr>
            <w:tcW w:w="7044" w:type="dxa"/>
            <w:gridSpan w:val="5"/>
            <w:tcBorders>
              <w:top w:val="single" w:color="auto" w:sz="4" w:space="0"/>
              <w:left w:val="single" w:color="auto" w:sz="4" w:space="0"/>
            </w:tcBorders>
            <w:vAlign w:val="center"/>
          </w:tcPr>
          <w:p>
            <w:pPr>
              <w:pageBreakBefore w:val="0"/>
              <w:kinsoku/>
              <w:wordWrap/>
              <w:overflowPunct/>
              <w:topLinePunct w:val="0"/>
              <w:autoSpaceDE/>
              <w:autoSpaceDN/>
              <w:bidi w:val="0"/>
              <w:adjustRightInd/>
              <w:snapToGrid/>
              <w:spacing w:line="370" w:lineRule="exact"/>
              <w:rPr>
                <w:rFonts w:hint="default" w:ascii="仿宋" w:hAnsi="仿宋" w:eastAsia="仿宋" w:cs="Times New Roman"/>
                <w:sz w:val="24"/>
                <w:szCs w:val="24"/>
                <w:lang w:val="en-US" w:eastAsia="zh-CN"/>
              </w:rPr>
            </w:pPr>
            <w:r>
              <w:rPr>
                <w:rFonts w:hint="default" w:ascii="仿宋" w:hAnsi="仿宋" w:eastAsia="仿宋" w:cs="Times New Roman"/>
                <w:sz w:val="24"/>
                <w:szCs w:val="24"/>
                <w:lang w:val="en-US" w:eastAsia="zh-CN"/>
              </w:rPr>
              <w:t>HYYL-2023-032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w:t>
            </w:r>
          </w:p>
        </w:tc>
        <w:tc>
          <w:tcPr>
            <w:tcW w:w="1664"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采购人</w:t>
            </w:r>
          </w:p>
        </w:tc>
        <w:tc>
          <w:tcPr>
            <w:tcW w:w="1293" w:type="dxa"/>
            <w:tcBorders>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7044" w:type="dxa"/>
            <w:gridSpan w:val="5"/>
            <w:tcBorders>
              <w:left w:val="single" w:color="auto" w:sz="4" w:space="0"/>
              <w:bottom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特克斯县人民医院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联系人</w:t>
            </w:r>
          </w:p>
        </w:tc>
        <w:tc>
          <w:tcPr>
            <w:tcW w:w="265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周菊萍</w:t>
            </w:r>
          </w:p>
        </w:tc>
        <w:tc>
          <w:tcPr>
            <w:tcW w:w="188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联系电话</w:t>
            </w:r>
          </w:p>
        </w:tc>
        <w:tc>
          <w:tcPr>
            <w:tcW w:w="2497" w:type="dxa"/>
            <w:tcBorders>
              <w:top w:val="single" w:color="auto" w:sz="4" w:space="0"/>
              <w:left w:val="single" w:color="auto" w:sz="4" w:space="0"/>
              <w:bottom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15894145770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地址</w:t>
            </w:r>
          </w:p>
        </w:tc>
        <w:tc>
          <w:tcPr>
            <w:tcW w:w="7044" w:type="dxa"/>
            <w:gridSpan w:val="5"/>
            <w:tcBorders>
              <w:top w:val="single" w:color="auto" w:sz="4" w:space="0"/>
              <w:left w:val="single" w:color="auto" w:sz="4" w:space="0"/>
            </w:tcBorders>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特克斯县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w:t>
            </w:r>
          </w:p>
        </w:tc>
        <w:tc>
          <w:tcPr>
            <w:tcW w:w="1664"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采购代理机构</w:t>
            </w:r>
          </w:p>
        </w:tc>
        <w:tc>
          <w:tcPr>
            <w:tcW w:w="1293" w:type="dxa"/>
            <w:tcBorders>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7044" w:type="dxa"/>
            <w:gridSpan w:val="5"/>
            <w:tcBorders>
              <w:left w:val="single" w:color="auto" w:sz="4" w:space="0"/>
              <w:bottom w:val="single" w:color="auto" w:sz="4" w:space="0"/>
            </w:tcBorders>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宋体"/>
                <w:sz w:val="24"/>
                <w:szCs w:val="24"/>
                <w:u w:val="none"/>
                <w:lang w:val="zh-CN" w:eastAsia="zh-CN"/>
              </w:rPr>
              <w:t>新疆华域建设工程项目管理咨询有限公司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联系人</w:t>
            </w:r>
          </w:p>
        </w:tc>
        <w:tc>
          <w:tcPr>
            <w:tcW w:w="26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戚国强</w:t>
            </w:r>
          </w:p>
        </w:tc>
        <w:tc>
          <w:tcPr>
            <w:tcW w:w="18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p>
        </w:tc>
        <w:tc>
          <w:tcPr>
            <w:tcW w:w="2497" w:type="dxa"/>
            <w:tcBorders>
              <w:top w:val="single" w:color="auto" w:sz="4" w:space="0"/>
              <w:left w:val="single" w:color="auto" w:sz="4" w:space="0"/>
              <w:bottom w:val="single" w:color="auto" w:sz="4" w:space="0"/>
            </w:tcBorders>
            <w:vAlign w:val="center"/>
          </w:tcPr>
          <w:p>
            <w:pPr>
              <w:spacing w:line="360" w:lineRule="auto"/>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18690286035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地址</w:t>
            </w:r>
          </w:p>
        </w:tc>
        <w:tc>
          <w:tcPr>
            <w:tcW w:w="7044" w:type="dxa"/>
            <w:gridSpan w:val="5"/>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伊宁市经济合作区北京路一品墅新房大厦10楼1004号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采购内容</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基层医疗机构信息管理能力提升，村级能力提升，医共体人、财、物及药品耗材管理系统，医共体综合监管平台，医共体绩效考核，业务协同共享平台，区域业务数据开发平台，数据容灾备份；具体内容详见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w:t>
            </w:r>
          </w:p>
        </w:tc>
        <w:tc>
          <w:tcPr>
            <w:tcW w:w="1664" w:type="dxa"/>
            <w:vMerge w:val="restart"/>
            <w:vAlign w:val="center"/>
          </w:tcPr>
          <w:p>
            <w:pPr>
              <w:widowControl/>
              <w:adjustRightInd w:val="0"/>
              <w:snapToGrid w:val="0"/>
              <w:spacing w:before="100" w:beforeAutospacing="1" w:after="100" w:afterAutospacing="1"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最高限价金额</w:t>
            </w:r>
          </w:p>
        </w:tc>
        <w:tc>
          <w:tcPr>
            <w:tcW w:w="4137" w:type="dxa"/>
            <w:gridSpan w:val="4"/>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小写（元）：6319000.00</w:t>
            </w:r>
          </w:p>
        </w:tc>
        <w:tc>
          <w:tcPr>
            <w:tcW w:w="4200" w:type="dxa"/>
            <w:gridSpan w:val="2"/>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大写： 陆佰叁拾壹万玖仟元整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widowControl/>
              <w:adjustRightInd w:val="0"/>
              <w:snapToGrid w:val="0"/>
              <w:spacing w:before="100" w:beforeAutospacing="1" w:after="100" w:afterAutospacing="1" w:line="360" w:lineRule="auto"/>
              <w:jc w:val="center"/>
              <w:rPr>
                <w:rFonts w:hint="eastAsia" w:ascii="仿宋" w:hAnsi="仿宋" w:eastAsia="仿宋" w:cs="仿宋"/>
                <w:b/>
                <w:color w:val="auto"/>
                <w:kern w:val="0"/>
                <w:sz w:val="24"/>
                <w:szCs w:val="24"/>
                <w:highlight w:val="none"/>
              </w:rPr>
            </w:pPr>
          </w:p>
        </w:tc>
        <w:tc>
          <w:tcPr>
            <w:tcW w:w="8337" w:type="dxa"/>
            <w:gridSpan w:val="6"/>
            <w:tcBorders>
              <w:top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各投标人的投标总报价不得高于最高限价金额，否则将否决其投标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6</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shd w:val="clear" w:color="auto" w:fill="FFFFFF"/>
              </w:rPr>
            </w:pPr>
            <w:r>
              <w:rPr>
                <w:rFonts w:hint="eastAsia" w:ascii="仿宋" w:hAnsi="仿宋" w:eastAsia="仿宋" w:cs="仿宋"/>
                <w:b/>
                <w:color w:val="auto"/>
                <w:kern w:val="0"/>
                <w:sz w:val="24"/>
                <w:szCs w:val="24"/>
                <w:highlight w:val="none"/>
                <w:shd w:val="clear" w:color="auto" w:fill="FFFFFF"/>
              </w:rPr>
              <w:t>资金来源</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由医疗服务能力提升（医疗卫生机构能力建设）补助资金或援疆资金解决。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7</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shd w:val="clear" w:color="auto" w:fill="FFFFFF"/>
              </w:rPr>
            </w:pPr>
            <w:r>
              <w:rPr>
                <w:rFonts w:hint="eastAsia" w:ascii="仿宋" w:hAnsi="仿宋" w:eastAsia="仿宋" w:cs="仿宋"/>
                <w:b/>
                <w:color w:val="auto"/>
                <w:kern w:val="0"/>
                <w:sz w:val="24"/>
                <w:szCs w:val="24"/>
                <w:highlight w:val="none"/>
                <w:shd w:val="clear" w:color="auto" w:fill="FFFFFF"/>
              </w:rPr>
              <w:t>采购方式</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公开招标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8</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shd w:val="clear" w:color="auto" w:fill="FFFFFF"/>
              </w:rPr>
              <w:t>服务期限</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 w:hAnsi="仿宋" w:eastAsia="仿宋" w:cs="仿宋"/>
                <w:color w:val="auto"/>
                <w:kern w:val="2"/>
                <w:sz w:val="24"/>
                <w:szCs w:val="24"/>
                <w:highlight w:val="none"/>
                <w:lang w:val="en-US" w:eastAsia="zh-CN" w:bidi="ar-SA"/>
              </w:rPr>
            </w:pPr>
            <w:r>
              <w:rPr>
                <w:rFonts w:hint="default" w:ascii="仿宋" w:hAnsi="仿宋" w:eastAsia="仿宋" w:cs="仿宋"/>
                <w:color w:val="auto"/>
                <w:kern w:val="2"/>
                <w:sz w:val="24"/>
                <w:szCs w:val="24"/>
                <w:highlight w:val="none"/>
                <w:lang w:val="en-US" w:eastAsia="zh-CN" w:bidi="ar-SA"/>
              </w:rPr>
              <w:t>自合同签订之日起2年内完成系统建设、调试、验收合格并投入使用。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9</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服务地点</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10</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付款方式</w:t>
            </w:r>
          </w:p>
        </w:tc>
        <w:tc>
          <w:tcPr>
            <w:tcW w:w="8337" w:type="dxa"/>
            <w:gridSpan w:val="6"/>
            <w:vAlign w:val="center"/>
          </w:tcPr>
          <w:p>
            <w:pPr>
              <w:pStyle w:val="11"/>
              <w:ind w:firstLine="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以甲乙双方合同约定执行。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11</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rPr>
              <w:t>采购</w:t>
            </w:r>
            <w:r>
              <w:rPr>
                <w:rFonts w:hint="eastAsia" w:ascii="仿宋" w:hAnsi="仿宋" w:eastAsia="仿宋" w:cs="仿宋"/>
                <w:b/>
                <w:color w:val="auto"/>
                <w:kern w:val="0"/>
                <w:sz w:val="24"/>
                <w:szCs w:val="24"/>
                <w:highlight w:val="none"/>
              </w:rPr>
              <w:t>要求</w:t>
            </w:r>
          </w:p>
        </w:tc>
        <w:tc>
          <w:tcPr>
            <w:tcW w:w="8337" w:type="dxa"/>
            <w:gridSpan w:val="6"/>
            <w:vAlign w:val="center"/>
          </w:tcPr>
          <w:p>
            <w:pPr>
              <w:widowControl/>
              <w:spacing w:line="360" w:lineRule="auto"/>
              <w:ind w:hanging="10"/>
              <w:jc w:val="left"/>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具体详见第五章采购需求。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12</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eastAsia="zh-CN"/>
              </w:rPr>
              <w:t>投标人</w:t>
            </w:r>
            <w:r>
              <w:rPr>
                <w:rFonts w:hint="eastAsia" w:ascii="仿宋" w:hAnsi="仿宋" w:eastAsia="仿宋" w:cs="仿宋"/>
                <w:b/>
                <w:color w:val="auto"/>
                <w:kern w:val="0"/>
                <w:sz w:val="24"/>
                <w:szCs w:val="24"/>
                <w:highlight w:val="none"/>
              </w:rPr>
              <w:t>资格</w:t>
            </w:r>
          </w:p>
        </w:tc>
        <w:tc>
          <w:tcPr>
            <w:tcW w:w="8337" w:type="dxa"/>
            <w:gridSpan w:val="6"/>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详见第一章 采购公告，第二条申请人的资格要求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1"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13</w:t>
            </w:r>
          </w:p>
        </w:tc>
        <w:tc>
          <w:tcPr>
            <w:tcW w:w="1664"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缴纳投标</w:t>
            </w:r>
          </w:p>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保证金</w:t>
            </w:r>
          </w:p>
        </w:tc>
        <w:tc>
          <w:tcPr>
            <w:tcW w:w="8337" w:type="dxa"/>
            <w:gridSpan w:val="6"/>
            <w:tcBorders>
              <w:bottom w:val="single" w:color="auto" w:sz="4" w:space="0"/>
            </w:tcBorders>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投标保证金的缴纳形式：</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必须以</w:t>
            </w:r>
            <w:r>
              <w:rPr>
                <w:rFonts w:hint="eastAsia" w:ascii="仿宋" w:hAnsi="仿宋" w:eastAsia="仿宋" w:cs="仿宋"/>
                <w:b/>
                <w:bCs/>
                <w:color w:val="auto"/>
                <w:sz w:val="24"/>
                <w:szCs w:val="24"/>
                <w:highlight w:val="none"/>
                <w:lang w:val="en-US" w:eastAsia="zh-CN"/>
              </w:rPr>
              <w:t>保函、</w:t>
            </w:r>
            <w:r>
              <w:rPr>
                <w:rFonts w:hint="eastAsia" w:ascii="仿宋" w:hAnsi="仿宋" w:eastAsia="仿宋" w:cs="仿宋"/>
                <w:b/>
                <w:bCs/>
                <w:color w:val="auto"/>
                <w:sz w:val="24"/>
                <w:szCs w:val="24"/>
                <w:highlight w:val="none"/>
              </w:rPr>
              <w:t>网银或电汇</w:t>
            </w:r>
            <w:r>
              <w:rPr>
                <w:rFonts w:hint="eastAsia" w:ascii="仿宋" w:hAnsi="仿宋" w:eastAsia="仿宋" w:cs="仿宋"/>
                <w:color w:val="auto"/>
                <w:sz w:val="24"/>
                <w:szCs w:val="24"/>
                <w:highlight w:val="none"/>
              </w:rPr>
              <w:t>形式从其基本账户转至采购人指定账户（不得为个人账户）。投标保证金必须以</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名义缴纳。投标保证金的金额：</w:t>
            </w:r>
            <w:r>
              <w:rPr>
                <w:rFonts w:hint="eastAsia" w:ascii="仿宋" w:hAnsi="仿宋" w:eastAsia="仿宋" w:cs="仿宋"/>
                <w:b/>
                <w:bCs/>
                <w:color w:val="auto"/>
                <w:sz w:val="24"/>
                <w:szCs w:val="24"/>
                <w:highlight w:val="none"/>
                <w:lang w:val="en-US" w:eastAsia="zh-CN"/>
              </w:rPr>
              <w:t>60000.00</w:t>
            </w:r>
            <w:r>
              <w:rPr>
                <w:rFonts w:hint="eastAsia" w:ascii="仿宋" w:hAnsi="仿宋" w:eastAsia="仿宋" w:cs="仿宋"/>
                <w:color w:val="auto"/>
                <w:sz w:val="24"/>
                <w:szCs w:val="24"/>
                <w:highlight w:val="none"/>
              </w:rPr>
              <w:t>元人民币（</w:t>
            </w:r>
            <w:r>
              <w:rPr>
                <w:rFonts w:hint="eastAsia" w:ascii="仿宋" w:hAnsi="仿宋" w:eastAsia="仿宋" w:cs="仿宋"/>
                <w:color w:val="auto"/>
                <w:sz w:val="24"/>
                <w:szCs w:val="24"/>
                <w:highlight w:val="none"/>
                <w:lang w:val="en-US" w:eastAsia="zh-CN"/>
              </w:rPr>
              <w:t>大写：陆万元整</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7"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8337" w:type="dxa"/>
            <w:gridSpan w:val="6"/>
            <w:tcBorders>
              <w:top w:val="single" w:color="auto" w:sz="4" w:space="0"/>
            </w:tcBorders>
            <w:vAlign w:val="center"/>
          </w:tcPr>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缴纳方式：银行转账、电汇或金融机构、担保机构出具的保函等非现金形式提交。</w:t>
            </w:r>
          </w:p>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说明：在递交投标文件截止时间前必须从单位基本账户支付至以下账户上；</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单位名称：新疆华域建设工程项目管理咨询有限公司伊犁分公司  </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开户银行：中国工商银行股份有限公司伊宁阿合买提江街支行</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银行账号：3006023109200131786</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递交时间：投标截止时间之前（提交投标保证金应充分考虑资金在途时间、跨行等因素导致的延迟到账情况，</w:t>
            </w:r>
            <w:r>
              <w:rPr>
                <w:rFonts w:hint="eastAsia" w:ascii="仿宋" w:hAnsi="仿宋" w:eastAsia="仿宋" w:cs="仿宋"/>
                <w:color w:val="auto"/>
                <w:kern w:val="0"/>
                <w:sz w:val="24"/>
                <w:szCs w:val="24"/>
                <w:highlight w:val="none"/>
                <w:lang w:val="zh-CN"/>
              </w:rPr>
              <w:t>由此导致的保证金不能按时到账其责任由投标人单位自行承担。</w:t>
            </w:r>
            <w:r>
              <w:rPr>
                <w:rFonts w:hint="eastAsia" w:ascii="仿宋" w:hAnsi="仿宋" w:eastAsia="仿宋" w:cs="仿宋"/>
                <w:color w:val="auto"/>
                <w:kern w:val="0"/>
                <w:sz w:val="24"/>
                <w:szCs w:val="24"/>
                <w:highlight w:val="none"/>
              </w:rPr>
              <w:t>各</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缴纳投标保证金时需在附加信息及用途栏内注明“投标保证金、项目名称”，以投标保证金接收方银行到账信息为准）</w:t>
            </w:r>
          </w:p>
          <w:p>
            <w:pPr>
              <w:autoSpaceDE w:val="0"/>
              <w:autoSpaceDN w:val="0"/>
              <w:adjustRightInd w:val="0"/>
              <w:snapToGrid w:val="0"/>
              <w:spacing w:line="360" w:lineRule="auto"/>
              <w:jc w:val="left"/>
              <w:rPr>
                <w:rFonts w:hint="eastAsia" w:ascii="仿宋" w:hAnsi="仿宋" w:eastAsia="仿宋" w:cs="仿宋"/>
                <w:b/>
                <w:color w:val="auto"/>
                <w:kern w:val="0"/>
                <w:sz w:val="24"/>
                <w:szCs w:val="24"/>
                <w:highlight w:val="none"/>
                <w:u w:val="single"/>
              </w:rPr>
            </w:pPr>
            <w:r>
              <w:rPr>
                <w:rFonts w:hint="eastAsia" w:ascii="仿宋" w:hAnsi="仿宋" w:eastAsia="仿宋" w:cs="仿宋"/>
                <w:b/>
                <w:bCs/>
                <w:color w:val="auto"/>
                <w:kern w:val="0"/>
                <w:sz w:val="24"/>
                <w:szCs w:val="24"/>
                <w:highlight w:val="none"/>
              </w:rPr>
              <w:t>友情提示：银行法定节假日不办理公对公账户电汇业务，请提前办理。投标保证金是否在规定截止时间前到户的风险由投标单位承担，投标保证金在银行的划转需要一定时间，望投标单位尽早缴纳！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85"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14</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投标保证金</w:t>
            </w:r>
          </w:p>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退付</w:t>
            </w:r>
          </w:p>
        </w:tc>
        <w:tc>
          <w:tcPr>
            <w:tcW w:w="8337" w:type="dxa"/>
            <w:gridSpan w:val="6"/>
            <w:tcBorders>
              <w:top w:val="single" w:color="auto" w:sz="4" w:space="0"/>
            </w:tcBorders>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1.未中标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在中标（成交）通知书发出后5个工作日退还；</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2.中标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在合同签订后5个工作日退还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15</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投标有</w:t>
            </w:r>
          </w:p>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效期</w:t>
            </w:r>
          </w:p>
        </w:tc>
        <w:tc>
          <w:tcPr>
            <w:tcW w:w="8337" w:type="dxa"/>
            <w:gridSpan w:val="6"/>
            <w:vAlign w:val="center"/>
          </w:tcPr>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90日历日（自投标截止时间起开始计算）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16</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评标办法</w:t>
            </w:r>
          </w:p>
        </w:tc>
        <w:tc>
          <w:tcPr>
            <w:tcW w:w="8337" w:type="dxa"/>
            <w:gridSpan w:val="6"/>
            <w:vAlign w:val="center"/>
          </w:tcPr>
          <w:p>
            <w:pPr>
              <w:autoSpaceDE w:val="0"/>
              <w:autoSpaceDN w:val="0"/>
              <w:adjustRightInd w:val="0"/>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1"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投标文件份数</w:t>
            </w:r>
          </w:p>
        </w:tc>
        <w:tc>
          <w:tcPr>
            <w:tcW w:w="8337" w:type="dxa"/>
            <w:gridSpan w:val="6"/>
            <w:vAlign w:val="center"/>
          </w:tcPr>
          <w:p>
            <w:pPr>
              <w:autoSpaceDE w:val="0"/>
              <w:autoSpaceDN w:val="0"/>
              <w:adjustRightInd w:val="0"/>
              <w:snapToGrid w:val="0"/>
              <w:spacing w:line="360" w:lineRule="auto"/>
              <w:jc w:val="left"/>
              <w:rPr>
                <w:rFonts w:hint="eastAsia" w:ascii="仿宋" w:hAnsi="仿宋" w:eastAsia="仿宋" w:cs="仿宋"/>
                <w:bCs/>
                <w:sz w:val="24"/>
                <w:szCs w:val="24"/>
                <w:lang w:eastAsia="zh-CN"/>
              </w:rPr>
            </w:pPr>
            <w:r>
              <w:rPr>
                <w:rFonts w:hint="eastAsia" w:ascii="仿宋" w:hAnsi="仿宋" w:eastAsia="仿宋" w:cs="仿宋"/>
                <w:bCs/>
                <w:sz w:val="24"/>
                <w:szCs w:val="24"/>
              </w:rPr>
              <w:t>加密的电子投标文件壹份(.jmbs格式)在</w:t>
            </w:r>
            <w:r>
              <w:rPr>
                <w:rFonts w:hint="eastAsia" w:ascii="仿宋" w:hAnsi="仿宋" w:eastAsia="仿宋" w:cs="仿宋"/>
                <w:bCs/>
                <w:sz w:val="24"/>
                <w:szCs w:val="24"/>
                <w:lang w:val="en-US" w:eastAsia="zh-CN"/>
              </w:rPr>
              <w:t>新疆政府</w:t>
            </w:r>
            <w:r>
              <w:rPr>
                <w:rFonts w:hint="eastAsia" w:ascii="仿宋" w:hAnsi="仿宋" w:eastAsia="仿宋" w:cs="仿宋"/>
                <w:bCs/>
                <w:sz w:val="24"/>
                <w:szCs w:val="24"/>
              </w:rPr>
              <w:t>采购网指定位置上传</w:t>
            </w:r>
            <w:r>
              <w:rPr>
                <w:rFonts w:hint="eastAsia" w:ascii="仿宋" w:hAnsi="仿宋" w:eastAsia="仿宋" w:cs="仿宋"/>
                <w:bCs/>
                <w:sz w:val="24"/>
                <w:szCs w:val="24"/>
                <w:lang w:eastAsia="zh-CN"/>
              </w:rPr>
              <w:t>。</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olor w:val="auto"/>
                <w:sz w:val="24"/>
                <w:lang w:val="en-US" w:eastAsia="zh-CN"/>
              </w:rPr>
              <w:t>投标人</w:t>
            </w:r>
            <w:r>
              <w:rPr>
                <w:rFonts w:hint="eastAsia" w:ascii="仿宋" w:hAnsi="仿宋" w:eastAsia="仿宋"/>
                <w:color w:val="auto"/>
                <w:sz w:val="24"/>
              </w:rPr>
              <w:t>成交后须向采购人提供</w:t>
            </w:r>
            <w:r>
              <w:rPr>
                <w:rFonts w:hint="eastAsia" w:ascii="仿宋" w:hAnsi="仿宋" w:eastAsia="仿宋"/>
                <w:color w:val="auto"/>
                <w:sz w:val="24"/>
                <w:lang w:val="en-US" w:eastAsia="zh-CN"/>
              </w:rPr>
              <w:t>叁</w:t>
            </w:r>
            <w:r>
              <w:rPr>
                <w:rFonts w:hint="eastAsia" w:ascii="仿宋" w:hAnsi="仿宋" w:eastAsia="仿宋"/>
                <w:color w:val="auto"/>
                <w:sz w:val="24"/>
              </w:rPr>
              <w:t>套纸质胶装版投标文件</w:t>
            </w:r>
            <w:r>
              <w:rPr>
                <w:rFonts w:hint="eastAsia" w:ascii="仿宋" w:hAnsi="仿宋" w:eastAsia="仿宋" w:cs="仿宋"/>
                <w:color w:val="auto"/>
                <w:kern w:val="0"/>
                <w:sz w:val="24"/>
                <w:szCs w:val="24"/>
                <w:highlight w:val="none"/>
              </w:rPr>
              <w:t>；并提交电子版投标文件</w:t>
            </w:r>
            <w:r>
              <w:rPr>
                <w:rFonts w:hint="eastAsia" w:ascii="仿宋" w:hAnsi="仿宋" w:eastAsia="仿宋" w:cs="仿宋"/>
                <w:color w:val="auto"/>
                <w:kern w:val="0"/>
                <w:sz w:val="24"/>
                <w:szCs w:val="24"/>
                <w:highlight w:val="none"/>
                <w:lang w:val="en-US" w:eastAsia="zh-CN"/>
              </w:rPr>
              <w:t>贰</w:t>
            </w:r>
            <w:r>
              <w:rPr>
                <w:rFonts w:hint="eastAsia" w:ascii="仿宋" w:hAnsi="仿宋" w:eastAsia="仿宋" w:cs="仿宋"/>
                <w:color w:val="auto"/>
                <w:kern w:val="0"/>
                <w:sz w:val="24"/>
                <w:szCs w:val="24"/>
                <w:highlight w:val="none"/>
              </w:rPr>
              <w:t>份（U盘贰个，</w:t>
            </w:r>
            <w:r>
              <w:rPr>
                <w:rFonts w:hint="eastAsia" w:ascii="仿宋" w:hAnsi="仿宋" w:eastAsia="仿宋" w:cs="仿宋"/>
                <w:b/>
                <w:color w:val="auto"/>
                <w:kern w:val="0"/>
                <w:sz w:val="24"/>
                <w:szCs w:val="24"/>
                <w:highlight w:val="none"/>
                <w:lang w:val="en-US" w:eastAsia="zh-CN"/>
              </w:rPr>
              <w:t>纸质</w:t>
            </w:r>
            <w:r>
              <w:rPr>
                <w:rFonts w:hint="eastAsia" w:ascii="仿宋" w:hAnsi="仿宋" w:eastAsia="仿宋" w:cs="仿宋"/>
                <w:b/>
                <w:color w:val="auto"/>
                <w:kern w:val="0"/>
                <w:sz w:val="24"/>
                <w:szCs w:val="24"/>
                <w:highlight w:val="none"/>
              </w:rPr>
              <w:t>版投标文件内容</w:t>
            </w:r>
            <w:r>
              <w:rPr>
                <w:rFonts w:hint="eastAsia" w:ascii="仿宋" w:hAnsi="仿宋" w:eastAsia="仿宋" w:cs="仿宋"/>
                <w:b/>
                <w:color w:val="auto"/>
                <w:kern w:val="0"/>
                <w:sz w:val="24"/>
                <w:szCs w:val="24"/>
                <w:highlight w:val="none"/>
                <w:lang w:val="en-US" w:eastAsia="zh-CN"/>
              </w:rPr>
              <w:t>需与投标时电子版</w:t>
            </w:r>
            <w:r>
              <w:rPr>
                <w:rFonts w:hint="eastAsia" w:ascii="仿宋" w:hAnsi="仿宋" w:eastAsia="仿宋" w:cs="仿宋"/>
                <w:b/>
                <w:color w:val="auto"/>
                <w:kern w:val="0"/>
                <w:sz w:val="24"/>
                <w:szCs w:val="24"/>
                <w:highlight w:val="none"/>
              </w:rPr>
              <w:t>一致</w:t>
            </w:r>
            <w:r>
              <w:rPr>
                <w:rFonts w:hint="eastAsia" w:ascii="仿宋" w:hAnsi="仿宋" w:eastAsia="仿宋" w:cs="仿宋"/>
                <w:color w:val="auto"/>
                <w:kern w:val="0"/>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1"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18</w:t>
            </w:r>
          </w:p>
        </w:tc>
        <w:tc>
          <w:tcPr>
            <w:tcW w:w="1664" w:type="dxa"/>
            <w:vAlign w:val="center"/>
          </w:tcPr>
          <w:p>
            <w:pPr>
              <w:jc w:val="center"/>
              <w:rPr>
                <w:rFonts w:hint="eastAsia" w:ascii="仿宋" w:hAnsi="仿宋" w:eastAsia="仿宋" w:cs="仿宋"/>
                <w:b/>
                <w:color w:val="auto"/>
                <w:kern w:val="0"/>
                <w:sz w:val="24"/>
                <w:szCs w:val="24"/>
                <w:highlight w:val="none"/>
              </w:rPr>
            </w:pPr>
            <w:r>
              <w:rPr>
                <w:rFonts w:hint="eastAsia" w:ascii="仿宋" w:hAnsi="仿宋" w:eastAsia="仿宋" w:cs="仿宋"/>
                <w:b/>
                <w:bCs/>
                <w:sz w:val="24"/>
                <w:szCs w:val="24"/>
              </w:rPr>
              <w:t>投标文件解密时间</w:t>
            </w:r>
          </w:p>
        </w:tc>
        <w:tc>
          <w:tcPr>
            <w:tcW w:w="8337" w:type="dxa"/>
            <w:gridSpan w:val="6"/>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000000"/>
                <w:sz w:val="24"/>
                <w:szCs w:val="24"/>
              </w:rPr>
              <w:t>开标时间后</w:t>
            </w:r>
            <w:r>
              <w:rPr>
                <w:rFonts w:hint="eastAsia" w:ascii="仿宋" w:hAnsi="仿宋" w:eastAsia="仿宋" w:cs="仿宋"/>
                <w:color w:val="000000"/>
                <w:sz w:val="24"/>
                <w:szCs w:val="24"/>
                <w:lang w:val="en-US" w:eastAsia="zh-CN"/>
              </w:rPr>
              <w:t>30</w:t>
            </w:r>
            <w:r>
              <w:rPr>
                <w:rFonts w:hint="eastAsia" w:ascii="仿宋" w:hAnsi="仿宋" w:eastAsia="仿宋" w:cs="仿宋"/>
                <w:color w:val="000000"/>
                <w:sz w:val="24"/>
                <w:szCs w:val="24"/>
              </w:rPr>
              <w:t>分钟内投标人可以登录“政采云”平台，用“项目采购-开标评标”功能进行解密投标文件。若投标人在规定时间内未按时解密的，视为无效投标。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02"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19</w:t>
            </w:r>
          </w:p>
        </w:tc>
        <w:tc>
          <w:tcPr>
            <w:tcW w:w="1664" w:type="dxa"/>
            <w:vAlign w:val="center"/>
          </w:tcPr>
          <w:p>
            <w:pPr>
              <w:overflowPunct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政府采购政策</w:t>
            </w:r>
          </w:p>
        </w:tc>
        <w:tc>
          <w:tcPr>
            <w:tcW w:w="8337" w:type="dxa"/>
            <w:gridSpan w:val="6"/>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000000"/>
                <w:sz w:val="24"/>
                <w:szCs w:val="24"/>
              </w:rPr>
              <w:t>1、需落实政府采购政策：</w:t>
            </w:r>
            <w:r>
              <w:rPr>
                <w:rFonts w:hint="eastAsia" w:ascii="仿宋" w:hAnsi="仿宋" w:eastAsia="仿宋" w:cs="仿宋"/>
                <w:color w:val="auto"/>
                <w:sz w:val="24"/>
                <w:szCs w:val="24"/>
              </w:rPr>
              <w:t>（1）财政部、国家发展改革委、生态环境部、市场监管总局《关于调整优化节能产品、环境标志产品政府采购执行机制的通知》（财库[2019]9号文）；</w:t>
            </w:r>
            <w:r>
              <w:rPr>
                <w:rFonts w:hint="eastAsia" w:ascii="仿宋" w:hAnsi="仿宋" w:eastAsia="仿宋" w:cs="仿宋"/>
                <w:color w:val="000000"/>
                <w:sz w:val="24"/>
                <w:szCs w:val="24"/>
              </w:rPr>
              <w:t>（2）财政部、生态环境部《关于印发环境标志产品政府采购品目清单的通知》（财库[2019]18号文）；（3）财政部、发展改革委《关于印发节能产品政府采购品目清单的通知》（财库[2019]19号文）；（4）市场监管总局《市场监管总局关于发布参与实施政府采购节能产品、环境标志产品认证机构名录的公告》（2019年第16号）；（5）财政部、工业和信息化部制定的《关于印发《政府采购促进中小企业发展管理办法》的通知》（财库〔2020〕46号）；（6）《关于落实好政府采购支持中小企业发展的通知》（新财购 〔2022〕22号）；（7）财政部、民政部、中国残疾人联合会《关于促进残疾人就业政府采购政策的通知》（财库[2017]141号）；（8）财政部、司法部《关于政府采购支持监狱企业发展有关问题的通知》（财库[2014]68号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20</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评标小组组成</w:t>
            </w:r>
          </w:p>
        </w:tc>
        <w:tc>
          <w:tcPr>
            <w:tcW w:w="8337" w:type="dxa"/>
            <w:gridSpan w:val="6"/>
            <w:vAlign w:val="center"/>
          </w:tcPr>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小组成员由</w:t>
            </w:r>
            <w:r>
              <w:rPr>
                <w:rFonts w:hint="eastAsia" w:ascii="仿宋" w:hAnsi="仿宋" w:eastAsia="仿宋" w:cs="仿宋"/>
                <w:b/>
                <w:color w:val="auto"/>
                <w:kern w:val="0"/>
                <w:sz w:val="24"/>
                <w:szCs w:val="24"/>
                <w:highlight w:val="none"/>
                <w:u w:val="single"/>
              </w:rPr>
              <w:t xml:space="preserve"> </w:t>
            </w:r>
            <w:r>
              <w:rPr>
                <w:rFonts w:hint="eastAsia" w:ascii="仿宋" w:hAnsi="仿宋" w:eastAsia="仿宋" w:cs="仿宋"/>
                <w:b/>
                <w:color w:val="auto"/>
                <w:kern w:val="0"/>
                <w:sz w:val="24"/>
                <w:szCs w:val="24"/>
                <w:highlight w:val="none"/>
                <w:u w:val="single"/>
                <w:lang w:val="en-US" w:eastAsia="zh-CN"/>
              </w:rPr>
              <w:t xml:space="preserve"> </w:t>
            </w:r>
            <w:r>
              <w:rPr>
                <w:rFonts w:hint="eastAsia" w:ascii="仿宋" w:hAnsi="仿宋" w:eastAsia="仿宋" w:cs="仿宋"/>
                <w:b/>
                <w:color w:val="auto"/>
                <w:kern w:val="0"/>
                <w:sz w:val="24"/>
                <w:szCs w:val="24"/>
                <w:highlight w:val="none"/>
                <w:u w:val="single"/>
              </w:rPr>
              <w:t xml:space="preserve">5 </w:t>
            </w:r>
            <w:r>
              <w:rPr>
                <w:rFonts w:hint="eastAsia" w:ascii="仿宋" w:hAnsi="仿宋" w:eastAsia="仿宋" w:cs="仿宋"/>
                <w:color w:val="auto"/>
                <w:kern w:val="0"/>
                <w:sz w:val="24"/>
                <w:szCs w:val="24"/>
                <w:highlight w:val="none"/>
              </w:rPr>
              <w:t>人组成，其中采购方代表</w:t>
            </w:r>
            <w:r>
              <w:rPr>
                <w:rFonts w:hint="eastAsia" w:ascii="仿宋" w:hAnsi="仿宋" w:eastAsia="仿宋" w:cs="仿宋"/>
                <w:b/>
                <w:color w:val="auto"/>
                <w:kern w:val="0"/>
                <w:sz w:val="24"/>
                <w:szCs w:val="24"/>
                <w:highlight w:val="none"/>
                <w:u w:val="single"/>
              </w:rPr>
              <w:t xml:space="preserve">  1 </w:t>
            </w:r>
            <w:r>
              <w:rPr>
                <w:rFonts w:hint="eastAsia" w:ascii="仿宋" w:hAnsi="仿宋" w:eastAsia="仿宋" w:cs="仿宋"/>
                <w:color w:val="auto"/>
                <w:kern w:val="0"/>
                <w:sz w:val="24"/>
                <w:szCs w:val="24"/>
                <w:highlight w:val="none"/>
              </w:rPr>
              <w:t>人，从</w:t>
            </w:r>
            <w:r>
              <w:rPr>
                <w:rFonts w:hint="eastAsia" w:ascii="仿宋" w:hAnsi="仿宋" w:eastAsia="仿宋" w:cs="仿宋"/>
                <w:color w:val="auto"/>
                <w:kern w:val="0"/>
                <w:sz w:val="24"/>
                <w:szCs w:val="24"/>
                <w:highlight w:val="none"/>
                <w:lang w:eastAsia="zh-CN"/>
              </w:rPr>
              <w:t>新疆政采云</w:t>
            </w:r>
            <w:r>
              <w:rPr>
                <w:rFonts w:hint="eastAsia" w:ascii="仿宋" w:hAnsi="仿宋" w:eastAsia="仿宋" w:cs="仿宋"/>
                <w:color w:val="auto"/>
                <w:kern w:val="0"/>
                <w:sz w:val="24"/>
                <w:szCs w:val="24"/>
                <w:highlight w:val="none"/>
              </w:rPr>
              <w:t>专家库中随机抽取的方式确定</w:t>
            </w:r>
            <w:r>
              <w:rPr>
                <w:rFonts w:hint="eastAsia" w:ascii="仿宋" w:hAnsi="仿宋" w:eastAsia="仿宋" w:cs="仿宋"/>
                <w:b/>
                <w:color w:val="auto"/>
                <w:kern w:val="0"/>
                <w:sz w:val="24"/>
                <w:szCs w:val="24"/>
                <w:highlight w:val="none"/>
                <w:u w:val="single"/>
              </w:rPr>
              <w:t xml:space="preserve">  4  </w:t>
            </w:r>
            <w:r>
              <w:rPr>
                <w:rFonts w:hint="eastAsia" w:ascii="仿宋" w:hAnsi="仿宋" w:eastAsia="仿宋" w:cs="仿宋"/>
                <w:color w:val="auto"/>
                <w:kern w:val="0"/>
                <w:sz w:val="24"/>
                <w:szCs w:val="24"/>
                <w:highlight w:val="none"/>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1</w:t>
            </w:r>
          </w:p>
        </w:tc>
        <w:tc>
          <w:tcPr>
            <w:tcW w:w="3411" w:type="dxa"/>
            <w:gridSpan w:val="3"/>
            <w:vMerge w:val="restart"/>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投标截止（开标）时间及地点</w:t>
            </w:r>
          </w:p>
        </w:tc>
        <w:tc>
          <w:tcPr>
            <w:tcW w:w="6590" w:type="dxa"/>
            <w:gridSpan w:val="4"/>
            <w:tcBorders>
              <w:left w:val="single" w:color="auto" w:sz="4" w:space="0"/>
              <w:bottom w:val="single" w:color="auto" w:sz="4" w:space="0"/>
            </w:tcBorders>
            <w:vAlign w:val="center"/>
          </w:tcPr>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b/>
                <w:color w:val="auto"/>
                <w:kern w:val="0"/>
                <w:sz w:val="24"/>
                <w:szCs w:val="24"/>
                <w:highlight w:val="none"/>
              </w:rPr>
              <w:t>投标截止（开标）时间：</w:t>
            </w:r>
            <w:r>
              <w:rPr>
                <w:rFonts w:hint="eastAsia" w:ascii="仿宋" w:hAnsi="仿宋" w:eastAsia="仿宋" w:cs="仿宋"/>
                <w:b/>
                <w:color w:val="auto"/>
                <w:kern w:val="0"/>
                <w:sz w:val="24"/>
                <w:szCs w:val="24"/>
                <w:highlight w:val="none"/>
                <w:u w:val="none"/>
                <w:lang w:val="en-US" w:eastAsia="zh-CN"/>
              </w:rPr>
              <w:t>2023</w:t>
            </w:r>
            <w:r>
              <w:rPr>
                <w:rFonts w:hint="eastAsia" w:ascii="仿宋" w:hAnsi="仿宋" w:eastAsia="仿宋" w:cs="仿宋"/>
                <w:b/>
                <w:bCs/>
                <w:color w:val="auto"/>
                <w:kern w:val="0"/>
                <w:sz w:val="24"/>
                <w:szCs w:val="24"/>
                <w:highlight w:val="none"/>
                <w:u w:val="none"/>
              </w:rPr>
              <w:t>年</w:t>
            </w:r>
            <w:r>
              <w:rPr>
                <w:rFonts w:hint="eastAsia" w:ascii="仿宋" w:hAnsi="仿宋" w:eastAsia="仿宋" w:cs="仿宋"/>
                <w:b/>
                <w:bCs/>
                <w:color w:val="auto"/>
                <w:kern w:val="0"/>
                <w:sz w:val="24"/>
                <w:szCs w:val="24"/>
                <w:highlight w:val="none"/>
                <w:u w:val="none"/>
                <w:lang w:val="en-US" w:eastAsia="zh-CN"/>
              </w:rPr>
              <w:t>06</w:t>
            </w:r>
            <w:r>
              <w:rPr>
                <w:rFonts w:hint="eastAsia" w:ascii="仿宋" w:hAnsi="仿宋" w:eastAsia="仿宋" w:cs="仿宋"/>
                <w:b/>
                <w:bCs/>
                <w:color w:val="auto"/>
                <w:kern w:val="0"/>
                <w:sz w:val="24"/>
                <w:szCs w:val="24"/>
                <w:highlight w:val="none"/>
                <w:u w:val="none"/>
              </w:rPr>
              <w:t>月</w:t>
            </w:r>
            <w:r>
              <w:rPr>
                <w:rFonts w:hint="eastAsia" w:ascii="仿宋" w:hAnsi="仿宋" w:eastAsia="仿宋" w:cs="仿宋"/>
                <w:b/>
                <w:bCs/>
                <w:color w:val="auto"/>
                <w:kern w:val="0"/>
                <w:sz w:val="24"/>
                <w:szCs w:val="24"/>
                <w:highlight w:val="none"/>
                <w:u w:val="none"/>
                <w:lang w:val="en-US" w:eastAsia="zh-CN"/>
              </w:rPr>
              <w:t>14</w:t>
            </w:r>
            <w:r>
              <w:rPr>
                <w:rFonts w:hint="eastAsia" w:ascii="仿宋" w:hAnsi="仿宋" w:eastAsia="仿宋" w:cs="仿宋"/>
                <w:b/>
                <w:bCs/>
                <w:color w:val="auto"/>
                <w:kern w:val="0"/>
                <w:sz w:val="24"/>
                <w:szCs w:val="24"/>
                <w:highlight w:val="none"/>
                <w:u w:val="none"/>
              </w:rPr>
              <w:t>日</w:t>
            </w:r>
            <w:r>
              <w:rPr>
                <w:rFonts w:hint="eastAsia" w:ascii="仿宋" w:hAnsi="仿宋" w:eastAsia="仿宋" w:cs="仿宋"/>
                <w:b/>
                <w:bCs/>
                <w:color w:val="auto"/>
                <w:kern w:val="0"/>
                <w:sz w:val="24"/>
                <w:szCs w:val="24"/>
                <w:highlight w:val="none"/>
                <w:u w:val="none"/>
                <w:lang w:val="en-US" w:eastAsia="zh-CN"/>
              </w:rPr>
              <w:t>16:30（北京时间）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3411" w:type="dxa"/>
            <w:gridSpan w:val="3"/>
            <w:vMerge w:val="continue"/>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6590" w:type="dxa"/>
            <w:gridSpan w:val="4"/>
            <w:tcBorders>
              <w:top w:val="single" w:color="auto" w:sz="4" w:space="0"/>
              <w:left w:val="single" w:color="auto" w:sz="4" w:space="0"/>
            </w:tcBorders>
            <w:vAlign w:val="center"/>
          </w:tcPr>
          <w:p>
            <w:pPr>
              <w:autoSpaceDE w:val="0"/>
              <w:autoSpaceDN w:val="0"/>
              <w:adjustRightInd w:val="0"/>
              <w:snapToGrid w:val="0"/>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地点:</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000000"/>
                <w:sz w:val="24"/>
                <w:szCs w:val="24"/>
              </w:rPr>
              <w:t>请登录政采云投标客户端，在截止时间前将加密的电子</w:t>
            </w:r>
            <w:r>
              <w:rPr>
                <w:rFonts w:hint="eastAsia" w:ascii="仿宋" w:hAnsi="仿宋" w:eastAsia="仿宋" w:cs="仿宋"/>
                <w:color w:val="000000"/>
                <w:sz w:val="24"/>
                <w:szCs w:val="24"/>
                <w:lang w:val="en-US" w:eastAsia="zh-CN"/>
              </w:rPr>
              <w:t>投标</w:t>
            </w:r>
            <w:r>
              <w:rPr>
                <w:rFonts w:hint="eastAsia" w:ascii="仿宋" w:hAnsi="仿宋" w:eastAsia="仿宋" w:cs="仿宋"/>
                <w:color w:val="000000"/>
                <w:sz w:val="24"/>
                <w:szCs w:val="24"/>
              </w:rPr>
              <w:t>文件（.jmbs）上传到新疆政府采购网对应的位置（逾期上传或者未上传指定地点的</w:t>
            </w:r>
            <w:r>
              <w:rPr>
                <w:rFonts w:hint="eastAsia" w:ascii="仿宋" w:hAnsi="仿宋" w:eastAsia="仿宋" w:cs="仿宋"/>
                <w:color w:val="000000"/>
                <w:sz w:val="24"/>
                <w:szCs w:val="24"/>
                <w:lang w:val="en-US" w:eastAsia="zh-CN"/>
              </w:rPr>
              <w:t>投标</w:t>
            </w:r>
            <w:r>
              <w:rPr>
                <w:rFonts w:hint="eastAsia" w:ascii="仿宋" w:hAnsi="仿宋" w:eastAsia="仿宋" w:cs="仿宋"/>
                <w:color w:val="000000"/>
                <w:sz w:val="24"/>
                <w:szCs w:val="24"/>
              </w:rPr>
              <w:t>文件，采购人不予受理）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7"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2</w:t>
            </w:r>
          </w:p>
        </w:tc>
        <w:tc>
          <w:tcPr>
            <w:tcW w:w="1664" w:type="dxa"/>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eastAsia="zh-CN"/>
              </w:rPr>
            </w:pPr>
            <w:r>
              <w:rPr>
                <w:rFonts w:hint="eastAsia" w:ascii="仿宋" w:hAnsi="仿宋" w:eastAsia="仿宋" w:cs="仿宋"/>
                <w:b/>
                <w:color w:val="auto"/>
                <w:kern w:val="0"/>
                <w:sz w:val="24"/>
                <w:szCs w:val="24"/>
                <w:highlight w:val="none"/>
                <w:lang w:eastAsia="zh-CN"/>
              </w:rPr>
              <w:t>投标人资格</w:t>
            </w:r>
          </w:p>
        </w:tc>
        <w:tc>
          <w:tcPr>
            <w:tcW w:w="8337" w:type="dxa"/>
            <w:gridSpan w:val="6"/>
            <w:tcBorders>
              <w:left w:val="single" w:color="auto" w:sz="4" w:space="0"/>
            </w:tcBorders>
            <w:vAlign w:val="center"/>
          </w:tcPr>
          <w:p>
            <w:pPr>
              <w:pStyle w:val="28"/>
              <w:keepNext w:val="0"/>
              <w:keepLines w:val="0"/>
              <w:pageBreakBefore w:val="0"/>
              <w:widowControl/>
              <w:numPr>
                <w:ilvl w:val="0"/>
                <w:numId w:val="0"/>
              </w:numPr>
              <w:suppressLineNumbers w:val="0"/>
              <w:kinsoku/>
              <w:wordWrap/>
              <w:overflowPunct/>
              <w:topLinePunct w:val="0"/>
              <w:bidi w:val="0"/>
              <w:spacing w:before="75" w:beforeAutospacing="0" w:after="75" w:afterAutospacing="0" w:line="300" w:lineRule="atLeast"/>
              <w:ind w:right="0" w:rightChars="0"/>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满足《中华人民共和国政府采购法》第二十二条规定；</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（1）投标人为企业法人应提供合法有效的标识有统一社会信用代码的营业执照；事业法人应提供事业单位法人证书；其他组织应提供合法登记证明文件；</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（2）法定代表人（负责人）参加提供法定代表人（负责人）身份证明书及身份证（授权委托人参加提供法定代表人（负责人）授权委托书及被委托人身份证）；</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3）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（4）投标人提供近半年内已缴存的至少一个月的社会保障资金缴存单据或社保机构开具的社会保险参保缴费情况证明，依法不需要缴纳社会保障资金的投标人应提供相关文件证明；</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5）投标人提供2022年的财务审计报告（成立时间至提交投标文件截止时间不足一年的可提供成立后任意时段的资产负债表），或其开标前三个月内基本存款账户开户银行出具的资信证明及基本存款账户开户证明；</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（6）投标人提供近半年内已缴纳的至少一个月的纳税证明或完税证明，纳税证明或完税证明上应有代收机构或税务机关的公章，依法免税的投标人应提供相关文件证明；</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（7）投标人应具备良好的商业信誉，提供参加政府采购活动前3年内在经营活动中没有重大违法记录的书面声明；</w:t>
            </w:r>
          </w:p>
          <w:p>
            <w:pPr>
              <w:pStyle w:val="27"/>
              <w:rPr>
                <w:rFonts w:hint="eastAsia" w:ascii="仿宋" w:hAnsi="仿宋" w:eastAsia="仿宋" w:cs="仿宋"/>
                <w:i w:val="0"/>
                <w:iCs w:val="0"/>
                <w:caps w:val="0"/>
                <w:color w:val="000000"/>
                <w:spacing w:val="0"/>
                <w:sz w:val="24"/>
                <w:szCs w:val="24"/>
                <w:highlight w:val="yellow"/>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（8）保证金汇款凭证或保函；</w:t>
            </w:r>
          </w:p>
          <w:p>
            <w:pPr>
              <w:pStyle w:val="27"/>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9）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（10）本项目不接受联合体投标。</w:t>
            </w:r>
          </w:p>
          <w:p>
            <w:pPr>
              <w:keepNext w:val="0"/>
              <w:keepLines w:val="0"/>
              <w:pageBreakBefore w:val="0"/>
              <w:kinsoku/>
              <w:wordWrap/>
              <w:overflowPunct/>
              <w:topLinePunct w:val="0"/>
              <w:bidi w:val="0"/>
              <w:spacing w:line="360" w:lineRule="exact"/>
              <w:ind w:firstLine="442" w:firstLineChars="200"/>
              <w:textAlignment w:val="auto"/>
              <w:rPr>
                <w:rFonts w:hint="eastAsia" w:ascii="宋体" w:hAnsi="宋体" w:eastAsia="宋体" w:cs="Times New Roman"/>
                <w:b/>
                <w:sz w:val="22"/>
                <w:szCs w:val="22"/>
                <w:lang w:val="en-US" w:eastAsia="zh-CN"/>
              </w:rPr>
            </w:pPr>
            <w:r>
              <w:rPr>
                <w:rFonts w:hint="eastAsia" w:ascii="宋体" w:hAnsi="宋体"/>
                <w:b/>
                <w:sz w:val="22"/>
                <w:szCs w:val="22"/>
              </w:rPr>
              <w:t>说明：1、上述1-</w:t>
            </w:r>
            <w:r>
              <w:rPr>
                <w:rFonts w:hint="eastAsia" w:ascii="宋体" w:hAnsi="宋体"/>
                <w:b/>
                <w:sz w:val="22"/>
                <w:szCs w:val="22"/>
                <w:lang w:val="en-US" w:eastAsia="zh-CN"/>
              </w:rPr>
              <w:t>8</w:t>
            </w:r>
            <w:r>
              <w:rPr>
                <w:rFonts w:hint="eastAsia" w:ascii="宋体" w:hAnsi="宋体"/>
                <w:b/>
                <w:sz w:val="22"/>
                <w:szCs w:val="22"/>
              </w:rPr>
              <w:t>条资料为开标时资格审查的必备条件，如果缺项或不符合要求则视为对招标文件资格审查内容的不响应，投标将被拒绝（电子版投标文件内所有资格</w:t>
            </w:r>
            <w:r>
              <w:rPr>
                <w:rFonts w:hint="eastAsia" w:ascii="仿宋" w:hAnsi="仿宋" w:eastAsia="仿宋" w:cs="仿宋"/>
                <w:b/>
                <w:color w:val="auto"/>
                <w:kern w:val="0"/>
                <w:sz w:val="24"/>
                <w:szCs w:val="24"/>
                <w:highlight w:val="none"/>
              </w:rPr>
              <w:t>证</w:t>
            </w:r>
            <w:r>
              <w:rPr>
                <w:rFonts w:hint="eastAsia" w:ascii="宋体" w:hAnsi="宋体" w:eastAsia="宋体" w:cs="Times New Roman"/>
                <w:b/>
                <w:sz w:val="22"/>
                <w:szCs w:val="22"/>
                <w:lang w:val="en-US" w:eastAsia="zh-CN"/>
              </w:rPr>
              <w:t>明文件，投标人须逐页加盖电子签章）。</w:t>
            </w:r>
          </w:p>
          <w:p>
            <w:pPr>
              <w:keepNext w:val="0"/>
              <w:keepLines w:val="0"/>
              <w:pageBreakBefore w:val="0"/>
              <w:kinsoku/>
              <w:wordWrap/>
              <w:overflowPunct/>
              <w:topLinePunct w:val="0"/>
              <w:bidi w:val="0"/>
              <w:spacing w:line="360" w:lineRule="exact"/>
              <w:ind w:firstLine="442" w:firstLineChars="200"/>
              <w:textAlignment w:val="auto"/>
              <w:rPr>
                <w:rFonts w:hint="eastAsia"/>
              </w:rPr>
            </w:pPr>
            <w:r>
              <w:rPr>
                <w:rFonts w:hint="eastAsia" w:ascii="宋体" w:hAnsi="宋体" w:eastAsia="宋体" w:cs="Times New Roman"/>
                <w:b/>
                <w:sz w:val="22"/>
                <w:szCs w:val="22"/>
                <w:lang w:val="en-US" w:eastAsia="zh-CN"/>
              </w:rPr>
              <w:t>2、开标前，请各投标人将上述有效证件的扫描件上传到“政采云”平台待开标时查验，上述证件的公证件本次采购不予认可。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3</w:t>
            </w:r>
          </w:p>
        </w:tc>
        <w:tc>
          <w:tcPr>
            <w:tcW w:w="1664" w:type="dxa"/>
            <w:vMerge w:val="restart"/>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公告及</w:t>
            </w:r>
            <w:r>
              <w:rPr>
                <w:rFonts w:hint="eastAsia" w:ascii="仿宋" w:hAnsi="仿宋" w:eastAsia="仿宋" w:cs="仿宋"/>
                <w:b/>
                <w:color w:val="auto"/>
                <w:kern w:val="0"/>
                <w:sz w:val="24"/>
                <w:szCs w:val="24"/>
                <w:highlight w:val="none"/>
                <w:lang w:eastAsia="zh-CN"/>
              </w:rPr>
              <w:t>中标</w:t>
            </w:r>
            <w:r>
              <w:rPr>
                <w:rFonts w:hint="eastAsia" w:ascii="仿宋" w:hAnsi="仿宋" w:eastAsia="仿宋" w:cs="仿宋"/>
                <w:b/>
                <w:color w:val="auto"/>
                <w:kern w:val="0"/>
                <w:sz w:val="24"/>
                <w:szCs w:val="24"/>
                <w:highlight w:val="none"/>
              </w:rPr>
              <w:t>公示发布媒介</w:t>
            </w:r>
          </w:p>
        </w:tc>
        <w:tc>
          <w:tcPr>
            <w:tcW w:w="8337" w:type="dxa"/>
            <w:gridSpan w:val="6"/>
            <w:tcBorders>
              <w:left w:val="single" w:color="auto" w:sz="4" w:space="0"/>
              <w:bottom w:val="single" w:color="auto" w:sz="4" w:space="0"/>
            </w:tcBorders>
            <w:vAlign w:val="center"/>
          </w:tcPr>
          <w:p>
            <w:pPr>
              <w:adjustRightInd w:val="0"/>
              <w:snapToGrid w:val="0"/>
              <w:spacing w:line="360" w:lineRule="auto"/>
              <w:rPr>
                <w:rFonts w:hint="default" w:ascii="仿宋" w:hAnsi="仿宋" w:eastAsia="仿宋" w:cs="仿宋"/>
                <w:color w:val="auto"/>
                <w:kern w:val="0"/>
                <w:sz w:val="24"/>
                <w:szCs w:val="24"/>
                <w:highlight w:val="none"/>
                <w:lang w:val="en-US"/>
              </w:rPr>
            </w:pPr>
            <w:r>
              <w:rPr>
                <w:rFonts w:hint="eastAsia" w:ascii="仿宋" w:hAnsi="仿宋" w:eastAsia="仿宋" w:cs="仿宋"/>
                <w:color w:val="auto"/>
                <w:kern w:val="0"/>
                <w:sz w:val="24"/>
                <w:szCs w:val="24"/>
                <w:highlight w:val="none"/>
              </w:rPr>
              <w:t>新疆政府采购网（http://www.ccgp-xinjiang.gov.cn/）、伊犁州公共资源交易网（http://ggzy.xjyl.gov.cn/）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8337" w:type="dxa"/>
            <w:gridSpan w:val="6"/>
            <w:tcBorders>
              <w:top w:val="single" w:color="auto" w:sz="4" w:space="0"/>
              <w:left w:val="single" w:color="auto" w:sz="4" w:space="0"/>
            </w:tcBorders>
            <w:vAlign w:val="center"/>
          </w:tcPr>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公示期不少于1工作日，公示期内无异议将向第一中标候选人发出</w:t>
            </w:r>
            <w:r>
              <w:rPr>
                <w:rFonts w:hint="eastAsia" w:ascii="仿宋" w:hAnsi="仿宋" w:eastAsia="仿宋" w:cs="仿宋"/>
                <w:color w:val="auto"/>
                <w:kern w:val="0"/>
                <w:sz w:val="24"/>
                <w:szCs w:val="24"/>
                <w:highlight w:val="none"/>
                <w:lang w:eastAsia="zh-CN"/>
              </w:rPr>
              <w:t>中标</w:t>
            </w:r>
            <w:r>
              <w:rPr>
                <w:rFonts w:hint="eastAsia" w:ascii="仿宋" w:hAnsi="仿宋" w:eastAsia="仿宋" w:cs="仿宋"/>
                <w:color w:val="auto"/>
                <w:kern w:val="0"/>
                <w:sz w:val="24"/>
                <w:szCs w:val="24"/>
                <w:highlight w:val="none"/>
              </w:rPr>
              <w:t>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4</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中标</w:t>
            </w:r>
          </w:p>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通知书</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中标公示</w:t>
            </w:r>
            <w:r>
              <w:rPr>
                <w:rFonts w:hint="eastAsia" w:ascii="仿宋" w:hAnsi="仿宋" w:eastAsia="仿宋" w:cs="仿宋"/>
                <w:b/>
                <w:color w:val="auto"/>
                <w:sz w:val="24"/>
                <w:szCs w:val="24"/>
                <w:highlight w:val="none"/>
              </w:rPr>
              <w:t>1</w:t>
            </w:r>
            <w:r>
              <w:rPr>
                <w:rFonts w:hint="eastAsia" w:ascii="仿宋" w:hAnsi="仿宋" w:eastAsia="仿宋" w:cs="仿宋"/>
                <w:color w:val="auto"/>
                <w:sz w:val="24"/>
                <w:szCs w:val="24"/>
                <w:highlight w:val="none"/>
              </w:rPr>
              <w:t>工作日无异议后发放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5</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签订合同时间</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中标通知书发出之日起</w:t>
            </w:r>
            <w:r>
              <w:rPr>
                <w:rFonts w:hint="eastAsia" w:ascii="仿宋" w:hAnsi="仿宋" w:eastAsia="仿宋" w:cs="仿宋"/>
                <w:b/>
                <w:color w:val="auto"/>
                <w:sz w:val="24"/>
                <w:szCs w:val="24"/>
                <w:highlight w:val="none"/>
              </w:rPr>
              <w:t>30</w:t>
            </w:r>
            <w:r>
              <w:rPr>
                <w:rFonts w:hint="eastAsia" w:ascii="仿宋" w:hAnsi="仿宋" w:eastAsia="仿宋" w:cs="仿宋"/>
                <w:color w:val="auto"/>
                <w:sz w:val="24"/>
                <w:szCs w:val="24"/>
                <w:highlight w:val="none"/>
              </w:rPr>
              <w:t>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6</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代理</w:t>
            </w:r>
          </w:p>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服务费</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成交服务商在收到</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通知书后，须支付代理服务费，参考国家发展计划委员会“计价格（2002）1980号”文件、“发改办价格[2003]857号”文及发改办价格〔2011〕534号文收取。</w:t>
            </w:r>
          </w:p>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单位名称：新疆华域建设工程项目管理咨询有限公司伊犁分公司  </w:t>
            </w:r>
          </w:p>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开户银行：中国工商银行股份有限公司伊宁阿合买提江街支行</w:t>
            </w:r>
          </w:p>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银行账号：3006023109200131786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9"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7</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文件</w:t>
            </w:r>
          </w:p>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解释权</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的解释权归</w:t>
            </w:r>
            <w:r>
              <w:rPr>
                <w:rFonts w:hint="eastAsia" w:ascii="仿宋" w:hAnsi="仿宋" w:eastAsia="仿宋" w:cs="仿宋"/>
                <w:b/>
                <w:color w:val="auto"/>
                <w:sz w:val="24"/>
                <w:szCs w:val="24"/>
                <w:highlight w:val="none"/>
                <w:lang w:eastAsia="zh-CN"/>
              </w:rPr>
              <w:t>特克斯县人民医院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8</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其他要求</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承担所有相关责任的同时不得耽误本项目</w:t>
            </w:r>
            <w:r>
              <w:rPr>
                <w:rFonts w:hint="eastAsia" w:ascii="仿宋" w:hAnsi="仿宋" w:eastAsia="仿宋" w:cs="仿宋"/>
                <w:color w:val="auto"/>
                <w:sz w:val="24"/>
                <w:szCs w:val="24"/>
                <w:highlight w:val="none"/>
                <w:lang w:val="en-US" w:eastAsia="zh-CN"/>
              </w:rPr>
              <w:t>的服务</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14"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29</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重要说明</w:t>
            </w:r>
          </w:p>
        </w:tc>
        <w:tc>
          <w:tcPr>
            <w:tcW w:w="8337" w:type="dxa"/>
            <w:gridSpan w:val="6"/>
            <w:vAlign w:val="center"/>
          </w:tcPr>
          <w:p>
            <w:pPr>
              <w:keepNext w:val="0"/>
              <w:keepLines w:val="0"/>
              <w:pageBreakBefore w:val="0"/>
              <w:kinsoku/>
              <w:wordWrap/>
              <w:overflowPunct/>
              <w:topLinePunct w:val="0"/>
              <w:autoSpaceDE/>
              <w:autoSpaceDN/>
              <w:bidi w:val="0"/>
              <w:spacing w:line="440" w:lineRule="exact"/>
              <w:ind w:right="105" w:rightChars="50"/>
              <w:textAlignment w:val="auto"/>
              <w:rPr>
                <w:rFonts w:hint="eastAsia" w:ascii="仿宋" w:hAnsi="仿宋" w:eastAsia="仿宋" w:cs="Times New Roman"/>
                <w:sz w:val="24"/>
                <w:lang w:val="en-US" w:eastAsia="zh-CN"/>
              </w:rPr>
            </w:pPr>
            <w:r>
              <w:rPr>
                <w:rFonts w:hint="eastAsia" w:ascii="仿宋" w:hAnsi="仿宋" w:eastAsia="仿宋" w:cs="Times New Roman"/>
                <w:b w:val="0"/>
                <w:bCs w:val="0"/>
                <w:sz w:val="24"/>
                <w:lang w:val="en-US" w:eastAsia="zh-CN"/>
              </w:rPr>
              <w:t>本项目采用电子招标投标：</w:t>
            </w:r>
            <w:r>
              <w:rPr>
                <w:rFonts w:hint="eastAsia" w:ascii="仿宋" w:hAnsi="仿宋" w:eastAsia="仿宋" w:cs="Times New Roman"/>
                <w:sz w:val="24"/>
                <w:lang w:val="en-US" w:eastAsia="zh-CN"/>
              </w:rPr>
              <w:t>1、投标文件解密时间：投标文件解密时间30分钟，开标前需投标单位用CA证书登录政采云平台开标大厅签到，在30分钟解密时间内输入CA证书PIN码解密投标文件。在30分钟解密时间内未进行解密的投标单位将导致废标。（解密时间开始时政采云平台将以短信形式向供应商在政采云平台预留的手机号发送短信通知，请供应商及时关注。）</w:t>
            </w:r>
          </w:p>
          <w:p>
            <w:pPr>
              <w:keepNext w:val="0"/>
              <w:keepLines w:val="0"/>
              <w:pageBreakBefore w:val="0"/>
              <w:numPr>
                <w:ilvl w:val="0"/>
                <w:numId w:val="3"/>
              </w:numPr>
              <w:kinsoku/>
              <w:wordWrap/>
              <w:overflowPunct/>
              <w:topLinePunct w:val="0"/>
              <w:autoSpaceDE/>
              <w:autoSpaceDN/>
              <w:bidi w:val="0"/>
              <w:spacing w:line="440" w:lineRule="exact"/>
              <w:ind w:right="105" w:rightChars="5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供应商报价CA签字确认：报价文件开启后将开启签字时段，供应商须在20分钟内用CA证书对报价进行签字确认。</w:t>
            </w:r>
          </w:p>
          <w:p>
            <w:pPr>
              <w:keepNext w:val="0"/>
              <w:keepLines w:val="0"/>
              <w:pageBreakBefore w:val="0"/>
              <w:numPr>
                <w:ilvl w:val="0"/>
                <w:numId w:val="0"/>
              </w:numPr>
              <w:kinsoku/>
              <w:wordWrap/>
              <w:overflowPunct/>
              <w:topLinePunct w:val="0"/>
              <w:autoSpaceDE/>
              <w:autoSpaceDN/>
              <w:bidi w:val="0"/>
              <w:spacing w:line="440" w:lineRule="exact"/>
              <w:ind w:right="105" w:rightChars="50"/>
              <w:textAlignment w:val="auto"/>
              <w:rPr>
                <w:rFonts w:hint="eastAsia" w:ascii="仿宋" w:hAnsi="仿宋" w:eastAsia="仿宋"/>
                <w:sz w:val="24"/>
              </w:rPr>
            </w:pPr>
            <w:r>
              <w:rPr>
                <w:rFonts w:hint="eastAsia" w:ascii="仿宋" w:hAnsi="仿宋" w:eastAsia="仿宋"/>
                <w:sz w:val="24"/>
                <w:lang w:val="en-US" w:eastAsia="zh-CN"/>
              </w:rPr>
              <w:t>备注：</w:t>
            </w:r>
            <w:r>
              <w:rPr>
                <w:rFonts w:hint="eastAsia" w:ascii="仿宋" w:hAnsi="仿宋" w:eastAsia="仿宋"/>
                <w:sz w:val="24"/>
              </w:rPr>
              <w:t>1、本次采购采用电子交易方式，电子交易平台为“</w:t>
            </w:r>
            <w:r>
              <w:rPr>
                <w:rFonts w:hint="eastAsia" w:ascii="仿宋" w:hAnsi="仿宋" w:eastAsia="仿宋" w:cs="仿宋"/>
                <w:color w:val="000000"/>
                <w:kern w:val="2"/>
                <w:sz w:val="24"/>
                <w:szCs w:val="24"/>
                <w:lang w:val="en-US" w:eastAsia="zh-CN" w:bidi="ar-SA"/>
              </w:rPr>
              <w:t>政府采购云平台（www.zcygov.cn）</w:t>
            </w:r>
            <w:r>
              <w:rPr>
                <w:rFonts w:hint="eastAsia" w:ascii="仿宋" w:hAnsi="仿宋" w:eastAsia="仿宋"/>
                <w:sz w:val="24"/>
              </w:rPr>
              <w:t>”。供应商参与本项目电子交易活动前，应注册成为</w:t>
            </w:r>
            <w:r>
              <w:rPr>
                <w:rFonts w:hint="eastAsia" w:ascii="仿宋" w:hAnsi="仿宋" w:eastAsia="仿宋" w:cs="仿宋"/>
                <w:color w:val="000000"/>
                <w:kern w:val="2"/>
                <w:sz w:val="24"/>
                <w:szCs w:val="24"/>
                <w:lang w:val="en-US" w:eastAsia="zh-CN" w:bidi="ar-SA"/>
              </w:rPr>
              <w:t>政府采购云平台供应商</w:t>
            </w:r>
            <w:r>
              <w:rPr>
                <w:rFonts w:hint="eastAsia" w:ascii="仿宋" w:hAnsi="仿宋" w:eastAsia="仿宋"/>
                <w:sz w:val="24"/>
              </w:rPr>
              <w:t>。编制电子投标文件前还需申领CA证书并绑定帐号。供应商应充分考虑完成平台注册、申领CA证书等所需的时间。因未注册入库、未办理CA数字证书等原因造成无法投标或投标失败等后果由供应商自行承担。</w:t>
            </w:r>
          </w:p>
          <w:p>
            <w:pPr>
              <w:keepNext w:val="0"/>
              <w:keepLines w:val="0"/>
              <w:pageBreakBefore w:val="0"/>
              <w:kinsoku/>
              <w:wordWrap/>
              <w:overflowPunct/>
              <w:topLinePunct w:val="0"/>
              <w:autoSpaceDE/>
              <w:autoSpaceDN/>
              <w:bidi w:val="0"/>
              <w:spacing w:line="440" w:lineRule="exact"/>
              <w:ind w:right="105" w:rightChars="50"/>
              <w:textAlignment w:val="auto"/>
              <w:rPr>
                <w:rFonts w:hint="eastAsia" w:ascii="仿宋" w:hAnsi="仿宋" w:eastAsia="仿宋"/>
                <w:sz w:val="24"/>
              </w:rPr>
            </w:pPr>
            <w:r>
              <w:rPr>
                <w:rFonts w:hint="eastAsia" w:ascii="仿宋" w:hAnsi="仿宋" w:eastAsia="仿宋"/>
                <w:sz w:val="24"/>
              </w:rPr>
              <w:t>2、供应商须在在投标截止时间前通过CA在政采云平台上传加密的电子投标文件。供应商在开标时须使用制作加密电子投标文件所使用的CA锁解密，供应商须提前配置好浏览器（建议使用360浏览器或谷歌浏览器），并确保开标期间电脑网络环境畅通，以便开标时解密。本项目解密时间定为</w:t>
            </w:r>
            <w:r>
              <w:rPr>
                <w:rFonts w:hint="eastAsia" w:ascii="仿宋" w:hAnsi="仿宋" w:eastAsia="仿宋"/>
                <w:sz w:val="24"/>
                <w:lang w:val="en-US" w:eastAsia="zh-CN"/>
              </w:rPr>
              <w:t>30</w:t>
            </w:r>
            <w:r>
              <w:rPr>
                <w:rFonts w:hint="eastAsia" w:ascii="仿宋" w:hAnsi="仿宋" w:eastAsia="仿宋"/>
                <w:sz w:val="24"/>
              </w:rPr>
              <w:t>分钟，如因供应商自身原因导致无法正常解密，后果由供应商自行承担。</w:t>
            </w:r>
          </w:p>
          <w:p>
            <w:pPr>
              <w:pStyle w:val="2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仿宋" w:hAnsi="仿宋" w:eastAsia="仿宋"/>
                <w:sz w:val="24"/>
              </w:rPr>
            </w:pPr>
            <w:r>
              <w:rPr>
                <w:rFonts w:hint="eastAsia" w:ascii="仿宋" w:hAnsi="仿宋" w:eastAsia="仿宋"/>
                <w:sz w:val="24"/>
              </w:rPr>
              <w:t>3、</w:t>
            </w:r>
            <w:r>
              <w:rPr>
                <w:rFonts w:hint="eastAsia" w:ascii="仿宋" w:hAnsi="仿宋" w:eastAsia="仿宋" w:cs="Times New Roman"/>
                <w:kern w:val="2"/>
                <w:sz w:val="24"/>
                <w:szCs w:val="22"/>
                <w:lang w:val="en-US" w:eastAsia="zh-CN" w:bidi="ar-SA"/>
              </w:rPr>
              <w:t>各供应商对不见面开评标系统的技术操作咨询，各政府采购代理机构（含集采机构）及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w:t>
            </w:r>
            <w:r>
              <w:rPr>
                <w:rFonts w:hint="eastAsia" w:ascii="仿宋" w:hAnsi="仿宋" w:eastAsia="仿宋" w:cs="仿宋"/>
                <w:color w:val="000000"/>
                <w:sz w:val="24"/>
                <w:szCs w:val="24"/>
                <w:lang w:val="en-US" w:eastAsia="zh-CN"/>
              </w:rPr>
              <w:t>95763</w:t>
            </w:r>
            <w:r>
              <w:rPr>
                <w:rFonts w:hint="eastAsia" w:ascii="仿宋" w:hAnsi="仿宋" w:eastAsia="仿宋" w:cs="Times New Roman"/>
                <w:kern w:val="2"/>
                <w:sz w:val="24"/>
                <w:szCs w:val="22"/>
                <w:lang w:val="en-US" w:eastAsia="zh-CN" w:bidi="ar-SA"/>
              </w:rPr>
              <w:t>（工作时间：工作日08:00~20：00）   。</w:t>
            </w:r>
          </w:p>
          <w:p>
            <w:pPr>
              <w:keepNext w:val="0"/>
              <w:keepLines w:val="0"/>
              <w:pageBreakBefore w:val="0"/>
              <w:kinsoku/>
              <w:wordWrap/>
              <w:overflowPunct/>
              <w:topLinePunct w:val="0"/>
              <w:autoSpaceDE/>
              <w:autoSpaceDN/>
              <w:bidi w:val="0"/>
              <w:spacing w:line="440" w:lineRule="exact"/>
              <w:ind w:right="105" w:rightChars="50"/>
              <w:textAlignment w:val="auto"/>
              <w:rPr>
                <w:rFonts w:hint="eastAsia" w:ascii="仿宋" w:hAnsi="仿宋" w:eastAsia="仿宋" w:cs="仿宋"/>
                <w:kern w:val="2"/>
                <w:sz w:val="24"/>
                <w:szCs w:val="24"/>
                <w:lang w:val="en-US" w:eastAsia="zh-CN" w:bidi="ar-SA"/>
              </w:rPr>
            </w:pPr>
            <w:r>
              <w:rPr>
                <w:rFonts w:hint="eastAsia" w:ascii="仿宋" w:hAnsi="仿宋" w:eastAsia="仿宋"/>
                <w:sz w:val="24"/>
                <w:lang w:val="en-US" w:eastAsia="zh-CN"/>
              </w:rPr>
              <w:t>4、</w:t>
            </w:r>
            <w:r>
              <w:rPr>
                <w:rFonts w:hint="eastAsia" w:ascii="仿宋" w:hAnsi="仿宋" w:eastAsia="仿宋"/>
                <w:sz w:val="24"/>
              </w:rPr>
              <w:t>须知前附表与正文描述不一致时，以须知前附表中为主。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0"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30</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所属行业</w:t>
            </w:r>
          </w:p>
        </w:tc>
        <w:tc>
          <w:tcPr>
            <w:tcW w:w="8337" w:type="dxa"/>
            <w:gridSpan w:val="6"/>
            <w:vAlign w:val="center"/>
          </w:tcPr>
          <w:p>
            <w:pPr>
              <w:keepNext w:val="0"/>
              <w:keepLines w:val="0"/>
              <w:pageBreakBefore w:val="0"/>
              <w:kinsoku/>
              <w:wordWrap/>
              <w:overflowPunct/>
              <w:topLinePunct w:val="0"/>
              <w:autoSpaceDE/>
              <w:autoSpaceDN/>
              <w:bidi w:val="0"/>
              <w:spacing w:line="440" w:lineRule="exact"/>
              <w:ind w:right="105" w:rightChars="50"/>
              <w:textAlignment w:val="auto"/>
              <w:rPr>
                <w:rFonts w:hint="eastAsia" w:ascii="仿宋" w:hAnsi="仿宋" w:eastAsia="仿宋"/>
                <w:sz w:val="24"/>
                <w:lang w:val="en-US" w:eastAsia="zh-CN"/>
              </w:rPr>
            </w:pPr>
            <w:r>
              <w:rPr>
                <w:rFonts w:hint="eastAsia" w:ascii="仿宋" w:hAnsi="仿宋" w:eastAsia="仿宋"/>
                <w:sz w:val="24"/>
                <w:highlight w:val="none"/>
                <w:lang w:val="en-US" w:eastAsia="zh-CN"/>
              </w:rPr>
              <w:t>本项目采购标的所属行业为：软件和信息技术服务业</w:t>
            </w:r>
          </w:p>
        </w:tc>
      </w:tr>
    </w:tbl>
    <w:p>
      <w:pPr>
        <w:spacing w:line="360" w:lineRule="auto"/>
        <w:jc w:val="center"/>
        <w:outlineLvl w:val="0"/>
        <w:rPr>
          <w:rFonts w:hint="eastAsia" w:ascii="仿宋" w:hAnsi="仿宋" w:eastAsia="仿宋" w:cs="仿宋"/>
          <w:b/>
          <w:color w:val="auto"/>
          <w:kern w:val="44"/>
          <w:sz w:val="32"/>
          <w:szCs w:val="32"/>
          <w:highlight w:val="none"/>
        </w:rPr>
      </w:pPr>
      <w:r>
        <w:rPr>
          <w:rFonts w:hint="eastAsia" w:ascii="仿宋" w:hAnsi="仿宋" w:eastAsia="仿宋" w:cs="仿宋"/>
          <w:b/>
          <w:color w:val="auto"/>
          <w:kern w:val="44"/>
          <w:sz w:val="32"/>
          <w:szCs w:val="32"/>
          <w:highlight w:val="none"/>
        </w:rPr>
        <w:t>第三章　投标人须知</w:t>
      </w:r>
      <w:bookmarkEnd w:id="2"/>
    </w:p>
    <w:p>
      <w:pPr>
        <w:spacing w:line="360" w:lineRule="auto"/>
        <w:jc w:val="center"/>
        <w:outlineLvl w:val="1"/>
        <w:rPr>
          <w:rFonts w:hint="eastAsia" w:ascii="仿宋" w:hAnsi="仿宋" w:eastAsia="仿宋" w:cs="仿宋"/>
          <w:b/>
          <w:color w:val="auto"/>
          <w:sz w:val="24"/>
          <w:szCs w:val="24"/>
          <w:highlight w:val="none"/>
        </w:rPr>
      </w:pPr>
      <w:bookmarkStart w:id="4" w:name="_Toc18475"/>
      <w:bookmarkStart w:id="5" w:name="_Toc737"/>
      <w:bookmarkStart w:id="6" w:name="_Toc26890"/>
      <w:r>
        <w:rPr>
          <w:rFonts w:hint="eastAsia" w:ascii="仿宋" w:hAnsi="仿宋" w:eastAsia="仿宋" w:cs="仿宋"/>
          <w:b/>
          <w:color w:val="auto"/>
          <w:sz w:val="24"/>
          <w:szCs w:val="24"/>
          <w:highlight w:val="none"/>
        </w:rPr>
        <w:t>一、说明</w:t>
      </w:r>
      <w:bookmarkEnd w:id="4"/>
      <w:bookmarkEnd w:id="5"/>
      <w:bookmarkEnd w:id="6"/>
    </w:p>
    <w:p>
      <w:pPr>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bCs/>
          <w:color w:val="auto"/>
          <w:kern w:val="44"/>
          <w:sz w:val="24"/>
          <w:szCs w:val="24"/>
          <w:highlight w:val="none"/>
        </w:rPr>
        <w:t xml:space="preserve">   </w:t>
      </w:r>
      <w:bookmarkStart w:id="7" w:name="_Toc11143"/>
      <w:bookmarkStart w:id="8" w:name="_Toc19092"/>
      <w:bookmarkStart w:id="9" w:name="_Toc32718"/>
      <w:bookmarkStart w:id="10" w:name="_Toc2890"/>
      <w:bookmarkStart w:id="11" w:name="_Toc28947"/>
      <w:r>
        <w:rPr>
          <w:rFonts w:hint="eastAsia" w:ascii="仿宋" w:hAnsi="仿宋" w:eastAsia="仿宋" w:cs="仿宋"/>
          <w:b/>
          <w:bCs/>
          <w:color w:val="auto"/>
          <w:kern w:val="44"/>
          <w:sz w:val="24"/>
          <w:szCs w:val="24"/>
          <w:highlight w:val="none"/>
        </w:rPr>
        <w:t>说明：本</w:t>
      </w:r>
      <w:r>
        <w:rPr>
          <w:rFonts w:hint="eastAsia" w:ascii="仿宋" w:hAnsi="仿宋" w:eastAsia="仿宋" w:cs="仿宋"/>
          <w:b/>
          <w:bCs/>
          <w:color w:val="auto"/>
          <w:kern w:val="44"/>
          <w:sz w:val="24"/>
          <w:szCs w:val="24"/>
          <w:highlight w:val="none"/>
          <w:lang w:eastAsia="zh-CN"/>
        </w:rPr>
        <w:t>招标文件</w:t>
      </w:r>
      <w:r>
        <w:rPr>
          <w:rFonts w:hint="eastAsia" w:ascii="仿宋" w:hAnsi="仿宋" w:eastAsia="仿宋" w:cs="仿宋"/>
          <w:b/>
          <w:bCs/>
          <w:color w:val="auto"/>
          <w:kern w:val="44"/>
          <w:sz w:val="24"/>
          <w:szCs w:val="24"/>
          <w:highlight w:val="none"/>
        </w:rPr>
        <w:t>使用的词语有如下定义</w:t>
      </w:r>
      <w:bookmarkEnd w:id="7"/>
      <w:bookmarkEnd w:id="8"/>
      <w:bookmarkEnd w:id="9"/>
      <w:bookmarkEnd w:id="10"/>
      <w:bookmarkEnd w:id="11"/>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“采购人”系指依法进行政府采购的国家机关、事业单位、团体组织。系指： </w:t>
      </w:r>
      <w:r>
        <w:rPr>
          <w:rFonts w:hint="eastAsia" w:ascii="仿宋" w:hAnsi="仿宋" w:eastAsia="仿宋" w:cs="仿宋"/>
          <w:color w:val="auto"/>
          <w:sz w:val="24"/>
          <w:szCs w:val="24"/>
          <w:highlight w:val="none"/>
          <w:u w:val="single"/>
          <w:lang w:val="zh-CN"/>
        </w:rPr>
        <w:t xml:space="preserve">特克斯县人民医院 </w:t>
      </w:r>
      <w:r>
        <w:rPr>
          <w:rFonts w:hint="eastAsia" w:ascii="仿宋" w:hAnsi="仿宋" w:eastAsia="仿宋" w:cs="仿宋"/>
          <w:color w:val="auto"/>
          <w:sz w:val="24"/>
          <w:szCs w:val="24"/>
          <w:highlight w:val="none"/>
          <w:lang w:val="zh-CN"/>
        </w:rPr>
        <w:t>。</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“采购代理机构”系指： </w:t>
      </w:r>
      <w:r>
        <w:rPr>
          <w:rFonts w:hint="eastAsia" w:ascii="仿宋" w:hAnsi="仿宋" w:eastAsia="仿宋" w:cs="仿宋"/>
          <w:color w:val="auto"/>
          <w:sz w:val="24"/>
          <w:szCs w:val="24"/>
          <w:highlight w:val="none"/>
          <w:u w:val="single"/>
          <w:lang w:val="zh-CN"/>
        </w:rPr>
        <w:t>新疆华域建设工程项目管理咨询有限公司</w:t>
      </w:r>
      <w:r>
        <w:rPr>
          <w:rFonts w:hint="eastAsia" w:ascii="仿宋" w:hAnsi="仿宋" w:eastAsia="仿宋" w:cs="仿宋"/>
          <w:color w:val="auto"/>
          <w:sz w:val="24"/>
          <w:szCs w:val="24"/>
          <w:highlight w:val="none"/>
          <w:lang w:val="zh-CN"/>
        </w:rPr>
        <w:t>。</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“投标人”系指响应采购、参加投标竞争的当事人。</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“成交人”系指由评标小组评审推荐，经法定程序确定获得本项目中标资格的投标人。</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“评标小组” 系指依法组建，负责本次采购的评标工作机构。</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“甲方”系指在合同条款中指明的采购人。</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“乙方”系指在合同条款中指明的本合同项下提供服务的公司或实体。</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“招标文件”系指由采购代理机构发出的本招标文件，包括全部章节和附件。</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“投标文件”系指投标人根据本招标文件向采购代理机构提交的全部文件。</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“书面函件” 系指手写、打字或印刷的函件，包括电传、电报和传真。</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“合同” 系指由本次采购所产生的合同或合约文件。</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“日期”系指公历日。</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“时间”系指北京时间。</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“货物”系指投标人须向采购人提供的符合招标文件要求的货。</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“服务”系指投标人须向采购人提供的符合招标文件要求的服务。</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“实质性响应”系指符合招标文件的所有要求、条款、条件和规定，且没有不利于项目实施质量效果和服务保障的重大偏离或保留。</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“重大偏离或保留”系指影响到招标文件规定的范围、质量和性能或限制了采购人的权力和投标人义务的规定，而纠正这些偏离将影响到其它投标人的公平竞争地位。</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盖章：一般情况指盖投标人的法定公章，除招标文件特别说明外，使用财务专用章、合同章、投标专用章等非公章的盖章，均作无效盖章处理。</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签署：一般情况指亲笔签字或使用盖私章方式，除招标文件特别说明外，其他方式均作无效签署处理。</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2" w:name="_Toc55778675"/>
      <w:r>
        <w:rPr>
          <w:rFonts w:hint="eastAsia" w:ascii="仿宋" w:hAnsi="仿宋" w:eastAsia="仿宋" w:cs="仿宋"/>
          <w:b/>
          <w:bCs/>
          <w:color w:val="auto"/>
          <w:kern w:val="44"/>
          <w:sz w:val="24"/>
          <w:szCs w:val="24"/>
          <w:highlight w:val="none"/>
        </w:rPr>
        <w:t xml:space="preserve">    </w:t>
      </w:r>
      <w:bookmarkStart w:id="13" w:name="_Toc10541"/>
      <w:bookmarkStart w:id="14" w:name="_Toc30404"/>
      <w:bookmarkStart w:id="15" w:name="_Toc2235"/>
      <w:bookmarkStart w:id="16" w:name="_Toc26165"/>
      <w:bookmarkStart w:id="17" w:name="_Toc19223"/>
      <w:r>
        <w:rPr>
          <w:rFonts w:hint="eastAsia" w:ascii="仿宋" w:hAnsi="仿宋" w:eastAsia="仿宋" w:cs="仿宋"/>
          <w:b/>
          <w:bCs/>
          <w:color w:val="auto"/>
          <w:kern w:val="44"/>
          <w:sz w:val="24"/>
          <w:szCs w:val="24"/>
          <w:highlight w:val="none"/>
        </w:rPr>
        <w:t>合格的投标人</w:t>
      </w:r>
      <w:bookmarkEnd w:id="12"/>
      <w:bookmarkEnd w:id="13"/>
      <w:bookmarkEnd w:id="14"/>
      <w:bookmarkEnd w:id="15"/>
      <w:bookmarkEnd w:id="16"/>
      <w:bookmarkEnd w:id="17"/>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除非另有规定，凡是在中华人民共和国境内注册且为人民币流通区域内的供货人均可投标。</w:t>
      </w:r>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投标人符合《中华人民共和国政府采购法》第22条和《中华人民共和国政府采购法实施条例》第17条规定的条件。</w:t>
      </w:r>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与采购人存在利害关系可能影响公正性的法人或其他组织或自然人不得参加投标。</w:t>
      </w:r>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招标文件要求的其他条件。</w:t>
      </w:r>
    </w:p>
    <w:p>
      <w:pPr>
        <w:pStyle w:val="4"/>
        <w:numPr>
          <w:ilvl w:val="0"/>
          <w:numId w:val="4"/>
        </w:numPr>
        <w:tabs>
          <w:tab w:val="left" w:pos="900"/>
          <w:tab w:val="clear" w:pos="425"/>
        </w:tabs>
        <w:spacing w:before="0" w:after="0" w:line="360" w:lineRule="auto"/>
        <w:ind w:left="924" w:hanging="924"/>
        <w:rPr>
          <w:rStyle w:val="59"/>
          <w:rFonts w:hint="eastAsia" w:ascii="仿宋" w:hAnsi="仿宋" w:eastAsia="仿宋" w:cs="仿宋"/>
          <w:bCs/>
          <w:color w:val="auto"/>
          <w:sz w:val="24"/>
          <w:szCs w:val="24"/>
          <w:highlight w:val="none"/>
        </w:rPr>
      </w:pPr>
      <w:bookmarkStart w:id="18" w:name="_Toc2653"/>
      <w:bookmarkStart w:id="19" w:name="_Toc25107"/>
      <w:bookmarkStart w:id="20" w:name="_Toc20782"/>
      <w:bookmarkStart w:id="21" w:name="_Toc15216"/>
      <w:bookmarkStart w:id="22" w:name="_Toc55778677"/>
      <w:bookmarkStart w:id="23" w:name="_Toc28554"/>
      <w:bookmarkStart w:id="24" w:name="_Toc2463"/>
      <w:r>
        <w:rPr>
          <w:rStyle w:val="59"/>
          <w:rFonts w:hint="eastAsia" w:ascii="仿宋" w:hAnsi="仿宋" w:eastAsia="仿宋" w:cs="仿宋"/>
          <w:bCs/>
          <w:color w:val="auto"/>
          <w:sz w:val="24"/>
          <w:szCs w:val="24"/>
          <w:highlight w:val="none"/>
        </w:rPr>
        <w:t>投标费用</w:t>
      </w:r>
      <w:bookmarkEnd w:id="18"/>
      <w:bookmarkEnd w:id="19"/>
      <w:bookmarkEnd w:id="20"/>
      <w:bookmarkEnd w:id="21"/>
      <w:bookmarkEnd w:id="22"/>
      <w:bookmarkEnd w:id="23"/>
      <w:bookmarkEnd w:id="24"/>
    </w:p>
    <w:p>
      <w:pPr>
        <w:pStyle w:val="62"/>
        <w:numPr>
          <w:ilvl w:val="0"/>
          <w:numId w:val="7"/>
        </w:numPr>
        <w:spacing w:line="360" w:lineRule="auto"/>
        <w:ind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投标人应承担所有与准备和参加投标有关的费用。不论投标的结果如何，采购代理机构和采购人均无义务和责任承担这些费用。</w:t>
      </w:r>
    </w:p>
    <w:p>
      <w:pPr>
        <w:pStyle w:val="4"/>
        <w:numPr>
          <w:ilvl w:val="0"/>
          <w:numId w:val="4"/>
        </w:numPr>
        <w:tabs>
          <w:tab w:val="left" w:pos="900"/>
          <w:tab w:val="clear" w:pos="425"/>
        </w:tabs>
        <w:spacing w:before="0" w:after="0" w:line="360" w:lineRule="auto"/>
        <w:ind w:left="924" w:hanging="924"/>
        <w:rPr>
          <w:rFonts w:hint="eastAsia" w:ascii="仿宋" w:hAnsi="仿宋" w:eastAsia="仿宋" w:cs="仿宋"/>
          <w:color w:val="auto"/>
          <w:sz w:val="24"/>
          <w:szCs w:val="24"/>
          <w:highlight w:val="none"/>
        </w:rPr>
      </w:pPr>
      <w:bookmarkStart w:id="25" w:name="_Toc55778678"/>
      <w:bookmarkStart w:id="26" w:name="_Toc9407"/>
      <w:bookmarkStart w:id="27" w:name="_Toc14265"/>
      <w:bookmarkStart w:id="28" w:name="_Toc2722"/>
      <w:bookmarkStart w:id="29" w:name="_Toc19746"/>
      <w:bookmarkStart w:id="30" w:name="_Toc22355"/>
      <w:r>
        <w:rPr>
          <w:rStyle w:val="59"/>
          <w:rFonts w:hint="eastAsia" w:ascii="仿宋" w:hAnsi="仿宋" w:eastAsia="仿宋" w:cs="仿宋"/>
          <w:bCs w:val="0"/>
          <w:color w:val="auto"/>
          <w:sz w:val="24"/>
          <w:szCs w:val="24"/>
          <w:highlight w:val="none"/>
        </w:rPr>
        <w:t>现场考察或者召开开标前答疑会</w:t>
      </w:r>
      <w:bookmarkEnd w:id="25"/>
      <w:bookmarkEnd w:id="26"/>
      <w:bookmarkEnd w:id="27"/>
      <w:bookmarkEnd w:id="28"/>
      <w:bookmarkEnd w:id="29"/>
      <w:bookmarkEnd w:id="30"/>
    </w:p>
    <w:p>
      <w:pPr>
        <w:numPr>
          <w:ilvl w:val="1"/>
          <w:numId w:val="8"/>
        </w:numPr>
        <w:spacing w:line="360" w:lineRule="auto"/>
        <w:rPr>
          <w:rFonts w:hint="eastAsia" w:ascii="仿宋" w:hAnsi="仿宋" w:eastAsia="仿宋" w:cs="仿宋"/>
          <w:color w:val="auto"/>
          <w:sz w:val="24"/>
          <w:szCs w:val="24"/>
          <w:highlight w:val="none"/>
        </w:rPr>
      </w:pPr>
      <w:bookmarkStart w:id="31" w:name="_Ref179620557"/>
      <w:r>
        <w:rPr>
          <w:rFonts w:hint="eastAsia" w:ascii="仿宋" w:hAnsi="仿宋" w:eastAsia="仿宋" w:cs="仿宋"/>
          <w:color w:val="auto"/>
          <w:sz w:val="24"/>
          <w:szCs w:val="24"/>
          <w:highlight w:val="none"/>
        </w:rPr>
        <w:t>除非另有规定，不举行项目现场考察或者召开开标前答疑会，如举行现场考察或者召开开标前答疑会的，则按以下规定</w:t>
      </w:r>
      <w:bookmarkEnd w:id="31"/>
      <w:r>
        <w:rPr>
          <w:rFonts w:hint="eastAsia" w:ascii="仿宋" w:hAnsi="仿宋" w:eastAsia="仿宋" w:cs="仿宋"/>
          <w:color w:val="auto"/>
          <w:sz w:val="24"/>
          <w:szCs w:val="24"/>
          <w:highlight w:val="none"/>
        </w:rPr>
        <w:t>：</w:t>
      </w:r>
    </w:p>
    <w:p>
      <w:pPr>
        <w:numPr>
          <w:ilvl w:val="0"/>
          <w:numId w:val="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在《投标须知前附表》中规定的日期、时间和地点组织现场考察或者召开开标前答疑会，以便投标人获取须自己负责的有关编制投标文件和签署合同所需的所有资料。踏勘现场所发生的费用由投标人自己承担</w:t>
      </w:r>
    </w:p>
    <w:p>
      <w:pPr>
        <w:numPr>
          <w:ilvl w:val="0"/>
          <w:numId w:val="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对本项目提出的疑问，可在现场考察或者召开开标前答疑会召开日前至少一个工作日将问题清单以书面形式（加盖公章）提交至采购代理机构。</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32" w:name="_Toc55778679"/>
      <w:r>
        <w:rPr>
          <w:rFonts w:hint="eastAsia" w:ascii="仿宋" w:hAnsi="仿宋" w:eastAsia="仿宋" w:cs="仿宋"/>
          <w:b/>
          <w:bCs/>
          <w:color w:val="auto"/>
          <w:kern w:val="44"/>
          <w:sz w:val="24"/>
          <w:szCs w:val="24"/>
          <w:highlight w:val="none"/>
        </w:rPr>
        <w:t xml:space="preserve">    </w:t>
      </w:r>
      <w:bookmarkStart w:id="33" w:name="_Toc27748"/>
      <w:bookmarkStart w:id="34" w:name="_Toc2323"/>
      <w:bookmarkStart w:id="35" w:name="_Toc10763"/>
      <w:bookmarkStart w:id="36" w:name="_Toc15619"/>
      <w:bookmarkStart w:id="37" w:name="_Toc16839"/>
      <w:r>
        <w:rPr>
          <w:rFonts w:hint="eastAsia" w:ascii="仿宋" w:hAnsi="仿宋" w:eastAsia="仿宋" w:cs="仿宋"/>
          <w:b/>
          <w:bCs/>
          <w:color w:val="auto"/>
          <w:kern w:val="44"/>
          <w:sz w:val="24"/>
          <w:szCs w:val="24"/>
          <w:highlight w:val="none"/>
        </w:rPr>
        <w:t>开标的资质要求、时间及地点</w:t>
      </w:r>
      <w:bookmarkEnd w:id="32"/>
      <w:bookmarkEnd w:id="33"/>
      <w:bookmarkEnd w:id="34"/>
      <w:bookmarkEnd w:id="35"/>
      <w:bookmarkEnd w:id="36"/>
      <w:bookmarkEnd w:id="37"/>
    </w:p>
    <w:p>
      <w:pPr>
        <w:numPr>
          <w:ilvl w:val="1"/>
          <w:numId w:val="4"/>
        </w:numPr>
        <w:tabs>
          <w:tab w:val="left" w:pos="907"/>
          <w:tab w:val="clear" w:pos="992"/>
        </w:tabs>
        <w:spacing w:line="360" w:lineRule="auto"/>
        <w:ind w:left="992" w:leftChars="0" w:hanging="567" w:firstLineChars="0"/>
        <w:rPr>
          <w:rFonts w:hint="eastAsia" w:ascii="仿宋" w:hAnsi="仿宋" w:eastAsia="仿宋" w:cs="仿宋"/>
          <w:color w:val="auto"/>
          <w:sz w:val="24"/>
          <w:szCs w:val="24"/>
          <w:highlight w:val="none"/>
        </w:rPr>
      </w:pPr>
      <w:bookmarkStart w:id="38" w:name="_Toc55778680"/>
      <w:r>
        <w:rPr>
          <w:rFonts w:hint="eastAsia" w:ascii="仿宋" w:hAnsi="仿宋" w:eastAsia="仿宋" w:cs="仿宋"/>
          <w:color w:val="auto"/>
          <w:sz w:val="24"/>
          <w:szCs w:val="24"/>
          <w:highlight w:val="none"/>
        </w:rPr>
        <w:t xml:space="preserve"> 本项目开标的时间、地点已在第二章《投标须知前附表》列清。</w:t>
      </w:r>
    </w:p>
    <w:p>
      <w:pPr>
        <w:numPr>
          <w:ilvl w:val="1"/>
          <w:numId w:val="4"/>
        </w:numPr>
        <w:tabs>
          <w:tab w:val="left" w:pos="907"/>
          <w:tab w:val="clear" w:pos="992"/>
        </w:tabs>
        <w:spacing w:line="360" w:lineRule="auto"/>
        <w:ind w:left="992" w:leftChars="0" w:hanging="567"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本项目采用不见面开标，投标人需要递交电子投标文件。加密的电子投标文件，在投标截止时间前通过政采云平台上传到指定位置，无需递交纸质文件。开标当日，投标人无需到达开标现场，仅需通过政采云系统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政采云平台发生故障，导致无法按时完成投标文件解密或开、评标工作无法进行的，可根据实际情况相应延迟解密时间或调整开、评标时间。</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bCs/>
          <w:color w:val="auto"/>
          <w:kern w:val="44"/>
          <w:sz w:val="24"/>
          <w:szCs w:val="24"/>
          <w:highlight w:val="none"/>
        </w:rPr>
        <w:t xml:space="preserve">   </w:t>
      </w:r>
      <w:bookmarkStart w:id="39" w:name="_Toc6954"/>
      <w:bookmarkStart w:id="40" w:name="_Toc2052"/>
      <w:bookmarkStart w:id="41" w:name="_Toc12859"/>
      <w:bookmarkStart w:id="42" w:name="_Toc18733"/>
      <w:bookmarkStart w:id="43" w:name="_Toc23617"/>
      <w:r>
        <w:rPr>
          <w:rFonts w:hint="eastAsia" w:ascii="仿宋" w:hAnsi="仿宋" w:eastAsia="仿宋" w:cs="仿宋"/>
          <w:b/>
          <w:bCs/>
          <w:color w:val="auto"/>
          <w:kern w:val="44"/>
          <w:sz w:val="24"/>
          <w:szCs w:val="24"/>
          <w:highlight w:val="none"/>
        </w:rPr>
        <w:t>纪律与保密事项</w:t>
      </w:r>
      <w:bookmarkEnd w:id="38"/>
      <w:bookmarkEnd w:id="39"/>
      <w:bookmarkEnd w:id="40"/>
      <w:bookmarkEnd w:id="41"/>
      <w:bookmarkEnd w:id="42"/>
      <w:bookmarkEnd w:id="43"/>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凡参与招标工作的有关人员均应自觉接受有关主管部门的监督，不得向他人透露已获得招标文件的潜在投标人的名称、数量以及可能影响公平竞争的有关招标投标的其他情况。</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开标后，直至向中标的投标人发出《中标通知书》时止，凡与审查、澄清、评价和比较投标的有关资料以及授标意见等，均不得向投标人及与评标无关的其他人透露。</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除投标人被要求对投标文件进行澄清外，从开标至签订合同期间，投标人不得就与其投标文件有关的事项主动与评标小组、采购代理机构以及采购人联系。</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从开标至签订合同期间，投标人试图在投标文件审查、澄清、比较和评价时对评标小组和招标机构施加任何影响或对采购人的比较及授予合同的决定进行影响，都可能导致其投标文件被拒绝。</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投标人不得串通作弊，以不正当的手段妨碍、排挤其他投标人，扰乱招标市场，破坏公平竞争原则。</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获得本招标文件者，应对文件进行保密，不得用作本次投标以外的任何用途。若有要求，开标后，投标人应归还招标文件中的保密的文件和资料。</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44" w:name="_Toc55778681"/>
      <w:r>
        <w:rPr>
          <w:rFonts w:hint="eastAsia" w:ascii="仿宋" w:hAnsi="仿宋" w:eastAsia="仿宋" w:cs="仿宋"/>
          <w:b/>
          <w:bCs/>
          <w:color w:val="auto"/>
          <w:kern w:val="44"/>
          <w:sz w:val="24"/>
          <w:szCs w:val="24"/>
          <w:highlight w:val="none"/>
        </w:rPr>
        <w:t xml:space="preserve">    </w:t>
      </w:r>
      <w:bookmarkStart w:id="45" w:name="_Toc20462"/>
      <w:bookmarkStart w:id="46" w:name="_Toc18189"/>
      <w:bookmarkStart w:id="47" w:name="_Toc5873"/>
      <w:bookmarkStart w:id="48" w:name="_Toc20913"/>
      <w:bookmarkStart w:id="49" w:name="_Toc17472"/>
      <w:r>
        <w:rPr>
          <w:rFonts w:hint="eastAsia" w:ascii="仿宋" w:hAnsi="仿宋" w:eastAsia="仿宋" w:cs="仿宋"/>
          <w:b/>
          <w:bCs/>
          <w:color w:val="auto"/>
          <w:kern w:val="44"/>
          <w:sz w:val="24"/>
          <w:szCs w:val="24"/>
          <w:highlight w:val="none"/>
        </w:rPr>
        <w:t>保证</w:t>
      </w:r>
      <w:bookmarkEnd w:id="44"/>
      <w:bookmarkEnd w:id="45"/>
      <w:bookmarkEnd w:id="46"/>
      <w:bookmarkEnd w:id="47"/>
      <w:bookmarkEnd w:id="48"/>
      <w:bookmarkEnd w:id="49"/>
    </w:p>
    <w:p>
      <w:pPr>
        <w:numPr>
          <w:ilvl w:val="1"/>
          <w:numId w:val="1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投标人必须保证所提交给采购代理机构、采购人的资料和数据是真实的，并承担相应的法律责任。</w:t>
      </w:r>
    </w:p>
    <w:p>
      <w:pPr>
        <w:pStyle w:val="19"/>
        <w:jc w:val="center"/>
        <w:rPr>
          <w:rFonts w:hint="eastAsia" w:ascii="仿宋" w:hAnsi="仿宋" w:eastAsia="仿宋" w:cs="仿宋"/>
          <w:b/>
          <w:bCs/>
          <w:color w:val="auto"/>
          <w:sz w:val="24"/>
          <w:szCs w:val="24"/>
          <w:highlight w:val="none"/>
        </w:rPr>
      </w:pPr>
      <w:bookmarkStart w:id="50" w:name="_Toc55778682"/>
      <w:bookmarkStart w:id="51" w:name="_Toc21599"/>
      <w:bookmarkStart w:id="52" w:name="_Toc30778"/>
      <w:r>
        <w:rPr>
          <w:rFonts w:hint="eastAsia" w:ascii="仿宋" w:hAnsi="仿宋" w:eastAsia="仿宋" w:cs="仿宋"/>
          <w:b/>
          <w:bCs/>
          <w:color w:val="auto"/>
          <w:sz w:val="24"/>
          <w:szCs w:val="24"/>
          <w:highlight w:val="none"/>
        </w:rPr>
        <w:t>二、招标文件</w:t>
      </w:r>
      <w:bookmarkEnd w:id="50"/>
      <w:bookmarkEnd w:id="51"/>
      <w:bookmarkEnd w:id="52"/>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53" w:name="_Toc25851"/>
      <w:bookmarkStart w:id="54" w:name="_Toc55778683"/>
      <w:r>
        <w:rPr>
          <w:rFonts w:hint="eastAsia" w:ascii="仿宋" w:hAnsi="仿宋" w:eastAsia="仿宋" w:cs="仿宋"/>
          <w:b/>
          <w:bCs/>
          <w:color w:val="auto"/>
          <w:kern w:val="44"/>
          <w:sz w:val="24"/>
          <w:szCs w:val="24"/>
          <w:highlight w:val="none"/>
        </w:rPr>
        <w:t xml:space="preserve">   </w:t>
      </w:r>
      <w:bookmarkStart w:id="55" w:name="_Toc6970"/>
      <w:bookmarkStart w:id="56" w:name="_Toc5513"/>
      <w:bookmarkStart w:id="57" w:name="_Toc7611"/>
      <w:bookmarkStart w:id="58" w:name="_Toc6842"/>
      <w:bookmarkStart w:id="59" w:name="_Toc4904"/>
      <w:r>
        <w:rPr>
          <w:rFonts w:hint="eastAsia" w:ascii="仿宋" w:hAnsi="仿宋" w:eastAsia="仿宋" w:cs="仿宋"/>
          <w:b/>
          <w:bCs/>
          <w:color w:val="auto"/>
          <w:kern w:val="44"/>
          <w:sz w:val="24"/>
          <w:szCs w:val="24"/>
          <w:highlight w:val="none"/>
        </w:rPr>
        <w:t>招标文件的编制依据与构成</w:t>
      </w:r>
      <w:bookmarkEnd w:id="53"/>
      <w:bookmarkEnd w:id="54"/>
      <w:bookmarkEnd w:id="55"/>
      <w:bookmarkEnd w:id="56"/>
      <w:bookmarkEnd w:id="57"/>
      <w:bookmarkEnd w:id="58"/>
      <w:bookmarkEnd w:id="59"/>
    </w:p>
    <w:p>
      <w:pPr>
        <w:tabs>
          <w:tab w:val="left" w:pos="907"/>
        </w:tabs>
        <w:spacing w:line="360" w:lineRule="auto"/>
        <w:ind w:left="720" w:hanging="720" w:hanging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本招标文件的编制依据是《中华人民共和国政府采购法》、《中华人民共和国政府采购法实施条例》、《政府采购货物和服务招标投标管理办法》及其配套的法规、规章、政策等。</w:t>
      </w:r>
    </w:p>
    <w:p>
      <w:pPr>
        <w:tabs>
          <w:tab w:val="left" w:pos="907"/>
        </w:tabs>
        <w:spacing w:line="360" w:lineRule="auto"/>
        <w:ind w:left="720" w:hanging="720" w:hanging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招标文件以中文文字编写。招标文件共六章。招标文件由下列文件以及在招标过程中发出的澄清、修改和补充文件组成，内容如下：</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第一章 </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公告</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第二章 投标须知前附表</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第三章 投标人须知</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第四章 合同格式</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第五章 采购需求</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第六章 投标文件格式</w:t>
      </w:r>
    </w:p>
    <w:p>
      <w:pPr>
        <w:tabs>
          <w:tab w:val="left" w:pos="907"/>
        </w:tabs>
        <w:spacing w:line="360" w:lineRule="auto"/>
        <w:ind w:left="720" w:hanging="720" w:hanging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   投标人应仔细阅读招标文件的全部内容，按照招标文件要求编制投标文件。任何对招标文件的忽略或误解不能作为投标文件存在缺陷或瑕疵的理由，其风险由投标人承担。投标人对招标文件有疑问的请以书面形式向采购人、采购代理机构提出,提出后，请投标人及时通过</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政采云平台查看答疑文件或澄清文件。投标人应及时注意</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政采云发布的澄清或修改通知并下载，因投标人原因未及时获知澄清、修改或补充内容而导致的任何后果将由投标人自行承担。</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60" w:name="_Toc55778684"/>
      <w:r>
        <w:rPr>
          <w:rFonts w:hint="eastAsia" w:ascii="仿宋" w:hAnsi="仿宋" w:eastAsia="仿宋" w:cs="仿宋"/>
          <w:b/>
          <w:color w:val="auto"/>
          <w:kern w:val="44"/>
          <w:sz w:val="24"/>
          <w:szCs w:val="24"/>
          <w:highlight w:val="none"/>
        </w:rPr>
        <w:t xml:space="preserve">   </w:t>
      </w:r>
      <w:bookmarkStart w:id="61" w:name="_Toc22484"/>
      <w:bookmarkStart w:id="62" w:name="_Toc5501"/>
      <w:bookmarkStart w:id="63" w:name="_Toc28706"/>
      <w:bookmarkStart w:id="64" w:name="_Toc18515"/>
      <w:bookmarkStart w:id="65" w:name="_Toc24522"/>
      <w:r>
        <w:rPr>
          <w:rFonts w:hint="eastAsia" w:ascii="仿宋" w:hAnsi="仿宋" w:eastAsia="仿宋" w:cs="仿宋"/>
          <w:b/>
          <w:color w:val="auto"/>
          <w:kern w:val="44"/>
          <w:sz w:val="24"/>
          <w:szCs w:val="24"/>
          <w:highlight w:val="none"/>
        </w:rPr>
        <w:t>招标文件的澄清或修改</w:t>
      </w:r>
      <w:bookmarkEnd w:id="60"/>
      <w:bookmarkEnd w:id="61"/>
      <w:bookmarkEnd w:id="62"/>
      <w:bookmarkEnd w:id="63"/>
      <w:bookmarkEnd w:id="64"/>
      <w:bookmarkEnd w:id="65"/>
    </w:p>
    <w:p>
      <w:pPr>
        <w:tabs>
          <w:tab w:val="left" w:pos="907"/>
        </w:tabs>
        <w:spacing w:line="360" w:lineRule="auto"/>
        <w:ind w:left="720" w:hanging="720" w:hanging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.1　投标人应仔细阅读和检查招标文件的全部内容。投标人若对招标文件有任何疑问，应按照招标文件</w:t>
      </w:r>
      <w:r>
        <w:rPr>
          <w:rFonts w:hint="eastAsia" w:ascii="仿宋" w:hAnsi="仿宋" w:eastAsia="仿宋" w:cs="仿宋"/>
          <w:color w:val="auto"/>
          <w:sz w:val="24"/>
          <w:szCs w:val="24"/>
          <w:highlight w:val="none"/>
          <w:lang w:val="en-US" w:eastAsia="zh-CN"/>
        </w:rPr>
        <w:t>要求</w:t>
      </w:r>
      <w:r>
        <w:rPr>
          <w:rFonts w:hint="eastAsia" w:ascii="仿宋" w:hAnsi="仿宋" w:eastAsia="仿宋" w:cs="仿宋"/>
          <w:color w:val="auto"/>
          <w:sz w:val="24"/>
          <w:szCs w:val="24"/>
          <w:highlight w:val="none"/>
        </w:rPr>
        <w:t>向采购代理机构提出。提出后，请投标人及时通过</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政采云平台查看答疑文件或澄清文件。必要时，采购代理机构将组织相关专家召开答疑会，如召开，答疑会安排另行通知。并在</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政采云平台发布更正公告。</w:t>
      </w:r>
      <w:r>
        <w:rPr>
          <w:rFonts w:hint="eastAsia" w:ascii="仿宋" w:hAnsi="仿宋" w:eastAsia="仿宋" w:cs="仿宋"/>
          <w:color w:val="auto"/>
          <w:sz w:val="24"/>
          <w:szCs w:val="24"/>
          <w:highlight w:val="none"/>
          <w:lang w:val="en-US" w:eastAsia="zh-CN"/>
        </w:rPr>
        <w:t>投标人在规定的时间内未对招标文件提出疑问或要求澄清的，采购代理机构将视其为同意，对在“答疑接受时间”后就招标文件内容提出的疑问及澄清要求将不予受理。</w:t>
      </w:r>
    </w:p>
    <w:p>
      <w:pPr>
        <w:tabs>
          <w:tab w:val="left" w:pos="907"/>
        </w:tabs>
        <w:spacing w:line="360" w:lineRule="auto"/>
        <w:ind w:left="720" w:hanging="720" w:hanging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9.2　如果澄清或者修改时间距本章投标人须知前附表规定的投标截止时间不足15日，将相应顺延提交投标文件的截止时间，澄清或者修改时间具体见投标人须知前附表。</w:t>
      </w:r>
    </w:p>
    <w:p>
      <w:pPr>
        <w:tabs>
          <w:tab w:val="left" w:pos="907"/>
        </w:tabs>
        <w:spacing w:line="360" w:lineRule="auto"/>
        <w:ind w:left="720" w:hanging="720" w:hanging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9.3　澄清或者修改内容为招标文件的组成部分，对所有领取了招标文件的潜在投标人均具有约束力。</w:t>
      </w:r>
    </w:p>
    <w:p>
      <w:pPr>
        <w:tabs>
          <w:tab w:val="left" w:pos="907"/>
        </w:tabs>
        <w:spacing w:line="360" w:lineRule="auto"/>
        <w:ind w:left="720" w:hanging="720" w:hanging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9.4  投标人应注意及时新疆政采云发布的澄清或修改通知并下载，因投标人原因未及时获知澄清、修改或补充内容而导致的任何后果将由投标人自行承担。</w:t>
      </w:r>
    </w:p>
    <w:p>
      <w:pPr>
        <w:tabs>
          <w:tab w:val="left" w:pos="907"/>
        </w:tabs>
        <w:spacing w:line="360" w:lineRule="auto"/>
        <w:ind w:left="720" w:hanging="720" w:hangingChars="300"/>
        <w:rPr>
          <w:rFonts w:hint="eastAsia" w:ascii="仿宋" w:hAnsi="仿宋" w:eastAsia="仿宋" w:cs="仿宋"/>
          <w:color w:val="auto"/>
          <w:sz w:val="24"/>
          <w:szCs w:val="24"/>
          <w:highlight w:val="none"/>
        </w:rPr>
      </w:pPr>
    </w:p>
    <w:p>
      <w:pPr>
        <w:pStyle w:val="5"/>
        <w:spacing w:before="0" w:after="0" w:line="360" w:lineRule="auto"/>
        <w:jc w:val="center"/>
        <w:rPr>
          <w:rFonts w:hint="eastAsia" w:ascii="仿宋" w:hAnsi="仿宋" w:eastAsia="仿宋" w:cs="仿宋"/>
          <w:color w:val="auto"/>
          <w:sz w:val="24"/>
          <w:szCs w:val="24"/>
          <w:highlight w:val="none"/>
        </w:rPr>
      </w:pPr>
      <w:bookmarkStart w:id="66" w:name="_Toc14750"/>
      <w:bookmarkStart w:id="67" w:name="_Toc55778685"/>
      <w:r>
        <w:rPr>
          <w:rFonts w:hint="eastAsia" w:ascii="仿宋" w:hAnsi="仿宋" w:eastAsia="仿宋" w:cs="仿宋"/>
          <w:color w:val="auto"/>
          <w:sz w:val="24"/>
          <w:szCs w:val="24"/>
          <w:highlight w:val="none"/>
        </w:rPr>
        <w:t>三、投标文件的编制</w:t>
      </w:r>
      <w:bookmarkEnd w:id="66"/>
      <w:bookmarkEnd w:id="67"/>
    </w:p>
    <w:p>
      <w:pPr>
        <w:pStyle w:val="4"/>
        <w:numPr>
          <w:ilvl w:val="0"/>
          <w:numId w:val="4"/>
        </w:numPr>
        <w:tabs>
          <w:tab w:val="left" w:pos="900"/>
          <w:tab w:val="clear" w:pos="425"/>
        </w:tabs>
        <w:spacing w:before="0" w:after="0" w:line="360" w:lineRule="auto"/>
        <w:ind w:left="924" w:hanging="924"/>
        <w:rPr>
          <w:rStyle w:val="59"/>
          <w:rFonts w:hint="eastAsia" w:ascii="仿宋" w:hAnsi="仿宋" w:eastAsia="仿宋" w:cs="仿宋"/>
          <w:bCs/>
          <w:color w:val="auto"/>
          <w:sz w:val="24"/>
          <w:szCs w:val="24"/>
          <w:highlight w:val="none"/>
        </w:rPr>
      </w:pPr>
      <w:bookmarkStart w:id="68" w:name="_Toc22093"/>
      <w:bookmarkStart w:id="69" w:name="_Toc55778686"/>
      <w:bookmarkStart w:id="70" w:name="_Toc887"/>
      <w:bookmarkStart w:id="71" w:name="_Toc19464"/>
      <w:bookmarkStart w:id="72" w:name="_Toc25330"/>
      <w:bookmarkStart w:id="73" w:name="_Toc4795"/>
      <w:r>
        <w:rPr>
          <w:rStyle w:val="59"/>
          <w:rFonts w:hint="eastAsia" w:ascii="仿宋" w:hAnsi="仿宋" w:eastAsia="仿宋" w:cs="仿宋"/>
          <w:bCs/>
          <w:color w:val="auto"/>
          <w:sz w:val="24"/>
          <w:szCs w:val="24"/>
          <w:highlight w:val="none"/>
        </w:rPr>
        <w:t>投标的语言</w:t>
      </w:r>
      <w:bookmarkEnd w:id="68"/>
      <w:bookmarkEnd w:id="69"/>
      <w:bookmarkEnd w:id="70"/>
      <w:bookmarkEnd w:id="71"/>
      <w:bookmarkEnd w:id="72"/>
      <w:bookmarkEnd w:id="73"/>
    </w:p>
    <w:p>
      <w:pPr>
        <w:numPr>
          <w:ilvl w:val="1"/>
          <w:numId w:val="12"/>
        </w:numPr>
        <w:spacing w:line="360" w:lineRule="auto"/>
        <w:rPr>
          <w:rFonts w:hint="eastAsia" w:ascii="仿宋" w:hAnsi="仿宋" w:eastAsia="仿宋" w:cs="仿宋"/>
          <w:color w:val="auto"/>
          <w:sz w:val="24"/>
          <w:szCs w:val="24"/>
          <w:highlight w:val="none"/>
        </w:rPr>
      </w:pPr>
      <w:bookmarkStart w:id="74" w:name="_Ref179620571"/>
      <w:r>
        <w:rPr>
          <w:rFonts w:hint="eastAsia" w:ascii="仿宋" w:hAnsi="仿宋" w:eastAsia="仿宋" w:cs="仿宋"/>
          <w:color w:val="auto"/>
          <w:sz w:val="24"/>
          <w:szCs w:val="24"/>
          <w:highlight w:val="none"/>
        </w:rPr>
        <w:t>投标人提交的投标文件以及投标人与采购代理机构和采购人就有关投标的所有来往函电均应使用</w:t>
      </w:r>
      <w:r>
        <w:rPr>
          <w:rFonts w:hint="eastAsia" w:ascii="仿宋" w:hAnsi="仿宋" w:eastAsia="仿宋" w:cs="仿宋"/>
          <w:bCs/>
          <w:color w:val="auto"/>
          <w:sz w:val="24"/>
          <w:szCs w:val="24"/>
          <w:highlight w:val="none"/>
        </w:rPr>
        <w:t>中文书写。投标人提交的支持文件或印刷的资料可以用另一种语言，但相应内容应附有中文翻译本</w:t>
      </w:r>
      <w:r>
        <w:rPr>
          <w:rFonts w:hint="eastAsia" w:ascii="仿宋" w:hAnsi="仿宋" w:eastAsia="仿宋" w:cs="仿宋"/>
          <w:color w:val="auto"/>
          <w:sz w:val="24"/>
          <w:szCs w:val="24"/>
          <w:highlight w:val="none"/>
        </w:rPr>
        <w:t>，在解释投标文件时以翻译本为准。</w:t>
      </w:r>
      <w:bookmarkEnd w:id="74"/>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75" w:name="_Toc55778688"/>
      <w:bookmarkStart w:id="76" w:name="_Toc15173"/>
      <w:r>
        <w:rPr>
          <w:rFonts w:hint="eastAsia" w:ascii="仿宋" w:hAnsi="仿宋" w:eastAsia="仿宋" w:cs="仿宋"/>
          <w:b/>
          <w:bCs/>
          <w:color w:val="auto"/>
          <w:kern w:val="44"/>
          <w:sz w:val="24"/>
          <w:szCs w:val="24"/>
          <w:highlight w:val="none"/>
        </w:rPr>
        <w:t xml:space="preserve">    </w:t>
      </w:r>
      <w:bookmarkStart w:id="77" w:name="_Toc21704"/>
      <w:bookmarkStart w:id="78" w:name="_Toc23086"/>
      <w:bookmarkStart w:id="79" w:name="_Toc1469"/>
      <w:bookmarkStart w:id="80" w:name="_Toc2079"/>
      <w:r>
        <w:rPr>
          <w:rFonts w:hint="eastAsia" w:ascii="仿宋" w:hAnsi="仿宋" w:eastAsia="仿宋" w:cs="仿宋"/>
          <w:b/>
          <w:bCs/>
          <w:color w:val="auto"/>
          <w:kern w:val="44"/>
          <w:sz w:val="24"/>
          <w:szCs w:val="24"/>
          <w:highlight w:val="none"/>
        </w:rPr>
        <w:t>投标文件的构成</w:t>
      </w:r>
      <w:bookmarkEnd w:id="75"/>
      <w:bookmarkEnd w:id="76"/>
      <w:bookmarkEnd w:id="77"/>
      <w:bookmarkEnd w:id="78"/>
      <w:bookmarkEnd w:id="79"/>
      <w:bookmarkEnd w:id="80"/>
    </w:p>
    <w:p>
      <w:pPr>
        <w:numPr>
          <w:ilvl w:val="1"/>
          <w:numId w:val="1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详见招标文件第六章《投标文件格式》</w:t>
      </w:r>
    </w:p>
    <w:p>
      <w:pPr>
        <w:numPr>
          <w:ilvl w:val="1"/>
          <w:numId w:val="1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投标人有义务按照以上构成要求将投标文件编上唯一的页码并装订成册，不可出现缺页或重页的现象。</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81" w:name="_Toc30134"/>
      <w:bookmarkStart w:id="82" w:name="_Toc55778689"/>
      <w:r>
        <w:rPr>
          <w:rFonts w:hint="eastAsia" w:ascii="仿宋" w:hAnsi="仿宋" w:eastAsia="仿宋" w:cs="仿宋"/>
          <w:b/>
          <w:bCs/>
          <w:color w:val="auto"/>
          <w:kern w:val="44"/>
          <w:sz w:val="24"/>
          <w:szCs w:val="24"/>
          <w:highlight w:val="none"/>
        </w:rPr>
        <w:t xml:space="preserve">    </w:t>
      </w:r>
      <w:bookmarkStart w:id="83" w:name="_Toc24782"/>
      <w:bookmarkStart w:id="84" w:name="_Toc23426"/>
      <w:bookmarkStart w:id="85" w:name="_Toc17632"/>
      <w:bookmarkStart w:id="86" w:name="_Toc24925"/>
      <w:r>
        <w:rPr>
          <w:rFonts w:hint="eastAsia" w:ascii="仿宋" w:hAnsi="仿宋" w:eastAsia="仿宋" w:cs="仿宋"/>
          <w:b/>
          <w:bCs/>
          <w:color w:val="auto"/>
          <w:kern w:val="44"/>
          <w:sz w:val="24"/>
          <w:szCs w:val="24"/>
          <w:highlight w:val="none"/>
        </w:rPr>
        <w:t>投标文件电子文档</w:t>
      </w:r>
      <w:bookmarkEnd w:id="81"/>
      <w:bookmarkEnd w:id="82"/>
      <w:bookmarkEnd w:id="83"/>
      <w:bookmarkEnd w:id="84"/>
      <w:bookmarkEnd w:id="85"/>
      <w:bookmarkEnd w:id="86"/>
    </w:p>
    <w:p>
      <w:pPr>
        <w:numPr>
          <w:ilvl w:val="1"/>
          <w:numId w:val="14"/>
        </w:numPr>
        <w:spacing w:line="360" w:lineRule="auto"/>
        <w:rPr>
          <w:rFonts w:hint="eastAsia" w:ascii="仿宋" w:hAnsi="仿宋" w:eastAsia="仿宋" w:cs="仿宋"/>
          <w:kern w:val="0"/>
          <w:sz w:val="24"/>
          <w:szCs w:val="24"/>
        </w:rPr>
      </w:pPr>
      <w:bookmarkStart w:id="87" w:name="_Toc22266"/>
      <w:bookmarkStart w:id="88" w:name="_Toc55778690"/>
      <w:r>
        <w:rPr>
          <w:rFonts w:hint="eastAsia" w:ascii="仿宋" w:hAnsi="仿宋" w:eastAsia="仿宋" w:cs="仿宋"/>
          <w:sz w:val="24"/>
          <w:szCs w:val="24"/>
        </w:rPr>
        <w:t>投标文件应采用电子形式</w:t>
      </w:r>
      <w:r>
        <w:rPr>
          <w:rFonts w:hint="eastAsia" w:ascii="仿宋" w:hAnsi="仿宋" w:eastAsia="仿宋" w:cs="仿宋"/>
          <w:color w:val="000000"/>
          <w:sz w:val="24"/>
          <w:szCs w:val="24"/>
        </w:rPr>
        <w:t>。</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电子投标文件制作时，应按照统一的“投标文件制作工具”和招标文件中明确的投标文件目录和投标技术规格、参数及相关要求格式进行编制，保证目录清晰、内容完整。</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 xml:space="preserve">投标人因自身原因导致电子投标文件无法导入电子评标系统的，该投标文件视为无效文件。 </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 xml:space="preserve">电子投标文件具有法律效力,与其他形式的投标文件在内容和格式上等同，若投标文件与招标文件要求不一致，其内容影响成交结果时，责任由投标人自行承担。 </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为了保证电子标书的合法性、安全性和完整性，电子投标文件应在规定区域加盖单位和法定代表人CA印章。电子投标文件若无 CA电子签章，则视为无效文件。</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投标人应完整地填写招标文件中提供的《</w:t>
      </w:r>
      <w:r>
        <w:rPr>
          <w:rFonts w:hint="eastAsia" w:ascii="仿宋" w:hAnsi="仿宋" w:eastAsia="仿宋" w:cs="仿宋"/>
          <w:kern w:val="0"/>
          <w:sz w:val="24"/>
          <w:szCs w:val="24"/>
          <w:lang w:val="en-US" w:eastAsia="zh-CN"/>
        </w:rPr>
        <w:t>投标承诺书</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报价</w:t>
      </w:r>
      <w:r>
        <w:rPr>
          <w:rFonts w:hint="eastAsia" w:ascii="仿宋" w:hAnsi="仿宋" w:eastAsia="仿宋" w:cs="仿宋"/>
          <w:kern w:val="0"/>
          <w:sz w:val="24"/>
          <w:szCs w:val="24"/>
        </w:rPr>
        <w:t>一览表》、《报价</w:t>
      </w:r>
      <w:r>
        <w:rPr>
          <w:rFonts w:hint="eastAsia" w:ascii="仿宋" w:hAnsi="仿宋" w:eastAsia="仿宋" w:cs="仿宋"/>
          <w:kern w:val="0"/>
          <w:sz w:val="24"/>
          <w:szCs w:val="24"/>
          <w:lang w:val="en-US" w:eastAsia="zh-CN"/>
        </w:rPr>
        <w:t>一览</w:t>
      </w:r>
      <w:r>
        <w:rPr>
          <w:rFonts w:hint="eastAsia" w:ascii="仿宋" w:hAnsi="仿宋" w:eastAsia="仿宋" w:cs="仿宋"/>
          <w:kern w:val="0"/>
          <w:sz w:val="24"/>
          <w:szCs w:val="24"/>
        </w:rPr>
        <w:t xml:space="preserve">明细表》等招标文件中规定的所有内容。 </w:t>
      </w:r>
    </w:p>
    <w:p>
      <w:pPr>
        <w:numPr>
          <w:ilvl w:val="1"/>
          <w:numId w:val="14"/>
        </w:numPr>
        <w:spacing w:line="360" w:lineRule="auto"/>
        <w:rPr>
          <w:rFonts w:ascii="宋体" w:hAnsi="宋体"/>
          <w:kern w:val="0"/>
          <w:sz w:val="24"/>
          <w:szCs w:val="24"/>
        </w:rPr>
      </w:pPr>
      <w:r>
        <w:rPr>
          <w:rFonts w:hint="eastAsia" w:ascii="仿宋" w:hAnsi="仿宋" w:eastAsia="仿宋" w:cs="仿宋"/>
          <w:kern w:val="0"/>
          <w:sz w:val="24"/>
          <w:szCs w:val="24"/>
        </w:rPr>
        <w:t xml:space="preserve">投标人必须保证投标人文件所提供的全部资料真实可靠，并接受采购单位对其中任何资料进一步核实的要求。 </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bCs/>
          <w:color w:val="auto"/>
          <w:kern w:val="44"/>
          <w:sz w:val="24"/>
          <w:szCs w:val="24"/>
          <w:highlight w:val="none"/>
        </w:rPr>
        <w:t xml:space="preserve">    </w:t>
      </w:r>
      <w:bookmarkStart w:id="89" w:name="_Toc30931"/>
      <w:bookmarkStart w:id="90" w:name="_Toc16689"/>
      <w:bookmarkStart w:id="91" w:name="_Toc17013"/>
      <w:bookmarkStart w:id="92" w:name="_Toc17740"/>
      <w:r>
        <w:rPr>
          <w:rFonts w:hint="eastAsia" w:ascii="仿宋" w:hAnsi="仿宋" w:eastAsia="仿宋" w:cs="仿宋"/>
          <w:b/>
          <w:bCs/>
          <w:color w:val="auto"/>
          <w:kern w:val="44"/>
          <w:sz w:val="24"/>
          <w:szCs w:val="24"/>
          <w:highlight w:val="none"/>
        </w:rPr>
        <w:t>投标文件的编写</w:t>
      </w:r>
      <w:bookmarkEnd w:id="87"/>
      <w:bookmarkEnd w:id="88"/>
      <w:bookmarkEnd w:id="89"/>
      <w:bookmarkEnd w:id="90"/>
      <w:bookmarkEnd w:id="91"/>
      <w:bookmarkEnd w:id="92"/>
    </w:p>
    <w:p>
      <w:pPr>
        <w:numPr>
          <w:ilvl w:val="1"/>
          <w:numId w:val="1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投标人应按招标文件的规定，及附件要求的内容和格式完整地填写和提供资料，并保证所提供的全部资料的真实性。</w:t>
      </w:r>
    </w:p>
    <w:p>
      <w:pPr>
        <w:numPr>
          <w:ilvl w:val="1"/>
          <w:numId w:val="1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投标人应当按照招标文件要求编制投标文件，并根据自已的商务能力、技术水平等对招标文件提出的要求和条件作出真实的响应。</w:t>
      </w:r>
    </w:p>
    <w:p>
      <w:pPr>
        <w:numPr>
          <w:ilvl w:val="1"/>
          <w:numId w:val="1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本项目只允许投标人提供一个投标方案，否则，其投标将被拒绝。</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93" w:name="_Toc55778691"/>
      <w:bookmarkStart w:id="94" w:name="_Toc11544"/>
      <w:r>
        <w:rPr>
          <w:rFonts w:hint="eastAsia" w:ascii="仿宋" w:hAnsi="仿宋" w:eastAsia="仿宋" w:cs="仿宋"/>
          <w:b/>
          <w:bCs/>
          <w:color w:val="auto"/>
          <w:kern w:val="44"/>
          <w:sz w:val="24"/>
          <w:szCs w:val="24"/>
          <w:highlight w:val="none"/>
        </w:rPr>
        <w:t xml:space="preserve">    </w:t>
      </w:r>
      <w:bookmarkStart w:id="95" w:name="_Toc22522"/>
      <w:bookmarkStart w:id="96" w:name="_Toc22427"/>
      <w:bookmarkStart w:id="97" w:name="_Toc3854"/>
      <w:bookmarkStart w:id="98" w:name="_Toc15231"/>
      <w:r>
        <w:rPr>
          <w:rFonts w:hint="eastAsia" w:ascii="仿宋" w:hAnsi="仿宋" w:eastAsia="仿宋" w:cs="仿宋"/>
          <w:b/>
          <w:bCs/>
          <w:color w:val="auto"/>
          <w:kern w:val="44"/>
          <w:sz w:val="24"/>
          <w:szCs w:val="24"/>
          <w:highlight w:val="none"/>
        </w:rPr>
        <w:t>投标报价</w:t>
      </w:r>
      <w:bookmarkEnd w:id="93"/>
      <w:bookmarkEnd w:id="94"/>
      <w:bookmarkEnd w:id="95"/>
      <w:bookmarkEnd w:id="96"/>
      <w:bookmarkEnd w:id="97"/>
      <w:bookmarkEnd w:id="98"/>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投标人的投标报价应符合《中华人民共和国价格法》的有关规定。</w:t>
      </w:r>
    </w:p>
    <w:p>
      <w:pPr>
        <w:numPr>
          <w:ilvl w:val="1"/>
          <w:numId w:val="16"/>
        </w:numPr>
        <w:spacing w:line="360" w:lineRule="auto"/>
        <w:rPr>
          <w:rFonts w:hint="eastAsia" w:ascii="仿宋" w:hAnsi="仿宋" w:eastAsia="仿宋" w:cs="仿宋"/>
          <w:color w:val="auto"/>
          <w:sz w:val="24"/>
          <w:szCs w:val="24"/>
          <w:highlight w:val="none"/>
        </w:rPr>
      </w:pPr>
      <w:bookmarkStart w:id="99" w:name="_Ref179619251"/>
      <w:r>
        <w:rPr>
          <w:rFonts w:hint="eastAsia" w:ascii="仿宋" w:hAnsi="仿宋" w:eastAsia="仿宋" w:cs="仿宋"/>
          <w:color w:val="auto"/>
          <w:sz w:val="24"/>
          <w:szCs w:val="24"/>
          <w:highlight w:val="none"/>
        </w:rPr>
        <w:t>投标人应按照“采购内容”中要求规定的内容、责任范围进行报价。投标价格应包括投标人为完成本合同所约定的《招标及合同文件》规定的全部责任和义务所发生的各种开支。并认为此项费用已包含在投标报价中并按《报价一览表》及《</w:t>
      </w:r>
      <w:r>
        <w:rPr>
          <w:rFonts w:hint="eastAsia" w:ascii="仿宋" w:hAnsi="仿宋" w:eastAsia="仿宋" w:cs="仿宋"/>
          <w:color w:val="auto"/>
          <w:sz w:val="24"/>
          <w:szCs w:val="24"/>
          <w:highlight w:val="none"/>
          <w:lang w:val="en-US" w:eastAsia="zh-CN"/>
        </w:rPr>
        <w:t>报价一览明细表</w:t>
      </w:r>
      <w:r>
        <w:rPr>
          <w:rFonts w:hint="eastAsia" w:ascii="仿宋" w:hAnsi="仿宋" w:eastAsia="仿宋" w:cs="仿宋"/>
          <w:color w:val="auto"/>
          <w:sz w:val="24"/>
          <w:szCs w:val="24"/>
          <w:highlight w:val="none"/>
        </w:rPr>
        <w:t>》（如适用）的要求报出总价和分项价格。投标总价中不得包含招标文件要求以外的内容，否则，在评标时不予核减。投标总价中也不得缺漏招标文件所要求的内容，否则，被视为包含在投标报价中。</w:t>
      </w:r>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投标明细报价表内容应包含：</w:t>
      </w:r>
    </w:p>
    <w:p>
      <w:pPr>
        <w:numPr>
          <w:ilvl w:val="2"/>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按招标文件的要求全部服务内容所需的所有费用；</w:t>
      </w:r>
    </w:p>
    <w:p>
      <w:pPr>
        <w:numPr>
          <w:ilvl w:val="2"/>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对于报价免费的内容须标明“免费”；</w:t>
      </w:r>
    </w:p>
    <w:p>
      <w:pPr>
        <w:numPr>
          <w:ilvl w:val="2"/>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投标报价均应包含所有的税费；</w:t>
      </w:r>
    </w:p>
    <w:p>
      <w:pPr>
        <w:numPr>
          <w:ilvl w:val="2"/>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其他一切隐含及不可预见的费用。</w:t>
      </w:r>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w:t>
      </w:r>
      <w:r>
        <w:rPr>
          <w:rFonts w:hint="eastAsia" w:ascii="仿宋" w:hAnsi="仿宋" w:eastAsia="仿宋" w:cs="仿宋"/>
          <w:b/>
          <w:bCs/>
          <w:color w:val="auto"/>
          <w:sz w:val="24"/>
          <w:szCs w:val="24"/>
          <w:highlight w:val="none"/>
        </w:rPr>
        <w:t>招标文件</w:t>
      </w:r>
      <w:r>
        <w:rPr>
          <w:rFonts w:hint="eastAsia" w:ascii="仿宋" w:hAnsi="仿宋" w:eastAsia="仿宋" w:cs="仿宋"/>
          <w:color w:val="auto"/>
          <w:sz w:val="24"/>
          <w:szCs w:val="24"/>
          <w:highlight w:val="none"/>
        </w:rPr>
        <w:t>另有规定，投标人所报的投标价在合同执行过程中是固定不变的，不得以任何理由予以变更。任何包含价格调整要求的投标被认为是非实质性响应投标而予以拒绝。</w:t>
      </w:r>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投标文件中的总价金额与单价计算出的结果不一致的，以单价金额为准修正总价，但单价金额小数点有明显错误的除外。</w:t>
      </w:r>
    </w:p>
    <w:bookmarkEnd w:id="99"/>
    <w:p>
      <w:pPr>
        <w:numPr>
          <w:ilvl w:val="1"/>
          <w:numId w:val="16"/>
        </w:numPr>
        <w:spacing w:line="360" w:lineRule="auto"/>
        <w:rPr>
          <w:rFonts w:hint="eastAsia" w:ascii="仿宋" w:hAnsi="仿宋" w:eastAsia="仿宋" w:cs="仿宋"/>
          <w:color w:val="auto"/>
          <w:sz w:val="24"/>
          <w:szCs w:val="24"/>
          <w:highlight w:val="none"/>
        </w:rPr>
      </w:pPr>
      <w:bookmarkStart w:id="100" w:name="_Ref179620595"/>
      <w:r>
        <w:rPr>
          <w:rFonts w:hint="eastAsia" w:ascii="仿宋" w:hAnsi="仿宋" w:eastAsia="仿宋" w:cs="仿宋"/>
          <w:color w:val="auto"/>
          <w:sz w:val="24"/>
          <w:szCs w:val="24"/>
          <w:highlight w:val="none"/>
        </w:rPr>
        <w:t>除</w:t>
      </w:r>
      <w:r>
        <w:rPr>
          <w:rFonts w:hint="eastAsia" w:ascii="仿宋" w:hAnsi="仿宋" w:eastAsia="仿宋" w:cs="仿宋"/>
          <w:b/>
          <w:bCs/>
          <w:color w:val="auto"/>
          <w:sz w:val="24"/>
          <w:szCs w:val="24"/>
          <w:highlight w:val="none"/>
        </w:rPr>
        <w:t>招标文件</w:t>
      </w:r>
      <w:r>
        <w:rPr>
          <w:rFonts w:hint="eastAsia" w:ascii="仿宋" w:hAnsi="仿宋" w:eastAsia="仿宋" w:cs="仿宋"/>
          <w:color w:val="auto"/>
          <w:sz w:val="24"/>
          <w:szCs w:val="24"/>
          <w:highlight w:val="none"/>
        </w:rPr>
        <w:t>允许有备选方案外，本次招标不接受选择性报价，否则将被视为无效投标。</w:t>
      </w:r>
      <w:bookmarkEnd w:id="100"/>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w:t>
      </w:r>
      <w:r>
        <w:rPr>
          <w:rFonts w:hint="eastAsia" w:ascii="仿宋" w:hAnsi="仿宋" w:eastAsia="仿宋" w:cs="仿宋"/>
          <w:b/>
          <w:bCs/>
          <w:color w:val="auto"/>
          <w:sz w:val="24"/>
          <w:szCs w:val="24"/>
          <w:highlight w:val="none"/>
        </w:rPr>
        <w:t>招标文件</w:t>
      </w:r>
      <w:r>
        <w:rPr>
          <w:rFonts w:hint="eastAsia" w:ascii="仿宋" w:hAnsi="仿宋" w:eastAsia="仿宋" w:cs="仿宋"/>
          <w:color w:val="auto"/>
          <w:sz w:val="24"/>
          <w:szCs w:val="24"/>
          <w:highlight w:val="none"/>
        </w:rPr>
        <w:t xml:space="preserve">另有规定外，本次招标不接受具有附加条件的报价，否则将被视为无效投标。 </w:t>
      </w:r>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投标人应以人民币为单位进行报价。</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01" w:name="_Toc24908"/>
      <w:bookmarkStart w:id="102" w:name="_Toc55778694"/>
      <w:r>
        <w:rPr>
          <w:rFonts w:hint="eastAsia" w:ascii="仿宋" w:hAnsi="仿宋" w:eastAsia="仿宋" w:cs="仿宋"/>
          <w:b/>
          <w:bCs/>
          <w:color w:val="auto"/>
          <w:kern w:val="44"/>
          <w:sz w:val="24"/>
          <w:szCs w:val="24"/>
          <w:highlight w:val="none"/>
        </w:rPr>
        <w:t xml:space="preserve">    </w:t>
      </w:r>
      <w:bookmarkStart w:id="103" w:name="_Toc15306"/>
      <w:bookmarkStart w:id="104" w:name="_Toc10724"/>
      <w:bookmarkStart w:id="105" w:name="_Toc14790"/>
      <w:bookmarkStart w:id="106" w:name="_Toc22983"/>
      <w:r>
        <w:rPr>
          <w:rFonts w:hint="eastAsia" w:ascii="仿宋" w:hAnsi="仿宋" w:eastAsia="仿宋" w:cs="仿宋"/>
          <w:b/>
          <w:bCs/>
          <w:color w:val="auto"/>
          <w:kern w:val="44"/>
          <w:sz w:val="24"/>
          <w:szCs w:val="24"/>
          <w:highlight w:val="none"/>
        </w:rPr>
        <w:t>投标保证金</w:t>
      </w:r>
      <w:bookmarkEnd w:id="101"/>
      <w:bookmarkEnd w:id="102"/>
      <w:bookmarkEnd w:id="103"/>
      <w:bookmarkEnd w:id="104"/>
      <w:bookmarkEnd w:id="105"/>
      <w:bookmarkEnd w:id="106"/>
    </w:p>
    <w:p>
      <w:pPr>
        <w:numPr>
          <w:ilvl w:val="1"/>
          <w:numId w:val="17"/>
        </w:numPr>
        <w:spacing w:line="360" w:lineRule="auto"/>
        <w:rPr>
          <w:rFonts w:hint="eastAsia" w:ascii="仿宋" w:hAnsi="仿宋" w:eastAsia="仿宋" w:cs="仿宋"/>
          <w:color w:val="auto"/>
          <w:sz w:val="24"/>
          <w:szCs w:val="24"/>
          <w:highlight w:val="none"/>
        </w:rPr>
      </w:pPr>
      <w:bookmarkStart w:id="107" w:name="_Ref179619405"/>
      <w:r>
        <w:rPr>
          <w:rFonts w:hint="eastAsia" w:ascii="仿宋" w:hAnsi="仿宋" w:eastAsia="仿宋" w:cs="仿宋"/>
          <w:color w:val="auto"/>
          <w:sz w:val="24"/>
          <w:szCs w:val="24"/>
          <w:highlight w:val="none"/>
        </w:rPr>
        <w:t>投标人必须按招标文件的规定缴纳投标保证金，并作为其投标文件的组成部分。</w:t>
      </w:r>
      <w:bookmarkEnd w:id="107"/>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投标保证金是为了保护采购代理机构和采购人免遭因投标人的行为而蒙受损失。采购代理机构和采购人在因投标人的行为受到损害时可根据本须知的规定没收投标人的投标保证金。</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投标保证金必须以投标人名义汇出，采用银行转账形式提交，同时满足下列规定：</w:t>
      </w:r>
    </w:p>
    <w:p>
      <w:pPr>
        <w:spacing w:line="360" w:lineRule="auto"/>
        <w:ind w:left="840" w:leftChars="400"/>
        <w:jc w:val="left"/>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为保证本采购工作的顺利进行，各投标人应向采购人缴纳不少于</w:t>
      </w:r>
      <w:r>
        <w:rPr>
          <w:rFonts w:hint="eastAsia" w:ascii="仿宋" w:hAnsi="仿宋" w:eastAsia="仿宋" w:cs="仿宋"/>
          <w:b/>
          <w:bCs/>
          <w:color w:val="auto"/>
          <w:sz w:val="24"/>
          <w:szCs w:val="24"/>
          <w:highlight w:val="none"/>
        </w:rPr>
        <w:t>第二章《投标须知前附表》</w:t>
      </w:r>
      <w:r>
        <w:rPr>
          <w:rFonts w:hint="eastAsia" w:ascii="仿宋" w:hAnsi="仿宋" w:eastAsia="仿宋" w:cs="仿宋"/>
          <w:b/>
          <w:color w:val="auto"/>
          <w:sz w:val="24"/>
          <w:szCs w:val="24"/>
          <w:highlight w:val="none"/>
        </w:rPr>
        <w:t>规定数额的保证金，保证金金额及缴纳方式详见</w:t>
      </w:r>
      <w:r>
        <w:rPr>
          <w:rFonts w:hint="eastAsia" w:ascii="仿宋" w:hAnsi="仿宋" w:eastAsia="仿宋" w:cs="仿宋"/>
          <w:b/>
          <w:bCs/>
          <w:color w:val="auto"/>
          <w:sz w:val="24"/>
          <w:szCs w:val="24"/>
          <w:highlight w:val="none"/>
        </w:rPr>
        <w:t>第二章《投标须知前附表》</w:t>
      </w:r>
      <w:r>
        <w:rPr>
          <w:rFonts w:hint="eastAsia" w:ascii="仿宋" w:hAnsi="仿宋" w:eastAsia="仿宋" w:cs="仿宋"/>
          <w:b/>
          <w:color w:val="auto"/>
          <w:sz w:val="24"/>
          <w:szCs w:val="24"/>
          <w:highlight w:val="none"/>
        </w:rPr>
        <w:t>序号13（缴纳投标保证金）</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凡没有按照招标文件要求提交有效的投标保证金的投标，将视为非响应性投标予以拒绝。</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凡投标人在投标截止时间前撤回已提交的投标文件的，自收到投标人书面撤回通知之日起5个工作日内，退还已收取的投标保证金，但因投标人自身原因导致无法及时退还的除外。</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自中标通知书发出之日起5个工作日内退还未中标人的投标保证金，但因投标人自身原因导致无法及时退还的除外。</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中标人的投标保证金的退还必须同时满足以下要求（但因中标人自身原因导致无法及时退还的除外）：</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中标人按</w:t>
      </w:r>
      <w:bookmarkStart w:id="108" w:name="_Hlt507937599"/>
      <w:bookmarkEnd w:id="108"/>
      <w:r>
        <w:rPr>
          <w:rFonts w:hint="eastAsia" w:ascii="仿宋" w:hAnsi="仿宋" w:eastAsia="仿宋" w:cs="仿宋"/>
          <w:color w:val="auto"/>
          <w:sz w:val="24"/>
          <w:szCs w:val="24"/>
          <w:highlight w:val="none"/>
        </w:rPr>
        <w:t>《投标人须知前附表》规定签订合同的，自合同上传自</w:t>
      </w:r>
      <w:r>
        <w:rPr>
          <w:rFonts w:hint="eastAsia" w:ascii="仿宋" w:hAnsi="仿宋" w:eastAsia="仿宋" w:cs="仿宋"/>
          <w:b/>
          <w:color w:val="auto"/>
          <w:sz w:val="24"/>
          <w:szCs w:val="24"/>
          <w:highlight w:val="none"/>
          <w:u w:val="single"/>
        </w:rPr>
        <w:t>新疆政府采购网http://www.ccgp-xinjiang.gov.cn</w:t>
      </w:r>
      <w:r>
        <w:rPr>
          <w:rFonts w:hint="eastAsia" w:ascii="仿宋" w:hAnsi="仿宋" w:eastAsia="仿宋" w:cs="仿宋"/>
          <w:color w:val="auto"/>
          <w:sz w:val="24"/>
          <w:szCs w:val="24"/>
          <w:highlight w:val="none"/>
        </w:rPr>
        <w:t>起5个工作日内退还</w:t>
      </w:r>
    </w:p>
    <w:p>
      <w:pPr>
        <w:numPr>
          <w:ilvl w:val="1"/>
          <w:numId w:val="17"/>
        </w:numPr>
        <w:spacing w:line="360" w:lineRule="auto"/>
        <w:rPr>
          <w:rFonts w:hint="eastAsia" w:ascii="仿宋" w:hAnsi="仿宋" w:eastAsia="仿宋" w:cs="仿宋"/>
          <w:color w:val="auto"/>
          <w:sz w:val="24"/>
          <w:szCs w:val="24"/>
          <w:highlight w:val="none"/>
        </w:rPr>
      </w:pPr>
      <w:bookmarkStart w:id="109" w:name="_Ref179619371"/>
      <w:r>
        <w:rPr>
          <w:rFonts w:hint="eastAsia" w:ascii="仿宋" w:hAnsi="仿宋" w:eastAsia="仿宋" w:cs="仿宋"/>
          <w:color w:val="auto"/>
          <w:sz w:val="24"/>
          <w:szCs w:val="24"/>
          <w:highlight w:val="none"/>
        </w:rPr>
        <w:t>下列任何情况发生时，投标保证金将被没收：</w:t>
      </w:r>
      <w:bookmarkEnd w:id="109"/>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投标人在招标文件中规定的投标有效期内撤销其投标文件；</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中标后无正当理由放弃中标或中标人拒绝与采购人签订合同；</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中标人在规定期限内未能根据本须知规定签订合同；</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依法取消中标资格；</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法律法规规定的其它情况；</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10" w:name="_Toc55778695"/>
      <w:bookmarkStart w:id="111" w:name="_Toc10359"/>
      <w:r>
        <w:rPr>
          <w:rFonts w:hint="eastAsia" w:ascii="仿宋" w:hAnsi="仿宋" w:eastAsia="仿宋" w:cs="仿宋"/>
          <w:b/>
          <w:bCs/>
          <w:color w:val="auto"/>
          <w:kern w:val="44"/>
          <w:sz w:val="24"/>
          <w:szCs w:val="24"/>
          <w:highlight w:val="none"/>
        </w:rPr>
        <w:t xml:space="preserve">    </w:t>
      </w:r>
      <w:bookmarkStart w:id="112" w:name="_Toc2453"/>
      <w:bookmarkStart w:id="113" w:name="_Toc32410"/>
      <w:bookmarkStart w:id="114" w:name="_Toc30142"/>
      <w:bookmarkStart w:id="115" w:name="_Toc1720"/>
      <w:r>
        <w:rPr>
          <w:rFonts w:hint="eastAsia" w:ascii="仿宋" w:hAnsi="仿宋" w:eastAsia="仿宋" w:cs="仿宋"/>
          <w:b/>
          <w:bCs/>
          <w:color w:val="auto"/>
          <w:kern w:val="44"/>
          <w:sz w:val="24"/>
          <w:szCs w:val="24"/>
          <w:highlight w:val="none"/>
        </w:rPr>
        <w:t>投标有效期</w:t>
      </w:r>
      <w:bookmarkEnd w:id="110"/>
      <w:bookmarkEnd w:id="111"/>
      <w:bookmarkEnd w:id="112"/>
      <w:bookmarkEnd w:id="113"/>
      <w:bookmarkEnd w:id="114"/>
      <w:bookmarkEnd w:id="115"/>
    </w:p>
    <w:p>
      <w:pPr>
        <w:numPr>
          <w:ilvl w:val="1"/>
          <w:numId w:val="18"/>
        </w:numPr>
        <w:spacing w:line="360" w:lineRule="auto"/>
        <w:rPr>
          <w:rFonts w:hint="eastAsia" w:ascii="仿宋" w:hAnsi="仿宋" w:eastAsia="仿宋" w:cs="仿宋"/>
          <w:color w:val="auto"/>
          <w:sz w:val="24"/>
          <w:szCs w:val="24"/>
          <w:highlight w:val="none"/>
        </w:rPr>
      </w:pPr>
      <w:bookmarkStart w:id="116" w:name="_Ref179620893"/>
      <w:r>
        <w:rPr>
          <w:rFonts w:hint="eastAsia" w:ascii="仿宋" w:hAnsi="仿宋" w:eastAsia="仿宋" w:cs="仿宋"/>
          <w:b/>
          <w:bCs/>
          <w:color w:val="auto"/>
          <w:sz w:val="24"/>
          <w:szCs w:val="24"/>
          <w:highlight w:val="none"/>
        </w:rPr>
        <w:t>投标文件应在投标截止日后90日历天内保持有效。</w:t>
      </w:r>
    </w:p>
    <w:p>
      <w:pPr>
        <w:numPr>
          <w:ilvl w:val="1"/>
          <w:numId w:val="1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中标人投标有效期则顺延至项目完成验收之日，在此有效期内未经采购人同意，投标文件的一切内容和补充承诺均为持续有效且不予改变。</w:t>
      </w:r>
      <w:bookmarkEnd w:id="116"/>
    </w:p>
    <w:p>
      <w:pPr>
        <w:numPr>
          <w:ilvl w:val="1"/>
          <w:numId w:val="18"/>
        </w:numPr>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投标有效期从提交投标文件的截止之日起算</w:t>
      </w:r>
      <w:r>
        <w:rPr>
          <w:rFonts w:hint="eastAsia" w:ascii="仿宋" w:hAnsi="仿宋" w:eastAsia="仿宋" w:cs="仿宋"/>
          <w:color w:val="auto"/>
          <w:sz w:val="24"/>
          <w:szCs w:val="24"/>
          <w:highlight w:val="none"/>
        </w:rPr>
        <w:t>。投标文件中承诺的投标有效期应当不少于招标文件中载明的投标有效期。投标有效期不足的投标将被视为非实质性响应，视为无效投标。</w:t>
      </w:r>
    </w:p>
    <w:p>
      <w:pPr>
        <w:numPr>
          <w:ilvl w:val="1"/>
          <w:numId w:val="1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殊情况下，在原投标有效期截止之前，采购代理机构可要求投标人延长投标有效期。这种要求与答复均应以书面形式提交。投标人可拒绝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17" w:name="_Toc55778696"/>
      <w:r>
        <w:rPr>
          <w:rFonts w:hint="eastAsia" w:ascii="仿宋" w:hAnsi="仿宋" w:eastAsia="仿宋" w:cs="仿宋"/>
          <w:b/>
          <w:bCs/>
          <w:color w:val="auto"/>
          <w:kern w:val="44"/>
          <w:sz w:val="24"/>
          <w:szCs w:val="24"/>
          <w:highlight w:val="none"/>
        </w:rPr>
        <w:t xml:space="preserve">    </w:t>
      </w:r>
      <w:bookmarkStart w:id="118" w:name="_Toc30820"/>
      <w:bookmarkStart w:id="119" w:name="_Toc8626"/>
      <w:bookmarkStart w:id="120" w:name="_Toc32144"/>
      <w:bookmarkStart w:id="121" w:name="_Toc11497"/>
      <w:r>
        <w:rPr>
          <w:rFonts w:hint="eastAsia" w:ascii="仿宋" w:hAnsi="仿宋" w:eastAsia="仿宋" w:cs="仿宋"/>
          <w:b/>
          <w:bCs/>
          <w:color w:val="auto"/>
          <w:kern w:val="44"/>
          <w:sz w:val="24"/>
          <w:szCs w:val="24"/>
          <w:highlight w:val="none"/>
        </w:rPr>
        <w:t>投标文件的式样和签署、密封</w:t>
      </w:r>
      <w:bookmarkEnd w:id="117"/>
      <w:bookmarkEnd w:id="118"/>
      <w:bookmarkEnd w:id="119"/>
      <w:bookmarkEnd w:id="120"/>
      <w:bookmarkEnd w:id="121"/>
    </w:p>
    <w:p>
      <w:pPr>
        <w:numPr>
          <w:ilvl w:val="1"/>
          <w:numId w:val="19"/>
        </w:numPr>
        <w:spacing w:line="360" w:lineRule="auto"/>
        <w:rPr>
          <w:rFonts w:hint="eastAsia" w:ascii="仿宋" w:hAnsi="仿宋" w:eastAsia="仿宋" w:cs="仿宋"/>
          <w:sz w:val="24"/>
          <w:szCs w:val="24"/>
        </w:rPr>
      </w:pPr>
      <w:bookmarkStart w:id="122" w:name="_Toc22727"/>
      <w:r>
        <w:rPr>
          <w:rFonts w:hint="eastAsia" w:ascii="仿宋" w:hAnsi="仿宋" w:eastAsia="仿宋" w:cs="仿宋"/>
          <w:color w:val="000000"/>
          <w:sz w:val="24"/>
          <w:szCs w:val="24"/>
        </w:rPr>
        <w:t>投标人应根据投标人须知前附表规定提交投标文件</w:t>
      </w:r>
    </w:p>
    <w:p>
      <w:pPr>
        <w:numPr>
          <w:ilvl w:val="1"/>
          <w:numId w:val="19"/>
        </w:numPr>
        <w:spacing w:line="360" w:lineRule="auto"/>
        <w:rPr>
          <w:rFonts w:hint="eastAsia" w:ascii="仿宋" w:hAnsi="仿宋" w:eastAsia="仿宋" w:cs="仿宋"/>
          <w:sz w:val="24"/>
          <w:szCs w:val="24"/>
        </w:rPr>
      </w:pPr>
      <w:r>
        <w:rPr>
          <w:rFonts w:hint="eastAsia" w:ascii="仿宋" w:hAnsi="仿宋" w:eastAsia="仿宋" w:cs="仿宋"/>
          <w:sz w:val="24"/>
          <w:szCs w:val="24"/>
        </w:rPr>
        <w:t>投标人应根据投标人须知前附表规定提交投标文件。</w:t>
      </w:r>
      <w:r>
        <w:rPr>
          <w:rFonts w:hint="eastAsia" w:ascii="仿宋" w:hAnsi="仿宋" w:eastAsia="仿宋" w:cs="仿宋"/>
          <w:kern w:val="0"/>
          <w:sz w:val="24"/>
          <w:szCs w:val="24"/>
        </w:rPr>
        <w:t>为了保证电子标书的合法性、安全性和完整性，电子投标文件应在规定区域加盖单位和法定代表人CA印章。电子投标文件若无 CA电子签章，则视为无效文件。</w:t>
      </w:r>
    </w:p>
    <w:p>
      <w:pPr>
        <w:numPr>
          <w:ilvl w:val="1"/>
          <w:numId w:val="19"/>
        </w:numPr>
        <w:spacing w:line="360" w:lineRule="auto"/>
        <w:rPr>
          <w:rFonts w:hint="eastAsia" w:ascii="仿宋" w:hAnsi="仿宋" w:eastAsia="仿宋" w:cs="仿宋"/>
          <w:sz w:val="24"/>
          <w:szCs w:val="24"/>
        </w:rPr>
      </w:pPr>
      <w:r>
        <w:rPr>
          <w:rFonts w:hint="eastAsia" w:ascii="仿宋" w:hAnsi="仿宋" w:eastAsia="仿宋" w:cs="仿宋"/>
          <w:sz w:val="24"/>
          <w:szCs w:val="24"/>
        </w:rPr>
        <w:t>电子投标文件的内容通过数字证书进行加密并签章。未按要求加密和数字证书认证的投标文件，电子评标系统将无法接受,采购单位不予受理。</w:t>
      </w:r>
    </w:p>
    <w:p>
      <w:pPr>
        <w:pStyle w:val="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四、投标文件的递交</w:t>
      </w:r>
      <w:bookmarkEnd w:id="122"/>
    </w:p>
    <w:p>
      <w:pPr>
        <w:keepNext/>
        <w:keepLines/>
        <w:numPr>
          <w:ilvl w:val="0"/>
          <w:numId w:val="4"/>
        </w:numPr>
        <w:tabs>
          <w:tab w:val="left" w:pos="900"/>
        </w:tabs>
        <w:spacing w:line="360" w:lineRule="auto"/>
        <w:ind w:left="924" w:hanging="924"/>
        <w:outlineLvl w:val="0"/>
        <w:rPr>
          <w:rFonts w:hint="eastAsia" w:ascii="仿宋" w:hAnsi="仿宋" w:eastAsia="仿宋" w:cs="仿宋"/>
          <w:b/>
          <w:color w:val="auto"/>
          <w:kern w:val="44"/>
          <w:sz w:val="24"/>
          <w:szCs w:val="24"/>
          <w:highlight w:val="none"/>
        </w:rPr>
      </w:pPr>
      <w:bookmarkStart w:id="123" w:name="_Toc55778697"/>
      <w:r>
        <w:rPr>
          <w:rFonts w:hint="eastAsia" w:ascii="仿宋" w:hAnsi="仿宋" w:eastAsia="仿宋" w:cs="仿宋"/>
          <w:b/>
          <w:color w:val="auto"/>
          <w:kern w:val="44"/>
          <w:sz w:val="24"/>
          <w:szCs w:val="24"/>
          <w:highlight w:val="none"/>
        </w:rPr>
        <w:t xml:space="preserve">    </w:t>
      </w:r>
      <w:bookmarkStart w:id="124" w:name="_Toc5633"/>
      <w:bookmarkStart w:id="125" w:name="_Toc8124"/>
      <w:bookmarkStart w:id="126" w:name="_Toc24917"/>
      <w:bookmarkStart w:id="127" w:name="_Toc2542"/>
      <w:r>
        <w:rPr>
          <w:rFonts w:hint="eastAsia" w:ascii="仿宋" w:hAnsi="仿宋" w:eastAsia="仿宋" w:cs="仿宋"/>
          <w:b/>
          <w:color w:val="auto"/>
          <w:kern w:val="44"/>
          <w:sz w:val="24"/>
          <w:szCs w:val="24"/>
          <w:highlight w:val="none"/>
        </w:rPr>
        <w:t>投标文件递交</w:t>
      </w:r>
      <w:bookmarkEnd w:id="123"/>
      <w:bookmarkEnd w:id="124"/>
      <w:bookmarkEnd w:id="125"/>
      <w:bookmarkEnd w:id="126"/>
      <w:bookmarkEnd w:id="127"/>
    </w:p>
    <w:p>
      <w:pPr>
        <w:numPr>
          <w:ilvl w:val="1"/>
          <w:numId w:val="20"/>
        </w:numPr>
        <w:spacing w:line="360" w:lineRule="auto"/>
        <w:rPr>
          <w:rFonts w:hint="eastAsia" w:ascii="仿宋" w:hAnsi="仿宋" w:eastAsia="仿宋" w:cs="仿宋"/>
          <w:color w:val="auto"/>
          <w:sz w:val="24"/>
          <w:szCs w:val="24"/>
          <w:highlight w:val="none"/>
        </w:rPr>
      </w:pPr>
      <w:bookmarkStart w:id="128" w:name="_Toc55778698"/>
      <w:bookmarkStart w:id="129" w:name="_Toc20929"/>
      <w:r>
        <w:rPr>
          <w:rFonts w:hint="eastAsia" w:ascii="仿宋" w:hAnsi="仿宋" w:eastAsia="仿宋" w:cs="仿宋"/>
          <w:color w:val="auto"/>
          <w:sz w:val="24"/>
          <w:szCs w:val="24"/>
          <w:highlight w:val="none"/>
        </w:rPr>
        <w:t>本项目采用不见面开标、投标人需要递交电子</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文件，加密的电子</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文件，在投标截止时间前通过政采云平台上传到指定位置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无需递交纸质文件。</w:t>
      </w:r>
    </w:p>
    <w:p>
      <w:pPr>
        <w:keepNext/>
        <w:keepLines/>
        <w:numPr>
          <w:ilvl w:val="0"/>
          <w:numId w:val="4"/>
        </w:numPr>
        <w:tabs>
          <w:tab w:val="left" w:pos="900"/>
        </w:tabs>
        <w:spacing w:line="360" w:lineRule="auto"/>
        <w:ind w:left="924" w:hanging="924"/>
        <w:outlineLvl w:val="0"/>
        <w:rPr>
          <w:rFonts w:hint="eastAsia" w:ascii="仿宋" w:hAnsi="仿宋" w:eastAsia="仿宋" w:cs="仿宋"/>
          <w:b/>
          <w:color w:val="auto"/>
          <w:kern w:val="44"/>
          <w:sz w:val="24"/>
          <w:szCs w:val="24"/>
          <w:highlight w:val="none"/>
        </w:rPr>
      </w:pPr>
      <w:r>
        <w:rPr>
          <w:rFonts w:hint="eastAsia" w:ascii="仿宋" w:hAnsi="仿宋" w:eastAsia="仿宋" w:cs="仿宋"/>
          <w:b/>
          <w:color w:val="auto"/>
          <w:kern w:val="44"/>
          <w:sz w:val="24"/>
          <w:szCs w:val="24"/>
          <w:highlight w:val="none"/>
        </w:rPr>
        <w:t xml:space="preserve">    </w:t>
      </w:r>
      <w:bookmarkStart w:id="130" w:name="_Toc28446"/>
      <w:bookmarkStart w:id="131" w:name="_Toc4909"/>
      <w:bookmarkStart w:id="132" w:name="_Toc20702"/>
      <w:bookmarkStart w:id="133" w:name="_Toc12495"/>
      <w:r>
        <w:rPr>
          <w:rFonts w:hint="eastAsia" w:ascii="仿宋" w:hAnsi="仿宋" w:eastAsia="仿宋" w:cs="仿宋"/>
          <w:b/>
          <w:color w:val="auto"/>
          <w:kern w:val="44"/>
          <w:sz w:val="24"/>
          <w:szCs w:val="24"/>
          <w:highlight w:val="none"/>
        </w:rPr>
        <w:t>投标截止时间</w:t>
      </w:r>
      <w:bookmarkEnd w:id="128"/>
      <w:bookmarkEnd w:id="130"/>
      <w:bookmarkEnd w:id="131"/>
      <w:bookmarkEnd w:id="132"/>
      <w:bookmarkEnd w:id="133"/>
    </w:p>
    <w:p>
      <w:pPr>
        <w:keepNext/>
        <w:keepLines/>
        <w:numPr>
          <w:ilvl w:val="0"/>
          <w:numId w:val="21"/>
        </w:numPr>
        <w:tabs>
          <w:tab w:val="left" w:pos="900"/>
          <w:tab w:val="clear" w:pos="907"/>
        </w:tabs>
        <w:spacing w:line="360" w:lineRule="auto"/>
        <w:outlineLvl w:val="0"/>
        <w:rPr>
          <w:rFonts w:hint="eastAsia" w:ascii="仿宋" w:hAnsi="仿宋" w:eastAsia="仿宋" w:cs="仿宋"/>
          <w:color w:val="auto"/>
          <w:kern w:val="44"/>
          <w:sz w:val="24"/>
          <w:szCs w:val="24"/>
          <w:highlight w:val="none"/>
        </w:rPr>
      </w:pPr>
      <w:bookmarkStart w:id="134" w:name="_Toc5154"/>
      <w:bookmarkStart w:id="135" w:name="_Toc10314"/>
      <w:bookmarkStart w:id="136" w:name="_Toc55778699"/>
      <w:bookmarkStart w:id="137" w:name="_Toc30090"/>
      <w:bookmarkStart w:id="138" w:name="_Toc18539"/>
      <w:r>
        <w:rPr>
          <w:rFonts w:hint="eastAsia" w:ascii="仿宋" w:hAnsi="仿宋" w:eastAsia="仿宋" w:cs="仿宋"/>
          <w:color w:val="auto"/>
          <w:kern w:val="44"/>
          <w:sz w:val="24"/>
          <w:szCs w:val="24"/>
          <w:highlight w:val="none"/>
        </w:rPr>
        <w:t>本次招标的投标截止时间见第二章《投标须知前附表》的规定。</w:t>
      </w:r>
      <w:bookmarkEnd w:id="134"/>
      <w:bookmarkEnd w:id="135"/>
      <w:bookmarkEnd w:id="136"/>
      <w:bookmarkEnd w:id="137"/>
      <w:bookmarkEnd w:id="138"/>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39" w:name="_Toc55778700"/>
      <w:r>
        <w:rPr>
          <w:rFonts w:hint="eastAsia" w:ascii="仿宋" w:hAnsi="仿宋" w:eastAsia="仿宋" w:cs="仿宋"/>
          <w:b/>
          <w:color w:val="auto"/>
          <w:kern w:val="44"/>
          <w:sz w:val="24"/>
          <w:szCs w:val="24"/>
          <w:highlight w:val="none"/>
        </w:rPr>
        <w:t xml:space="preserve">    </w:t>
      </w:r>
      <w:bookmarkStart w:id="140" w:name="_Toc28929"/>
      <w:bookmarkStart w:id="141" w:name="_Toc2461"/>
      <w:bookmarkStart w:id="142" w:name="_Toc9155"/>
      <w:bookmarkStart w:id="143" w:name="_Toc1876"/>
      <w:r>
        <w:rPr>
          <w:rFonts w:hint="eastAsia" w:ascii="仿宋" w:hAnsi="仿宋" w:eastAsia="仿宋" w:cs="仿宋"/>
          <w:b/>
          <w:color w:val="auto"/>
          <w:kern w:val="44"/>
          <w:sz w:val="24"/>
          <w:szCs w:val="24"/>
          <w:highlight w:val="none"/>
        </w:rPr>
        <w:t>迟交的投标文件</w:t>
      </w:r>
      <w:bookmarkEnd w:id="139"/>
      <w:bookmarkEnd w:id="140"/>
      <w:bookmarkEnd w:id="141"/>
      <w:bookmarkEnd w:id="142"/>
      <w:bookmarkEnd w:id="143"/>
    </w:p>
    <w:p>
      <w:pPr>
        <w:keepNext/>
        <w:keepLines/>
        <w:numPr>
          <w:ilvl w:val="0"/>
          <w:numId w:val="22"/>
        </w:numPr>
        <w:tabs>
          <w:tab w:val="left" w:pos="900"/>
          <w:tab w:val="clear" w:pos="907"/>
        </w:tabs>
        <w:spacing w:line="360" w:lineRule="auto"/>
        <w:outlineLvl w:val="0"/>
        <w:rPr>
          <w:rFonts w:hint="eastAsia" w:ascii="仿宋" w:hAnsi="仿宋" w:eastAsia="仿宋" w:cs="仿宋"/>
          <w:color w:val="auto"/>
          <w:kern w:val="44"/>
          <w:sz w:val="24"/>
          <w:szCs w:val="24"/>
          <w:highlight w:val="none"/>
        </w:rPr>
      </w:pPr>
      <w:bookmarkStart w:id="144" w:name="_Toc94"/>
      <w:bookmarkStart w:id="145" w:name="_Toc7900"/>
      <w:bookmarkStart w:id="146" w:name="_Toc13418"/>
      <w:bookmarkStart w:id="147" w:name="_Toc24301"/>
      <w:bookmarkStart w:id="148" w:name="_Toc55778701"/>
      <w:r>
        <w:rPr>
          <w:rFonts w:hint="eastAsia" w:ascii="仿宋" w:hAnsi="仿宋" w:eastAsia="仿宋" w:cs="仿宋"/>
          <w:color w:val="auto"/>
          <w:kern w:val="44"/>
          <w:sz w:val="24"/>
          <w:szCs w:val="24"/>
          <w:highlight w:val="none"/>
        </w:rPr>
        <w:t>采购代理机构将拒绝并原封退回在其规定的投标截止时刻后收到的任何投标文件（包括相关的原件资料）。</w:t>
      </w:r>
      <w:bookmarkEnd w:id="144"/>
      <w:bookmarkEnd w:id="145"/>
      <w:bookmarkEnd w:id="146"/>
      <w:bookmarkEnd w:id="147"/>
      <w:bookmarkEnd w:id="148"/>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49" w:name="_Toc55778702"/>
      <w:r>
        <w:rPr>
          <w:rFonts w:hint="eastAsia" w:ascii="仿宋" w:hAnsi="仿宋" w:eastAsia="仿宋" w:cs="仿宋"/>
          <w:b/>
          <w:bCs/>
          <w:color w:val="auto"/>
          <w:kern w:val="44"/>
          <w:sz w:val="24"/>
          <w:szCs w:val="24"/>
          <w:highlight w:val="none"/>
        </w:rPr>
        <w:t xml:space="preserve">    </w:t>
      </w:r>
      <w:bookmarkStart w:id="150" w:name="_Toc21101"/>
      <w:bookmarkStart w:id="151" w:name="_Toc27265"/>
      <w:bookmarkStart w:id="152" w:name="_Toc19255"/>
      <w:bookmarkStart w:id="153" w:name="_Toc10185"/>
      <w:r>
        <w:rPr>
          <w:rFonts w:hint="eastAsia" w:ascii="仿宋" w:hAnsi="仿宋" w:eastAsia="仿宋" w:cs="仿宋"/>
          <w:b/>
          <w:bCs/>
          <w:color w:val="auto"/>
          <w:kern w:val="44"/>
          <w:sz w:val="24"/>
          <w:szCs w:val="24"/>
          <w:highlight w:val="none"/>
        </w:rPr>
        <w:t>投</w:t>
      </w:r>
      <w:bookmarkEnd w:id="129"/>
      <w:r>
        <w:rPr>
          <w:rFonts w:hint="eastAsia" w:ascii="仿宋" w:hAnsi="仿宋" w:eastAsia="仿宋" w:cs="仿宋"/>
          <w:b/>
          <w:bCs/>
          <w:color w:val="auto"/>
          <w:kern w:val="44"/>
          <w:sz w:val="24"/>
          <w:szCs w:val="24"/>
          <w:highlight w:val="none"/>
        </w:rPr>
        <w:t>标文件的修改和撤回、撤销</w:t>
      </w:r>
      <w:bookmarkEnd w:id="149"/>
      <w:bookmarkEnd w:id="150"/>
      <w:bookmarkEnd w:id="151"/>
      <w:bookmarkEnd w:id="152"/>
      <w:bookmarkEnd w:id="153"/>
    </w:p>
    <w:p>
      <w:pPr>
        <w:numPr>
          <w:ilvl w:val="1"/>
          <w:numId w:val="2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pPr>
        <w:numPr>
          <w:ilvl w:val="1"/>
          <w:numId w:val="2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除非招标文件另有规定或说明，投标人所提交的投标文件在评标结束后，无论中标与否都不退还。</w:t>
      </w:r>
    </w:p>
    <w:p>
      <w:pPr>
        <w:numPr>
          <w:ilvl w:val="1"/>
          <w:numId w:val="2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投标截止后，投标人不得撤销其投标，否则其投标保证金将按照本须知规定被没收。</w:t>
      </w:r>
    </w:p>
    <w:p>
      <w:pPr>
        <w:keepNext/>
        <w:keepLines/>
        <w:spacing w:line="360" w:lineRule="auto"/>
        <w:jc w:val="center"/>
        <w:outlineLvl w:val="1"/>
        <w:rPr>
          <w:rFonts w:hint="eastAsia" w:ascii="仿宋" w:hAnsi="仿宋" w:eastAsia="仿宋" w:cs="仿宋"/>
          <w:b/>
          <w:bCs/>
          <w:color w:val="auto"/>
          <w:sz w:val="24"/>
          <w:szCs w:val="24"/>
          <w:highlight w:val="none"/>
        </w:rPr>
      </w:pPr>
      <w:bookmarkStart w:id="154" w:name="_Toc14523"/>
      <w:bookmarkStart w:id="155" w:name="_Toc30087"/>
      <w:bookmarkStart w:id="156" w:name="_Toc55778703"/>
      <w:r>
        <w:rPr>
          <w:rFonts w:hint="eastAsia" w:ascii="仿宋" w:hAnsi="仿宋" w:eastAsia="仿宋" w:cs="仿宋"/>
          <w:b/>
          <w:bCs/>
          <w:color w:val="auto"/>
          <w:sz w:val="24"/>
          <w:szCs w:val="24"/>
          <w:highlight w:val="none"/>
        </w:rPr>
        <w:t>五、开标与评标</w:t>
      </w:r>
      <w:bookmarkEnd w:id="154"/>
      <w:bookmarkEnd w:id="155"/>
      <w:bookmarkEnd w:id="156"/>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57" w:name="_Toc55778704"/>
      <w:bookmarkStart w:id="158" w:name="_Toc21732"/>
      <w:r>
        <w:rPr>
          <w:rFonts w:hint="eastAsia" w:ascii="仿宋" w:hAnsi="仿宋" w:eastAsia="仿宋" w:cs="仿宋"/>
          <w:b/>
          <w:bCs/>
          <w:color w:val="auto"/>
          <w:kern w:val="44"/>
          <w:sz w:val="24"/>
          <w:szCs w:val="24"/>
          <w:highlight w:val="none"/>
        </w:rPr>
        <w:t xml:space="preserve">    </w:t>
      </w:r>
      <w:bookmarkStart w:id="159" w:name="_Toc26238"/>
      <w:bookmarkStart w:id="160" w:name="_Toc930"/>
      <w:bookmarkStart w:id="161" w:name="_Toc19246"/>
      <w:bookmarkStart w:id="162" w:name="_Toc4602"/>
      <w:r>
        <w:rPr>
          <w:rFonts w:hint="eastAsia" w:ascii="仿宋" w:hAnsi="仿宋" w:eastAsia="仿宋" w:cs="仿宋"/>
          <w:b/>
          <w:bCs/>
          <w:color w:val="auto"/>
          <w:kern w:val="44"/>
          <w:sz w:val="24"/>
          <w:szCs w:val="24"/>
          <w:highlight w:val="none"/>
        </w:rPr>
        <w:t>开标</w:t>
      </w:r>
      <w:bookmarkEnd w:id="157"/>
      <w:bookmarkEnd w:id="158"/>
      <w:bookmarkEnd w:id="159"/>
      <w:bookmarkEnd w:id="160"/>
      <w:bookmarkEnd w:id="161"/>
      <w:bookmarkEnd w:id="162"/>
    </w:p>
    <w:p>
      <w:pPr>
        <w:numPr>
          <w:ilvl w:val="0"/>
          <w:numId w:val="24"/>
        </w:numPr>
        <w:spacing w:line="360" w:lineRule="auto"/>
        <w:rPr>
          <w:rFonts w:hint="eastAsia" w:ascii="仿宋" w:hAnsi="仿宋" w:eastAsia="仿宋" w:cs="仿宋"/>
          <w:vanish/>
          <w:color w:val="auto"/>
          <w:sz w:val="24"/>
          <w:szCs w:val="24"/>
          <w:highlight w:val="none"/>
        </w:rPr>
      </w:pPr>
    </w:p>
    <w:p>
      <w:pPr>
        <w:numPr>
          <w:ilvl w:val="1"/>
          <w:numId w:val="24"/>
        </w:numPr>
        <w:spacing w:line="360" w:lineRule="auto"/>
        <w:rPr>
          <w:rFonts w:hint="eastAsia" w:ascii="仿宋" w:hAnsi="仿宋" w:eastAsia="仿宋" w:cs="仿宋"/>
          <w:color w:val="auto"/>
          <w:sz w:val="24"/>
          <w:szCs w:val="24"/>
          <w:highlight w:val="none"/>
        </w:rPr>
      </w:pPr>
      <w:bookmarkStart w:id="163" w:name="_Toc55778705"/>
      <w:bookmarkStart w:id="164" w:name="_Toc17344"/>
      <w:r>
        <w:rPr>
          <w:rFonts w:hint="eastAsia" w:ascii="仿宋" w:hAnsi="仿宋" w:eastAsia="仿宋" w:cs="仿宋"/>
          <w:color w:val="auto"/>
          <w:sz w:val="24"/>
          <w:szCs w:val="24"/>
          <w:highlight w:val="none"/>
        </w:rPr>
        <w:t>采购人或采购代理机构在投标人须知前附表规定的开标时间和开标地点组织公开开标，邀请投标人参加。评标委员会成员不得参加开标活动。投标人不足3家的，不得开标。</w:t>
      </w:r>
    </w:p>
    <w:p>
      <w:pPr>
        <w:numPr>
          <w:ilvl w:val="1"/>
          <w:numId w:val="24"/>
        </w:numPr>
        <w:spacing w:line="360" w:lineRule="auto"/>
        <w:rPr>
          <w:rFonts w:hint="eastAsia" w:ascii="仿宋" w:hAnsi="仿宋" w:eastAsia="仿宋" w:cs="仿宋"/>
          <w:color w:val="auto"/>
          <w:sz w:val="24"/>
          <w:szCs w:val="24"/>
          <w:highlight w:val="none"/>
        </w:rPr>
      </w:pPr>
      <w:r>
        <w:rPr>
          <w:rFonts w:hint="eastAsia" w:ascii="仿宋" w:hAnsi="仿宋" w:eastAsia="仿宋" w:cs="仿宋"/>
          <w:b w:val="0"/>
          <w:bCs/>
          <w:i w:val="0"/>
          <w:caps w:val="0"/>
          <w:color w:val="000000"/>
          <w:spacing w:val="0"/>
          <w:kern w:val="0"/>
          <w:sz w:val="24"/>
          <w:szCs w:val="24"/>
          <w:lang w:val="en-US" w:eastAsia="zh-CN" w:bidi="ar"/>
        </w:rPr>
        <w:t>投标文件以电子形式递交至: 新疆政采云平台；投标人应于投标截止时间</w:t>
      </w:r>
      <w:r>
        <w:rPr>
          <w:rFonts w:hint="eastAsia" w:ascii="仿宋" w:hAnsi="仿宋" w:eastAsia="仿宋" w:cs="仿宋"/>
          <w:b w:val="0"/>
          <w:bCs/>
          <w:i w:val="0"/>
          <w:caps w:val="0"/>
          <w:color w:val="auto"/>
          <w:spacing w:val="0"/>
          <w:kern w:val="0"/>
          <w:sz w:val="24"/>
          <w:szCs w:val="24"/>
          <w:lang w:val="en-US" w:eastAsia="zh-CN" w:bidi="ar"/>
        </w:rPr>
        <w:t>之</w:t>
      </w:r>
      <w:r>
        <w:rPr>
          <w:rFonts w:hint="eastAsia" w:ascii="仿宋" w:hAnsi="仿宋" w:eastAsia="仿宋" w:cs="仿宋"/>
          <w:b w:val="0"/>
          <w:bCs/>
          <w:i w:val="0"/>
          <w:caps w:val="0"/>
          <w:color w:val="000000"/>
          <w:spacing w:val="0"/>
          <w:kern w:val="0"/>
          <w:sz w:val="24"/>
          <w:szCs w:val="24"/>
          <w:lang w:val="en-US" w:eastAsia="zh-CN" w:bidi="ar"/>
        </w:rPr>
        <w:t>前将电子投标文件上传到“政采云”平台。开标时间后30分钟内供应商登录“政采云”平台，用“项目采购-开标评标”功能进行解密投标文件。若供应商在规定时间内未按时解密的，视为无效投标。(解密时间开始时政采云平台将以短信形式向供应商在政采云平台预留的手机号发送短信通知，请供应商及时关注。)</w:t>
      </w:r>
    </w:p>
    <w:p>
      <w:pPr>
        <w:numPr>
          <w:ilvl w:val="1"/>
          <w:numId w:val="2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解密成功后</w:t>
      </w:r>
      <w:r>
        <w:rPr>
          <w:rFonts w:hint="eastAsia" w:ascii="仿宋" w:hAnsi="仿宋" w:eastAsia="仿宋" w:cs="仿宋"/>
          <w:color w:val="auto"/>
          <w:sz w:val="24"/>
          <w:szCs w:val="24"/>
          <w:highlight w:val="none"/>
        </w:rPr>
        <w:t>由采购人或者采购代理机构工作人员</w:t>
      </w:r>
      <w:r>
        <w:rPr>
          <w:rFonts w:hint="eastAsia" w:ascii="仿宋" w:hAnsi="仿宋" w:eastAsia="仿宋" w:cs="仿宋"/>
          <w:color w:val="auto"/>
          <w:sz w:val="24"/>
          <w:szCs w:val="24"/>
          <w:highlight w:val="none"/>
          <w:lang w:val="en-US" w:eastAsia="zh-CN"/>
        </w:rPr>
        <w:t>唱电子标</w:t>
      </w:r>
      <w:r>
        <w:rPr>
          <w:rFonts w:hint="eastAsia" w:ascii="仿宋" w:hAnsi="仿宋" w:eastAsia="仿宋" w:cs="仿宋"/>
          <w:color w:val="auto"/>
          <w:sz w:val="24"/>
          <w:szCs w:val="24"/>
          <w:highlight w:val="none"/>
        </w:rPr>
        <w:t>，宣布投标人名称、投标价格和招标文件规定的需要宣布的其他内容。</w:t>
      </w:r>
    </w:p>
    <w:p>
      <w:pPr>
        <w:numPr>
          <w:ilvl w:val="1"/>
          <w:numId w:val="2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开标过程应当由采购人或者采购代理机构负责记录，由参加开标的各投标人代表和相关工作人员签字确认。</w:t>
      </w:r>
    </w:p>
    <w:p>
      <w:pPr>
        <w:numPr>
          <w:ilvl w:val="1"/>
          <w:numId w:val="24"/>
        </w:numPr>
        <w:spacing w:line="360" w:lineRule="auto"/>
        <w:rPr>
          <w:rFonts w:hint="eastAsia" w:ascii="仿宋" w:hAnsi="仿宋" w:eastAsia="仿宋" w:cs="仿宋"/>
          <w:b/>
          <w:bCs/>
          <w:color w:val="auto"/>
          <w:kern w:val="44"/>
          <w:sz w:val="24"/>
          <w:szCs w:val="24"/>
          <w:highlight w:val="none"/>
        </w:rPr>
      </w:pPr>
      <w:r>
        <w:rPr>
          <w:rFonts w:hint="eastAsia" w:ascii="仿宋" w:hAnsi="仿宋" w:eastAsia="仿宋" w:cs="仿宋"/>
          <w:color w:val="auto"/>
          <w:sz w:val="24"/>
          <w:szCs w:val="24"/>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numPr>
          <w:ilvl w:val="1"/>
          <w:numId w:val="24"/>
        </w:numPr>
        <w:spacing w:line="360" w:lineRule="auto"/>
        <w:rPr>
          <w:rFonts w:hint="eastAsia" w:ascii="仿宋" w:hAnsi="仿宋" w:eastAsia="仿宋" w:cs="仿宋"/>
          <w:b/>
          <w:bCs/>
          <w:color w:val="auto"/>
          <w:kern w:val="44"/>
          <w:sz w:val="24"/>
          <w:szCs w:val="24"/>
          <w:highlight w:val="none"/>
        </w:rPr>
      </w:pPr>
      <w:r>
        <w:rPr>
          <w:rFonts w:hint="eastAsia" w:ascii="仿宋" w:hAnsi="仿宋" w:eastAsia="仿宋" w:cs="仿宋"/>
          <w:color w:val="auto"/>
          <w:sz w:val="24"/>
          <w:szCs w:val="24"/>
          <w:highlight w:val="none"/>
        </w:rPr>
        <w:t>投标人未参加开标的，视同认可开标结果。</w:t>
      </w:r>
      <w:r>
        <w:rPr>
          <w:rFonts w:hint="eastAsia" w:ascii="仿宋" w:hAnsi="仿宋" w:eastAsia="仿宋" w:cs="仿宋"/>
          <w:b/>
          <w:color w:val="auto"/>
          <w:kern w:val="44"/>
          <w:sz w:val="24"/>
          <w:szCs w:val="24"/>
          <w:highlight w:val="none"/>
        </w:rPr>
        <w:t xml:space="preserve">    </w:t>
      </w:r>
      <w:bookmarkStart w:id="165" w:name="_Toc1994"/>
      <w:bookmarkStart w:id="166" w:name="_Toc24182"/>
      <w:bookmarkStart w:id="167" w:name="_Toc10826"/>
      <w:bookmarkStart w:id="168" w:name="_Toc11631"/>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color w:val="auto"/>
          <w:kern w:val="44"/>
          <w:sz w:val="24"/>
          <w:szCs w:val="24"/>
          <w:highlight w:val="none"/>
        </w:rPr>
        <w:t>公开招标失败后的处理</w:t>
      </w:r>
      <w:bookmarkEnd w:id="163"/>
      <w:bookmarkEnd w:id="165"/>
      <w:bookmarkEnd w:id="166"/>
      <w:bookmarkEnd w:id="167"/>
      <w:bookmarkEnd w:id="168"/>
    </w:p>
    <w:p>
      <w:pPr>
        <w:numPr>
          <w:ilvl w:val="1"/>
          <w:numId w:val="2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如果开标当天，投标截止后投标人不足3家或者通过资格审查或符合性审查的投标人不足3家的，除特殊情况外，本项目作废标处理。废标后，除采购任务取消情形外，按照以下方式处理：</w:t>
      </w:r>
    </w:p>
    <w:p>
      <w:pPr>
        <w:numPr>
          <w:ilvl w:val="0"/>
          <w:numId w:val="2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招标文件存在不合理条款或者招标程序不符合规定的，采购人、采购代理机构改正后依法重新招标。</w:t>
      </w:r>
    </w:p>
    <w:p>
      <w:pPr>
        <w:numPr>
          <w:ilvl w:val="0"/>
          <w:numId w:val="2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招标文件没有不合理条款、招标程序符合规定，采购人需要采用其他采购方式采购的，经财政部门同意后可依法转换采购方式进行。</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69" w:name="_Toc55778706"/>
      <w:r>
        <w:rPr>
          <w:rFonts w:hint="eastAsia" w:ascii="仿宋" w:hAnsi="仿宋" w:eastAsia="仿宋" w:cs="仿宋"/>
          <w:b/>
          <w:bCs/>
          <w:color w:val="auto"/>
          <w:kern w:val="44"/>
          <w:sz w:val="24"/>
          <w:szCs w:val="24"/>
          <w:highlight w:val="none"/>
        </w:rPr>
        <w:t xml:space="preserve">    </w:t>
      </w:r>
      <w:bookmarkStart w:id="170" w:name="_Toc22191"/>
      <w:r>
        <w:rPr>
          <w:rFonts w:hint="eastAsia" w:ascii="仿宋" w:hAnsi="仿宋" w:eastAsia="仿宋" w:cs="仿宋"/>
          <w:b/>
          <w:bCs/>
          <w:color w:val="auto"/>
          <w:kern w:val="44"/>
          <w:sz w:val="24"/>
          <w:szCs w:val="24"/>
          <w:highlight w:val="none"/>
        </w:rPr>
        <w:t>评标小组</w:t>
      </w:r>
      <w:bookmarkEnd w:id="164"/>
      <w:bookmarkEnd w:id="169"/>
      <w:bookmarkEnd w:id="170"/>
    </w:p>
    <w:p>
      <w:pPr>
        <w:numPr>
          <w:ilvl w:val="1"/>
          <w:numId w:val="27"/>
        </w:numPr>
        <w:spacing w:line="360" w:lineRule="auto"/>
        <w:rPr>
          <w:rFonts w:hint="eastAsia" w:ascii="仿宋" w:hAnsi="仿宋" w:eastAsia="仿宋" w:cs="仿宋"/>
          <w:color w:val="auto"/>
          <w:sz w:val="24"/>
          <w:szCs w:val="24"/>
          <w:highlight w:val="none"/>
        </w:rPr>
      </w:pPr>
      <w:bookmarkStart w:id="171" w:name="_Ref179621079"/>
      <w:r>
        <w:rPr>
          <w:rFonts w:hint="eastAsia" w:ascii="仿宋" w:hAnsi="仿宋" w:eastAsia="仿宋" w:cs="仿宋"/>
          <w:color w:val="auto"/>
          <w:sz w:val="24"/>
          <w:szCs w:val="24"/>
          <w:highlight w:val="none"/>
        </w:rPr>
        <w:t>本次招标依《中华人民共和国政府采购法》、实施条例及有关法律法规组建评标小组，评标小组由采购人代表和有关技术、经济等方面的专家组成，采购人代表人数、专家人数及专业构成按政府采购规定确定。评标小组成员依法从</w:t>
      </w:r>
      <w:r>
        <w:rPr>
          <w:rFonts w:hint="eastAsia" w:ascii="仿宋" w:hAnsi="仿宋" w:eastAsia="仿宋" w:cs="仿宋"/>
          <w:b/>
          <w:bCs/>
          <w:color w:val="auto"/>
          <w:sz w:val="24"/>
          <w:szCs w:val="24"/>
          <w:highlight w:val="none"/>
          <w:u w:val="single"/>
          <w:lang w:eastAsia="zh-CN"/>
        </w:rPr>
        <w:t>新疆政采云平台</w:t>
      </w:r>
      <w:r>
        <w:rPr>
          <w:rFonts w:hint="eastAsia" w:ascii="仿宋" w:hAnsi="仿宋" w:eastAsia="仿宋" w:cs="仿宋"/>
          <w:color w:val="auto"/>
          <w:sz w:val="24"/>
          <w:szCs w:val="24"/>
          <w:highlight w:val="none"/>
        </w:rPr>
        <w:t>评审专家库中随机抽取产生。对技术复杂、专业性强的采购项目，通过随机方式难以确定合适评审专家的，经主管预算单位同意，采购人可以自行选定相应专业领域的评审专家。</w:t>
      </w:r>
    </w:p>
    <w:p>
      <w:pPr>
        <w:numPr>
          <w:ilvl w:val="1"/>
          <w:numId w:val="2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评标小组应当按照招标文件中规定的评标方法和标准，对符合性审查合格的投标文件进行商务和技术评估，综合比较与评价，提交评标报告并推荐中标候选人。</w:t>
      </w:r>
    </w:p>
    <w:p>
      <w:pPr>
        <w:numPr>
          <w:ilvl w:val="1"/>
          <w:numId w:val="2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中因评标小组成员缺席、回避或者健康等特殊原因导致评标小组组成不符合法律法规规定的，采购人或者采购代理机构将依法补足后继续评标。被更换的评标小组成员所作出的评标意见无效。无法及时补足评标小组成员的，采购人或者采购代理机构将停止评标活动，封存所有投标文件和开标、评标资料，依法重新组建评标小组进行评标。原评标小组所作出的评标意见无效。采购人或者采购代理机构会将变更、重新组建评标小组的情况予以记录，并随</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一并存档。</w:t>
      </w:r>
    </w:p>
    <w:p>
      <w:pPr>
        <w:numPr>
          <w:ilvl w:val="1"/>
          <w:numId w:val="2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评标小组成员名单在评标结果公告前严格保密。评审专家有下列情形之一的，受到邀请应主动提出回避，采购当事人也可以要求该评审专家回避：</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参加采购活动前3年内与</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存在劳动关系；</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参加采购活动前3年内担任</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的董事、监事；</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参加采购活动前3年内是</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的控股股东或者实际控制人；</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 xml:space="preserve">的法定代表人或者负责人有夫妻、直系血亲、三代以内旁系血          </w:t>
      </w:r>
    </w:p>
    <w:p>
      <w:pPr>
        <w:spacing w:line="360" w:lineRule="auto"/>
        <w:ind w:left="425"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亲或者近姻亲关系；</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有其他可能影响政府采购活动公平、公正进行的关系。</w:t>
      </w:r>
    </w:p>
    <w:p>
      <w:pPr>
        <w:numPr>
          <w:ilvl w:val="1"/>
          <w:numId w:val="2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评标小组将按综合评分法进行评审，即最大限度地满足招标文件实质性要求前提下，按照招标文件中规定的各项因素进行综合评审后，以评标总得分最高的投标人作为中标候选人。</w:t>
      </w:r>
      <w:bookmarkEnd w:id="171"/>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72" w:name="_Toc55778707"/>
      <w:r>
        <w:rPr>
          <w:rFonts w:hint="eastAsia" w:ascii="仿宋" w:hAnsi="仿宋" w:eastAsia="仿宋" w:cs="仿宋"/>
          <w:b/>
          <w:color w:val="auto"/>
          <w:kern w:val="44"/>
          <w:sz w:val="24"/>
          <w:szCs w:val="24"/>
          <w:highlight w:val="none"/>
        </w:rPr>
        <w:t xml:space="preserve">   </w:t>
      </w:r>
      <w:bookmarkStart w:id="173" w:name="_Toc14456"/>
      <w:bookmarkStart w:id="174" w:name="_Toc28109"/>
      <w:bookmarkStart w:id="175" w:name="_Toc30337"/>
      <w:bookmarkStart w:id="176" w:name="_Toc26294"/>
      <w:r>
        <w:rPr>
          <w:rFonts w:hint="eastAsia" w:ascii="仿宋" w:hAnsi="仿宋" w:eastAsia="仿宋" w:cs="仿宋"/>
          <w:b/>
          <w:color w:val="auto"/>
          <w:kern w:val="44"/>
          <w:sz w:val="24"/>
          <w:szCs w:val="24"/>
          <w:highlight w:val="none"/>
        </w:rPr>
        <w:t>评标原则及评标方法</w:t>
      </w:r>
      <w:bookmarkEnd w:id="172"/>
      <w:bookmarkEnd w:id="173"/>
      <w:bookmarkEnd w:id="174"/>
      <w:bookmarkEnd w:id="175"/>
      <w:bookmarkEnd w:id="176"/>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评标基本原则：评标工作应依据《中华人民共和国政府采购法》、实施条例以及国家和地方政府有关政府采购的有关法规，遵循“公开、公平、公正、择优、信用”的原则进行。</w:t>
      </w:r>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本项目以投标人递交的</w:t>
      </w:r>
      <w:r>
        <w:rPr>
          <w:rFonts w:hint="eastAsia" w:ascii="仿宋" w:hAnsi="仿宋" w:eastAsia="仿宋" w:cs="仿宋"/>
          <w:color w:val="auto"/>
          <w:sz w:val="24"/>
          <w:szCs w:val="24"/>
          <w:highlight w:val="none"/>
          <w:lang w:val="en-US" w:eastAsia="zh-CN"/>
        </w:rPr>
        <w:t>电子</w:t>
      </w:r>
      <w:r>
        <w:rPr>
          <w:rFonts w:hint="eastAsia" w:ascii="仿宋" w:hAnsi="仿宋" w:eastAsia="仿宋" w:cs="仿宋"/>
          <w:color w:val="auto"/>
          <w:sz w:val="24"/>
          <w:szCs w:val="24"/>
          <w:highlight w:val="none"/>
        </w:rPr>
        <w:t>投标文件作为评审依据。</w:t>
      </w:r>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评标步骤及定标规定：第一阶段：先进行投标人资格性审查。第二阶段：进行投标人符合性审查。第三阶段：对通过资格性审查、符合性审查的投标人按照评标办法进行详细评审（包括：技术商务评审）。</w:t>
      </w:r>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评标办法：本次招标的评标方式为综合评分法，评审意见不一致时采用少数服从多数的评标方式，详细评审采用百分制综合评分法，分数按四舍五入原则计至小数点后两位</w:t>
      </w:r>
      <w:r>
        <w:rPr>
          <w:rFonts w:hint="eastAsia" w:ascii="仿宋" w:hAnsi="仿宋" w:eastAsia="仿宋" w:cs="仿宋"/>
          <w:color w:val="auto"/>
          <w:sz w:val="24"/>
          <w:szCs w:val="24"/>
          <w:highlight w:val="none"/>
        </w:rPr>
        <w:t>。</w:t>
      </w:r>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评标小组成员对需要共同认定的事项存在争议的，应当按照少数服从多数的原则作出结论。持不同意见的评标小组成员应当在评标报告上签署不同意见及理由，否则视为同意评标报告</w:t>
      </w:r>
      <w:r>
        <w:rPr>
          <w:rFonts w:hint="eastAsia" w:ascii="仿宋" w:hAnsi="仿宋" w:eastAsia="仿宋" w:cs="仿宋"/>
          <w:color w:val="auto"/>
          <w:sz w:val="24"/>
          <w:szCs w:val="24"/>
          <w:highlight w:val="none"/>
        </w:rPr>
        <w:t>。</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77" w:name="_Toc55778708"/>
      <w:r>
        <w:rPr>
          <w:rFonts w:hint="eastAsia" w:ascii="仿宋" w:hAnsi="仿宋" w:eastAsia="仿宋" w:cs="仿宋"/>
          <w:b/>
          <w:color w:val="auto"/>
          <w:kern w:val="44"/>
          <w:sz w:val="24"/>
          <w:szCs w:val="24"/>
          <w:highlight w:val="none"/>
        </w:rPr>
        <w:t xml:space="preserve">    </w:t>
      </w:r>
      <w:bookmarkStart w:id="178" w:name="_Toc24957"/>
      <w:bookmarkStart w:id="179" w:name="_Toc3188"/>
      <w:bookmarkStart w:id="180" w:name="_Toc29632"/>
      <w:bookmarkStart w:id="181" w:name="_Toc24483"/>
      <w:r>
        <w:rPr>
          <w:rFonts w:hint="eastAsia" w:ascii="仿宋" w:hAnsi="仿宋" w:eastAsia="仿宋" w:cs="仿宋"/>
          <w:b/>
          <w:color w:val="auto"/>
          <w:kern w:val="44"/>
          <w:sz w:val="24"/>
          <w:szCs w:val="24"/>
          <w:highlight w:val="none"/>
        </w:rPr>
        <w:t>初步评审</w:t>
      </w:r>
      <w:bookmarkEnd w:id="177"/>
      <w:bookmarkEnd w:id="178"/>
      <w:bookmarkEnd w:id="179"/>
      <w:bookmarkEnd w:id="180"/>
      <w:bookmarkEnd w:id="181"/>
    </w:p>
    <w:p>
      <w:pPr>
        <w:numPr>
          <w:ilvl w:val="1"/>
          <w:numId w:val="3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性审查：开标结束后，采购人依法对投标人的资格进行审查，资格性审查内容详见附件1《初步评审审查表》。对初步被认定为资格性审查不合格的可实行告知投标当事人。未通过资格性审查的投标人，不进入符合性审查。若通过资格性审查的投标人不足3家的，不得进行下一阶段评标。</w:t>
      </w:r>
    </w:p>
    <w:p>
      <w:pPr>
        <w:numPr>
          <w:ilvl w:val="2"/>
          <w:numId w:val="3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投标人存在下列情况之一的，投标无效：</w:t>
      </w:r>
    </w:p>
    <w:p>
      <w:pPr>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不具备招标文件中规定的投标人资格要求的</w:t>
      </w:r>
    </w:p>
    <w:p>
      <w:pPr>
        <w:numPr>
          <w:ilvl w:val="1"/>
          <w:numId w:val="3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性审查：详见附件1《初步评审审查表》，以确定其是否满足招标文件的实质性要求。评标小组对初步被认定为符合性审查不合格或无效投标者可实行告知投标当事人。未通过符合性审查的投标人，不进入技术、商务和价格评审。</w:t>
      </w:r>
    </w:p>
    <w:p>
      <w:pPr>
        <w:numPr>
          <w:ilvl w:val="1"/>
          <w:numId w:val="3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评标小组决定投标文件的响应程度</w:t>
      </w:r>
      <w:r>
        <w:rPr>
          <w:rFonts w:hint="eastAsia" w:ascii="仿宋" w:hAnsi="仿宋" w:eastAsia="仿宋" w:cs="仿宋"/>
          <w:color w:val="auto"/>
          <w:sz w:val="24"/>
          <w:szCs w:val="24"/>
          <w:highlight w:val="none"/>
          <w:lang w:val="en-US" w:eastAsia="zh-CN"/>
        </w:rPr>
        <w:t>指</w:t>
      </w:r>
      <w:r>
        <w:rPr>
          <w:rFonts w:hint="eastAsia" w:ascii="仿宋" w:hAnsi="仿宋" w:eastAsia="仿宋" w:cs="仿宋"/>
          <w:color w:val="auto"/>
          <w:sz w:val="24"/>
          <w:szCs w:val="24"/>
          <w:highlight w:val="none"/>
        </w:rPr>
        <w:t>依据投标文件本身的真实无误的内容，而不依据外部的证据。但投标文件有不真实、不正确内容的除外。</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82" w:name="_Toc55778709"/>
      <w:r>
        <w:rPr>
          <w:rFonts w:hint="eastAsia" w:ascii="仿宋" w:hAnsi="仿宋" w:eastAsia="仿宋" w:cs="仿宋"/>
          <w:b/>
          <w:bCs/>
          <w:color w:val="auto"/>
          <w:kern w:val="44"/>
          <w:sz w:val="24"/>
          <w:szCs w:val="24"/>
          <w:highlight w:val="none"/>
        </w:rPr>
        <w:t xml:space="preserve">    </w:t>
      </w:r>
      <w:bookmarkStart w:id="183" w:name="_Toc24582"/>
      <w:bookmarkStart w:id="184" w:name="_Toc27075"/>
      <w:bookmarkStart w:id="185" w:name="_Toc21733"/>
      <w:bookmarkStart w:id="186" w:name="_Toc23646"/>
      <w:r>
        <w:rPr>
          <w:rFonts w:hint="eastAsia" w:ascii="仿宋" w:hAnsi="仿宋" w:eastAsia="仿宋" w:cs="仿宋"/>
          <w:b/>
          <w:bCs/>
          <w:color w:val="auto"/>
          <w:kern w:val="44"/>
          <w:sz w:val="24"/>
          <w:szCs w:val="24"/>
          <w:highlight w:val="none"/>
        </w:rPr>
        <w:t>详细评审</w:t>
      </w:r>
      <w:bookmarkEnd w:id="182"/>
      <w:bookmarkEnd w:id="183"/>
      <w:bookmarkEnd w:id="184"/>
      <w:bookmarkEnd w:id="185"/>
      <w:bookmarkEnd w:id="186"/>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经符合性审查合格的投标文件，评标委员会将根据招标文件确定的评标方法和标准，对其技术部分和商务部分作进一步的比较和评价。</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评分法，是指投标文件满足招标文件全部实质性要求，且按照评审因素的量化指标评审得分最高的投标人为中标候选人的评标方法，评标严格按照招标文件的要求和条件进行，详细评标标准见附件2《评分细则》。</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当评标小组认为通过符合性审查的投标人的报价明显低于其他通过符合性审查投标人的报价，有可能影响服务质量或者不能诚信履约的，评标小组应当要求其在评标现场合理的时间内提供书面说明，必要时提交相关证明材料；投标人不能证明其报价合理性的，评标小组应当将其作为无效投标处理（投标人没有在评标小组规定的时间内说明的，该</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按无效投标处理）。</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投标文件报价出现前后不一致的，除招标文件另有规定外，按照下列规定修正：</w:t>
      </w:r>
    </w:p>
    <w:p>
      <w:pPr>
        <w:numPr>
          <w:ilvl w:val="2"/>
          <w:numId w:val="3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投标文件中报价一览表内容与投标文件中明细表内容不一致的，以报价一览表为准；</w:t>
      </w:r>
    </w:p>
    <w:p>
      <w:pPr>
        <w:numPr>
          <w:ilvl w:val="2"/>
          <w:numId w:val="3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大写金额和小写金额不一致的，以大写金额为准；</w:t>
      </w:r>
    </w:p>
    <w:p>
      <w:pPr>
        <w:numPr>
          <w:ilvl w:val="2"/>
          <w:numId w:val="3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单价金额小数点或百分比有明显错位的，以开标一览表的总价为准，并修改单价；</w:t>
      </w:r>
    </w:p>
    <w:p>
      <w:pPr>
        <w:numPr>
          <w:ilvl w:val="2"/>
          <w:numId w:val="3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总价金额与按单价汇总金额不一致的，以单价金额计算结果为准。</w:t>
      </w:r>
    </w:p>
    <w:p>
      <w:pPr>
        <w:numPr>
          <w:ilvl w:val="1"/>
          <w:numId w:val="32"/>
        </w:numPr>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文件中的缺漏项将按以下方法更正：若投标人的投标报价中有缺漏项内容，评标小组将视为其投标总价已包括缺漏项内容，若其中标，有关该内容的合同价格不予调整。如果投标人不接受对其缺漏项的更正，其投标将被拒绝。</w:t>
      </w:r>
    </w:p>
    <w:p>
      <w:pPr>
        <w:numPr>
          <w:ilvl w:val="1"/>
          <w:numId w:val="32"/>
        </w:numPr>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对数量的评审：以《采购内容》所示数量为准；《采购内容》未明示的，由评标小组以其专业知识判断，必要时参考投标人的澄清文件决定。</w:t>
      </w:r>
    </w:p>
    <w:p>
      <w:pPr>
        <w:numPr>
          <w:ilvl w:val="1"/>
          <w:numId w:val="32"/>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对小型或微型企业的扶持：</w:t>
      </w:r>
    </w:p>
    <w:p>
      <w:pPr>
        <w:pStyle w:val="2"/>
        <w:ind w:left="899" w:leftChars="428"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根据财政部、工业和信息化部制定了《政府采购促进中小企业发展管理办法》的规定，对小型或微型企业产品的价格给予一定比例扣除，用扣除后的价格参与评审本条款所称小型或微型企业应当符合以下条件：符合小型或微型企业划分标准，并且提供本企业承担的服务。投标人认为其为小型或微型企业的应提交《中小企业声明函》</w:t>
      </w:r>
      <w:r>
        <w:rPr>
          <w:rFonts w:hint="eastAsia" w:ascii="仿宋" w:hAnsi="仿宋" w:eastAsia="仿宋" w:cs="仿宋"/>
          <w:color w:val="auto"/>
          <w:sz w:val="24"/>
          <w:szCs w:val="24"/>
          <w:highlight w:val="none"/>
          <w:lang w:val="en-US" w:eastAsia="zh-CN"/>
        </w:rPr>
        <w:t>格式见附件2</w:t>
      </w:r>
      <w:r>
        <w:rPr>
          <w:rFonts w:hint="eastAsia" w:ascii="仿宋" w:hAnsi="仿宋" w:eastAsia="仿宋" w:cs="仿宋"/>
          <w:color w:val="auto"/>
          <w:sz w:val="24"/>
          <w:szCs w:val="24"/>
          <w:highlight w:val="none"/>
        </w:rPr>
        <w:t>，并明确企业类型，否则评审时不能享受相应的价格扣除。提供本企业制造的货物、承担的工程或者服务，或者提供其他小型或微型企业的制造的货物。</w:t>
      </w:r>
    </w:p>
    <w:p>
      <w:pPr>
        <w:pStyle w:val="2"/>
        <w:ind w:left="899" w:leftChars="428" w:firstLine="0" w:firstLineChars="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w:t>
      </w:r>
      <w:r>
        <w:rPr>
          <w:rFonts w:hint="eastAsia" w:ascii="仿宋" w:hAnsi="仿宋" w:eastAsia="仿宋" w:cs="仿宋"/>
          <w:b/>
          <w:bCs/>
          <w:color w:val="auto"/>
          <w:sz w:val="24"/>
          <w:szCs w:val="24"/>
          <w:highlight w:val="none"/>
        </w:rPr>
        <w:t>投标人为小型、微型企业且投标产品含小型、微型企业产品时，其小型、微型企业产品的价格给予</w:t>
      </w:r>
      <w:r>
        <w:rPr>
          <w:rFonts w:hint="eastAsia" w:ascii="仿宋" w:hAnsi="仿宋" w:eastAsia="仿宋" w:cs="仿宋"/>
          <w:b/>
          <w:bCs/>
          <w:color w:val="auto"/>
          <w:sz w:val="24"/>
          <w:szCs w:val="24"/>
          <w:highlight w:val="none"/>
          <w:lang w:val="en-US" w:eastAsia="zh-CN"/>
        </w:rPr>
        <w:t>10</w:t>
      </w:r>
      <w:r>
        <w:rPr>
          <w:rFonts w:hint="eastAsia" w:ascii="仿宋" w:hAnsi="仿宋" w:eastAsia="仿宋" w:cs="仿宋"/>
          <w:b/>
          <w:bCs/>
          <w:color w:val="auto"/>
          <w:sz w:val="24"/>
          <w:szCs w:val="24"/>
          <w:highlight w:val="none"/>
        </w:rPr>
        <w:t>%的扣除，即评标价=投标报价-小型、微型企业产品投标报价×</w:t>
      </w:r>
      <w:r>
        <w:rPr>
          <w:rFonts w:hint="eastAsia" w:ascii="仿宋" w:hAnsi="仿宋" w:eastAsia="仿宋" w:cs="仿宋"/>
          <w:b/>
          <w:bCs/>
          <w:color w:val="auto"/>
          <w:sz w:val="24"/>
          <w:szCs w:val="24"/>
          <w:highlight w:val="none"/>
          <w:lang w:val="en-US" w:eastAsia="zh-CN"/>
        </w:rPr>
        <w:t>10</w:t>
      </w:r>
      <w:r>
        <w:rPr>
          <w:rFonts w:hint="eastAsia" w:ascii="仿宋" w:hAnsi="仿宋" w:eastAsia="仿宋" w:cs="仿宋"/>
          <w:b/>
          <w:bCs/>
          <w:color w:val="auto"/>
          <w:sz w:val="24"/>
          <w:szCs w:val="24"/>
          <w:highlight w:val="none"/>
        </w:rPr>
        <w:t>%。</w:t>
      </w:r>
    </w:p>
    <w:p>
      <w:pPr>
        <w:pStyle w:val="2"/>
        <w:ind w:left="899" w:leftChars="428"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）根据财政部《政府采购促进中小企业发展管理办法》（财库[2020]46号文）规定，在货物类采购项目中，</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提供的货物既有中小企业制造货物，也有大型企业制造货物的，不享受中小企业扶持政策。</w:t>
      </w:r>
    </w:p>
    <w:p>
      <w:pPr>
        <w:numPr>
          <w:ilvl w:val="1"/>
          <w:numId w:val="32"/>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监狱企业产品价格扣除</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1）监狱企业视同小型、微型企业，按上述</w:t>
      </w:r>
      <w:r>
        <w:rPr>
          <w:rFonts w:hint="eastAsia" w:ascii="仿宋" w:hAnsi="仿宋" w:eastAsia="仿宋" w:cs="仿宋"/>
          <w:b/>
          <w:bCs/>
          <w:color w:val="auto"/>
          <w:sz w:val="24"/>
          <w:szCs w:val="24"/>
          <w:highlight w:val="none"/>
        </w:rPr>
        <w:t>27.7条款</w:t>
      </w:r>
      <w:r>
        <w:rPr>
          <w:rFonts w:hint="eastAsia" w:ascii="仿宋" w:hAnsi="仿宋" w:eastAsia="仿宋" w:cs="仿宋"/>
          <w:color w:val="auto"/>
          <w:sz w:val="24"/>
          <w:szCs w:val="24"/>
          <w:highlight w:val="none"/>
        </w:rPr>
        <w:t>享受评审中价格扣除。</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3）监狱企业参加政府采购活动时，应当提供由省级以上监狱管理局、戒毒管理局（含新疆生产建设兵团）出具的属于监狱企业的证明文件，否则不予认可。</w:t>
      </w:r>
    </w:p>
    <w:p>
      <w:pPr>
        <w:numPr>
          <w:ilvl w:val="1"/>
          <w:numId w:val="32"/>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残疾人福利性单位产品价格扣除</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1）残疾人福利性单位视同小型、微型企业，按上述</w:t>
      </w:r>
      <w:r>
        <w:rPr>
          <w:rFonts w:hint="eastAsia" w:ascii="仿宋" w:hAnsi="仿宋" w:eastAsia="仿宋" w:cs="仿宋"/>
          <w:b/>
          <w:bCs/>
          <w:color w:val="auto"/>
          <w:sz w:val="24"/>
          <w:szCs w:val="24"/>
          <w:highlight w:val="none"/>
        </w:rPr>
        <w:t>27.7条款</w:t>
      </w:r>
      <w:r>
        <w:rPr>
          <w:rFonts w:hint="eastAsia" w:ascii="仿宋" w:hAnsi="仿宋" w:eastAsia="仿宋" w:cs="仿宋"/>
          <w:color w:val="auto"/>
          <w:sz w:val="24"/>
          <w:szCs w:val="24"/>
          <w:highlight w:val="none"/>
        </w:rPr>
        <w:t>享受评审中价格扣除。</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根据财政部、民政部、中国残疾人联合会印发的《关于促进残疾人就业政府采购政策的通知》（财库〔2017〕141号）的规定，符合条件的残疾人福利性单位在参加政府采购活动时，应当提供该通知规定的《残疾人福利性单位声明函》（格式见</w:t>
      </w:r>
      <w:r>
        <w:rPr>
          <w:rFonts w:hint="eastAsia" w:ascii="仿宋" w:hAnsi="仿宋" w:eastAsia="仿宋" w:cs="仿宋"/>
          <w:color w:val="auto"/>
          <w:sz w:val="24"/>
          <w:szCs w:val="24"/>
          <w:highlight w:val="none"/>
          <w:lang w:val="en-US" w:eastAsia="zh-CN"/>
        </w:rPr>
        <w:t>附件3</w:t>
      </w:r>
      <w:r>
        <w:rPr>
          <w:rFonts w:hint="eastAsia" w:ascii="仿宋" w:hAnsi="仿宋" w:eastAsia="仿宋" w:cs="仿宋"/>
          <w:color w:val="auto"/>
          <w:sz w:val="24"/>
          <w:szCs w:val="24"/>
          <w:highlight w:val="none"/>
        </w:rPr>
        <w:t>），并对声明的真实性负责。一旦中标将在中标公告中公告其声明函，接受社会监督。投标人提供的《残疾人福利性单位声明函》与事实不符的，依照《中华人民共和国政府采购法》第七十七条第一款的规定追究法律责任。</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投标人同时为小型、微型企业、监狱企业、残疾人福利性单位任两种或以上情况的，评审中只享受一次价格扣除，不重复进行价格扣除。</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产品，指属于财政部、发展改革委发布的《节能产品政府采购品目清单》范围内，并具有国家确定的认证机构出具的、处于有效期之内的节能产品认证证书的产品。采用节能产品的，对报价中的节能产品金额给予价格扣除，扣除方法如下：节能产品金额占项目总金额的比重达到30%以上（含30%），扣除2%；节能产品金额占项目总金额的比重达到30%以下，扣除1%；属于强制采购节能产品的，不作价格扣除。</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境标志产品，指属于财政部、生态环境部发布的《环境标志产品政府采购品目清单》范围内的，并具有国家确定的认证机构出具的、处于有效期之内的环境标志产品认证证书的产品。采用环境标志产品的，对报价中的环境标志产品金额给予价格扣除，扣除方法如下：环境标志产品金额占项目总金额的比重达到30%以上（含30%），扣除2%；环境标志产品金额占项目总金额的比重达到30%以下，扣除1%。</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评标价的确定：按上述条款校核修正后的价格为评标价。</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评标小组成员对需要共同认定的事项存在争议的，应当按照少数服从多数的原则作出结论。持不同意见的评标小组成员应当在评标报告上签署不同意见及理由，否则视为同意评标报告。</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87" w:name="_Toc55778710"/>
      <w:r>
        <w:rPr>
          <w:rFonts w:hint="eastAsia" w:ascii="仿宋" w:hAnsi="仿宋" w:eastAsia="仿宋" w:cs="仿宋"/>
          <w:b/>
          <w:color w:val="auto"/>
          <w:kern w:val="44"/>
          <w:sz w:val="24"/>
          <w:szCs w:val="24"/>
          <w:highlight w:val="none"/>
        </w:rPr>
        <w:t xml:space="preserve">    </w:t>
      </w:r>
      <w:bookmarkStart w:id="188" w:name="_Toc25223"/>
      <w:bookmarkStart w:id="189" w:name="_Toc10625"/>
      <w:bookmarkStart w:id="190" w:name="_Toc31812"/>
      <w:bookmarkStart w:id="191" w:name="_Toc31639"/>
      <w:r>
        <w:rPr>
          <w:rFonts w:hint="eastAsia" w:ascii="仿宋" w:hAnsi="仿宋" w:eastAsia="仿宋" w:cs="仿宋"/>
          <w:b/>
          <w:color w:val="auto"/>
          <w:kern w:val="44"/>
          <w:sz w:val="24"/>
          <w:szCs w:val="24"/>
          <w:highlight w:val="none"/>
        </w:rPr>
        <w:t>投标文件的修正和澄清</w:t>
      </w:r>
      <w:bookmarkEnd w:id="187"/>
      <w:bookmarkEnd w:id="188"/>
      <w:bookmarkEnd w:id="189"/>
      <w:bookmarkEnd w:id="190"/>
      <w:bookmarkEnd w:id="191"/>
    </w:p>
    <w:p>
      <w:pPr>
        <w:numPr>
          <w:ilvl w:val="1"/>
          <w:numId w:val="34"/>
        </w:numPr>
        <w:spacing w:line="360" w:lineRule="auto"/>
        <w:rPr>
          <w:rFonts w:hAnsi="宋体" w:cs="Times New Roman"/>
          <w:color w:val="000000"/>
          <w:sz w:val="24"/>
          <w:szCs w:val="24"/>
        </w:rPr>
      </w:pPr>
      <w:bookmarkStart w:id="192" w:name="_Toc55778711"/>
      <w:r>
        <w:rPr>
          <w:rFonts w:hint="eastAsia" w:ascii="仿宋" w:hAnsi="仿宋" w:eastAsia="仿宋" w:cs="仿宋"/>
          <w:color w:val="auto"/>
          <w:sz w:val="24"/>
          <w:szCs w:val="24"/>
          <w:highlight w:val="none"/>
        </w:rPr>
        <w:t>评审小组在对投标文件(包括首次投标文件、重新提交的投标文件)的有效性、完整性和对招标文件的投标程度进行审查时，可以要求投标人对投标文件中含义不明确、同类问题表述不一致或者有明显文字和计算错误的内容等作出必要的澄清、说明或者更正。各投标人在项目开标、评标（审）期间应随时保持在线状态，及时查阅消息，并根据消息提醒进行投标文件在线解密等操作。随时通过交易系统接受评标（审）委员会发出的询标信息，并在规定时间内作出答复，未能按时答复的，评标（审）委员会将视同其放弃澄清。</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bCs/>
          <w:color w:val="auto"/>
          <w:kern w:val="44"/>
          <w:sz w:val="24"/>
          <w:szCs w:val="24"/>
          <w:highlight w:val="none"/>
        </w:rPr>
        <w:t xml:space="preserve">    </w:t>
      </w:r>
      <w:bookmarkStart w:id="193" w:name="_Toc13122"/>
      <w:bookmarkStart w:id="194" w:name="_Toc14816"/>
      <w:bookmarkStart w:id="195" w:name="_Toc30970"/>
      <w:bookmarkStart w:id="196" w:name="_Toc12810"/>
      <w:r>
        <w:rPr>
          <w:rFonts w:hint="eastAsia" w:ascii="仿宋" w:hAnsi="仿宋" w:eastAsia="仿宋" w:cs="仿宋"/>
          <w:b/>
          <w:bCs/>
          <w:color w:val="auto"/>
          <w:kern w:val="44"/>
          <w:sz w:val="24"/>
          <w:szCs w:val="24"/>
          <w:highlight w:val="none"/>
        </w:rPr>
        <w:t>评标总得分统计及推荐</w:t>
      </w:r>
      <w:bookmarkEnd w:id="192"/>
      <w:bookmarkEnd w:id="193"/>
      <w:bookmarkEnd w:id="194"/>
      <w:bookmarkEnd w:id="195"/>
      <w:bookmarkEnd w:id="196"/>
    </w:p>
    <w:p>
      <w:pPr>
        <w:numPr>
          <w:ilvl w:val="1"/>
          <w:numId w:val="3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numPr>
          <w:ilvl w:val="1"/>
          <w:numId w:val="3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评标小组各成员独立对每个投标人的投标文件进行评价，并汇总每个投标人的得分（评标总得分分值按四舍五入原则精确到小数点后两位）。</w:t>
      </w:r>
    </w:p>
    <w:p>
      <w:pPr>
        <w:numPr>
          <w:ilvl w:val="1"/>
          <w:numId w:val="3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推荐中标候选人：评标小组成员独立对每个投标人分别评出技术</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商务得分，评标小组成员的技术、商务评分的算术平均值为该投标人的技术商务得分。价格得分按价格评审办法评分。将投标人的技术商务得分和价格得分相加，计算得出各投标人的综合得分。将综合得分从高到低排序，得出投标人名次，推荐综合得分排名第一的投标人为第一中标候选人，综合得分排名第二的为第二中标候选人（得分相同的，按下列顺序比较：（1）投标报价（由低到高）；（2）技术商务评分（由高到低）；如以上都相同的，名次由评标小组随机抽取确定）。</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97" w:name="_Toc55778712"/>
      <w:r>
        <w:rPr>
          <w:rFonts w:hint="eastAsia" w:ascii="仿宋" w:hAnsi="仿宋" w:eastAsia="仿宋" w:cs="仿宋"/>
          <w:b/>
          <w:color w:val="auto"/>
          <w:kern w:val="44"/>
          <w:sz w:val="24"/>
          <w:szCs w:val="24"/>
          <w:highlight w:val="none"/>
        </w:rPr>
        <w:t xml:space="preserve">    </w:t>
      </w:r>
      <w:bookmarkStart w:id="198" w:name="_Toc22167"/>
      <w:bookmarkStart w:id="199" w:name="_Toc160"/>
      <w:bookmarkStart w:id="200" w:name="_Toc23908"/>
      <w:bookmarkStart w:id="201" w:name="_Toc10277"/>
      <w:r>
        <w:rPr>
          <w:rFonts w:hint="eastAsia" w:ascii="仿宋" w:hAnsi="仿宋" w:eastAsia="仿宋" w:cs="仿宋"/>
          <w:b/>
          <w:color w:val="auto"/>
          <w:kern w:val="44"/>
          <w:sz w:val="24"/>
          <w:szCs w:val="24"/>
          <w:highlight w:val="none"/>
        </w:rPr>
        <w:t>定标</w:t>
      </w:r>
      <w:bookmarkEnd w:id="197"/>
      <w:bookmarkEnd w:id="198"/>
      <w:bookmarkEnd w:id="199"/>
      <w:bookmarkEnd w:id="200"/>
      <w:bookmarkEnd w:id="201"/>
    </w:p>
    <w:p>
      <w:pPr>
        <w:numPr>
          <w:ilvl w:val="1"/>
          <w:numId w:val="3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提交评标报告报采购人确认，采购人在收到评标报告5个工作日内确定中标人，按照评标报告中推荐的中标候选人顺序确定中标人，也可以事先授权评标小组直接确定中标人。确认后采购代理机构将在发布本项目招标公告的法定媒体上发布中标公告。</w:t>
      </w:r>
    </w:p>
    <w:p>
      <w:pPr>
        <w:numPr>
          <w:ilvl w:val="1"/>
          <w:numId w:val="3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中标人拒绝与采购人签订合同的，采购人可以按照评审报告推荐的中标候选人名单排序，确定下一候选人为中标人，也可以重新开展政府采购活动。</w:t>
      </w:r>
    </w:p>
    <w:p>
      <w:pPr>
        <w:numPr>
          <w:ilvl w:val="1"/>
          <w:numId w:val="3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中标人放弃中标或者中标资格被依法确认无效的，采购人可以按照排序从其他中标候选人中确定中标人或重新组织采购活动。</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02" w:name="_Toc55778713"/>
      <w:r>
        <w:rPr>
          <w:rFonts w:hint="eastAsia" w:ascii="仿宋" w:hAnsi="仿宋" w:eastAsia="仿宋" w:cs="仿宋"/>
          <w:b/>
          <w:bCs/>
          <w:color w:val="auto"/>
          <w:kern w:val="44"/>
          <w:sz w:val="24"/>
          <w:szCs w:val="24"/>
          <w:highlight w:val="none"/>
        </w:rPr>
        <w:t xml:space="preserve">    </w:t>
      </w:r>
      <w:bookmarkStart w:id="203" w:name="_Toc31442"/>
      <w:bookmarkStart w:id="204" w:name="_Toc5256"/>
      <w:bookmarkStart w:id="205" w:name="_Toc6845"/>
      <w:bookmarkStart w:id="206" w:name="_Toc14184"/>
      <w:r>
        <w:rPr>
          <w:rFonts w:hint="eastAsia" w:ascii="仿宋" w:hAnsi="仿宋" w:eastAsia="仿宋" w:cs="仿宋"/>
          <w:b/>
          <w:bCs/>
          <w:color w:val="auto"/>
          <w:kern w:val="44"/>
          <w:sz w:val="24"/>
          <w:szCs w:val="24"/>
          <w:highlight w:val="none"/>
        </w:rPr>
        <w:t>特别说明</w:t>
      </w:r>
      <w:bookmarkEnd w:id="202"/>
      <w:bookmarkEnd w:id="203"/>
      <w:bookmarkEnd w:id="204"/>
      <w:bookmarkEnd w:id="205"/>
      <w:bookmarkEnd w:id="206"/>
    </w:p>
    <w:p>
      <w:pPr>
        <w:numPr>
          <w:ilvl w:val="1"/>
          <w:numId w:val="37"/>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有下列情形之一的，视为投标人串通投标，其投标无效：</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不同投标人的投标文件由同一单位或者个人编制；</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不同投标人委托同一单位或者个人办理投标事宜；</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不同投标人的投标文件载明的项目管理成员或者联系人员为同一人；</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不同投标人的投标文件异常一致或者投标报价呈规律性差异；</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不同投标人的投标文件相互混装；</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不同投标人的投标保证金从同一单位或者个人的账户转出。</w:t>
      </w:r>
    </w:p>
    <w:p>
      <w:pPr>
        <w:numPr>
          <w:ilvl w:val="1"/>
          <w:numId w:val="37"/>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投标人存在下列情况之一的，投标无效:</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未按照招标文件的规定提交投标保证金的；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投标文件未按招标文件要求签署、盖章的；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不具备招标文件中规定的资格要求的；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报价超过招标文件中规定的预算金额或者最高限价的；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投标文件含有采购人不能接受的附加条件的；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法律、法规和招标文件规定的其他无效情形。</w:t>
      </w:r>
    </w:p>
    <w:p>
      <w:pPr>
        <w:numPr>
          <w:ilvl w:val="1"/>
          <w:numId w:val="37"/>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在招标采购中，出现下列情形之一的，应予废标： </w:t>
      </w:r>
    </w:p>
    <w:p>
      <w:pPr>
        <w:numPr>
          <w:ilvl w:val="2"/>
          <w:numId w:val="4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符合专业条件的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或者对招标文件作实质响应的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 xml:space="preserve">不足三家的； </w:t>
      </w:r>
    </w:p>
    <w:p>
      <w:pPr>
        <w:numPr>
          <w:ilvl w:val="2"/>
          <w:numId w:val="4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出现影响采购公正的违法、违规行为的； </w:t>
      </w:r>
    </w:p>
    <w:p>
      <w:pPr>
        <w:numPr>
          <w:ilvl w:val="2"/>
          <w:numId w:val="4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投标人的报价均超过了采购预算，采购人不能支付的； </w:t>
      </w:r>
    </w:p>
    <w:p>
      <w:pPr>
        <w:numPr>
          <w:ilvl w:val="2"/>
          <w:numId w:val="4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因重大变故，采购任务取消的。 </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07" w:name="_Toc55778714"/>
      <w:r>
        <w:rPr>
          <w:rFonts w:hint="eastAsia" w:ascii="仿宋" w:hAnsi="仿宋" w:eastAsia="仿宋" w:cs="仿宋"/>
          <w:b/>
          <w:bCs/>
          <w:color w:val="auto"/>
          <w:kern w:val="44"/>
          <w:sz w:val="24"/>
          <w:szCs w:val="24"/>
          <w:highlight w:val="none"/>
        </w:rPr>
        <w:t xml:space="preserve">   </w:t>
      </w:r>
      <w:bookmarkStart w:id="208" w:name="_Toc12971"/>
      <w:bookmarkStart w:id="209" w:name="_Toc30472"/>
      <w:bookmarkStart w:id="210" w:name="_Toc14583"/>
      <w:bookmarkStart w:id="211" w:name="_Toc29878"/>
      <w:r>
        <w:rPr>
          <w:rFonts w:hint="eastAsia" w:ascii="仿宋" w:hAnsi="仿宋" w:eastAsia="仿宋" w:cs="仿宋"/>
          <w:b/>
          <w:bCs/>
          <w:color w:val="auto"/>
          <w:kern w:val="44"/>
          <w:sz w:val="24"/>
          <w:szCs w:val="24"/>
          <w:highlight w:val="none"/>
        </w:rPr>
        <w:t>与采购代理机构和采购人的接触</w:t>
      </w:r>
      <w:bookmarkEnd w:id="207"/>
      <w:bookmarkEnd w:id="208"/>
      <w:bookmarkEnd w:id="209"/>
      <w:bookmarkEnd w:id="210"/>
      <w:bookmarkEnd w:id="211"/>
    </w:p>
    <w:p>
      <w:pPr>
        <w:numPr>
          <w:ilvl w:val="1"/>
          <w:numId w:val="4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除本须知规定外，从开标之日起至授予合同期间，投标人不得就与其投标有关的事项与采购代理机构、采购人和评标小组接触。</w:t>
      </w:r>
    </w:p>
    <w:p>
      <w:pPr>
        <w:numPr>
          <w:ilvl w:val="1"/>
          <w:numId w:val="4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投标人试图对采购代理机构、采购人和评标小组的评标或授予合同的决定进行影响，都可能导致其投标被拒绝。</w:t>
      </w:r>
    </w:p>
    <w:p>
      <w:pPr>
        <w:keepNext/>
        <w:keepLines/>
        <w:spacing w:line="360" w:lineRule="auto"/>
        <w:jc w:val="center"/>
        <w:outlineLvl w:val="1"/>
        <w:rPr>
          <w:rFonts w:hint="eastAsia" w:ascii="仿宋" w:hAnsi="仿宋" w:eastAsia="仿宋" w:cs="仿宋"/>
          <w:b/>
          <w:bCs/>
          <w:color w:val="auto"/>
          <w:sz w:val="24"/>
          <w:szCs w:val="24"/>
          <w:highlight w:val="none"/>
        </w:rPr>
      </w:pPr>
      <w:bookmarkStart w:id="212" w:name="_Toc55778715"/>
      <w:bookmarkStart w:id="213" w:name="_Toc4267"/>
      <w:bookmarkStart w:id="214" w:name="_Toc8757"/>
      <w:r>
        <w:rPr>
          <w:rFonts w:hint="eastAsia" w:ascii="仿宋" w:hAnsi="仿宋" w:eastAsia="仿宋" w:cs="仿宋"/>
          <w:b/>
          <w:bCs/>
          <w:color w:val="auto"/>
          <w:sz w:val="24"/>
          <w:szCs w:val="24"/>
          <w:highlight w:val="none"/>
        </w:rPr>
        <w:t>六、质疑与投诉</w:t>
      </w:r>
      <w:bookmarkEnd w:id="212"/>
      <w:bookmarkEnd w:id="213"/>
      <w:bookmarkEnd w:id="214"/>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15" w:name="_Toc55778716"/>
      <w:bookmarkStart w:id="216" w:name="_Toc28035"/>
      <w:r>
        <w:rPr>
          <w:rFonts w:hint="eastAsia" w:ascii="仿宋" w:hAnsi="仿宋" w:eastAsia="仿宋" w:cs="仿宋"/>
          <w:b/>
          <w:bCs/>
          <w:color w:val="auto"/>
          <w:kern w:val="44"/>
          <w:sz w:val="24"/>
          <w:szCs w:val="24"/>
          <w:highlight w:val="none"/>
        </w:rPr>
        <w:t xml:space="preserve">    </w:t>
      </w:r>
      <w:bookmarkStart w:id="217" w:name="_Toc22749"/>
      <w:bookmarkStart w:id="218" w:name="_Toc26722"/>
      <w:bookmarkStart w:id="219" w:name="_Toc6727"/>
      <w:bookmarkStart w:id="220" w:name="_Toc5828"/>
      <w:r>
        <w:rPr>
          <w:rFonts w:hint="eastAsia" w:ascii="仿宋" w:hAnsi="仿宋" w:eastAsia="仿宋" w:cs="仿宋"/>
          <w:b/>
          <w:bCs/>
          <w:color w:val="auto"/>
          <w:kern w:val="44"/>
          <w:sz w:val="24"/>
          <w:szCs w:val="24"/>
          <w:highlight w:val="none"/>
        </w:rPr>
        <w:t>询问</w:t>
      </w:r>
      <w:bookmarkEnd w:id="215"/>
      <w:bookmarkEnd w:id="216"/>
      <w:bookmarkEnd w:id="217"/>
      <w:bookmarkEnd w:id="218"/>
      <w:bookmarkEnd w:id="219"/>
      <w:bookmarkEnd w:id="220"/>
    </w:p>
    <w:p>
      <w:pPr>
        <w:numPr>
          <w:ilvl w:val="1"/>
          <w:numId w:val="4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对招标活动事项（招标文件、招标过程和中标结果）有疑问的，可以向采购代理机构和采购人提出询问，采购代理机构和采购人将及时作出答复，但答复的内容不涉及商业秘密。询问可以口头方式提出，也可以书面方式提出，书面方式包括但不限于传真、信函、电子邮件。</w:t>
      </w:r>
    </w:p>
    <w:p>
      <w:pPr>
        <w:numPr>
          <w:ilvl w:val="1"/>
          <w:numId w:val="4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如采用书面方式提出询问，投标人为自然人的，询问函应当由本人签字；</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为法人或者其他组织的，应当由法定代表人、主要负责人或授权代表签字或者盖章，并加盖公章。</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递交询问函时非法定代表人亲自办理的需提供法定代表人授权委托书（应载明授权代表的姓名或者名称、代理事项、具体权限、期限和相关事项）及授权代表身份证复印件。</w:t>
      </w:r>
    </w:p>
    <w:p>
      <w:pPr>
        <w:numPr>
          <w:ilvl w:val="1"/>
          <w:numId w:val="4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招标采购单位在三个工作日内对投标人依法提出的询问作出答复。</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21" w:name="_Toc922"/>
      <w:bookmarkStart w:id="222" w:name="_Toc55778717"/>
      <w:r>
        <w:rPr>
          <w:rFonts w:hint="eastAsia" w:ascii="仿宋" w:hAnsi="仿宋" w:eastAsia="仿宋" w:cs="仿宋"/>
          <w:b/>
          <w:bCs/>
          <w:color w:val="auto"/>
          <w:kern w:val="44"/>
          <w:sz w:val="24"/>
          <w:szCs w:val="24"/>
          <w:highlight w:val="none"/>
        </w:rPr>
        <w:t xml:space="preserve">    </w:t>
      </w:r>
      <w:bookmarkStart w:id="223" w:name="_Toc31010"/>
      <w:bookmarkStart w:id="224" w:name="_Toc2109"/>
      <w:bookmarkStart w:id="225" w:name="_Toc16083"/>
      <w:bookmarkStart w:id="226" w:name="_Toc9977"/>
      <w:r>
        <w:rPr>
          <w:rFonts w:hint="eastAsia" w:ascii="仿宋" w:hAnsi="仿宋" w:eastAsia="仿宋" w:cs="仿宋"/>
          <w:b/>
          <w:bCs/>
          <w:color w:val="auto"/>
          <w:kern w:val="44"/>
          <w:sz w:val="24"/>
          <w:szCs w:val="24"/>
          <w:highlight w:val="none"/>
        </w:rPr>
        <w:t>质疑</w:t>
      </w:r>
      <w:bookmarkEnd w:id="221"/>
      <w:bookmarkEnd w:id="222"/>
      <w:bookmarkEnd w:id="223"/>
      <w:bookmarkEnd w:id="224"/>
      <w:bookmarkEnd w:id="225"/>
      <w:bookmarkEnd w:id="226"/>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质疑期限</w:t>
      </w:r>
    </w:p>
    <w:p>
      <w:pPr>
        <w:numPr>
          <w:ilvl w:val="2"/>
          <w:numId w:val="4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认为招标文件的内容损害其权益的，应在收到招标文件之日或者招标文件公告期届满之日起七个工作日内。（注：</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获取招标文件之日早于招标文件公告期限届满之日的，则以</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获取招标文件之日为质疑时效期间的起算日期；否则，以招标文件公告期限届满之日为质疑时效期间的起算日期）。</w:t>
      </w:r>
    </w:p>
    <w:p>
      <w:pPr>
        <w:numPr>
          <w:ilvl w:val="2"/>
          <w:numId w:val="4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认为采购过程损害其权益的，应在各采购程序环节结束之日起七个工作日内。</w:t>
      </w:r>
    </w:p>
    <w:p>
      <w:pPr>
        <w:numPr>
          <w:ilvl w:val="2"/>
          <w:numId w:val="4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认为中标或者成交结果损害其权益的，应在中标或者成交结果公告期限届满之日起七个工作日内。</w:t>
      </w:r>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提交的要求：</w:t>
      </w:r>
    </w:p>
    <w:p>
      <w:pPr>
        <w:numPr>
          <w:ilvl w:val="2"/>
          <w:numId w:val="4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以书面形式（加盖投标人公章，投标人以电话、传真或电邮形式提交的质疑属于无效质疑）向招标采购单位提出质疑。</w:t>
      </w:r>
    </w:p>
    <w:p>
      <w:pPr>
        <w:numPr>
          <w:ilvl w:val="2"/>
          <w:numId w:val="4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质疑书内容：应包括具体的质疑项目的名称及编号、具体明确的质疑事项和与质疑事项相关的请求、事实依据、必要的法律依据、提出质疑的日期、投标人名称及地址、授权代表姓名及其联系电话、质疑时间</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姓名或者名称、地址、邮编、联系人及联系电话。质疑书应当署名并由法定代表人或授权代表签字并加盖公章。投标人递交质疑书时需提供质疑书原件、法定代表人授权委托书（应载明委托代理的具体权限及事项）及授权代表身份证复印件。</w:t>
      </w:r>
    </w:p>
    <w:p>
      <w:pPr>
        <w:numPr>
          <w:ilvl w:val="2"/>
          <w:numId w:val="4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投标人质疑应当有明确的请求和必要的证明材料，捏造事实、提供虚假材料或者以非法手段取得证明材料不能作为质疑的证明材料。</w:t>
      </w:r>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质疑人进行质疑应当符合下列条件：</w:t>
      </w:r>
    </w:p>
    <w:p>
      <w:pPr>
        <w:numPr>
          <w:ilvl w:val="0"/>
          <w:numId w:val="46"/>
        </w:numPr>
        <w:tabs>
          <w:tab w:val="left" w:pos="1272"/>
        </w:tabs>
        <w:spacing w:line="360" w:lineRule="auto"/>
        <w:ind w:left="1272" w:hanging="4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质疑人是参与所质疑政府采购项目的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w:t>
      </w:r>
    </w:p>
    <w:p>
      <w:pPr>
        <w:numPr>
          <w:ilvl w:val="0"/>
          <w:numId w:val="46"/>
        </w:numPr>
        <w:tabs>
          <w:tab w:val="left" w:pos="1272"/>
        </w:tabs>
        <w:spacing w:line="360" w:lineRule="auto"/>
        <w:ind w:left="1272" w:hanging="4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在质疑有效期内提起质疑；</w:t>
      </w:r>
    </w:p>
    <w:p>
      <w:pPr>
        <w:numPr>
          <w:ilvl w:val="0"/>
          <w:numId w:val="46"/>
        </w:numPr>
        <w:tabs>
          <w:tab w:val="left" w:pos="1272"/>
        </w:tabs>
        <w:spacing w:line="360" w:lineRule="auto"/>
        <w:ind w:left="1272" w:hanging="4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法律法规规定的其他条件。</w:t>
      </w:r>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和采购人在收到投标投标人的书面质疑后7个工作日内作出答复，并以书面形式通知质疑投标投标人和其他有关投标投标人，但答复内容不涉及商业秘密。质疑投标投标人须提供相关证明材料，包括但不限于权益受损害的情况说明及受损害的原因、证据内容等，并对质疑内容的真实性承担责任。</w:t>
      </w:r>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对于捏造事实、滥用维权扰乱采购秩序的恶意质疑者或举证不全查无实据被驳回次数在一年内达三次以上，将纳入不良行为记录名单并承担相应的法律责任。</w:t>
      </w:r>
    </w:p>
    <w:p>
      <w:pPr>
        <w:numPr>
          <w:ilvl w:val="1"/>
          <w:numId w:val="43"/>
        </w:numPr>
        <w:spacing w:line="33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w:t>
      </w:r>
    </w:p>
    <w:p>
      <w:pPr>
        <w:spacing w:line="336" w:lineRule="auto"/>
        <w:ind w:left="899" w:leftChars="428"/>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采购代理机构：</w:t>
      </w:r>
      <w:r>
        <w:rPr>
          <w:rFonts w:hint="eastAsia" w:ascii="仿宋" w:hAnsi="仿宋" w:eastAsia="仿宋" w:cs="仿宋"/>
          <w:color w:val="auto"/>
          <w:sz w:val="24"/>
          <w:szCs w:val="24"/>
          <w:highlight w:val="none"/>
          <w:lang w:eastAsia="zh-CN"/>
        </w:rPr>
        <w:t>新疆华域建设工程项目管理咨询有限公司</w:t>
      </w:r>
    </w:p>
    <w:p>
      <w:pPr>
        <w:spacing w:line="336" w:lineRule="auto"/>
        <w:ind w:firstLine="960" w:firstLineChars="400"/>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联系人：戚国强</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电话：18690286035</w:t>
      </w:r>
    </w:p>
    <w:p>
      <w:pPr>
        <w:spacing w:line="336" w:lineRule="auto"/>
        <w:ind w:left="4078" w:leftChars="456" w:hanging="3120" w:hangingChars="1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lang w:val="en-US" w:eastAsia="zh-CN"/>
        </w:rPr>
        <w:t>835000</w:t>
      </w:r>
      <w:r>
        <w:rPr>
          <w:rFonts w:hint="eastAsia" w:ascii="仿宋" w:hAnsi="仿宋" w:eastAsia="仿宋" w:cs="仿宋"/>
          <w:color w:val="auto"/>
          <w:sz w:val="24"/>
          <w:szCs w:val="24"/>
          <w:highlight w:val="none"/>
        </w:rPr>
        <w:t xml:space="preserve">        </w:t>
      </w:r>
    </w:p>
    <w:p>
      <w:pPr>
        <w:spacing w:line="336" w:lineRule="auto"/>
        <w:ind w:left="4078" w:leftChars="456" w:hanging="3120" w:hangingChars="1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地址：伊宁市经济合作区北京路一品墅新房大厦10楼1004号</w:t>
      </w:r>
    </w:p>
    <w:p>
      <w:pPr>
        <w:numPr>
          <w:ilvl w:val="1"/>
          <w:numId w:val="43"/>
        </w:numPr>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 xml:space="preserve">质疑函格式 </w:t>
      </w:r>
    </w:p>
    <w:p>
      <w:pPr>
        <w:widowControl/>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质疑函范本</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一、质疑</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基本信息</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邮编：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联系人：                      联系电话：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授权代表：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联系电话：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邮编：                                                </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二、质疑项目基本情况</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质疑项目的名称：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质疑项目的编号：               包号：</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获取日期：</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三、质疑事项具体内容</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质疑事项1：</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质疑事项2</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 xml:space="preserve"> </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四、与质疑事项相关的质疑请求 </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请求：</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widowControl/>
        <w:tabs>
          <w:tab w:val="left" w:pos="6300"/>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（盖章）：</w:t>
      </w:r>
    </w:p>
    <w:p>
      <w:pPr>
        <w:widowControl/>
        <w:tabs>
          <w:tab w:val="left" w:pos="6300"/>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法定代表人（授权代表）：</w:t>
      </w:r>
    </w:p>
    <w:p>
      <w:pPr>
        <w:tabs>
          <w:tab w:val="left" w:pos="6300"/>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地址/邮编：</w:t>
      </w:r>
    </w:p>
    <w:p>
      <w:pPr>
        <w:tabs>
          <w:tab w:val="left" w:pos="6300"/>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电话/传真：</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r>
        <w:rPr>
          <w:rFonts w:hint="eastAsia" w:ascii="仿宋" w:hAnsi="仿宋" w:eastAsia="仿宋" w:cs="仿宋"/>
          <w:color w:val="auto"/>
          <w:kern w:val="0"/>
          <w:sz w:val="24"/>
          <w:szCs w:val="24"/>
          <w:highlight w:val="none"/>
        </w:rPr>
        <w:t xml:space="preserve"> </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随附相关证明材料如下</w:t>
      </w:r>
      <w:r>
        <w:rPr>
          <w:rFonts w:hint="eastAsia" w:ascii="仿宋" w:hAnsi="仿宋" w:eastAsia="仿宋" w:cs="仿宋"/>
          <w:color w:val="auto"/>
          <w:kern w:val="0"/>
          <w:sz w:val="24"/>
          <w:szCs w:val="24"/>
          <w:highlight w:val="none"/>
        </w:rPr>
        <w:t xml:space="preserve">： </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3105"/>
        <w:gridCol w:w="232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3105" w:type="dxa"/>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证明材料名称</w:t>
            </w:r>
          </w:p>
        </w:tc>
        <w:tc>
          <w:tcPr>
            <w:tcW w:w="2325" w:type="dxa"/>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证明材料来源</w:t>
            </w:r>
          </w:p>
        </w:tc>
        <w:tc>
          <w:tcPr>
            <w:tcW w:w="1935" w:type="dxa"/>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widowControl/>
              <w:spacing w:line="36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w:t>
            </w:r>
          </w:p>
        </w:tc>
        <w:tc>
          <w:tcPr>
            <w:tcW w:w="3105" w:type="dxa"/>
          </w:tcPr>
          <w:p>
            <w:pPr>
              <w:widowControl/>
              <w:spacing w:line="360" w:lineRule="auto"/>
              <w:jc w:val="left"/>
              <w:rPr>
                <w:rFonts w:hint="eastAsia" w:ascii="仿宋" w:hAnsi="仿宋" w:eastAsia="仿宋" w:cs="仿宋"/>
                <w:b/>
                <w:color w:val="auto"/>
                <w:kern w:val="0"/>
                <w:sz w:val="24"/>
                <w:szCs w:val="24"/>
                <w:highlight w:val="none"/>
              </w:rPr>
            </w:pPr>
          </w:p>
        </w:tc>
        <w:tc>
          <w:tcPr>
            <w:tcW w:w="2325" w:type="dxa"/>
          </w:tcPr>
          <w:p>
            <w:pPr>
              <w:widowControl/>
              <w:spacing w:line="360" w:lineRule="auto"/>
              <w:jc w:val="left"/>
              <w:rPr>
                <w:rFonts w:hint="eastAsia" w:ascii="仿宋" w:hAnsi="仿宋" w:eastAsia="仿宋" w:cs="仿宋"/>
                <w:b/>
                <w:color w:val="auto"/>
                <w:kern w:val="0"/>
                <w:sz w:val="24"/>
                <w:szCs w:val="24"/>
                <w:highlight w:val="none"/>
              </w:rPr>
            </w:pPr>
          </w:p>
        </w:tc>
        <w:tc>
          <w:tcPr>
            <w:tcW w:w="1935" w:type="dxa"/>
          </w:tcPr>
          <w:p>
            <w:pPr>
              <w:widowControl/>
              <w:spacing w:line="360" w:lineRule="auto"/>
              <w:jc w:val="left"/>
              <w:rPr>
                <w:rFonts w:hint="eastAsia" w:ascii="仿宋" w:hAnsi="仿宋" w:eastAsia="仿宋" w:cs="仿宋"/>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widowControl/>
              <w:spacing w:line="36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w:t>
            </w:r>
          </w:p>
        </w:tc>
        <w:tc>
          <w:tcPr>
            <w:tcW w:w="3105" w:type="dxa"/>
          </w:tcPr>
          <w:p>
            <w:pPr>
              <w:widowControl/>
              <w:spacing w:line="360" w:lineRule="auto"/>
              <w:jc w:val="left"/>
              <w:rPr>
                <w:rFonts w:hint="eastAsia" w:ascii="仿宋" w:hAnsi="仿宋" w:eastAsia="仿宋" w:cs="仿宋"/>
                <w:b/>
                <w:color w:val="auto"/>
                <w:kern w:val="0"/>
                <w:sz w:val="24"/>
                <w:szCs w:val="24"/>
                <w:highlight w:val="none"/>
              </w:rPr>
            </w:pPr>
          </w:p>
        </w:tc>
        <w:tc>
          <w:tcPr>
            <w:tcW w:w="2325" w:type="dxa"/>
          </w:tcPr>
          <w:p>
            <w:pPr>
              <w:widowControl/>
              <w:spacing w:line="360" w:lineRule="auto"/>
              <w:jc w:val="left"/>
              <w:rPr>
                <w:rFonts w:hint="eastAsia" w:ascii="仿宋" w:hAnsi="仿宋" w:eastAsia="仿宋" w:cs="仿宋"/>
                <w:b/>
                <w:color w:val="auto"/>
                <w:kern w:val="0"/>
                <w:sz w:val="24"/>
                <w:szCs w:val="24"/>
                <w:highlight w:val="none"/>
              </w:rPr>
            </w:pPr>
          </w:p>
        </w:tc>
        <w:tc>
          <w:tcPr>
            <w:tcW w:w="1935" w:type="dxa"/>
          </w:tcPr>
          <w:p>
            <w:pPr>
              <w:widowControl/>
              <w:spacing w:line="360" w:lineRule="auto"/>
              <w:jc w:val="left"/>
              <w:rPr>
                <w:rFonts w:hint="eastAsia" w:ascii="仿宋" w:hAnsi="仿宋" w:eastAsia="仿宋" w:cs="仿宋"/>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widowControl/>
              <w:spacing w:line="36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w:t>
            </w:r>
          </w:p>
        </w:tc>
        <w:tc>
          <w:tcPr>
            <w:tcW w:w="3105" w:type="dxa"/>
          </w:tcPr>
          <w:p>
            <w:pPr>
              <w:widowControl/>
              <w:spacing w:line="360" w:lineRule="auto"/>
              <w:jc w:val="left"/>
              <w:rPr>
                <w:rFonts w:hint="eastAsia" w:ascii="仿宋" w:hAnsi="仿宋" w:eastAsia="仿宋" w:cs="仿宋"/>
                <w:b/>
                <w:color w:val="auto"/>
                <w:kern w:val="0"/>
                <w:sz w:val="24"/>
                <w:szCs w:val="24"/>
                <w:highlight w:val="none"/>
              </w:rPr>
            </w:pPr>
          </w:p>
        </w:tc>
        <w:tc>
          <w:tcPr>
            <w:tcW w:w="2325" w:type="dxa"/>
          </w:tcPr>
          <w:p>
            <w:pPr>
              <w:widowControl/>
              <w:spacing w:line="360" w:lineRule="auto"/>
              <w:jc w:val="left"/>
              <w:rPr>
                <w:rFonts w:hint="eastAsia" w:ascii="仿宋" w:hAnsi="仿宋" w:eastAsia="仿宋" w:cs="仿宋"/>
                <w:b/>
                <w:color w:val="auto"/>
                <w:kern w:val="0"/>
                <w:sz w:val="24"/>
                <w:szCs w:val="24"/>
                <w:highlight w:val="none"/>
              </w:rPr>
            </w:pPr>
          </w:p>
        </w:tc>
        <w:tc>
          <w:tcPr>
            <w:tcW w:w="1935" w:type="dxa"/>
          </w:tcPr>
          <w:p>
            <w:pPr>
              <w:widowControl/>
              <w:spacing w:line="360" w:lineRule="auto"/>
              <w:jc w:val="left"/>
              <w:rPr>
                <w:rFonts w:hint="eastAsia" w:ascii="仿宋" w:hAnsi="仿宋" w:eastAsia="仿宋" w:cs="仿宋"/>
                <w:b/>
                <w:color w:val="auto"/>
                <w:kern w:val="0"/>
                <w:sz w:val="24"/>
                <w:szCs w:val="24"/>
                <w:highlight w:val="none"/>
              </w:rPr>
            </w:pPr>
          </w:p>
        </w:tc>
      </w:tr>
    </w:tbl>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 xml:space="preserve">质疑函制作说明：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 xml:space="preserve">提出质疑时，应提交质疑函和必要的证明材料。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若委托代理人进行质疑的，质疑函应按要求列明“授权代表”的有关内容，并在附件中提交由质疑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 xml:space="preserve">签署的授权委托书。授权委托书应载明代理人的姓名或者名称、代理事项、具体权限、期限和相关事项。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 xml:space="preserve">若对项目的某一分包进行质疑，质疑函中应列明具体分包号。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4.质疑函的质疑事项应具体、明确，并有必要的事实依据和法律依据。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5.质疑函的质疑请求应与质疑事项相关。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6.质疑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为自然人的，质疑函应由本人签字；质疑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 xml:space="preserve">为法人或者其他组织的，质疑函应由法定代表人、主要负责人，或者其授权代表签字或者盖章，并加盖公章。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7. </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应在提交的证明材料中对质疑点的内容作出相应的标识或以醒目的方式标明。</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27" w:name="_Toc55778718"/>
      <w:bookmarkStart w:id="228" w:name="_Toc3059"/>
      <w:bookmarkStart w:id="229" w:name="_Toc7547"/>
      <w:bookmarkStart w:id="230" w:name="_Toc2395"/>
      <w:bookmarkStart w:id="231" w:name="_Toc13170"/>
      <w:bookmarkStart w:id="232" w:name="_Toc11190"/>
      <w:r>
        <w:rPr>
          <w:rFonts w:hint="eastAsia" w:ascii="仿宋" w:hAnsi="仿宋" w:eastAsia="仿宋" w:cs="仿宋"/>
          <w:b/>
          <w:bCs/>
          <w:color w:val="auto"/>
          <w:kern w:val="44"/>
          <w:sz w:val="24"/>
          <w:szCs w:val="24"/>
          <w:highlight w:val="none"/>
        </w:rPr>
        <w:t>投诉</w:t>
      </w:r>
      <w:bookmarkEnd w:id="227"/>
      <w:bookmarkEnd w:id="228"/>
      <w:bookmarkEnd w:id="229"/>
      <w:bookmarkEnd w:id="230"/>
      <w:bookmarkEnd w:id="231"/>
      <w:bookmarkEnd w:id="232"/>
    </w:p>
    <w:p>
      <w:pPr>
        <w:numPr>
          <w:ilvl w:val="1"/>
          <w:numId w:val="4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投标投标人对采购代理机构和采购人的质疑答复不满意或在规定时间内未得到答复的，可以在答复期满后15个工作日内，向政府采购监督管理机构投诉。</w:t>
      </w:r>
    </w:p>
    <w:p>
      <w:pPr>
        <w:numPr>
          <w:ilvl w:val="1"/>
          <w:numId w:val="4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政府采购监督管理机构</w:t>
      </w:r>
    </w:p>
    <w:p>
      <w:pPr>
        <w:spacing w:line="360" w:lineRule="auto"/>
        <w:ind w:left="899" w:leftChars="4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政府采购监督管理机构名称：</w:t>
      </w:r>
      <w:r>
        <w:rPr>
          <w:rFonts w:hint="eastAsia" w:ascii="仿宋" w:hAnsi="仿宋" w:eastAsia="仿宋" w:cs="仿宋"/>
          <w:color w:val="auto"/>
          <w:sz w:val="24"/>
          <w:szCs w:val="24"/>
          <w:highlight w:val="none"/>
          <w:lang w:val="en-US" w:eastAsia="zh-CN"/>
        </w:rPr>
        <w:t>特克斯县</w:t>
      </w:r>
      <w:r>
        <w:rPr>
          <w:rFonts w:hint="eastAsia" w:ascii="仿宋" w:hAnsi="仿宋" w:eastAsia="仿宋" w:cs="仿宋"/>
          <w:color w:val="auto"/>
          <w:sz w:val="24"/>
          <w:szCs w:val="24"/>
          <w:highlight w:val="none"/>
        </w:rPr>
        <w:t>财政局</w:t>
      </w:r>
    </w:p>
    <w:p>
      <w:pPr>
        <w:keepNext/>
        <w:keepLines/>
        <w:spacing w:line="360" w:lineRule="auto"/>
        <w:jc w:val="center"/>
        <w:outlineLvl w:val="1"/>
        <w:rPr>
          <w:rFonts w:hint="eastAsia" w:ascii="仿宋" w:hAnsi="仿宋" w:eastAsia="仿宋" w:cs="仿宋"/>
          <w:b/>
          <w:bCs/>
          <w:color w:val="auto"/>
          <w:sz w:val="24"/>
          <w:szCs w:val="24"/>
          <w:highlight w:val="none"/>
        </w:rPr>
      </w:pPr>
      <w:bookmarkStart w:id="233" w:name="_Toc21033"/>
      <w:bookmarkStart w:id="234" w:name="_Toc55778719"/>
      <w:bookmarkStart w:id="235" w:name="_Toc11991"/>
      <w:r>
        <w:rPr>
          <w:rFonts w:hint="eastAsia" w:ascii="仿宋" w:hAnsi="仿宋" w:eastAsia="仿宋" w:cs="仿宋"/>
          <w:b/>
          <w:bCs/>
          <w:color w:val="auto"/>
          <w:sz w:val="24"/>
          <w:szCs w:val="24"/>
          <w:highlight w:val="none"/>
        </w:rPr>
        <w:t>七、授予合同</w:t>
      </w:r>
      <w:bookmarkEnd w:id="233"/>
      <w:bookmarkEnd w:id="234"/>
      <w:bookmarkEnd w:id="235"/>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36" w:name="_Toc17273"/>
      <w:bookmarkStart w:id="237" w:name="_Toc55778720"/>
      <w:r>
        <w:rPr>
          <w:rFonts w:hint="eastAsia" w:ascii="仿宋" w:hAnsi="仿宋" w:eastAsia="仿宋" w:cs="仿宋"/>
          <w:b/>
          <w:bCs/>
          <w:color w:val="auto"/>
          <w:kern w:val="44"/>
          <w:sz w:val="24"/>
          <w:szCs w:val="24"/>
          <w:highlight w:val="none"/>
        </w:rPr>
        <w:t xml:space="preserve">    </w:t>
      </w:r>
      <w:bookmarkStart w:id="238" w:name="_Toc32369"/>
      <w:bookmarkStart w:id="239" w:name="_Toc28231"/>
      <w:bookmarkStart w:id="240" w:name="_Toc30579"/>
      <w:bookmarkStart w:id="241" w:name="_Toc27860"/>
      <w:r>
        <w:rPr>
          <w:rFonts w:hint="eastAsia" w:ascii="仿宋" w:hAnsi="仿宋" w:eastAsia="仿宋" w:cs="仿宋"/>
          <w:b/>
          <w:bCs/>
          <w:color w:val="auto"/>
          <w:kern w:val="44"/>
          <w:sz w:val="24"/>
          <w:szCs w:val="24"/>
          <w:highlight w:val="none"/>
        </w:rPr>
        <w:t>确定中标</w:t>
      </w:r>
      <w:bookmarkEnd w:id="236"/>
      <w:r>
        <w:rPr>
          <w:rFonts w:hint="eastAsia" w:ascii="仿宋" w:hAnsi="仿宋" w:eastAsia="仿宋" w:cs="仿宋"/>
          <w:b/>
          <w:bCs/>
          <w:color w:val="auto"/>
          <w:kern w:val="44"/>
          <w:sz w:val="24"/>
          <w:szCs w:val="24"/>
          <w:highlight w:val="none"/>
        </w:rPr>
        <w:t>人</w:t>
      </w:r>
      <w:bookmarkEnd w:id="237"/>
      <w:bookmarkEnd w:id="238"/>
      <w:bookmarkEnd w:id="239"/>
      <w:bookmarkEnd w:id="240"/>
      <w:bookmarkEnd w:id="241"/>
    </w:p>
    <w:p>
      <w:pPr>
        <w:numPr>
          <w:ilvl w:val="1"/>
          <w:numId w:val="4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评标小组按照招标文件确定的评标方法、步骤、标准，对投标文件进行评审，提出书面评标报告，按照综合评分得分由高到低的顺序推荐中标候选人名单。</w:t>
      </w:r>
    </w:p>
    <w:p>
      <w:pPr>
        <w:numPr>
          <w:ilvl w:val="1"/>
          <w:numId w:val="4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采购人在收到评标报告后的法定时间内，按照评标报告中推荐的中标候选人顺序确定中标人。</w:t>
      </w:r>
    </w:p>
    <w:p>
      <w:pPr>
        <w:numPr>
          <w:ilvl w:val="1"/>
          <w:numId w:val="4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中标投标人放弃中标或者中标资格被依法确认无效的，采购人可以按照排序从其他中标候选投标人中确定中标投标人或重新组织招标活动。</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42" w:name="_Toc55778721"/>
      <w:bookmarkStart w:id="243" w:name="_Ref179619923"/>
      <w:bookmarkStart w:id="244" w:name="_Toc14943"/>
      <w:r>
        <w:rPr>
          <w:rFonts w:hint="eastAsia" w:ascii="仿宋" w:hAnsi="仿宋" w:eastAsia="仿宋" w:cs="仿宋"/>
          <w:b/>
          <w:bCs/>
          <w:color w:val="auto"/>
          <w:kern w:val="44"/>
          <w:sz w:val="24"/>
          <w:szCs w:val="24"/>
          <w:highlight w:val="none"/>
        </w:rPr>
        <w:t xml:space="preserve">    </w:t>
      </w:r>
      <w:bookmarkStart w:id="245" w:name="_Toc19166"/>
      <w:bookmarkStart w:id="246" w:name="_Toc7161"/>
      <w:bookmarkStart w:id="247" w:name="_Toc29372"/>
      <w:bookmarkStart w:id="248" w:name="_Toc17309"/>
      <w:r>
        <w:rPr>
          <w:rFonts w:hint="eastAsia" w:ascii="仿宋" w:hAnsi="仿宋" w:eastAsia="仿宋" w:cs="仿宋"/>
          <w:b/>
          <w:bCs/>
          <w:color w:val="auto"/>
          <w:kern w:val="44"/>
          <w:sz w:val="24"/>
          <w:szCs w:val="24"/>
          <w:highlight w:val="none"/>
        </w:rPr>
        <w:t>接受和拒绝任何或所有投标的权力</w:t>
      </w:r>
      <w:bookmarkEnd w:id="242"/>
      <w:bookmarkEnd w:id="243"/>
      <w:bookmarkEnd w:id="244"/>
      <w:bookmarkEnd w:id="245"/>
      <w:bookmarkEnd w:id="246"/>
      <w:bookmarkEnd w:id="247"/>
      <w:bookmarkEnd w:id="248"/>
    </w:p>
    <w:p>
      <w:pPr>
        <w:numPr>
          <w:ilvl w:val="1"/>
          <w:numId w:val="4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特殊情况下，采购代理机构和采购人保留在定标之前依法拒绝任何投标以及宣布招标程序无效或拒绝所有投标的权力，且对受影响的投标人不承担任何责任，也无义务向受影响的投标人解释采取这一行动的理由。</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49" w:name="_Toc19068"/>
      <w:bookmarkStart w:id="250" w:name="_Toc55778722"/>
      <w:r>
        <w:rPr>
          <w:rFonts w:hint="eastAsia" w:ascii="仿宋" w:hAnsi="仿宋" w:eastAsia="仿宋" w:cs="仿宋"/>
          <w:b/>
          <w:bCs/>
          <w:color w:val="auto"/>
          <w:kern w:val="44"/>
          <w:sz w:val="24"/>
          <w:szCs w:val="24"/>
          <w:highlight w:val="none"/>
        </w:rPr>
        <w:t xml:space="preserve">    </w:t>
      </w:r>
      <w:bookmarkStart w:id="251" w:name="_Toc8040"/>
      <w:bookmarkStart w:id="252" w:name="_Toc444"/>
      <w:bookmarkStart w:id="253" w:name="_Toc9402"/>
      <w:bookmarkStart w:id="254" w:name="_Toc26407"/>
      <w:r>
        <w:rPr>
          <w:rFonts w:hint="eastAsia" w:ascii="仿宋" w:hAnsi="仿宋" w:eastAsia="仿宋" w:cs="仿宋"/>
          <w:b/>
          <w:bCs/>
          <w:color w:val="auto"/>
          <w:kern w:val="44"/>
          <w:sz w:val="24"/>
          <w:szCs w:val="24"/>
          <w:highlight w:val="none"/>
        </w:rPr>
        <w:t>中标通知书</w:t>
      </w:r>
      <w:bookmarkEnd w:id="249"/>
      <w:bookmarkEnd w:id="250"/>
      <w:bookmarkEnd w:id="251"/>
      <w:bookmarkEnd w:id="252"/>
      <w:bookmarkEnd w:id="253"/>
      <w:bookmarkEnd w:id="254"/>
    </w:p>
    <w:p>
      <w:pPr>
        <w:numPr>
          <w:ilvl w:val="1"/>
          <w:numId w:val="5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中标人确定后，采购代理机构按本须知规定网站发布中标公告，并同时向中标人发出《中标通知书》。</w:t>
      </w:r>
    </w:p>
    <w:p>
      <w:pPr>
        <w:numPr>
          <w:ilvl w:val="1"/>
          <w:numId w:val="5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《中标通知书》是合同的一个组成部分。</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55" w:name="_Toc55778723"/>
      <w:bookmarkStart w:id="256" w:name="_Toc16935"/>
      <w:r>
        <w:rPr>
          <w:rFonts w:hint="eastAsia" w:ascii="仿宋" w:hAnsi="仿宋" w:eastAsia="仿宋" w:cs="仿宋"/>
          <w:b/>
          <w:bCs/>
          <w:color w:val="auto"/>
          <w:kern w:val="44"/>
          <w:sz w:val="24"/>
          <w:szCs w:val="24"/>
          <w:highlight w:val="none"/>
        </w:rPr>
        <w:t xml:space="preserve">    </w:t>
      </w:r>
      <w:bookmarkStart w:id="257" w:name="_Toc14729"/>
      <w:bookmarkStart w:id="258" w:name="_Toc18897"/>
      <w:bookmarkStart w:id="259" w:name="_Toc22710"/>
      <w:bookmarkStart w:id="260" w:name="_Toc7012"/>
      <w:r>
        <w:rPr>
          <w:rFonts w:hint="eastAsia" w:ascii="仿宋" w:hAnsi="仿宋" w:eastAsia="仿宋" w:cs="仿宋"/>
          <w:b/>
          <w:bCs/>
          <w:color w:val="auto"/>
          <w:kern w:val="44"/>
          <w:sz w:val="24"/>
          <w:szCs w:val="24"/>
          <w:highlight w:val="none"/>
        </w:rPr>
        <w:t>合同的订立</w:t>
      </w:r>
      <w:bookmarkEnd w:id="255"/>
      <w:bookmarkEnd w:id="256"/>
      <w:bookmarkEnd w:id="257"/>
      <w:bookmarkEnd w:id="258"/>
      <w:bookmarkEnd w:id="259"/>
      <w:bookmarkEnd w:id="260"/>
    </w:p>
    <w:p>
      <w:pPr>
        <w:numPr>
          <w:ilvl w:val="1"/>
          <w:numId w:val="5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与中标投标人自中标通知书发出之日起三十日内，按招标文件要求和中标投标人投标文件承诺签订政府采购合同，但不得超出招标文件和中标投标人投标文件的范围、也不得再行订立背离合同实质性内容的其他协议。</w:t>
      </w:r>
    </w:p>
    <w:p>
      <w:pPr>
        <w:numPr>
          <w:ilvl w:val="1"/>
          <w:numId w:val="5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招标文件、中标人的投标文件及其澄清文件等，均为签订合同的依据。</w:t>
      </w:r>
    </w:p>
    <w:p>
      <w:pPr>
        <w:numPr>
          <w:ilvl w:val="1"/>
          <w:numId w:val="5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签订政府采购合同后7个工作日内，采购人应将合同副本报同级政府采购监督管理部门和有关部门备案，采购人应在政府采购合同签订之日起2个工作日内在新疆政府采购网http://www.ccgp-xinjiang.gov.cn/上公告。</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61" w:name="_Toc55778724"/>
      <w:bookmarkStart w:id="262" w:name="_Toc4044"/>
      <w:r>
        <w:rPr>
          <w:rFonts w:hint="eastAsia" w:ascii="仿宋" w:hAnsi="仿宋" w:eastAsia="仿宋" w:cs="仿宋"/>
          <w:b/>
          <w:bCs/>
          <w:color w:val="auto"/>
          <w:kern w:val="44"/>
          <w:sz w:val="24"/>
          <w:szCs w:val="24"/>
          <w:highlight w:val="none"/>
        </w:rPr>
        <w:t xml:space="preserve">   </w:t>
      </w:r>
      <w:bookmarkStart w:id="263" w:name="_Toc19474"/>
      <w:bookmarkStart w:id="264" w:name="_Toc7064"/>
      <w:bookmarkStart w:id="265" w:name="_Toc1719"/>
      <w:bookmarkStart w:id="266" w:name="_Toc9738"/>
      <w:r>
        <w:rPr>
          <w:rFonts w:hint="eastAsia" w:ascii="仿宋" w:hAnsi="仿宋" w:eastAsia="仿宋" w:cs="仿宋"/>
          <w:b/>
          <w:bCs/>
          <w:color w:val="auto"/>
          <w:kern w:val="44"/>
          <w:sz w:val="24"/>
          <w:szCs w:val="24"/>
          <w:highlight w:val="none"/>
        </w:rPr>
        <w:t>合同的履行</w:t>
      </w:r>
      <w:bookmarkEnd w:id="261"/>
      <w:bookmarkEnd w:id="262"/>
      <w:bookmarkEnd w:id="263"/>
      <w:bookmarkEnd w:id="264"/>
      <w:bookmarkEnd w:id="265"/>
      <w:bookmarkEnd w:id="266"/>
    </w:p>
    <w:p>
      <w:pPr>
        <w:numPr>
          <w:ilvl w:val="1"/>
          <w:numId w:val="5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numPr>
          <w:ilvl w:val="1"/>
          <w:numId w:val="52"/>
        </w:numPr>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合同履行中，采购人需追加与合同标的相同的货物、工程或者服务的，在不改变合同其他条款的前提下，可以与中标投标人签订补充合同，但所补充合同的采购金额不得超过原采购金额的10%，签订补充合同的必须按规定备案。</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67" w:name="_Toc55778726"/>
      <w:r>
        <w:rPr>
          <w:rFonts w:hint="eastAsia" w:ascii="仿宋" w:hAnsi="仿宋" w:eastAsia="仿宋" w:cs="仿宋"/>
          <w:b/>
          <w:bCs/>
          <w:color w:val="auto"/>
          <w:kern w:val="44"/>
          <w:sz w:val="24"/>
          <w:szCs w:val="24"/>
          <w:highlight w:val="none"/>
        </w:rPr>
        <w:t xml:space="preserve">   </w:t>
      </w:r>
      <w:bookmarkStart w:id="268" w:name="_Toc12016"/>
      <w:bookmarkStart w:id="269" w:name="_Toc28418"/>
      <w:bookmarkStart w:id="270" w:name="_Toc23462"/>
      <w:bookmarkStart w:id="271" w:name="_Toc18199"/>
      <w:r>
        <w:rPr>
          <w:rFonts w:hint="eastAsia" w:ascii="仿宋" w:hAnsi="仿宋" w:eastAsia="仿宋" w:cs="仿宋"/>
          <w:b/>
          <w:bCs/>
          <w:color w:val="auto"/>
          <w:kern w:val="44"/>
          <w:sz w:val="24"/>
          <w:szCs w:val="24"/>
          <w:highlight w:val="none"/>
        </w:rPr>
        <w:t>采购代理服务费</w:t>
      </w:r>
      <w:bookmarkEnd w:id="267"/>
      <w:bookmarkEnd w:id="268"/>
      <w:bookmarkEnd w:id="269"/>
      <w:bookmarkEnd w:id="270"/>
      <w:bookmarkEnd w:id="271"/>
    </w:p>
    <w:p>
      <w:pPr>
        <w:numPr>
          <w:ilvl w:val="1"/>
          <w:numId w:val="53"/>
        </w:numPr>
        <w:spacing w:line="360" w:lineRule="auto"/>
        <w:rPr>
          <w:rFonts w:hint="eastAsia" w:ascii="仿宋" w:hAnsi="仿宋" w:eastAsia="仿宋" w:cs="仿宋"/>
          <w:color w:val="auto"/>
          <w:sz w:val="24"/>
          <w:szCs w:val="24"/>
          <w:highlight w:val="none"/>
        </w:rPr>
      </w:pPr>
      <w:bookmarkStart w:id="272" w:name="_Ref179619574"/>
      <w:r>
        <w:rPr>
          <w:rFonts w:hint="eastAsia" w:ascii="仿宋" w:hAnsi="仿宋" w:eastAsia="仿宋" w:cs="仿宋"/>
          <w:color w:val="auto"/>
          <w:sz w:val="24"/>
          <w:szCs w:val="24"/>
          <w:highlight w:val="none"/>
        </w:rPr>
        <w:t>中标人须向采购代理机构按如下标准和规定缴纳采购代理服务费：收费标准按参考国家发展计划委员会“计价格（2002）1980号”文件、“发改办价格[2003]857号”文及发改办价格〔2011〕534号文的规定，以中标价为基准采用差额定率累进方法计算收取。</w:t>
      </w:r>
    </w:p>
    <w:bookmarkEnd w:id="272"/>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73" w:name="_Toc18355"/>
      <w:bookmarkStart w:id="274" w:name="_Toc55778727"/>
      <w:r>
        <w:rPr>
          <w:rFonts w:hint="eastAsia" w:ascii="仿宋" w:hAnsi="仿宋" w:eastAsia="仿宋" w:cs="仿宋"/>
          <w:b/>
          <w:bCs/>
          <w:color w:val="auto"/>
          <w:kern w:val="44"/>
          <w:sz w:val="24"/>
          <w:szCs w:val="24"/>
          <w:highlight w:val="none"/>
        </w:rPr>
        <w:t xml:space="preserve">    </w:t>
      </w:r>
      <w:bookmarkStart w:id="275" w:name="_Toc8428"/>
      <w:bookmarkStart w:id="276" w:name="_Toc29629"/>
      <w:bookmarkStart w:id="277" w:name="_Toc3865"/>
      <w:bookmarkStart w:id="278" w:name="_Toc11945"/>
      <w:r>
        <w:rPr>
          <w:rFonts w:hint="eastAsia" w:ascii="仿宋" w:hAnsi="仿宋" w:eastAsia="仿宋" w:cs="仿宋"/>
          <w:b/>
          <w:bCs/>
          <w:color w:val="auto"/>
          <w:kern w:val="44"/>
          <w:sz w:val="24"/>
          <w:szCs w:val="24"/>
          <w:highlight w:val="none"/>
        </w:rPr>
        <w:t>适用法律</w:t>
      </w:r>
      <w:bookmarkEnd w:id="273"/>
      <w:bookmarkEnd w:id="274"/>
      <w:bookmarkEnd w:id="275"/>
      <w:bookmarkEnd w:id="276"/>
      <w:bookmarkEnd w:id="277"/>
      <w:bookmarkEnd w:id="278"/>
    </w:p>
    <w:p>
      <w:pPr>
        <w:numPr>
          <w:ilvl w:val="1"/>
          <w:numId w:val="5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采购人、采购代理机构及投标人的一切采购活动均适用《中华人民共和国政府采购法》、《中华人民共和国政府采购法实施条例》及其配套的法规、规章、政策。</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79" w:name="_Toc55778728"/>
      <w:bookmarkStart w:id="280" w:name="_Toc24416"/>
      <w:r>
        <w:rPr>
          <w:rFonts w:hint="eastAsia" w:ascii="仿宋" w:hAnsi="仿宋" w:eastAsia="仿宋" w:cs="仿宋"/>
          <w:b/>
          <w:bCs/>
          <w:color w:val="auto"/>
          <w:kern w:val="44"/>
          <w:sz w:val="24"/>
          <w:szCs w:val="24"/>
          <w:highlight w:val="none"/>
        </w:rPr>
        <w:t xml:space="preserve">    </w:t>
      </w:r>
      <w:bookmarkStart w:id="281" w:name="_Toc22475"/>
      <w:bookmarkStart w:id="282" w:name="_Toc22798"/>
      <w:bookmarkStart w:id="283" w:name="_Toc7754"/>
      <w:bookmarkStart w:id="284" w:name="_Toc10876"/>
      <w:r>
        <w:rPr>
          <w:rFonts w:hint="eastAsia" w:ascii="仿宋" w:hAnsi="仿宋" w:eastAsia="仿宋" w:cs="仿宋"/>
          <w:b/>
          <w:bCs/>
          <w:color w:val="auto"/>
          <w:kern w:val="44"/>
          <w:sz w:val="24"/>
          <w:szCs w:val="24"/>
          <w:highlight w:val="none"/>
        </w:rPr>
        <w:t>政府采购政策</w:t>
      </w:r>
      <w:bookmarkEnd w:id="279"/>
      <w:bookmarkEnd w:id="280"/>
      <w:bookmarkEnd w:id="281"/>
      <w:bookmarkEnd w:id="282"/>
      <w:bookmarkEnd w:id="283"/>
      <w:bookmarkEnd w:id="284"/>
    </w:p>
    <w:p>
      <w:pPr>
        <w:numPr>
          <w:ilvl w:val="1"/>
          <w:numId w:val="55"/>
        </w:numPr>
        <w:wordWrap w:val="0"/>
        <w:spacing w:line="360" w:lineRule="auto"/>
        <w:ind w:left="1037" w:hanging="1036" w:hangingChars="4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产品，指属于财政部、发展改革委发布的《节能产品政府采购品目清单》范围内，并具有国家确定的认证机构出具的、处于有效期之内的节能产品认证证书的产品，提供有效期内的中国节能产品认证证书复印件及《节能产品政府采购品目清单》中投标产品所在清单页并均加盖投标人公章，节能清单在中国政府采购网（http：//www.ccgp.gov .cn/）、国家发展改革委网站（http://hzs.nd rc.gv.cn/）和中国质量认证中心网站（http://www.cqc.com.cn/）上发布。</w:t>
      </w:r>
    </w:p>
    <w:p>
      <w:pPr>
        <w:numPr>
          <w:ilvl w:val="1"/>
          <w:numId w:val="55"/>
        </w:numPr>
        <w:wordWrap w:val="0"/>
        <w:spacing w:line="360" w:lineRule="auto"/>
        <w:ind w:left="1037" w:hanging="1036" w:hangingChars="4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环境标志产品，指属于财政部、生态环境部发布的《环境标志产品政府采购品目清单》范围内的，并具有国家确定的认证机构出具的、处于有效期之内的环境标志产品认证证书的产品，提供有效期内的中国环境标志产品认证证书复印件及《环境标志产品政府采购品目清单》中投标产品所在清单页并均加盖投标人公章，清单在中国政府采购网（http://www.ccgp.gov.cn/）、国家环境保护总局网（http://www.sepa.gov.cn/）、中国绿色采购网（http://www.cgpn. cn/）上发布。</w:t>
      </w:r>
    </w:p>
    <w:p>
      <w:pPr>
        <w:numPr>
          <w:ilvl w:val="1"/>
          <w:numId w:val="5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根据《政府采购促进中小企业发展管理办法》（财库[2020]46号文）的规定，投标人投标时需注意：</w:t>
      </w:r>
    </w:p>
    <w:p>
      <w:pPr>
        <w:numPr>
          <w:ilvl w:val="2"/>
          <w:numId w:val="5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numPr>
          <w:ilvl w:val="2"/>
          <w:numId w:val="5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参加政府采购活动的中小企业投标时需提供《中小企业声明函》。否则不予认可。</w:t>
      </w:r>
    </w:p>
    <w:p>
      <w:pPr>
        <w:numPr>
          <w:ilvl w:val="2"/>
          <w:numId w:val="5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政府采购货物时，若投标产品仅部分符合优惠评审要求，投标人应提供满足要求的货物的名称和分项报价（详见投标投标明细报价表），否则不予认可。</w:t>
      </w:r>
    </w:p>
    <w:p>
      <w:pPr>
        <w:numPr>
          <w:ilvl w:val="1"/>
          <w:numId w:val="5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监狱企业产品价格扣除</w:t>
      </w:r>
    </w:p>
    <w:p>
      <w:pPr>
        <w:spacing w:line="360" w:lineRule="auto"/>
        <w:ind w:left="840" w:leftChars="4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根据财政部印发的《司法部关于政府采购支持监狱企业发展有关问题》的通知（财库</w:t>
      </w:r>
      <w:r>
        <w:rPr>
          <w:rFonts w:hint="eastAsia" w:ascii="仿宋" w:hAnsi="仿宋" w:eastAsia="仿宋" w:cs="仿宋"/>
          <w:color w:val="auto"/>
          <w:sz w:val="24"/>
          <w:szCs w:val="24"/>
          <w:highlight w:val="none"/>
        </w:rPr>
        <w:t>〔2014〕</w:t>
      </w:r>
      <w:r>
        <w:rPr>
          <w:rFonts w:hint="eastAsia" w:ascii="仿宋" w:hAnsi="仿宋" w:eastAsia="仿宋" w:cs="仿宋"/>
          <w:bCs/>
          <w:color w:val="auto"/>
          <w:sz w:val="24"/>
          <w:szCs w:val="24"/>
          <w:highlight w:val="none"/>
        </w:rPr>
        <w:t>68号）的规定，支持监狱和戒毒企业（简称“监狱企业”）发展，监狱企业视同中小企业给予相当中小企业的价格扣除。监狱企业参加政府采购活动时，应当提供由省级以上监狱管理局、戒毒管理局（含新疆生产建设兵团）出具的属于监狱企业的证明文件，否则视为非监狱企业。</w:t>
      </w:r>
    </w:p>
    <w:p>
      <w:pPr>
        <w:numPr>
          <w:ilvl w:val="1"/>
          <w:numId w:val="5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残疾人福利性单位产品价格扣除</w:t>
      </w:r>
    </w:p>
    <w:p>
      <w:pPr>
        <w:spacing w:line="360" w:lineRule="auto"/>
        <w:ind w:left="840" w:leftChars="40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根据</w:t>
      </w:r>
      <w:r>
        <w:rPr>
          <w:rFonts w:hint="eastAsia" w:ascii="仿宋" w:hAnsi="仿宋" w:eastAsia="仿宋" w:cs="仿宋"/>
          <w:bCs/>
          <w:color w:val="auto"/>
          <w:sz w:val="24"/>
          <w:szCs w:val="24"/>
          <w:highlight w:val="none"/>
        </w:rPr>
        <w:t>财政部印发的</w:t>
      </w:r>
      <w:r>
        <w:rPr>
          <w:rFonts w:hint="eastAsia" w:ascii="仿宋" w:hAnsi="仿宋" w:eastAsia="仿宋" w:cs="仿宋"/>
          <w:color w:val="auto"/>
          <w:sz w:val="24"/>
          <w:szCs w:val="24"/>
          <w:highlight w:val="none"/>
        </w:rPr>
        <w:t>《关于促进残疾人就业政府采购政策的通知》（财库〔2017〕141号）的规定，</w:t>
      </w:r>
      <w:r>
        <w:rPr>
          <w:rFonts w:hint="eastAsia" w:ascii="仿宋" w:hAnsi="仿宋" w:eastAsia="仿宋" w:cs="仿宋"/>
          <w:bCs/>
          <w:color w:val="auto"/>
          <w:sz w:val="24"/>
          <w:szCs w:val="24"/>
          <w:highlight w:val="none"/>
        </w:rPr>
        <w:t>残疾人福利性单位视同中小企业给予相当中小企业的价格扣除。残疾人福利性单位参加政府采购活动时，应当提供《残疾人福利性单位声明函》，否则视为非残疾人福利性单位。</w:t>
      </w:r>
    </w:p>
    <w:p>
      <w:pPr>
        <w:spacing w:line="360" w:lineRule="auto"/>
        <w:ind w:left="840" w:leftChars="4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注1：投标人若同时为中小企业、监狱企业、残疾人福利性单位或其中两种，均只能享受一次价格扣除。</w:t>
      </w:r>
    </w:p>
    <w:p>
      <w:pPr>
        <w:spacing w:line="360" w:lineRule="auto"/>
        <w:ind w:left="840" w:leftChars="4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注2：中小企业、残疾人福利性单位提供其他企业制造的货物的，则该货物的制造商也必须为上述企业，否则不能享受价格优惠。</w:t>
      </w:r>
    </w:p>
    <w:p>
      <w:pPr>
        <w:spacing w:line="360" w:lineRule="auto"/>
        <w:ind w:firstLine="964" w:firstLineChars="4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注3：中小企业声明函注意事项：</w:t>
      </w:r>
    </w:p>
    <w:p>
      <w:pPr>
        <w:spacing w:line="360" w:lineRule="auto"/>
        <w:ind w:left="870" w:leftChars="300" w:hanging="240" w:hanging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（1）投标人在此声明函未填写“小型、微型”其中之一的，将视为非中小企业，不能享受价格扣除。</w:t>
      </w:r>
    </w:p>
    <w:p>
      <w:pPr>
        <w:spacing w:line="360" w:lineRule="auto"/>
        <w:ind w:left="630" w:left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提供其他制造商（生产厂家）制作的货物投标，需要同时提供《中小企业声明函》及《制造商中小企业声明函》（其中《中小企业声明函》加盖投标人公章，《制造商中小企业声明函》加盖制造商公章），中小企业优惠标准以制造商企业类型为准。具有多个制造商的货物须提供相应制造商的《制造商中小企业声明函》。提供资料不齐全的视为非中小企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（3）投标人提供自己制造的货物投标，则提供《中小企业声明函》。</w:t>
      </w:r>
    </w:p>
    <w:p>
      <w:pPr>
        <w:spacing w:after="120"/>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p>
      <w:pPr>
        <w:outlineLvl w:val="0"/>
        <w:rPr>
          <w:rFonts w:hint="eastAsia" w:ascii="仿宋" w:hAnsi="仿宋" w:eastAsia="仿宋" w:cs="仿宋"/>
          <w:color w:val="auto"/>
          <w:kern w:val="44"/>
          <w:sz w:val="24"/>
          <w:szCs w:val="24"/>
          <w:highlight w:val="none"/>
        </w:rPr>
      </w:pPr>
      <w:bookmarkStart w:id="285" w:name="_Toc16833"/>
      <w:bookmarkStart w:id="286" w:name="_Toc55778730"/>
    </w:p>
    <w:p>
      <w:pPr>
        <w:jc w:val="center"/>
        <w:outlineLvl w:val="0"/>
        <w:rPr>
          <w:rFonts w:hint="eastAsia" w:ascii="仿宋" w:hAnsi="仿宋" w:eastAsia="仿宋" w:cs="仿宋"/>
          <w:b/>
          <w:bCs/>
          <w:color w:val="auto"/>
          <w:kern w:val="44"/>
          <w:sz w:val="30"/>
          <w:szCs w:val="30"/>
          <w:highlight w:val="none"/>
        </w:rPr>
      </w:pPr>
      <w:bookmarkStart w:id="287" w:name="_Toc28078"/>
      <w:r>
        <w:rPr>
          <w:rFonts w:hint="eastAsia" w:ascii="仿宋" w:hAnsi="仿宋" w:eastAsia="仿宋" w:cs="仿宋"/>
          <w:b/>
          <w:bCs/>
          <w:color w:val="auto"/>
          <w:kern w:val="44"/>
          <w:sz w:val="30"/>
          <w:szCs w:val="30"/>
          <w:highlight w:val="none"/>
        </w:rPr>
        <w:t>第四章 合同格式</w:t>
      </w:r>
      <w:bookmarkEnd w:id="285"/>
      <w:bookmarkEnd w:id="286"/>
      <w:bookmarkEnd w:id="287"/>
    </w:p>
    <w:p>
      <w:pPr>
        <w:widowControl/>
        <w:kinsoku w:val="0"/>
        <w:overflowPunct w:val="0"/>
        <w:jc w:val="left"/>
        <w:rPr>
          <w:rFonts w:hint="eastAsia" w:ascii="仿宋" w:hAnsi="仿宋" w:eastAsia="仿宋" w:cs="仿宋"/>
          <w:color w:val="auto"/>
          <w:kern w:val="0"/>
          <w:sz w:val="24"/>
          <w:szCs w:val="24"/>
          <w:highlight w:val="none"/>
        </w:rPr>
      </w:pPr>
    </w:p>
    <w:p>
      <w:pPr>
        <w:pStyle w:val="24"/>
        <w:kinsoku w:val="0"/>
        <w:overflowPunct w:val="0"/>
        <w:rPr>
          <w:rFonts w:hint="eastAsia" w:ascii="仿宋" w:hAnsi="仿宋" w:eastAsia="仿宋" w:cs="仿宋"/>
          <w:color w:val="auto"/>
          <w:sz w:val="24"/>
          <w:szCs w:val="24"/>
          <w:highlight w:val="none"/>
        </w:rPr>
      </w:pPr>
    </w:p>
    <w:p>
      <w:pPr>
        <w:spacing w:line="360" w:lineRule="auto"/>
        <w:ind w:firstLine="480" w:firstLineChars="200"/>
        <w:jc w:val="center"/>
        <w:rPr>
          <w:rFonts w:ascii="宋体"/>
          <w:color w:val="auto"/>
          <w:sz w:val="24"/>
        </w:rPr>
      </w:pPr>
      <w:r>
        <w:rPr>
          <w:rFonts w:ascii="宋体" w:hAnsi="宋体"/>
          <w:color w:val="auto"/>
          <w:sz w:val="24"/>
        </w:rPr>
        <w:t>(</w:t>
      </w:r>
      <w:r>
        <w:rPr>
          <w:rFonts w:hint="eastAsia" w:ascii="宋体" w:hAnsi="宋体"/>
          <w:color w:val="auto"/>
          <w:sz w:val="24"/>
        </w:rPr>
        <w:t>此合同样本仅供参考</w:t>
      </w:r>
      <w:r>
        <w:rPr>
          <w:rFonts w:ascii="宋体"/>
          <w:color w:val="auto"/>
          <w:sz w:val="24"/>
        </w:rPr>
        <w:t>,</w:t>
      </w:r>
      <w:r>
        <w:rPr>
          <w:rFonts w:hint="eastAsia" w:ascii="宋体" w:hAnsi="宋体"/>
          <w:color w:val="auto"/>
          <w:sz w:val="24"/>
        </w:rPr>
        <w:t>合同具体细则以成交双方协定为准</w:t>
      </w:r>
      <w:r>
        <w:rPr>
          <w:rFonts w:ascii="宋体" w:hAnsi="宋体"/>
          <w:color w:val="auto"/>
          <w:sz w:val="24"/>
        </w:rPr>
        <w:t>)</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r>
        <w:rPr>
          <w:rFonts w:hint="eastAsia" w:ascii="楷体" w:hAnsi="楷体" w:eastAsia="楷体"/>
          <w:sz w:val="24"/>
          <w:u w:val="single"/>
        </w:rPr>
        <w:t xml:space="preserve">   </w:t>
      </w:r>
    </w:p>
    <w:p>
      <w:pPr>
        <w:spacing w:line="480" w:lineRule="auto"/>
        <w:jc w:val="both"/>
        <w:rPr>
          <w:rFonts w:ascii="楷体" w:hAnsi="楷体" w:eastAsia="楷体"/>
          <w:b/>
          <w:sz w:val="28"/>
          <w:szCs w:val="28"/>
        </w:rPr>
      </w:pPr>
    </w:p>
    <w:p>
      <w:pPr>
        <w:spacing w:line="480" w:lineRule="auto"/>
        <w:jc w:val="center"/>
        <w:rPr>
          <w:rFonts w:ascii="楷体" w:hAnsi="楷体" w:eastAsia="楷体"/>
          <w:b/>
          <w:sz w:val="44"/>
          <w:szCs w:val="44"/>
        </w:rPr>
      </w:pPr>
      <w:r>
        <w:rPr>
          <w:rFonts w:ascii="楷体" w:hAnsi="楷体" w:eastAsia="楷体"/>
          <w:b/>
          <w:sz w:val="44"/>
          <w:szCs w:val="44"/>
        </w:rPr>
        <w:t>政府采购合同</w:t>
      </w:r>
      <w:r>
        <w:rPr>
          <w:rFonts w:hint="eastAsia" w:ascii="楷体" w:hAnsi="楷体" w:eastAsia="楷体"/>
          <w:b/>
          <w:sz w:val="44"/>
          <w:szCs w:val="44"/>
        </w:rPr>
        <w:t>参考范本</w:t>
      </w:r>
    </w:p>
    <w:p>
      <w:pPr>
        <w:spacing w:line="480" w:lineRule="auto"/>
        <w:jc w:val="center"/>
        <w:rPr>
          <w:rFonts w:ascii="楷体" w:hAnsi="楷体" w:eastAsia="楷体"/>
          <w:b/>
          <w:sz w:val="24"/>
        </w:rPr>
      </w:pPr>
      <w:r>
        <w:rPr>
          <w:rFonts w:hint="eastAsia" w:ascii="楷体" w:hAnsi="楷体" w:eastAsia="楷体"/>
          <w:b/>
          <w:sz w:val="24"/>
        </w:rPr>
        <w:t>（服务类）</w:t>
      </w:r>
    </w:p>
    <w:p>
      <w:pPr>
        <w:pStyle w:val="73"/>
        <w:ind w:firstLine="0"/>
        <w:rPr>
          <w:rFonts w:ascii="楷体" w:hAnsi="楷体" w:eastAsia="楷体"/>
          <w:szCs w:val="24"/>
        </w:rPr>
      </w:pPr>
    </w:p>
    <w:p>
      <w:pPr>
        <w:pStyle w:val="73"/>
        <w:ind w:firstLine="0"/>
        <w:rPr>
          <w:rFonts w:ascii="楷体" w:hAnsi="楷体" w:eastAsia="楷体"/>
          <w:szCs w:val="24"/>
        </w:rPr>
      </w:pPr>
    </w:p>
    <w:p>
      <w:pPr>
        <w:pStyle w:val="73"/>
        <w:ind w:firstLine="0"/>
        <w:rPr>
          <w:rFonts w:ascii="楷体" w:hAnsi="楷体" w:eastAsia="楷体"/>
          <w:szCs w:val="24"/>
        </w:rPr>
      </w:pPr>
    </w:p>
    <w:p>
      <w:pPr>
        <w:pStyle w:val="73"/>
        <w:ind w:firstLine="0"/>
        <w:jc w:val="center"/>
        <w:rPr>
          <w:rFonts w:ascii="楷体" w:hAnsi="楷体" w:eastAsia="楷体"/>
          <w:b/>
          <w:szCs w:val="24"/>
        </w:rPr>
      </w:pPr>
      <w:r>
        <w:rPr>
          <w:rFonts w:hint="eastAsia" w:ascii="楷体" w:hAnsi="楷体" w:eastAsia="楷体"/>
          <w:b/>
          <w:szCs w:val="24"/>
        </w:rPr>
        <w:t>第一部分 合同书</w:t>
      </w:r>
    </w:p>
    <w:p>
      <w:pPr>
        <w:pStyle w:val="73"/>
        <w:ind w:firstLine="0"/>
        <w:rPr>
          <w:rFonts w:ascii="楷体" w:hAnsi="楷体" w:eastAsia="楷体"/>
          <w:szCs w:val="24"/>
        </w:rPr>
      </w:pPr>
    </w:p>
    <w:p>
      <w:pPr>
        <w:pStyle w:val="73"/>
        <w:ind w:firstLine="0"/>
        <w:rPr>
          <w:rFonts w:ascii="楷体" w:hAnsi="楷体" w:eastAsia="楷体"/>
          <w:szCs w:val="24"/>
        </w:rPr>
      </w:pPr>
    </w:p>
    <w:p>
      <w:pPr>
        <w:spacing w:before="120" w:line="22" w:lineRule="atLeast"/>
        <w:rPr>
          <w:rFonts w:ascii="楷体" w:hAnsi="楷体" w:eastAsia="楷体"/>
          <w:sz w:val="24"/>
        </w:rPr>
      </w:pPr>
    </w:p>
    <w:p>
      <w:pPr>
        <w:spacing w:before="120" w:line="22" w:lineRule="atLeast"/>
        <w:ind w:left="96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pStyle w:val="74"/>
        <w:spacing w:before="120" w:line="22" w:lineRule="atLeast"/>
        <w:rPr>
          <w:rFonts w:hint="eastAsia" w:ascii="宋体" w:hAnsi="宋体" w:eastAsia="宋体" w:cs="宋体"/>
          <w:sz w:val="24"/>
          <w:szCs w:val="24"/>
        </w:rPr>
      </w:pPr>
    </w:p>
    <w:p>
      <w:pPr>
        <w:pStyle w:val="74"/>
        <w:spacing w:before="120" w:line="22" w:lineRule="atLeast"/>
        <w:rPr>
          <w:rFonts w:hint="eastAsia" w:ascii="宋体" w:hAnsi="宋体" w:eastAsia="宋体" w:cs="宋体"/>
          <w:sz w:val="24"/>
          <w:szCs w:val="24"/>
        </w:rPr>
      </w:pPr>
    </w:p>
    <w:p>
      <w:pPr>
        <w:rPr>
          <w:rFonts w:hint="eastAsia" w:ascii="宋体" w:hAnsi="宋体" w:eastAsia="宋体" w:cs="宋体"/>
          <w:sz w:val="24"/>
          <w:szCs w:val="24"/>
        </w:rPr>
      </w:pPr>
    </w:p>
    <w:p>
      <w:pPr>
        <w:spacing w:before="120" w:line="22" w:lineRule="atLeast"/>
        <w:ind w:left="960"/>
        <w:rPr>
          <w:rFonts w:hint="eastAsia" w:ascii="宋体" w:hAnsi="宋体" w:eastAsia="宋体" w:cs="宋体"/>
          <w:sz w:val="24"/>
          <w:szCs w:val="24"/>
          <w:u w:val="single"/>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p>
    <w:p>
      <w:pPr>
        <w:spacing w:before="120" w:line="22" w:lineRule="atLeast"/>
        <w:rPr>
          <w:rFonts w:hint="eastAsia" w:ascii="宋体" w:hAnsi="宋体" w:eastAsia="宋体" w:cs="宋体"/>
          <w:sz w:val="24"/>
          <w:szCs w:val="24"/>
        </w:rPr>
      </w:pPr>
    </w:p>
    <w:p>
      <w:pPr>
        <w:spacing w:before="120" w:line="22" w:lineRule="atLeast"/>
        <w:ind w:left="960"/>
        <w:rPr>
          <w:rFonts w:hint="eastAsia" w:ascii="宋体" w:hAnsi="宋体" w:eastAsia="宋体" w:cs="宋体"/>
          <w:sz w:val="24"/>
          <w:szCs w:val="24"/>
          <w:u w:val="single"/>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p>
    <w:p>
      <w:pPr>
        <w:spacing w:before="120" w:line="22" w:lineRule="atLeast"/>
        <w:rPr>
          <w:rFonts w:hint="eastAsia" w:ascii="宋体" w:hAnsi="宋体" w:eastAsia="宋体" w:cs="宋体"/>
          <w:sz w:val="24"/>
          <w:szCs w:val="24"/>
        </w:rPr>
      </w:pPr>
    </w:p>
    <w:p>
      <w:pPr>
        <w:spacing w:before="120" w:line="22" w:lineRule="atLeast"/>
        <w:ind w:firstLine="960" w:firstLineChars="400"/>
        <w:rPr>
          <w:rFonts w:hint="eastAsia" w:ascii="宋体" w:hAnsi="宋体" w:eastAsia="宋体" w:cs="宋体"/>
          <w:sz w:val="24"/>
          <w:szCs w:val="24"/>
          <w:u w:val="single"/>
        </w:rPr>
      </w:pPr>
      <w:r>
        <w:rPr>
          <w:rFonts w:hint="eastAsia" w:ascii="宋体" w:hAnsi="宋体" w:eastAsia="宋体" w:cs="宋体"/>
          <w:sz w:val="24"/>
          <w:szCs w:val="24"/>
        </w:rPr>
        <w:t>签订地：</w:t>
      </w:r>
      <w:r>
        <w:rPr>
          <w:rFonts w:hint="eastAsia" w:ascii="宋体" w:hAnsi="宋体" w:eastAsia="宋体" w:cs="宋体"/>
          <w:sz w:val="24"/>
          <w:szCs w:val="24"/>
          <w:u w:val="single"/>
        </w:rPr>
        <w:t xml:space="preserve">                                     </w:t>
      </w:r>
    </w:p>
    <w:p>
      <w:pPr>
        <w:spacing w:before="120" w:line="22" w:lineRule="atLeast"/>
        <w:rPr>
          <w:rFonts w:hint="eastAsia" w:ascii="宋体" w:hAnsi="宋体" w:eastAsia="宋体" w:cs="宋体"/>
          <w:sz w:val="24"/>
          <w:szCs w:val="24"/>
        </w:rPr>
      </w:pPr>
    </w:p>
    <w:p>
      <w:pPr>
        <w:spacing w:before="120" w:line="22" w:lineRule="atLeast"/>
        <w:ind w:firstLine="960" w:firstLineChars="400"/>
        <w:rPr>
          <w:rFonts w:hint="eastAsia" w:ascii="宋体" w:hAnsi="宋体" w:eastAsia="宋体" w:cs="宋体"/>
          <w:sz w:val="24"/>
          <w:szCs w:val="24"/>
          <w:u w:val="single"/>
        </w:rPr>
      </w:pPr>
      <w:r>
        <w:rPr>
          <w:rFonts w:hint="eastAsia" w:ascii="宋体" w:hAnsi="宋体" w:eastAsia="宋体" w:cs="宋体"/>
          <w:sz w:val="24"/>
          <w:szCs w:val="24"/>
        </w:rPr>
        <w:t>签订日期：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utoSpaceDE w:val="0"/>
        <w:autoSpaceDN w:val="0"/>
        <w:adjustRightInd w:val="0"/>
        <w:spacing w:line="600" w:lineRule="exact"/>
        <w:ind w:firstLine="640"/>
        <w:jc w:val="center"/>
        <w:rPr>
          <w:rFonts w:hint="eastAsia" w:ascii="宋体" w:hAnsi="宋体" w:eastAsia="宋体" w:cs="宋体"/>
          <w:sz w:val="24"/>
          <w:szCs w:val="24"/>
        </w:rPr>
        <w:sectPr>
          <w:headerReference r:id="rId3" w:type="default"/>
          <w:footerReference r:id="rId4" w:type="default"/>
          <w:type w:val="continuous"/>
          <w:pgSz w:w="11907" w:h="16840"/>
          <w:pgMar w:top="1474" w:right="1417" w:bottom="1474" w:left="1417" w:header="851" w:footer="851" w:gutter="0"/>
          <w:cols w:space="720" w:num="1"/>
          <w:docGrid w:linePitch="462" w:charSpace="0"/>
        </w:sectPr>
      </w:pP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年</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月</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日</w:t>
      </w:r>
      <w:r>
        <w:rPr>
          <w:rFonts w:hint="eastAsia" w:ascii="宋体" w:hAnsi="宋体" w:eastAsia="宋体" w:cs="宋体"/>
          <w:sz w:val="24"/>
          <w:szCs w:val="24"/>
        </w:rPr>
        <w:t>，</w:t>
      </w:r>
      <w:r>
        <w:rPr>
          <w:rFonts w:hint="eastAsia" w:ascii="宋体" w:hAnsi="宋体" w:eastAsia="宋体" w:cs="宋体"/>
          <w:sz w:val="24"/>
          <w:szCs w:val="24"/>
          <w:u w:val="single"/>
        </w:rPr>
        <w:t xml:space="preserve">   （采购人名称）   </w:t>
      </w:r>
      <w:r>
        <w:rPr>
          <w:rFonts w:hint="eastAsia" w:ascii="宋体" w:hAnsi="宋体" w:eastAsia="宋体" w:cs="宋体"/>
          <w:sz w:val="24"/>
          <w:szCs w:val="24"/>
        </w:rPr>
        <w:t>以</w:t>
      </w:r>
      <w:r>
        <w:rPr>
          <w:rFonts w:hint="eastAsia" w:ascii="宋体" w:hAnsi="宋体" w:eastAsia="宋体" w:cs="宋体"/>
          <w:sz w:val="24"/>
          <w:szCs w:val="24"/>
          <w:u w:val="single"/>
        </w:rPr>
        <w:t xml:space="preserve">   （政府采购方式）  </w:t>
      </w:r>
      <w:r>
        <w:rPr>
          <w:rFonts w:hint="eastAsia" w:ascii="宋体" w:hAnsi="宋体" w:eastAsia="宋体" w:cs="宋体"/>
          <w:sz w:val="24"/>
          <w:szCs w:val="24"/>
        </w:rPr>
        <w:t>对</w:t>
      </w:r>
      <w:r>
        <w:rPr>
          <w:rFonts w:hint="eastAsia" w:ascii="宋体" w:hAnsi="宋体" w:eastAsia="宋体" w:cs="宋体"/>
          <w:sz w:val="24"/>
          <w:szCs w:val="24"/>
          <w:u w:val="single"/>
        </w:rPr>
        <w:t xml:space="preserve">   （同前页项目名称）   </w:t>
      </w:r>
      <w:r>
        <w:rPr>
          <w:rFonts w:hint="eastAsia" w:ascii="宋体" w:hAnsi="宋体" w:eastAsia="宋体" w:cs="宋体"/>
          <w:sz w:val="24"/>
          <w:szCs w:val="24"/>
        </w:rPr>
        <w:t>项目进行了采购。经</w:t>
      </w:r>
      <w:r>
        <w:rPr>
          <w:rFonts w:hint="eastAsia" w:ascii="宋体" w:hAnsi="宋体" w:eastAsia="宋体" w:cs="宋体"/>
          <w:sz w:val="24"/>
          <w:szCs w:val="24"/>
          <w:u w:val="single"/>
        </w:rPr>
        <w:t xml:space="preserve">   （相关评定主体名称）   </w:t>
      </w:r>
      <w:r>
        <w:rPr>
          <w:rFonts w:hint="eastAsia" w:ascii="宋体" w:hAnsi="宋体" w:eastAsia="宋体" w:cs="宋体"/>
          <w:sz w:val="24"/>
          <w:szCs w:val="24"/>
        </w:rPr>
        <w:t>评定，</w:t>
      </w:r>
      <w:r>
        <w:rPr>
          <w:rFonts w:hint="eastAsia" w:ascii="宋体" w:hAnsi="宋体" w:eastAsia="宋体" w:cs="宋体"/>
          <w:sz w:val="24"/>
          <w:szCs w:val="24"/>
          <w:u w:val="single"/>
        </w:rPr>
        <w:t xml:space="preserve">   （中标供应商名称） </w:t>
      </w:r>
      <w:r>
        <w:rPr>
          <w:rFonts w:hint="eastAsia" w:ascii="宋体" w:hAnsi="宋体" w:eastAsia="宋体" w:cs="宋体"/>
          <w:sz w:val="24"/>
          <w:szCs w:val="24"/>
        </w:rPr>
        <w:t>为该项目中标供应商。现于中标通知书发出之日起三十日内，按照采购文件确定的事项签订本合同。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根据《中华人民共和国合同法》、《中华人民共和国政府采购法》等相关法律法规之规定，按照平等、自愿、公平和诚实信用的原则，经</w:t>
      </w:r>
      <w:r>
        <w:rPr>
          <w:rFonts w:hint="eastAsia" w:ascii="宋体" w:hAnsi="宋体" w:eastAsia="宋体" w:cs="宋体"/>
          <w:sz w:val="24"/>
          <w:szCs w:val="24"/>
          <w:u w:val="single"/>
        </w:rPr>
        <w:t xml:space="preserve">   （采购人名称）   </w:t>
      </w:r>
      <w:r>
        <w:rPr>
          <w:rFonts w:hint="eastAsia" w:ascii="宋体" w:hAnsi="宋体" w:eastAsia="宋体" w:cs="宋体"/>
          <w:sz w:val="24"/>
          <w:szCs w:val="24"/>
          <w:lang w:val="zh-CN"/>
        </w:rPr>
        <w:t>(以下简称：甲方)和</w:t>
      </w:r>
      <w:r>
        <w:rPr>
          <w:rFonts w:hint="eastAsia" w:ascii="宋体" w:hAnsi="宋体" w:eastAsia="宋体" w:cs="宋体"/>
          <w:sz w:val="24"/>
          <w:szCs w:val="24"/>
          <w:u w:val="single"/>
        </w:rPr>
        <w:t xml:space="preserve">   （中标供应商名称）   </w:t>
      </w:r>
      <w:r>
        <w:rPr>
          <w:rFonts w:hint="eastAsia" w:ascii="宋体" w:hAnsi="宋体" w:eastAsia="宋体" w:cs="宋体"/>
          <w:sz w:val="24"/>
          <w:szCs w:val="24"/>
          <w:lang w:val="zh-CN"/>
        </w:rPr>
        <w:t>(以下简称：乙方)协商一致，约定以下合同</w:t>
      </w:r>
      <w:r>
        <w:rPr>
          <w:rFonts w:hint="eastAsia" w:ascii="宋体" w:hAnsi="宋体" w:eastAsia="宋体" w:cs="宋体"/>
          <w:sz w:val="24"/>
          <w:szCs w:val="24"/>
        </w:rPr>
        <w:t>条款，以兹共同遵守、全面履行。</w:t>
      </w:r>
    </w:p>
    <w:p>
      <w:pPr>
        <w:spacing w:line="560" w:lineRule="exact"/>
        <w:ind w:firstLine="482" w:firstLineChars="200"/>
        <w:outlineLvl w:val="0"/>
        <w:rPr>
          <w:rFonts w:hint="eastAsia" w:ascii="宋体" w:hAnsi="宋体" w:eastAsia="宋体" w:cs="宋体"/>
          <w:sz w:val="24"/>
          <w:szCs w:val="24"/>
        </w:rPr>
      </w:pPr>
      <w:bookmarkStart w:id="288" w:name="_Toc28855"/>
      <w:bookmarkStart w:id="289" w:name="_Toc22967"/>
      <w:bookmarkStart w:id="290" w:name="_Toc15367"/>
      <w:bookmarkStart w:id="291" w:name="_Toc20421"/>
      <w:bookmarkStart w:id="292" w:name="_Toc19273"/>
      <w:r>
        <w:rPr>
          <w:rFonts w:hint="eastAsia" w:ascii="宋体" w:hAnsi="宋体" w:eastAsia="宋体" w:cs="宋体"/>
          <w:b/>
          <w:sz w:val="24"/>
          <w:szCs w:val="24"/>
        </w:rPr>
        <w:t>1.1 合同组成部分</w:t>
      </w:r>
      <w:bookmarkEnd w:id="288"/>
      <w:bookmarkEnd w:id="289"/>
      <w:bookmarkEnd w:id="290"/>
      <w:bookmarkEnd w:id="291"/>
      <w:bookmarkEnd w:id="292"/>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1.1.1 本合同及其补充合同、变更协议；</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1.1.2 中标通知书；</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1.1.3 投标文件（含澄清或者说明文件）；</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1.1.4 招标文件（含澄清或者修改文件）；</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1.1.5 其他相关采购文件。</w:t>
      </w:r>
    </w:p>
    <w:p>
      <w:pPr>
        <w:spacing w:line="560" w:lineRule="exact"/>
        <w:ind w:firstLine="482" w:firstLineChars="200"/>
        <w:outlineLvl w:val="0"/>
        <w:rPr>
          <w:rFonts w:hint="eastAsia" w:ascii="宋体" w:hAnsi="宋体" w:eastAsia="宋体" w:cs="宋体"/>
          <w:b/>
          <w:sz w:val="24"/>
          <w:szCs w:val="24"/>
        </w:rPr>
      </w:pPr>
      <w:bookmarkStart w:id="293" w:name="_Toc18585"/>
      <w:bookmarkStart w:id="294" w:name="_Toc2918"/>
      <w:bookmarkStart w:id="295" w:name="_Toc6311"/>
      <w:bookmarkStart w:id="296" w:name="_Toc6773"/>
      <w:bookmarkStart w:id="297" w:name="_Toc22185"/>
      <w:r>
        <w:rPr>
          <w:rFonts w:hint="eastAsia" w:ascii="宋体" w:hAnsi="宋体" w:eastAsia="宋体" w:cs="宋体"/>
          <w:b/>
          <w:sz w:val="24"/>
          <w:szCs w:val="24"/>
        </w:rPr>
        <w:t>1.2 标的</w:t>
      </w:r>
      <w:bookmarkEnd w:id="293"/>
      <w:bookmarkEnd w:id="294"/>
      <w:bookmarkEnd w:id="295"/>
      <w:bookmarkEnd w:id="296"/>
      <w:bookmarkEnd w:id="297"/>
    </w:p>
    <w:p>
      <w:pPr>
        <w:spacing w:line="5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1.2.1 标的名称：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1.2.2 标的数量：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1.2.3 标的质量：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2" w:firstLineChars="200"/>
        <w:outlineLvl w:val="0"/>
        <w:rPr>
          <w:rFonts w:hint="eastAsia" w:ascii="宋体" w:hAnsi="宋体" w:eastAsia="宋体" w:cs="宋体"/>
          <w:b/>
          <w:sz w:val="24"/>
          <w:szCs w:val="24"/>
        </w:rPr>
      </w:pPr>
      <w:bookmarkStart w:id="298" w:name="_Toc4929"/>
      <w:bookmarkStart w:id="299" w:name="_Toc21124"/>
      <w:bookmarkStart w:id="300" w:name="_Toc5635"/>
      <w:bookmarkStart w:id="301" w:name="_Toc13918"/>
      <w:bookmarkStart w:id="302" w:name="_Toc1386"/>
      <w:r>
        <w:rPr>
          <w:rFonts w:hint="eastAsia" w:ascii="宋体" w:hAnsi="宋体" w:eastAsia="宋体" w:cs="宋体"/>
          <w:b/>
          <w:sz w:val="24"/>
          <w:szCs w:val="24"/>
        </w:rPr>
        <w:t>1.3 价款</w:t>
      </w:r>
      <w:bookmarkEnd w:id="298"/>
      <w:bookmarkEnd w:id="299"/>
      <w:bookmarkEnd w:id="300"/>
      <w:bookmarkEnd w:id="301"/>
      <w:bookmarkEnd w:id="302"/>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本合同总价为：￥</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w:t>
      </w:r>
    </w:p>
    <w:p>
      <w:pPr>
        <w:spacing w:line="5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分项价格：</w:t>
      </w:r>
    </w:p>
    <w:tbl>
      <w:tblPr>
        <w:tblStyle w:val="31"/>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4222"/>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490" w:type="dxa"/>
            <w:vAlign w:val="center"/>
          </w:tcPr>
          <w:p>
            <w:pPr>
              <w:pStyle w:val="75"/>
              <w:spacing w:line="5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4222" w:type="dxa"/>
            <w:vAlign w:val="center"/>
          </w:tcPr>
          <w:p>
            <w:pPr>
              <w:pStyle w:val="75"/>
              <w:spacing w:line="560" w:lineRule="exact"/>
              <w:ind w:firstLine="2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分项名称</w:t>
            </w:r>
          </w:p>
        </w:tc>
        <w:tc>
          <w:tcPr>
            <w:tcW w:w="3167" w:type="dxa"/>
            <w:vAlign w:val="center"/>
          </w:tcPr>
          <w:p>
            <w:pPr>
              <w:pStyle w:val="75"/>
              <w:spacing w:line="5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5"/>
              <w:spacing w:line="560" w:lineRule="exact"/>
              <w:ind w:firstLine="200"/>
              <w:jc w:val="center"/>
              <w:rPr>
                <w:rFonts w:hint="eastAsia" w:ascii="宋体" w:hAnsi="宋体" w:eastAsia="宋体" w:cs="宋体"/>
                <w:color w:val="000000"/>
                <w:sz w:val="24"/>
                <w:szCs w:val="24"/>
              </w:rPr>
            </w:pPr>
          </w:p>
        </w:tc>
        <w:tc>
          <w:tcPr>
            <w:tcW w:w="4222" w:type="dxa"/>
            <w:vAlign w:val="center"/>
          </w:tcPr>
          <w:p>
            <w:pPr>
              <w:pStyle w:val="75"/>
              <w:spacing w:line="560" w:lineRule="exact"/>
              <w:ind w:firstLine="200"/>
              <w:jc w:val="center"/>
              <w:rPr>
                <w:rFonts w:hint="eastAsia" w:ascii="宋体" w:hAnsi="宋体" w:eastAsia="宋体" w:cs="宋体"/>
                <w:color w:val="000000"/>
                <w:sz w:val="24"/>
                <w:szCs w:val="24"/>
              </w:rPr>
            </w:pPr>
          </w:p>
        </w:tc>
        <w:tc>
          <w:tcPr>
            <w:tcW w:w="3167" w:type="dxa"/>
            <w:vAlign w:val="center"/>
          </w:tcPr>
          <w:p>
            <w:pPr>
              <w:pStyle w:val="75"/>
              <w:spacing w:line="560" w:lineRule="exact"/>
              <w:ind w:firstLine="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5"/>
              <w:spacing w:line="560" w:lineRule="exact"/>
              <w:ind w:firstLine="200"/>
              <w:jc w:val="center"/>
              <w:rPr>
                <w:rFonts w:hint="eastAsia" w:ascii="宋体" w:hAnsi="宋体" w:eastAsia="宋体" w:cs="宋体"/>
                <w:color w:val="000000"/>
                <w:sz w:val="24"/>
                <w:szCs w:val="24"/>
              </w:rPr>
            </w:pPr>
          </w:p>
        </w:tc>
        <w:tc>
          <w:tcPr>
            <w:tcW w:w="4222" w:type="dxa"/>
            <w:vAlign w:val="center"/>
          </w:tcPr>
          <w:p>
            <w:pPr>
              <w:pStyle w:val="75"/>
              <w:spacing w:line="560" w:lineRule="exact"/>
              <w:ind w:firstLine="200"/>
              <w:jc w:val="center"/>
              <w:rPr>
                <w:rFonts w:hint="eastAsia" w:ascii="宋体" w:hAnsi="宋体" w:eastAsia="宋体" w:cs="宋体"/>
                <w:color w:val="000000"/>
                <w:sz w:val="24"/>
                <w:szCs w:val="24"/>
              </w:rPr>
            </w:pPr>
          </w:p>
        </w:tc>
        <w:tc>
          <w:tcPr>
            <w:tcW w:w="3167" w:type="dxa"/>
            <w:vAlign w:val="center"/>
          </w:tcPr>
          <w:p>
            <w:pPr>
              <w:pStyle w:val="75"/>
              <w:spacing w:line="560" w:lineRule="exact"/>
              <w:ind w:firstLine="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5"/>
              <w:spacing w:line="560" w:lineRule="exact"/>
              <w:ind w:firstLine="200"/>
              <w:jc w:val="center"/>
              <w:rPr>
                <w:rFonts w:hint="eastAsia" w:ascii="宋体" w:hAnsi="宋体" w:eastAsia="宋体" w:cs="宋体"/>
                <w:color w:val="000000"/>
                <w:sz w:val="24"/>
                <w:szCs w:val="24"/>
              </w:rPr>
            </w:pPr>
          </w:p>
        </w:tc>
        <w:tc>
          <w:tcPr>
            <w:tcW w:w="4222" w:type="dxa"/>
            <w:vAlign w:val="center"/>
          </w:tcPr>
          <w:p>
            <w:pPr>
              <w:pStyle w:val="75"/>
              <w:spacing w:line="560" w:lineRule="exact"/>
              <w:ind w:firstLine="200"/>
              <w:jc w:val="center"/>
              <w:rPr>
                <w:rFonts w:hint="eastAsia" w:ascii="宋体" w:hAnsi="宋体" w:eastAsia="宋体" w:cs="宋体"/>
                <w:color w:val="000000"/>
                <w:sz w:val="24"/>
                <w:szCs w:val="24"/>
              </w:rPr>
            </w:pPr>
          </w:p>
        </w:tc>
        <w:tc>
          <w:tcPr>
            <w:tcW w:w="3167" w:type="dxa"/>
            <w:vAlign w:val="center"/>
          </w:tcPr>
          <w:p>
            <w:pPr>
              <w:pStyle w:val="75"/>
              <w:spacing w:line="560" w:lineRule="exact"/>
              <w:ind w:firstLine="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5"/>
              <w:spacing w:line="560" w:lineRule="exact"/>
              <w:ind w:firstLine="200"/>
              <w:jc w:val="center"/>
              <w:rPr>
                <w:rFonts w:hint="eastAsia" w:ascii="宋体" w:hAnsi="宋体" w:eastAsia="宋体" w:cs="宋体"/>
                <w:color w:val="000000"/>
                <w:sz w:val="24"/>
                <w:szCs w:val="24"/>
              </w:rPr>
            </w:pPr>
          </w:p>
        </w:tc>
        <w:tc>
          <w:tcPr>
            <w:tcW w:w="4222" w:type="dxa"/>
            <w:vAlign w:val="center"/>
          </w:tcPr>
          <w:p>
            <w:pPr>
              <w:pStyle w:val="75"/>
              <w:spacing w:line="560" w:lineRule="exact"/>
              <w:ind w:firstLine="200"/>
              <w:jc w:val="center"/>
              <w:rPr>
                <w:rFonts w:hint="eastAsia" w:ascii="宋体" w:hAnsi="宋体" w:eastAsia="宋体" w:cs="宋体"/>
                <w:color w:val="000000"/>
                <w:sz w:val="24"/>
                <w:szCs w:val="24"/>
              </w:rPr>
            </w:pPr>
          </w:p>
        </w:tc>
        <w:tc>
          <w:tcPr>
            <w:tcW w:w="3167" w:type="dxa"/>
            <w:vAlign w:val="center"/>
          </w:tcPr>
          <w:p>
            <w:pPr>
              <w:pStyle w:val="75"/>
              <w:spacing w:line="560" w:lineRule="exact"/>
              <w:ind w:firstLine="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712" w:type="dxa"/>
            <w:gridSpan w:val="2"/>
            <w:vAlign w:val="center"/>
          </w:tcPr>
          <w:p>
            <w:pPr>
              <w:pStyle w:val="75"/>
              <w:spacing w:line="560" w:lineRule="exact"/>
              <w:ind w:firstLine="2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总价</w:t>
            </w:r>
          </w:p>
        </w:tc>
        <w:tc>
          <w:tcPr>
            <w:tcW w:w="3167" w:type="dxa"/>
            <w:vAlign w:val="center"/>
          </w:tcPr>
          <w:p>
            <w:pPr>
              <w:pStyle w:val="75"/>
              <w:spacing w:line="560" w:lineRule="exact"/>
              <w:ind w:firstLine="200"/>
              <w:jc w:val="center"/>
              <w:rPr>
                <w:rFonts w:hint="eastAsia" w:ascii="宋体" w:hAnsi="宋体" w:eastAsia="宋体" w:cs="宋体"/>
                <w:color w:val="000000"/>
                <w:sz w:val="24"/>
                <w:szCs w:val="24"/>
              </w:rPr>
            </w:pPr>
          </w:p>
        </w:tc>
      </w:tr>
    </w:tbl>
    <w:p>
      <w:pPr>
        <w:spacing w:line="560" w:lineRule="exact"/>
        <w:ind w:firstLine="482" w:firstLineChars="200"/>
        <w:outlineLvl w:val="0"/>
        <w:rPr>
          <w:rFonts w:hint="eastAsia" w:ascii="宋体" w:hAnsi="宋体" w:eastAsia="宋体" w:cs="宋体"/>
          <w:b/>
          <w:sz w:val="24"/>
          <w:szCs w:val="24"/>
        </w:rPr>
      </w:pPr>
      <w:bookmarkStart w:id="303" w:name="_Toc14993"/>
      <w:bookmarkStart w:id="304" w:name="_Toc3654"/>
      <w:bookmarkStart w:id="305" w:name="_Toc30506"/>
      <w:bookmarkStart w:id="306" w:name="_Toc30158"/>
      <w:bookmarkStart w:id="307" w:name="_Toc26916"/>
      <w:r>
        <w:rPr>
          <w:rFonts w:hint="eastAsia" w:ascii="宋体" w:hAnsi="宋体" w:eastAsia="宋体" w:cs="宋体"/>
          <w:b/>
          <w:sz w:val="24"/>
          <w:szCs w:val="24"/>
        </w:rPr>
        <w:t>1.4 付款方式和发票开具方式</w:t>
      </w:r>
      <w:bookmarkEnd w:id="303"/>
      <w:bookmarkEnd w:id="304"/>
      <w:bookmarkEnd w:id="305"/>
      <w:bookmarkEnd w:id="306"/>
      <w:bookmarkEnd w:id="30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1.4.1付款方式：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1.4.2 发票开具方式：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2" w:firstLineChars="200"/>
        <w:outlineLvl w:val="0"/>
        <w:rPr>
          <w:rFonts w:hint="eastAsia" w:ascii="宋体" w:hAnsi="宋体" w:eastAsia="宋体" w:cs="宋体"/>
          <w:b/>
          <w:sz w:val="24"/>
          <w:szCs w:val="24"/>
        </w:rPr>
      </w:pPr>
      <w:bookmarkStart w:id="308" w:name="_Toc31421"/>
      <w:bookmarkStart w:id="309" w:name="_Toc8772"/>
      <w:bookmarkStart w:id="310" w:name="_Toc3625"/>
      <w:bookmarkStart w:id="311" w:name="_Toc4760"/>
      <w:bookmarkStart w:id="312" w:name="_Toc11108"/>
      <w:r>
        <w:rPr>
          <w:rFonts w:hint="eastAsia" w:ascii="宋体" w:hAnsi="宋体" w:eastAsia="宋体" w:cs="宋体"/>
          <w:b/>
          <w:sz w:val="24"/>
          <w:szCs w:val="24"/>
        </w:rPr>
        <w:t>1.5 履行期限、地点和方式</w:t>
      </w:r>
      <w:bookmarkEnd w:id="308"/>
      <w:bookmarkEnd w:id="309"/>
      <w:bookmarkEnd w:id="310"/>
      <w:bookmarkEnd w:id="311"/>
      <w:bookmarkEnd w:id="312"/>
    </w:p>
    <w:p>
      <w:pPr>
        <w:spacing w:line="5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1.5.1 履行期限：</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1.5.2 履行地点：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1.5.3 履行方式：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2" w:firstLineChars="200"/>
        <w:outlineLvl w:val="0"/>
        <w:rPr>
          <w:rFonts w:hint="eastAsia" w:ascii="宋体" w:hAnsi="宋体" w:eastAsia="宋体" w:cs="宋体"/>
          <w:sz w:val="24"/>
          <w:szCs w:val="24"/>
          <w:u w:val="single"/>
        </w:rPr>
      </w:pPr>
      <w:bookmarkStart w:id="313" w:name="_Toc24662"/>
      <w:bookmarkStart w:id="314" w:name="_Toc5698"/>
      <w:bookmarkStart w:id="315" w:name="_Toc2375"/>
      <w:bookmarkStart w:id="316" w:name="_Toc3079"/>
      <w:bookmarkStart w:id="317" w:name="_Toc8586"/>
      <w:r>
        <w:rPr>
          <w:rFonts w:hint="eastAsia" w:ascii="宋体" w:hAnsi="宋体" w:eastAsia="宋体" w:cs="宋体"/>
          <w:b/>
          <w:sz w:val="24"/>
          <w:szCs w:val="24"/>
        </w:rPr>
        <w:t>1.6 违约责任</w:t>
      </w:r>
      <w:bookmarkEnd w:id="313"/>
      <w:bookmarkEnd w:id="314"/>
      <w:bookmarkEnd w:id="315"/>
      <w:bookmarkEnd w:id="316"/>
      <w:bookmarkEnd w:id="31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1.6.1 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sz w:val="24"/>
          <w:szCs w:val="24"/>
          <w:u w:val="single"/>
        </w:rPr>
        <w:t xml:space="preserve">    </w:t>
      </w:r>
      <w:r>
        <w:rPr>
          <w:rFonts w:hint="eastAsia" w:ascii="宋体" w:hAnsi="宋体" w:eastAsia="宋体" w:cs="宋体"/>
          <w:sz w:val="24"/>
          <w:szCs w:val="24"/>
        </w:rPr>
        <w:t>%计算，最高限额为本合同总价的</w:t>
      </w:r>
      <w:r>
        <w:rPr>
          <w:rFonts w:hint="eastAsia" w:ascii="宋体" w:hAnsi="宋体" w:eastAsia="宋体" w:cs="宋体"/>
          <w:sz w:val="24"/>
          <w:szCs w:val="24"/>
          <w:u w:val="single"/>
        </w:rPr>
        <w:t xml:space="preserve">     </w:t>
      </w:r>
      <w:r>
        <w:rPr>
          <w:rFonts w:hint="eastAsia" w:ascii="宋体" w:hAnsi="宋体" w:eastAsia="宋体" w:cs="宋体"/>
          <w:sz w:val="24"/>
          <w:szCs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sz w:val="24"/>
          <w:szCs w:val="24"/>
          <w:u w:val="single"/>
        </w:rPr>
        <w:t xml:space="preserve">    </w:t>
      </w:r>
      <w:r>
        <w:rPr>
          <w:rFonts w:hint="eastAsia" w:ascii="宋体" w:hAnsi="宋体" w:eastAsia="宋体" w:cs="宋体"/>
          <w:sz w:val="24"/>
          <w:szCs w:val="24"/>
        </w:rPr>
        <w:t>%计算，最高限额为本合同总价的</w:t>
      </w:r>
      <w:r>
        <w:rPr>
          <w:rFonts w:hint="eastAsia" w:ascii="宋体" w:hAnsi="宋体" w:eastAsia="宋体" w:cs="宋体"/>
          <w:sz w:val="24"/>
          <w:szCs w:val="24"/>
          <w:u w:val="single"/>
        </w:rPr>
        <w:t xml:space="preserve">     </w:t>
      </w:r>
      <w:r>
        <w:rPr>
          <w:rFonts w:hint="eastAsia" w:ascii="宋体" w:hAnsi="宋体" w:eastAsia="宋体" w:cs="宋体"/>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hint="eastAsia" w:ascii="宋体" w:hAnsi="宋体" w:eastAsia="宋体" w:cs="宋体"/>
          <w:b/>
          <w:sz w:val="24"/>
          <w:szCs w:val="24"/>
        </w:rPr>
      </w:pPr>
      <w:bookmarkStart w:id="318" w:name="_Toc30329"/>
      <w:bookmarkStart w:id="319" w:name="_Toc32454"/>
      <w:bookmarkStart w:id="320" w:name="_Toc18683"/>
      <w:bookmarkStart w:id="321" w:name="_Toc26807"/>
      <w:bookmarkStart w:id="322" w:name="_Toc9497"/>
      <w:r>
        <w:rPr>
          <w:rFonts w:hint="eastAsia" w:ascii="宋体" w:hAnsi="宋体" w:eastAsia="宋体" w:cs="宋体"/>
          <w:b/>
          <w:sz w:val="24"/>
          <w:szCs w:val="24"/>
        </w:rPr>
        <w:t>1.7 合同争议的解决</w:t>
      </w:r>
      <w:bookmarkEnd w:id="318"/>
      <w:bookmarkEnd w:id="319"/>
      <w:bookmarkEnd w:id="320"/>
      <w:bookmarkEnd w:id="321"/>
      <w:bookmarkEnd w:id="322"/>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本合同履行过程中发生的任何争议，双方当事人均可通过和解或者调解解决；不愿和解、调解或者和解、调解不成的，可以选择下列第</w:t>
      </w:r>
      <w:r>
        <w:rPr>
          <w:rFonts w:hint="eastAsia" w:ascii="宋体" w:hAnsi="宋体" w:eastAsia="宋体" w:cs="宋体"/>
          <w:sz w:val="24"/>
          <w:szCs w:val="24"/>
          <w:u w:val="single"/>
        </w:rPr>
        <w:t xml:space="preserve">    </w:t>
      </w:r>
      <w:r>
        <w:rPr>
          <w:rFonts w:hint="eastAsia" w:ascii="宋体" w:hAnsi="宋体" w:eastAsia="宋体" w:cs="宋体"/>
          <w:sz w:val="24"/>
          <w:szCs w:val="24"/>
        </w:rPr>
        <w:t>种方式解决：</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1.7.1 将争议提交</w:t>
      </w:r>
      <w:r>
        <w:rPr>
          <w:rFonts w:hint="eastAsia" w:ascii="宋体" w:hAnsi="宋体" w:eastAsia="宋体" w:cs="宋体"/>
          <w:sz w:val="24"/>
          <w:szCs w:val="24"/>
          <w:u w:val="single"/>
        </w:rPr>
        <w:t xml:space="preserve">              </w:t>
      </w:r>
      <w:r>
        <w:rPr>
          <w:rFonts w:hint="eastAsia" w:ascii="宋体" w:hAnsi="宋体" w:eastAsia="宋体" w:cs="宋体"/>
          <w:sz w:val="24"/>
          <w:szCs w:val="24"/>
        </w:rPr>
        <w:t>仲裁委员会依申请仲裁时其现行有效的仲裁规则裁决；</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1.7.2 向</w:t>
      </w:r>
      <w:r>
        <w:rPr>
          <w:rFonts w:hint="eastAsia" w:ascii="宋体" w:hAnsi="宋体" w:eastAsia="宋体" w:cs="宋体"/>
          <w:sz w:val="24"/>
          <w:szCs w:val="24"/>
          <w:u w:val="single"/>
        </w:rPr>
        <w:t xml:space="preserve">   （被告住所地、合同履行地、合同签订地、原告住所地、标的物所在地等与争议有实际联系的地点中选出的人民法院名称）    </w:t>
      </w:r>
      <w:r>
        <w:rPr>
          <w:rFonts w:hint="eastAsia" w:ascii="宋体" w:hAnsi="宋体" w:eastAsia="宋体" w:cs="宋体"/>
          <w:sz w:val="24"/>
          <w:szCs w:val="24"/>
        </w:rPr>
        <w:t>人民法院起诉。</w:t>
      </w:r>
    </w:p>
    <w:p>
      <w:pPr>
        <w:spacing w:line="560" w:lineRule="exact"/>
        <w:ind w:firstLine="482" w:firstLineChars="200"/>
        <w:outlineLvl w:val="0"/>
        <w:rPr>
          <w:rFonts w:hint="eastAsia" w:ascii="宋体" w:hAnsi="宋体" w:eastAsia="宋体" w:cs="宋体"/>
          <w:b/>
          <w:sz w:val="24"/>
          <w:szCs w:val="24"/>
        </w:rPr>
      </w:pPr>
      <w:bookmarkStart w:id="323" w:name="_Toc16417"/>
      <w:bookmarkStart w:id="324" w:name="_Toc23784"/>
      <w:bookmarkStart w:id="325" w:name="_Toc12273"/>
      <w:bookmarkStart w:id="326" w:name="_Toc15827"/>
      <w:bookmarkStart w:id="327" w:name="_Toc26227"/>
      <w:r>
        <w:rPr>
          <w:rFonts w:hint="eastAsia" w:ascii="宋体" w:hAnsi="宋体" w:eastAsia="宋体" w:cs="宋体"/>
          <w:b/>
          <w:sz w:val="24"/>
          <w:szCs w:val="24"/>
        </w:rPr>
        <w:t>1.8 合同生效</w:t>
      </w:r>
      <w:bookmarkEnd w:id="323"/>
      <w:bookmarkEnd w:id="324"/>
      <w:bookmarkEnd w:id="325"/>
      <w:bookmarkEnd w:id="326"/>
      <w:bookmarkEnd w:id="327"/>
    </w:p>
    <w:p>
      <w:pPr>
        <w:spacing w:line="56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本合同自双方当事人盖章或者签字时生效。</w:t>
      </w:r>
    </w:p>
    <w:p>
      <w:pPr>
        <w:autoSpaceDE w:val="0"/>
        <w:autoSpaceDN w:val="0"/>
        <w:adjustRightInd w:val="0"/>
        <w:spacing w:line="560" w:lineRule="exact"/>
        <w:rPr>
          <w:rFonts w:hint="eastAsia" w:ascii="宋体" w:hAnsi="宋体" w:eastAsia="宋体" w:cs="宋体"/>
          <w:sz w:val="24"/>
          <w:szCs w:val="24"/>
          <w:lang w:val="zh-CN"/>
        </w:rPr>
      </w:pP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b/>
          <w:sz w:val="24"/>
          <w:szCs w:val="24"/>
          <w:lang w:val="zh-CN"/>
        </w:rPr>
        <w:t>甲方</w:t>
      </w:r>
      <w:r>
        <w:rPr>
          <w:rFonts w:hint="eastAsia" w:ascii="宋体" w:hAnsi="宋体" w:eastAsia="宋体" w:cs="宋体"/>
          <w:sz w:val="24"/>
          <w:szCs w:val="24"/>
          <w:lang w:val="zh-CN"/>
        </w:rPr>
        <w:t xml:space="preserve">：                             </w:t>
      </w:r>
      <w:r>
        <w:rPr>
          <w:rFonts w:hint="eastAsia" w:ascii="宋体" w:hAnsi="宋体" w:eastAsia="宋体" w:cs="宋体"/>
          <w:b/>
          <w:sz w:val="24"/>
          <w:szCs w:val="24"/>
          <w:lang w:val="zh-CN"/>
        </w:rPr>
        <w:t xml:space="preserve">      乙方</w:t>
      </w:r>
      <w:r>
        <w:rPr>
          <w:rFonts w:hint="eastAsia" w:ascii="宋体" w:hAnsi="宋体" w:eastAsia="宋体" w:cs="宋体"/>
          <w:sz w:val="24"/>
          <w:szCs w:val="24"/>
          <w:lang w:val="zh-CN"/>
        </w:rPr>
        <w:t>：</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统一社会信用代码：                        统一社会信用代码或身份证号码：</w:t>
      </w:r>
    </w:p>
    <w:p>
      <w:pPr>
        <w:autoSpaceDE w:val="0"/>
        <w:autoSpaceDN w:val="0"/>
        <w:adjustRightInd w:val="0"/>
        <w:spacing w:line="560" w:lineRule="exact"/>
        <w:rPr>
          <w:rFonts w:hint="eastAsia" w:ascii="宋体" w:hAnsi="宋体" w:eastAsia="宋体" w:cs="宋体"/>
          <w:sz w:val="24"/>
          <w:szCs w:val="24"/>
          <w:lang w:val="zh-CN"/>
        </w:rPr>
      </w:pP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住所：                                   住所：</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法定代表人或                             法定代表人</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 xml:space="preserve">授权代表（签字）：                        或授权代表（签字）: </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联系人：                                 联系人：</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约定送达地址：                           约定送达地址：</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邮政编码：                               邮政编码：</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 xml:space="preserve">电话:                                    电话: </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传真:                                    传真:</w:t>
      </w: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sz w:val="24"/>
          <w:szCs w:val="24"/>
          <w:lang w:val="zh-CN"/>
        </w:rPr>
        <w:t>电子邮箱：                               电子邮箱：</w:t>
      </w: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sz w:val="24"/>
          <w:szCs w:val="24"/>
        </w:rPr>
        <w:t xml:space="preserve">开户银行：                               开户银行： </w:t>
      </w: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sz w:val="24"/>
          <w:szCs w:val="24"/>
        </w:rPr>
        <w:t xml:space="preserve">开户名称：                               开户名称： </w:t>
      </w: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sz w:val="24"/>
          <w:szCs w:val="24"/>
        </w:rPr>
        <w:t>开户账号：</w:t>
      </w:r>
      <w:r>
        <w:rPr>
          <w:rFonts w:hint="eastAsia" w:ascii="宋体" w:hAnsi="宋体" w:eastAsia="宋体" w:cs="宋体"/>
          <w:sz w:val="24"/>
          <w:szCs w:val="24"/>
          <w:lang w:val="zh-CN"/>
        </w:rPr>
        <w:t xml:space="preserve">                               </w:t>
      </w:r>
      <w:r>
        <w:rPr>
          <w:rFonts w:hint="eastAsia" w:ascii="宋体" w:hAnsi="宋体" w:eastAsia="宋体" w:cs="宋体"/>
          <w:sz w:val="24"/>
          <w:szCs w:val="24"/>
        </w:rPr>
        <w:t>开户账号：</w:t>
      </w:r>
    </w:p>
    <w:p>
      <w:pPr>
        <w:widowControl/>
        <w:spacing w:line="560" w:lineRule="exact"/>
        <w:jc w:val="left"/>
        <w:rPr>
          <w:rFonts w:hint="eastAsia" w:ascii="宋体" w:hAnsi="宋体" w:eastAsia="宋体" w:cs="宋体"/>
          <w:b/>
          <w:sz w:val="24"/>
          <w:szCs w:val="24"/>
        </w:rPr>
      </w:pPr>
      <w:bookmarkStart w:id="328" w:name="_Toc331685783"/>
    </w:p>
    <w:p>
      <w:pPr>
        <w:widowControl/>
        <w:spacing w:line="560" w:lineRule="exact"/>
        <w:jc w:val="left"/>
        <w:rPr>
          <w:rFonts w:hint="eastAsia" w:ascii="宋体" w:hAnsi="宋体" w:eastAsia="宋体" w:cs="宋体"/>
          <w:b/>
          <w:sz w:val="24"/>
          <w:szCs w:val="24"/>
        </w:rPr>
      </w:pPr>
    </w:p>
    <w:p>
      <w:pPr>
        <w:widowControl/>
        <w:spacing w:line="560" w:lineRule="exact"/>
        <w:jc w:val="left"/>
        <w:rPr>
          <w:rFonts w:hint="eastAsia" w:ascii="宋体" w:hAnsi="宋体" w:eastAsia="宋体" w:cs="宋体"/>
          <w:b/>
          <w:kern w:val="0"/>
          <w:sz w:val="24"/>
          <w:szCs w:val="24"/>
        </w:rPr>
      </w:pPr>
    </w:p>
    <w:p>
      <w:pPr>
        <w:pStyle w:val="73"/>
        <w:rPr>
          <w:rFonts w:hint="eastAsia" w:ascii="宋体" w:hAnsi="宋体" w:eastAsia="宋体" w:cs="宋体"/>
          <w:b/>
          <w:kern w:val="0"/>
          <w:sz w:val="24"/>
          <w:szCs w:val="24"/>
        </w:rPr>
      </w:pPr>
    </w:p>
    <w:p>
      <w:pPr>
        <w:widowControl/>
        <w:spacing w:line="560" w:lineRule="exact"/>
        <w:jc w:val="left"/>
        <w:rPr>
          <w:rFonts w:hint="eastAsia" w:ascii="宋体" w:hAnsi="宋体" w:eastAsia="宋体" w:cs="宋体"/>
          <w:b/>
          <w:kern w:val="0"/>
          <w:sz w:val="24"/>
          <w:szCs w:val="24"/>
        </w:rPr>
      </w:pPr>
    </w:p>
    <w:p>
      <w:pPr>
        <w:pStyle w:val="73"/>
        <w:spacing w:line="560" w:lineRule="exact"/>
        <w:ind w:firstLine="200"/>
        <w:jc w:val="center"/>
        <w:rPr>
          <w:rFonts w:hint="eastAsia" w:ascii="宋体" w:hAnsi="宋体" w:eastAsia="宋体" w:cs="宋体"/>
          <w:b/>
          <w:sz w:val="24"/>
          <w:szCs w:val="24"/>
        </w:rPr>
      </w:pPr>
      <w:r>
        <w:rPr>
          <w:rFonts w:hint="eastAsia" w:ascii="宋体" w:hAnsi="宋体" w:eastAsia="宋体" w:cs="宋体"/>
          <w:b/>
          <w:sz w:val="24"/>
          <w:szCs w:val="24"/>
        </w:rPr>
        <w:t>第二部分 合同一般条款</w:t>
      </w:r>
      <w:bookmarkEnd w:id="328"/>
    </w:p>
    <w:p>
      <w:pPr>
        <w:spacing w:line="560" w:lineRule="exact"/>
        <w:ind w:firstLine="482" w:firstLineChars="200"/>
        <w:outlineLvl w:val="0"/>
        <w:rPr>
          <w:rFonts w:hint="eastAsia" w:ascii="宋体" w:hAnsi="宋体" w:eastAsia="宋体" w:cs="宋体"/>
          <w:b/>
          <w:sz w:val="24"/>
          <w:szCs w:val="24"/>
        </w:rPr>
      </w:pPr>
      <w:bookmarkStart w:id="329" w:name="_Ref467378463"/>
      <w:bookmarkStart w:id="330" w:name="_Ref467379094"/>
      <w:bookmarkStart w:id="331" w:name="_Ref467379225"/>
      <w:bookmarkStart w:id="332" w:name="_Ref467379109"/>
      <w:bookmarkStart w:id="333" w:name="_Toc5228"/>
      <w:bookmarkStart w:id="334" w:name="_Ref467379101"/>
      <w:bookmarkStart w:id="335" w:name="_Ref467379205"/>
      <w:bookmarkStart w:id="336" w:name="_Toc19680"/>
      <w:bookmarkStart w:id="337" w:name="_Toc259093669"/>
      <w:bookmarkStart w:id="338" w:name="_Ref467379195"/>
      <w:bookmarkStart w:id="339" w:name="_Toc14021"/>
      <w:bookmarkStart w:id="340" w:name="_Toc279701240"/>
      <w:bookmarkStart w:id="341" w:name="_Toc487900349"/>
      <w:bookmarkStart w:id="342" w:name="_Ref467378499"/>
      <w:bookmarkStart w:id="343" w:name="_Toc31297"/>
      <w:bookmarkStart w:id="344" w:name="_Ref467378404"/>
      <w:bookmarkStart w:id="345" w:name="_Ref467379214"/>
      <w:bookmarkStart w:id="346" w:name="_Toc25079"/>
      <w:r>
        <w:rPr>
          <w:rFonts w:hint="eastAsia" w:ascii="宋体" w:hAnsi="宋体" w:eastAsia="宋体" w:cs="宋体"/>
          <w:b/>
          <w:sz w:val="24"/>
          <w:szCs w:val="24"/>
        </w:rPr>
        <w:t>2.1 定义</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本合同中的下列词语应按以下内容进行解释：</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2.1.2 “合同价”系指根据合同约定，中标供应商在完全履行合同义务后，采购人应支付给中标供应商的价格。</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sz w:val="24"/>
          <w:szCs w:val="24"/>
        </w:rPr>
      </w:pPr>
      <w:bookmarkStart w:id="347" w:name="_Ref467378840"/>
      <w:r>
        <w:rPr>
          <w:rFonts w:hint="eastAsia" w:ascii="宋体" w:hAnsi="宋体" w:eastAsia="宋体" w:cs="宋体"/>
          <w:sz w:val="24"/>
          <w:szCs w:val="24"/>
        </w:rPr>
        <w:t>2.1.4 “甲方”系指与中标供应商签署合同的采购人</w:t>
      </w:r>
      <w:bookmarkEnd w:id="347"/>
      <w:r>
        <w:rPr>
          <w:rFonts w:hint="eastAsia" w:ascii="宋体" w:hAnsi="宋体" w:eastAsia="宋体" w:cs="宋体"/>
          <w:sz w:val="24"/>
          <w:szCs w:val="24"/>
        </w:rPr>
        <w:t>；采购人委托采购代理机构代表其与乙方签订合同的，采购人的授权委托书作为合同附件。</w:t>
      </w:r>
    </w:p>
    <w:p>
      <w:pPr>
        <w:spacing w:line="560" w:lineRule="exact"/>
        <w:ind w:firstLine="480" w:firstLineChars="200"/>
        <w:rPr>
          <w:rFonts w:hint="eastAsia" w:ascii="宋体" w:hAnsi="宋体" w:eastAsia="宋体" w:cs="宋体"/>
          <w:sz w:val="24"/>
          <w:szCs w:val="24"/>
        </w:rPr>
      </w:pPr>
      <w:bookmarkStart w:id="348" w:name="_Ref467379400"/>
      <w:r>
        <w:rPr>
          <w:rFonts w:hint="eastAsia" w:ascii="宋体" w:hAnsi="宋体" w:eastAsia="宋体" w:cs="宋体"/>
          <w:sz w:val="24"/>
          <w:szCs w:val="24"/>
        </w:rPr>
        <w:t>2.1.5 “乙方”系指根据合同约定提供服务的中标供应商</w:t>
      </w:r>
      <w:bookmarkEnd w:id="348"/>
      <w:r>
        <w:rPr>
          <w:rFonts w:hint="eastAsia" w:ascii="宋体" w:hAnsi="宋体" w:eastAsia="宋体" w:cs="宋体"/>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sz w:val="24"/>
          <w:szCs w:val="24"/>
        </w:rPr>
      </w:pPr>
      <w:bookmarkStart w:id="349" w:name="_Ref467379436"/>
      <w:r>
        <w:rPr>
          <w:rFonts w:hint="eastAsia" w:ascii="宋体" w:hAnsi="宋体" w:eastAsia="宋体" w:cs="宋体"/>
          <w:sz w:val="24"/>
          <w:szCs w:val="24"/>
        </w:rPr>
        <w:t>2.1.6 “现场”系指合同约定提供服务的地点。</w:t>
      </w:r>
      <w:bookmarkEnd w:id="349"/>
    </w:p>
    <w:p>
      <w:pPr>
        <w:spacing w:line="560" w:lineRule="exact"/>
        <w:ind w:firstLine="482" w:firstLineChars="200"/>
        <w:outlineLvl w:val="0"/>
        <w:rPr>
          <w:rFonts w:hint="eastAsia" w:ascii="宋体" w:hAnsi="宋体" w:eastAsia="宋体" w:cs="宋体"/>
          <w:b/>
          <w:sz w:val="24"/>
          <w:szCs w:val="24"/>
        </w:rPr>
      </w:pPr>
      <w:bookmarkStart w:id="350" w:name="_Toc259093670"/>
      <w:bookmarkStart w:id="351" w:name="_Toc487900350"/>
      <w:bookmarkStart w:id="352" w:name="_Toc279701241"/>
      <w:bookmarkStart w:id="353" w:name="_Toc31402"/>
      <w:bookmarkStart w:id="354" w:name="_Toc16752"/>
      <w:bookmarkStart w:id="355" w:name="_Toc23289"/>
      <w:bookmarkStart w:id="356" w:name="_Toc19539"/>
      <w:bookmarkStart w:id="357" w:name="_Toc3769"/>
      <w:r>
        <w:rPr>
          <w:rFonts w:hint="eastAsia" w:ascii="宋体" w:hAnsi="宋体" w:eastAsia="宋体" w:cs="宋体"/>
          <w:b/>
          <w:sz w:val="24"/>
          <w:szCs w:val="24"/>
        </w:rPr>
        <w:t>2.2 技术规范</w:t>
      </w:r>
      <w:bookmarkEnd w:id="350"/>
      <w:bookmarkEnd w:id="351"/>
      <w:bookmarkEnd w:id="352"/>
      <w:bookmarkEnd w:id="353"/>
      <w:bookmarkEnd w:id="354"/>
      <w:bookmarkEnd w:id="355"/>
      <w:bookmarkEnd w:id="356"/>
      <w:bookmarkEnd w:id="35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sz w:val="24"/>
          <w:szCs w:val="24"/>
        </w:rPr>
      </w:pPr>
      <w:bookmarkStart w:id="358" w:name="_Toc13673"/>
      <w:bookmarkStart w:id="359" w:name="_Toc4133"/>
      <w:bookmarkStart w:id="360" w:name="_Toc12412"/>
      <w:bookmarkStart w:id="361" w:name="_Toc27945"/>
      <w:bookmarkStart w:id="362" w:name="_Toc279701242"/>
      <w:bookmarkStart w:id="363" w:name="_Toc259093671"/>
      <w:bookmarkStart w:id="364" w:name="_Toc9161"/>
      <w:bookmarkStart w:id="365" w:name="_Toc487900351"/>
      <w:r>
        <w:rPr>
          <w:rFonts w:hint="eastAsia" w:ascii="宋体" w:hAnsi="宋体" w:eastAsia="宋体" w:cs="宋体"/>
          <w:b/>
          <w:sz w:val="24"/>
          <w:szCs w:val="24"/>
        </w:rPr>
        <w:t>2.3 知识产权</w:t>
      </w:r>
      <w:bookmarkEnd w:id="358"/>
      <w:bookmarkEnd w:id="359"/>
      <w:bookmarkEnd w:id="360"/>
      <w:bookmarkEnd w:id="361"/>
      <w:bookmarkEnd w:id="362"/>
      <w:bookmarkEnd w:id="363"/>
      <w:bookmarkEnd w:id="364"/>
      <w:bookmarkEnd w:id="365"/>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2.3.2 合同涉及技术成果的归属和收益的分成办法的，详见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spacing w:line="5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2.4 履约检查和问题反馈</w:t>
      </w:r>
    </w:p>
    <w:p>
      <w:pPr>
        <w:spacing w:line="560" w:lineRule="exact"/>
        <w:ind w:firstLine="480" w:firstLineChars="200"/>
        <w:rPr>
          <w:rFonts w:hint="eastAsia" w:ascii="宋体" w:hAnsi="宋体" w:eastAsia="宋体" w:cs="宋体"/>
          <w:sz w:val="24"/>
          <w:szCs w:val="24"/>
        </w:rPr>
      </w:pPr>
      <w:bookmarkStart w:id="366" w:name="_Ref467379657"/>
      <w:r>
        <w:rPr>
          <w:rFonts w:hint="eastAsia" w:ascii="宋体" w:hAnsi="宋体" w:eastAsia="宋体" w:cs="宋体"/>
          <w:sz w:val="24"/>
          <w:szCs w:val="24"/>
        </w:rPr>
        <w:t>2.4.1</w:t>
      </w:r>
      <w:bookmarkEnd w:id="366"/>
      <w:bookmarkStart w:id="367" w:name="_Toc186431854"/>
      <w:bookmarkStart w:id="368" w:name="_Toc279701247"/>
      <w:bookmarkStart w:id="369" w:name="_Ref467379793"/>
      <w:bookmarkStart w:id="370" w:name="_Ref467379807"/>
      <w:bookmarkStart w:id="371" w:name="_Toc259093676"/>
      <w:bookmarkStart w:id="372" w:name="_Toc487900357"/>
      <w:r>
        <w:rPr>
          <w:rFonts w:hint="eastAsia" w:ascii="宋体" w:hAnsi="宋体" w:eastAsia="宋体" w:cs="宋体"/>
          <w:sz w:val="24"/>
          <w:szCs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2.4.2 合同履行期间，甲方有权将履行过程中出现的问题反馈给乙方，双方当事人应以书面形式约定需要完善和改进的内容</w:t>
      </w:r>
      <w:bookmarkEnd w:id="367"/>
      <w:bookmarkStart w:id="373" w:name="_Toc186431855"/>
      <w:r>
        <w:rPr>
          <w:rFonts w:hint="eastAsia" w:ascii="宋体" w:hAnsi="宋体" w:eastAsia="宋体" w:cs="宋体"/>
          <w:sz w:val="24"/>
          <w:szCs w:val="24"/>
        </w:rPr>
        <w:t>。</w:t>
      </w:r>
    </w:p>
    <w:bookmarkEnd w:id="373"/>
    <w:p>
      <w:pPr>
        <w:spacing w:line="560" w:lineRule="exact"/>
        <w:ind w:firstLine="482" w:firstLineChars="200"/>
        <w:outlineLvl w:val="0"/>
        <w:rPr>
          <w:rFonts w:hint="eastAsia" w:ascii="宋体" w:hAnsi="宋体" w:eastAsia="宋体" w:cs="宋体"/>
          <w:b/>
          <w:sz w:val="24"/>
          <w:szCs w:val="24"/>
        </w:rPr>
      </w:pPr>
      <w:bookmarkStart w:id="374" w:name="_Toc15447"/>
      <w:bookmarkStart w:id="375" w:name="_Toc22011"/>
      <w:bookmarkStart w:id="376" w:name="_Toc26555"/>
      <w:bookmarkStart w:id="377" w:name="_Toc31233"/>
      <w:bookmarkStart w:id="378" w:name="_Toc32670"/>
      <w:r>
        <w:rPr>
          <w:rFonts w:hint="eastAsia" w:ascii="宋体" w:hAnsi="宋体" w:eastAsia="宋体" w:cs="宋体"/>
          <w:b/>
          <w:sz w:val="24"/>
          <w:szCs w:val="24"/>
        </w:rPr>
        <w:t>2.5 结算方式和付款条件</w:t>
      </w:r>
      <w:bookmarkEnd w:id="368"/>
      <w:bookmarkEnd w:id="369"/>
      <w:bookmarkEnd w:id="370"/>
      <w:bookmarkEnd w:id="371"/>
      <w:bookmarkEnd w:id="372"/>
      <w:bookmarkEnd w:id="374"/>
      <w:bookmarkEnd w:id="375"/>
      <w:bookmarkEnd w:id="376"/>
      <w:bookmarkEnd w:id="377"/>
      <w:bookmarkEnd w:id="378"/>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spacing w:line="560" w:lineRule="exact"/>
        <w:ind w:firstLine="482" w:firstLineChars="200"/>
        <w:outlineLvl w:val="0"/>
        <w:rPr>
          <w:rFonts w:hint="eastAsia" w:ascii="宋体" w:hAnsi="宋体" w:eastAsia="宋体" w:cs="宋体"/>
          <w:b/>
          <w:sz w:val="24"/>
          <w:szCs w:val="24"/>
        </w:rPr>
      </w:pPr>
      <w:bookmarkStart w:id="379" w:name="_Toc487900358"/>
      <w:bookmarkStart w:id="380" w:name="_Ref467379852"/>
      <w:bookmarkStart w:id="381" w:name="_Ref467379923"/>
      <w:bookmarkStart w:id="382" w:name="_Toc279701248"/>
      <w:bookmarkStart w:id="383" w:name="_Ref467379863"/>
      <w:bookmarkStart w:id="384" w:name="_Toc259093677"/>
      <w:bookmarkStart w:id="385" w:name="_Toc13467"/>
      <w:bookmarkStart w:id="386" w:name="_Toc16163"/>
      <w:bookmarkStart w:id="387" w:name="_Toc30507"/>
      <w:bookmarkStart w:id="388" w:name="_Toc18990"/>
      <w:bookmarkStart w:id="389" w:name="_Toc13154"/>
      <w:r>
        <w:rPr>
          <w:rFonts w:hint="eastAsia" w:ascii="宋体" w:hAnsi="宋体" w:eastAsia="宋体" w:cs="宋体"/>
          <w:b/>
          <w:sz w:val="24"/>
          <w:szCs w:val="24"/>
        </w:rPr>
        <w:t>2.6 技术资料</w:t>
      </w:r>
      <w:bookmarkEnd w:id="379"/>
      <w:bookmarkEnd w:id="380"/>
      <w:bookmarkEnd w:id="381"/>
      <w:bookmarkEnd w:id="382"/>
      <w:bookmarkEnd w:id="383"/>
      <w:bookmarkEnd w:id="384"/>
      <w:r>
        <w:rPr>
          <w:rFonts w:hint="eastAsia" w:ascii="宋体" w:hAnsi="宋体" w:eastAsia="宋体" w:cs="宋体"/>
          <w:b/>
          <w:sz w:val="24"/>
          <w:szCs w:val="24"/>
        </w:rPr>
        <w:t>和保密义务</w:t>
      </w:r>
      <w:bookmarkEnd w:id="385"/>
      <w:bookmarkEnd w:id="386"/>
      <w:bookmarkEnd w:id="387"/>
      <w:bookmarkEnd w:id="388"/>
      <w:bookmarkEnd w:id="389"/>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乙方有义务妥善保管和保护由甲方提供的前款信息和资料等；</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sz w:val="24"/>
          <w:szCs w:val="24"/>
        </w:rPr>
      </w:pPr>
      <w:bookmarkStart w:id="390" w:name="_Toc19069"/>
      <w:bookmarkStart w:id="391" w:name="_Toc259093681"/>
      <w:bookmarkStart w:id="392" w:name="_Toc279701252"/>
      <w:bookmarkStart w:id="393" w:name="_Toc487900362"/>
      <w:r>
        <w:rPr>
          <w:rFonts w:hint="eastAsia" w:ascii="宋体" w:hAnsi="宋体" w:eastAsia="宋体" w:cs="宋体"/>
          <w:b/>
          <w:sz w:val="24"/>
          <w:szCs w:val="24"/>
        </w:rPr>
        <w:t>2.7 质量保证</w:t>
      </w:r>
      <w:bookmarkEnd w:id="390"/>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sz w:val="24"/>
          <w:szCs w:val="24"/>
        </w:rPr>
      </w:pPr>
      <w:bookmarkStart w:id="394" w:name="_Toc22267"/>
      <w:r>
        <w:rPr>
          <w:rFonts w:hint="eastAsia" w:ascii="宋体" w:hAnsi="宋体" w:eastAsia="宋体" w:cs="宋体"/>
          <w:b/>
          <w:sz w:val="24"/>
          <w:szCs w:val="24"/>
        </w:rPr>
        <w:t>2.8 延迟</w:t>
      </w:r>
      <w:bookmarkEnd w:id="391"/>
      <w:bookmarkEnd w:id="392"/>
      <w:bookmarkEnd w:id="393"/>
      <w:r>
        <w:rPr>
          <w:rFonts w:hint="eastAsia" w:ascii="宋体" w:hAnsi="宋体" w:eastAsia="宋体" w:cs="宋体"/>
          <w:b/>
          <w:sz w:val="24"/>
          <w:szCs w:val="24"/>
        </w:rPr>
        <w:t>履行</w:t>
      </w:r>
      <w:bookmarkEnd w:id="394"/>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sz w:val="24"/>
          <w:szCs w:val="24"/>
        </w:rPr>
      </w:pPr>
      <w:bookmarkStart w:id="395" w:name="_Toc10611"/>
      <w:bookmarkStart w:id="396" w:name="_Toc279701254"/>
      <w:bookmarkStart w:id="397" w:name="_Toc259093683"/>
      <w:bookmarkStart w:id="398" w:name="_Ref467378121"/>
      <w:bookmarkStart w:id="399" w:name="_Toc487900364"/>
      <w:r>
        <w:rPr>
          <w:rFonts w:hint="eastAsia" w:ascii="宋体" w:hAnsi="宋体" w:eastAsia="宋体" w:cs="宋体"/>
          <w:b/>
          <w:sz w:val="24"/>
          <w:szCs w:val="24"/>
        </w:rPr>
        <w:t>2.9 合同变更</w:t>
      </w:r>
      <w:bookmarkEnd w:id="395"/>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2.9.2 合同继续履行将损害国家利益和社会公共利益的，双方当事人应当以书面形式变更合同。有过错的一方应当承担赔偿责任，双方当事人都有过错的，各自承担相应的责任。</w:t>
      </w:r>
      <w:bookmarkStart w:id="400" w:name="_Toc487900369"/>
      <w:bookmarkStart w:id="401" w:name="_Toc259093688"/>
      <w:bookmarkStart w:id="402" w:name="_Toc279701259"/>
    </w:p>
    <w:p>
      <w:pPr>
        <w:spacing w:line="560" w:lineRule="exact"/>
        <w:ind w:firstLine="482" w:firstLineChars="200"/>
        <w:outlineLvl w:val="0"/>
        <w:rPr>
          <w:rFonts w:hint="eastAsia" w:ascii="宋体" w:hAnsi="宋体" w:eastAsia="宋体" w:cs="宋体"/>
          <w:b/>
          <w:sz w:val="24"/>
          <w:szCs w:val="24"/>
        </w:rPr>
      </w:pPr>
      <w:bookmarkStart w:id="403" w:name="_Toc23368"/>
      <w:bookmarkStart w:id="404" w:name="_Toc42"/>
      <w:bookmarkStart w:id="405" w:name="_Toc26689"/>
      <w:bookmarkStart w:id="406" w:name="_Toc10663"/>
      <w:bookmarkStart w:id="407" w:name="_Toc21830"/>
      <w:r>
        <w:rPr>
          <w:rFonts w:hint="eastAsia" w:ascii="宋体" w:hAnsi="宋体" w:eastAsia="宋体" w:cs="宋体"/>
          <w:b/>
          <w:sz w:val="24"/>
          <w:szCs w:val="24"/>
        </w:rPr>
        <w:t>2.10 合同转让</w:t>
      </w:r>
      <w:bookmarkEnd w:id="400"/>
      <w:bookmarkEnd w:id="401"/>
      <w:bookmarkEnd w:id="402"/>
      <w:r>
        <w:rPr>
          <w:rFonts w:hint="eastAsia" w:ascii="宋体" w:hAnsi="宋体" w:eastAsia="宋体" w:cs="宋体"/>
          <w:b/>
          <w:sz w:val="24"/>
          <w:szCs w:val="24"/>
        </w:rPr>
        <w:t>和分包</w:t>
      </w:r>
      <w:bookmarkEnd w:id="403"/>
      <w:bookmarkEnd w:id="404"/>
      <w:bookmarkEnd w:id="405"/>
      <w:bookmarkEnd w:id="406"/>
      <w:bookmarkEnd w:id="40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sz w:val="24"/>
          <w:szCs w:val="24"/>
        </w:rPr>
      </w:pPr>
      <w:bookmarkStart w:id="408" w:name="_Toc32494"/>
      <w:bookmarkStart w:id="409" w:name="_Toc26633"/>
      <w:bookmarkStart w:id="410" w:name="_Toc14371"/>
      <w:bookmarkStart w:id="411" w:name="_Toc25571"/>
      <w:bookmarkStart w:id="412" w:name="_Toc4720"/>
      <w:r>
        <w:rPr>
          <w:rFonts w:hint="eastAsia" w:ascii="宋体" w:hAnsi="宋体" w:eastAsia="宋体" w:cs="宋体"/>
          <w:b/>
          <w:sz w:val="24"/>
          <w:szCs w:val="24"/>
        </w:rPr>
        <w:t>2.11 不可抗力</w:t>
      </w:r>
      <w:bookmarkEnd w:id="408"/>
      <w:bookmarkEnd w:id="409"/>
      <w:bookmarkEnd w:id="410"/>
      <w:bookmarkEnd w:id="411"/>
      <w:bookmarkEnd w:id="412"/>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2.11.2 因不可抗力致使不能实现合同目的的，当事人可以解除合同；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2.11.3 因不可抗力致使合同有变更必要的，双方当事人应在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约定时间内以书面形式变更合同；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2.11.4受不可抗力影响的一方在不可抗力发生后，应在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约定时间内以书面形式通知对方当事人，并在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约定时间内，将有关部门出具的证明文件送达对方当事人。</w:t>
      </w:r>
    </w:p>
    <w:p>
      <w:pPr>
        <w:spacing w:line="560" w:lineRule="exact"/>
        <w:ind w:firstLine="482" w:firstLineChars="200"/>
        <w:outlineLvl w:val="0"/>
        <w:rPr>
          <w:rFonts w:hint="eastAsia" w:ascii="宋体" w:hAnsi="宋体" w:eastAsia="宋体" w:cs="宋体"/>
          <w:b/>
          <w:sz w:val="24"/>
          <w:szCs w:val="24"/>
        </w:rPr>
      </w:pPr>
      <w:bookmarkStart w:id="413" w:name="_Toc3638"/>
      <w:bookmarkStart w:id="414" w:name="_Toc487900365"/>
      <w:bookmarkStart w:id="415" w:name="_Toc14115"/>
      <w:bookmarkStart w:id="416" w:name="_Toc23854"/>
      <w:bookmarkStart w:id="417" w:name="_Toc259093684"/>
      <w:bookmarkStart w:id="418" w:name="_Toc25783"/>
      <w:bookmarkStart w:id="419" w:name="_Toc279701255"/>
      <w:bookmarkStart w:id="420" w:name="_Toc24465"/>
      <w:r>
        <w:rPr>
          <w:rFonts w:hint="eastAsia" w:ascii="宋体" w:hAnsi="宋体" w:eastAsia="宋体" w:cs="宋体"/>
          <w:b/>
          <w:sz w:val="24"/>
          <w:szCs w:val="24"/>
        </w:rPr>
        <w:t>2.12 税费</w:t>
      </w:r>
      <w:bookmarkEnd w:id="413"/>
      <w:bookmarkEnd w:id="414"/>
      <w:bookmarkEnd w:id="415"/>
      <w:bookmarkEnd w:id="416"/>
      <w:bookmarkEnd w:id="417"/>
      <w:bookmarkEnd w:id="418"/>
      <w:bookmarkEnd w:id="419"/>
      <w:bookmarkEnd w:id="420"/>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sz w:val="24"/>
          <w:szCs w:val="24"/>
        </w:rPr>
      </w:pPr>
      <w:bookmarkStart w:id="421" w:name="_Toc14814"/>
      <w:bookmarkStart w:id="422" w:name="_Toc26883"/>
      <w:bookmarkStart w:id="423" w:name="_Toc279701258"/>
      <w:bookmarkStart w:id="424" w:name="_Toc7315"/>
      <w:bookmarkStart w:id="425" w:name="_Toc30105"/>
      <w:bookmarkStart w:id="426" w:name="_Toc487900368"/>
      <w:bookmarkStart w:id="427" w:name="_Toc259093687"/>
      <w:bookmarkStart w:id="428" w:name="_Toc25525"/>
      <w:r>
        <w:rPr>
          <w:rFonts w:hint="eastAsia" w:ascii="宋体" w:hAnsi="宋体" w:eastAsia="宋体" w:cs="宋体"/>
          <w:b/>
          <w:sz w:val="24"/>
          <w:szCs w:val="24"/>
        </w:rPr>
        <w:t>2.13 乙方破产</w:t>
      </w:r>
      <w:bookmarkEnd w:id="421"/>
      <w:bookmarkEnd w:id="422"/>
      <w:bookmarkEnd w:id="423"/>
      <w:bookmarkEnd w:id="424"/>
      <w:bookmarkEnd w:id="425"/>
      <w:bookmarkEnd w:id="426"/>
      <w:bookmarkEnd w:id="427"/>
      <w:bookmarkEnd w:id="428"/>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sz w:val="24"/>
          <w:szCs w:val="24"/>
        </w:rPr>
      </w:pPr>
      <w:bookmarkStart w:id="429" w:name="_Toc23323"/>
      <w:bookmarkStart w:id="430" w:name="_Toc1123"/>
      <w:bookmarkStart w:id="431" w:name="_Toc2016"/>
      <w:r>
        <w:rPr>
          <w:rFonts w:hint="eastAsia" w:ascii="宋体" w:hAnsi="宋体" w:eastAsia="宋体" w:cs="宋体"/>
          <w:b/>
          <w:sz w:val="24"/>
          <w:szCs w:val="24"/>
        </w:rPr>
        <w:t>2.14 合同中止、终止</w:t>
      </w:r>
      <w:bookmarkEnd w:id="429"/>
      <w:bookmarkEnd w:id="430"/>
      <w:bookmarkEnd w:id="431"/>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2.14.1 双方当事人不得擅自中止或者终止合同；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sz w:val="24"/>
          <w:szCs w:val="24"/>
        </w:rPr>
      </w:pPr>
      <w:bookmarkStart w:id="432" w:name="_Toc1969"/>
      <w:bookmarkStart w:id="433" w:name="_Toc17363"/>
      <w:bookmarkStart w:id="434" w:name="_Toc14525"/>
      <w:r>
        <w:rPr>
          <w:rFonts w:hint="eastAsia" w:ascii="宋体" w:hAnsi="宋体" w:eastAsia="宋体" w:cs="宋体"/>
          <w:b/>
          <w:sz w:val="24"/>
          <w:szCs w:val="24"/>
        </w:rPr>
        <w:t>2.15 检验和验收</w:t>
      </w:r>
      <w:bookmarkEnd w:id="432"/>
      <w:bookmarkEnd w:id="433"/>
      <w:bookmarkEnd w:id="434"/>
    </w:p>
    <w:p>
      <w:pPr>
        <w:tabs>
          <w:tab w:val="left" w:pos="360"/>
          <w:tab w:val="left" w:pos="540"/>
          <w:tab w:val="left" w:pos="1080"/>
        </w:tab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2.15.1 乙方按照</w:t>
      </w:r>
      <w:r>
        <w:rPr>
          <w:rFonts w:hint="eastAsia" w:ascii="宋体" w:hAnsi="宋体" w:eastAsia="宋体" w:cs="宋体"/>
          <w:b/>
          <w:i/>
          <w:sz w:val="24"/>
          <w:szCs w:val="24"/>
          <w:u w:val="single"/>
        </w:rPr>
        <w:t>合同专用条款</w:t>
      </w:r>
      <w:r>
        <w:rPr>
          <w:rFonts w:hint="eastAsia" w:ascii="宋体" w:hAnsi="宋体" w:eastAsia="宋体" w:cs="宋体"/>
          <w:sz w:val="24"/>
          <w:szCs w:val="24"/>
        </w:rPr>
        <w:t>的约定，定期提交服务报告，甲方按照</w:t>
      </w:r>
      <w:r>
        <w:rPr>
          <w:rFonts w:hint="eastAsia" w:ascii="宋体" w:hAnsi="宋体" w:eastAsia="宋体" w:cs="宋体"/>
          <w:b/>
          <w:i/>
          <w:sz w:val="24"/>
          <w:szCs w:val="24"/>
          <w:u w:val="single"/>
        </w:rPr>
        <w:t>合同专用条款</w:t>
      </w:r>
      <w:r>
        <w:rPr>
          <w:rFonts w:hint="eastAsia" w:ascii="宋体" w:hAnsi="宋体" w:eastAsia="宋体" w:cs="宋体"/>
          <w:sz w:val="24"/>
          <w:szCs w:val="24"/>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2.15.3 检验和验收标准、程序等具体内容以及前述验收书的效力详见</w:t>
      </w:r>
      <w:r>
        <w:rPr>
          <w:rFonts w:hint="eastAsia" w:ascii="宋体" w:hAnsi="宋体" w:eastAsia="宋体" w:cs="宋体"/>
          <w:b/>
          <w:i/>
          <w:sz w:val="24"/>
          <w:szCs w:val="24"/>
          <w:u w:val="single"/>
        </w:rPr>
        <w:t>合同专用条款</w:t>
      </w:r>
      <w:r>
        <w:rPr>
          <w:rFonts w:hint="eastAsia" w:ascii="宋体" w:hAnsi="宋体" w:eastAsia="宋体" w:cs="宋体"/>
          <w:i/>
          <w:sz w:val="24"/>
          <w:szCs w:val="24"/>
        </w:rPr>
        <w:t>。</w:t>
      </w:r>
    </w:p>
    <w:bookmarkEnd w:id="396"/>
    <w:bookmarkEnd w:id="397"/>
    <w:bookmarkEnd w:id="398"/>
    <w:bookmarkEnd w:id="399"/>
    <w:p>
      <w:pPr>
        <w:spacing w:line="560" w:lineRule="exact"/>
        <w:ind w:firstLine="482" w:firstLineChars="200"/>
        <w:outlineLvl w:val="0"/>
        <w:rPr>
          <w:rFonts w:hint="eastAsia" w:ascii="宋体" w:hAnsi="宋体" w:eastAsia="宋体" w:cs="宋体"/>
          <w:b/>
          <w:sz w:val="24"/>
          <w:szCs w:val="24"/>
        </w:rPr>
      </w:pPr>
      <w:bookmarkStart w:id="435" w:name="_Toc259093690"/>
      <w:bookmarkStart w:id="436" w:name="_Toc279701261"/>
      <w:bookmarkStart w:id="437" w:name="_Toc487900371"/>
      <w:bookmarkStart w:id="438" w:name="_Toc31892"/>
      <w:bookmarkStart w:id="439" w:name="_Toc12666"/>
      <w:bookmarkStart w:id="440" w:name="_Toc9808"/>
      <w:bookmarkStart w:id="441" w:name="_Toc25198"/>
      <w:bookmarkStart w:id="442" w:name="_Toc2308"/>
      <w:r>
        <w:rPr>
          <w:rFonts w:hint="eastAsia" w:ascii="宋体" w:hAnsi="宋体" w:eastAsia="宋体" w:cs="宋体"/>
          <w:b/>
          <w:sz w:val="24"/>
          <w:szCs w:val="24"/>
        </w:rPr>
        <w:t>2.16 通知</w:t>
      </w:r>
      <w:bookmarkEnd w:id="435"/>
      <w:bookmarkEnd w:id="436"/>
      <w:bookmarkEnd w:id="437"/>
      <w:r>
        <w:rPr>
          <w:rFonts w:hint="eastAsia" w:ascii="宋体" w:hAnsi="宋体" w:eastAsia="宋体" w:cs="宋体"/>
          <w:b/>
          <w:sz w:val="24"/>
          <w:szCs w:val="24"/>
        </w:rPr>
        <w:t>和送达</w:t>
      </w:r>
      <w:bookmarkEnd w:id="438"/>
      <w:bookmarkEnd w:id="439"/>
      <w:bookmarkEnd w:id="440"/>
      <w:bookmarkEnd w:id="441"/>
      <w:bookmarkEnd w:id="442"/>
    </w:p>
    <w:p>
      <w:pPr>
        <w:spacing w:line="560" w:lineRule="exact"/>
        <w:ind w:firstLine="480" w:firstLineChars="200"/>
        <w:rPr>
          <w:rFonts w:hint="eastAsia" w:ascii="宋体" w:hAnsi="宋体" w:eastAsia="宋体" w:cs="宋体"/>
          <w:sz w:val="24"/>
          <w:szCs w:val="24"/>
        </w:rPr>
      </w:pPr>
      <w:bookmarkStart w:id="443" w:name="_Toc7073"/>
      <w:bookmarkStart w:id="444" w:name="_Toc29220"/>
      <w:bookmarkStart w:id="445" w:name="_Toc279701262"/>
      <w:bookmarkStart w:id="446" w:name="_Toc259093691"/>
      <w:bookmarkStart w:id="447" w:name="_Toc487900372"/>
      <w:r>
        <w:rPr>
          <w:rFonts w:hint="eastAsia" w:ascii="宋体" w:hAnsi="宋体" w:eastAsia="宋体" w:cs="宋体"/>
          <w:sz w:val="24"/>
          <w:szCs w:val="24"/>
        </w:rPr>
        <w:t>2.16.1 任何一方因履行合同而以合同第一部分尾部所列明的</w:t>
      </w:r>
      <w:r>
        <w:rPr>
          <w:rFonts w:hint="eastAsia" w:ascii="宋体" w:hAnsi="宋体" w:eastAsia="宋体" w:cs="宋体"/>
          <w:sz w:val="24"/>
          <w:szCs w:val="24"/>
          <w:u w:val="single"/>
        </w:rPr>
        <w:t xml:space="preserve">          </w:t>
      </w:r>
      <w:r>
        <w:rPr>
          <w:rFonts w:hint="eastAsia" w:ascii="宋体" w:hAnsi="宋体" w:eastAsia="宋体" w:cs="宋体"/>
          <w:sz w:val="24"/>
          <w:szCs w:val="24"/>
        </w:rPr>
        <w:t>发出的所有通知、文件、材料，均视为已向对方当事人送达；任何一方变更上述送达方式或者地址的，应于</w:t>
      </w:r>
      <w:r>
        <w:rPr>
          <w:rFonts w:hint="eastAsia" w:ascii="宋体" w:hAnsi="宋体" w:eastAsia="宋体" w:cs="宋体"/>
          <w:sz w:val="24"/>
          <w:szCs w:val="24"/>
          <w:u w:val="single"/>
        </w:rPr>
        <w:t xml:space="preserve">   </w:t>
      </w:r>
      <w:r>
        <w:rPr>
          <w:rFonts w:hint="eastAsia" w:ascii="宋体" w:hAnsi="宋体" w:eastAsia="宋体" w:cs="宋体"/>
          <w:sz w:val="24"/>
          <w:szCs w:val="24"/>
        </w:rPr>
        <w:t>个工作日内书面通知对方当事人，在对方当事人收到有关变更通知之前，变更前的约定送达方式或者地址仍视为有效。</w:t>
      </w:r>
      <w:bookmarkEnd w:id="443"/>
      <w:bookmarkEnd w:id="444"/>
    </w:p>
    <w:p>
      <w:pPr>
        <w:spacing w:line="560" w:lineRule="exact"/>
        <w:ind w:firstLine="480" w:firstLineChars="200"/>
        <w:rPr>
          <w:rFonts w:hint="eastAsia" w:ascii="宋体" w:hAnsi="宋体" w:eastAsia="宋体" w:cs="宋体"/>
          <w:sz w:val="24"/>
          <w:szCs w:val="24"/>
        </w:rPr>
      </w:pPr>
      <w:bookmarkStart w:id="448" w:name="_Toc18401"/>
      <w:bookmarkStart w:id="449" w:name="_Toc27674"/>
      <w:r>
        <w:rPr>
          <w:rFonts w:hint="eastAsia" w:ascii="宋体" w:hAnsi="宋体" w:eastAsia="宋体" w:cs="宋体"/>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48"/>
      <w:bookmarkEnd w:id="449"/>
    </w:p>
    <w:bookmarkEnd w:id="445"/>
    <w:bookmarkEnd w:id="446"/>
    <w:bookmarkEnd w:id="447"/>
    <w:p>
      <w:pPr>
        <w:spacing w:line="560" w:lineRule="exact"/>
        <w:ind w:firstLine="482" w:firstLineChars="200"/>
        <w:outlineLvl w:val="0"/>
        <w:rPr>
          <w:rFonts w:hint="eastAsia" w:ascii="宋体" w:hAnsi="宋体" w:eastAsia="宋体" w:cs="宋体"/>
          <w:b/>
          <w:sz w:val="24"/>
          <w:szCs w:val="24"/>
        </w:rPr>
      </w:pPr>
      <w:bookmarkStart w:id="450" w:name="_Toc487900373"/>
      <w:bookmarkStart w:id="451" w:name="_Toc27644"/>
      <w:bookmarkStart w:id="452" w:name="_Toc5063"/>
      <w:bookmarkStart w:id="453" w:name="_Toc20808"/>
      <w:bookmarkStart w:id="454" w:name="_Toc28906"/>
      <w:bookmarkStart w:id="455" w:name="_Toc12254"/>
      <w:bookmarkStart w:id="456" w:name="_Toc259093692"/>
      <w:bookmarkStart w:id="457" w:name="_Toc279701263"/>
      <w:r>
        <w:rPr>
          <w:rFonts w:hint="eastAsia" w:ascii="宋体" w:hAnsi="宋体" w:eastAsia="宋体" w:cs="宋体"/>
          <w:b/>
          <w:sz w:val="24"/>
          <w:szCs w:val="24"/>
        </w:rPr>
        <w:t>2.17 合同使用的文字和适用的法律</w:t>
      </w:r>
      <w:bookmarkEnd w:id="450"/>
      <w:bookmarkEnd w:id="451"/>
      <w:bookmarkEnd w:id="452"/>
      <w:bookmarkEnd w:id="453"/>
      <w:bookmarkEnd w:id="454"/>
      <w:bookmarkEnd w:id="455"/>
      <w:bookmarkEnd w:id="456"/>
      <w:bookmarkEnd w:id="45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2.17.1 合同使用汉语书就、变更和解释；</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2.17.2 合同适用中华人民共和国法律。</w:t>
      </w:r>
    </w:p>
    <w:p>
      <w:pPr>
        <w:spacing w:line="560" w:lineRule="exact"/>
        <w:ind w:firstLine="482" w:firstLineChars="200"/>
        <w:outlineLvl w:val="0"/>
        <w:rPr>
          <w:rFonts w:hint="eastAsia" w:ascii="宋体" w:hAnsi="宋体" w:eastAsia="宋体" w:cs="宋体"/>
          <w:b/>
          <w:sz w:val="24"/>
          <w:szCs w:val="24"/>
        </w:rPr>
      </w:pPr>
      <w:bookmarkStart w:id="458" w:name="_Toc1492"/>
      <w:bookmarkStart w:id="459" w:name="_Toc279701264"/>
      <w:bookmarkStart w:id="460" w:name="_Toc30096"/>
      <w:bookmarkStart w:id="461" w:name="_Toc259093693"/>
      <w:bookmarkStart w:id="462" w:name="_Toc27127"/>
      <w:bookmarkStart w:id="463" w:name="_Toc27403"/>
      <w:bookmarkStart w:id="464" w:name="_Toc487900374"/>
      <w:r>
        <w:rPr>
          <w:rFonts w:hint="eastAsia" w:ascii="宋体" w:hAnsi="宋体" w:eastAsia="宋体" w:cs="宋体"/>
          <w:b/>
          <w:sz w:val="24"/>
          <w:szCs w:val="24"/>
        </w:rPr>
        <w:t>2.18 履约保证金</w:t>
      </w:r>
      <w:bookmarkEnd w:id="458"/>
      <w:bookmarkEnd w:id="459"/>
      <w:bookmarkEnd w:id="460"/>
      <w:bookmarkEnd w:id="461"/>
      <w:bookmarkEnd w:id="462"/>
      <w:bookmarkEnd w:id="463"/>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2.18.1 采购文件要求乙方提交履约保证金的，乙方应按</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约定的方式，以支票、汇票、本票或者金融机构、担保机构出具的保函等非现金形式，提交不超过合同价</w:t>
      </w:r>
      <w:r>
        <w:rPr>
          <w:rFonts w:hint="eastAsia" w:ascii="宋体" w:hAnsi="宋体" w:cs="宋体"/>
          <w:sz w:val="24"/>
          <w:szCs w:val="24"/>
          <w:lang w:val="en-US" w:eastAsia="zh-CN"/>
        </w:rPr>
        <w:t>5</w:t>
      </w:r>
      <w:r>
        <w:rPr>
          <w:rFonts w:hint="eastAsia" w:ascii="宋体" w:hAnsi="宋体" w:eastAsia="宋体" w:cs="宋体"/>
          <w:sz w:val="24"/>
          <w:szCs w:val="24"/>
        </w:rPr>
        <w:t>%的履约保证金；</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2.18.2 履约保证金在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约定期间内不予退还或者应完全有效，前述约定期间届满之日起</w:t>
      </w:r>
      <w:r>
        <w:rPr>
          <w:rFonts w:hint="eastAsia" w:ascii="宋体" w:hAnsi="宋体" w:eastAsia="宋体" w:cs="宋体"/>
          <w:sz w:val="24"/>
          <w:szCs w:val="24"/>
          <w:u w:val="single"/>
        </w:rPr>
        <w:t xml:space="preserve">    </w:t>
      </w:r>
      <w:r>
        <w:rPr>
          <w:rFonts w:hint="eastAsia" w:ascii="宋体" w:hAnsi="宋体" w:eastAsia="宋体" w:cs="宋体"/>
          <w:sz w:val="24"/>
          <w:szCs w:val="24"/>
        </w:rPr>
        <w:t>个工作日内，甲方应将履约保证金退还乙方；</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64"/>
    <w:p>
      <w:pPr>
        <w:spacing w:line="5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2.19 合同份数</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合同份数按</w:t>
      </w:r>
      <w:r>
        <w:rPr>
          <w:rFonts w:hint="eastAsia" w:ascii="宋体" w:hAnsi="宋体" w:eastAsia="宋体" w:cs="宋体"/>
          <w:b/>
          <w:i/>
          <w:sz w:val="24"/>
          <w:szCs w:val="24"/>
          <w:u w:val="single"/>
        </w:rPr>
        <w:t>合同专用条款</w:t>
      </w:r>
      <w:r>
        <w:rPr>
          <w:rFonts w:hint="eastAsia" w:ascii="宋体" w:hAnsi="宋体" w:eastAsia="宋体" w:cs="宋体"/>
          <w:sz w:val="24"/>
          <w:szCs w:val="24"/>
        </w:rPr>
        <w:t>规定，每份均具有同等法律效力。</w:t>
      </w:r>
    </w:p>
    <w:p>
      <w:pPr>
        <w:pStyle w:val="73"/>
        <w:spacing w:line="560" w:lineRule="exact"/>
        <w:ind w:firstLine="0"/>
        <w:jc w:val="center"/>
        <w:rPr>
          <w:rFonts w:hint="eastAsia" w:ascii="宋体" w:hAnsi="宋体" w:eastAsia="宋体" w:cs="宋体"/>
          <w:b/>
          <w:sz w:val="24"/>
          <w:szCs w:val="24"/>
        </w:rPr>
      </w:pPr>
      <w:r>
        <w:rPr>
          <w:rFonts w:hint="eastAsia" w:ascii="宋体" w:hAnsi="宋体" w:eastAsia="宋体" w:cs="宋体"/>
          <w:sz w:val="24"/>
          <w:szCs w:val="24"/>
        </w:rPr>
        <w:br w:type="page"/>
      </w:r>
      <w:bookmarkStart w:id="465" w:name="_Toc331685784"/>
      <w:r>
        <w:rPr>
          <w:rFonts w:hint="eastAsia" w:ascii="宋体" w:hAnsi="宋体" w:eastAsia="宋体" w:cs="宋体"/>
          <w:b/>
          <w:sz w:val="24"/>
          <w:szCs w:val="24"/>
        </w:rPr>
        <w:t>第三部分  合同专用条款</w:t>
      </w:r>
      <w:bookmarkEnd w:id="465"/>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1"/>
        <w:tblpPr w:leftFromText="180" w:rightFromText="180" w:vertAnchor="text" w:horzAnchor="page" w:tblpX="1098" w:tblpY="953"/>
        <w:tblOverlap w:val="never"/>
        <w:tblW w:w="97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3"/>
        <w:gridCol w:w="8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8796" w:type="dxa"/>
            <w:vAlign w:val="center"/>
          </w:tcPr>
          <w:p>
            <w:pPr>
              <w:spacing w:line="560" w:lineRule="exact"/>
              <w:jc w:val="center"/>
              <w:rPr>
                <w:rFonts w:hint="eastAsia" w:ascii="宋体" w:hAnsi="宋体" w:eastAsia="宋体" w:cs="宋体"/>
                <w:b/>
                <w:sz w:val="24"/>
                <w:szCs w:val="24"/>
              </w:rPr>
            </w:pPr>
            <w:r>
              <w:rPr>
                <w:rFonts w:hint="eastAsia" w:ascii="宋体" w:hAnsi="宋体" w:eastAsia="宋体" w:cs="宋体"/>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top w:val="single" w:color="auto" w:sz="6" w:space="0"/>
              <w:left w:val="single" w:color="auto" w:sz="4" w:space="0"/>
              <w:bottom w:val="single" w:color="auto" w:sz="6" w:space="0"/>
              <w:right w:val="single" w:color="auto" w:sz="6" w:space="0"/>
            </w:tcBorders>
            <w:vAlign w:val="center"/>
          </w:tcPr>
          <w:p>
            <w:pPr>
              <w:spacing w:line="560" w:lineRule="exact"/>
              <w:rPr>
                <w:rFonts w:hint="eastAsia" w:ascii="宋体" w:hAnsi="宋体" w:eastAsia="宋体" w:cs="宋体"/>
                <w:sz w:val="24"/>
                <w:szCs w:val="24"/>
              </w:rPr>
            </w:pPr>
          </w:p>
        </w:tc>
        <w:tc>
          <w:tcPr>
            <w:tcW w:w="8796"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9" w:hRule="atLeast"/>
        </w:trPr>
        <w:tc>
          <w:tcPr>
            <w:tcW w:w="923" w:type="dxa"/>
            <w:tcBorders>
              <w:top w:val="single" w:color="auto" w:sz="6" w:space="0"/>
              <w:left w:val="single" w:color="auto" w:sz="4" w:space="0"/>
              <w:bottom w:val="single" w:color="auto" w:sz="6" w:space="0"/>
              <w:right w:val="single" w:color="auto" w:sz="6" w:space="0"/>
            </w:tcBorders>
            <w:vAlign w:val="center"/>
          </w:tcPr>
          <w:p>
            <w:pPr>
              <w:spacing w:line="560" w:lineRule="exact"/>
              <w:rPr>
                <w:rFonts w:hint="eastAsia" w:ascii="宋体" w:hAnsi="宋体" w:eastAsia="宋体" w:cs="宋体"/>
                <w:sz w:val="24"/>
                <w:szCs w:val="24"/>
              </w:rPr>
            </w:pPr>
          </w:p>
        </w:tc>
        <w:tc>
          <w:tcPr>
            <w:tcW w:w="8796"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宋体" w:hAnsi="宋体" w:eastAsia="宋体" w:cs="宋体"/>
                <w:sz w:val="24"/>
                <w:szCs w:val="24"/>
              </w:rPr>
            </w:pPr>
          </w:p>
        </w:tc>
      </w:tr>
    </w:tbl>
    <w:p>
      <w:pPr>
        <w:pStyle w:val="24"/>
        <w:spacing w:line="360" w:lineRule="auto"/>
        <w:rPr>
          <w:rFonts w:hint="eastAsia" w:ascii="仿宋" w:hAnsi="仿宋" w:eastAsia="仿宋" w:cs="仿宋"/>
          <w:b/>
          <w:bCs/>
          <w:color w:val="auto"/>
          <w:sz w:val="24"/>
          <w:szCs w:val="24"/>
          <w:highlight w:val="none"/>
        </w:rPr>
      </w:pPr>
    </w:p>
    <w:p>
      <w:pPr>
        <w:pStyle w:val="24"/>
        <w:spacing w:line="360" w:lineRule="auto"/>
        <w:ind w:firstLine="241" w:firstLineChars="100"/>
        <w:rPr>
          <w:rFonts w:hint="eastAsia" w:ascii="仿宋" w:hAnsi="仿宋" w:eastAsia="仿宋" w:cs="仿宋"/>
          <w:b/>
          <w:bCs/>
          <w:color w:val="auto"/>
          <w:sz w:val="24"/>
          <w:szCs w:val="24"/>
          <w:highlight w:val="none"/>
        </w:rPr>
      </w:pPr>
    </w:p>
    <w:p>
      <w:pPr>
        <w:pStyle w:val="24"/>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未尽事宜，在签订合同时具体约定。</w:t>
      </w:r>
    </w:p>
    <w:p>
      <w:pPr>
        <w:pStyle w:val="24"/>
        <w:spacing w:line="360" w:lineRule="auto"/>
        <w:ind w:firstLine="241" w:firstLineChars="100"/>
        <w:rPr>
          <w:rFonts w:hint="eastAsia" w:ascii="仿宋" w:hAnsi="仿宋" w:eastAsia="仿宋" w:cs="仿宋"/>
          <w:b/>
          <w:bCs/>
          <w:color w:val="auto"/>
          <w:sz w:val="24"/>
          <w:szCs w:val="24"/>
          <w:highlight w:val="none"/>
        </w:rPr>
      </w:pPr>
    </w:p>
    <w:p>
      <w:pPr>
        <w:pStyle w:val="24"/>
        <w:spacing w:line="360" w:lineRule="auto"/>
        <w:ind w:firstLine="241" w:firstLineChars="100"/>
        <w:rPr>
          <w:rFonts w:hint="eastAsia" w:ascii="仿宋" w:hAnsi="仿宋" w:eastAsia="仿宋" w:cs="仿宋"/>
          <w:b/>
          <w:bCs/>
          <w:color w:val="auto"/>
          <w:sz w:val="24"/>
          <w:szCs w:val="24"/>
          <w:highlight w:val="none"/>
        </w:rPr>
      </w:pPr>
    </w:p>
    <w:p>
      <w:pPr>
        <w:pStyle w:val="24"/>
        <w:spacing w:line="360" w:lineRule="auto"/>
        <w:ind w:firstLine="241" w:firstLineChars="100"/>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9"/>
        <w:numPr>
          <w:ilvl w:val="0"/>
          <w:numId w:val="57"/>
        </w:numPr>
        <w:ind w:firstLine="883"/>
        <w:rPr>
          <w:rFonts w:hint="eastAsia" w:ascii="宋体" w:hAnsi="宋体" w:eastAsia="宋体" w:cs="宋体"/>
          <w:b/>
          <w:snapToGrid/>
          <w:kern w:val="2"/>
          <w:sz w:val="24"/>
          <w:szCs w:val="24"/>
          <w:lang w:val="en-US" w:eastAsia="zh-CN" w:bidi="ar-SA"/>
        </w:rPr>
      </w:pPr>
      <w:bookmarkStart w:id="466" w:name="_Toc3845"/>
      <w:r>
        <w:rPr>
          <w:rFonts w:hint="eastAsia" w:ascii="宋体" w:hAnsi="宋体" w:eastAsia="宋体" w:cs="宋体"/>
          <w:b/>
          <w:snapToGrid/>
          <w:kern w:val="2"/>
          <w:sz w:val="24"/>
          <w:szCs w:val="24"/>
          <w:lang w:val="en-US" w:eastAsia="zh-CN" w:bidi="ar-SA"/>
        </w:rPr>
        <w:t>采购需求</w:t>
      </w:r>
      <w:bookmarkEnd w:id="466"/>
    </w:p>
    <w:p>
      <w:pPr>
        <w:rPr>
          <w:rFonts w:hint="default" w:ascii="Times New Roman" w:hAnsi="Times New Roman" w:eastAsia="宋体" w:cs="Times New Roman"/>
          <w:b/>
          <w:bCs w:val="0"/>
          <w:kern w:val="2"/>
          <w:sz w:val="28"/>
          <w:szCs w:val="20"/>
          <w:lang w:val="en-US" w:eastAsia="zh-CN" w:bidi="ar-SA"/>
        </w:rPr>
      </w:pPr>
      <w:r>
        <w:rPr>
          <w:rFonts w:hint="eastAsia" w:ascii="Times New Roman" w:hAnsi="Times New Roman" w:eastAsia="宋体" w:cs="Times New Roman"/>
          <w:b/>
          <w:bCs w:val="0"/>
          <w:kern w:val="2"/>
          <w:sz w:val="28"/>
          <w:szCs w:val="20"/>
          <w:lang w:val="en-US" w:eastAsia="zh-CN" w:bidi="ar-SA"/>
        </w:rPr>
        <w:t>一、采购清单</w:t>
      </w:r>
    </w:p>
    <w:p>
      <w:pPr>
        <w:rPr>
          <w:rFonts w:hint="eastAsia"/>
        </w:rPr>
      </w:pPr>
    </w:p>
    <w:tbl>
      <w:tblPr>
        <w:tblStyle w:val="31"/>
        <w:tblW w:w="84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5"/>
        <w:gridCol w:w="875"/>
        <w:gridCol w:w="1076"/>
        <w:gridCol w:w="1036"/>
        <w:gridCol w:w="3224"/>
        <w:gridCol w:w="837"/>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2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cs="宋体"/>
                <w:b/>
                <w:bCs/>
                <w:i w:val="0"/>
                <w:iCs w:val="0"/>
                <w:color w:val="000000"/>
                <w:kern w:val="0"/>
                <w:sz w:val="21"/>
                <w:szCs w:val="21"/>
                <w:u w:val="none"/>
                <w:lang w:val="en-US" w:eastAsia="zh-CN" w:bidi="ar"/>
              </w:rPr>
              <w:t>采购</w:t>
            </w:r>
            <w:r>
              <w:rPr>
                <w:rFonts w:hint="eastAsia" w:ascii="宋体" w:hAnsi="宋体" w:eastAsia="宋体" w:cs="宋体"/>
                <w:b/>
                <w:bCs/>
                <w:i w:val="0"/>
                <w:iCs w:val="0"/>
                <w:color w:val="000000"/>
                <w:kern w:val="0"/>
                <w:sz w:val="21"/>
                <w:szCs w:val="21"/>
                <w:u w:val="none"/>
                <w:lang w:val="en-US" w:eastAsia="zh-CN" w:bidi="ar"/>
              </w:rPr>
              <w:t>内容</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基层能力提升</w:t>
            </w: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系统功能升级服务</w:t>
            </w:r>
          </w:p>
        </w:tc>
        <w:tc>
          <w:tcPr>
            <w:tcW w:w="10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基层医疗机构管理信息系统功能升级</w:t>
            </w: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升级健康档案信息开放共享服务</w:t>
            </w:r>
          </w:p>
        </w:tc>
        <w:tc>
          <w:tcPr>
            <w:tcW w:w="8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强化服务信息质量管控</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扩展家庭医生签约及服务管理</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扩展公共卫生专项服务管理</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扩建基层医疗卫生机构绩效管理系统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乡村一体化管理系统</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监督和管理体系建设</w:t>
            </w: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医共体人财物综合管理系统（HRP）</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医共体财务综合管理系统</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医共体人事综合管理系统</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医共体物资综合管理系统</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药品耗材管理</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医共体药品、耗材管理统一管理平台</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医共体综合监管平台</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医疗服务监管系统</w:t>
            </w:r>
          </w:p>
        </w:tc>
        <w:tc>
          <w:tcPr>
            <w:tcW w:w="8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基本公卫服务监管系统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家庭医生服务监管系统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综合体检服务监管系统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卫生资源分析系统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药品使用监管系统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绩效考核</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医共体绩效</w:t>
            </w:r>
            <w:r>
              <w:rPr>
                <w:rFonts w:hint="eastAsia" w:ascii="宋体" w:hAnsi="宋体" w:cs="宋体"/>
                <w:i w:val="0"/>
                <w:iCs w:val="0"/>
                <w:color w:val="000000"/>
                <w:kern w:val="0"/>
                <w:sz w:val="21"/>
                <w:szCs w:val="21"/>
                <w:u w:val="none"/>
                <w:lang w:val="en-US" w:eastAsia="zh-CN" w:bidi="ar"/>
              </w:rPr>
              <w:t>监测平台</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综合展示大屏</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医共体运行监测大屏展示系统软件</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highlight w:val="none"/>
                <w:u w:val="none"/>
                <w:lang w:val="en-US" w:eastAsia="zh-CN" w:bidi="ar"/>
              </w:rPr>
              <w:t>约2.5M*4.9M综合展示大屏硬件（尺寸根据场地调整，面积约12平米大小）</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业务协同共享平台</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通用基础数据共享交换服务</w:t>
            </w:r>
          </w:p>
        </w:tc>
        <w:tc>
          <w:tcPr>
            <w:tcW w:w="8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统一业务共享协同服务</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区域业务及数据协同接口服务开发</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与国家医共体绩效监测评价平台数据互通</w:t>
            </w:r>
          </w:p>
        </w:tc>
        <w:tc>
          <w:tcPr>
            <w:tcW w:w="8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与自治区电子健卡平台实现数据共享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与自治区全民健康信息平台对接实现数据上传及回流</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与自治区健康体检数据中心实现数据共享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与自治区乡村医生管理系统实施数据共享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与自治区基层机构管理系统实现数据共享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与自治区基层机构动态管理系统共享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数据备份</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容灾备份一体机</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bl>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二、</w:t>
      </w:r>
      <w:bookmarkStart w:id="467" w:name="_Toc10572"/>
      <w:r>
        <w:rPr>
          <w:rFonts w:hint="eastAsia" w:ascii="Times New Roman" w:hAnsi="Times New Roman" w:eastAsia="宋体" w:cs="Times New Roman"/>
          <w:b/>
          <w:kern w:val="2"/>
          <w:sz w:val="28"/>
          <w:lang w:val="en-US" w:eastAsia="zh-CN" w:bidi="ar-SA"/>
        </w:rPr>
        <w:t>功能要求</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2.1基层能力提升</w:t>
      </w:r>
    </w:p>
    <w:p>
      <w:pPr>
        <w:pageBreakBefore w:val="0"/>
        <w:widowControl w:val="0"/>
        <w:wordWrap/>
        <w:topLinePunct w:val="0"/>
        <w:autoSpaceDE/>
        <w:autoSpaceDN/>
        <w:bidi w:val="0"/>
        <w:spacing w:line="240" w:lineRule="auto"/>
        <w:textAlignment w:val="auto"/>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2.1.1系统功能升级服务</w:t>
      </w:r>
    </w:p>
    <w:p>
      <w:pPr>
        <w:pageBreakBefore w:val="0"/>
        <w:widowControl w:val="0"/>
        <w:wordWrap/>
        <w:topLinePunct w:val="0"/>
        <w:autoSpaceDE/>
        <w:autoSpaceDN/>
        <w:bidi w:val="0"/>
        <w:spacing w:line="240" w:lineRule="auto"/>
        <w:textAlignment w:val="auto"/>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2.1.1.1</w:t>
      </w:r>
      <w:r>
        <w:rPr>
          <w:rFonts w:hint="default" w:ascii="Times New Roman" w:hAnsi="Times New Roman" w:eastAsia="宋体" w:cs="Times New Roman"/>
          <w:b/>
          <w:kern w:val="2"/>
          <w:sz w:val="28"/>
          <w:lang w:val="en-US" w:eastAsia="zh-CN" w:bidi="ar-SA"/>
        </w:rPr>
        <w:t>升级健康档案信息开放共享服务</w:t>
      </w:r>
      <w:r>
        <w:rPr>
          <w:rFonts w:hint="default" w:ascii="Times New Roman" w:hAnsi="Times New Roman" w:eastAsia="宋体" w:cs="Times New Roman"/>
          <w:b/>
          <w:kern w:val="2"/>
          <w:sz w:val="28"/>
          <w:lang w:val="en-US" w:eastAsia="zh-CN" w:bidi="ar-SA"/>
        </w:rPr>
        <w:tab/>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升级健康档案信息开放共享服务，体现了从个人“被动健康管理”向“个人主动参与健康管理”，从追求“数量型健康率”向“质量型健康率”的政策转型；同时也切实发挥了电子健康档案在健康管理中的基础支撑和便民服务作用。落实深化医疗卫生领域 “最多跑一次”改革，促进电子健康档案提质增效，调动居民参与自我健康管理积极性，构建电子健康档案开放共享的便民惠民服务新格局，提升居民服务获得感和满意度。</w:t>
      </w:r>
    </w:p>
    <w:p>
      <w:pPr>
        <w:pStyle w:val="27"/>
        <w:ind w:firstLine="482" w:firstLineChars="200"/>
        <w:rPr>
          <w:rFonts w:hint="default"/>
          <w:b/>
          <w:bCs/>
          <w:lang w:val="en-US" w:eastAsia="zh-CN"/>
        </w:rPr>
      </w:pPr>
      <w:r>
        <w:rPr>
          <w:rFonts w:hint="eastAsia" w:ascii="宋体" w:hAnsi="宋体" w:eastAsia="宋体" w:cs="宋体"/>
          <w:b/>
          <w:bCs/>
          <w:sz w:val="24"/>
          <w:szCs w:val="24"/>
          <w:lang w:val="en-US" w:eastAsia="zh-CN"/>
        </w:rPr>
        <w:t>要求投标人按要求提供</w:t>
      </w:r>
      <w:r>
        <w:rPr>
          <w:rFonts w:hint="eastAsia" w:ascii="宋体" w:hAnsi="宋体" w:eastAsia="宋体" w:cs="宋体"/>
          <w:b/>
          <w:bCs/>
          <w:sz w:val="24"/>
          <w:szCs w:val="24"/>
          <w:highlight w:val="none"/>
          <w:lang w:val="en-US" w:eastAsia="zh-CN"/>
        </w:rPr>
        <w:t>详细建设方案及相应的佐证材料，包括不限于系统截图、操作手册等。</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468" w:name="_Toc22044"/>
      <w:r>
        <w:rPr>
          <w:rFonts w:hint="eastAsia" w:ascii="Times New Roman" w:hAnsi="Times New Roman" w:eastAsia="宋体" w:cs="Times New Roman"/>
          <w:b/>
          <w:kern w:val="2"/>
          <w:sz w:val="28"/>
          <w:lang w:val="en-US" w:eastAsia="zh-CN" w:bidi="ar-SA"/>
        </w:rPr>
        <w:t>2.1.1.1.1医生PC端</w:t>
      </w:r>
      <w:bookmarkEnd w:id="468"/>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机构责任范围：主要是管理医生管辖的区划责任范围。</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责任医生：查看当前机构下的责任医生信息。</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首页：用于为医生提供统一的工作看板。</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档案开放管理：用于为医生提供统一的档案开放管理操作。</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申请任务：用于为医生提供所有居民申请任务的管理。</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档案开放统计：用于为医生提供老高糖妇幼档案开放情况统计。</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我的消息：用于为医生提供自身消息的记录列表。</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评价管理：用于为医生提供查看居民的满意度的记录统计。</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469" w:name="_Toc3223"/>
      <w:r>
        <w:rPr>
          <w:rFonts w:hint="eastAsia" w:ascii="Times New Roman" w:hAnsi="Times New Roman" w:eastAsia="宋体" w:cs="Times New Roman"/>
          <w:b/>
          <w:kern w:val="2"/>
          <w:sz w:val="28"/>
          <w:lang w:val="en-US" w:eastAsia="zh-CN" w:bidi="ar-SA"/>
        </w:rPr>
        <w:t>2.1.1.1.2居民端（PC端） </w:t>
      </w:r>
      <w:bookmarkEnd w:id="469"/>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首页：用于提供统一居民的档案概览。</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基本档案：用于提供统一居民的档案的详情并提供纠错功能。</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公卫服务：用于提供统一居民的健康档案的服务记录。</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医疗服务：用于提供统一居民的临床诊疗的服务记录，如诊疗记录、检查记录、检验记录、手术记录及用药记录等信息。</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居民生命周期：用于提供统一居民的全生命周期服务关键节点的呈现。</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健康档案画像：用于提供统一居民的健康画像的呈现。</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个人中心：用于提供统一居民的个人相关信息的操作维护，如申请反馈、档案调阅记录、授权管理及档案查询密码等。</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我的消息：用于提供统一居民的个人消息查看以及维护操作。</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470" w:name="_Toc65"/>
      <w:r>
        <w:rPr>
          <w:rFonts w:hint="eastAsia" w:ascii="Times New Roman" w:hAnsi="Times New Roman" w:eastAsia="宋体" w:cs="Times New Roman"/>
          <w:b/>
          <w:kern w:val="2"/>
          <w:sz w:val="28"/>
          <w:lang w:val="en-US" w:eastAsia="zh-CN" w:bidi="ar-SA"/>
        </w:rPr>
        <w:t>2.1.1.1.3居民移动端</w:t>
      </w:r>
      <w:bookmarkEnd w:id="470"/>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首页：用于查询自身健康档案相关信息。</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个人基本档案：展示健康档案概览、个人基本信息、我的签约医生等信息。</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个人中心：包括申请反馈、档案调阅、我的评价、新增评价及服务协议等。</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健康体检：用于查询自身健康体检服务记录，支持按时间进行排序的选择。</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健康随访：支持查询自身的健康随访记录情况</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健康服务记录：支持下次门急诊记录、检查报告记录、健康体检、住院记录等相关数据。</w:t>
      </w:r>
    </w:p>
    <w:p>
      <w:pPr>
        <w:pageBreakBefore w:val="0"/>
        <w:widowControl w:val="0"/>
        <w:wordWrap/>
        <w:topLinePunct w:val="0"/>
        <w:autoSpaceDE/>
        <w:autoSpaceDN/>
        <w:bidi w:val="0"/>
        <w:spacing w:line="240" w:lineRule="auto"/>
        <w:textAlignment w:val="auto"/>
        <w:rPr>
          <w:rFonts w:hint="default" w:ascii="Times New Roman" w:hAnsi="Times New Roman" w:eastAsia="宋体" w:cs="Times New Roman"/>
          <w:b/>
          <w:kern w:val="2"/>
          <w:sz w:val="28"/>
          <w:lang w:val="en-US" w:eastAsia="zh-CN" w:bidi="ar-SA"/>
        </w:rPr>
      </w:pPr>
      <w:r>
        <w:rPr>
          <w:rFonts w:hint="default" w:ascii="Times New Roman" w:hAnsi="Times New Roman" w:eastAsia="宋体" w:cs="Times New Roman"/>
          <w:b/>
          <w:kern w:val="2"/>
          <w:sz w:val="28"/>
          <w:lang w:val="en-US" w:eastAsia="zh-CN" w:bidi="ar-SA"/>
        </w:rPr>
        <w:t>2.1.1.2.强化服务信息质量管控</w:t>
      </w:r>
      <w:r>
        <w:rPr>
          <w:rFonts w:hint="default" w:ascii="Times New Roman" w:hAnsi="Times New Roman" w:eastAsia="宋体" w:cs="Times New Roman"/>
          <w:b/>
          <w:kern w:val="2"/>
          <w:sz w:val="28"/>
          <w:lang w:val="en-US" w:eastAsia="zh-CN" w:bidi="ar-SA"/>
        </w:rPr>
        <w:tab/>
      </w:r>
    </w:p>
    <w:p>
      <w:pPr>
        <w:pStyle w:val="80"/>
        <w:ind w:firstLine="480"/>
        <w:rPr>
          <w:rFonts w:ascii="宋体" w:hAnsi="宋体" w:eastAsia="宋体"/>
        </w:rPr>
      </w:pPr>
      <w:r>
        <w:rPr>
          <w:rFonts w:hint="eastAsia" w:ascii="宋体" w:hAnsi="宋体" w:eastAsia="宋体"/>
        </w:rPr>
        <w:t>随着国家基本公共卫生服务工作、家庭医生签约服务工作的持续推进，服务方式也逐渐从重视服务量向提升服务质量、服务效果倾斜。在各级公共卫生监管部门，对公共卫生服务、家庭医生签约服务的监管也偏向于服务真实性、满意度等方面。但是实际工作过程中，一方面，服务的真实性一直是比较难以监管的地方，投入大但收效不大。另一方面，公共卫生服务经费一直无法完全按照机构的实际工作量进行拨付，只能按照机构辖区的人口数进行拨付，对公共卫生服务的促进作用比较有限。</w:t>
      </w:r>
    </w:p>
    <w:p>
      <w:pPr>
        <w:ind w:firstLine="422" w:firstLineChars="200"/>
        <w:rPr>
          <w:rFonts w:hint="default"/>
          <w:b/>
          <w:bCs/>
          <w:lang w:val="en-US" w:eastAsia="zh-CN"/>
        </w:rPr>
      </w:pPr>
      <w:r>
        <w:rPr>
          <w:rFonts w:hint="eastAsia"/>
          <w:b/>
          <w:bCs/>
          <w:lang w:val="en-US" w:eastAsia="zh-CN"/>
        </w:rPr>
        <w:t>因此需要投标人提供建设方案，说明如何对现有卫生服务信息进行质量管控。</w:t>
      </w:r>
    </w:p>
    <w:p>
      <w:pPr>
        <w:pStyle w:val="7"/>
        <w:bidi w:val="0"/>
        <w:ind w:left="720" w:hanging="720"/>
        <w:rPr>
          <w:rFonts w:hint="default" w:ascii="Times New Roman" w:hAnsi="Times New Roman" w:eastAsia="宋体" w:cs="Times New Roman"/>
          <w:b/>
          <w:kern w:val="2"/>
          <w:sz w:val="28"/>
          <w:lang w:val="en-US" w:eastAsia="zh-CN" w:bidi="ar-SA"/>
        </w:rPr>
      </w:pPr>
      <w:r>
        <w:rPr>
          <w:rFonts w:hint="default" w:ascii="Times New Roman" w:hAnsi="Times New Roman" w:eastAsia="宋体" w:cs="Times New Roman"/>
          <w:b/>
          <w:kern w:val="2"/>
          <w:sz w:val="28"/>
          <w:lang w:val="en-US" w:eastAsia="zh-CN" w:bidi="ar-SA"/>
        </w:rPr>
        <w:t>2.1.1.3.扩展家庭医生签约及服务管理</w:t>
      </w:r>
      <w:r>
        <w:rPr>
          <w:rFonts w:hint="default" w:ascii="Times New Roman" w:hAnsi="Times New Roman" w:eastAsia="宋体" w:cs="Times New Roman"/>
          <w:b/>
          <w:kern w:val="2"/>
          <w:sz w:val="28"/>
          <w:lang w:val="en-US" w:eastAsia="zh-CN" w:bidi="ar-SA"/>
        </w:rPr>
        <w:tab/>
      </w:r>
    </w:p>
    <w:p>
      <w:pPr>
        <w:pStyle w:val="80"/>
        <w:ind w:firstLine="480"/>
        <w:rPr>
          <w:rFonts w:hint="default" w:ascii="宋体" w:hAnsi="宋体" w:eastAsia="宋体" w:cs="Times New Roman"/>
          <w:lang w:val="en-US" w:eastAsia="zh-CN"/>
        </w:rPr>
      </w:pPr>
      <w:r>
        <w:rPr>
          <w:rFonts w:hint="eastAsia" w:ascii="宋体" w:hAnsi="宋体" w:eastAsia="宋体" w:cs="Times New Roman"/>
          <w:lang w:val="en-US" w:eastAsia="zh-CN"/>
        </w:rPr>
        <w:t>要求投标人结合最新政策及现有信息化现状，对家庭医生签约服务服务管理进行升级扩展，进而满足用户需求。</w:t>
      </w:r>
    </w:p>
    <w:p>
      <w:pPr>
        <w:pStyle w:val="7"/>
        <w:bidi w:val="0"/>
        <w:ind w:left="720" w:hanging="720"/>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2.1.1.4.</w:t>
      </w:r>
      <w:r>
        <w:rPr>
          <w:rFonts w:hint="default" w:ascii="Times New Roman" w:hAnsi="Times New Roman" w:eastAsia="宋体" w:cs="Times New Roman"/>
          <w:b/>
          <w:kern w:val="2"/>
          <w:sz w:val="28"/>
          <w:lang w:val="en-US" w:eastAsia="zh-CN" w:bidi="ar-SA"/>
        </w:rPr>
        <w:t>扩展公共卫生专项服务管理</w:t>
      </w:r>
    </w:p>
    <w:p>
      <w:pPr>
        <w:pStyle w:val="80"/>
        <w:ind w:firstLine="480"/>
        <w:rPr>
          <w:rFonts w:hint="eastAsia" w:ascii="宋体" w:hAnsi="宋体" w:eastAsia="宋体" w:cs="Times New Roman"/>
          <w:lang w:val="en-US" w:eastAsia="zh-CN"/>
        </w:rPr>
      </w:pPr>
      <w:r>
        <w:rPr>
          <w:rFonts w:hint="eastAsia" w:ascii="宋体" w:hAnsi="宋体" w:eastAsia="宋体" w:cs="Times New Roman"/>
          <w:lang w:val="en-US" w:eastAsia="zh-CN"/>
        </w:rPr>
        <w:t>在遵循《全国基本公共卫生服务规范（第三版）》的前提下，对自治区现有基本公共卫生服务系统进行扩展，补充完善专项服务管理能力，如儿童视力筛查、脑卒中、冠心病等。</w:t>
      </w:r>
    </w:p>
    <w:p>
      <w:pPr>
        <w:pStyle w:val="7"/>
        <w:bidi w:val="0"/>
        <w:ind w:left="720" w:hanging="720"/>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2.1.1.4.1.儿童视力筛查</w:t>
      </w:r>
    </w:p>
    <w:p>
      <w:pPr>
        <w:pStyle w:val="80"/>
        <w:ind w:firstLine="480"/>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在自治区基本公共卫生服务系统的基础上升级完善，切实做好儿童健康管理，通过眼保健宣传教育、视力评估和相关眼病的筛查，早期发现影响儿童视觉发育的眼病，及早矫治或及时转诊，以预防儿童可控制性眼病及近视的发生发展，保护和促进儿童视功能的正常发育。同时结合家庭医生签约服务，依托电子健康档案完善0-6岁儿童视力健康电子档案。</w:t>
      </w:r>
    </w:p>
    <w:p>
      <w:pPr>
        <w:pStyle w:val="80"/>
        <w:ind w:firstLine="480"/>
        <w:rPr>
          <w:rFonts w:ascii="宋体" w:hAnsi="宋体" w:eastAsia="宋体"/>
          <w:b/>
          <w:bCs/>
        </w:rPr>
      </w:pPr>
      <w:r>
        <w:rPr>
          <w:rFonts w:hint="eastAsia" w:ascii="宋体" w:hAnsi="宋体" w:eastAsia="宋体"/>
          <w:b/>
          <w:bCs/>
          <w:lang w:val="en-US" w:eastAsia="zh-CN"/>
        </w:rPr>
        <w:t>要求</w:t>
      </w:r>
      <w:r>
        <w:rPr>
          <w:rFonts w:hint="eastAsia" w:ascii="宋体" w:hAnsi="宋体" w:eastAsia="宋体"/>
          <w:b/>
          <w:bCs/>
        </w:rPr>
        <w:t>提供详细的升级方案及系统截图，保证数据能上传到自治区基层医疗机构管理系统。</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2.1.1.4.2.脑卒中、冠心病等慢病管理</w:t>
      </w:r>
    </w:p>
    <w:p>
      <w:pPr>
        <w:pStyle w:val="80"/>
        <w:ind w:firstLine="480"/>
        <w:rPr>
          <w:rFonts w:ascii="宋体" w:hAnsi="宋体" w:eastAsia="宋体"/>
        </w:rPr>
      </w:pPr>
      <w:r>
        <w:rPr>
          <w:rFonts w:hint="eastAsia" w:ascii="宋体" w:hAnsi="宋体" w:eastAsia="宋体"/>
        </w:rPr>
        <w:t>在自治区基本公共卫生服务系统的基础上升级完善，加强对老年人的健康管理，规范开展老年人健康管理，加强脑卒中和冠心病等慢病管理，定期设立老年人体检日常形式，方便老年人接受健康体检服务，同时针对健康体检结果进行比对分析。</w:t>
      </w:r>
    </w:p>
    <w:p>
      <w:pPr>
        <w:pStyle w:val="80"/>
        <w:ind w:firstLine="480"/>
        <w:rPr>
          <w:rFonts w:ascii="宋体" w:hAnsi="宋体" w:eastAsia="宋体"/>
          <w:b/>
          <w:bCs/>
        </w:rPr>
      </w:pPr>
      <w:r>
        <w:rPr>
          <w:rFonts w:hint="eastAsia" w:ascii="宋体" w:hAnsi="宋体" w:eastAsia="宋体"/>
          <w:b/>
          <w:bCs/>
          <w:lang w:val="en-US" w:eastAsia="zh-CN"/>
        </w:rPr>
        <w:t>要求</w:t>
      </w:r>
      <w:r>
        <w:rPr>
          <w:rFonts w:hint="eastAsia" w:ascii="宋体" w:hAnsi="宋体" w:eastAsia="宋体"/>
          <w:b/>
          <w:bCs/>
        </w:rPr>
        <w:t>提供详细的升级方案及系统截图，保证数据能上传到自治区基层医疗机构管理系统。</w:t>
      </w:r>
    </w:p>
    <w:p>
      <w:pPr>
        <w:pStyle w:val="7"/>
        <w:bidi w:val="0"/>
        <w:ind w:left="720" w:hanging="720"/>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2.1.1.5.</w:t>
      </w:r>
      <w:r>
        <w:rPr>
          <w:rFonts w:hint="default" w:ascii="Times New Roman" w:hAnsi="Times New Roman" w:eastAsia="宋体" w:cs="Times New Roman"/>
          <w:b/>
          <w:kern w:val="2"/>
          <w:sz w:val="28"/>
          <w:lang w:val="en-US" w:eastAsia="zh-CN" w:bidi="ar-SA"/>
        </w:rPr>
        <w:t>扩建基层医疗卫生机构绩效管理系统</w:t>
      </w:r>
    </w:p>
    <w:p>
      <w:pPr>
        <w:ind w:firstLine="480"/>
        <w:rPr>
          <w:rFonts w:hint="eastAsia"/>
        </w:rPr>
      </w:pPr>
      <w:r>
        <w:rPr>
          <w:rFonts w:hint="eastAsia"/>
        </w:rPr>
        <w:t>建立健全基层医疗卫生机构绩效考核机制，推动基层医疗卫生机构持续提升服务能力和改进服务质量，努力为人民群众提供安全、有效、方便、经济的医疗卫生服务。同时，进一步发挥绩效考核导向作用，引导医疗卫生资源下沉基层，推进分级诊疗制度建设。</w:t>
      </w:r>
    </w:p>
    <w:p>
      <w:pPr>
        <w:pStyle w:val="15"/>
        <w:ind w:firstLine="422" w:firstLineChars="200"/>
        <w:rPr>
          <w:rFonts w:hint="default" w:eastAsia="宋体"/>
          <w:lang w:val="en-US" w:eastAsia="zh-CN"/>
        </w:rPr>
      </w:pPr>
      <w:r>
        <w:rPr>
          <w:rFonts w:hint="eastAsia"/>
          <w:b/>
          <w:bCs/>
          <w:lang w:val="en-US" w:eastAsia="zh-CN"/>
        </w:rPr>
        <w:t>要求投标人根据标书要求提供详细建设方案，包括不限于系统截图、操作手册等佐证材料。</w:t>
      </w:r>
    </w:p>
    <w:p>
      <w:pPr>
        <w:pStyle w:val="7"/>
        <w:bidi w:val="0"/>
        <w:ind w:left="720" w:hanging="720"/>
        <w:rPr>
          <w:rFonts w:hint="eastAsia" w:ascii="Times New Roman" w:hAnsi="Times New Roman" w:eastAsia="宋体" w:cs="Times New Roman"/>
          <w:b/>
          <w:kern w:val="2"/>
          <w:sz w:val="28"/>
          <w:lang w:val="en-US" w:eastAsia="zh-CN" w:bidi="ar-SA"/>
        </w:rPr>
      </w:pPr>
      <w:bookmarkStart w:id="471" w:name="_Toc66886038"/>
      <w:r>
        <w:rPr>
          <w:rFonts w:hint="eastAsia" w:ascii="Times New Roman" w:hAnsi="Times New Roman" w:eastAsia="宋体" w:cs="Times New Roman"/>
          <w:b/>
          <w:kern w:val="2"/>
          <w:sz w:val="28"/>
          <w:lang w:val="en-US" w:eastAsia="zh-CN" w:bidi="ar-SA"/>
        </w:rPr>
        <w:t>2.1.1.5.1.数据维护</w:t>
      </w:r>
      <w:bookmarkEnd w:id="471"/>
    </w:p>
    <w:p>
      <w:pPr>
        <w:bidi w:val="0"/>
        <w:ind w:firstLine="420" w:firstLineChars="200"/>
        <w:rPr>
          <w:rFonts w:hint="eastAsia" w:ascii="Times New Roman" w:hAnsi="Times New Roman" w:eastAsia="宋体" w:cs="Times New Roman"/>
        </w:rPr>
      </w:pPr>
      <w:r>
        <w:rPr>
          <w:rFonts w:hint="eastAsia" w:ascii="Times New Roman" w:hAnsi="Times New Roman" w:eastAsia="宋体" w:cs="Times New Roman"/>
        </w:rPr>
        <w:t>主要是对人员信息和机构信息的管理，人员信息管理包括账号信息及对应基本资料管理、机构管理包括对辖区机构信息审核与机构校核进度查询、消息管理为查看上级机构发送的消息。</w:t>
      </w:r>
    </w:p>
    <w:p>
      <w:pPr>
        <w:pStyle w:val="7"/>
        <w:bidi w:val="0"/>
        <w:ind w:left="720" w:hanging="720"/>
        <w:rPr>
          <w:rFonts w:hint="eastAsia" w:ascii="Times New Roman" w:hAnsi="Times New Roman" w:eastAsia="宋体" w:cs="Times New Roman"/>
          <w:b/>
          <w:kern w:val="2"/>
          <w:sz w:val="28"/>
          <w:lang w:val="en-US" w:eastAsia="zh-CN" w:bidi="ar-SA"/>
        </w:rPr>
      </w:pPr>
      <w:bookmarkStart w:id="472" w:name="_Toc66886039"/>
      <w:r>
        <w:rPr>
          <w:rFonts w:hint="eastAsia" w:ascii="Times New Roman" w:hAnsi="Times New Roman" w:eastAsia="宋体" w:cs="Times New Roman"/>
          <w:b/>
          <w:kern w:val="2"/>
          <w:sz w:val="28"/>
          <w:lang w:val="en-US" w:eastAsia="zh-CN" w:bidi="ar-SA"/>
        </w:rPr>
        <w:t>2.1.1.5.2.基础数据填报</w:t>
      </w:r>
      <w:bookmarkEnd w:id="472"/>
    </w:p>
    <w:p>
      <w:pPr>
        <w:bidi w:val="0"/>
        <w:rPr>
          <w:rFonts w:hint="eastAsia" w:ascii="Times New Roman" w:hAnsi="Times New Roman" w:eastAsia="宋体" w:cs="Times New Roman"/>
        </w:rPr>
      </w:pPr>
      <w:r>
        <w:rPr>
          <w:rFonts w:hint="eastAsia" w:ascii="Times New Roman" w:hAnsi="Times New Roman" w:eastAsia="宋体" w:cs="Times New Roman"/>
        </w:rPr>
        <w:t>信息填报分为数据填报、佐证资料、针对指标的意见建议、数据审核、填报进度查询等子模块。</w:t>
      </w:r>
    </w:p>
    <w:p>
      <w:pPr>
        <w:pStyle w:val="7"/>
        <w:bidi w:val="0"/>
        <w:ind w:left="720" w:hanging="720"/>
        <w:rPr>
          <w:rFonts w:hint="eastAsia" w:ascii="Times New Roman" w:hAnsi="Times New Roman" w:eastAsia="宋体" w:cs="Times New Roman"/>
          <w:b/>
          <w:kern w:val="2"/>
          <w:sz w:val="28"/>
          <w:lang w:val="en-US" w:eastAsia="zh-CN" w:bidi="ar-SA"/>
        </w:rPr>
      </w:pPr>
      <w:bookmarkStart w:id="473" w:name="_Toc66886040"/>
      <w:r>
        <w:rPr>
          <w:rFonts w:hint="eastAsia" w:ascii="Times New Roman" w:hAnsi="Times New Roman" w:eastAsia="宋体" w:cs="Times New Roman"/>
          <w:b/>
          <w:kern w:val="2"/>
          <w:sz w:val="28"/>
          <w:lang w:val="en-US" w:eastAsia="zh-CN" w:bidi="ar-SA"/>
        </w:rPr>
        <w:t>2.1.1.5.3.考核方案制定</w:t>
      </w:r>
      <w:bookmarkEnd w:id="473"/>
    </w:p>
    <w:p>
      <w:pPr>
        <w:bidi w:val="0"/>
        <w:rPr>
          <w:rFonts w:hint="eastAsia" w:ascii="Times New Roman" w:hAnsi="Times New Roman" w:eastAsia="宋体" w:cs="Times New Roman"/>
        </w:rPr>
      </w:pPr>
      <w:r>
        <w:rPr>
          <w:rFonts w:hint="eastAsia" w:ascii="Times New Roman" w:hAnsi="Times New Roman" w:eastAsia="宋体" w:cs="Times New Roman"/>
        </w:rPr>
        <w:t>提供方案名称、单价设置及考核周期对方案进行制定，通过对具体方案的各项分类名称进行设置实现方案的定制化管理。同时，通过选取表单模板，设定方案需要考核的指标和被考核机构。</w:t>
      </w:r>
    </w:p>
    <w:p>
      <w:pPr>
        <w:pStyle w:val="7"/>
        <w:bidi w:val="0"/>
        <w:ind w:left="720" w:hanging="720"/>
        <w:rPr>
          <w:rFonts w:hint="eastAsia" w:ascii="Times New Roman" w:hAnsi="Times New Roman" w:eastAsia="宋体" w:cs="Times New Roman"/>
          <w:b/>
          <w:kern w:val="2"/>
          <w:sz w:val="28"/>
          <w:lang w:val="en-US" w:eastAsia="zh-CN" w:bidi="ar-SA"/>
        </w:rPr>
      </w:pPr>
      <w:bookmarkStart w:id="474" w:name="_Toc66886041"/>
      <w:r>
        <w:rPr>
          <w:rFonts w:hint="eastAsia" w:ascii="Times New Roman" w:hAnsi="Times New Roman" w:eastAsia="宋体" w:cs="Times New Roman"/>
          <w:b/>
          <w:kern w:val="2"/>
          <w:sz w:val="28"/>
          <w:lang w:val="en-US" w:eastAsia="zh-CN" w:bidi="ar-SA"/>
        </w:rPr>
        <w:t>2.1.1.5.4.机构自评</w:t>
      </w:r>
      <w:bookmarkEnd w:id="474"/>
    </w:p>
    <w:p>
      <w:pPr>
        <w:bidi w:val="0"/>
        <w:rPr>
          <w:rFonts w:hint="eastAsia" w:ascii="Times New Roman" w:hAnsi="Times New Roman" w:eastAsia="宋体" w:cs="Times New Roman"/>
        </w:rPr>
      </w:pPr>
      <w:r>
        <w:rPr>
          <w:rFonts w:hint="eastAsia" w:ascii="Times New Roman" w:hAnsi="Times New Roman" w:eastAsia="宋体" w:cs="Times New Roman"/>
        </w:rPr>
        <w:t>数据采集</w:t>
      </w:r>
      <w:r>
        <w:rPr>
          <w:rFonts w:hint="eastAsia" w:ascii="Times New Roman" w:hAnsi="Times New Roman" w:eastAsia="宋体" w:cs="Times New Roman"/>
          <w:lang w:eastAsia="zh-CN"/>
        </w:rPr>
        <w:t>：</w:t>
      </w:r>
      <w:r>
        <w:rPr>
          <w:rFonts w:hint="eastAsia" w:ascii="Times New Roman" w:hAnsi="Times New Roman" w:eastAsia="宋体" w:cs="Times New Roman"/>
        </w:rPr>
        <w:t>系统支持与第三方系统对接，完成数据的自动采集，对于无法系统采集的考核指标，由科室或个人进行手工填报，在填报时可根据要求同步上传 指标对应的凭据等相关资料，凭据的形式可以是文字、图表、图片、影像、声音等内容中的一项或多项。</w:t>
      </w:r>
    </w:p>
    <w:p>
      <w:pPr>
        <w:bidi w:val="0"/>
        <w:rPr>
          <w:rFonts w:hint="default" w:ascii="Times New Roman" w:hAnsi="Times New Roman" w:eastAsia="宋体" w:cs="Times New Roman"/>
          <w:lang w:val="en-US"/>
        </w:rPr>
      </w:pPr>
      <w:r>
        <w:rPr>
          <w:rFonts w:hint="eastAsia" w:ascii="Times New Roman" w:hAnsi="Times New Roman" w:eastAsia="宋体" w:cs="Times New Roman"/>
        </w:rPr>
        <w:t>自我评估</w:t>
      </w:r>
      <w:r>
        <w:rPr>
          <w:rFonts w:hint="eastAsia" w:ascii="Times New Roman" w:hAnsi="Times New Roman" w:eastAsia="宋体" w:cs="Times New Roman"/>
          <w:lang w:eastAsia="zh-CN"/>
        </w:rPr>
        <w:t>：</w:t>
      </w:r>
      <w:r>
        <w:rPr>
          <w:rFonts w:hint="eastAsia" w:ascii="Times New Roman" w:hAnsi="Times New Roman" w:eastAsia="宋体" w:cs="Times New Roman"/>
        </w:rPr>
        <w:t>被考核机构按照管理部门要求对所要自评的任务进行自评</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支持附件的上传功能。</w:t>
      </w:r>
    </w:p>
    <w:p>
      <w:pPr>
        <w:pStyle w:val="7"/>
        <w:bidi w:val="0"/>
        <w:ind w:left="720" w:hanging="720"/>
        <w:rPr>
          <w:rFonts w:hint="eastAsia" w:ascii="Times New Roman" w:hAnsi="Times New Roman" w:eastAsia="宋体" w:cs="Times New Roman"/>
          <w:b/>
          <w:kern w:val="2"/>
          <w:sz w:val="28"/>
          <w:lang w:val="en-US" w:eastAsia="zh-CN" w:bidi="ar-SA"/>
        </w:rPr>
      </w:pPr>
      <w:bookmarkStart w:id="475" w:name="_Toc66886042"/>
      <w:r>
        <w:rPr>
          <w:rFonts w:hint="eastAsia" w:ascii="Times New Roman" w:hAnsi="Times New Roman" w:eastAsia="宋体" w:cs="Times New Roman"/>
          <w:b/>
          <w:kern w:val="2"/>
          <w:sz w:val="28"/>
          <w:lang w:val="en-US" w:eastAsia="zh-CN" w:bidi="ar-SA"/>
        </w:rPr>
        <w:t>2.1.1.5.5.方案管理</w:t>
      </w:r>
      <w:bookmarkEnd w:id="475"/>
    </w:p>
    <w:p>
      <w:pPr>
        <w:bidi w:val="0"/>
        <w:rPr>
          <w:rFonts w:hint="eastAsia" w:ascii="Times New Roman" w:hAnsi="Times New Roman" w:eastAsia="宋体" w:cs="Times New Roman"/>
        </w:rPr>
      </w:pPr>
      <w:r>
        <w:rPr>
          <w:rFonts w:hint="eastAsia" w:ascii="Times New Roman" w:hAnsi="Times New Roman" w:eastAsia="宋体" w:cs="Times New Roman"/>
        </w:rPr>
        <w:t>指标管理</w:t>
      </w:r>
      <w:r>
        <w:rPr>
          <w:rFonts w:hint="eastAsia" w:ascii="Times New Roman" w:hAnsi="Times New Roman" w:eastAsia="宋体" w:cs="Times New Roman"/>
          <w:lang w:eastAsia="zh-CN"/>
        </w:rPr>
        <w:t>：</w:t>
      </w:r>
      <w:r>
        <w:rPr>
          <w:rFonts w:hint="eastAsia" w:ascii="Times New Roman" w:hAnsi="Times New Roman" w:eastAsia="宋体" w:cs="Times New Roman"/>
        </w:rPr>
        <w:t>指标目录管理为对绩效考核体系的管理。具有新增、发布、维护等功能。除了上级确定的考核指标外，还可以自定义考核指标。</w:t>
      </w:r>
    </w:p>
    <w:p>
      <w:pPr>
        <w:bidi w:val="0"/>
        <w:rPr>
          <w:rFonts w:hint="eastAsia" w:ascii="Times New Roman" w:hAnsi="Times New Roman" w:eastAsia="宋体" w:cs="Times New Roman"/>
        </w:rPr>
      </w:pPr>
      <w:r>
        <w:rPr>
          <w:rFonts w:hint="eastAsia" w:ascii="Times New Roman" w:hAnsi="Times New Roman" w:eastAsia="宋体" w:cs="Times New Roman"/>
        </w:rPr>
        <w:t>方案配置</w:t>
      </w:r>
      <w:r>
        <w:rPr>
          <w:rFonts w:hint="eastAsia" w:ascii="Times New Roman" w:hAnsi="Times New Roman" w:eastAsia="宋体" w:cs="Times New Roman"/>
          <w:lang w:eastAsia="zh-CN"/>
        </w:rPr>
        <w:t>：</w:t>
      </w:r>
      <w:r>
        <w:rPr>
          <w:rFonts w:hint="eastAsia" w:ascii="Times New Roman" w:hAnsi="Times New Roman" w:eastAsia="宋体" w:cs="Times New Roman"/>
        </w:rPr>
        <w:t>绩效考核管理机构进行绩效考核方案的配置和方案指标的设置。允许设置指标类型即不同的考核方式。</w:t>
      </w:r>
    </w:p>
    <w:p>
      <w:pPr>
        <w:pStyle w:val="7"/>
        <w:bidi w:val="0"/>
        <w:ind w:left="720" w:hanging="720"/>
        <w:rPr>
          <w:rFonts w:hint="eastAsia" w:ascii="Times New Roman" w:hAnsi="Times New Roman" w:eastAsia="宋体" w:cs="Times New Roman"/>
          <w:b/>
          <w:kern w:val="2"/>
          <w:sz w:val="28"/>
          <w:lang w:val="en-US" w:eastAsia="zh-CN" w:bidi="ar-SA"/>
        </w:rPr>
      </w:pPr>
      <w:bookmarkStart w:id="476" w:name="_Toc66886043"/>
      <w:r>
        <w:rPr>
          <w:rFonts w:hint="eastAsia" w:ascii="Times New Roman" w:hAnsi="Times New Roman" w:eastAsia="宋体" w:cs="Times New Roman"/>
          <w:b/>
          <w:kern w:val="2"/>
          <w:sz w:val="28"/>
          <w:lang w:val="en-US" w:eastAsia="zh-CN" w:bidi="ar-SA"/>
        </w:rPr>
        <w:t>2.1.1.5.6.考核工作</w:t>
      </w:r>
      <w:bookmarkEnd w:id="476"/>
    </w:p>
    <w:p>
      <w:pPr>
        <w:bidi w:val="0"/>
        <w:rPr>
          <w:rFonts w:hint="eastAsia" w:ascii="Times New Roman" w:hAnsi="Times New Roman" w:eastAsia="宋体" w:cs="Times New Roman"/>
        </w:rPr>
      </w:pPr>
      <w:r>
        <w:rPr>
          <w:rFonts w:hint="eastAsia" w:ascii="Times New Roman" w:hAnsi="Times New Roman" w:eastAsia="宋体" w:cs="Times New Roman"/>
        </w:rPr>
        <w:t>专家管理</w:t>
      </w:r>
      <w:r>
        <w:rPr>
          <w:rFonts w:hint="eastAsia" w:ascii="Times New Roman" w:hAnsi="Times New Roman" w:eastAsia="宋体" w:cs="Times New Roman"/>
          <w:lang w:eastAsia="zh-CN"/>
        </w:rPr>
        <w:t>：</w:t>
      </w:r>
      <w:r>
        <w:rPr>
          <w:rFonts w:hint="eastAsia" w:ascii="Times New Roman" w:hAnsi="Times New Roman" w:eastAsia="宋体" w:cs="Times New Roman"/>
        </w:rPr>
        <w:t>专家管理用于管理绩效考核专家，可以添加、停用和启用绩效考核专家。</w:t>
      </w:r>
    </w:p>
    <w:p>
      <w:pPr>
        <w:bidi w:val="0"/>
        <w:rPr>
          <w:rFonts w:hint="eastAsia" w:ascii="Times New Roman" w:hAnsi="Times New Roman" w:eastAsia="宋体" w:cs="Times New Roman"/>
        </w:rPr>
      </w:pPr>
      <w:r>
        <w:rPr>
          <w:rFonts w:hint="eastAsia" w:ascii="Times New Roman" w:hAnsi="Times New Roman" w:eastAsia="宋体" w:cs="Times New Roman"/>
        </w:rPr>
        <w:t>小组管理</w:t>
      </w:r>
      <w:r>
        <w:rPr>
          <w:rFonts w:hint="eastAsia" w:ascii="Times New Roman" w:hAnsi="Times New Roman" w:eastAsia="宋体" w:cs="Times New Roman"/>
          <w:lang w:eastAsia="zh-CN"/>
        </w:rPr>
        <w:t>：</w:t>
      </w:r>
      <w:r>
        <w:rPr>
          <w:rFonts w:hint="eastAsia" w:ascii="Times New Roman" w:hAnsi="Times New Roman" w:eastAsia="宋体" w:cs="Times New Roman"/>
        </w:rPr>
        <w:t>用于制定基层医疗卫生机构绩效考核工作小组，添加考核机构，分配考核小组，分配考核专家，下发考核指标到被考核机构中执行考核工作。</w:t>
      </w:r>
    </w:p>
    <w:p>
      <w:pPr>
        <w:bidi w:val="0"/>
        <w:rPr>
          <w:rFonts w:hint="eastAsia" w:ascii="Times New Roman" w:hAnsi="Times New Roman" w:eastAsia="宋体" w:cs="Times New Roman"/>
        </w:rPr>
      </w:pPr>
      <w:r>
        <w:rPr>
          <w:rFonts w:hint="eastAsia" w:ascii="Times New Roman" w:hAnsi="Times New Roman" w:eastAsia="宋体" w:cs="Times New Roman"/>
        </w:rPr>
        <w:t>任务调整</w:t>
      </w:r>
      <w:r>
        <w:rPr>
          <w:rFonts w:hint="eastAsia" w:ascii="Times New Roman" w:hAnsi="Times New Roman" w:eastAsia="宋体" w:cs="Times New Roman"/>
          <w:lang w:eastAsia="zh-CN"/>
        </w:rPr>
        <w:t>：</w:t>
      </w:r>
      <w:r>
        <w:rPr>
          <w:rFonts w:hint="eastAsia" w:ascii="Times New Roman" w:hAnsi="Times New Roman" w:eastAsia="宋体" w:cs="Times New Roman"/>
        </w:rPr>
        <w:t>支持按照考核方案、考核工作、小组名称等维度对所有的考核任务进行调整，包括：专家调整和机构/指标的调整。</w:t>
      </w:r>
    </w:p>
    <w:p>
      <w:pPr>
        <w:pStyle w:val="7"/>
        <w:bidi w:val="0"/>
        <w:ind w:left="720" w:hanging="720"/>
        <w:rPr>
          <w:rFonts w:hint="eastAsia" w:ascii="Times New Roman" w:hAnsi="Times New Roman" w:eastAsia="宋体" w:cs="Times New Roman"/>
          <w:b/>
          <w:kern w:val="2"/>
          <w:sz w:val="28"/>
          <w:lang w:val="en-US" w:eastAsia="zh-CN" w:bidi="ar-SA"/>
        </w:rPr>
      </w:pPr>
      <w:bookmarkStart w:id="477" w:name="_Toc66886044"/>
      <w:r>
        <w:rPr>
          <w:rFonts w:hint="eastAsia" w:ascii="Times New Roman" w:hAnsi="Times New Roman" w:eastAsia="宋体" w:cs="Times New Roman"/>
          <w:b/>
          <w:kern w:val="2"/>
          <w:sz w:val="28"/>
          <w:lang w:val="en-US" w:eastAsia="zh-CN" w:bidi="ar-SA"/>
        </w:rPr>
        <w:t>2.1.1.5.7.绩效考核</w:t>
      </w:r>
      <w:bookmarkEnd w:id="477"/>
    </w:p>
    <w:p>
      <w:pPr>
        <w:bidi w:val="0"/>
        <w:rPr>
          <w:rFonts w:hint="eastAsia" w:ascii="Times New Roman" w:hAnsi="Times New Roman" w:eastAsia="宋体" w:cs="Times New Roman"/>
        </w:rPr>
      </w:pPr>
      <w:r>
        <w:rPr>
          <w:rFonts w:hint="eastAsia" w:ascii="Times New Roman" w:hAnsi="Times New Roman" w:eastAsia="宋体" w:cs="Times New Roman"/>
        </w:rPr>
        <w:t>工作实施</w:t>
      </w:r>
      <w:r>
        <w:rPr>
          <w:rFonts w:hint="eastAsia" w:ascii="Times New Roman" w:hAnsi="Times New Roman" w:eastAsia="宋体" w:cs="Times New Roman"/>
          <w:lang w:eastAsia="zh-CN"/>
        </w:rPr>
        <w:t>：</w:t>
      </w:r>
      <w:r>
        <w:rPr>
          <w:rFonts w:hint="eastAsia" w:ascii="Times New Roman" w:hAnsi="Times New Roman" w:eastAsia="宋体" w:cs="Times New Roman"/>
        </w:rPr>
        <w:t>考核工作实施后，考核专家登录系统填写考核工作实施。在考核汇总中可查看整个考核方案的考核分数和整体考核状态的完成情况，并且可以提交考核结果。</w:t>
      </w:r>
    </w:p>
    <w:p>
      <w:pPr>
        <w:bidi w:val="0"/>
        <w:rPr>
          <w:rFonts w:hint="eastAsia" w:ascii="Times New Roman" w:hAnsi="Times New Roman" w:eastAsia="宋体" w:cs="Times New Roman"/>
        </w:rPr>
      </w:pPr>
      <w:r>
        <w:rPr>
          <w:rFonts w:hint="eastAsia" w:ascii="Times New Roman" w:hAnsi="Times New Roman" w:eastAsia="宋体" w:cs="Times New Roman"/>
        </w:rPr>
        <w:t>进度查询</w:t>
      </w:r>
      <w:r>
        <w:rPr>
          <w:rFonts w:hint="eastAsia" w:ascii="Times New Roman" w:hAnsi="Times New Roman" w:eastAsia="宋体" w:cs="Times New Roman"/>
          <w:lang w:eastAsia="zh-CN"/>
        </w:rPr>
        <w:t>：</w:t>
      </w:r>
      <w:r>
        <w:rPr>
          <w:rFonts w:hint="eastAsia" w:ascii="Times New Roman" w:hAnsi="Times New Roman" w:eastAsia="宋体" w:cs="Times New Roman"/>
        </w:rPr>
        <w:t>系统支持用户按照时间、专项方案、考核工作、考核小组和被考核机构等维度进行本辖区内所有考核进度的查询，逐项显示所有专项方案的考核状态，并能查看到所有方案的得分和模块得分。</w:t>
      </w:r>
    </w:p>
    <w:p>
      <w:pPr>
        <w:bidi w:val="0"/>
        <w:rPr>
          <w:rFonts w:hint="eastAsia" w:ascii="Times New Roman" w:hAnsi="Times New Roman" w:eastAsia="宋体" w:cs="Times New Roman"/>
        </w:rPr>
      </w:pPr>
      <w:r>
        <w:rPr>
          <w:rFonts w:hint="eastAsia" w:ascii="Times New Roman" w:hAnsi="Times New Roman" w:eastAsia="宋体" w:cs="Times New Roman"/>
        </w:rPr>
        <w:t>佐证资料上传</w:t>
      </w:r>
      <w:r>
        <w:rPr>
          <w:rFonts w:hint="eastAsia" w:ascii="Times New Roman" w:hAnsi="Times New Roman" w:eastAsia="宋体" w:cs="Times New Roman"/>
          <w:lang w:eastAsia="zh-CN"/>
        </w:rPr>
        <w:t>：</w:t>
      </w:r>
      <w:r>
        <w:rPr>
          <w:rFonts w:hint="eastAsia" w:ascii="Times New Roman" w:hAnsi="Times New Roman" w:eastAsia="宋体" w:cs="Times New Roman"/>
        </w:rPr>
        <w:t>佐证资料上传页面用于被考核机构根据不同的考核方案上传需要提交的考核资料。</w:t>
      </w:r>
    </w:p>
    <w:p>
      <w:pPr>
        <w:bidi w:val="0"/>
        <w:rPr>
          <w:rFonts w:hint="eastAsia" w:ascii="Times New Roman" w:hAnsi="Times New Roman" w:eastAsia="宋体" w:cs="Times New Roman"/>
        </w:rPr>
      </w:pPr>
      <w:r>
        <w:rPr>
          <w:rFonts w:hint="eastAsia" w:ascii="Times New Roman" w:hAnsi="Times New Roman" w:eastAsia="宋体" w:cs="Times New Roman"/>
        </w:rPr>
        <w:t>结果统计</w:t>
      </w:r>
      <w:r>
        <w:rPr>
          <w:rFonts w:hint="eastAsia" w:ascii="Times New Roman" w:hAnsi="Times New Roman" w:eastAsia="宋体" w:cs="Times New Roman"/>
          <w:lang w:eastAsia="zh-CN"/>
        </w:rPr>
        <w:t>：</w:t>
      </w:r>
      <w:r>
        <w:rPr>
          <w:rFonts w:hint="eastAsia" w:ascii="Times New Roman" w:hAnsi="Times New Roman" w:eastAsia="宋体" w:cs="Times New Roman"/>
        </w:rPr>
        <w:t>结果统计可以根据区划查询各个考核地区区划下的考核分数。可以根据方案查询出该地区下的考核机构的分数情况。</w:t>
      </w:r>
    </w:p>
    <w:p>
      <w:pPr>
        <w:bidi w:val="0"/>
        <w:rPr>
          <w:rFonts w:hint="eastAsia" w:ascii="Times New Roman" w:hAnsi="Times New Roman" w:eastAsia="宋体" w:cs="Times New Roman"/>
        </w:rPr>
      </w:pPr>
      <w:r>
        <w:rPr>
          <w:rFonts w:hint="eastAsia" w:ascii="Times New Roman" w:hAnsi="Times New Roman" w:eastAsia="宋体" w:cs="Times New Roman"/>
        </w:rPr>
        <w:t>考核进度查询</w:t>
      </w:r>
      <w:r>
        <w:rPr>
          <w:rFonts w:hint="eastAsia" w:ascii="Times New Roman" w:hAnsi="Times New Roman" w:eastAsia="宋体" w:cs="Times New Roman"/>
          <w:lang w:eastAsia="zh-CN"/>
        </w:rPr>
        <w:t>：</w:t>
      </w:r>
      <w:r>
        <w:rPr>
          <w:rFonts w:hint="eastAsia" w:ascii="Times New Roman" w:hAnsi="Times New Roman" w:eastAsia="宋体" w:cs="Times New Roman"/>
        </w:rPr>
        <w:t>用户能够按机构查看报送进度。</w:t>
      </w:r>
    </w:p>
    <w:p>
      <w:pPr>
        <w:bidi w:val="0"/>
        <w:rPr>
          <w:rFonts w:hint="eastAsia" w:ascii="Times New Roman" w:hAnsi="Times New Roman" w:eastAsia="宋体" w:cs="Times New Roman"/>
        </w:rPr>
      </w:pPr>
      <w:r>
        <w:rPr>
          <w:rFonts w:hint="eastAsia" w:ascii="Times New Roman" w:hAnsi="Times New Roman" w:eastAsia="宋体" w:cs="Times New Roman"/>
        </w:rPr>
        <w:t>分数调整</w:t>
      </w:r>
      <w:r>
        <w:rPr>
          <w:rFonts w:hint="eastAsia" w:ascii="Times New Roman" w:hAnsi="Times New Roman" w:eastAsia="宋体" w:cs="Times New Roman"/>
          <w:lang w:eastAsia="zh-CN"/>
        </w:rPr>
        <w:t>：</w:t>
      </w:r>
      <w:r>
        <w:rPr>
          <w:rFonts w:hint="eastAsia" w:ascii="Times New Roman" w:hAnsi="Times New Roman" w:eastAsia="宋体" w:cs="Times New Roman"/>
        </w:rPr>
        <w:t>针对考核结果，可针对性的进行加减分调整，调整过程需提供说明文字，系统留痕。</w:t>
      </w:r>
    </w:p>
    <w:p>
      <w:pPr>
        <w:bidi w:val="0"/>
        <w:rPr>
          <w:rFonts w:hint="eastAsia" w:ascii="Times New Roman" w:hAnsi="Times New Roman" w:eastAsia="宋体" w:cs="Times New Roman"/>
        </w:rPr>
      </w:pP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考核结论</w:t>
      </w:r>
      <w:r>
        <w:rPr>
          <w:rFonts w:hint="eastAsia" w:ascii="Times New Roman" w:hAnsi="Times New Roman" w:eastAsia="宋体" w:cs="Times New Roman"/>
          <w:lang w:eastAsia="zh-CN"/>
        </w:rPr>
        <w:t>：</w:t>
      </w:r>
      <w:r>
        <w:rPr>
          <w:rFonts w:hint="eastAsia" w:ascii="Times New Roman" w:hAnsi="Times New Roman" w:eastAsia="宋体" w:cs="Times New Roman"/>
        </w:rPr>
        <w:t>系统支持用户按照时间、考核方案、考核工作对本辖区内所有的考核结果进行查看，用户能够直观地看到考核单位和考核成绩。</w:t>
      </w:r>
    </w:p>
    <w:p>
      <w:pPr>
        <w:bidi w:val="0"/>
        <w:rPr>
          <w:rFonts w:hint="eastAsia" w:ascii="Times New Roman" w:hAnsi="Times New Roman" w:eastAsia="宋体" w:cs="Times New Roman"/>
        </w:rPr>
      </w:pPr>
      <w:bookmarkStart w:id="478" w:name="_Toc66886045"/>
      <w:r>
        <w:rPr>
          <w:rFonts w:hint="eastAsia" w:ascii="Times New Roman" w:hAnsi="Times New Roman" w:eastAsia="宋体" w:cs="Times New Roman"/>
        </w:rPr>
        <w:t>问卷管理</w:t>
      </w:r>
      <w:bookmarkEnd w:id="478"/>
      <w:r>
        <w:rPr>
          <w:rFonts w:hint="eastAsia" w:ascii="Times New Roman" w:hAnsi="Times New Roman" w:eastAsia="宋体" w:cs="Times New Roman"/>
          <w:lang w:eastAsia="zh-CN"/>
        </w:rPr>
        <w:t>：</w:t>
      </w:r>
      <w:r>
        <w:rPr>
          <w:rFonts w:hint="eastAsia" w:ascii="Times New Roman" w:hAnsi="Times New Roman" w:eastAsia="宋体" w:cs="Times New Roman"/>
        </w:rPr>
        <w:t>问卷调查用于维护配置绩效考核系统中的问卷，用于人工考核中的系统问卷。</w:t>
      </w:r>
    </w:p>
    <w:p>
      <w:pPr>
        <w:pStyle w:val="7"/>
        <w:bidi w:val="0"/>
        <w:ind w:left="720" w:hanging="720"/>
        <w:rPr>
          <w:rFonts w:hint="eastAsia" w:ascii="Times New Roman" w:hAnsi="Times New Roman" w:eastAsia="宋体" w:cs="Times New Roman"/>
          <w:b/>
          <w:kern w:val="2"/>
          <w:sz w:val="28"/>
          <w:lang w:val="en-US" w:eastAsia="zh-CN" w:bidi="ar-SA"/>
        </w:rPr>
      </w:pPr>
      <w:bookmarkStart w:id="479" w:name="_Toc66886046"/>
      <w:r>
        <w:rPr>
          <w:rFonts w:hint="eastAsia" w:ascii="Times New Roman" w:hAnsi="Times New Roman" w:eastAsia="宋体" w:cs="Times New Roman"/>
          <w:b/>
          <w:kern w:val="2"/>
          <w:sz w:val="28"/>
          <w:lang w:val="en-US" w:eastAsia="zh-CN" w:bidi="ar-SA"/>
        </w:rPr>
        <w:t>2.1.1.5.8.系统配置</w:t>
      </w:r>
      <w:bookmarkEnd w:id="479"/>
    </w:p>
    <w:p>
      <w:pPr>
        <w:bidi w:val="0"/>
        <w:rPr>
          <w:rFonts w:hint="eastAsia" w:ascii="Times New Roman" w:hAnsi="Times New Roman" w:eastAsia="宋体" w:cs="Times New Roman"/>
        </w:rPr>
      </w:pPr>
      <w:r>
        <w:rPr>
          <w:rFonts w:hint="eastAsia" w:ascii="Times New Roman" w:hAnsi="Times New Roman" w:eastAsia="宋体" w:cs="Times New Roman"/>
        </w:rPr>
        <w:t>人员权限配置</w:t>
      </w:r>
      <w:r>
        <w:rPr>
          <w:rFonts w:hint="eastAsia" w:ascii="Times New Roman" w:hAnsi="Times New Roman" w:eastAsia="宋体" w:cs="Times New Roman"/>
          <w:lang w:eastAsia="zh-CN"/>
        </w:rPr>
        <w:t>：</w:t>
      </w:r>
      <w:r>
        <w:rPr>
          <w:rFonts w:hint="eastAsia" w:ascii="Times New Roman" w:hAnsi="Times New Roman" w:eastAsia="宋体" w:cs="Times New Roman"/>
        </w:rPr>
        <w:t>系统能够按照辖区完成对各个机构人员权限的配置。</w:t>
      </w:r>
    </w:p>
    <w:p>
      <w:pPr>
        <w:bidi w:val="0"/>
        <w:rPr>
          <w:rFonts w:hint="eastAsia" w:ascii="Times New Roman" w:hAnsi="Times New Roman" w:eastAsia="宋体" w:cs="Times New Roman"/>
        </w:rPr>
      </w:pPr>
      <w:r>
        <w:rPr>
          <w:rFonts w:hint="eastAsia" w:ascii="Times New Roman" w:hAnsi="Times New Roman" w:eastAsia="宋体" w:cs="Times New Roman"/>
        </w:rPr>
        <w:t>抽样规则配置</w:t>
      </w:r>
      <w:r>
        <w:rPr>
          <w:rFonts w:hint="eastAsia" w:ascii="Times New Roman" w:hAnsi="Times New Roman" w:eastAsia="宋体" w:cs="Times New Roman"/>
          <w:lang w:eastAsia="zh-CN"/>
        </w:rPr>
        <w:t>：</w:t>
      </w:r>
      <w:r>
        <w:rPr>
          <w:rFonts w:hint="eastAsia" w:ascii="Times New Roman" w:hAnsi="Times New Roman" w:eastAsia="宋体" w:cs="Times New Roman"/>
        </w:rPr>
        <w:t>系统能够按照辖区完成对抽取规则的配置，能够对居民的档案进行查看、停用、测试、复制的操作。</w:t>
      </w:r>
    </w:p>
    <w:p>
      <w:pPr>
        <w:bidi w:val="0"/>
        <w:rPr>
          <w:rFonts w:hint="eastAsia" w:ascii="Times New Roman" w:hAnsi="Times New Roman" w:eastAsia="宋体" w:cs="Times New Roman"/>
        </w:rPr>
      </w:pPr>
      <w:r>
        <w:rPr>
          <w:rFonts w:hint="eastAsia" w:ascii="Times New Roman" w:hAnsi="Times New Roman" w:eastAsia="宋体" w:cs="Times New Roman"/>
        </w:rPr>
        <w:t>考核对象配置</w:t>
      </w:r>
      <w:r>
        <w:rPr>
          <w:rFonts w:hint="eastAsia" w:ascii="Times New Roman" w:hAnsi="Times New Roman" w:eastAsia="宋体" w:cs="Times New Roman"/>
          <w:lang w:eastAsia="zh-CN"/>
        </w:rPr>
        <w:t>：</w:t>
      </w:r>
      <w:r>
        <w:rPr>
          <w:rFonts w:hint="eastAsia" w:ascii="Times New Roman" w:hAnsi="Times New Roman" w:eastAsia="宋体" w:cs="Times New Roman"/>
        </w:rPr>
        <w:t>系统支持用户按照考核对象的名称查询新增考核对象，可以对各个机构的信息进行编辑、启用和停用的操作。</w:t>
      </w:r>
    </w:p>
    <w:p>
      <w:pPr>
        <w:bidi w:val="0"/>
        <w:rPr>
          <w:rFonts w:hint="eastAsia" w:ascii="Times New Roman" w:hAnsi="Times New Roman" w:eastAsia="宋体" w:cs="Times New Roman"/>
        </w:rPr>
      </w:pPr>
      <w:r>
        <w:rPr>
          <w:rFonts w:hint="eastAsia" w:ascii="Times New Roman" w:hAnsi="Times New Roman" w:eastAsia="宋体" w:cs="Times New Roman"/>
        </w:rPr>
        <w:t>佐证材料配置</w:t>
      </w:r>
      <w:r>
        <w:rPr>
          <w:rFonts w:hint="eastAsia" w:ascii="Times New Roman" w:hAnsi="Times New Roman" w:eastAsia="宋体" w:cs="Times New Roman"/>
          <w:lang w:eastAsia="zh-CN"/>
        </w:rPr>
        <w:t>：</w:t>
      </w:r>
      <w:r>
        <w:rPr>
          <w:rFonts w:hint="eastAsia" w:ascii="Times New Roman" w:hAnsi="Times New Roman" w:eastAsia="宋体" w:cs="Times New Roman"/>
        </w:rPr>
        <w:t>系统支持管理员按照时间、状态、佐证材料名称进行查询和新增的操作，能够管理佐证资料的提交单位、提交周期和说明等信息。</w:t>
      </w:r>
    </w:p>
    <w:p>
      <w:pPr>
        <w:bidi w:val="0"/>
        <w:rPr>
          <w:rFonts w:hint="eastAsia" w:ascii="Times New Roman" w:hAnsi="Times New Roman" w:eastAsia="宋体" w:cs="Times New Roman"/>
        </w:rPr>
      </w:pPr>
      <w:r>
        <w:rPr>
          <w:rFonts w:hint="eastAsia" w:ascii="Times New Roman" w:hAnsi="Times New Roman" w:eastAsia="宋体" w:cs="Times New Roman"/>
        </w:rPr>
        <w:t>系统参数配置</w:t>
      </w:r>
      <w:r>
        <w:rPr>
          <w:rFonts w:hint="eastAsia" w:ascii="Times New Roman" w:hAnsi="Times New Roman" w:eastAsia="宋体" w:cs="Times New Roman"/>
          <w:lang w:eastAsia="zh-CN"/>
        </w:rPr>
        <w:t>：</w:t>
      </w:r>
      <w:r>
        <w:rPr>
          <w:rFonts w:hint="eastAsia" w:ascii="Times New Roman" w:hAnsi="Times New Roman" w:eastAsia="宋体" w:cs="Times New Roman"/>
        </w:rPr>
        <w:t>系统支持用户对系统参数进行配置。</w:t>
      </w:r>
    </w:p>
    <w:p>
      <w:pPr>
        <w:bidi w:val="0"/>
        <w:rPr>
          <w:rFonts w:hint="eastAsia" w:ascii="Times New Roman" w:hAnsi="Times New Roman" w:eastAsia="宋体" w:cs="Times New Roman"/>
        </w:rPr>
      </w:pPr>
      <w:r>
        <w:rPr>
          <w:rFonts w:hint="eastAsia" w:ascii="Times New Roman" w:hAnsi="Times New Roman" w:eastAsia="宋体" w:cs="Times New Roman"/>
        </w:rPr>
        <w:t>机构随机抽取</w:t>
      </w:r>
      <w:r>
        <w:rPr>
          <w:rFonts w:hint="eastAsia" w:ascii="Times New Roman" w:hAnsi="Times New Roman" w:eastAsia="宋体" w:cs="Times New Roman"/>
          <w:lang w:eastAsia="zh-CN"/>
        </w:rPr>
        <w:t>：</w:t>
      </w:r>
      <w:r>
        <w:rPr>
          <w:rFonts w:hint="eastAsia" w:ascii="Times New Roman" w:hAnsi="Times New Roman" w:eastAsia="宋体" w:cs="Times New Roman"/>
        </w:rPr>
        <w:t>系统能够新增随机抽取，并对随机抽取的信息进行停用、启用等操作。</w:t>
      </w:r>
    </w:p>
    <w:p>
      <w:pPr>
        <w:pStyle w:val="7"/>
        <w:bidi w:val="0"/>
        <w:ind w:left="720" w:hanging="720"/>
        <w:rPr>
          <w:rFonts w:hint="eastAsia" w:ascii="Times New Roman" w:hAnsi="Times New Roman" w:eastAsia="宋体" w:cs="Times New Roman"/>
          <w:b/>
          <w:kern w:val="2"/>
          <w:sz w:val="28"/>
          <w:lang w:val="en-US" w:eastAsia="zh-CN" w:bidi="ar-SA"/>
        </w:rPr>
      </w:pPr>
      <w:bookmarkStart w:id="480" w:name="_Toc66886047"/>
      <w:r>
        <w:rPr>
          <w:rFonts w:hint="eastAsia" w:ascii="Times New Roman" w:hAnsi="Times New Roman" w:eastAsia="宋体" w:cs="Times New Roman"/>
          <w:b/>
          <w:kern w:val="2"/>
          <w:sz w:val="28"/>
          <w:lang w:val="en-US" w:eastAsia="zh-CN" w:bidi="ar-SA"/>
        </w:rPr>
        <w:t>2.1.1.6.综合分析</w:t>
      </w:r>
      <w:bookmarkEnd w:id="480"/>
    </w:p>
    <w:p>
      <w:pPr>
        <w:bidi w:val="0"/>
      </w:pPr>
      <w:r>
        <w:rPr>
          <w:rFonts w:hint="eastAsia"/>
        </w:rPr>
        <w:t>分数调整</w:t>
      </w:r>
      <w:r>
        <w:rPr>
          <w:rFonts w:hint="eastAsia"/>
          <w:lang w:eastAsia="zh-CN"/>
        </w:rPr>
        <w:t>：</w:t>
      </w:r>
      <w:r>
        <w:rPr>
          <w:rFonts w:hint="eastAsia"/>
        </w:rPr>
        <w:t>县级卫健委使用功能。分数调整的列表中增加字段“自评得分“，位置在”考核得分“之前。</w:t>
      </w:r>
    </w:p>
    <w:p>
      <w:pPr>
        <w:bidi w:val="0"/>
      </w:pPr>
      <w:r>
        <w:rPr>
          <w:rFonts w:hint="eastAsia"/>
        </w:rPr>
        <w:t>指标排名分析</w:t>
      </w:r>
      <w:r>
        <w:rPr>
          <w:rFonts w:hint="eastAsia"/>
          <w:lang w:eastAsia="zh-CN"/>
        </w:rPr>
        <w:t>：</w:t>
      </w:r>
      <w:r>
        <w:t>按指标维度对考核结果进行综合排名。</w:t>
      </w:r>
      <w:r>
        <w:rPr>
          <w:rFonts w:hint="eastAsia"/>
        </w:rPr>
        <w:t>以指标体系维度为分析主要维度，显示所有基层医疗机构的考核指标排名情况。</w:t>
      </w:r>
    </w:p>
    <w:p>
      <w:pPr>
        <w:bidi w:val="0"/>
      </w:pPr>
      <w:r>
        <w:rPr>
          <w:rFonts w:hint="eastAsia"/>
        </w:rPr>
        <w:t>地域指标分析</w:t>
      </w:r>
      <w:r>
        <w:rPr>
          <w:rFonts w:hint="eastAsia"/>
          <w:lang w:eastAsia="zh-CN"/>
        </w:rPr>
        <w:t>：</w:t>
      </w:r>
      <w:r>
        <w:rPr>
          <w:rFonts w:hint="eastAsia"/>
        </w:rPr>
        <w:t>可根据地域基本信息筛选后，对常住人口数、交通、GDP、资保人均筹资等维度进行精准分析。</w:t>
      </w:r>
    </w:p>
    <w:p>
      <w:pPr>
        <w:bidi w:val="0"/>
      </w:pPr>
      <w:r>
        <w:rPr>
          <w:rFonts w:hint="eastAsia"/>
        </w:rPr>
        <w:t>发展趋势分析</w:t>
      </w:r>
      <w:r>
        <w:rPr>
          <w:rFonts w:hint="eastAsia"/>
          <w:lang w:eastAsia="zh-CN"/>
        </w:rPr>
        <w:t>：</w:t>
      </w:r>
      <w:r>
        <w:rPr>
          <w:rFonts w:hint="eastAsia"/>
        </w:rPr>
        <w:t>系统能够帮助用户对指标按照时间维度进行纵向分析，获得发展趋势的预判。</w:t>
      </w:r>
    </w:p>
    <w:p>
      <w:pPr>
        <w:bidi w:val="0"/>
        <w:rPr>
          <w:rFonts w:hint="eastAsia"/>
        </w:rPr>
      </w:pPr>
      <w:r>
        <w:rPr>
          <w:rFonts w:hint="eastAsia"/>
        </w:rPr>
        <w:t>指标对比分析</w:t>
      </w:r>
      <w:r>
        <w:rPr>
          <w:rFonts w:hint="eastAsia"/>
          <w:lang w:eastAsia="zh-CN"/>
        </w:rPr>
        <w:t>：</w:t>
      </w:r>
      <w:r>
        <w:rPr>
          <w:rFonts w:hint="eastAsia"/>
        </w:rPr>
        <w:t>支持用户按照区划和时间等维度对指定一组指标实现不同机构的对比分析，帮助各个机构发现指标异常和管理方式的问题，引导机构改变管理方式，解决机构的管理瓶颈。</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2.1.1.7.★系统对接</w:t>
      </w:r>
    </w:p>
    <w:p>
      <w:pPr>
        <w:pStyle w:val="80"/>
        <w:ind w:firstLine="480"/>
        <w:rPr>
          <w:rFonts w:hint="default" w:ascii="宋体" w:hAnsi="宋体" w:eastAsia="宋体"/>
          <w:lang w:val="en-US" w:eastAsia="zh-CN"/>
        </w:rPr>
      </w:pPr>
      <w:r>
        <w:rPr>
          <w:rFonts w:hint="eastAsia" w:ascii="宋体" w:hAnsi="宋体" w:eastAsia="宋体"/>
          <w:b/>
          <w:bCs/>
          <w:lang w:val="en-US" w:eastAsia="zh-CN"/>
        </w:rPr>
        <w:t>要求实现此次建设系统医共体与现有基层医疗卫生机构信息系统的互联互通，</w:t>
      </w:r>
      <w:r>
        <w:rPr>
          <w:rFonts w:hint="eastAsia" w:ascii="宋体" w:hAnsi="宋体" w:eastAsia="宋体"/>
          <w:b/>
          <w:bCs/>
        </w:rPr>
        <w:t>实现绩效考核结束后，将实际给村医拨付的绩效资金进行同步</w:t>
      </w:r>
      <w:r>
        <w:rPr>
          <w:rFonts w:hint="eastAsia" w:ascii="宋体" w:hAnsi="宋体" w:eastAsia="宋体"/>
          <w:b/>
          <w:bCs/>
          <w:lang w:eastAsia="zh-CN"/>
        </w:rPr>
        <w:t>。</w:t>
      </w:r>
      <w:r>
        <w:rPr>
          <w:rFonts w:hint="eastAsia" w:ascii="宋体" w:hAnsi="宋体" w:eastAsia="宋体"/>
          <w:b/>
          <w:bCs/>
          <w:lang w:val="en-US" w:eastAsia="zh-CN"/>
        </w:rPr>
        <w:t>要求投标人提供详细对接方案。</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2.1.2乡村一体化管理系统</w:t>
      </w:r>
    </w:p>
    <w:p>
      <w:pPr>
        <w:rPr>
          <w:rFonts w:hint="eastAsia"/>
        </w:rPr>
      </w:pPr>
      <w:r>
        <w:rPr>
          <w:rFonts w:hint="eastAsia"/>
        </w:rPr>
        <w:t>本项目建设内容充分利用互联网等先进技术手段，建设乡村一体化管理</w:t>
      </w:r>
      <w:r>
        <w:rPr>
          <w:rFonts w:hint="eastAsia"/>
          <w:lang w:val="en-US" w:eastAsia="zh-CN"/>
        </w:rPr>
        <w:t>系统</w:t>
      </w:r>
      <w:r>
        <w:rPr>
          <w:rFonts w:hint="eastAsia"/>
        </w:rPr>
        <w:t>，进一步提升基层医疗卫生服务能力，推进乡村两级卫生服务机构建设成相互促进、互相依存的统一体，逐步落实基层首诊制定，有效解决好农村群众看病难、看病贵问题，不断提高人民群众的满意度和获得感。具体建设内容如下：</w:t>
      </w:r>
    </w:p>
    <w:p>
      <w:pPr>
        <w:pStyle w:val="7"/>
        <w:bidi w:val="0"/>
        <w:ind w:left="720" w:hanging="720"/>
        <w:rPr>
          <w:rFonts w:hint="eastAsia" w:ascii="Times New Roman" w:hAnsi="Times New Roman" w:eastAsia="宋体" w:cs="Times New Roman"/>
          <w:b/>
          <w:kern w:val="2"/>
          <w:sz w:val="28"/>
          <w:lang w:val="en-US" w:eastAsia="zh-CN" w:bidi="ar-SA"/>
        </w:rPr>
      </w:pPr>
      <w:bookmarkStart w:id="481" w:name="_Toc6284_WPSOffice_Level2"/>
      <w:r>
        <w:rPr>
          <w:rFonts w:hint="eastAsia" w:ascii="Times New Roman" w:hAnsi="Times New Roman" w:eastAsia="宋体" w:cs="Times New Roman"/>
          <w:b/>
          <w:kern w:val="2"/>
          <w:sz w:val="28"/>
          <w:lang w:val="en-US" w:eastAsia="zh-CN" w:bidi="ar-SA"/>
        </w:rPr>
        <w:t>2.1.2.1权限管理</w:t>
      </w:r>
      <w:bookmarkEnd w:id="481"/>
    </w:p>
    <w:p>
      <w:pPr>
        <w:rPr>
          <w:rFonts w:ascii="Times New Roman" w:hAnsi="Times New Roman" w:eastAsia="宋体" w:cs="Times New Roman"/>
        </w:rPr>
      </w:pPr>
      <w:bookmarkStart w:id="482" w:name="_Toc19746_WPSOffice_Level3"/>
      <w:r>
        <w:rPr>
          <w:rFonts w:hint="eastAsia" w:ascii="Times New Roman" w:hAnsi="Times New Roman" w:eastAsia="宋体" w:cs="Times New Roman"/>
        </w:rPr>
        <w:t>科室维护</w:t>
      </w:r>
      <w:bookmarkEnd w:id="482"/>
      <w:r>
        <w:rPr>
          <w:rFonts w:hint="eastAsia" w:ascii="Times New Roman" w:hAnsi="Times New Roman" w:eastAsia="宋体" w:cs="Times New Roman"/>
          <w:lang w:eastAsia="zh-CN"/>
        </w:rPr>
        <w:t>：</w:t>
      </w:r>
      <w:r>
        <w:rPr>
          <w:rFonts w:hint="eastAsia" w:ascii="Times New Roman" w:hAnsi="Times New Roman" w:eastAsia="宋体" w:cs="Times New Roman"/>
        </w:rPr>
        <w:t>支持维护乡村医生相应科室，如全科诊室、内科等。</w:t>
      </w:r>
    </w:p>
    <w:p>
      <w:pPr>
        <w:rPr>
          <w:rFonts w:ascii="Times New Roman" w:hAnsi="Times New Roman" w:eastAsia="宋体" w:cs="Times New Roman"/>
        </w:rPr>
      </w:pPr>
      <w:bookmarkStart w:id="483" w:name="_Toc7870_WPSOffice_Level3"/>
      <w:r>
        <w:rPr>
          <w:rFonts w:hint="eastAsia" w:ascii="Times New Roman" w:hAnsi="Times New Roman" w:eastAsia="宋体" w:cs="Times New Roman"/>
        </w:rPr>
        <w:t>科室分配</w:t>
      </w:r>
      <w:bookmarkEnd w:id="483"/>
      <w:r>
        <w:rPr>
          <w:rFonts w:hint="eastAsia" w:ascii="Times New Roman" w:hAnsi="Times New Roman" w:eastAsia="宋体" w:cs="Times New Roman"/>
          <w:lang w:eastAsia="zh-CN"/>
        </w:rPr>
        <w:t>：</w:t>
      </w:r>
      <w:r>
        <w:rPr>
          <w:rFonts w:hint="eastAsia" w:ascii="Times New Roman" w:hAnsi="Times New Roman" w:eastAsia="宋体" w:cs="Times New Roman"/>
        </w:rPr>
        <w:t>支持将乡村医生分配到不同的科室。</w:t>
      </w:r>
    </w:p>
    <w:p>
      <w:pPr>
        <w:rPr>
          <w:rFonts w:ascii="Times New Roman" w:hAnsi="Times New Roman" w:eastAsia="宋体" w:cs="Times New Roman"/>
        </w:rPr>
      </w:pPr>
      <w:bookmarkStart w:id="484" w:name="_Toc2995_WPSOffice_Level3"/>
      <w:r>
        <w:rPr>
          <w:rFonts w:hint="eastAsia" w:ascii="Times New Roman" w:hAnsi="Times New Roman" w:eastAsia="宋体" w:cs="Times New Roman"/>
        </w:rPr>
        <w:t>系统参数配置</w:t>
      </w:r>
      <w:bookmarkEnd w:id="484"/>
      <w:r>
        <w:rPr>
          <w:rFonts w:hint="eastAsia" w:ascii="Times New Roman" w:hAnsi="Times New Roman" w:eastAsia="宋体" w:cs="Times New Roman"/>
          <w:lang w:eastAsia="zh-CN"/>
        </w:rPr>
        <w:t>：</w:t>
      </w:r>
      <w:r>
        <w:rPr>
          <w:rFonts w:hint="eastAsia" w:ascii="Times New Roman" w:hAnsi="Times New Roman" w:eastAsia="宋体" w:cs="Times New Roman"/>
        </w:rPr>
        <w:t>支持对系统默认药房、是否开启挂号等项目的参数配置。</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2.1.2.2药品及诊疗项目统一管理</w:t>
      </w:r>
    </w:p>
    <w:p>
      <w:r>
        <w:t>实现乡镇卫生院对村卫生室的人员、业务、药品、财务等统一监管，对村卫生室使用的药品及</w:t>
      </w:r>
      <w:r>
        <w:rPr>
          <w:rFonts w:hint="eastAsia"/>
        </w:rPr>
        <w:t>耗材及收费项目</w:t>
      </w:r>
      <w:r>
        <w:t>实行统一采购，统一配送，</w:t>
      </w:r>
      <w:r>
        <w:rPr>
          <w:rFonts w:hint="eastAsia"/>
        </w:rPr>
        <w:t>统一管理，有效</w:t>
      </w:r>
      <w:r>
        <w:t>控制和降低药品费用。</w:t>
      </w:r>
    </w:p>
    <w:p>
      <w:pPr>
        <w:rPr>
          <w:rFonts w:hint="eastAsia" w:ascii="Times New Roman" w:hAnsi="Times New Roman" w:eastAsia="宋体" w:cs="Times New Roman"/>
        </w:rPr>
      </w:pPr>
      <w:r>
        <w:rPr>
          <w:rFonts w:hint="eastAsia" w:ascii="Times New Roman" w:hAnsi="Times New Roman" w:eastAsia="宋体" w:cs="Times New Roman"/>
        </w:rPr>
        <w:t>采购入库</w:t>
      </w:r>
      <w:r>
        <w:rPr>
          <w:rFonts w:hint="eastAsia" w:ascii="Times New Roman" w:hAnsi="Times New Roman" w:eastAsia="宋体" w:cs="Times New Roman"/>
          <w:lang w:eastAsia="zh-CN"/>
        </w:rPr>
        <w:t>：</w:t>
      </w:r>
      <w:r>
        <w:rPr>
          <w:rFonts w:hint="eastAsia" w:ascii="Times New Roman" w:hAnsi="Times New Roman" w:eastAsia="宋体" w:cs="Times New Roman"/>
        </w:rPr>
        <w:t>支持由乡镇卫生院直接采购药品，入库到村卫生室药房中。</w:t>
      </w:r>
    </w:p>
    <w:p>
      <w:pPr>
        <w:rPr>
          <w:rFonts w:hint="eastAsia" w:ascii="Times New Roman" w:hAnsi="Times New Roman" w:eastAsia="宋体" w:cs="Times New Roman"/>
        </w:rPr>
      </w:pPr>
      <w:r>
        <w:rPr>
          <w:rFonts w:hint="eastAsia" w:ascii="Times New Roman" w:hAnsi="Times New Roman" w:eastAsia="宋体" w:cs="Times New Roman"/>
        </w:rPr>
        <w:t>科室出库</w:t>
      </w:r>
      <w:r>
        <w:rPr>
          <w:rFonts w:hint="eastAsia" w:ascii="Times New Roman" w:hAnsi="Times New Roman" w:eastAsia="宋体" w:cs="Times New Roman"/>
          <w:lang w:eastAsia="zh-CN"/>
        </w:rPr>
        <w:t>：</w:t>
      </w:r>
      <w:r>
        <w:rPr>
          <w:rFonts w:hint="eastAsia" w:ascii="Times New Roman" w:hAnsi="Times New Roman" w:eastAsia="宋体" w:cs="Times New Roman"/>
        </w:rPr>
        <w:t>支持将乡镇卫生院现有药品，直接出库到村医药房中。</w:t>
      </w:r>
    </w:p>
    <w:p>
      <w:pPr>
        <w:rPr>
          <w:rFonts w:hint="eastAsia" w:ascii="Times New Roman" w:hAnsi="Times New Roman" w:eastAsia="宋体" w:cs="Times New Roman"/>
        </w:rPr>
      </w:pPr>
      <w:r>
        <w:rPr>
          <w:rFonts w:hint="eastAsia" w:ascii="Times New Roman" w:hAnsi="Times New Roman" w:eastAsia="宋体" w:cs="Times New Roman"/>
        </w:rPr>
        <w:t>药品审核</w:t>
      </w:r>
      <w:r>
        <w:rPr>
          <w:rFonts w:hint="eastAsia" w:ascii="Times New Roman" w:hAnsi="Times New Roman" w:eastAsia="宋体" w:cs="Times New Roman"/>
          <w:lang w:eastAsia="zh-CN"/>
        </w:rPr>
        <w:t>：</w:t>
      </w:r>
      <w:r>
        <w:rPr>
          <w:rFonts w:hint="eastAsia" w:ascii="Times New Roman" w:hAnsi="Times New Roman" w:eastAsia="宋体" w:cs="Times New Roman"/>
        </w:rPr>
        <w:t>村卫生室可以对乡镇卫生院调拨的药品进行审核。</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2.1.2.3全科医生管理</w:t>
      </w:r>
    </w:p>
    <w:p>
      <w:r>
        <w:rPr>
          <w:rFonts w:hint="eastAsia"/>
        </w:rPr>
        <w:t>通过全科医生管理模块，支持门诊业务相关功能，包括医生下诊断、开处方等，并进行收费，覆盖完整的门诊相关业务，实现门诊业务全流程信息化。</w:t>
      </w:r>
    </w:p>
    <w:p>
      <w:pPr>
        <w:rPr>
          <w:rFonts w:hint="eastAsia" w:ascii="Times New Roman" w:hAnsi="Times New Roman" w:eastAsia="宋体" w:cs="Times New Roman"/>
        </w:rPr>
      </w:pPr>
      <w:bookmarkStart w:id="485" w:name="_Toc4382_WPSOffice_Level3"/>
      <w:r>
        <w:rPr>
          <w:rFonts w:hint="eastAsia" w:ascii="Times New Roman" w:hAnsi="Times New Roman" w:eastAsia="宋体" w:cs="Times New Roman"/>
        </w:rPr>
        <w:t>门诊医生模块</w:t>
      </w:r>
      <w:bookmarkEnd w:id="485"/>
      <w:r>
        <w:rPr>
          <w:rFonts w:hint="eastAsia" w:ascii="Times New Roman" w:hAnsi="Times New Roman" w:eastAsia="宋体" w:cs="Times New Roman"/>
          <w:lang w:eastAsia="zh-CN"/>
        </w:rPr>
        <w:t>：</w:t>
      </w:r>
      <w:r>
        <w:rPr>
          <w:rFonts w:hint="eastAsia" w:ascii="Times New Roman" w:hAnsi="Times New Roman" w:eastAsia="宋体" w:cs="Times New Roman"/>
        </w:rPr>
        <w:t>门诊医生模块的接诊方式分为两种，一种是挂号接诊，一种是医生直接登记就诊。</w:t>
      </w:r>
    </w:p>
    <w:p>
      <w:pPr>
        <w:rPr>
          <w:rFonts w:hint="eastAsia" w:ascii="Times New Roman" w:hAnsi="Times New Roman" w:eastAsia="宋体" w:cs="Times New Roman"/>
        </w:rPr>
      </w:pPr>
      <w:bookmarkStart w:id="486" w:name="_Toc15334_WPSOffice_Level3"/>
      <w:r>
        <w:rPr>
          <w:rFonts w:hint="eastAsia" w:ascii="Times New Roman" w:hAnsi="Times New Roman" w:eastAsia="宋体" w:cs="Times New Roman"/>
        </w:rPr>
        <w:t>门诊收费管理</w:t>
      </w:r>
      <w:bookmarkEnd w:id="486"/>
      <w:r>
        <w:rPr>
          <w:rFonts w:hint="eastAsia" w:ascii="Times New Roman" w:hAnsi="Times New Roman" w:eastAsia="宋体" w:cs="Times New Roman"/>
          <w:lang w:eastAsia="zh-CN"/>
        </w:rPr>
        <w:t>：</w:t>
      </w:r>
      <w:r>
        <w:rPr>
          <w:rFonts w:hint="eastAsia" w:ascii="Times New Roman" w:hAnsi="Times New Roman" w:eastAsia="宋体" w:cs="Times New Roman"/>
        </w:rPr>
        <w:t>支持线上收取患者诊疗费用</w:t>
      </w:r>
      <w:r>
        <w:rPr>
          <w:rFonts w:hint="eastAsia" w:ascii="Times New Roman" w:hAnsi="Times New Roman" w:eastAsia="宋体" w:cs="Times New Roman"/>
          <w:lang w:eastAsia="zh-CN"/>
        </w:rPr>
        <w:t>；</w:t>
      </w:r>
      <w:r>
        <w:rPr>
          <w:rFonts w:hint="eastAsia" w:ascii="Times New Roman" w:hAnsi="Times New Roman" w:eastAsia="宋体" w:cs="Times New Roman"/>
        </w:rPr>
        <w:t>系统支持直接在系统中完成医保报销，避免基层医务人员重复录入（需当地医保部门配合）。</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2.1.2.4统计查询</w:t>
      </w:r>
    </w:p>
    <w:p>
      <w:pPr>
        <w:pStyle w:val="15"/>
        <w:rPr>
          <w:rFonts w:hint="default"/>
          <w:lang w:val="en-US" w:eastAsia="zh-CN"/>
        </w:rPr>
      </w:pPr>
      <w:r>
        <w:rPr>
          <w:rFonts w:hint="eastAsia"/>
        </w:rPr>
        <w:t>系统支持对村级的诊疗数据、药品管理数据多个维度查询统计、业务报表等相关功能，使医院工作可检可查，报销有依据，工作量查询更便捷，数据报表更准确。</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2.2监督和管理体系建设</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2.2.1医共体人财物综合管理系统（HRP）</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2.2.1.1医共体财务综合管理系统</w:t>
      </w:r>
      <w:r>
        <w:rPr>
          <w:rFonts w:hint="eastAsia" w:ascii="Times New Roman" w:hAnsi="Times New Roman" w:eastAsia="宋体" w:cs="Times New Roman"/>
          <w:b/>
          <w:kern w:val="2"/>
          <w:sz w:val="28"/>
          <w:lang w:val="en-US" w:eastAsia="zh-CN" w:bidi="ar-SA"/>
        </w:rPr>
        <w:tab/>
      </w:r>
    </w:p>
    <w:p>
      <w:pPr>
        <w:pStyle w:val="7"/>
        <w:bidi w:val="0"/>
        <w:ind w:left="720" w:hanging="720"/>
        <w:rPr>
          <w:rFonts w:hint="eastAsia" w:ascii="Times New Roman" w:hAnsi="Times New Roman" w:eastAsia="宋体" w:cs="Times New Roman"/>
          <w:b/>
          <w:kern w:val="2"/>
          <w:sz w:val="28"/>
          <w:lang w:val="en-US" w:eastAsia="zh-CN" w:bidi="ar-SA"/>
        </w:rPr>
      </w:pPr>
      <w:bookmarkStart w:id="487" w:name="_Toc530822859"/>
      <w:bookmarkStart w:id="488" w:name="_Toc296011132"/>
      <w:bookmarkStart w:id="489" w:name="_Toc288657511"/>
      <w:bookmarkStart w:id="490" w:name="_Toc330914112"/>
      <w:bookmarkStart w:id="491" w:name="_Toc332039864"/>
      <w:bookmarkStart w:id="492" w:name="_Toc331574642"/>
      <w:bookmarkStart w:id="493" w:name="_Toc288663530"/>
      <w:r>
        <w:rPr>
          <w:rFonts w:hint="eastAsia" w:ascii="Times New Roman" w:hAnsi="Times New Roman" w:eastAsia="宋体" w:cs="Times New Roman"/>
          <w:b/>
          <w:kern w:val="2"/>
          <w:sz w:val="28"/>
          <w:lang w:val="en-US" w:eastAsia="zh-CN" w:bidi="ar-SA"/>
        </w:rPr>
        <w:t>2.2.1.1.1医共体基础平台</w:t>
      </w:r>
      <w:bookmarkEnd w:id="487"/>
    </w:p>
    <w:bookmarkEnd w:id="488"/>
    <w:bookmarkEnd w:id="489"/>
    <w:bookmarkEnd w:id="490"/>
    <w:bookmarkEnd w:id="491"/>
    <w:bookmarkEnd w:id="492"/>
    <w:bookmarkEnd w:id="493"/>
    <w:p>
      <w:pPr>
        <w:pStyle w:val="7"/>
        <w:bidi w:val="0"/>
        <w:ind w:left="720" w:hanging="720"/>
        <w:rPr>
          <w:rFonts w:hint="eastAsia" w:ascii="Times New Roman" w:hAnsi="Times New Roman" w:eastAsia="宋体" w:cs="Times New Roman"/>
          <w:b/>
          <w:kern w:val="2"/>
          <w:sz w:val="28"/>
          <w:lang w:val="en-US" w:eastAsia="zh-CN" w:bidi="ar-SA"/>
        </w:rPr>
      </w:pPr>
      <w:bookmarkStart w:id="494" w:name="_Toc288657519"/>
      <w:bookmarkStart w:id="495" w:name="_Toc330914114"/>
      <w:bookmarkStart w:id="496" w:name="_Toc288663532"/>
      <w:bookmarkStart w:id="497" w:name="_Toc332039866"/>
      <w:bookmarkStart w:id="498" w:name="_Toc331574644"/>
      <w:bookmarkStart w:id="499" w:name="_Toc296011134"/>
      <w:r>
        <w:rPr>
          <w:rFonts w:hint="eastAsia" w:ascii="Times New Roman" w:hAnsi="Times New Roman" w:eastAsia="宋体" w:cs="Times New Roman"/>
          <w:b/>
          <w:kern w:val="2"/>
          <w:sz w:val="28"/>
          <w:lang w:val="en-US" w:eastAsia="zh-CN" w:bidi="ar-SA"/>
        </w:rPr>
        <w:t>2.2.1.1.1.1.组织机构</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Fonts w:hint="default" w:ascii="宋体" w:hAnsi="宋体" w:eastAsia="宋体" w:cs="Times New Roman"/>
          <w:color w:val="auto"/>
          <w:kern w:val="2"/>
          <w:sz w:val="21"/>
          <w:lang w:val="en-US" w:eastAsia="zh-CN" w:bidi="ar-SA"/>
        </w:rPr>
        <w:t>（1）</w:t>
      </w:r>
      <w:r>
        <w:rPr>
          <w:rFonts w:hint="eastAsia"/>
        </w:rPr>
        <w:t>机构管理：定义医共体的组织体系，可以满足多院区、医共体管理要求；</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Fonts w:hint="default" w:ascii="宋体" w:hAnsi="宋体" w:eastAsia="宋体" w:cs="Times New Roman"/>
          <w:color w:val="auto"/>
          <w:kern w:val="2"/>
          <w:sz w:val="21"/>
          <w:lang w:val="en-US" w:eastAsia="zh-CN" w:bidi="ar-SA"/>
        </w:rPr>
        <w:t>（2）</w:t>
      </w:r>
      <w:r>
        <w:rPr>
          <w:rFonts w:hint="eastAsia"/>
        </w:rPr>
        <w:t>角色管理：定义系统用户角色，并对用户角色分配权限及用户，满足医共体限权体系的快速分配及管理；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Fonts w:hint="default" w:ascii="宋体" w:hAnsi="宋体" w:eastAsia="宋体" w:cs="Times New Roman"/>
          <w:color w:val="auto"/>
          <w:kern w:val="2"/>
          <w:sz w:val="21"/>
          <w:lang w:val="en-US" w:eastAsia="zh-CN" w:bidi="ar-SA"/>
        </w:rPr>
        <w:t>（3）</w:t>
      </w:r>
      <w:r>
        <w:rPr>
          <w:rFonts w:hint="eastAsia"/>
        </w:rPr>
        <w:t>用户管理：定义系统的操作用户，可以实现用户的导入、导出；</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2.2.1.1.1.2.系统设置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rPr>
      </w:pPr>
      <w:r>
        <w:rPr>
          <w:rFonts w:hint="default" w:ascii="宋体" w:hAnsi="宋体" w:eastAsia="宋体" w:cs="Times New Roman"/>
          <w:color w:val="auto"/>
          <w:kern w:val="2"/>
          <w:sz w:val="21"/>
          <w:lang w:val="en-US" w:eastAsia="zh-CN" w:bidi="ar-SA"/>
        </w:rPr>
        <w:t>（1）</w:t>
      </w:r>
      <w:r>
        <w:rPr>
          <w:rFonts w:hint="eastAsia" w:ascii="Times New Roman" w:hAnsi="Times New Roman" w:eastAsia="宋体" w:cs="Times New Roman"/>
        </w:rPr>
        <w:t>菜单管理：可以根据医院系统应用功能，启用或隐藏功能模块；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rPr>
      </w:pPr>
      <w:r>
        <w:rPr>
          <w:rFonts w:hint="default" w:ascii="宋体" w:hAnsi="宋体" w:eastAsia="宋体" w:cs="Times New Roman"/>
          <w:color w:val="auto"/>
          <w:kern w:val="2"/>
          <w:sz w:val="21"/>
          <w:lang w:val="en-US" w:eastAsia="zh-CN" w:bidi="ar-SA"/>
        </w:rPr>
        <w:t>（2）</w:t>
      </w:r>
      <w:r>
        <w:rPr>
          <w:rFonts w:hint="eastAsia" w:ascii="Times New Roman" w:hAnsi="Times New Roman" w:eastAsia="宋体" w:cs="Times New Roman"/>
        </w:rPr>
        <w:t>字典管理：可以根据医院的业务需求，自定义字典项目，满足医院个性化需求；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rPr>
      </w:pPr>
      <w:r>
        <w:rPr>
          <w:rFonts w:hint="default" w:ascii="宋体" w:hAnsi="宋体" w:eastAsia="宋体" w:cs="Times New Roman"/>
          <w:color w:val="auto"/>
          <w:kern w:val="2"/>
          <w:sz w:val="21"/>
          <w:lang w:val="en-US" w:eastAsia="zh-CN" w:bidi="ar-SA"/>
        </w:rPr>
        <w:t>（3）</w:t>
      </w:r>
      <w:r>
        <w:rPr>
          <w:rFonts w:hint="eastAsia" w:ascii="Times New Roman" w:hAnsi="Times New Roman" w:eastAsia="宋体" w:cs="Times New Roman"/>
        </w:rPr>
        <w:t>系统配置：可以根据医院的需求，配置系统界面的布局、颜色、短信及邮箱等内容；</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2.2.1.1.1.3.数据管理</w:t>
      </w:r>
    </w:p>
    <w:p>
      <w:pPr>
        <w:tabs>
          <w:tab w:val="left" w:pos="851"/>
        </w:tabs>
        <w:spacing w:line="360" w:lineRule="auto"/>
        <w:ind w:firstLine="480" w:firstLineChars="200"/>
        <w:jc w:val="left"/>
        <w:rPr>
          <w:rFonts w:ascii="宋体" w:hAnsi="宋体" w:eastAsia="宋体" w:cs="宋体"/>
          <w:bCs/>
          <w:color w:val="000000"/>
          <w:sz w:val="24"/>
          <w:szCs w:val="24"/>
        </w:rPr>
      </w:pPr>
      <w:r>
        <w:rPr>
          <w:rFonts w:hint="eastAsia" w:ascii="宋体" w:hAnsi="宋体" w:eastAsia="宋体" w:cs="宋体"/>
          <w:bCs/>
          <w:color w:val="000000"/>
          <w:sz w:val="24"/>
          <w:szCs w:val="24"/>
        </w:rPr>
        <w:t>支持根据HRP各系统数据要求，建立与第三方数据库的连接、数据源的管理、数据表的管理等接口平台。</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2.2.1.1.1.4.会计平台</w:t>
      </w:r>
    </w:p>
    <w:p>
      <w:pPr>
        <w:tabs>
          <w:tab w:val="left" w:pos="851"/>
        </w:tabs>
        <w:spacing w:line="360" w:lineRule="auto"/>
        <w:ind w:firstLine="480" w:firstLineChars="200"/>
        <w:jc w:val="left"/>
        <w:rPr>
          <w:rFonts w:ascii="宋体" w:hAnsi="宋体" w:eastAsia="宋体" w:cs="宋体"/>
          <w:bCs/>
          <w:color w:val="000000"/>
          <w:sz w:val="24"/>
          <w:szCs w:val="24"/>
        </w:rPr>
      </w:pPr>
      <w:r>
        <w:rPr>
          <w:rFonts w:ascii="宋体" w:hAnsi="宋体" w:eastAsia="宋体" w:cs="宋体"/>
          <w:bCs/>
          <w:color w:val="000000"/>
          <w:sz w:val="24"/>
          <w:szCs w:val="24"/>
        </w:rPr>
        <w:t>支持</w:t>
      </w:r>
      <w:r>
        <w:rPr>
          <w:rFonts w:hint="eastAsia" w:ascii="宋体" w:hAnsi="宋体" w:eastAsia="宋体" w:cs="宋体"/>
          <w:bCs/>
          <w:color w:val="000000"/>
          <w:sz w:val="24"/>
          <w:szCs w:val="24"/>
        </w:rPr>
        <w:t>实现医院业务系统与财务系统会计凭证的自动生成，支持接口取数和E</w:t>
      </w:r>
      <w:r>
        <w:rPr>
          <w:rFonts w:ascii="宋体" w:hAnsi="宋体" w:eastAsia="宋体" w:cs="宋体"/>
          <w:bCs/>
          <w:color w:val="000000"/>
          <w:sz w:val="24"/>
          <w:szCs w:val="24"/>
        </w:rPr>
        <w:t>XCEL</w:t>
      </w:r>
      <w:r>
        <w:rPr>
          <w:rFonts w:hint="eastAsia" w:ascii="宋体" w:hAnsi="宋体" w:eastAsia="宋体" w:cs="宋体"/>
          <w:bCs/>
          <w:color w:val="000000"/>
          <w:sz w:val="24"/>
          <w:szCs w:val="24"/>
        </w:rPr>
        <w:t>表格导入生成，同时支持导入凭证生成报账单。</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2.2.1.1.1.5.基础资料</w:t>
      </w:r>
    </w:p>
    <w:p>
      <w:pPr>
        <w:spacing w:line="360" w:lineRule="auto"/>
        <w:ind w:firstLine="420"/>
        <w:jc w:val="left"/>
        <w:rPr>
          <w:rFonts w:ascii="宋体" w:hAnsi="宋体" w:eastAsia="宋体"/>
          <w:sz w:val="24"/>
          <w:szCs w:val="24"/>
        </w:rPr>
      </w:pPr>
      <w:r>
        <w:rPr>
          <w:rFonts w:hint="eastAsia" w:ascii="宋体" w:hAnsi="宋体" w:eastAsia="宋体"/>
          <w:sz w:val="24"/>
          <w:szCs w:val="24"/>
        </w:rPr>
        <w:t>支持部门编码、供应商编码、职工信息、库房信息、项目信息、病人信息、付款条件、成本信息等编码信息的管理。</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2.2.1.1.1.6.接口平台</w:t>
      </w:r>
    </w:p>
    <w:p>
      <w:pPr>
        <w:pStyle w:val="70"/>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支持与现有财务系统接口和凭证模版的配置。</w:t>
      </w:r>
    </w:p>
    <w:p>
      <w:pPr>
        <w:pStyle w:val="70"/>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支持与医院HIS系统对接，实现数据实时传递并自动生成财务和预算凭证；</w:t>
      </w:r>
    </w:p>
    <w:p>
      <w:pPr>
        <w:pStyle w:val="70"/>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支持与医院人事工资系统对接，按照人事工资系统数据直接生成财务和预算凭证；</w:t>
      </w:r>
    </w:p>
    <w:p>
      <w:pPr>
        <w:pStyle w:val="70"/>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支持与医院物资系统对接，实现业务数据自动生成财务和预算凭证</w:t>
      </w:r>
    </w:p>
    <w:p>
      <w:pPr>
        <w:pStyle w:val="70"/>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支持与医院其他业务系统对接，实现数据的互联互通。</w:t>
      </w:r>
    </w:p>
    <w:p>
      <w:pPr>
        <w:pStyle w:val="7"/>
        <w:bidi w:val="0"/>
        <w:ind w:left="720" w:hanging="720"/>
        <w:rPr>
          <w:rFonts w:hint="eastAsia" w:ascii="Times New Roman" w:hAnsi="Times New Roman" w:eastAsia="宋体" w:cs="Times New Roman"/>
          <w:b/>
          <w:kern w:val="2"/>
          <w:sz w:val="28"/>
          <w:lang w:val="en-US" w:eastAsia="zh-CN" w:bidi="ar-SA"/>
        </w:rPr>
      </w:pPr>
      <w:bookmarkStart w:id="500" w:name="_Toc530822862"/>
      <w:r>
        <w:rPr>
          <w:rFonts w:hint="eastAsia" w:ascii="Times New Roman" w:hAnsi="Times New Roman" w:eastAsia="宋体" w:cs="Times New Roman"/>
          <w:b/>
          <w:kern w:val="2"/>
          <w:sz w:val="28"/>
          <w:lang w:val="en-US" w:eastAsia="zh-CN" w:bidi="ar-SA"/>
        </w:rPr>
        <w:t>2.2.1.1.2.现有财务系统加站升级</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2.2.1.1.2.1.总账管理</w:t>
      </w:r>
    </w:p>
    <w:p>
      <w:pPr>
        <w:pStyle w:val="82"/>
        <w:ind w:firstLine="480"/>
        <w:rPr>
          <w:sz w:val="24"/>
        </w:rPr>
      </w:pPr>
      <w:r>
        <w:rPr>
          <w:rFonts w:hint="eastAsia"/>
          <w:sz w:val="24"/>
        </w:rPr>
        <w:t>支持账务处理初始信息，包括凭证录入、审核、记账，以及各种辅助核算账信息的输入和输出，支持部门核算、供应商核算、科研项目核算和往来核算等，最后产生各种会计账簿输出打印等内容，包括凭证制单、自动凭证、凭证审核、凭证记账、凭证打印、凭证模板、凭证统计等信息。</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2.2.1.1.2.2.现金管理</w:t>
      </w:r>
    </w:p>
    <w:p>
      <w:pPr>
        <w:pStyle w:val="82"/>
        <w:ind w:firstLine="480"/>
        <w:rPr>
          <w:sz w:val="24"/>
        </w:rPr>
      </w:pPr>
      <w:r>
        <w:rPr>
          <w:rFonts w:hint="eastAsia"/>
          <w:sz w:val="24"/>
        </w:rPr>
        <w:t>支持现金银行出纳流水账登记、现金银行日记账管理、出纳对账、银行对账等日常工作处理；支持不同银行对账单导入的标准化静态接口，包括银行初始、日记账、出纳账登记、出纳对账、银行对账等信息。</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2.2.1.1.2.3.报表管理</w:t>
      </w:r>
    </w:p>
    <w:p>
      <w:pPr>
        <w:pStyle w:val="82"/>
        <w:ind w:firstLine="480"/>
        <w:rPr>
          <w:sz w:val="24"/>
        </w:rPr>
      </w:pPr>
      <w:r>
        <w:rPr>
          <w:rFonts w:hint="eastAsia"/>
          <w:sz w:val="24"/>
        </w:rPr>
        <w:t>实现财务报表自定义取数，完成资产负债表、收支总表、收支明细表等规定报表的上报。支持定义满足财务分析的个性化需求的报表，包括会计报表模板、会计报表制作、会计报表查询、报表审核等功能。提供现金流量表信息，支持通过凭证单张指定现金流量，支持通过T型账户、附表项目、附表项目调整菜单对现金流量进行批量指定功能。现金流量查询支持凭证现金流量信息的查询。</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2.2.1.1.2.4.现金流量表</w:t>
      </w:r>
    </w:p>
    <w:p>
      <w:pPr>
        <w:spacing w:line="360" w:lineRule="auto"/>
        <w:ind w:firstLine="480" w:firstLineChars="200"/>
        <w:jc w:val="left"/>
        <w:rPr>
          <w:rFonts w:ascii="Arial" w:hAnsi="Arial" w:cs="Times New Roman"/>
          <w:sz w:val="24"/>
          <w:szCs w:val="24"/>
        </w:rPr>
      </w:pPr>
      <w:r>
        <w:rPr>
          <w:rFonts w:hint="eastAsia" w:ascii="Arial" w:hAnsi="Arial" w:cs="Times New Roman"/>
          <w:sz w:val="24"/>
          <w:szCs w:val="24"/>
        </w:rPr>
        <w:t>提供现金流量表信息，即支持通过凭证单张指定现金流量，也支持通过T型账户、附表项目、附表项目调整菜单对现金流量进行批量指定功能。</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2.2.1.1.2.5.支持2019年新会计制度</w:t>
      </w:r>
    </w:p>
    <w:p>
      <w:pPr>
        <w:spacing w:line="360" w:lineRule="auto"/>
        <w:ind w:firstLine="480" w:firstLineChars="200"/>
        <w:jc w:val="left"/>
        <w:rPr>
          <w:rFonts w:ascii="Arial" w:hAnsi="Arial" w:cs="Times New Roman"/>
          <w:sz w:val="24"/>
          <w:szCs w:val="24"/>
        </w:rPr>
      </w:pPr>
      <w:r>
        <w:rPr>
          <w:rFonts w:hint="eastAsia" w:ascii="Arial" w:hAnsi="Arial" w:cs="Times New Roman"/>
          <w:sz w:val="24"/>
          <w:szCs w:val="24"/>
        </w:rPr>
        <w:t>内置按2019年执行新财务制度科目和医院会计科目、基层会计科目及其报表。多维辅助核算：通过启用辅助核算项，实现对项目、科室、往来单位、病人等的多维核算。支持智能平行记账功能，实现记账凭证和预算凭证同步；支持自动生成本年盈余与结余差异调节表</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2.2.1.1.3.会计平台</w:t>
      </w:r>
    </w:p>
    <w:p>
      <w:pPr>
        <w:pStyle w:val="83"/>
        <w:ind w:firstLine="480" w:firstLineChars="200"/>
        <w:jc w:val="left"/>
        <w:rPr>
          <w:rFonts w:ascii="Arial" w:hAnsi="Arial" w:eastAsia="宋体"/>
          <w:kern w:val="2"/>
          <w:sz w:val="24"/>
        </w:rPr>
      </w:pPr>
      <w:r>
        <w:rPr>
          <w:rFonts w:hint="eastAsia" w:ascii="Arial" w:hAnsi="Arial" w:eastAsia="宋体"/>
          <w:kern w:val="2"/>
          <w:sz w:val="24"/>
        </w:rPr>
        <w:t>（1）HIS账务接口：支持与HIS系统对接，实现HIS收入数据的统计、查询、自动生成财务凭证和预算凭证，并实现HIS与HRP基础信息的对接等功能。</w:t>
      </w:r>
    </w:p>
    <w:p>
      <w:pPr>
        <w:pStyle w:val="83"/>
        <w:ind w:firstLine="480" w:firstLineChars="200"/>
        <w:jc w:val="left"/>
        <w:rPr>
          <w:rFonts w:ascii="Arial" w:hAnsi="Arial" w:eastAsia="宋体"/>
          <w:kern w:val="2"/>
          <w:sz w:val="24"/>
        </w:rPr>
      </w:pPr>
      <w:r>
        <w:rPr>
          <w:rFonts w:hint="eastAsia" w:ascii="Arial" w:hAnsi="Arial" w:eastAsia="宋体"/>
          <w:kern w:val="2"/>
          <w:sz w:val="24"/>
        </w:rPr>
        <w:t>（</w:t>
      </w:r>
      <w:r>
        <w:rPr>
          <w:rFonts w:ascii="Arial" w:hAnsi="Arial" w:eastAsia="宋体"/>
          <w:kern w:val="2"/>
          <w:sz w:val="24"/>
        </w:rPr>
        <w:t>2</w:t>
      </w:r>
      <w:r>
        <w:rPr>
          <w:rFonts w:hint="eastAsia" w:ascii="Arial" w:hAnsi="Arial" w:eastAsia="宋体"/>
          <w:kern w:val="2"/>
          <w:sz w:val="24"/>
        </w:rPr>
        <w:t>）药品物资账务接口：支持与HIS系统对接，实现药库出库、盘亏出库，调亏出库的业务数据生成财务凭证和预算凭证，并实现HIS与HRP基础信息的对接等功能。</w:t>
      </w:r>
    </w:p>
    <w:p>
      <w:pPr>
        <w:pStyle w:val="83"/>
        <w:ind w:firstLine="480" w:firstLineChars="200"/>
        <w:jc w:val="left"/>
        <w:rPr>
          <w:rFonts w:ascii="Arial" w:hAnsi="Arial" w:eastAsia="宋体"/>
          <w:kern w:val="2"/>
          <w:sz w:val="24"/>
        </w:rPr>
      </w:pPr>
      <w:r>
        <w:rPr>
          <w:rFonts w:hint="eastAsia" w:ascii="Arial" w:hAnsi="Arial" w:eastAsia="宋体"/>
          <w:kern w:val="2"/>
          <w:sz w:val="24"/>
        </w:rPr>
        <w:t>（3）物资耗材账务接口：支持与物资耗材系统对接，实现业务数据生成财务和预算凭证。</w:t>
      </w:r>
    </w:p>
    <w:p>
      <w:pPr>
        <w:pStyle w:val="83"/>
        <w:ind w:firstLine="480" w:firstLineChars="200"/>
        <w:jc w:val="left"/>
        <w:rPr>
          <w:rFonts w:ascii="Arial" w:hAnsi="Arial" w:eastAsia="宋体"/>
          <w:kern w:val="2"/>
          <w:sz w:val="24"/>
        </w:rPr>
      </w:pPr>
      <w:r>
        <w:rPr>
          <w:rFonts w:hint="eastAsia" w:ascii="Arial" w:hAnsi="Arial" w:eastAsia="宋体"/>
          <w:kern w:val="2"/>
          <w:sz w:val="24"/>
        </w:rPr>
        <w:t>（4）人事工资系统账务接口：支持与人事工资系统对接，实现薪酬数据生成财务和预算凭证。</w:t>
      </w:r>
    </w:p>
    <w:p>
      <w:pPr>
        <w:pStyle w:val="83"/>
        <w:ind w:firstLine="480" w:firstLineChars="200"/>
        <w:jc w:val="left"/>
        <w:rPr>
          <w:rFonts w:ascii="Arial" w:hAnsi="Arial" w:eastAsia="宋体"/>
          <w:kern w:val="2"/>
          <w:sz w:val="24"/>
        </w:rPr>
      </w:pPr>
      <w:r>
        <w:rPr>
          <w:rFonts w:hint="eastAsia" w:ascii="Arial" w:hAnsi="Arial" w:eastAsia="宋体"/>
          <w:kern w:val="2"/>
          <w:sz w:val="24"/>
        </w:rPr>
        <w:t>（5）E</w:t>
      </w:r>
      <w:r>
        <w:rPr>
          <w:rFonts w:ascii="Arial" w:hAnsi="Arial" w:eastAsia="宋体"/>
          <w:kern w:val="2"/>
          <w:sz w:val="24"/>
        </w:rPr>
        <w:t>XCL</w:t>
      </w:r>
      <w:r>
        <w:rPr>
          <w:rFonts w:hint="eastAsia" w:ascii="Arial" w:hAnsi="Arial" w:eastAsia="宋体"/>
          <w:kern w:val="2"/>
          <w:sz w:val="24"/>
        </w:rPr>
        <w:t>导入：支持EXCL模版导入生成财务和预算凭证。</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2.2.1.1.4.成本管理系统</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2.2.1.1.4.1.总体要求</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宋体"/>
          <w:color w:val="000000"/>
          <w:sz w:val="24"/>
          <w:szCs w:val="24"/>
        </w:rPr>
        <w:t>（1）</w:t>
      </w:r>
      <w:r>
        <w:rPr>
          <w:rFonts w:hint="eastAsia" w:ascii="宋体" w:hAnsi="宋体" w:eastAsia="宋体" w:cs="Times New Roman"/>
          <w:sz w:val="24"/>
          <w:szCs w:val="24"/>
        </w:rPr>
        <w:t>支持医共体集团化业务，支持多组织架构，以满足医共体建设、多院区建设等集团化管理的需要。</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（2）系统不限制用户数量，不按照用户数量收取授权费用。</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（3）软件框架设计合理、各种功能齐全、软件系统稳定、通用，在医院的实施周期短、成本低。</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4）建立适合医院管理的全成本核算的理论方法和合理的成本分摊方法，形成以成本核算为数据处理中心的业务管理模式。医院成本管理流程与应用设计完全符合国家卫健委、国家中医药管理局联合下发《关于印发公立医院成本核算规范的通知》国卫财务发【2021】4号文件的核算规范要求。</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（5）支持医院科室成本、床日成本、诊次成本核算，建立医疗服务项目成本、病种成本核算模型，满足DIP/D</w:t>
      </w:r>
      <w:r>
        <w:rPr>
          <w:rFonts w:ascii="宋体" w:hAnsi="宋体" w:eastAsia="宋体" w:cs="Times New Roman"/>
          <w:sz w:val="24"/>
          <w:szCs w:val="24"/>
        </w:rPr>
        <w:t>RG</w:t>
      </w:r>
      <w:r>
        <w:rPr>
          <w:rFonts w:hint="eastAsia" w:ascii="宋体" w:hAnsi="宋体" w:eastAsia="宋体" w:cs="Times New Roman"/>
          <w:sz w:val="24"/>
          <w:szCs w:val="24"/>
        </w:rPr>
        <w:t>成本的扩展应用。</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（6）成本报表分析平台支持和财务系统对接取数进行按月、季度、半年度和年度进行成本报表分析。</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2.2.1.1.4.2.科室成本管理平台</w:t>
      </w:r>
    </w:p>
    <w:p>
      <w:pPr>
        <w:pStyle w:val="70"/>
        <w:keepNext w:val="0"/>
        <w:keepLines w:val="0"/>
        <w:pageBreakBefore w:val="0"/>
        <w:widowControl w:val="0"/>
        <w:numPr>
          <w:ilvl w:val="0"/>
          <w:numId w:val="59"/>
        </w:numPr>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kern w:val="2"/>
          <w:sz w:val="24"/>
          <w:szCs w:val="24"/>
        </w:rPr>
        <w:t>指标管理</w:t>
      </w:r>
    </w:p>
    <w:p>
      <w:pPr>
        <w:pStyle w:val="70"/>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kern w:val="2"/>
          <w:sz w:val="24"/>
          <w:szCs w:val="24"/>
        </w:rPr>
        <w:t>支持自定义分摊指标，满足医院成本分摊规则的要求；</w:t>
      </w:r>
    </w:p>
    <w:p>
      <w:pPr>
        <w:pStyle w:val="70"/>
        <w:keepNext w:val="0"/>
        <w:keepLines w:val="0"/>
        <w:pageBreakBefore w:val="0"/>
        <w:widowControl w:val="0"/>
        <w:numPr>
          <w:ilvl w:val="0"/>
          <w:numId w:val="59"/>
        </w:numPr>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kern w:val="2"/>
          <w:sz w:val="24"/>
          <w:szCs w:val="24"/>
        </w:rPr>
        <w:t>分摊标准参数</w:t>
      </w:r>
    </w:p>
    <w:p>
      <w:pPr>
        <w:pStyle w:val="70"/>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kern w:val="2"/>
          <w:sz w:val="24"/>
          <w:szCs w:val="24"/>
        </w:rPr>
        <w:t>支持根据科室、分摊指标任意条件批量或按单设置分摊相关参数。成本分摊科目匹配医院现有财务系统成本科目进行匹配，可以根据医院管理的需要进行新建、修改、删除、导入、导出等操作，成本核算数据必须以财务核算系统的数据为准。</w:t>
      </w:r>
    </w:p>
    <w:p>
      <w:pPr>
        <w:pStyle w:val="70"/>
        <w:keepNext w:val="0"/>
        <w:keepLines w:val="0"/>
        <w:pageBreakBefore w:val="0"/>
        <w:widowControl w:val="0"/>
        <w:numPr>
          <w:ilvl w:val="0"/>
          <w:numId w:val="59"/>
        </w:numPr>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sz w:val="24"/>
          <w:szCs w:val="24"/>
        </w:rPr>
        <w:t>成本分摊方案</w:t>
      </w:r>
    </w:p>
    <w:p>
      <w:pPr>
        <w:pStyle w:val="70"/>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sz w:val="24"/>
          <w:szCs w:val="24"/>
        </w:rPr>
        <w:t>支持根据医院的需求自定义成本方案，满足医院内部绩效分配和成本核算规范报表的需求。</w:t>
      </w:r>
    </w:p>
    <w:p>
      <w:pPr>
        <w:pStyle w:val="70"/>
        <w:keepNext w:val="0"/>
        <w:keepLines w:val="0"/>
        <w:pageBreakBefore w:val="0"/>
        <w:widowControl w:val="0"/>
        <w:numPr>
          <w:ilvl w:val="0"/>
          <w:numId w:val="59"/>
        </w:numPr>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sz w:val="24"/>
          <w:szCs w:val="24"/>
        </w:rPr>
        <w:t>数据处理</w:t>
      </w:r>
    </w:p>
    <w:p>
      <w:pPr>
        <w:pStyle w:val="70"/>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人员数据：支持对医院人员及人员支出进行维护、导入（接口自动导入或EXCL导入），包括增加、修改、删除、查询等；</w:t>
      </w:r>
    </w:p>
    <w:p>
      <w:pPr>
        <w:pStyle w:val="70"/>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工作量数据：支持对门诊工作量、住院工作量、医技工作量、内部服务工作量进行维护、导入（接口自动导入或EXCL导入），包括增加、修改、删除、查询等。</w:t>
      </w:r>
    </w:p>
    <w:p>
      <w:pPr>
        <w:pStyle w:val="70"/>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收入数据：支持对医疗收入数据和其它收入等的数据进行维护，包括增加、修改、删除、归集、查询等各种功能，系统实现接口自动引入或通过Excl导入，并提供收入数据的统计汇总。</w:t>
      </w:r>
    </w:p>
    <w:p>
      <w:pPr>
        <w:pStyle w:val="70"/>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支出数据：支持对财务成本、直接成本、科室直接成本等数据进行维护、导入（接口自动导入或EXCL导入）和计算，包括增加、修改、删除、查询等。</w:t>
      </w:r>
    </w:p>
    <w:p>
      <w:pPr>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firstLine="480" w:firstLineChars="200"/>
        <w:jc w:val="left"/>
        <w:textAlignment w:val="auto"/>
        <w:rPr>
          <w:rFonts w:ascii="宋体" w:hAnsi="宋体" w:eastAsia="宋体" w:cs="Times New Roman"/>
          <w:sz w:val="24"/>
          <w:szCs w:val="24"/>
        </w:rPr>
      </w:pPr>
      <w:r>
        <w:rPr>
          <w:rFonts w:hint="eastAsia" w:ascii="宋体" w:hAnsi="宋体" w:eastAsia="宋体" w:cs="Times New Roman"/>
          <w:sz w:val="24"/>
          <w:szCs w:val="24"/>
        </w:rPr>
        <w:t>(5)成本分配</w:t>
      </w:r>
    </w:p>
    <w:p>
      <w:pPr>
        <w:pStyle w:val="70"/>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ascii="宋体" w:hAnsi="宋体" w:eastAsia="宋体"/>
          <w:sz w:val="24"/>
          <w:szCs w:val="24"/>
        </w:rPr>
      </w:pPr>
      <w:r>
        <w:rPr>
          <w:rFonts w:hint="eastAsia" w:ascii="宋体" w:hAnsi="宋体" w:eastAsia="宋体"/>
          <w:sz w:val="24"/>
          <w:szCs w:val="24"/>
        </w:rPr>
        <w:t>院级分摊：支持对医院公共费用包括水电费、通讯费等统交统管的公共费用进行分摊，并按科室辅助核算生成对应的财务凭证和预算凭证。</w:t>
      </w:r>
    </w:p>
    <w:p>
      <w:pPr>
        <w:pStyle w:val="70"/>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ascii="宋体" w:hAnsi="宋体" w:eastAsia="宋体"/>
          <w:sz w:val="24"/>
          <w:szCs w:val="24"/>
        </w:rPr>
      </w:pPr>
      <w:r>
        <w:rPr>
          <w:rFonts w:hint="eastAsia" w:ascii="宋体" w:hAnsi="宋体" w:eastAsia="宋体"/>
          <w:sz w:val="24"/>
          <w:szCs w:val="24"/>
        </w:rPr>
        <w:t>成本分摊：支持按照《公立医院成本核算规范》规定的“四级五类分摊法”对成本数据进行快速分摊，完成全成本核算工作，并能提供对医疗业务成本、医疗成本、医疗全成本、医院全成本的处理，支持对分摊的数据进行校验，确保分摊结果的准确性。支持根据用户的需求灵活设置各种分摊方法。</w:t>
      </w:r>
    </w:p>
    <w:p>
      <w:pPr>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firstLine="480" w:firstLineChars="200"/>
        <w:jc w:val="left"/>
        <w:textAlignment w:val="auto"/>
        <w:rPr>
          <w:rFonts w:ascii="宋体" w:hAnsi="宋体" w:eastAsia="宋体"/>
          <w:sz w:val="24"/>
          <w:szCs w:val="24"/>
        </w:rPr>
      </w:pPr>
      <w:r>
        <w:rPr>
          <w:rFonts w:hint="eastAsia" w:ascii="宋体" w:hAnsi="宋体" w:eastAsia="宋体"/>
          <w:sz w:val="24"/>
          <w:szCs w:val="24"/>
        </w:rPr>
        <w:t>（6）成本报表</w:t>
      </w:r>
    </w:p>
    <w:p>
      <w:pPr>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firstLine="480" w:firstLineChars="200"/>
        <w:jc w:val="left"/>
        <w:textAlignment w:val="auto"/>
        <w:rPr>
          <w:rFonts w:ascii="宋体" w:hAnsi="宋体" w:eastAsia="宋体" w:cs="Times New Roman"/>
          <w:sz w:val="24"/>
          <w:szCs w:val="24"/>
        </w:rPr>
      </w:pPr>
      <w:r>
        <w:rPr>
          <w:rFonts w:hint="eastAsia" w:ascii="宋体" w:hAnsi="宋体" w:eastAsia="宋体" w:cs="Times New Roman"/>
          <w:sz w:val="24"/>
          <w:szCs w:val="24"/>
        </w:rPr>
        <w:t>提供医院财务制度、部级医院财务制度、成本管理办法规定的报表，支持根据各级财务制度、管理办法的最新规定要求及时完善报表功能。</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2.2.1.1.5.全面预算管理系统</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2.2.1.1.5.1.基础设置</w:t>
      </w:r>
    </w:p>
    <w:p>
      <w:pPr>
        <w:pStyle w:val="70"/>
        <w:keepNext w:val="0"/>
        <w:keepLines w:val="0"/>
        <w:pageBreakBefore w:val="0"/>
        <w:widowControl w:val="0"/>
        <w:numPr>
          <w:ilvl w:val="0"/>
          <w:numId w:val="61"/>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预算经费类型：支持医院运营预算、资本预算、财务预算等类型的维护，可以定义预算刚性控制或柔性控制手段；</w:t>
      </w:r>
    </w:p>
    <w:p>
      <w:pPr>
        <w:pStyle w:val="70"/>
        <w:keepNext w:val="0"/>
        <w:keepLines w:val="0"/>
        <w:pageBreakBefore w:val="0"/>
        <w:widowControl w:val="0"/>
        <w:numPr>
          <w:ilvl w:val="0"/>
          <w:numId w:val="61"/>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预算项目列表：支持医院具体的预算维护，可以对预算项目进行新建、复制、导入、导出及删除等操作；</w:t>
      </w:r>
    </w:p>
    <w:p>
      <w:pPr>
        <w:pStyle w:val="70"/>
        <w:keepNext w:val="0"/>
        <w:keepLines w:val="0"/>
        <w:pageBreakBefore w:val="0"/>
        <w:widowControl w:val="0"/>
        <w:numPr>
          <w:ilvl w:val="0"/>
          <w:numId w:val="61"/>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预算与财务科对照：支持维护预算系统与财务等其他系统部门对照。</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2.2.1.1.5.2.预算编制</w:t>
      </w:r>
    </w:p>
    <w:p>
      <w:pPr>
        <w:pStyle w:val="70"/>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预算编制（按科室）：支持按科室编制医院预算，实现对科室预算的查询、导入及初始化等操作；</w:t>
      </w:r>
    </w:p>
    <w:p>
      <w:pPr>
        <w:pStyle w:val="70"/>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预算编制（按项目）支持按项目编制预算，实现按科室及项目对预算的编制、查询、导入等操作；</w:t>
      </w:r>
    </w:p>
    <w:p>
      <w:pPr>
        <w:pStyle w:val="70"/>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预算总目标下达（财务科）：支持由财务科下达预算项目预算总额，并对预算进行审核、科室上报、归口批复等操作；</w:t>
      </w:r>
    </w:p>
    <w:p>
      <w:pPr>
        <w:pStyle w:val="70"/>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预算总目标分解（归口科室）：支持由归口科室分解预算项目，并对预算进行下达、审核、上送、批复等操作；</w:t>
      </w:r>
    </w:p>
    <w:p>
      <w:pPr>
        <w:pStyle w:val="70"/>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预算项目明细填报（业务科室）：支持由业务科室填报预算项目金额，并对预算进行上报；</w:t>
      </w:r>
    </w:p>
    <w:p>
      <w:pPr>
        <w:pStyle w:val="70"/>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预算草案管理：支持医院编制的预算草案维护，并对预算草案进行审核、批复、导入、导出等操作；</w:t>
      </w:r>
    </w:p>
    <w:p>
      <w:pPr>
        <w:pStyle w:val="70"/>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预算额度下发管理：支持医院编制的预算方案维护，并对预算方案进行审核、下发等操作；</w:t>
      </w:r>
    </w:p>
    <w:p>
      <w:pPr>
        <w:pStyle w:val="70"/>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预算编制记录：支持按科室、年份、项目查询医院的预算编制记录。</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2.2.1.1.5.3.预算调整</w:t>
      </w:r>
    </w:p>
    <w:p>
      <w:pPr>
        <w:pStyle w:val="70"/>
        <w:keepNext w:val="0"/>
        <w:keepLines w:val="0"/>
        <w:pageBreakBefore w:val="0"/>
        <w:widowControl w:val="0"/>
        <w:numPr>
          <w:ilvl w:val="0"/>
          <w:numId w:val="63"/>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预算调整申请：支持由预算调整科室新增预算申请单，并对预算调整单进行修改、删除、审批流程等操作；</w:t>
      </w:r>
    </w:p>
    <w:p>
      <w:pPr>
        <w:pStyle w:val="70"/>
        <w:keepNext w:val="0"/>
        <w:keepLines w:val="0"/>
        <w:pageBreakBefore w:val="0"/>
        <w:widowControl w:val="0"/>
        <w:numPr>
          <w:ilvl w:val="0"/>
          <w:numId w:val="63"/>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预算调整上报：对科室提交的预算调整单进行上报、下发、驳回等操作；</w:t>
      </w:r>
    </w:p>
    <w:p>
      <w:pPr>
        <w:pStyle w:val="70"/>
        <w:keepNext w:val="0"/>
        <w:keepLines w:val="0"/>
        <w:pageBreakBefore w:val="0"/>
        <w:widowControl w:val="0"/>
        <w:numPr>
          <w:ilvl w:val="0"/>
          <w:numId w:val="63"/>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预算调整批复：对科室提交的预算调整单进行批复、取消批复等操作；</w:t>
      </w:r>
    </w:p>
    <w:p>
      <w:pPr>
        <w:pStyle w:val="70"/>
        <w:keepNext w:val="0"/>
        <w:keepLines w:val="0"/>
        <w:pageBreakBefore w:val="0"/>
        <w:widowControl w:val="0"/>
        <w:numPr>
          <w:ilvl w:val="0"/>
          <w:numId w:val="63"/>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部门预算调整申请（划拨）：维护部门与部门之间，项目与项目之间的预算额度，并对调整单进行批复、驳回等操作。</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2.2.1.1.5.4.预算申请</w:t>
      </w:r>
    </w:p>
    <w:p>
      <w:pPr>
        <w:pStyle w:val="70"/>
        <w:keepNext w:val="0"/>
        <w:keepLines w:val="0"/>
        <w:pageBreakBefore w:val="0"/>
        <w:widowControl w:val="0"/>
        <w:numPr>
          <w:ilvl w:val="0"/>
          <w:numId w:val="64"/>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预算申请单：支持由业务科室对预算申请单的新建、修改、删除、打印、核算、审核、驳回、作废、撤销等操作；</w:t>
      </w:r>
    </w:p>
    <w:p>
      <w:pPr>
        <w:pStyle w:val="70"/>
        <w:keepNext w:val="0"/>
        <w:keepLines w:val="0"/>
        <w:pageBreakBefore w:val="0"/>
        <w:widowControl w:val="0"/>
        <w:numPr>
          <w:ilvl w:val="0"/>
          <w:numId w:val="64"/>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审核流程：支持审批流程自定义，可以查看预算申请单的审核信息、申请信息、流程信息、流程图、及流转记录；</w:t>
      </w:r>
    </w:p>
    <w:p>
      <w:pPr>
        <w:pStyle w:val="70"/>
        <w:keepNext w:val="0"/>
        <w:keepLines w:val="0"/>
        <w:pageBreakBefore w:val="0"/>
        <w:widowControl w:val="0"/>
        <w:numPr>
          <w:ilvl w:val="0"/>
          <w:numId w:val="64"/>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费用测算：支持科室在填报预算申请单的时候进行费用的智能测算功能，确保费用有效控制。</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2.2.1.1.5.5.费用网报</w:t>
      </w:r>
    </w:p>
    <w:p>
      <w:pPr>
        <w:pStyle w:val="70"/>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费用报销单：同步预算申请单，对费用报销单进行网报申请流程及修改、删除、导出等操作；</w:t>
      </w:r>
    </w:p>
    <w:p>
      <w:pPr>
        <w:pStyle w:val="70"/>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事前审核待办：查询事前审核待办事项，并对单据进行流程追溯查询；</w:t>
      </w:r>
    </w:p>
    <w:p>
      <w:pPr>
        <w:pStyle w:val="70"/>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事前申请已办：查询事前申请已办事项，并对单据进行历史流程记录查询；</w:t>
      </w:r>
    </w:p>
    <w:p>
      <w:pPr>
        <w:pStyle w:val="70"/>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事前发起进度：查询事前发起进度事项，并对单据进行历名流程记录查询；</w:t>
      </w:r>
    </w:p>
    <w:p>
      <w:pPr>
        <w:pStyle w:val="70"/>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费用类型配置：配置需要进行网报费用测算的的费用类型，实现费用类型的自定义及费用标准的维护；</w:t>
      </w:r>
    </w:p>
    <w:p>
      <w:pPr>
        <w:pStyle w:val="70"/>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经费标准配置：自定义各区域各项经费的标准。</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2.2.1.1.5.6.报账管理</w:t>
      </w:r>
    </w:p>
    <w:p>
      <w:pPr>
        <w:pStyle w:val="70"/>
        <w:keepNext w:val="0"/>
        <w:keepLines w:val="0"/>
        <w:pageBreakBefore w:val="0"/>
        <w:widowControl w:val="0"/>
        <w:numPr>
          <w:ilvl w:val="0"/>
          <w:numId w:val="66"/>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科室日常报账：支持科室直接填报日常报账单，实现对报账单关联生成出纳付款单，同步生成财务记账凭证和预算凭证。</w:t>
      </w:r>
    </w:p>
    <w:p>
      <w:pPr>
        <w:pStyle w:val="70"/>
        <w:keepNext w:val="0"/>
        <w:keepLines w:val="0"/>
        <w:pageBreakBefore w:val="0"/>
        <w:widowControl w:val="0"/>
        <w:numPr>
          <w:ilvl w:val="0"/>
          <w:numId w:val="66"/>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归口科室报账：通过预算申请单及费用报销单同步生成归口科室报账单，实现对归口科室报账单的审核、复核、关联生成出纳付款单、同步生成财务记账凭证和预算凭证等</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2.2.1.1.5.7.资金管理</w:t>
      </w:r>
    </w:p>
    <w:p>
      <w:pPr>
        <w:pStyle w:val="70"/>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资金申请：支持对资金申请单新型维护，包括新建、修改、删除、审核、核销等操作；</w:t>
      </w:r>
    </w:p>
    <w:p>
      <w:pPr>
        <w:pStyle w:val="70"/>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支付对象管理：支持相关的支付对账维护；</w:t>
      </w:r>
    </w:p>
    <w:p>
      <w:pPr>
        <w:pStyle w:val="70"/>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支付管理：支持对流程审批完的单据进行支付、批量支付或取消支付等操作；</w:t>
      </w:r>
    </w:p>
    <w:p>
      <w:pPr>
        <w:pStyle w:val="70"/>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资金项目管理：支持维护资金项目及预算项目的对应关系；</w:t>
      </w:r>
    </w:p>
    <w:p>
      <w:pPr>
        <w:pStyle w:val="70"/>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支付单报表：支持查询资金项目支付情况。</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2.2.1.1.5.8.报表查询</w:t>
      </w:r>
    </w:p>
    <w:p>
      <w:pPr>
        <w:pStyle w:val="70"/>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支持科室预算执行情况查询</w:t>
      </w:r>
    </w:p>
    <w:p>
      <w:pPr>
        <w:pStyle w:val="70"/>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全院预算执行情况查询</w:t>
      </w:r>
    </w:p>
    <w:p>
      <w:pPr>
        <w:pStyle w:val="70"/>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全院预算执行情况表</w:t>
      </w:r>
    </w:p>
    <w:p>
      <w:pPr>
        <w:pStyle w:val="70"/>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归口项目预算执行情况表-科室</w:t>
      </w:r>
    </w:p>
    <w:p>
      <w:pPr>
        <w:pStyle w:val="70"/>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归口科室预算执行情况表</w:t>
      </w:r>
    </w:p>
    <w:p>
      <w:pPr>
        <w:pStyle w:val="70"/>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可以实现报表自定义，满足医院管理需要。</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2.2.1.1.5.9.预算图表</w:t>
      </w:r>
    </w:p>
    <w:p>
      <w:pPr>
        <w:spacing w:line="360" w:lineRule="auto"/>
        <w:ind w:firstLine="482"/>
        <w:jc w:val="left"/>
        <w:rPr>
          <w:rFonts w:ascii="宋体" w:hAnsi="宋体" w:eastAsia="宋体" w:cs="Times New Roman"/>
          <w:sz w:val="24"/>
          <w:szCs w:val="24"/>
        </w:rPr>
      </w:pPr>
      <w:r>
        <w:rPr>
          <w:rFonts w:hint="eastAsia" w:ascii="宋体" w:hAnsi="宋体" w:eastAsia="宋体" w:cs="Times New Roman"/>
          <w:sz w:val="24"/>
          <w:szCs w:val="24"/>
        </w:rPr>
        <w:t>支持通过各种图表对预算执行情况进行图形可视化展示。</w:t>
      </w:r>
    </w:p>
    <w:bookmarkEnd w:id="494"/>
    <w:bookmarkEnd w:id="495"/>
    <w:bookmarkEnd w:id="496"/>
    <w:bookmarkEnd w:id="497"/>
    <w:bookmarkEnd w:id="498"/>
    <w:bookmarkEnd w:id="499"/>
    <w:bookmarkEnd w:id="500"/>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2.2.1.2.医共体人事综合管理系统</w:t>
      </w:r>
      <w:r>
        <w:rPr>
          <w:rFonts w:hint="eastAsia" w:ascii="Times New Roman" w:hAnsi="Times New Roman" w:eastAsia="宋体" w:cs="Times New Roman"/>
          <w:b/>
          <w:kern w:val="2"/>
          <w:sz w:val="28"/>
          <w:lang w:val="en-US" w:eastAsia="zh-CN" w:bidi="ar-SA"/>
        </w:rPr>
        <w:tab/>
      </w:r>
    </w:p>
    <w:p>
      <w:pPr>
        <w:ind w:firstLine="420" w:firstLineChars="200"/>
        <w:rPr>
          <w:rFonts w:hint="eastAsia"/>
        </w:rPr>
      </w:pPr>
      <w:r>
        <w:rPr>
          <w:rFonts w:hint="eastAsia"/>
        </w:rPr>
        <w:t>招聘管理：招聘管理主要是对招聘的流程进行管理，包含招聘的申请，招聘申请的审批，招聘计划的制定、面试的登记，面试的反馈等。</w:t>
      </w:r>
    </w:p>
    <w:p>
      <w:pPr>
        <w:ind w:firstLine="420" w:firstLineChars="200"/>
        <w:rPr>
          <w:rFonts w:hint="eastAsia"/>
        </w:rPr>
      </w:pPr>
      <w:r>
        <w:rPr>
          <w:rFonts w:hint="eastAsia"/>
        </w:rPr>
        <w:t>人员管理：人员管理主要是对试用、转正、人员、调岗、离职等业务流程进行管理，包含试用登记、试用考核、试用评定、转正申请、转正办理、人员信息、调岗申请、调岗确认、调岗审批、离职登记、离职确认、离职申请、离职办理、人员接收、返岗申请等功能。</w:t>
      </w:r>
    </w:p>
    <w:p>
      <w:pPr>
        <w:ind w:firstLine="420" w:firstLineChars="200"/>
        <w:rPr>
          <w:rFonts w:hint="eastAsia"/>
        </w:rPr>
      </w:pPr>
      <w:r>
        <w:rPr>
          <w:rFonts w:hint="eastAsia"/>
        </w:rPr>
        <w:t>薪酬管理：人员薪酬主要是对机构的人员的薪酬进行管理，包含人员薪酬、调薪记录、调薪申请、调薪确认、调薪计划等功能。</w:t>
      </w:r>
    </w:p>
    <w:p>
      <w:pPr>
        <w:ind w:firstLine="420" w:firstLineChars="200"/>
        <w:rPr>
          <w:rFonts w:hint="eastAsia"/>
        </w:rPr>
      </w:pPr>
      <w:r>
        <w:rPr>
          <w:rFonts w:hint="eastAsia"/>
        </w:rPr>
        <w:t>院长管理：院长管理主要是院办对院内的申请进行审批，包含招聘审批、转正审批、调岗审批、调薪审批、离职通知、返岗审批。</w:t>
      </w:r>
    </w:p>
    <w:p>
      <w:pPr>
        <w:ind w:firstLine="420" w:firstLineChars="200"/>
        <w:rPr>
          <w:rFonts w:hint="eastAsia"/>
        </w:rPr>
      </w:pPr>
      <w:r>
        <w:rPr>
          <w:rFonts w:hint="eastAsia"/>
        </w:rPr>
        <w:t>系统管理：系统管理主要是进行系统基础信息的设置，将机构的基本信息增加到软件系统中。包含职称信息、岗位信息、考核标准、薪资组成等基本信息的维护。</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2.2.1.3.医共体物资综合管理系统</w:t>
      </w:r>
      <w:r>
        <w:rPr>
          <w:rFonts w:hint="eastAsia" w:ascii="Times New Roman" w:hAnsi="Times New Roman" w:eastAsia="宋体" w:cs="Times New Roman"/>
          <w:b/>
          <w:kern w:val="2"/>
          <w:sz w:val="28"/>
          <w:lang w:val="en-US" w:eastAsia="zh-CN" w:bidi="ar-SA"/>
        </w:rPr>
        <w:tab/>
      </w:r>
      <w:r>
        <w:rPr>
          <w:rFonts w:hint="eastAsia" w:ascii="Times New Roman" w:hAnsi="Times New Roman" w:eastAsia="宋体" w:cs="Times New Roman"/>
          <w:b/>
          <w:kern w:val="2"/>
          <w:sz w:val="28"/>
          <w:lang w:val="en-US" w:eastAsia="zh-CN" w:bidi="ar-SA"/>
        </w:rPr>
        <w:tab/>
      </w:r>
    </w:p>
    <w:p>
      <w:pPr>
        <w:ind w:firstLine="420" w:firstLineChars="200"/>
        <w:rPr>
          <w:rFonts w:hint="eastAsia"/>
        </w:rPr>
      </w:pPr>
      <w:r>
        <w:rPr>
          <w:rFonts w:hint="eastAsia"/>
        </w:rPr>
        <w:t>采购管理：采购管理主要是对物资的采购流程进行管理，包括物资采购计划，采购申请，采购执行，确认收货，物资退货等。</w:t>
      </w:r>
    </w:p>
    <w:p>
      <w:pPr>
        <w:ind w:firstLine="420" w:firstLineChars="200"/>
        <w:rPr>
          <w:rFonts w:hint="eastAsia"/>
        </w:rPr>
      </w:pPr>
      <w:r>
        <w:rPr>
          <w:rFonts w:hint="eastAsia"/>
        </w:rPr>
        <w:t>物资管理：物资管理主要是对物资库房的物资进行管理，包含物资的入库、出库、盘库、报损、库存管理等功能。</w:t>
      </w:r>
    </w:p>
    <w:p>
      <w:pPr>
        <w:rPr>
          <w:rFonts w:hint="eastAsia"/>
        </w:rPr>
      </w:pPr>
      <w:r>
        <w:rPr>
          <w:rFonts w:hint="eastAsia"/>
        </w:rPr>
        <w:t>院长审批：院长审批主要是院办对院内的申请进行审批，包含物资采购申请、物资付款申请。</w:t>
      </w:r>
    </w:p>
    <w:p>
      <w:pPr>
        <w:ind w:firstLine="420" w:firstLineChars="200"/>
        <w:rPr>
          <w:rFonts w:hint="eastAsia"/>
        </w:rPr>
      </w:pPr>
      <w:r>
        <w:rPr>
          <w:rFonts w:hint="eastAsia"/>
        </w:rPr>
        <w:t>财务管理：实现院办对物资付款申请进行确认的操作功能管理机制。</w:t>
      </w:r>
    </w:p>
    <w:p>
      <w:pPr>
        <w:ind w:firstLine="420" w:firstLineChars="200"/>
        <w:rPr>
          <w:rFonts w:hint="eastAsia"/>
        </w:rPr>
      </w:pPr>
      <w:r>
        <w:rPr>
          <w:rFonts w:hint="eastAsia"/>
        </w:rPr>
        <w:t>系统管理：系统管理主要是进行系统基础信息的设置，将机构的基本信息增加到软件系统中。其主要是进行业务中物资类型、设备类型、厂商类型、物资等基本信息的维护。</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2.2.2.药品耗材管理</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2.2.2.1.供应链云平台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rPr>
        <w:t>充分考虑采购业</w:t>
      </w:r>
      <w:r>
        <w:rPr>
          <w:rFonts w:hint="eastAsia" w:ascii="宋体" w:hAnsi="宋体" w:eastAsia="宋体" w:cs="宋体"/>
        </w:rPr>
        <w:t>务的实时处理、数据安全的管理要求，提供内外网数据的实时安全交换解决方案，要求必须提供内部系统和供应商平台的数据同步功能。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供应商资质管理。允许供应商及时在线提交和更新各类资质信息，包括上传供应商对应的营业执照、经营许可证、注册证等证照扫描照片，采购人员审核确认后更新内部系统。</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2.2.2.2.中心库房进销存及配送管理系统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完成基础数据维护，包括医用耗材的分类、账簿、医用耗材字典等。要求能够按照自定义要求进行添加、修改，同时支持多套国家标准，数据包括产品图片等信息。此内容为系统的基础功能，可以供其他模块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提供包括入库业务、出库业务、转科业务、报损业务、库房盘存功能、月末结账等基本功能。各项业务要求支持物资的条码管理，能自动识别各个厂家的条码信息。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实现中心库房系统与科室订单管理平台、物资采购管理系统的有效对接，通过科室请领订单直接生成出库配送单，通过供应商采购电子订单生成入库验收单信息，最大化减轻手工录入入库、出库数据的工作量，减少人为工作造成的差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提供详细的查询统计功能。可以按自定义条件对业务单据、业务明细、库存批次、科室在用帐、收支月报、资产汇总报表、业务汇总报表等进行查询统计分析。</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2.2.2.3.物资电子采购管理系统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采购计划编制。实现与科室网上物资订单管理平台的无缝连接，零库存物资在库房确认后会自动转变为物资采购计划。库房或采购人员根据医院高低储和安全量的要求，自动生成需要补货的物资采购计划。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采购订单生成</w:t>
      </w:r>
      <w:r>
        <w:rPr>
          <w:rFonts w:hint="eastAsia" w:ascii="宋体" w:hAnsi="宋体" w:cs="宋体"/>
          <w:lang w:val="en-US" w:eastAsia="zh-CN"/>
        </w:rPr>
        <w:t xml:space="preserve"> </w:t>
      </w:r>
      <w:r>
        <w:rPr>
          <w:rFonts w:hint="eastAsia" w:ascii="宋体" w:hAnsi="宋体" w:eastAsia="宋体" w:cs="宋体"/>
        </w:rPr>
        <w:t>。采购人员根据医院实际业务需要和紧迫程度，根据供应商汇总后，选择本次需要执行采购的物资生成采购订单，并提交进行逐级审批处理。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供应商订单确认、配送。供应商确认订单、配货。供应商通过供应商门户获取进行在线确认。采购人员对物资效期、生产批号等信息进行确认后，供应商进行送货处理，提交发票信息并打印随货清单（自动生成采购订单唯一条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送货并完成物资采购入库处理。医院进行入库验收并通过扫描随货清单对应条码完成自动入库处理。入库验收时要求支持通过扫描条码完成详细配送物品及其批次、效期信息的核对，降低差错。</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2.2.2.4.高值耗材及植入性材料管理系统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耗材入库验收：详细记录入库材料对应的生产批号、效期、注册证、产品追溯编码、条码等详细信息。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耗材使用及消耗：巡回护士通过扫描病人腕带条码或输入病案号定位病人信息，并逐一扫描材料条码完成使用登记处理，实现病人使用登记、消耗出库、收费记账的同步，减少手工管理漏洞。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材料使用审核与结算：将收费完成后的材料使用信息传送到中心库房，中心库房人员确认无误后通知供应商开具发票并完成入出库处理。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病人追溯管理：系统可以根据材料的供应商、生产厂家、品牌、批次等各种方式进行回查，在出现不良事件时可以第一时间查到手术病人信息，方便医院及时通知病人进行处理。</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2.2.2.5.二级库房物资管理系统(手术室、导管室)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二级库房统一使用中心库房的物资字典，并可根据不同二级库房的实际需要设计其物资管理的具体范围。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要求科室二级库房与中心库房管理系统之间实现业务联动、无缝集成，科室向中心库房申领出库后自动生成二级库房的入库单，中心库房系统中可以实时查看二级库房的物资库存和消耗情况，方便医院实时掌握全院的物资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支持通过条码扫描方式完成二级库房物资的消耗管理。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根据二级库房实际消耗情况产生医院成本核算所需的各类统计报表。</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2.2.2.6.药品耗材基础支持与维护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建立起整个医院统一的编码体系，包括职工工号、科室代码、设备/材料编码、核算科目等，明确人员岗位、角色及各项事务的授权范围，建立各项工作的规范化流程，为实施集团医院管理信息平台提供基础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系统主要包括以下功能：包括库房信息、会计科目、会计期间、业务类型、物资字典分类、物资名称、物资规格、生产厂家、供货单位、证件维护等相关字典的维护，用户管理、用户权限设置、用户组设置、数据权限设置、系统参数维护、会计期间设置，以及采购流程定义、采购表单定义等功能。</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2.2.3.医共体综合监管平台</w:t>
      </w:r>
    </w:p>
    <w:p>
      <w:pPr>
        <w:pStyle w:val="7"/>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2.2.3.1.医疗服务监管系统</w:t>
      </w:r>
      <w:r>
        <w:rPr>
          <w:rFonts w:hint="eastAsia" w:ascii="Times New Roman" w:hAnsi="Times New Roman" w:eastAsia="宋体" w:cs="Times New Roman"/>
          <w:b/>
          <w:kern w:val="2"/>
          <w:sz w:val="28"/>
          <w:lang w:val="en-US" w:eastAsia="zh-CN" w:bidi="ar-SA"/>
        </w:rPr>
        <w:tab/>
      </w:r>
      <w:r>
        <w:rPr>
          <w:rFonts w:hint="eastAsia" w:ascii="Times New Roman" w:hAnsi="Times New Roman" w:eastAsia="宋体" w:cs="Times New Roman"/>
          <w:b/>
          <w:kern w:val="2"/>
          <w:sz w:val="28"/>
          <w:lang w:val="en-US" w:eastAsia="zh-CN" w:bidi="ar-SA"/>
        </w:rPr>
        <w:tab/>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对县域医共体相关服务进行分析与监管，为服务监督管理部门提供相关数据依据。将医共体的运营情况如：上转人次、下转人次、会诊申请及相关业务量进行统一分析并支持报表打印等功能，最终以不同报表形式进行统计、分析展现在领导面前，使领导对辖区内医疗资源信息分布情况一目了然。</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具体功能包括：医共体建设情况、双向转诊统计、远程会诊统计、远程诊断统计、运营查询管理等相关功能。</w:t>
      </w:r>
      <w:r>
        <w:rPr>
          <w:rFonts w:hint="eastAsia"/>
          <w:b/>
          <w:bCs/>
        </w:rPr>
        <w:t>要求提供详细的方案介绍及系统截图等佐证材料</w:t>
      </w:r>
      <w:r>
        <w:rPr>
          <w:rFonts w:hint="eastAsia"/>
        </w:rPr>
        <w:t>。</w:t>
      </w:r>
    </w:p>
    <w:p>
      <w:pPr>
        <w:pStyle w:val="7"/>
        <w:bidi w:val="0"/>
        <w:rPr>
          <w:rFonts w:hint="eastAsia"/>
        </w:rPr>
      </w:pPr>
      <w:r>
        <w:rPr>
          <w:rFonts w:hint="eastAsia" w:ascii="Times New Roman" w:hAnsi="Times New Roman" w:eastAsia="宋体" w:cs="Times New Roman"/>
          <w:b/>
          <w:kern w:val="2"/>
          <w:sz w:val="28"/>
          <w:lang w:val="en-US" w:eastAsia="zh-CN" w:bidi="ar-SA"/>
        </w:rPr>
        <w:t>2.2.3.2.基本公卫服务监管系统</w:t>
      </w:r>
      <w:r>
        <w:rPr>
          <w:rFonts w:hint="eastAsia" w:ascii="Times New Roman" w:hAnsi="Times New Roman" w:eastAsia="宋体" w:cs="Times New Roman"/>
          <w:b/>
          <w:kern w:val="2"/>
          <w:sz w:val="28"/>
          <w:lang w:val="en-US" w:eastAsia="zh-CN" w:bidi="ar-SA"/>
        </w:rPr>
        <w:tab/>
      </w:r>
      <w:r>
        <w:rPr>
          <w:rFonts w:hint="eastAsia"/>
        </w:rPr>
        <w:tab/>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公共卫生监管系统主要功能是实现对所辖区域的社区卫生服务机构的基本公共卫生服务情况进行统计分析，使管理者更好地掌握辖区内居民健康状况等，包括：居民健康档案管理、0-6岁儿童健康管理、孕产妇健康管理、老年人健康管理、高血压患者健康管理、Ⅱ型糖尿病患者健康管理、严重精神障碍患者管理、肺结核患者健康管理、中医药健康管理、预防接种服务、传染病及突发公共卫生事件管理、卫生计生监督协管服务、健康教育、综合查询。</w:t>
      </w:r>
      <w:r>
        <w:rPr>
          <w:rFonts w:hint="eastAsia"/>
          <w:b/>
          <w:bCs/>
        </w:rPr>
        <w:t>要求提供详细的方案介绍及系统截图等佐证材料</w:t>
      </w:r>
      <w:r>
        <w:rPr>
          <w:rFonts w:hint="eastAsia"/>
        </w:rPr>
        <w:t>。</w:t>
      </w:r>
    </w:p>
    <w:p>
      <w:pPr>
        <w:pStyle w:val="7"/>
        <w:bidi w:val="0"/>
        <w:rPr>
          <w:rFonts w:hint="eastAsia"/>
        </w:rPr>
      </w:pPr>
      <w:r>
        <w:rPr>
          <w:rFonts w:hint="eastAsia" w:ascii="Times New Roman" w:hAnsi="Times New Roman" w:eastAsia="宋体" w:cs="Times New Roman"/>
          <w:b/>
          <w:kern w:val="2"/>
          <w:sz w:val="28"/>
          <w:lang w:val="en-US" w:eastAsia="zh-CN" w:bidi="ar-SA"/>
        </w:rPr>
        <w:t>2.2.3.3.家庭医生服务监管系统</w:t>
      </w:r>
      <w:r>
        <w:rPr>
          <w:rFonts w:hint="eastAsia" w:ascii="Times New Roman" w:hAnsi="Times New Roman" w:eastAsia="宋体" w:cs="Times New Roman"/>
          <w:b/>
          <w:kern w:val="2"/>
          <w:sz w:val="28"/>
          <w:lang w:val="en-US" w:eastAsia="zh-CN" w:bidi="ar-SA"/>
        </w:rPr>
        <w:tab/>
      </w:r>
      <w:r>
        <w:rPr>
          <w:rFonts w:hint="eastAsia"/>
        </w:rPr>
        <w:tab/>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对家庭医生签约服务开展情况进行全面的监督管理，实现签约过程、签约数量、覆盖率和人群分布、签约内容、续约情况、费用等的监测评价，并对履约服务过程、服务进度、服务质量、服务满意度等进行监督管理，促进家庭医生签约服务制度健全，提高签约服务水平，扩大签约覆盖面，完善服务内容，提高履约服务质量，推动分级诊疗制度的完善发展。</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一站式家医签约服务状态监控，上到主管部门下到单体社区卫生服务中心/乡镇卫生院，多层级数据归集。签约履约服务监督标准统一，实时更新国家监控重点，保证国家政策快速落地执行。</w:t>
      </w:r>
      <w:r>
        <w:rPr>
          <w:rFonts w:hint="eastAsia"/>
          <w:b/>
          <w:bCs/>
        </w:rPr>
        <w:t>要求提供详细的方案介绍及系统截图等佐证材料</w:t>
      </w:r>
      <w:r>
        <w:rPr>
          <w:rFonts w:hint="eastAsia"/>
        </w:rPr>
        <w:t>。</w:t>
      </w:r>
    </w:p>
    <w:p>
      <w:pPr>
        <w:pStyle w:val="7"/>
        <w:bidi w:val="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2.2.3.4.综合体检服务监管系统</w:t>
      </w:r>
      <w:r>
        <w:rPr>
          <w:rFonts w:hint="eastAsia" w:ascii="Times New Roman" w:hAnsi="Times New Roman" w:eastAsia="宋体" w:cs="Times New Roman"/>
          <w:b/>
          <w:kern w:val="2"/>
          <w:sz w:val="28"/>
          <w:lang w:val="en-US" w:eastAsia="zh-CN" w:bidi="ar-SA"/>
        </w:rPr>
        <w:tab/>
      </w:r>
      <w:r>
        <w:rPr>
          <w:rFonts w:hint="eastAsia" w:ascii="Times New Roman" w:hAnsi="Times New Roman" w:eastAsia="宋体" w:cs="Times New Roman"/>
          <w:b/>
          <w:kern w:val="2"/>
          <w:sz w:val="28"/>
          <w:lang w:val="en-US" w:eastAsia="zh-CN" w:bidi="ar-SA"/>
        </w:rPr>
        <w:tab/>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支持按照时间维度、区划维度展示首页的信息数据，包括开展体检机构、实际体检人数、疑似疾病阳性人数、阳性检出率、检出疾病TOP10、辖区常住居民数等6项指标统计分析，使监管者快速了解首页综合情况，快速定位到重点监管的首页相关指标。</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主要包括工作进度展示、工作开展质量监管、体检数据质量监管、检出疾病分析监管及体检报表等信息。</w:t>
      </w:r>
      <w:r>
        <w:rPr>
          <w:rFonts w:hint="eastAsia"/>
          <w:b/>
          <w:bCs/>
        </w:rPr>
        <w:t>要求提供详细的方案介绍及系统截图等佐证材料</w:t>
      </w:r>
      <w:r>
        <w:rPr>
          <w:rFonts w:hint="eastAsia"/>
        </w:rPr>
        <w:t>。</w:t>
      </w:r>
    </w:p>
    <w:p>
      <w:pPr>
        <w:pStyle w:val="7"/>
        <w:bidi w:val="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2.2.3.5.卫生资源分析系统</w:t>
      </w:r>
      <w:r>
        <w:rPr>
          <w:rFonts w:hint="eastAsia" w:ascii="Times New Roman" w:hAnsi="Times New Roman" w:eastAsia="宋体" w:cs="Times New Roman"/>
          <w:b/>
          <w:kern w:val="2"/>
          <w:sz w:val="28"/>
          <w:lang w:val="en-US" w:eastAsia="zh-CN" w:bidi="ar-SA"/>
        </w:rPr>
        <w:tab/>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卫生资源分析系统是利用信息化手段实现对区域内医疗卫生服务资源的智能监管，包括：</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卫生机构监管：支持按照行政区划、年份等查询条件，展示卫生机构总体情况的信息数据，包括区域基层卫生机构数量情况、机构区域分布情况、机构构成情况、基层机构中医馆情况。</w:t>
      </w:r>
      <w:r>
        <w:rPr>
          <w:rFonts w:hint="eastAsia"/>
          <w:b/>
          <w:bCs/>
        </w:rPr>
        <w:t>要求提供详细的方案介绍及系统截图等佐证材料</w:t>
      </w:r>
      <w:r>
        <w:rPr>
          <w:rFonts w:hint="eastAsia"/>
        </w:rPr>
        <w:t>。</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卫生人力监管：支持按照行政区划、年份查询条件，展示区域卫生人力总体情况的信息数据，包括基层卫生机构卫生人员、基层医疗卫生机构卫生人员年份变化。</w:t>
      </w:r>
      <w:r>
        <w:rPr>
          <w:rFonts w:hint="eastAsia"/>
          <w:b/>
          <w:bCs/>
        </w:rPr>
        <w:t>要求提供详细的方案介绍及系统截图等佐证材料</w:t>
      </w:r>
      <w:r>
        <w:rPr>
          <w:rFonts w:hint="eastAsia"/>
        </w:rPr>
        <w:t>。</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卫生设施监管：支持按照行政区划、年份查询条件，展示区域设施设备情况的信息数据，包括主要设备台数情况、PAD设备分布情况。</w:t>
      </w:r>
      <w:r>
        <w:rPr>
          <w:rFonts w:hint="eastAsia"/>
          <w:b/>
          <w:bCs/>
        </w:rPr>
        <w:t>要求提供详细的方案介绍及系统截图等佐证材料</w:t>
      </w:r>
      <w:r>
        <w:rPr>
          <w:rFonts w:hint="eastAsia"/>
        </w:rPr>
        <w:t>。</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卫生经费监管：支持按照行政区划、年份查询条件，展示区域总体卫生经费情况的信息数据，包括基层卫生机构收支情况、总收入、总支出、基本公共卫生服务补助经费年份变化情况等。</w:t>
      </w:r>
      <w:r>
        <w:rPr>
          <w:rFonts w:hint="eastAsia"/>
          <w:b/>
          <w:bCs/>
        </w:rPr>
        <w:t>要求提供详细的方案介绍及系统截图等佐证材料</w:t>
      </w:r>
      <w:r>
        <w:rPr>
          <w:rFonts w:hint="eastAsia"/>
        </w:rPr>
        <w:t>。</w:t>
      </w:r>
    </w:p>
    <w:p>
      <w:pPr>
        <w:pStyle w:val="7"/>
        <w:bidi w:val="0"/>
        <w:rPr>
          <w:rFonts w:hint="eastAsia"/>
        </w:rPr>
      </w:pPr>
      <w:r>
        <w:rPr>
          <w:rFonts w:hint="eastAsia" w:ascii="Times New Roman" w:hAnsi="Times New Roman" w:eastAsia="宋体" w:cs="Times New Roman"/>
          <w:b/>
          <w:kern w:val="2"/>
          <w:sz w:val="28"/>
          <w:lang w:val="en-US" w:eastAsia="zh-CN" w:bidi="ar-SA"/>
        </w:rPr>
        <w:t>2.2.3.6.药品使用监管系统</w:t>
      </w:r>
      <w:r>
        <w:rPr>
          <w:rFonts w:hint="eastAsia" w:ascii="Times New Roman" w:hAnsi="Times New Roman" w:eastAsia="宋体" w:cs="Times New Roman"/>
          <w:b/>
          <w:kern w:val="2"/>
          <w:sz w:val="28"/>
          <w:lang w:val="en-US" w:eastAsia="zh-CN" w:bidi="ar-SA"/>
        </w:rPr>
        <w:tab/>
      </w:r>
      <w:r>
        <w:rPr>
          <w:rFonts w:hint="eastAsia"/>
        </w:rPr>
        <w:tab/>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支持药品使用情况分析、抗生素使用情况分析、基本药物采购情况分析、居民用药分析、居民用药负担分析表、药品收入表及药品采购等信息的监管。</w:t>
      </w:r>
      <w:r>
        <w:rPr>
          <w:rFonts w:hint="eastAsia"/>
          <w:b/>
          <w:bCs/>
        </w:rPr>
        <w:t>要求提供详细的方案介绍及系统截图等佐证材料</w:t>
      </w:r>
      <w:r>
        <w:rPr>
          <w:rFonts w:hint="eastAsia"/>
        </w:rPr>
        <w:t>。</w:t>
      </w:r>
    </w:p>
    <w:p>
      <w:pPr>
        <w:pStyle w:val="6"/>
        <w:bidi w:val="0"/>
        <w:rPr>
          <w:rFonts w:hint="eastAsia" w:ascii="Times New Roman" w:hAnsi="Times New Roman" w:eastAsia="宋体" w:cs="Times New Roman"/>
          <w:b/>
          <w:kern w:val="2"/>
          <w:sz w:val="28"/>
          <w:szCs w:val="20"/>
          <w:lang w:val="en-US" w:eastAsia="zh-CN" w:bidi="ar-SA"/>
        </w:rPr>
      </w:pPr>
      <w:r>
        <w:rPr>
          <w:rFonts w:hint="eastAsia" w:ascii="Times New Roman" w:hAnsi="Times New Roman" w:eastAsia="宋体" w:cs="Times New Roman"/>
          <w:b/>
          <w:kern w:val="2"/>
          <w:sz w:val="28"/>
          <w:szCs w:val="20"/>
          <w:lang w:val="en-US" w:eastAsia="zh-CN" w:bidi="ar-SA"/>
        </w:rPr>
        <w:t>2.2.4.医共体绩效监测平台</w:t>
      </w:r>
    </w:p>
    <w:p>
      <w:pPr>
        <w:pageBreakBefore w:val="0"/>
        <w:widowControl w:val="0"/>
        <w:wordWrap/>
        <w:topLinePunct w:val="0"/>
        <w:autoSpaceDE/>
        <w:autoSpaceDN/>
        <w:bidi w:val="0"/>
        <w:spacing w:line="240" w:lineRule="auto"/>
        <w:ind w:firstLine="420" w:firstLineChars="200"/>
        <w:textAlignment w:val="auto"/>
        <w:rPr>
          <w:rFonts w:hint="eastAsia"/>
        </w:rPr>
      </w:pPr>
      <w:r>
        <w:rPr>
          <w:rFonts w:hint="eastAsia"/>
        </w:rPr>
        <w:t>监测医共体建设的进展和成效，构建信息统一采集、多方共享、动态监测和量化评价的医共体监测管理应用，提升县域和基层医疗卫生服务能力，提高医保基金使用效率，增强人民群众就医可及性，着力构建目标明确、权责清晰、分工协作的新型县域医疗卫生服务体系。实现本地区医共体建设运行监管、绩效</w:t>
      </w:r>
      <w:r>
        <w:rPr>
          <w:rFonts w:hint="eastAsia"/>
          <w:lang w:val="en-US" w:eastAsia="zh-CN"/>
        </w:rPr>
        <w:t>监测</w:t>
      </w:r>
      <w:r>
        <w:rPr>
          <w:rFonts w:hint="eastAsia"/>
        </w:rPr>
        <w:t>和规范化管理。同时通过本系统助力国家对医共体绩效</w:t>
      </w:r>
      <w:r>
        <w:rPr>
          <w:rFonts w:hint="eastAsia"/>
          <w:lang w:val="en-US" w:eastAsia="zh-CN"/>
        </w:rPr>
        <w:t>监测</w:t>
      </w:r>
      <w:r>
        <w:rPr>
          <w:rFonts w:hint="eastAsia"/>
        </w:rPr>
        <w:t>的合理填报等</w:t>
      </w:r>
    </w:p>
    <w:p>
      <w:pPr>
        <w:pStyle w:val="6"/>
        <w:bidi w:val="0"/>
        <w:rPr>
          <w:rFonts w:hint="eastAsia" w:ascii="Times New Roman" w:hAnsi="Times New Roman" w:eastAsia="宋体" w:cs="Times New Roman"/>
          <w:b/>
          <w:kern w:val="2"/>
          <w:sz w:val="28"/>
          <w:szCs w:val="20"/>
          <w:lang w:val="en-US" w:eastAsia="zh-CN" w:bidi="ar-SA"/>
        </w:rPr>
      </w:pPr>
      <w:bookmarkStart w:id="501" w:name="_Toc42670751"/>
      <w:bookmarkStart w:id="502" w:name="_Toc76719827"/>
      <w:bookmarkStart w:id="503" w:name="_Toc80174306"/>
      <w:bookmarkStart w:id="504" w:name="_Toc36047926"/>
      <w:bookmarkStart w:id="505" w:name="_Hlk33445757"/>
      <w:bookmarkStart w:id="506" w:name="_Toc34408015"/>
      <w:r>
        <w:rPr>
          <w:rFonts w:hint="eastAsia" w:ascii="Times New Roman" w:hAnsi="Times New Roman" w:eastAsia="宋体" w:cs="Times New Roman"/>
          <w:b/>
          <w:kern w:val="2"/>
          <w:sz w:val="28"/>
          <w:szCs w:val="20"/>
          <w:lang w:val="en-US" w:eastAsia="zh-CN" w:bidi="ar-SA"/>
        </w:rPr>
        <w:t>2.2.4.1系统管理</w:t>
      </w:r>
      <w:bookmarkEnd w:id="501"/>
      <w:bookmarkEnd w:id="502"/>
      <w:bookmarkEnd w:id="503"/>
    </w:p>
    <w:p>
      <w:pPr>
        <w:pStyle w:val="6"/>
        <w:bidi w:val="0"/>
        <w:rPr>
          <w:rFonts w:hint="eastAsia" w:ascii="Times New Roman" w:hAnsi="Times New Roman" w:eastAsia="宋体" w:cs="Times New Roman"/>
          <w:b/>
          <w:kern w:val="2"/>
          <w:sz w:val="28"/>
          <w:szCs w:val="20"/>
          <w:lang w:val="en-US" w:eastAsia="zh-CN" w:bidi="ar-SA"/>
        </w:rPr>
      </w:pPr>
      <w:bookmarkStart w:id="507" w:name="_Toc80174307"/>
      <w:r>
        <w:rPr>
          <w:rFonts w:hint="eastAsia" w:ascii="Times New Roman" w:hAnsi="Times New Roman" w:eastAsia="宋体" w:cs="Times New Roman"/>
          <w:b/>
          <w:kern w:val="2"/>
          <w:sz w:val="28"/>
          <w:szCs w:val="20"/>
          <w:lang w:val="en-US" w:eastAsia="zh-CN" w:bidi="ar-SA"/>
        </w:rPr>
        <w:t>2.2.4.1.1个人中心</w:t>
      </w:r>
      <w:bookmarkEnd w:id="507"/>
    </w:p>
    <w:p>
      <w:pPr>
        <w:pageBreakBefore w:val="0"/>
        <w:widowControl w:val="0"/>
        <w:wordWrap/>
        <w:topLinePunct w:val="0"/>
        <w:autoSpaceDE/>
        <w:autoSpaceDN/>
        <w:bidi w:val="0"/>
        <w:spacing w:line="240" w:lineRule="auto"/>
        <w:ind w:firstLine="480"/>
        <w:textAlignment w:val="auto"/>
        <w:rPr>
          <w:rFonts w:hint="eastAsia"/>
        </w:rPr>
      </w:pPr>
      <w:r>
        <w:rPr>
          <w:rFonts w:hint="eastAsia"/>
        </w:rPr>
        <w:t>要求实现对人员信息和机构信息的管理，要求提供详细的方案介绍及系统截图等佐证材料。</w:t>
      </w:r>
      <w:bookmarkStart w:id="508" w:name="_Toc80174308"/>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szCs w:val="20"/>
          <w:lang w:val="en-US" w:eastAsia="zh-CN" w:bidi="ar-SA"/>
        </w:rPr>
      </w:pPr>
      <w:r>
        <w:rPr>
          <w:rFonts w:hint="eastAsia" w:ascii="Times New Roman" w:hAnsi="Times New Roman" w:eastAsia="宋体" w:cs="Times New Roman"/>
          <w:b/>
          <w:kern w:val="2"/>
          <w:sz w:val="28"/>
          <w:szCs w:val="20"/>
          <w:lang w:val="en-US" w:eastAsia="zh-CN" w:bidi="ar-SA"/>
        </w:rPr>
        <w:t>2.2.4.1.2.指标目录管理</w:t>
      </w:r>
      <w:bookmarkEnd w:id="508"/>
    </w:p>
    <w:p>
      <w:pPr>
        <w:pageBreakBefore w:val="0"/>
        <w:widowControl w:val="0"/>
        <w:wordWrap/>
        <w:topLinePunct w:val="0"/>
        <w:autoSpaceDE/>
        <w:autoSpaceDN/>
        <w:bidi w:val="0"/>
        <w:spacing w:line="240" w:lineRule="auto"/>
        <w:ind w:firstLine="420" w:firstLineChars="200"/>
        <w:textAlignment w:val="auto"/>
      </w:pPr>
      <w:r>
        <w:rPr>
          <w:rFonts w:hint="eastAsia"/>
        </w:rPr>
        <w:t>主要实现对绩效监管体系的管理。具有新增、发布、维护等功能，</w:t>
      </w:r>
      <w:r>
        <w:rPr>
          <w:rFonts w:hint="eastAsia"/>
          <w:b/>
          <w:bCs/>
        </w:rPr>
        <w:t>要求提供详细的方案介绍及系统截图等佐证材料。</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09" w:name="_Toc80174309"/>
      <w:r>
        <w:rPr>
          <w:rFonts w:hint="eastAsia" w:ascii="Times New Roman" w:hAnsi="Times New Roman" w:eastAsia="宋体" w:cs="Times New Roman"/>
          <w:b/>
          <w:kern w:val="2"/>
          <w:sz w:val="28"/>
          <w:lang w:val="en-US" w:eastAsia="zh-CN" w:bidi="ar-SA"/>
        </w:rPr>
        <w:t>2.2.4.1.3.专家管理</w:t>
      </w:r>
      <w:bookmarkEnd w:id="509"/>
    </w:p>
    <w:p>
      <w:pPr>
        <w:pageBreakBefore w:val="0"/>
        <w:widowControl w:val="0"/>
        <w:wordWrap/>
        <w:topLinePunct w:val="0"/>
        <w:autoSpaceDE/>
        <w:autoSpaceDN/>
        <w:bidi w:val="0"/>
        <w:spacing w:line="240" w:lineRule="auto"/>
        <w:ind w:firstLine="480"/>
        <w:textAlignment w:val="auto"/>
      </w:pPr>
      <w:r>
        <w:rPr>
          <w:rFonts w:hint="eastAsia"/>
        </w:rPr>
        <w:t>需要维护绩效考评专家的相关信息，由专家管理人员在系统中新增专家、专家信息维护、专家启用停用等，</w:t>
      </w:r>
      <w:r>
        <w:rPr>
          <w:rFonts w:hint="eastAsia"/>
          <w:b/>
          <w:bCs/>
        </w:rPr>
        <w:t>要求提供详细的方案介绍及系统截图等佐证材料。</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0" w:name="_Toc80174310"/>
      <w:r>
        <w:rPr>
          <w:rFonts w:hint="eastAsia" w:ascii="Times New Roman" w:hAnsi="Times New Roman" w:eastAsia="宋体" w:cs="Times New Roman"/>
          <w:b/>
          <w:kern w:val="2"/>
          <w:sz w:val="28"/>
          <w:lang w:val="en-US" w:eastAsia="zh-CN" w:bidi="ar-SA"/>
        </w:rPr>
        <w:t>2.2.4.1.4.系统帮助</w:t>
      </w:r>
      <w:bookmarkEnd w:id="510"/>
    </w:p>
    <w:p>
      <w:pPr>
        <w:pageBreakBefore w:val="0"/>
        <w:widowControl w:val="0"/>
        <w:wordWrap/>
        <w:topLinePunct w:val="0"/>
        <w:autoSpaceDE/>
        <w:autoSpaceDN/>
        <w:bidi w:val="0"/>
        <w:spacing w:line="240" w:lineRule="auto"/>
        <w:ind w:firstLine="480"/>
        <w:textAlignment w:val="auto"/>
      </w:pPr>
      <w:r>
        <w:rPr>
          <w:rFonts w:hint="eastAsia"/>
        </w:rPr>
        <w:t>模块主要有文件下载、政策依据以及常见问题三部分组成。</w:t>
      </w:r>
    </w:p>
    <w:p>
      <w:pPr>
        <w:pageBreakBefore w:val="0"/>
        <w:widowControl w:val="0"/>
        <w:wordWrap/>
        <w:topLinePunct w:val="0"/>
        <w:autoSpaceDE/>
        <w:autoSpaceDN/>
        <w:bidi w:val="0"/>
        <w:spacing w:line="240" w:lineRule="auto"/>
        <w:ind w:firstLine="480"/>
        <w:textAlignment w:val="auto"/>
      </w:pPr>
      <w:r>
        <w:t>文件下载：</w:t>
      </w:r>
      <w:r>
        <w:rPr>
          <w:rFonts w:hint="eastAsia"/>
        </w:rPr>
        <w:t>提供</w:t>
      </w:r>
      <w:r>
        <w:t>平台如何操作</w:t>
      </w:r>
      <w:r>
        <w:rPr>
          <w:rFonts w:hint="eastAsia"/>
        </w:rPr>
        <w:t>等相关</w:t>
      </w:r>
      <w:r>
        <w:t>视频</w:t>
      </w:r>
      <w:r>
        <w:rPr>
          <w:rFonts w:hint="eastAsia"/>
        </w:rPr>
        <w:t>下载</w:t>
      </w:r>
      <w:r>
        <w:t>。</w:t>
      </w:r>
    </w:p>
    <w:p>
      <w:pPr>
        <w:pageBreakBefore w:val="0"/>
        <w:widowControl w:val="0"/>
        <w:wordWrap/>
        <w:topLinePunct w:val="0"/>
        <w:autoSpaceDE/>
        <w:autoSpaceDN/>
        <w:bidi w:val="0"/>
        <w:spacing w:line="240" w:lineRule="auto"/>
        <w:ind w:firstLine="480"/>
        <w:textAlignment w:val="auto"/>
      </w:pPr>
      <w:r>
        <w:t>政策依据：可以点击对应的题目对政策性文件进行阅读查看。</w:t>
      </w:r>
    </w:p>
    <w:p>
      <w:pPr>
        <w:pageBreakBefore w:val="0"/>
        <w:widowControl w:val="0"/>
        <w:wordWrap/>
        <w:topLinePunct w:val="0"/>
        <w:autoSpaceDE/>
        <w:autoSpaceDN/>
        <w:bidi w:val="0"/>
        <w:spacing w:line="240" w:lineRule="auto"/>
        <w:ind w:firstLine="480"/>
        <w:textAlignment w:val="auto"/>
      </w:pPr>
      <w:r>
        <w:t>常见问题：对一些常见问题进行的总结</w:t>
      </w:r>
      <w:r>
        <w:rPr>
          <w:rFonts w:hint="eastAsia"/>
        </w:rPr>
        <w:t>，辅助使用系统。</w:t>
      </w:r>
    </w:p>
    <w:p>
      <w:pPr>
        <w:pStyle w:val="15"/>
        <w:pageBreakBefore w:val="0"/>
        <w:widowControl w:val="0"/>
        <w:wordWrap/>
        <w:topLinePunct w:val="0"/>
        <w:autoSpaceDE/>
        <w:autoSpaceDN/>
        <w:bidi w:val="0"/>
        <w:spacing w:line="240" w:lineRule="auto"/>
        <w:ind w:firstLine="482"/>
        <w:textAlignment w:val="auto"/>
        <w:rPr>
          <w:rFonts w:hint="eastAsia"/>
          <w:b/>
          <w:bCs w:val="0"/>
        </w:rPr>
      </w:pPr>
      <w:r>
        <w:rPr>
          <w:rFonts w:hint="eastAsia"/>
          <w:b/>
          <w:bCs w:val="0"/>
        </w:rPr>
        <w:t>要求提供详细的方案介绍及系统截图等佐证材料。</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1" w:name="_Toc80174311"/>
      <w:bookmarkStart w:id="512" w:name="_Toc76719828"/>
      <w:bookmarkStart w:id="513" w:name="_Toc42670752"/>
      <w:r>
        <w:rPr>
          <w:rFonts w:hint="eastAsia" w:ascii="Times New Roman" w:hAnsi="Times New Roman" w:eastAsia="宋体" w:cs="Times New Roman"/>
          <w:b/>
          <w:kern w:val="2"/>
          <w:sz w:val="28"/>
          <w:lang w:val="en-US" w:eastAsia="zh-CN" w:bidi="ar-SA"/>
        </w:rPr>
        <w:t>2.2.4.2信息填报</w:t>
      </w:r>
      <w:bookmarkEnd w:id="511"/>
      <w:bookmarkEnd w:id="512"/>
      <w:bookmarkEnd w:id="513"/>
    </w:p>
    <w:p>
      <w:pPr>
        <w:pageBreakBefore w:val="0"/>
        <w:widowControl w:val="0"/>
        <w:wordWrap/>
        <w:topLinePunct w:val="0"/>
        <w:autoSpaceDE/>
        <w:autoSpaceDN/>
        <w:bidi w:val="0"/>
        <w:spacing w:line="240" w:lineRule="auto"/>
        <w:ind w:firstLine="480"/>
        <w:textAlignment w:val="auto"/>
      </w:pPr>
      <w:r>
        <w:rPr>
          <w:rFonts w:hint="eastAsia"/>
        </w:rPr>
        <w:t>信息填报分为数据填报、佐证资料、针对指标的意见建议、数据审核、填报进度查询等子模块。</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4" w:name="_Toc80174312"/>
      <w:r>
        <w:rPr>
          <w:rFonts w:hint="eastAsia" w:ascii="Times New Roman" w:hAnsi="Times New Roman" w:eastAsia="宋体" w:cs="Times New Roman"/>
          <w:b/>
          <w:kern w:val="2"/>
          <w:sz w:val="28"/>
          <w:lang w:val="en-US" w:eastAsia="zh-CN" w:bidi="ar-SA"/>
        </w:rPr>
        <w:t>2.2.4.2.1.数据填报</w:t>
      </w:r>
      <w:bookmarkEnd w:id="514"/>
    </w:p>
    <w:p>
      <w:pPr>
        <w:pageBreakBefore w:val="0"/>
        <w:widowControl w:val="0"/>
        <w:wordWrap/>
        <w:topLinePunct w:val="0"/>
        <w:autoSpaceDE/>
        <w:autoSpaceDN/>
        <w:bidi w:val="0"/>
        <w:spacing w:line="240" w:lineRule="auto"/>
        <w:ind w:firstLine="480"/>
        <w:textAlignment w:val="auto"/>
      </w:pPr>
      <w:r>
        <w:rPr>
          <w:rFonts w:hint="eastAsia"/>
        </w:rPr>
        <w:t>被考核机构业务人员使用功能，完成考核体系中，需被考核机构自主填报指标的数据在线编辑。系统具有逻辑性审核功能，在填报中判断不合理数据进行提示，</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5" w:name="_Toc80174313"/>
      <w:r>
        <w:rPr>
          <w:rFonts w:hint="eastAsia" w:ascii="Times New Roman" w:hAnsi="Times New Roman" w:eastAsia="宋体" w:cs="Times New Roman"/>
          <w:b/>
          <w:kern w:val="2"/>
          <w:sz w:val="28"/>
          <w:lang w:val="en-US" w:eastAsia="zh-CN" w:bidi="ar-SA"/>
        </w:rPr>
        <w:t>2.2.4.2.2.佐证材料</w:t>
      </w:r>
      <w:bookmarkEnd w:id="515"/>
    </w:p>
    <w:p>
      <w:pPr>
        <w:pageBreakBefore w:val="0"/>
        <w:widowControl w:val="0"/>
        <w:wordWrap/>
        <w:topLinePunct w:val="0"/>
        <w:autoSpaceDE/>
        <w:autoSpaceDN/>
        <w:bidi w:val="0"/>
        <w:spacing w:line="240" w:lineRule="auto"/>
        <w:ind w:firstLine="480"/>
        <w:textAlignment w:val="auto"/>
      </w:pPr>
      <w:r>
        <w:rPr>
          <w:rFonts w:hint="eastAsia"/>
        </w:rPr>
        <w:t>按照考核要求完成相关指标佐证材料的上传，同时可上传其他附加材料，</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6" w:name="_Toc80174314"/>
      <w:r>
        <w:rPr>
          <w:rFonts w:hint="eastAsia" w:ascii="Times New Roman" w:hAnsi="Times New Roman" w:eastAsia="宋体" w:cs="Times New Roman"/>
          <w:b/>
          <w:kern w:val="2"/>
          <w:sz w:val="28"/>
          <w:lang w:val="en-US" w:eastAsia="zh-CN" w:bidi="ar-SA"/>
        </w:rPr>
        <w:t>2.2.4.2.3.意见建议</w:t>
      </w:r>
      <w:bookmarkEnd w:id="516"/>
    </w:p>
    <w:p>
      <w:pPr>
        <w:pageBreakBefore w:val="0"/>
        <w:widowControl w:val="0"/>
        <w:wordWrap/>
        <w:topLinePunct w:val="0"/>
        <w:autoSpaceDE/>
        <w:autoSpaceDN/>
        <w:bidi w:val="0"/>
        <w:spacing w:line="240" w:lineRule="auto"/>
        <w:ind w:firstLine="480"/>
        <w:textAlignment w:val="auto"/>
      </w:pPr>
      <w:r>
        <w:rPr>
          <w:rFonts w:hint="eastAsia"/>
        </w:rPr>
        <w:t>可针对考核任务提交自己的理解，功能作为考核工作的调查问卷，用于充分获取参与工作人员想法，为改进考核工作提供相关信息依据，</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7" w:name="_Toc80174315"/>
      <w:r>
        <w:rPr>
          <w:rFonts w:hint="eastAsia" w:ascii="Times New Roman" w:hAnsi="Times New Roman" w:eastAsia="宋体" w:cs="Times New Roman"/>
          <w:b/>
          <w:kern w:val="2"/>
          <w:sz w:val="28"/>
          <w:lang w:val="en-US" w:eastAsia="zh-CN" w:bidi="ar-SA"/>
        </w:rPr>
        <w:t>2.2.4.2.4.数据审核</w:t>
      </w:r>
      <w:bookmarkEnd w:id="517"/>
    </w:p>
    <w:p>
      <w:pPr>
        <w:pageBreakBefore w:val="0"/>
        <w:widowControl w:val="0"/>
        <w:wordWrap/>
        <w:topLinePunct w:val="0"/>
        <w:autoSpaceDE/>
        <w:autoSpaceDN/>
        <w:bidi w:val="0"/>
        <w:spacing w:line="240" w:lineRule="auto"/>
        <w:ind w:firstLine="480"/>
        <w:textAlignment w:val="auto"/>
      </w:pPr>
      <w:r>
        <w:t>主管部门使用功能，完成各被考核机构的填报数据在线审核。通过后的数据将被考核任务引用</w:t>
      </w:r>
      <w:r>
        <w:rPr>
          <w:rFonts w:hint="eastAsia"/>
        </w:rPr>
        <w:t>，</w:t>
      </w:r>
      <w:r>
        <w:rPr>
          <w:rFonts w:hint="eastAsia"/>
          <w:b/>
          <w:bCs/>
        </w:rPr>
        <w:t>要求提供详细的方案介绍及系统截图等佐证材料</w:t>
      </w:r>
      <w: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8" w:name="_Toc80174316"/>
      <w:r>
        <w:rPr>
          <w:rFonts w:hint="eastAsia" w:ascii="Times New Roman" w:hAnsi="Times New Roman" w:eastAsia="宋体" w:cs="Times New Roman"/>
          <w:b/>
          <w:kern w:val="2"/>
          <w:sz w:val="28"/>
          <w:lang w:val="en-US" w:eastAsia="zh-CN" w:bidi="ar-SA"/>
        </w:rPr>
        <w:t>2.2.4.2.5.填报进度</w:t>
      </w:r>
      <w:bookmarkEnd w:id="518"/>
    </w:p>
    <w:p>
      <w:pPr>
        <w:pageBreakBefore w:val="0"/>
        <w:widowControl w:val="0"/>
        <w:wordWrap/>
        <w:topLinePunct w:val="0"/>
        <w:autoSpaceDE/>
        <w:autoSpaceDN/>
        <w:bidi w:val="0"/>
        <w:spacing w:line="240" w:lineRule="auto"/>
        <w:ind w:firstLine="480"/>
        <w:textAlignment w:val="auto"/>
      </w:pPr>
      <w:r>
        <w:t>主管部门使用功能</w:t>
      </w:r>
      <w:r>
        <w:rPr>
          <w:rFonts w:hint="eastAsia"/>
        </w:rPr>
        <w:t>，</w:t>
      </w:r>
      <w:r>
        <w:t>根据填报任务名称选择对应的机构，搜索查看该机构对应填报的进度</w:t>
      </w:r>
      <w:r>
        <w:rPr>
          <w:rFonts w:hint="eastAsia"/>
        </w:rPr>
        <w:t>，</w:t>
      </w:r>
      <w:r>
        <w:rPr>
          <w:rFonts w:hint="eastAsia"/>
          <w:b/>
          <w:bCs/>
        </w:rPr>
        <w:t>要求提供详细的方案介绍及系统截图等佐证材料。</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9" w:name="_Toc80174317"/>
      <w:r>
        <w:rPr>
          <w:rFonts w:hint="eastAsia" w:ascii="Times New Roman" w:hAnsi="Times New Roman" w:eastAsia="宋体" w:cs="Times New Roman"/>
          <w:b/>
          <w:kern w:val="2"/>
          <w:sz w:val="28"/>
          <w:lang w:val="en-US" w:eastAsia="zh-CN" w:bidi="ar-SA"/>
        </w:rPr>
        <w:t>2.2.4.2.6.补充材料</w:t>
      </w:r>
      <w:bookmarkEnd w:id="519"/>
    </w:p>
    <w:p>
      <w:pPr>
        <w:pageBreakBefore w:val="0"/>
        <w:widowControl w:val="0"/>
        <w:wordWrap/>
        <w:topLinePunct w:val="0"/>
        <w:autoSpaceDE/>
        <w:autoSpaceDN/>
        <w:bidi w:val="0"/>
        <w:spacing w:line="240" w:lineRule="auto"/>
        <w:ind w:firstLine="480"/>
        <w:textAlignment w:val="auto"/>
      </w:pPr>
      <w:r>
        <w:rPr>
          <w:rFonts w:hint="eastAsia"/>
        </w:rPr>
        <w:t>被考核机构对在考核过程中有进行补充说明资料上传功能，，</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0" w:name="_Toc76719829"/>
      <w:bookmarkStart w:id="521" w:name="_Toc42670753"/>
      <w:bookmarkStart w:id="522" w:name="_Toc80174318"/>
      <w:r>
        <w:rPr>
          <w:rFonts w:hint="eastAsia" w:ascii="Times New Roman" w:hAnsi="Times New Roman" w:eastAsia="宋体" w:cs="Times New Roman"/>
          <w:b/>
          <w:kern w:val="2"/>
          <w:sz w:val="28"/>
          <w:lang w:val="en-US" w:eastAsia="zh-CN" w:bidi="ar-SA"/>
        </w:rPr>
        <w:t>2.2.4.3.绩效监管</w:t>
      </w:r>
      <w:bookmarkEnd w:id="520"/>
      <w:bookmarkEnd w:id="521"/>
      <w:bookmarkEnd w:id="522"/>
    </w:p>
    <w:p>
      <w:pPr>
        <w:pageBreakBefore w:val="0"/>
        <w:widowControl w:val="0"/>
        <w:wordWrap/>
        <w:topLinePunct w:val="0"/>
        <w:autoSpaceDE/>
        <w:autoSpaceDN/>
        <w:bidi w:val="0"/>
        <w:spacing w:line="240" w:lineRule="auto"/>
        <w:ind w:firstLine="480"/>
        <w:textAlignment w:val="auto"/>
      </w:pPr>
      <w:r>
        <w:rPr>
          <w:rFonts w:hint="eastAsia"/>
        </w:rPr>
        <w:t>此模块为绩效监管管理部门使用，进行考核的管理。</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3" w:name="_Toc80174319"/>
      <w:r>
        <w:rPr>
          <w:rFonts w:hint="eastAsia" w:ascii="Times New Roman" w:hAnsi="Times New Roman" w:eastAsia="宋体" w:cs="Times New Roman"/>
          <w:b/>
          <w:kern w:val="2"/>
          <w:sz w:val="28"/>
          <w:lang w:val="en-US" w:eastAsia="zh-CN" w:bidi="ar-SA"/>
        </w:rPr>
        <w:t>2.2.4.3.1.考核首页</w:t>
      </w:r>
      <w:bookmarkEnd w:id="523"/>
    </w:p>
    <w:p>
      <w:pPr>
        <w:pageBreakBefore w:val="0"/>
        <w:widowControl w:val="0"/>
        <w:wordWrap/>
        <w:topLinePunct w:val="0"/>
        <w:autoSpaceDE/>
        <w:autoSpaceDN/>
        <w:bidi w:val="0"/>
        <w:spacing w:line="240" w:lineRule="auto"/>
        <w:ind w:firstLine="384" w:firstLineChars="183"/>
        <w:textAlignment w:val="auto"/>
      </w:pPr>
      <w:r>
        <w:rPr>
          <w:rFonts w:hint="eastAsia"/>
        </w:rPr>
        <w:t>管理部门查看考核相关进度信息，</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4" w:name="_Toc80174320"/>
      <w:r>
        <w:rPr>
          <w:rFonts w:hint="eastAsia" w:ascii="Times New Roman" w:hAnsi="Times New Roman" w:eastAsia="宋体" w:cs="Times New Roman"/>
          <w:b/>
          <w:kern w:val="2"/>
          <w:sz w:val="28"/>
          <w:lang w:val="en-US" w:eastAsia="zh-CN" w:bidi="ar-SA"/>
        </w:rPr>
        <w:t>2.2.4.3.2.快速考核</w:t>
      </w:r>
      <w:bookmarkEnd w:id="524"/>
    </w:p>
    <w:p>
      <w:pPr>
        <w:pageBreakBefore w:val="0"/>
        <w:widowControl w:val="0"/>
        <w:wordWrap/>
        <w:topLinePunct w:val="0"/>
        <w:autoSpaceDE/>
        <w:autoSpaceDN/>
        <w:bidi w:val="0"/>
        <w:spacing w:line="240" w:lineRule="auto"/>
        <w:ind w:firstLine="480"/>
        <w:textAlignment w:val="auto"/>
      </w:pPr>
      <w:r>
        <w:rPr>
          <w:rFonts w:hint="eastAsia"/>
        </w:rPr>
        <w:t>管理机构实现对考核任务的快速考核，</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5" w:name="_Toc80174321"/>
      <w:r>
        <w:rPr>
          <w:rFonts w:hint="eastAsia" w:ascii="Times New Roman" w:hAnsi="Times New Roman" w:eastAsia="宋体" w:cs="Times New Roman"/>
          <w:b/>
          <w:kern w:val="2"/>
          <w:sz w:val="28"/>
          <w:lang w:val="en-US" w:eastAsia="zh-CN" w:bidi="ar-SA"/>
        </w:rPr>
        <w:t>2.2.4.3.3.分数调整</w:t>
      </w:r>
      <w:bookmarkEnd w:id="525"/>
    </w:p>
    <w:p>
      <w:pPr>
        <w:pageBreakBefore w:val="0"/>
        <w:widowControl w:val="0"/>
        <w:wordWrap/>
        <w:topLinePunct w:val="0"/>
        <w:autoSpaceDE/>
        <w:autoSpaceDN/>
        <w:bidi w:val="0"/>
        <w:spacing w:line="240" w:lineRule="auto"/>
        <w:ind w:firstLine="480"/>
        <w:textAlignment w:val="auto"/>
      </w:pPr>
      <w:r>
        <w:rPr>
          <w:rFonts w:hint="eastAsia"/>
        </w:rPr>
        <w:t>实现对机构分数的调整，</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6" w:name="_Toc80174322"/>
      <w:r>
        <w:rPr>
          <w:rFonts w:hint="eastAsia" w:ascii="Times New Roman" w:hAnsi="Times New Roman" w:eastAsia="宋体" w:cs="Times New Roman"/>
          <w:b/>
          <w:kern w:val="2"/>
          <w:sz w:val="28"/>
          <w:lang w:val="en-US" w:eastAsia="zh-CN" w:bidi="ar-SA"/>
        </w:rPr>
        <w:t>2.2.4.3.4.机构自评</w:t>
      </w:r>
      <w:bookmarkEnd w:id="526"/>
    </w:p>
    <w:p>
      <w:pPr>
        <w:pageBreakBefore w:val="0"/>
        <w:widowControl w:val="0"/>
        <w:wordWrap/>
        <w:topLinePunct w:val="0"/>
        <w:autoSpaceDE/>
        <w:autoSpaceDN/>
        <w:bidi w:val="0"/>
        <w:spacing w:line="240" w:lineRule="auto"/>
        <w:ind w:firstLine="480"/>
        <w:textAlignment w:val="auto"/>
      </w:pPr>
      <w:r>
        <w:rPr>
          <w:rFonts w:hint="eastAsia"/>
        </w:rPr>
        <w:t>被考核机构按照管理部门要求对所要自评的任务进行自评，</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7" w:name="_Toc80174323"/>
      <w:bookmarkStart w:id="528" w:name="_Toc42670754"/>
      <w:bookmarkStart w:id="529" w:name="_Toc76719830"/>
      <w:r>
        <w:rPr>
          <w:rFonts w:hint="eastAsia" w:ascii="Times New Roman" w:hAnsi="Times New Roman" w:eastAsia="宋体" w:cs="Times New Roman"/>
          <w:b/>
          <w:kern w:val="2"/>
          <w:sz w:val="28"/>
          <w:lang w:val="en-US" w:eastAsia="zh-CN" w:bidi="ar-SA"/>
        </w:rPr>
        <w:t>2.2.4.4.结果运用</w:t>
      </w:r>
      <w:bookmarkEnd w:id="527"/>
      <w:bookmarkEnd w:id="528"/>
      <w:bookmarkEnd w:id="529"/>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0" w:name="_Toc80174324"/>
      <w:r>
        <w:rPr>
          <w:rFonts w:hint="eastAsia" w:ascii="Times New Roman" w:hAnsi="Times New Roman" w:eastAsia="宋体" w:cs="Times New Roman"/>
          <w:b/>
          <w:kern w:val="2"/>
          <w:sz w:val="28"/>
          <w:lang w:val="en-US" w:eastAsia="zh-CN" w:bidi="ar-SA"/>
        </w:rPr>
        <w:t>2.2.4.4.1.报送进度查询</w:t>
      </w:r>
      <w:bookmarkEnd w:id="530"/>
    </w:p>
    <w:p>
      <w:pPr>
        <w:pageBreakBefore w:val="0"/>
        <w:widowControl w:val="0"/>
        <w:wordWrap/>
        <w:topLinePunct w:val="0"/>
        <w:autoSpaceDE/>
        <w:autoSpaceDN/>
        <w:bidi w:val="0"/>
        <w:spacing w:line="240" w:lineRule="auto"/>
        <w:ind w:firstLine="480"/>
        <w:textAlignment w:val="auto"/>
      </w:pPr>
      <w:r>
        <w:rPr>
          <w:rFonts w:hint="eastAsia"/>
        </w:rPr>
        <w:t>按机构查看报送进度，</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1" w:name="_Toc80174325"/>
      <w:r>
        <w:rPr>
          <w:rFonts w:hint="eastAsia" w:ascii="Times New Roman" w:hAnsi="Times New Roman" w:eastAsia="宋体" w:cs="Times New Roman"/>
          <w:b/>
          <w:kern w:val="2"/>
          <w:sz w:val="28"/>
          <w:lang w:val="en-US" w:eastAsia="zh-CN" w:bidi="ar-SA"/>
        </w:rPr>
        <w:t>2.2.4.4.2.考核进度查询</w:t>
      </w:r>
      <w:bookmarkEnd w:id="531"/>
    </w:p>
    <w:p>
      <w:pPr>
        <w:pageBreakBefore w:val="0"/>
        <w:widowControl w:val="0"/>
        <w:wordWrap/>
        <w:topLinePunct w:val="0"/>
        <w:autoSpaceDE/>
        <w:autoSpaceDN/>
        <w:bidi w:val="0"/>
        <w:spacing w:line="240" w:lineRule="auto"/>
        <w:ind w:firstLine="480"/>
        <w:textAlignment w:val="auto"/>
      </w:pPr>
      <w:r>
        <w:rPr>
          <w:rFonts w:hint="eastAsia"/>
        </w:rPr>
        <w:t>按组查询专家评审进度，</w:t>
      </w:r>
      <w:r>
        <w:rPr>
          <w:rFonts w:hint="eastAsia"/>
          <w:b/>
          <w:bCs/>
        </w:rPr>
        <w:t>要求提供详细的方案介绍及系统截图等佐证材料</w:t>
      </w:r>
      <w:r>
        <w:rPr>
          <w:rFonts w:hint="eastAsia"/>
        </w:rPr>
        <w:t>。</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2" w:name="_Toc80174326"/>
      <w:r>
        <w:rPr>
          <w:rFonts w:hint="eastAsia" w:ascii="Times New Roman" w:hAnsi="Times New Roman" w:eastAsia="宋体" w:cs="Times New Roman"/>
          <w:b/>
          <w:kern w:val="2"/>
          <w:sz w:val="28"/>
          <w:lang w:val="en-US" w:eastAsia="zh-CN" w:bidi="ar-SA"/>
        </w:rPr>
        <w:t>2.2.4.4.3.考核结果汇总（指标）</w:t>
      </w:r>
      <w:bookmarkEnd w:id="532"/>
    </w:p>
    <w:p>
      <w:pPr>
        <w:pageBreakBefore w:val="0"/>
        <w:widowControl w:val="0"/>
        <w:wordWrap/>
        <w:topLinePunct w:val="0"/>
        <w:autoSpaceDE/>
        <w:autoSpaceDN/>
        <w:bidi w:val="0"/>
        <w:spacing w:line="240" w:lineRule="auto"/>
        <w:ind w:firstLine="480"/>
        <w:textAlignment w:val="auto"/>
      </w:pPr>
      <w:r>
        <w:rPr>
          <w:rFonts w:hint="eastAsia"/>
        </w:rPr>
        <w:t>考核结果汇总表，显示各指标最终得分（平均分）及各指标总体情况。可导出</w:t>
      </w:r>
      <w:r>
        <w:t>excel</w:t>
      </w:r>
      <w:r>
        <w:rPr>
          <w:rFonts w:hint="eastAsia"/>
        </w:rPr>
        <w:t>，</w:t>
      </w:r>
      <w:r>
        <w:rPr>
          <w:rFonts w:hint="eastAsia"/>
          <w:b/>
          <w:bCs/>
        </w:rPr>
        <w:t>要求提供详细的方案介绍及系统截图等佐证材料</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3" w:name="_Toc80174327"/>
      <w:r>
        <w:rPr>
          <w:rFonts w:hint="eastAsia" w:ascii="Times New Roman" w:hAnsi="Times New Roman" w:eastAsia="宋体" w:cs="Times New Roman"/>
          <w:b/>
          <w:kern w:val="2"/>
          <w:sz w:val="28"/>
          <w:lang w:val="en-US" w:eastAsia="zh-CN" w:bidi="ar-SA"/>
        </w:rPr>
        <w:t>2.2.4.4.4.考核结果汇总（区县）</w:t>
      </w:r>
      <w:bookmarkEnd w:id="533"/>
    </w:p>
    <w:p>
      <w:pPr>
        <w:pageBreakBefore w:val="0"/>
        <w:widowControl w:val="0"/>
        <w:wordWrap/>
        <w:topLinePunct w:val="0"/>
        <w:autoSpaceDE/>
        <w:autoSpaceDN/>
        <w:bidi w:val="0"/>
        <w:spacing w:line="240" w:lineRule="auto"/>
        <w:ind w:firstLine="480"/>
        <w:textAlignment w:val="auto"/>
      </w:pPr>
      <w:r>
        <w:rPr>
          <w:rFonts w:hint="eastAsia"/>
        </w:rPr>
        <w:t>考核结果汇总表，显示各区县最终得分（总分）、排名、得分率等，可点击明细查看各区县得分明细。可导出</w:t>
      </w:r>
      <w:r>
        <w:t>excel</w:t>
      </w:r>
      <w:r>
        <w:rPr>
          <w:rFonts w:hint="eastAsia"/>
        </w:rPr>
        <w:t>，</w:t>
      </w:r>
      <w:r>
        <w:rPr>
          <w:rFonts w:hint="eastAsia"/>
          <w:b/>
          <w:bCs/>
        </w:rPr>
        <w:t>要求提供详细的方案介绍及系统截图等佐证材料</w:t>
      </w:r>
      <w: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4" w:name="_Toc80174328"/>
      <w:r>
        <w:rPr>
          <w:rFonts w:hint="eastAsia" w:ascii="Times New Roman" w:hAnsi="Times New Roman" w:eastAsia="宋体" w:cs="Times New Roman"/>
          <w:b/>
          <w:kern w:val="2"/>
          <w:sz w:val="28"/>
          <w:lang w:val="en-US" w:eastAsia="zh-CN" w:bidi="ar-SA"/>
        </w:rPr>
        <w:t>2.2.4.4.5.指标信息查阅</w:t>
      </w:r>
      <w:bookmarkEnd w:id="534"/>
    </w:p>
    <w:p>
      <w:pPr>
        <w:pageBreakBefore w:val="0"/>
        <w:widowControl w:val="0"/>
        <w:wordWrap/>
        <w:topLinePunct w:val="0"/>
        <w:autoSpaceDE/>
        <w:autoSpaceDN/>
        <w:bidi w:val="0"/>
        <w:spacing w:line="240" w:lineRule="auto"/>
        <w:ind w:firstLine="480"/>
        <w:textAlignment w:val="auto"/>
      </w:pPr>
      <w:r>
        <w:rPr>
          <w:rFonts w:hint="eastAsia"/>
        </w:rPr>
        <w:t>查看各区县医共体指标明细。可导出</w:t>
      </w:r>
      <w:r>
        <w:t>excel</w:t>
      </w:r>
      <w:r>
        <w:rPr>
          <w:rFonts w:hint="eastAsia"/>
        </w:rPr>
        <w:t>，</w:t>
      </w:r>
      <w:r>
        <w:rPr>
          <w:rFonts w:hint="eastAsia"/>
          <w:b/>
          <w:bCs/>
        </w:rPr>
        <w:t>要求提供详细的方案介绍及系统截图等佐证材料</w:t>
      </w:r>
      <w: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5" w:name="_Toc80174329"/>
      <w:r>
        <w:rPr>
          <w:rFonts w:hint="eastAsia" w:ascii="Times New Roman" w:hAnsi="Times New Roman" w:eastAsia="宋体" w:cs="Times New Roman"/>
          <w:b/>
          <w:kern w:val="2"/>
          <w:sz w:val="28"/>
          <w:lang w:val="en-US" w:eastAsia="zh-CN" w:bidi="ar-SA"/>
        </w:rPr>
        <w:t>2.2.4.4.6.专家意见查阅</w:t>
      </w:r>
      <w:bookmarkEnd w:id="535"/>
    </w:p>
    <w:p>
      <w:pPr>
        <w:pageBreakBefore w:val="0"/>
        <w:widowControl w:val="0"/>
        <w:wordWrap/>
        <w:topLinePunct w:val="0"/>
        <w:autoSpaceDE/>
        <w:autoSpaceDN/>
        <w:bidi w:val="0"/>
        <w:spacing w:line="240" w:lineRule="auto"/>
        <w:ind w:firstLine="480"/>
        <w:textAlignment w:val="auto"/>
      </w:pPr>
      <w:r>
        <w:rPr>
          <w:rFonts w:hint="eastAsia"/>
        </w:rPr>
        <w:t>查看不同阶段的专家评分意见，</w:t>
      </w:r>
      <w:r>
        <w:rPr>
          <w:rFonts w:hint="eastAsia"/>
          <w:b/>
          <w:bCs/>
        </w:rPr>
        <w:t>要求提供详细的方案介绍及系统截图等佐证材料</w:t>
      </w:r>
      <w:r>
        <w:rPr>
          <w:rFonts w:hint="eastAsia"/>
        </w:rPr>
        <w:t>。</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6" w:name="_Toc80174330"/>
      <w:r>
        <w:rPr>
          <w:rFonts w:hint="eastAsia" w:ascii="Times New Roman" w:hAnsi="Times New Roman" w:eastAsia="宋体" w:cs="Times New Roman"/>
          <w:b/>
          <w:kern w:val="2"/>
          <w:sz w:val="28"/>
          <w:lang w:val="en-US" w:eastAsia="zh-CN" w:bidi="ar-SA"/>
        </w:rPr>
        <w:t>2.2.4.4.7.自评报告查阅</w:t>
      </w:r>
      <w:bookmarkEnd w:id="536"/>
    </w:p>
    <w:p>
      <w:pPr>
        <w:pageBreakBefore w:val="0"/>
        <w:widowControl w:val="0"/>
        <w:wordWrap/>
        <w:topLinePunct w:val="0"/>
        <w:autoSpaceDE/>
        <w:autoSpaceDN/>
        <w:bidi w:val="0"/>
        <w:spacing w:line="240" w:lineRule="auto"/>
        <w:ind w:firstLine="480"/>
        <w:textAlignment w:val="auto"/>
      </w:pPr>
      <w:r>
        <w:rPr>
          <w:rFonts w:hint="eastAsia"/>
        </w:rPr>
        <w:t>查看被考核区县自评报告信息，可预览及下载，</w:t>
      </w:r>
      <w:r>
        <w:rPr>
          <w:rFonts w:hint="eastAsia"/>
          <w:b/>
          <w:bCs/>
        </w:rPr>
        <w:t>要求提供详细的方案介绍及系统截图等佐证材料</w:t>
      </w:r>
      <w:r>
        <w:rPr>
          <w:rFonts w:hint="eastAsia"/>
        </w:rPr>
        <w:t>。</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7" w:name="_Toc80174331"/>
      <w:r>
        <w:rPr>
          <w:rFonts w:hint="eastAsia" w:ascii="Times New Roman" w:hAnsi="Times New Roman" w:eastAsia="宋体" w:cs="Times New Roman"/>
          <w:b/>
          <w:kern w:val="2"/>
          <w:sz w:val="28"/>
          <w:lang w:val="en-US" w:eastAsia="zh-CN" w:bidi="ar-SA"/>
        </w:rPr>
        <w:t>2.2.4.4.8.佐证材料查阅</w:t>
      </w:r>
      <w:bookmarkEnd w:id="537"/>
    </w:p>
    <w:p>
      <w:pPr>
        <w:pageBreakBefore w:val="0"/>
        <w:widowControl w:val="0"/>
        <w:wordWrap/>
        <w:topLinePunct w:val="0"/>
        <w:autoSpaceDE/>
        <w:autoSpaceDN/>
        <w:bidi w:val="0"/>
        <w:spacing w:line="240" w:lineRule="auto"/>
        <w:ind w:firstLine="480"/>
        <w:textAlignment w:val="auto"/>
      </w:pPr>
      <w:r>
        <w:rPr>
          <w:rFonts w:hint="eastAsia"/>
        </w:rPr>
        <w:t>查看考核任务下的材料信息，分为佐证材料、附加材料、确认单，并能查看专家对材料质量的评价。可预览及下载，</w:t>
      </w:r>
      <w:r>
        <w:rPr>
          <w:rFonts w:hint="eastAsia"/>
          <w:b/>
          <w:bCs/>
        </w:rPr>
        <w:t>要求提供详细的方案介绍及系统截图等佐证材料</w:t>
      </w:r>
      <w:r>
        <w:rPr>
          <w:rFonts w:hint="eastAsia"/>
        </w:rPr>
        <w:t>。</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8" w:name="_Toc77959974"/>
      <w:bookmarkStart w:id="539" w:name="_Toc80174334"/>
      <w:bookmarkStart w:id="540" w:name="_Toc76719831"/>
      <w:bookmarkStart w:id="541" w:name="_Toc42670755"/>
      <w:r>
        <w:rPr>
          <w:rFonts w:hint="eastAsia" w:ascii="Times New Roman" w:hAnsi="Times New Roman" w:eastAsia="宋体" w:cs="Times New Roman"/>
          <w:b/>
          <w:kern w:val="2"/>
          <w:sz w:val="28"/>
          <w:lang w:val="en-US" w:eastAsia="zh-CN" w:bidi="ar-SA"/>
        </w:rPr>
        <w:t>2.2.4.5.运行监测</w:t>
      </w:r>
      <w:bookmarkEnd w:id="538"/>
      <w:bookmarkEnd w:id="539"/>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42" w:name="_Toc80174335"/>
      <w:bookmarkStart w:id="543" w:name="_Toc77959975"/>
      <w:r>
        <w:rPr>
          <w:rFonts w:hint="eastAsia" w:ascii="Times New Roman" w:hAnsi="Times New Roman" w:eastAsia="宋体" w:cs="Times New Roman"/>
          <w:b/>
          <w:kern w:val="2"/>
          <w:sz w:val="28"/>
          <w:lang w:val="en-US" w:eastAsia="zh-CN" w:bidi="ar-SA"/>
        </w:rPr>
        <w:t>2.2.4.5.1.监测指标溯源分析</w:t>
      </w:r>
      <w:bookmarkEnd w:id="542"/>
      <w:bookmarkEnd w:id="543"/>
    </w:p>
    <w:p>
      <w:pPr>
        <w:pageBreakBefore w:val="0"/>
        <w:widowControl w:val="0"/>
        <w:wordWrap/>
        <w:topLinePunct w:val="0"/>
        <w:autoSpaceDE/>
        <w:autoSpaceDN/>
        <w:bidi w:val="0"/>
        <w:spacing w:line="240" w:lineRule="auto"/>
        <w:ind w:firstLine="480"/>
        <w:textAlignment w:val="auto"/>
      </w:pPr>
      <w:r>
        <w:rPr>
          <w:rFonts w:hint="eastAsia"/>
          <w:b w:val="0"/>
          <w:bCs w:val="0"/>
          <w:lang w:val="en-US" w:eastAsia="zh-CN"/>
        </w:rPr>
        <w:t>★</w:t>
      </w:r>
      <w:r>
        <w:rPr>
          <w:rFonts w:hint="eastAsia"/>
        </w:rPr>
        <w:t>根据指标体系“有序就医格局、服务能力提升、资源有效利用”将重点监测指标划分三个区域，通过点击指标标签，中间页面展示该指标的交叉分析。根据医疗服务、医保资金角度统计，</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44" w:name="_Toc77959976"/>
      <w:bookmarkStart w:id="545" w:name="_Toc80174336"/>
      <w:r>
        <w:rPr>
          <w:rFonts w:hint="eastAsia" w:ascii="Times New Roman" w:hAnsi="Times New Roman" w:eastAsia="宋体" w:cs="Times New Roman"/>
          <w:b/>
          <w:kern w:val="2"/>
          <w:sz w:val="28"/>
          <w:lang w:val="en-US" w:eastAsia="zh-CN" w:bidi="ar-SA"/>
        </w:rPr>
        <w:t>2.2.4.5.2.地域详情分析</w:t>
      </w:r>
      <w:bookmarkEnd w:id="544"/>
      <w:bookmarkEnd w:id="545"/>
    </w:p>
    <w:p>
      <w:pPr>
        <w:pageBreakBefore w:val="0"/>
        <w:widowControl w:val="0"/>
        <w:wordWrap/>
        <w:topLinePunct w:val="0"/>
        <w:autoSpaceDE/>
        <w:autoSpaceDN/>
        <w:bidi w:val="0"/>
        <w:spacing w:line="240" w:lineRule="auto"/>
        <w:ind w:firstLine="480"/>
        <w:textAlignment w:val="auto"/>
      </w:pPr>
      <w:r>
        <w:rPr>
          <w:rFonts w:hint="eastAsia"/>
          <w:b w:val="0"/>
          <w:bCs w:val="0"/>
          <w:lang w:val="en-US" w:eastAsia="zh-CN"/>
        </w:rPr>
        <w:t>★</w:t>
      </w:r>
      <w:r>
        <w:rPr>
          <w:rFonts w:hint="eastAsia"/>
        </w:rPr>
        <w:t>根据指标体系“有序就医格局、服务能力提升、资源有效利用”展示三大类指标中重点关注指标，</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46" w:name="_Toc77959977"/>
      <w:bookmarkStart w:id="547" w:name="_Toc80174337"/>
      <w:r>
        <w:rPr>
          <w:rFonts w:hint="eastAsia" w:ascii="Times New Roman" w:hAnsi="Times New Roman" w:eastAsia="宋体" w:cs="Times New Roman"/>
          <w:b/>
          <w:kern w:val="2"/>
          <w:sz w:val="28"/>
          <w:lang w:val="en-US" w:eastAsia="zh-CN" w:bidi="ar-SA"/>
        </w:rPr>
        <w:t>2.2.4.5.3.查看填报进度</w:t>
      </w:r>
      <w:bookmarkEnd w:id="546"/>
      <w:bookmarkEnd w:id="547"/>
    </w:p>
    <w:p>
      <w:pPr>
        <w:pageBreakBefore w:val="0"/>
        <w:widowControl w:val="0"/>
        <w:wordWrap/>
        <w:topLinePunct w:val="0"/>
        <w:autoSpaceDE/>
        <w:autoSpaceDN/>
        <w:bidi w:val="0"/>
        <w:spacing w:line="240" w:lineRule="auto"/>
        <w:ind w:firstLine="480"/>
        <w:textAlignment w:val="auto"/>
        <w:rPr>
          <w:rFonts w:ascii="宋体" w:hAnsi="宋体"/>
        </w:rPr>
      </w:pPr>
      <w:r>
        <w:rPr>
          <w:rFonts w:hint="eastAsia"/>
          <w:b w:val="0"/>
          <w:bCs w:val="0"/>
          <w:lang w:val="en-US" w:eastAsia="zh-CN"/>
        </w:rPr>
        <w:t>★</w:t>
      </w:r>
      <w:r>
        <w:rPr>
          <w:rFonts w:hint="eastAsia" w:ascii="宋体" w:hAnsi="宋体"/>
        </w:rPr>
        <w:t>对今日填报数量、截止今日填报了多少数，试点县数量、当前进行的填报任务，试点县填报进度、数据审核进度情况进行展示</w:t>
      </w:r>
      <w:r>
        <w:rPr>
          <w:rFonts w:hint="eastAsia"/>
        </w:rPr>
        <w:t>，</w:t>
      </w:r>
      <w:r>
        <w:rPr>
          <w:rFonts w:hint="eastAsia"/>
          <w:b/>
          <w:bCs/>
        </w:rPr>
        <w:t>要求提供详细的方案介绍及系统截图等佐证材料</w:t>
      </w:r>
      <w:r>
        <w:rPr>
          <w:rFonts w:hint="eastAsia" w:ascii="宋体" w:hAnsi="宋体"/>
        </w:rPr>
        <w:t>。</w:t>
      </w:r>
    </w:p>
    <w:bookmarkEnd w:id="504"/>
    <w:bookmarkEnd w:id="505"/>
    <w:bookmarkEnd w:id="506"/>
    <w:bookmarkEnd w:id="540"/>
    <w:bookmarkEnd w:id="541"/>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2.2.5综合展示大屏</w:t>
      </w:r>
    </w:p>
    <w:p>
      <w:pPr>
        <w:pageBreakBefore w:val="0"/>
        <w:widowControl w:val="0"/>
        <w:wordWrap/>
        <w:topLinePunct w:val="0"/>
        <w:autoSpaceDE/>
        <w:autoSpaceDN/>
        <w:bidi w:val="0"/>
        <w:spacing w:line="240" w:lineRule="auto"/>
        <w:textAlignment w:val="auto"/>
        <w:rPr>
          <w:rFonts w:hint="eastAsia"/>
        </w:rPr>
      </w:pPr>
      <w:r>
        <w:rPr>
          <w:rFonts w:hint="eastAsia" w:ascii="Times New Roman" w:hAnsi="Times New Roman" w:eastAsia="宋体" w:cs="Times New Roman"/>
          <w:b/>
          <w:kern w:val="2"/>
          <w:sz w:val="28"/>
          <w:lang w:val="en-US" w:eastAsia="zh-CN" w:bidi="ar-SA"/>
        </w:rPr>
        <w:t>2.2.5.1.医共体运行监测大屏展示系统软件</w:t>
      </w:r>
      <w:r>
        <w:rPr>
          <w:rFonts w:hint="eastAsia"/>
        </w:rPr>
        <w:tab/>
      </w:r>
      <w:r>
        <w:rPr>
          <w:rFonts w:hint="eastAsia"/>
        </w:rPr>
        <w:tab/>
      </w:r>
    </w:p>
    <w:p>
      <w:pPr>
        <w:pStyle w:val="15"/>
        <w:keepNext w:val="0"/>
        <w:keepLines w:val="0"/>
        <w:pageBreakBefore w:val="0"/>
        <w:widowControl w:val="0"/>
        <w:kinsoku w:val="0"/>
        <w:wordWrap/>
        <w:overflowPunct w:val="0"/>
        <w:topLinePunct w:val="0"/>
        <w:autoSpaceDE/>
        <w:autoSpaceDN/>
        <w:bidi w:val="0"/>
        <w:adjustRightInd/>
        <w:snapToGrid/>
        <w:spacing w:after="0" w:line="240" w:lineRule="auto"/>
        <w:ind w:right="0" w:firstLine="48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对重点管理指标形成动态大屏应用，实时呈现整体运营情况，对显示的内容动态实时更新，至少包括全区医疗业务整体概览、医疗卫生资源、平台</w:t>
      </w:r>
      <w:r>
        <w:rPr>
          <w:rFonts w:hint="eastAsia" w:ascii="宋体" w:hAnsi="宋体" w:eastAsia="宋体" w:cs="宋体"/>
          <w:spacing w:val="-92"/>
          <w:sz w:val="24"/>
          <w:szCs w:val="24"/>
        </w:rPr>
        <w:t xml:space="preserve"> </w:t>
      </w:r>
      <w:r>
        <w:rPr>
          <w:rFonts w:hint="eastAsia" w:ascii="宋体" w:hAnsi="宋体" w:eastAsia="宋体" w:cs="宋体"/>
          <w:sz w:val="24"/>
          <w:szCs w:val="24"/>
        </w:rPr>
        <w:t>运行情况等内容。</w:t>
      </w:r>
    </w:p>
    <w:p>
      <w:pPr>
        <w:pStyle w:val="15"/>
        <w:keepNext w:val="0"/>
        <w:keepLines w:val="0"/>
        <w:pageBreakBefore w:val="0"/>
        <w:widowControl w:val="0"/>
        <w:kinsoku w:val="0"/>
        <w:wordWrap/>
        <w:overflowPunct w:val="0"/>
        <w:topLinePunct w:val="0"/>
        <w:autoSpaceDE/>
        <w:autoSpaceDN/>
        <w:bidi w:val="0"/>
        <w:adjustRightInd/>
        <w:snapToGrid/>
        <w:spacing w:after="0" w:line="360" w:lineRule="auto"/>
        <w:ind w:right="0" w:firstLine="480"/>
        <w:jc w:val="left"/>
        <w:textAlignment w:val="auto"/>
        <w:rPr>
          <w:rFonts w:hint="eastAsia" w:ascii="宋体" w:hAnsi="宋体" w:eastAsia="宋体" w:cs="宋体"/>
          <w:sz w:val="24"/>
          <w:szCs w:val="24"/>
        </w:rPr>
      </w:pPr>
      <w:r>
        <w:rPr>
          <w:rFonts w:hint="eastAsia"/>
          <w:b w:val="0"/>
          <w:bCs w:val="0"/>
          <w:lang w:val="en-US" w:eastAsia="zh-CN"/>
        </w:rPr>
        <w:t>★</w:t>
      </w:r>
      <w:r>
        <w:rPr>
          <w:rFonts w:hint="eastAsia" w:ascii="宋体" w:hAnsi="宋体" w:eastAsia="宋体" w:cs="宋体"/>
          <w:spacing w:val="-5"/>
          <w:sz w:val="24"/>
          <w:szCs w:val="24"/>
        </w:rPr>
        <w:t>全区医疗业务整体概览：如下内容基本情况：总人口数、建档数、医疗卫生机构数、</w:t>
      </w:r>
      <w:r>
        <w:rPr>
          <w:rFonts w:hint="eastAsia" w:ascii="宋体" w:hAnsi="宋体" w:eastAsia="宋体" w:cs="宋体"/>
          <w:sz w:val="24"/>
          <w:szCs w:val="24"/>
        </w:rPr>
        <w:t xml:space="preserve"> 已接入平台机构数、卫生人员数及床位数</w:t>
      </w:r>
      <w:r>
        <w:rPr>
          <w:rFonts w:hint="eastAsia" w:ascii="宋体" w:hAnsi="宋体" w:cs="宋体"/>
          <w:sz w:val="24"/>
          <w:szCs w:val="24"/>
          <w:lang w:eastAsia="zh-CN"/>
        </w:rPr>
        <w:t>。</w:t>
      </w:r>
      <w:r>
        <w:rPr>
          <w:rFonts w:hint="eastAsia" w:ascii="宋体" w:hAnsi="宋体" w:cs="宋体"/>
          <w:b/>
          <w:bCs/>
          <w:sz w:val="24"/>
          <w:szCs w:val="24"/>
          <w:lang w:val="en-US" w:eastAsia="zh-CN"/>
        </w:rPr>
        <w:t>要求提供佐证材料，包括不限于系统截图或操作手册等。</w:t>
      </w:r>
    </w:p>
    <w:p>
      <w:pPr>
        <w:pStyle w:val="15"/>
        <w:keepNext w:val="0"/>
        <w:keepLines w:val="0"/>
        <w:pageBreakBefore w:val="0"/>
        <w:widowControl w:val="0"/>
        <w:kinsoku w:val="0"/>
        <w:wordWrap/>
        <w:overflowPunct w:val="0"/>
        <w:topLinePunct w:val="0"/>
        <w:autoSpaceDE/>
        <w:autoSpaceDN/>
        <w:bidi w:val="0"/>
        <w:adjustRightInd/>
        <w:snapToGrid/>
        <w:spacing w:after="0" w:line="360" w:lineRule="auto"/>
        <w:ind w:right="0" w:firstLine="480"/>
        <w:jc w:val="left"/>
        <w:textAlignment w:val="auto"/>
        <w:rPr>
          <w:rFonts w:hint="eastAsia" w:ascii="宋体" w:hAnsi="宋体" w:eastAsia="宋体" w:cs="宋体"/>
          <w:sz w:val="24"/>
          <w:szCs w:val="24"/>
        </w:rPr>
      </w:pPr>
      <w:r>
        <w:rPr>
          <w:rFonts w:hint="eastAsia"/>
          <w:b w:val="0"/>
          <w:bCs w:val="0"/>
          <w:lang w:val="en-US" w:eastAsia="zh-CN"/>
        </w:rPr>
        <w:t>★</w:t>
      </w:r>
      <w:r>
        <w:rPr>
          <w:rFonts w:hint="eastAsia" w:ascii="宋体" w:hAnsi="宋体" w:eastAsia="宋体" w:cs="宋体"/>
          <w:sz w:val="24"/>
          <w:szCs w:val="24"/>
        </w:rPr>
        <w:t>医疗卫生资源：包括医疗机构总数、医院数量、基层医疗机构数量、卫生人员数、</w:t>
      </w:r>
      <w:r>
        <w:rPr>
          <w:rFonts w:hint="eastAsia" w:ascii="宋体" w:hAnsi="宋体" w:eastAsia="宋体" w:cs="宋体"/>
          <w:spacing w:val="-2"/>
          <w:sz w:val="24"/>
          <w:szCs w:val="24"/>
        </w:rPr>
        <w:t>卫生技术人员数、床位数、万元以上设备数，以及各个级别医疗卫生机构分布情况、卫</w:t>
      </w:r>
      <w:r>
        <w:rPr>
          <w:rFonts w:hint="eastAsia" w:ascii="宋体" w:hAnsi="宋体" w:eastAsia="宋体" w:cs="宋体"/>
          <w:sz w:val="24"/>
          <w:szCs w:val="24"/>
        </w:rPr>
        <w:t>生经费分布情况、固定资产分布情况、卫生技术人员分布情况及床位编制情况等内容。 医疗服务效率和质量：包括医疗效率(总诊疗人次、门急诊人次、健康体检人次、</w:t>
      </w:r>
      <w:r>
        <w:rPr>
          <w:rFonts w:hint="eastAsia" w:ascii="宋体" w:hAnsi="宋体" w:eastAsia="宋体" w:cs="宋体"/>
          <w:spacing w:val="-2"/>
          <w:sz w:val="24"/>
          <w:szCs w:val="24"/>
        </w:rPr>
        <w:t>出院人次、每医生门诊人次、每医技人员出院人次)；医疗质量与安全(临床病例诊断符合率、放射与临床诊断符合率、门诊出院诊断符合率、入院出院诊断符合率、住院甲级</w:t>
      </w:r>
      <w:r>
        <w:rPr>
          <w:rFonts w:hint="eastAsia" w:ascii="宋体" w:hAnsi="宋体" w:eastAsia="宋体" w:cs="宋体"/>
          <w:sz w:val="24"/>
          <w:szCs w:val="24"/>
        </w:rPr>
        <w:t xml:space="preserve"> 病例率、出院 31</w:t>
      </w:r>
      <w:r>
        <w:rPr>
          <w:rFonts w:hint="eastAsia" w:ascii="宋体" w:hAnsi="宋体" w:eastAsia="宋体" w:cs="宋体"/>
          <w:spacing w:val="-61"/>
          <w:sz w:val="24"/>
          <w:szCs w:val="24"/>
        </w:rPr>
        <w:t xml:space="preserve"> </w:t>
      </w:r>
      <w:r>
        <w:rPr>
          <w:rFonts w:hint="eastAsia" w:ascii="宋体" w:hAnsi="宋体" w:eastAsia="宋体" w:cs="宋体"/>
          <w:sz w:val="24"/>
          <w:szCs w:val="24"/>
        </w:rPr>
        <w:t>天内再住院率、住院总死亡率、手术患者总死亡率、新生儿患者死亡</w:t>
      </w:r>
      <w:r>
        <w:rPr>
          <w:rFonts w:hint="eastAsia" w:ascii="宋体" w:hAnsi="宋体" w:eastAsia="宋体" w:cs="宋体"/>
          <w:spacing w:val="-2"/>
          <w:sz w:val="24"/>
          <w:szCs w:val="24"/>
        </w:rPr>
        <w:t>率；患者死亡率趋势、诊疗人次趋势、住院患者感染总发生率、手术患者感染率、手术并发症发生率、手术切口甲级愈合率、手术患者再返手术室率及门诊出院诊断符合率等</w:t>
      </w:r>
      <w:r>
        <w:rPr>
          <w:rFonts w:hint="eastAsia" w:ascii="宋体" w:hAnsi="宋体" w:eastAsia="宋体" w:cs="宋体"/>
          <w:sz w:val="24"/>
          <w:szCs w:val="24"/>
        </w:rPr>
        <w:t>内容)。</w:t>
      </w:r>
      <w:r>
        <w:rPr>
          <w:rFonts w:hint="eastAsia" w:ascii="宋体" w:hAnsi="宋体" w:cs="宋体"/>
          <w:b/>
          <w:bCs/>
          <w:sz w:val="24"/>
          <w:szCs w:val="24"/>
          <w:lang w:val="en-US" w:eastAsia="zh-CN"/>
        </w:rPr>
        <w:t>要求提供佐证材料，包括不限于系统截图或操作手册等。</w:t>
      </w:r>
    </w:p>
    <w:p>
      <w:pPr>
        <w:pStyle w:val="15"/>
        <w:keepNext w:val="0"/>
        <w:keepLines w:val="0"/>
        <w:pageBreakBefore w:val="0"/>
        <w:widowControl w:val="0"/>
        <w:kinsoku w:val="0"/>
        <w:wordWrap/>
        <w:overflowPunct w:val="0"/>
        <w:topLinePunct w:val="0"/>
        <w:autoSpaceDE/>
        <w:autoSpaceDN/>
        <w:bidi w:val="0"/>
        <w:adjustRightInd/>
        <w:snapToGrid/>
        <w:spacing w:after="0" w:line="360" w:lineRule="auto"/>
        <w:ind w:right="0" w:firstLine="480"/>
        <w:jc w:val="left"/>
        <w:textAlignment w:val="auto"/>
        <w:rPr>
          <w:rFonts w:hint="default" w:eastAsia="宋体"/>
          <w:sz w:val="24"/>
          <w:szCs w:val="24"/>
          <w:lang w:val="en-US" w:eastAsia="zh-CN"/>
        </w:rPr>
      </w:pPr>
      <w:r>
        <w:rPr>
          <w:rFonts w:hint="eastAsia"/>
          <w:b w:val="0"/>
          <w:bCs w:val="0"/>
          <w:lang w:val="en-US" w:eastAsia="zh-CN"/>
        </w:rPr>
        <w:t>★</w:t>
      </w:r>
      <w:r>
        <w:rPr>
          <w:rFonts w:hint="eastAsia" w:ascii="宋体" w:hAnsi="宋体" w:eastAsia="宋体" w:cs="宋体"/>
          <w:spacing w:val="-2"/>
          <w:sz w:val="24"/>
          <w:szCs w:val="24"/>
        </w:rPr>
        <w:t>平台运行情况：显示全人口数及今日新增数、健康档案数及今日新增数、电子病历</w:t>
      </w:r>
      <w:r>
        <w:rPr>
          <w:rFonts w:hint="eastAsia" w:ascii="宋体" w:hAnsi="宋体" w:eastAsia="宋体" w:cs="宋体"/>
          <w:sz w:val="24"/>
          <w:szCs w:val="24"/>
        </w:rPr>
        <w:t xml:space="preserve"> </w:t>
      </w:r>
      <w:r>
        <w:rPr>
          <w:rFonts w:hint="eastAsia" w:ascii="宋体" w:hAnsi="宋体" w:eastAsia="宋体" w:cs="宋体"/>
          <w:spacing w:val="-2"/>
          <w:sz w:val="24"/>
          <w:szCs w:val="24"/>
        </w:rPr>
        <w:t>数及今日新增数、平台数据数量及今日新增、平台接入情况：平台接入应用数、平台接</w:t>
      </w:r>
      <w:r>
        <w:rPr>
          <w:rFonts w:hint="eastAsia" w:ascii="宋体" w:hAnsi="宋体" w:eastAsia="宋体" w:cs="宋体"/>
          <w:spacing w:val="-92"/>
          <w:sz w:val="24"/>
          <w:szCs w:val="24"/>
        </w:rPr>
        <w:t xml:space="preserve"> </w:t>
      </w:r>
      <w:r>
        <w:rPr>
          <w:rFonts w:hint="eastAsia" w:ascii="宋体" w:hAnsi="宋体" w:eastAsia="宋体" w:cs="宋体"/>
          <w:spacing w:val="-2"/>
          <w:sz w:val="24"/>
          <w:szCs w:val="24"/>
        </w:rPr>
        <w:t>入机构数量、当日活动机构数，门急诊科室人次排行、电子病历和健康档案的上传数据</w:t>
      </w:r>
      <w:r>
        <w:rPr>
          <w:rFonts w:hint="eastAsia" w:ascii="宋体" w:hAnsi="宋体" w:eastAsia="宋体" w:cs="宋体"/>
          <w:spacing w:val="-93"/>
          <w:sz w:val="24"/>
          <w:szCs w:val="24"/>
        </w:rPr>
        <w:t xml:space="preserve"> </w:t>
      </w:r>
      <w:r>
        <w:rPr>
          <w:rFonts w:hint="eastAsia" w:ascii="宋体" w:hAnsi="宋体" w:eastAsia="宋体" w:cs="宋体"/>
          <w:sz w:val="24"/>
          <w:szCs w:val="24"/>
        </w:rPr>
        <w:t>变化趋势、健康数据共享调阅情况及远程会诊和分级诊疗的变化趋势等内容</w:t>
      </w:r>
      <w:r>
        <w:rPr>
          <w:rFonts w:hint="eastAsia" w:ascii="宋体" w:hAnsi="宋体" w:cs="宋体"/>
          <w:sz w:val="24"/>
          <w:szCs w:val="24"/>
          <w:lang w:eastAsia="zh-CN"/>
        </w:rPr>
        <w:t>。</w:t>
      </w:r>
      <w:r>
        <w:rPr>
          <w:rFonts w:hint="eastAsia" w:ascii="宋体" w:hAnsi="宋体" w:cs="宋体"/>
          <w:b/>
          <w:bCs/>
          <w:sz w:val="24"/>
          <w:szCs w:val="24"/>
          <w:lang w:val="en-US" w:eastAsia="zh-CN"/>
        </w:rPr>
        <w:t>要求提供佐证材料，包括不限于系统截图或操作手册等。</w:t>
      </w:r>
    </w:p>
    <w:p>
      <w:pPr>
        <w:pStyle w:val="7"/>
        <w:bidi w:val="0"/>
        <w:ind w:left="720" w:hanging="720"/>
        <w:rPr>
          <w:rFonts w:hint="eastAsia" w:ascii="Times New Roman" w:hAnsi="Times New Roman" w:eastAsia="宋体" w:cs="Times New Roman"/>
          <w:b/>
          <w:highlight w:val="none"/>
        </w:rPr>
      </w:pPr>
      <w:r>
        <w:rPr>
          <w:rFonts w:hint="eastAsia" w:ascii="Times New Roman" w:hAnsi="Times New Roman" w:eastAsia="宋体" w:cs="Times New Roman"/>
          <w:b/>
          <w:kern w:val="2"/>
          <w:sz w:val="28"/>
          <w:lang w:val="en-US" w:eastAsia="zh-CN" w:bidi="ar-SA"/>
        </w:rPr>
        <w:t>2.2.5.2.</w:t>
      </w:r>
      <w:r>
        <w:rPr>
          <w:rFonts w:hint="eastAsia" w:ascii="宋体" w:hAnsi="宋体" w:eastAsia="宋体" w:cs="宋体"/>
          <w:b/>
          <w:bCs/>
          <w:kern w:val="2"/>
          <w:sz w:val="24"/>
          <w:szCs w:val="24"/>
          <w:lang w:val="en-US" w:eastAsia="zh-CN" w:bidi="ar-SA"/>
        </w:rPr>
        <w:t>约2M*4.9M综合展示大屏硬件（尺寸根据场地调整，</w:t>
      </w:r>
      <w:r>
        <w:rPr>
          <w:rFonts w:hint="eastAsia" w:ascii="宋体" w:hAnsi="宋体" w:eastAsia="宋体" w:cs="宋体"/>
          <w:b/>
          <w:bCs/>
          <w:kern w:val="2"/>
          <w:sz w:val="24"/>
          <w:szCs w:val="24"/>
          <w:highlight w:val="none"/>
          <w:lang w:val="en-US" w:eastAsia="zh-CN" w:bidi="ar-SA"/>
        </w:rPr>
        <w:t>面积约12平米大小）</w:t>
      </w:r>
    </w:p>
    <w:tbl>
      <w:tblPr>
        <w:tblStyle w:val="31"/>
        <w:tblW w:w="8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9"/>
        <w:gridCol w:w="1972"/>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序号</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产品名称</w:t>
            </w:r>
          </w:p>
        </w:tc>
        <w:tc>
          <w:tcPr>
            <w:tcW w:w="55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LED显示屏</w:t>
            </w:r>
          </w:p>
        </w:tc>
        <w:tc>
          <w:tcPr>
            <w:tcW w:w="550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1、结构说明：像素点采用1红1蓝1绿三合一；安装方式：钢挂贴墙式安装</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2、室内 Q1.86全彩单元板显示效果更加清晰细腻；实现高刷新率、高灰阶及较高灯管利用率；无残影、防“毛毛虫” 、低功耗、低突波等。</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3、模组尺寸：</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320mm*160mm ，模组分辨率</w:t>
            </w:r>
            <w:r>
              <w:rPr>
                <w:rFonts w:hint="eastAsia"/>
                <w:color w:val="auto"/>
                <w:highlight w:val="none"/>
                <w:lang w:val="en-US" w:eastAsia="zh-CN"/>
              </w:rPr>
              <w:t>≥</w:t>
            </w:r>
            <w:r>
              <w:rPr>
                <w:rFonts w:hint="eastAsia" w:ascii="宋体" w:hAnsi="宋体" w:eastAsia="宋体" w:cs="宋体"/>
                <w:color w:val="auto"/>
                <w:sz w:val="24"/>
                <w:szCs w:val="24"/>
                <w:highlight w:val="none"/>
              </w:rPr>
              <w:t>172点×86点；</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、驱动器件：采用动态行驱动芯片 ，具有支持亮度调节功能。</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、工作电压：在4.5VDC能正常工作</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、工作环境：能满足—40℃ ~80℃ 正常工作</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、像素点间距：≤1.86mm ；最佳视角：水平≥140°，垂直≥130°</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 xml:space="preserve">、像素密度 </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288906Dots/㎡</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、刷新频率：≥3840Hz；</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、校正后白平衡亮度：≥670cd/m2</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、亮度均匀性：≥96%，</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、最大对比度≥6000：1</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、色温：3000K-18000K具有可调整性</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、灰度级数：</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14bit</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、平均无故障时间：≥20000小时</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、整屏平整度 ：≤0.1MM</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、人眼视觉舒适度：VICO指数≤1</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、工作电压：在4.2*(1±10%)VDC范围内能正常工作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19、</w:t>
            </w:r>
            <w:r>
              <w:rPr>
                <w:rFonts w:hint="eastAsia" w:ascii="宋体" w:hAnsi="宋体" w:eastAsia="宋体" w:cs="宋体"/>
                <w:color w:val="auto"/>
                <w:sz w:val="24"/>
                <w:szCs w:val="24"/>
              </w:rPr>
              <w:t>最大功耗：≤320W /㎡，平均功耗≤115W/㎡</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lang w:val="en-US" w:eastAsia="zh-CN"/>
              </w:rPr>
              <w:t>最大电流：≤5A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lang w:eastAsia="zh-CN"/>
              </w:rPr>
              <w:t>电流增益：</w:t>
            </w:r>
            <w:r>
              <w:rPr>
                <w:rFonts w:hint="eastAsia" w:ascii="宋体" w:hAnsi="宋体" w:eastAsia="宋体" w:cs="宋体"/>
                <w:color w:val="auto"/>
                <w:sz w:val="24"/>
                <w:szCs w:val="24"/>
                <w:lang w:val="en-US" w:eastAsia="zh-CN"/>
              </w:rPr>
              <w:t>电流增益调节范围：1%～199%，电流增益调节级别≥8位</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highlight w:val="none"/>
                <w:lang w:val="en-US" w:eastAsia="zh-CN" w:bidi="ar"/>
              </w:rPr>
              <w:t>22、</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具有列下消隐功能、倍频刷新率提升2/4/8倍、低灰偏色改善</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23、</w:t>
            </w:r>
            <w:r>
              <w:rPr>
                <w:rFonts w:hint="eastAsia" w:ascii="宋体" w:hAnsi="宋体" w:eastAsia="宋体" w:cs="宋体"/>
                <w:color w:val="auto"/>
                <w:sz w:val="24"/>
                <w:szCs w:val="24"/>
                <w:lang w:val="en-US" w:eastAsia="zh-CN"/>
              </w:rPr>
              <w:t>色温为6500K时，100%、75%、50%、25%四档电平白场调节色温误差≤200K</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highlight w:val="none"/>
                <w:lang w:val="en-US" w:eastAsia="zh-CN" w:bidi="ar"/>
              </w:rPr>
              <w:t>24、</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PCB板材采用玻璃化温度≥150℃的覆铜板；PCB板采用FR-4材质，电路采用多层设计，符合CQC13-471301-2018国家标准"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25、</w:t>
            </w:r>
            <w:r>
              <w:rPr>
                <w:rFonts w:hint="eastAsia" w:ascii="宋体" w:hAnsi="宋体" w:eastAsia="宋体" w:cs="宋体"/>
                <w:color w:val="auto"/>
                <w:sz w:val="24"/>
                <w:szCs w:val="24"/>
                <w:lang w:val="en-US" w:eastAsia="zh-CN"/>
              </w:rPr>
              <w:t>每个灯芯的波长误差值在±1nm以内，每个灯芯的亮度误差在5%以内</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highlight w:val="none"/>
                <w:lang w:val="en-US" w:eastAsia="zh-CN" w:bidi="ar"/>
              </w:rPr>
              <w:t>26、</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具有H2S宽动态处理技术，解决主控机二次重复播放时的衰减等现象</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lang w:val="en-US" w:eastAsia="zh-CN"/>
              </w:rPr>
              <w:t>屏幕表面光反射率：照度=10Lux/5600K条件下， 显示屏屏幕表面光反射率 （单位面积反射亮度）＜3.0cd/m²</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28、</w:t>
            </w:r>
            <w:r>
              <w:rPr>
                <w:rFonts w:hint="eastAsia" w:ascii="宋体" w:hAnsi="宋体" w:eastAsia="宋体" w:cs="宋体"/>
                <w:color w:val="auto"/>
                <w:sz w:val="24"/>
                <w:szCs w:val="24"/>
                <w:lang w:eastAsia="zh-CN"/>
              </w:rPr>
              <w:t>绝缘电阻：在器具输入插座端或者电源引入端子与外壳裸露金属部件</w:t>
            </w:r>
            <w:r>
              <w:rPr>
                <w:rFonts w:hint="eastAsia" w:ascii="宋体" w:hAnsi="宋体" w:eastAsia="宋体" w:cs="宋体"/>
                <w:color w:val="auto"/>
                <w:sz w:val="24"/>
                <w:szCs w:val="24"/>
                <w:lang w:val="en-US" w:eastAsia="zh-CN"/>
              </w:rPr>
              <w:t>之间</w:t>
            </w:r>
            <w:r>
              <w:rPr>
                <w:rFonts w:hint="eastAsia" w:ascii="宋体" w:hAnsi="宋体" w:eastAsia="宋体" w:cs="宋体"/>
                <w:color w:val="auto"/>
                <w:sz w:val="24"/>
                <w:szCs w:val="24"/>
                <w:lang w:eastAsia="zh-CN"/>
              </w:rPr>
              <w:t>的绝缘电阻在正常大气条件下应≥</w:t>
            </w:r>
            <w:r>
              <w:rPr>
                <w:rFonts w:hint="eastAsia" w:ascii="宋体" w:hAnsi="宋体" w:eastAsia="宋体" w:cs="宋体"/>
                <w:color w:val="auto"/>
                <w:sz w:val="24"/>
                <w:szCs w:val="24"/>
                <w:lang w:val="en-US" w:eastAsia="zh-CN"/>
              </w:rPr>
              <w:t>100MΩ，湿热条件下应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2MΩ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29、</w:t>
            </w:r>
            <w:r>
              <w:rPr>
                <w:rFonts w:hint="eastAsia" w:ascii="宋体" w:hAnsi="宋体" w:eastAsia="宋体" w:cs="宋体"/>
                <w:color w:val="auto"/>
                <w:sz w:val="24"/>
                <w:szCs w:val="24"/>
                <w:lang w:eastAsia="zh-CN"/>
              </w:rPr>
              <w:t>抗拉强度：≥</w:t>
            </w:r>
            <w:r>
              <w:rPr>
                <w:rFonts w:hint="eastAsia" w:ascii="宋体" w:hAnsi="宋体" w:eastAsia="宋体" w:cs="宋体"/>
                <w:color w:val="auto"/>
                <w:sz w:val="24"/>
                <w:szCs w:val="24"/>
                <w:lang w:val="en-US" w:eastAsia="zh-CN"/>
              </w:rPr>
              <w:t>230Mpa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30、</w:t>
            </w:r>
            <w:r>
              <w:rPr>
                <w:rFonts w:hint="eastAsia" w:ascii="宋体" w:hAnsi="宋体" w:eastAsia="宋体" w:cs="宋体"/>
                <w:color w:val="auto"/>
                <w:sz w:val="24"/>
                <w:szCs w:val="24"/>
                <w:lang w:eastAsia="zh-CN"/>
              </w:rPr>
              <w:t>屈服强度：≥</w:t>
            </w:r>
            <w:r>
              <w:rPr>
                <w:rFonts w:hint="eastAsia" w:ascii="宋体" w:hAnsi="宋体" w:eastAsia="宋体" w:cs="宋体"/>
                <w:color w:val="auto"/>
                <w:sz w:val="24"/>
                <w:szCs w:val="24"/>
                <w:lang w:val="en-US" w:eastAsia="zh-CN"/>
              </w:rPr>
              <w:t>170Mpa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31、</w:t>
            </w:r>
            <w:r>
              <w:rPr>
                <w:rFonts w:hint="eastAsia" w:ascii="宋体" w:hAnsi="宋体" w:eastAsia="宋体" w:cs="宋体"/>
                <w:color w:val="auto"/>
                <w:sz w:val="24"/>
                <w:szCs w:val="24"/>
                <w:lang w:val="en-US" w:eastAsia="zh-CN"/>
              </w:rPr>
              <w:t>灰度等级：采用16bit技术</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32、</w:t>
            </w:r>
            <w:r>
              <w:rPr>
                <w:rFonts w:hint="eastAsia" w:ascii="宋体" w:hAnsi="宋体" w:eastAsia="宋体" w:cs="宋体"/>
                <w:color w:val="auto"/>
                <w:sz w:val="24"/>
                <w:szCs w:val="24"/>
                <w:lang w:val="en-US" w:eastAsia="zh-CN"/>
              </w:rPr>
              <w:t>采用EPWM 灰阶控制技术提升低灰视觉效果，100%亮度时，16bit灰度；70%亮度，16bit灰度；50%亮度，16bit灰度；20%亮度，14bit灰度，显示画面无单列或单行像素失控现象；支持0-100%亮度时，8-16bits灰度自定义设置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33、</w:t>
            </w:r>
            <w:r>
              <w:rPr>
                <w:rFonts w:hint="eastAsia" w:ascii="宋体" w:hAnsi="宋体" w:eastAsia="宋体" w:cs="宋体"/>
                <w:color w:val="auto"/>
                <w:sz w:val="24"/>
                <w:szCs w:val="24"/>
                <w:lang w:val="en-US" w:eastAsia="zh-CN"/>
              </w:rPr>
              <w:t>支持鬼影消除、首行暗亮消除、低灰偏色补偿、低灰均匀性、低灰横条纹消除、慢速开启、十字架消除、去坏点、毛毛虫消除、余辉消除、亮度缓慢变亮功能</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34、</w:t>
            </w:r>
            <w:r>
              <w:rPr>
                <w:rFonts w:hint="eastAsia" w:ascii="宋体" w:hAnsi="宋体" w:eastAsia="宋体" w:cs="宋体"/>
                <w:color w:val="auto"/>
                <w:sz w:val="24"/>
                <w:szCs w:val="24"/>
                <w:lang w:val="en-US" w:eastAsia="zh-CN"/>
              </w:rPr>
              <w:t>LED显示屏图像质量主观评价优、支持4K超清技术、HDR高动态光照渲染技术；符合LED显示屏绿色健康分级认证技术</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35、</w:t>
            </w:r>
            <w:r>
              <w:rPr>
                <w:rFonts w:hint="eastAsia" w:ascii="宋体" w:hAnsi="宋体" w:eastAsia="宋体" w:cs="宋体"/>
                <w:color w:val="auto"/>
                <w:sz w:val="24"/>
                <w:szCs w:val="24"/>
                <w:lang w:eastAsia="zh-CN"/>
              </w:rPr>
              <w:t>具有多点测温系统、通讯检测、电源检测、可实现远程监督控制，对可能发生的潜在故障记录日志，并向操作员发出警报信息</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36、</w:t>
            </w:r>
            <w:r>
              <w:rPr>
                <w:rFonts w:hint="eastAsia" w:ascii="宋体" w:hAnsi="宋体" w:eastAsia="宋体" w:cs="宋体"/>
                <w:color w:val="auto"/>
                <w:sz w:val="24"/>
                <w:szCs w:val="24"/>
                <w:lang w:val="en-US" w:eastAsia="zh-CN"/>
              </w:rPr>
              <w:t>具有单点亮度校正，校正后亮度损失≤8%；具有颜色校正功能，具有灰度校正，支持模组校正，具有校正数据存储及自动回读功能</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37、</w:t>
            </w:r>
            <w:r>
              <w:rPr>
                <w:rFonts w:hint="eastAsia" w:ascii="宋体" w:hAnsi="宋体" w:eastAsia="宋体" w:cs="宋体"/>
                <w:color w:val="auto"/>
                <w:sz w:val="24"/>
                <w:szCs w:val="24"/>
                <w:lang w:val="en-US" w:eastAsia="zh-CN"/>
              </w:rPr>
              <w:t>可实现LED单点检测，通讯检测、温度检测、电源检测、温度监控等功能。</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38、</w:t>
            </w:r>
            <w:r>
              <w:rPr>
                <w:rFonts w:hint="eastAsia" w:ascii="宋体" w:hAnsi="宋体" w:eastAsia="宋体" w:cs="宋体"/>
                <w:color w:val="auto"/>
                <w:sz w:val="24"/>
                <w:szCs w:val="24"/>
                <w:lang w:val="en-US" w:eastAsia="zh-CN"/>
              </w:rPr>
              <w:t>数据备份：数据记忆储存于LED显示模块箱体中，更换箱体设备时，无需重新设定参数</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highlight w:val="none"/>
                <w:lang w:val="en-US" w:eastAsia="zh-CN" w:bidi="ar"/>
              </w:rPr>
              <w:t>39、</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产品采用高端芯片，可智能调节正常工作与睡眠状态下的节能效果（动态节能，智能息屏），开启智能节电功能比没有开启节能45%以上</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rPr>
            </w:pPr>
            <w:r>
              <w:rPr>
                <w:rFonts w:hint="eastAsia" w:ascii="宋体" w:hAnsi="宋体" w:cs="宋体"/>
                <w:color w:val="auto"/>
                <w:kern w:val="0"/>
                <w:sz w:val="24"/>
                <w:szCs w:val="24"/>
                <w:highlight w:val="none"/>
                <w:lang w:val="en-US" w:eastAsia="zh-CN" w:bidi="ar"/>
              </w:rPr>
              <w:t>40、</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防护性能：具有防静电、防电磁干扰、防腐蚀、防霉菌、防虫、防潮、抗震动、抗雷击等功能；具有电源过压、过流、断电保护、分布上电措施、防护等级达到IP60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电源</w:t>
            </w:r>
          </w:p>
        </w:tc>
        <w:tc>
          <w:tcPr>
            <w:tcW w:w="550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显示屏开关电源 工作温度 -40℃-+70℃</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低温启动特性 -40℃，220Vac 输入,热机 5 分钟，带载 50A，可以启动</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储存温度  -40℃-85℃</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工作湿度 20%RH-90%RH</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储存湿度 10%RH-95%RH</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散热方式  自然对流散热，需紧贴客户金属机箱外壳散热</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大气压  70-106KPa</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可用最高海拔高度 3000m</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输入端子 9.5mm-5P pitch terminal, L N FG</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输出端子 9.5mm-6P pitch terminal, V+ V+ V+ V- V- V</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短路保护  可长期短路，消除短路后自动恢复工作</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过流保护 60~80A 故障消除后自动恢复</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工作额定输出电压 V1:+4.2Vdc</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额定输出电流范围 0～50.0A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接收卡</w:t>
            </w:r>
          </w:p>
        </w:tc>
        <w:tc>
          <w:tcPr>
            <w:tcW w:w="5500" w:type="dxa"/>
            <w:noWrap w:val="0"/>
            <w:tcMar>
              <w:top w:w="15" w:type="dxa"/>
              <w:left w:w="15" w:type="dxa"/>
              <w:right w:w="15" w:type="dxa"/>
            </w:tcMar>
            <w:vAlign w:val="center"/>
          </w:tcPr>
          <w:p>
            <w:pPr>
              <w:pStyle w:val="79"/>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集成HUB75，无需再配转接板，更方便，成本更低；减少接插连接件，减少故障点，故障率更低；支持常规芯片实现高刷新、高灰度、高亮度；全新灰度引擎，低灰度表现更佳；细节处理更完美，可消除单元板设计引起的某行偏暗、低灰偏红、鬼影等细节问题；</w:t>
            </w:r>
          </w:p>
          <w:p>
            <w:pPr>
              <w:pStyle w:val="79"/>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w:t>
            </w: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14bit精度的色度、亮度一体化逐点校正；支持所有常规芯片、PWM芯片和灯饰芯片；支持静态屏、1/2~1/64扫之间的任意扫描类型；支持任意抽点，支持数据偏移，可实现各种异型屏、球形屏、创意显示屏；</w:t>
            </w:r>
          </w:p>
          <w:p>
            <w:pPr>
              <w:pStyle w:val="79"/>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单卡支持16组RGB信号输出；支持超大带载面积，单卡带载128*512，256*256；先进设计，优质元器件，全自动高低温老化测试，零故障出厂；支持DC 3.3V~6V超宽工作电压，有效减弱电压波动带来的影响；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5</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视屏处理器</w:t>
            </w:r>
          </w:p>
        </w:tc>
        <w:tc>
          <w:tcPr>
            <w:tcW w:w="550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highlight w:val="none"/>
              </w:rPr>
            </w:pP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1920×1200 像素的高清数字信号；支持HDMI 和DVI，高清数字接口，多路信号间无缝切换；支持视频源任意缩放和裁剪。具备</w:t>
            </w: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4 个千兆网口输出。X4s 具有2 类视频输入接口，包括1 路HDMI 和2 路DVI； 最大输入分辨率</w:t>
            </w: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1920×1200@60Hz，支持分辨率任意设置；最大带载260 万像素，最宽可达4096 点，或最高可达2560 点；支持视频源任意切换，缩放和裁剪；支持画面偏移；支持卡莱特全系列接收卡、多功能卡、光纤收发器。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6</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视频拼控器</w:t>
            </w:r>
          </w:p>
        </w:tc>
        <w:tc>
          <w:tcPr>
            <w:tcW w:w="550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8进8出</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输入板卡类型(一卡</w:t>
            </w:r>
            <w:r>
              <w:rPr>
                <w:rFonts w:hint="eastAsia" w:ascii="宋体" w:hAnsi="宋体" w:eastAsia="宋体" w:cs="宋体"/>
                <w:color w:val="auto"/>
                <w:sz w:val="24"/>
                <w:szCs w:val="24"/>
                <w:lang w:eastAsia="zh-Hans"/>
              </w:rPr>
              <w:t>四</w:t>
            </w:r>
            <w:r>
              <w:rPr>
                <w:rFonts w:hint="eastAsia" w:ascii="宋体" w:hAnsi="宋体" w:eastAsia="宋体" w:cs="宋体"/>
                <w:color w:val="auto"/>
                <w:sz w:val="24"/>
                <w:szCs w:val="24"/>
              </w:rPr>
              <w:t>路)：4K HDMI/HDMI/DVI/VGA/SDI/HDBaseT</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输出板卡类型（一卡两路，四图层）：HDMI/DVI</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独有LED图像处理算法，有效解决LED屏显示中出现的画面断层和像素点缺失的问题</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超低延时画面处理，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30ms</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支持超高清视频多端口信号输入并实时同步输出，兼容Nvidia Mosaic与AMD Eyefinity技术</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支持超高清底图显示，同时支持不同屏幕上传不同底图图片，呈现不一样的底图效果</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台标自定义，快速追溯视频信号源</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多样化的滚动字幕显示，可设置字体、大小、色彩、位置、透明度、动静态等参数</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具备回显、预监功能，以达到对设备的可视化操作管理</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输入最高分辨率可达4K@30Hz,输出分辨率可自定义，满足不同规格的LED屏幕显示</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支持多组屏控制管理，最多可达四组</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任意位置开窗、叠加、漫游，有效呈现不同的视频画面或大数据信息</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输出信号可以通过软件任意指定位置。LED屏调试时，无需将处理器输出端口与LED屏发送卡按照固定的顺序进行连接，可通过软件平台调整处理器内部输出信号，快速对应输出端口与LED屏的映射关系</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支持用户分级、分权管理，各司其职</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支持场景管理，一键调用场景，场景可轮巡和显示场景快照</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支持配置备份和恢复，备份信息可下载保存备份，断电记忆功能，无需担心配置丟失</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支持设备主机高温报警和智能风扇调节</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支持设备在现场使用期限的授权管理</w:t>
            </w:r>
          </w:p>
          <w:p>
            <w:pPr>
              <w:pStyle w:val="79"/>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设备受控方式多样化，包含RS232指令控制和LAN客户端软件控制，且支持串口或网口控制第三方设备。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7</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排线</w:t>
            </w:r>
          </w:p>
        </w:tc>
        <w:tc>
          <w:tcPr>
            <w:tcW w:w="5500"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16P排线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9</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显示屏连接网线</w:t>
            </w:r>
          </w:p>
        </w:tc>
        <w:tc>
          <w:tcPr>
            <w:tcW w:w="5500"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10</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三芯线</w:t>
            </w:r>
          </w:p>
        </w:tc>
        <w:tc>
          <w:tcPr>
            <w:tcW w:w="550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2.5多股铜芯线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11</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显示屏结构框架</w:t>
            </w:r>
            <w:r>
              <w:rPr>
                <w:rFonts w:hint="eastAsia" w:ascii="宋体" w:hAnsi="宋体" w:eastAsia="宋体" w:cs="宋体"/>
                <w:color w:val="auto"/>
                <w:kern w:val="0"/>
                <w:sz w:val="24"/>
                <w:szCs w:val="24"/>
                <w:lang w:val="en-US" w:eastAsia="zh-CN" w:bidi="ar"/>
              </w:rPr>
              <w:t>+包边</w:t>
            </w:r>
          </w:p>
        </w:tc>
        <w:tc>
          <w:tcPr>
            <w:tcW w:w="550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14</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智能配电箱</w:t>
            </w:r>
          </w:p>
        </w:tc>
        <w:tc>
          <w:tcPr>
            <w:tcW w:w="5500" w:type="dxa"/>
            <w:noWrap w:val="0"/>
            <w:tcMar>
              <w:top w:w="15" w:type="dxa"/>
              <w:left w:w="15" w:type="dxa"/>
              <w:right w:w="15" w:type="dxa"/>
            </w:tcMar>
            <w:vAlign w:val="center"/>
          </w:tcPr>
          <w:p>
            <w:pPr>
              <w:pStyle w:val="85"/>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1、防伪功能</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具备logo、产品型号</w:t>
            </w:r>
          </w:p>
          <w:p>
            <w:pPr>
              <w:pStyle w:val="85"/>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2、安全性</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内部线材均采用</w:t>
            </w:r>
            <w:r>
              <w:rPr>
                <w:rFonts w:hint="eastAsia" w:ascii="宋体" w:hAnsi="宋体" w:eastAsia="宋体" w:cs="宋体"/>
                <w:bCs/>
                <w:color w:val="auto"/>
                <w:kern w:val="0"/>
                <w:sz w:val="21"/>
                <w:szCs w:val="21"/>
                <w:highlight w:val="none"/>
              </w:rPr>
              <w:t>≥</w:t>
            </w:r>
            <w:r>
              <w:rPr>
                <w:rFonts w:hint="eastAsia" w:ascii="宋体" w:hAnsi="宋体" w:eastAsia="宋体" w:cs="宋体"/>
                <w:bCs/>
                <w:color w:val="auto"/>
                <w:sz w:val="24"/>
                <w:szCs w:val="24"/>
                <w:highlight w:val="none"/>
              </w:rPr>
              <w:t>4平方厘米国标纯铜导线；</w:t>
            </w:r>
          </w:p>
          <w:p>
            <w:pPr>
              <w:pStyle w:val="85"/>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3、双重开关控制</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具备自动/手动控制设备供电的开启和关闭；</w:t>
            </w:r>
          </w:p>
          <w:p>
            <w:pPr>
              <w:pStyle w:val="85"/>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4、多组输出回路</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每组可独立控制，如照明输出、风机/空调输出分路、显示屏输出分路分开控制</w:t>
            </w:r>
          </w:p>
          <w:p>
            <w:pPr>
              <w:pStyle w:val="85"/>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5、上电保护功能</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具有延时启动、浪涌保护、防雷、过流、短路等保护功能；</w:t>
            </w:r>
          </w:p>
          <w:p>
            <w:pPr>
              <w:pStyle w:val="85"/>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6、功能性检测</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具有电源状态指示、运行状态指示、风机、空调指示、检修多功能插座及检修照明开关；</w:t>
            </w:r>
          </w:p>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7、额定工作电压</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380V/220V</w:t>
            </w:r>
          </w:p>
        </w:tc>
      </w:tr>
    </w:tbl>
    <w:p>
      <w:pPr>
        <w:rPr>
          <w:rFonts w:hint="eastAsia"/>
        </w:rPr>
      </w:pPr>
    </w:p>
    <w:p>
      <w:pPr>
        <w:pStyle w:val="5"/>
        <w:bidi w:val="0"/>
        <w:ind w:left="432" w:leftChars="0" w:hanging="432" w:firstLineChars="0"/>
        <w:rPr>
          <w:rFonts w:hint="eastAsia" w:ascii="Times New Roman" w:hAnsi="Times New Roman" w:eastAsia="宋体" w:cs="Times New Roman"/>
          <w:b/>
          <w:bCs w:val="0"/>
          <w:kern w:val="2"/>
          <w:sz w:val="28"/>
          <w:szCs w:val="20"/>
          <w:lang w:val="en-US" w:eastAsia="zh-CN" w:bidi="ar-SA"/>
        </w:rPr>
      </w:pPr>
      <w:r>
        <w:rPr>
          <w:rFonts w:hint="eastAsia" w:ascii="Times New Roman" w:hAnsi="Times New Roman" w:eastAsia="宋体" w:cs="Times New Roman"/>
          <w:b/>
          <w:bCs w:val="0"/>
          <w:kern w:val="2"/>
          <w:sz w:val="28"/>
          <w:szCs w:val="20"/>
          <w:lang w:val="en-US" w:eastAsia="zh-CN" w:bidi="ar-SA"/>
        </w:rPr>
        <w:t>2.3业务协同共享平台</w:t>
      </w:r>
    </w:p>
    <w:p>
      <w:pPr>
        <w:bidi w:val="0"/>
        <w:ind w:firstLine="480" w:firstLineChars="200"/>
        <w:rPr>
          <w:rFonts w:hint="eastAsia" w:ascii="宋体" w:hAnsi="宋体" w:eastAsia="宋体" w:cs="Times New Roman"/>
          <w:sz w:val="24"/>
          <w:szCs w:val="22"/>
          <w:highlight w:val="cyan"/>
        </w:rPr>
      </w:pPr>
      <w:r>
        <w:rPr>
          <w:rFonts w:hint="eastAsia" w:ascii="宋体" w:hAnsi="宋体" w:eastAsia="宋体" w:cs="Times New Roman"/>
          <w:sz w:val="24"/>
          <w:szCs w:val="22"/>
          <w:highlight w:val="none"/>
          <w:lang w:val="en-US" w:eastAsia="zh-CN"/>
        </w:rPr>
        <w:t>通过建立统一的业务协同共享平台，通过</w:t>
      </w:r>
      <w:r>
        <w:rPr>
          <w:rFonts w:hint="eastAsia"/>
        </w:rPr>
        <w:t>通用基础数据共享交换服务</w:t>
      </w:r>
      <w:r>
        <w:rPr>
          <w:rFonts w:hint="eastAsia"/>
          <w:lang w:val="en-US" w:eastAsia="zh-CN"/>
        </w:rPr>
        <w:t>及</w:t>
      </w:r>
      <w:r>
        <w:rPr>
          <w:rFonts w:hint="eastAsia"/>
        </w:rPr>
        <w:t>统一业务共享协同服务</w:t>
      </w:r>
      <w:r>
        <w:rPr>
          <w:rFonts w:hint="eastAsia"/>
          <w:lang w:eastAsia="zh-CN"/>
        </w:rPr>
        <w:t>，</w:t>
      </w:r>
      <w:r>
        <w:rPr>
          <w:rFonts w:hint="eastAsia" w:ascii="宋体" w:hAnsi="宋体" w:eastAsia="宋体" w:cs="Times New Roman"/>
          <w:sz w:val="24"/>
          <w:szCs w:val="22"/>
          <w:highlight w:val="none"/>
          <w:lang w:val="en-US" w:eastAsia="zh-CN"/>
        </w:rPr>
        <w:t>将区域内各个厂商与医共体运营中心平台对接，实现区域内县级医疗卫生与基层医疗卫生信息系统区划、机构、用户信息的实时传输和共享、业务互联互通。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2"/>
          <w:highlight w:val="none"/>
          <w:lang w:val="en-US" w:eastAsia="zh-CN"/>
        </w:rPr>
      </w:pPr>
      <w:r>
        <w:rPr>
          <w:rFonts w:hint="eastAsia" w:ascii="宋体" w:hAnsi="宋体" w:eastAsia="宋体" w:cs="Times New Roman"/>
          <w:sz w:val="24"/>
          <w:szCs w:val="22"/>
          <w:highlight w:val="none"/>
          <w:lang w:val="en-US" w:eastAsia="zh-CN"/>
        </w:rPr>
        <w:t>实现县域内医共体的配置管理，统一维护标准服务项目（标准项目管理、开发商管理、机构协作管理、医院集团管理、远程诊断中心管理、疾病目录管理、转诊指征目录、机构协作管理、用户管理、权限管理、操作日志、医联体集团管理、业务消息管理）等。</w:t>
      </w:r>
    </w:p>
    <w:p>
      <w:pPr>
        <w:bidi w:val="0"/>
        <w:ind w:firstLine="422" w:firstLineChars="200"/>
        <w:rPr>
          <w:rFonts w:hint="eastAsia"/>
        </w:rPr>
      </w:pPr>
      <w:r>
        <w:rPr>
          <w:rFonts w:hint="eastAsia"/>
          <w:b/>
          <w:bCs/>
          <w:lang w:val="en-US" w:eastAsia="zh-CN"/>
        </w:rPr>
        <w:t>要求投标人提供详细建设方案及佐证材料，包括不限于系统截图或操作手册等。</w:t>
      </w:r>
      <w:r>
        <w:rPr>
          <w:rFonts w:hint="eastAsia"/>
          <w:b/>
          <w:bCs/>
        </w:rPr>
        <w:tab/>
      </w:r>
      <w:r>
        <w:rPr>
          <w:rFonts w:hint="eastAsia"/>
        </w:rPr>
        <w:tab/>
      </w:r>
    </w:p>
    <w:p>
      <w:pPr>
        <w:pStyle w:val="5"/>
        <w:bidi w:val="0"/>
        <w:ind w:left="432" w:leftChars="0" w:hanging="432" w:firstLineChars="0"/>
        <w:rPr>
          <w:rFonts w:hint="eastAsia" w:ascii="Times New Roman" w:hAnsi="Times New Roman" w:eastAsia="宋体" w:cs="Times New Roman"/>
          <w:b/>
          <w:bCs w:val="0"/>
          <w:kern w:val="2"/>
          <w:sz w:val="28"/>
          <w:szCs w:val="20"/>
          <w:lang w:val="en-US" w:eastAsia="zh-CN" w:bidi="ar-SA"/>
        </w:rPr>
      </w:pPr>
      <w:r>
        <w:rPr>
          <w:rFonts w:hint="eastAsia" w:ascii="Times New Roman" w:hAnsi="Times New Roman" w:eastAsia="宋体" w:cs="Times New Roman"/>
          <w:b/>
          <w:bCs w:val="0"/>
          <w:kern w:val="2"/>
          <w:sz w:val="28"/>
          <w:szCs w:val="20"/>
          <w:lang w:val="en-US" w:eastAsia="zh-CN" w:bidi="ar-SA"/>
        </w:rPr>
        <w:t>2.4区域业务及数据协同接口服务开发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lang w:val="en-US" w:eastAsia="zh-CN"/>
        </w:rPr>
      </w:pPr>
      <w:r>
        <w:rPr>
          <w:rFonts w:hint="eastAsia"/>
          <w:b w:val="0"/>
          <w:bCs w:val="0"/>
          <w:sz w:val="24"/>
          <w:szCs w:val="24"/>
          <w:lang w:val="en-US" w:eastAsia="zh-CN"/>
        </w:rPr>
        <w:t>★考虑到项目建设周期短且软件成熟度要求高，因此要求此次投标的产品需具备</w:t>
      </w:r>
      <w:r>
        <w:rPr>
          <w:rFonts w:hint="eastAsia"/>
          <w:b/>
          <w:bCs/>
          <w:sz w:val="24"/>
          <w:szCs w:val="24"/>
          <w:lang w:val="en-US" w:eastAsia="zh-CN"/>
        </w:rPr>
        <w:t>与国家医共体绩效监测评价平台、自治区全民健康信息平台、自治区电子健卡平台、与自治区健康体检数据中心、自治区乡村医生管理系统、自治区基层机构管理系统及</w:t>
      </w:r>
      <w:r>
        <w:rPr>
          <w:rFonts w:hint="eastAsia" w:ascii="Times New Roman" w:hAnsi="Times New Roman" w:eastAsia="宋体" w:cs="Times New Roman"/>
          <w:b/>
          <w:bCs/>
          <w:kern w:val="2"/>
          <w:sz w:val="24"/>
          <w:szCs w:val="24"/>
          <w:lang w:val="en-US" w:eastAsia="zh-CN" w:bidi="ar-SA"/>
        </w:rPr>
        <w:t>自治区基层机构动态管理系统的</w:t>
      </w:r>
      <w:r>
        <w:rPr>
          <w:rFonts w:hint="eastAsia"/>
          <w:b/>
          <w:bCs/>
          <w:sz w:val="24"/>
          <w:szCs w:val="24"/>
          <w:lang w:val="en-US" w:eastAsia="zh-CN"/>
        </w:rPr>
        <w:t>数据互联互通的能力证明</w:t>
      </w:r>
      <w:r>
        <w:rPr>
          <w:rFonts w:hint="eastAsia"/>
          <w:b w:val="0"/>
          <w:bCs w:val="0"/>
          <w:sz w:val="24"/>
          <w:szCs w:val="24"/>
          <w:lang w:val="en-US" w:eastAsia="zh-CN"/>
        </w:rPr>
        <w:t>，投标文件中需提供详细接口对接方案。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sz w:val="24"/>
          <w:szCs w:val="24"/>
          <w:lang w:val="en-US" w:eastAsia="zh-CN"/>
        </w:rPr>
      </w:pPr>
      <w:r>
        <w:rPr>
          <w:rFonts w:hint="eastAsia"/>
          <w:b w:val="0"/>
          <w:bCs w:val="0"/>
          <w:sz w:val="24"/>
          <w:szCs w:val="24"/>
          <w:lang w:val="en-US" w:eastAsia="zh-CN"/>
        </w:rPr>
        <w:t>★</w:t>
      </w:r>
      <w:r>
        <w:rPr>
          <w:rFonts w:hint="eastAsia" w:ascii="Times New Roman" w:hAnsi="Times New Roman" w:eastAsia="宋体" w:cs="Times New Roman"/>
          <w:b/>
          <w:sz w:val="24"/>
          <w:szCs w:val="24"/>
          <w:lang w:val="en-US" w:eastAsia="zh-CN"/>
        </w:rPr>
        <w:t>要求投标人提供与基层医疗卫生机构信息系统的互联互通，横向上实现基本公共卫生数据与基本医疗数据的共享，纵向上</w:t>
      </w:r>
      <w:r>
        <w:rPr>
          <w:rFonts w:hint="eastAsia" w:cs="Times New Roman"/>
          <w:b/>
          <w:sz w:val="24"/>
          <w:szCs w:val="24"/>
          <w:lang w:val="en-US" w:eastAsia="zh-CN"/>
        </w:rPr>
        <w:t>通过双向转诊及远程会诊的互联互通，实现</w:t>
      </w:r>
      <w:r>
        <w:rPr>
          <w:rFonts w:hint="eastAsia" w:ascii="Times New Roman" w:hAnsi="Times New Roman" w:eastAsia="宋体" w:cs="Times New Roman"/>
          <w:b/>
          <w:sz w:val="24"/>
          <w:szCs w:val="24"/>
          <w:lang w:val="en-US" w:eastAsia="zh-CN"/>
        </w:rPr>
        <w:t>乡、村两级医疗卫生服务信息的协同、共享。不仅可以在健康档案页面查询到公卫服务记录，还可以调阅到患者历次的就诊记录，真正将健康档案“激活”。要求投标人提供详细对接方案</w:t>
      </w:r>
      <w:r>
        <w:rPr>
          <w:rFonts w:hint="eastAsia" w:cs="Times New Roman"/>
          <w:b/>
          <w:sz w:val="24"/>
          <w:szCs w:val="24"/>
          <w:lang w:val="en-US" w:eastAsia="zh-CN"/>
        </w:rPr>
        <w:t>及佐证材料，包括不限于系统截图或对接证明等材料</w:t>
      </w:r>
      <w:r>
        <w:rPr>
          <w:rFonts w:hint="eastAsia" w:ascii="Times New Roman" w:hAnsi="Times New Roman" w:eastAsia="宋体" w:cs="Times New Roman"/>
          <w:b/>
          <w:sz w:val="24"/>
          <w:szCs w:val="24"/>
          <w:lang w:val="en-US" w:eastAsia="zh-CN"/>
        </w:rPr>
        <w:t>。</w:t>
      </w:r>
    </w:p>
    <w:p>
      <w:pPr>
        <w:pStyle w:val="5"/>
        <w:bidi w:val="0"/>
        <w:ind w:left="432" w:leftChars="0" w:hanging="432" w:firstLineChars="0"/>
        <w:rPr>
          <w:rFonts w:hint="eastAsia" w:ascii="Times New Roman" w:hAnsi="Times New Roman" w:eastAsia="宋体" w:cs="Times New Roman"/>
          <w:b/>
          <w:bCs w:val="0"/>
          <w:kern w:val="2"/>
          <w:sz w:val="28"/>
          <w:szCs w:val="20"/>
          <w:lang w:val="en-US" w:eastAsia="zh-CN" w:bidi="ar-SA"/>
        </w:rPr>
      </w:pPr>
      <w:r>
        <w:rPr>
          <w:rFonts w:hint="eastAsia" w:ascii="Times New Roman" w:hAnsi="Times New Roman" w:eastAsia="宋体" w:cs="Times New Roman"/>
          <w:b/>
          <w:bCs w:val="0"/>
          <w:kern w:val="2"/>
          <w:sz w:val="28"/>
          <w:szCs w:val="20"/>
          <w:lang w:val="en-US" w:eastAsia="zh-CN" w:bidi="ar-SA"/>
        </w:rPr>
        <w:t>2.5数据备份</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35"/>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shd w:val="clear" w:color="000000" w:fill="D8D8D8"/>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指标项</w:t>
            </w:r>
          </w:p>
        </w:tc>
        <w:tc>
          <w:tcPr>
            <w:tcW w:w="7110" w:type="dxa"/>
            <w:shd w:val="clear" w:color="000000" w:fill="D8D8D8"/>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shd w:val="clear" w:color="000000" w:fill="auto"/>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硬件要求与授权许可</w:t>
            </w:r>
          </w:p>
        </w:tc>
        <w:tc>
          <w:tcPr>
            <w:tcW w:w="7110" w:type="dxa"/>
            <w:shd w:val="clear" w:color="000000" w:fill="auto"/>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CPU≥2.2GHz/10核20线程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内存≥128GB；</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系统盘≥2*480GB SSD</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数据盘≥12*6TB SATA</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网络接口≥2*1GE 电口，2*10GE 光口（含多模光纤模块）</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要求提供不限制客户端数量的可用容量许可，客户端</w:t>
            </w:r>
            <w:r>
              <w:rPr>
                <w:rFonts w:hint="eastAsia" w:ascii="宋体" w:hAnsi="宋体" w:cs="宋体"/>
                <w:kern w:val="0"/>
                <w:sz w:val="24"/>
                <w:szCs w:val="24"/>
                <w:lang w:val="en-US" w:eastAsia="zh-CN"/>
              </w:rPr>
              <w:t>支持国内主流操作系统、</w:t>
            </w:r>
            <w:r>
              <w:rPr>
                <w:rFonts w:hint="eastAsia" w:ascii="宋体" w:hAnsi="宋体" w:eastAsia="宋体" w:cs="宋体"/>
                <w:kern w:val="0"/>
                <w:sz w:val="24"/>
                <w:szCs w:val="24"/>
              </w:rPr>
              <w:t>数据库、文件和虚拟机等。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架构支持</w:t>
            </w:r>
          </w:p>
        </w:tc>
        <w:tc>
          <w:tcPr>
            <w:tcW w:w="711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支持主流国产芯片服务器平台，支持备份服务端或者客户端部署在</w:t>
            </w:r>
            <w:r>
              <w:rPr>
                <w:rFonts w:hint="eastAsia" w:ascii="宋体" w:hAnsi="宋体" w:cs="宋体"/>
                <w:kern w:val="0"/>
                <w:sz w:val="24"/>
                <w:szCs w:val="24"/>
                <w:lang w:val="en-US" w:eastAsia="zh-CN"/>
              </w:rPr>
              <w:t>国内主流</w:t>
            </w:r>
            <w:r>
              <w:rPr>
                <w:rFonts w:hint="eastAsia" w:ascii="宋体" w:hAnsi="宋体" w:eastAsia="宋体" w:cs="宋体"/>
                <w:kern w:val="0"/>
                <w:sz w:val="24"/>
                <w:szCs w:val="24"/>
              </w:rPr>
              <w:t>服务器平台上。（提供备份系统与以上芯片的兼容性认证证书复印件，并加盖原厂公章）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支持分布式重删构建多节点集群架构，支持重删服务器节点的负载均衡，同一重删集群中存储节点动态伸缩。（提供原厂盖章的产品功能截图）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软件功能</w:t>
            </w:r>
          </w:p>
        </w:tc>
        <w:tc>
          <w:tcPr>
            <w:tcW w:w="113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国产软件兼容性</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具备广泛的国产兼容性</w:t>
            </w:r>
            <w:r>
              <w:rPr>
                <w:rFonts w:hint="eastAsia" w:ascii="宋体" w:hAnsi="宋体" w:cs="宋体"/>
                <w:kern w:val="0"/>
                <w:sz w:val="24"/>
                <w:szCs w:val="24"/>
                <w:lang w:eastAsia="zh-CN"/>
              </w:rPr>
              <w:t>，</w:t>
            </w:r>
            <w:r>
              <w:rPr>
                <w:rFonts w:hint="eastAsia" w:ascii="宋体" w:hAnsi="宋体" w:cs="宋体"/>
                <w:kern w:val="0"/>
                <w:sz w:val="24"/>
                <w:szCs w:val="24"/>
                <w:lang w:val="en-US" w:eastAsia="zh-CN"/>
              </w:rPr>
              <w:t>支持</w:t>
            </w:r>
            <w:r>
              <w:rPr>
                <w:rFonts w:hint="eastAsia" w:ascii="宋体" w:hAnsi="宋体" w:eastAsia="宋体" w:cs="宋体"/>
                <w:kern w:val="0"/>
                <w:sz w:val="24"/>
                <w:szCs w:val="24"/>
              </w:rPr>
              <w:t>平台中的虚拟机备份恢复。（提供以上数据库与云平台的产品兼容性认证证书复印件，并加盖原厂公章）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数据库应用保护</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支持集群部署要求，包括：单机/HA/RAC/XE/ADG/RAC OneNode。支持</w:t>
            </w:r>
            <w:r>
              <w:rPr>
                <w:rFonts w:hint="eastAsia" w:ascii="宋体" w:hAnsi="宋体" w:cs="宋体"/>
                <w:kern w:val="0"/>
                <w:sz w:val="24"/>
                <w:szCs w:val="24"/>
                <w:lang w:val="en-US" w:eastAsia="zh-CN"/>
              </w:rPr>
              <w:t>多种</w:t>
            </w:r>
            <w:r>
              <w:rPr>
                <w:rFonts w:hint="eastAsia" w:ascii="宋体" w:hAnsi="宋体" w:eastAsia="宋体" w:cs="宋体"/>
                <w:kern w:val="0"/>
                <w:sz w:val="24"/>
                <w:szCs w:val="24"/>
              </w:rPr>
              <w:t>软件版本</w:t>
            </w:r>
            <w:r>
              <w:rPr>
                <w:rFonts w:hint="eastAsia" w:ascii="宋体" w:hAnsi="宋体" w:cs="宋体"/>
                <w:kern w:val="0"/>
                <w:sz w:val="24"/>
                <w:szCs w:val="24"/>
                <w:lang w:eastAsia="zh-CN"/>
              </w:rPr>
              <w:t>，</w:t>
            </w:r>
            <w:r>
              <w:rPr>
                <w:rFonts w:hint="eastAsia" w:ascii="宋体" w:hAnsi="宋体" w:eastAsia="宋体" w:cs="宋体"/>
                <w:kern w:val="0"/>
                <w:sz w:val="24"/>
                <w:szCs w:val="24"/>
              </w:rPr>
              <w:t>支持单表恢复。（提供产品功能截图）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针对</w:t>
            </w:r>
            <w:r>
              <w:rPr>
                <w:rFonts w:hint="eastAsia" w:ascii="宋体" w:hAnsi="宋体" w:cs="宋体"/>
                <w:kern w:val="0"/>
                <w:sz w:val="24"/>
                <w:szCs w:val="24"/>
                <w:lang w:val="en-US" w:eastAsia="zh-CN"/>
              </w:rPr>
              <w:t>国内主流</w:t>
            </w:r>
            <w:r>
              <w:rPr>
                <w:rFonts w:hint="eastAsia" w:ascii="宋体" w:hAnsi="宋体" w:eastAsia="宋体" w:cs="宋体"/>
                <w:kern w:val="0"/>
                <w:sz w:val="24"/>
                <w:szCs w:val="24"/>
              </w:rPr>
              <w:t>数据库日志数据，提供条件触发的日志备份机制，解决人为无法准确定义日志备份周期问题。触发条件支持界面自定义配置，可配置条件包括日志空间使用率占比。（提供原厂盖章的产品功能截图）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针对已经提交的事务，根据日志解析后得到的SQL语句，可支持采用图形化界面来创建撤销处理，把数据回滚到事务提交前的状态。（提供产品功能截图并加盖原厂公章）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虚拟化平台保护</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支持结合vSphere Web Client Plugin，在VMware vCenter的管理界面上可以直接查看备份产品中虚拟机备份任务的状态，为用户提供更好的VMware虚拟化备份管理体验。（投标产品需通过VMware Ready Application Software的认证，提供产品认证信息在VMware官网上的截图）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实时保护</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针对Oracle的redo log和archive log提供实时日志备份方式，实现RPO达到秒级的安全保护要求。（提供产品功能截图并加盖厂商公章）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支持MySQL采用不间断日志备份方式，持续监控binlog文件的变化情况，实现对数据库变化数据达到秒级以内的备份保护。（提供产品功能截图并加盖厂商公章）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可用性</w:t>
            </w:r>
          </w:p>
        </w:tc>
        <w:tc>
          <w:tcPr>
            <w:tcW w:w="113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容灾演练</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w:t>
            </w:r>
            <w:r>
              <w:rPr>
                <w:rFonts w:hint="eastAsia" w:ascii="宋体" w:hAnsi="宋体" w:cs="宋体"/>
                <w:kern w:val="0"/>
                <w:sz w:val="24"/>
                <w:szCs w:val="24"/>
                <w:lang w:val="en-US" w:eastAsia="zh-CN"/>
              </w:rPr>
              <w:t>国内</w:t>
            </w:r>
            <w:r>
              <w:rPr>
                <w:rFonts w:hint="eastAsia" w:ascii="宋体" w:hAnsi="宋体" w:eastAsia="宋体" w:cs="宋体"/>
                <w:kern w:val="0"/>
                <w:sz w:val="24"/>
                <w:szCs w:val="24"/>
              </w:rPr>
              <w:t>主流数据库的备份集进行定时容灾演练，以此检验备份集的可用性。（提供产品功能截图并加盖原厂公章）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restart"/>
            <w:noWrap w:val="0"/>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平台安全性</w:t>
            </w:r>
          </w:p>
        </w:tc>
        <w:tc>
          <w:tcPr>
            <w:tcW w:w="7110" w:type="dxa"/>
            <w:noWrap w:val="0"/>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支持使用Access Key的用户登录模式，有效解决用户应用系统密码定期自动变更和无密码场景下备份作业的按期执行。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基于备份存储专用系统，支持https方式管理登录，支持通过限制WEB的访问通道，确保登录安全，提高系统安全性。支持设置WEB管理界面访问的白名单，支持通过IP地址、CIRD和MAC地址的方式进行限制。（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支持针对系统的高危操作（如：恢复作业、清理备份集等）前要求输入四位或以上的随机数字验证码，经验证后才能执行操作，防止人为误操作危害生产数据。（提供原厂盖章的产品功能截图）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支持备份数据加密，支持AES、SM4等加密算法。对于AES加密需要支持选择不同密钥长度，以便用户根据源端计算资源情况选择合适的数据加密处理。（提供原厂盖章的产品功能截图）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用户登录系统除使用用户名和密码之外，还可以支持由系统触发生成六位或以上的字母加数字的随机认证码发送到对应用户账户的邮箱，从对应的邮件中获取随机认证码，正确输入到备份登录系统后进行二次身份验证，防止恶意破解密码。（提供原厂盖章的产品功能截图）</w:t>
            </w:r>
          </w:p>
        </w:tc>
      </w:tr>
    </w:tbl>
    <w:p>
      <w:pPr>
        <w:pStyle w:val="4"/>
        <w:jc w:val="both"/>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2.6售后服务期</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要求整体售后服务期贰年，投标人提供售后服务承诺函。</w:t>
      </w:r>
    </w:p>
    <w:p>
      <w:pPr>
        <w:pStyle w:val="27"/>
        <w:rPr>
          <w:rFonts w:hint="eastAsia"/>
          <w:lang w:val="en-US" w:eastAsia="zh-CN"/>
        </w:rPr>
      </w:pPr>
    </w:p>
    <w:p>
      <w:pPr>
        <w:rPr>
          <w:rFonts w:hint="eastAsia" w:ascii="仿宋" w:hAnsi="仿宋" w:eastAsia="仿宋" w:cs="仿宋"/>
          <w:color w:val="auto"/>
          <w:sz w:val="30"/>
          <w:szCs w:val="30"/>
          <w:highlight w:val="none"/>
        </w:rPr>
      </w:pPr>
    </w:p>
    <w:p>
      <w:pPr>
        <w:pStyle w:val="15"/>
        <w:rPr>
          <w:rFonts w:hint="eastAsia" w:ascii="仿宋" w:hAnsi="仿宋" w:eastAsia="仿宋" w:cs="仿宋"/>
          <w:color w:val="auto"/>
          <w:sz w:val="30"/>
          <w:szCs w:val="30"/>
          <w:highlight w:val="none"/>
        </w:rPr>
      </w:pPr>
    </w:p>
    <w:p>
      <w:pPr>
        <w:pStyle w:val="25"/>
        <w:rPr>
          <w:rFonts w:hint="eastAsia" w:ascii="仿宋" w:hAnsi="仿宋" w:eastAsia="仿宋" w:cs="仿宋"/>
          <w:color w:val="auto"/>
          <w:sz w:val="30"/>
          <w:szCs w:val="30"/>
          <w:highlight w:val="none"/>
        </w:rPr>
      </w:pPr>
    </w:p>
    <w:bookmarkEnd w:id="467"/>
    <w:p>
      <w:pPr>
        <w:pStyle w:val="4"/>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第六章   投标文件部分格式</w:t>
      </w:r>
    </w:p>
    <w:p>
      <w:pPr>
        <w:pStyle w:val="39"/>
        <w:rPr>
          <w:rFonts w:hint="eastAsia"/>
        </w:rPr>
      </w:pP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bookmarkStart w:id="548" w:name="_Toc4221_WPSOffice_Level1"/>
      <w:bookmarkStart w:id="549" w:name="_Toc8812_WPSOffice_Level1"/>
      <w:r>
        <w:rPr>
          <w:rFonts w:hint="eastAsia" w:ascii="仿宋" w:hAnsi="仿宋" w:eastAsia="仿宋" w:cs="仿宋"/>
          <w:color w:val="auto"/>
          <w:sz w:val="24"/>
          <w:szCs w:val="24"/>
          <w:highlight w:val="none"/>
        </w:rPr>
        <w:t>正本/副本</w:t>
      </w:r>
      <w:bookmarkEnd w:id="548"/>
      <w:bookmarkEnd w:id="549"/>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pStyle w:val="24"/>
        <w:spacing w:line="360" w:lineRule="auto"/>
        <w:rPr>
          <w:rFonts w:hint="eastAsia" w:ascii="仿宋" w:hAnsi="仿宋" w:eastAsia="仿宋" w:cs="仿宋"/>
          <w:color w:val="auto"/>
          <w:sz w:val="24"/>
          <w:szCs w:val="24"/>
          <w:highlight w:val="none"/>
        </w:rPr>
      </w:pPr>
    </w:p>
    <w:p>
      <w:pPr>
        <w:pStyle w:val="24"/>
        <w:spacing w:line="360" w:lineRule="auto"/>
        <w:rPr>
          <w:rFonts w:hint="eastAsia" w:ascii="仿宋" w:hAnsi="仿宋" w:eastAsia="仿宋" w:cs="仿宋"/>
          <w:color w:val="auto"/>
          <w:sz w:val="24"/>
          <w:szCs w:val="24"/>
          <w:highlight w:val="none"/>
        </w:rPr>
      </w:pPr>
    </w:p>
    <w:p>
      <w:pPr>
        <w:pStyle w:val="24"/>
        <w:spacing w:line="360" w:lineRule="auto"/>
        <w:rPr>
          <w:rFonts w:hint="eastAsia" w:ascii="仿宋" w:hAnsi="仿宋" w:eastAsia="仿宋" w:cs="仿宋"/>
          <w:color w:val="auto"/>
          <w:sz w:val="24"/>
          <w:szCs w:val="24"/>
          <w:highlight w:val="none"/>
        </w:rPr>
      </w:pPr>
    </w:p>
    <w:p>
      <w:pPr>
        <w:spacing w:line="360" w:lineRule="auto"/>
        <w:ind w:firstLine="1440" w:firstLineChars="6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（项目名称）                </w:t>
      </w: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pStyle w:val="24"/>
        <w:spacing w:line="360" w:lineRule="auto"/>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w:t>
      </w:r>
    </w:p>
    <w:p>
      <w:pPr>
        <w:pStyle w:val="39"/>
        <w:rPr>
          <w:rFonts w:hint="eastAsia" w:ascii="仿宋" w:hAnsi="仿宋" w:eastAsia="仿宋" w:cs="仿宋"/>
          <w:b/>
          <w:bCs/>
          <w:color w:val="auto"/>
          <w:sz w:val="24"/>
          <w:szCs w:val="24"/>
          <w:highlight w:val="none"/>
        </w:rPr>
      </w:pPr>
    </w:p>
    <w:p>
      <w:pPr>
        <w:pStyle w:val="39"/>
        <w:rPr>
          <w:rFonts w:hint="eastAsia" w:ascii="仿宋" w:hAnsi="仿宋" w:eastAsia="仿宋" w:cs="仿宋"/>
          <w:b/>
          <w:bCs/>
          <w:color w:val="auto"/>
          <w:sz w:val="24"/>
          <w:szCs w:val="24"/>
          <w:highlight w:val="none"/>
        </w:rPr>
      </w:pPr>
    </w:p>
    <w:p>
      <w:pPr>
        <w:pStyle w:val="39"/>
        <w:rPr>
          <w:rFonts w:hint="eastAsia" w:ascii="仿宋" w:hAnsi="仿宋" w:eastAsia="仿宋" w:cs="仿宋"/>
          <w:b/>
          <w:bCs/>
          <w:color w:val="auto"/>
          <w:sz w:val="24"/>
          <w:szCs w:val="24"/>
          <w:highlight w:val="none"/>
        </w:rPr>
      </w:pPr>
    </w:p>
    <w:p>
      <w:pPr>
        <w:pStyle w:val="39"/>
        <w:rPr>
          <w:rFonts w:hint="eastAsia" w:ascii="仿宋" w:hAnsi="仿宋" w:eastAsia="仿宋" w:cs="仿宋"/>
          <w:b/>
          <w:bCs/>
          <w:color w:val="auto"/>
          <w:sz w:val="24"/>
          <w:szCs w:val="24"/>
          <w:highlight w:val="none"/>
        </w:rPr>
      </w:pPr>
    </w:p>
    <w:p>
      <w:pPr>
        <w:pStyle w:val="39"/>
        <w:rPr>
          <w:rFonts w:hint="eastAsia" w:ascii="仿宋" w:hAnsi="仿宋" w:eastAsia="仿宋" w:cs="仿宋"/>
          <w:b/>
          <w:bCs/>
          <w:color w:val="auto"/>
          <w:sz w:val="24"/>
          <w:szCs w:val="24"/>
          <w:highlight w:val="none"/>
        </w:rPr>
      </w:pPr>
    </w:p>
    <w:p>
      <w:pPr>
        <w:pStyle w:val="39"/>
        <w:rPr>
          <w:rFonts w:hint="eastAsia" w:ascii="仿宋" w:hAnsi="仿宋" w:eastAsia="仿宋" w:cs="仿宋"/>
          <w:b/>
          <w:bCs/>
          <w:color w:val="auto"/>
          <w:sz w:val="24"/>
          <w:szCs w:val="24"/>
          <w:highlight w:val="none"/>
        </w:rPr>
      </w:pPr>
    </w:p>
    <w:p>
      <w:pPr>
        <w:pStyle w:val="39"/>
        <w:rPr>
          <w:rFonts w:hint="eastAsia" w:ascii="仿宋" w:hAnsi="仿宋" w:eastAsia="仿宋" w:cs="仿宋"/>
          <w:b/>
          <w:bCs/>
          <w:color w:val="auto"/>
          <w:sz w:val="24"/>
          <w:szCs w:val="24"/>
          <w:highlight w:val="none"/>
        </w:rPr>
      </w:pPr>
    </w:p>
    <w:p>
      <w:pPr>
        <w:spacing w:line="360" w:lineRule="auto"/>
        <w:ind w:firstLine="120" w:firstLineChars="50"/>
        <w:rPr>
          <w:rFonts w:hint="eastAsia" w:ascii="仿宋" w:hAnsi="仿宋" w:eastAsia="仿宋" w:cs="仿宋"/>
          <w:color w:val="auto"/>
          <w:kern w:val="0"/>
          <w:sz w:val="24"/>
          <w:szCs w:val="24"/>
          <w:highlight w:val="none"/>
        </w:rPr>
      </w:pPr>
    </w:p>
    <w:p>
      <w:pPr>
        <w:spacing w:line="360" w:lineRule="auto"/>
        <w:rPr>
          <w:rFonts w:hint="eastAsia" w:ascii="仿宋" w:hAnsi="仿宋" w:eastAsia="仿宋" w:cs="仿宋"/>
          <w:color w:val="auto"/>
          <w:kern w:val="0"/>
          <w:sz w:val="24"/>
          <w:szCs w:val="24"/>
          <w:highlight w:val="none"/>
        </w:rPr>
      </w:pP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投标单位名称（盖章）：</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法人或委托代理人（签</w:t>
      </w:r>
      <w:r>
        <w:rPr>
          <w:rFonts w:hint="eastAsia" w:ascii="仿宋" w:hAnsi="仿宋" w:eastAsia="仿宋" w:cs="仿宋"/>
          <w:color w:val="auto"/>
          <w:kern w:val="0"/>
          <w:sz w:val="24"/>
          <w:szCs w:val="24"/>
          <w:highlight w:val="none"/>
          <w:lang w:val="en-US" w:eastAsia="zh-CN"/>
        </w:rPr>
        <w:t>字或盖章</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u w:val="singl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 位 地  址：</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   系   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 系 电  话：</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  政 编 码：</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pStyle w:val="24"/>
        <w:rPr>
          <w:rFonts w:hint="eastAsia" w:ascii="仿宋" w:hAnsi="仿宋" w:eastAsia="仿宋" w:cs="仿宋"/>
          <w:color w:val="auto"/>
          <w:spacing w:val="-4"/>
          <w:kern w:val="0"/>
          <w:sz w:val="24"/>
          <w:szCs w:val="24"/>
          <w:highlight w:val="none"/>
        </w:rPr>
      </w:pPr>
    </w:p>
    <w:p>
      <w:pPr>
        <w:pStyle w:val="66"/>
        <w:spacing w:line="360" w:lineRule="auto"/>
        <w:ind w:firstLine="200" w:firstLineChars="83"/>
        <w:jc w:val="center"/>
        <w:rPr>
          <w:rFonts w:hint="eastAsia" w:ascii="仿宋" w:hAnsi="仿宋" w:eastAsia="仿宋" w:cs="仿宋"/>
          <w:b/>
          <w:color w:val="auto"/>
          <w:sz w:val="24"/>
          <w:szCs w:val="24"/>
          <w:highlight w:val="none"/>
        </w:rPr>
      </w:pPr>
    </w:p>
    <w:p>
      <w:pPr>
        <w:pStyle w:val="66"/>
        <w:spacing w:line="360" w:lineRule="auto"/>
        <w:ind w:firstLine="200" w:firstLineChars="83"/>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投标文件目录</w:t>
      </w:r>
    </w:p>
    <w:p>
      <w:pPr>
        <w:pStyle w:val="66"/>
        <w:spacing w:line="480" w:lineRule="auto"/>
        <w:ind w:firstLine="475" w:firstLineChars="19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（1）投标承诺书</w:t>
      </w:r>
    </w:p>
    <w:p>
      <w:pPr>
        <w:pStyle w:val="66"/>
        <w:spacing w:line="480" w:lineRule="auto"/>
        <w:ind w:firstLine="475" w:firstLineChars="19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（2）报价一览表</w:t>
      </w:r>
    </w:p>
    <w:p>
      <w:pPr>
        <w:pStyle w:val="66"/>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b/>
          <w:color w:val="auto"/>
          <w:sz w:val="24"/>
          <w:szCs w:val="24"/>
          <w:highlight w:val="none"/>
          <w:lang w:eastAsia="zh-CN"/>
        </w:rPr>
        <w:t>报价一览明细表</w:t>
      </w:r>
    </w:p>
    <w:p>
      <w:pPr>
        <w:pStyle w:val="66"/>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w:t>
      </w:r>
      <w:r>
        <w:rPr>
          <w:rFonts w:hint="eastAsia" w:ascii="仿宋" w:hAnsi="仿宋" w:eastAsia="仿宋" w:cs="仿宋"/>
          <w:b/>
          <w:color w:val="auto"/>
          <w:sz w:val="24"/>
          <w:szCs w:val="24"/>
          <w:highlight w:val="none"/>
          <w:lang w:eastAsia="zh-CN"/>
        </w:rPr>
        <w:t>法定代表人（</w:t>
      </w:r>
      <w:r>
        <w:rPr>
          <w:rFonts w:hint="eastAsia" w:ascii="仿宋" w:hAnsi="仿宋" w:eastAsia="仿宋" w:cs="仿宋"/>
          <w:b/>
          <w:color w:val="auto"/>
          <w:sz w:val="24"/>
          <w:szCs w:val="24"/>
          <w:highlight w:val="none"/>
          <w:lang w:val="en-US" w:eastAsia="zh-CN"/>
        </w:rPr>
        <w:t>负责人</w:t>
      </w:r>
      <w:r>
        <w:rPr>
          <w:rFonts w:hint="eastAsia" w:ascii="仿宋" w:hAnsi="仿宋" w:eastAsia="仿宋" w:cs="仿宋"/>
          <w:b/>
          <w:color w:val="auto"/>
          <w:sz w:val="24"/>
          <w:szCs w:val="24"/>
          <w:highlight w:val="none"/>
          <w:lang w:eastAsia="zh-CN"/>
        </w:rPr>
        <w:t>）身份证明</w:t>
      </w:r>
    </w:p>
    <w:p>
      <w:pPr>
        <w:pStyle w:val="66"/>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（5）法定代表人</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负责人</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授权委托书</w:t>
      </w:r>
    </w:p>
    <w:p>
      <w:pPr>
        <w:pStyle w:val="66"/>
        <w:spacing w:line="480" w:lineRule="auto"/>
        <w:ind w:firstLine="482"/>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（6）保证金</w:t>
      </w:r>
      <w:r>
        <w:rPr>
          <w:rFonts w:hint="eastAsia" w:ascii="仿宋" w:hAnsi="仿宋" w:eastAsia="仿宋" w:cs="仿宋"/>
          <w:b/>
          <w:color w:val="auto"/>
          <w:sz w:val="24"/>
          <w:szCs w:val="24"/>
          <w:highlight w:val="none"/>
          <w:lang w:val="en-US" w:eastAsia="zh-CN"/>
        </w:rPr>
        <w:t>收据或投标保函</w:t>
      </w:r>
    </w:p>
    <w:p>
      <w:pPr>
        <w:pStyle w:val="66"/>
        <w:spacing w:line="480" w:lineRule="auto"/>
        <w:ind w:left="1202" w:leftChars="228" w:hanging="723" w:hangingChars="3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（7）技术条件响应/偏离表</w:t>
      </w:r>
    </w:p>
    <w:p>
      <w:pPr>
        <w:pStyle w:val="24"/>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（8）商务条件响应/偏离表</w:t>
      </w:r>
    </w:p>
    <w:p>
      <w:pPr>
        <w:pStyle w:val="66"/>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w:t>
      </w: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法人营业执照的证明材料、相关资质证书副本等材料的复印件以及商务因素、技术因素、服务因素所需证明资料（格式自拟）</w:t>
      </w:r>
    </w:p>
    <w:p>
      <w:pPr>
        <w:pStyle w:val="66"/>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（10）投标人近三年（</w:t>
      </w:r>
      <w:r>
        <w:rPr>
          <w:rFonts w:hint="eastAsia" w:ascii="仿宋" w:hAnsi="仿宋" w:eastAsia="仿宋" w:cs="仿宋"/>
          <w:b/>
          <w:color w:val="auto"/>
          <w:sz w:val="24"/>
          <w:szCs w:val="24"/>
          <w:highlight w:val="none"/>
          <w:lang w:val="en-US" w:eastAsia="zh-CN"/>
        </w:rPr>
        <w:t>2020</w:t>
      </w:r>
      <w:r>
        <w:rPr>
          <w:rFonts w:hint="eastAsia" w:ascii="仿宋" w:hAnsi="仿宋" w:eastAsia="仿宋" w:cs="仿宋"/>
          <w:b/>
          <w:color w:val="auto"/>
          <w:sz w:val="24"/>
          <w:szCs w:val="24"/>
          <w:highlight w:val="none"/>
        </w:rPr>
        <w:t>年</w:t>
      </w: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月1日至今）类似项目业绩</w:t>
      </w:r>
    </w:p>
    <w:p>
      <w:pPr>
        <w:pStyle w:val="66"/>
        <w:autoSpaceDE w:val="0"/>
        <w:autoSpaceDN w:val="0"/>
        <w:adjustRightInd w:val="0"/>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w:t>
      </w:r>
      <w:r>
        <w:rPr>
          <w:rStyle w:val="38"/>
          <w:rFonts w:hint="eastAsia" w:ascii="仿宋" w:hAnsi="仿宋" w:eastAsia="仿宋" w:cs="仿宋"/>
          <w:b/>
          <w:bCs w:val="0"/>
          <w:color w:val="auto"/>
          <w:sz w:val="24"/>
          <w:szCs w:val="24"/>
          <w:highlight w:val="none"/>
          <w:lang w:val="en-US" w:eastAsia="zh-CN"/>
        </w:rPr>
        <w:t>项目实施方案、运维方案、培训方案、承诺等内容</w:t>
      </w:r>
    </w:p>
    <w:p>
      <w:pPr>
        <w:pStyle w:val="66"/>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投标人基本情况说明</w:t>
      </w:r>
    </w:p>
    <w:p>
      <w:pPr>
        <w:pStyle w:val="66"/>
        <w:autoSpaceDE w:val="0"/>
        <w:autoSpaceDN w:val="0"/>
        <w:adjustRightInd w:val="0"/>
        <w:spacing w:line="480" w:lineRule="auto"/>
        <w:ind w:firstLine="482"/>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lang w:eastAsia="zh-CN"/>
        </w:rPr>
        <w:t>）项目人员配置情况</w:t>
      </w:r>
      <w:r>
        <w:rPr>
          <w:rFonts w:hint="eastAsia" w:ascii="仿宋" w:hAnsi="仿宋" w:eastAsia="仿宋" w:cs="仿宋"/>
          <w:b/>
          <w:color w:val="auto"/>
          <w:sz w:val="24"/>
          <w:szCs w:val="24"/>
          <w:highlight w:val="none"/>
          <w:lang w:val="en-US" w:eastAsia="zh-CN"/>
        </w:rPr>
        <w:t>表</w:t>
      </w:r>
    </w:p>
    <w:p>
      <w:pPr>
        <w:pStyle w:val="66"/>
        <w:autoSpaceDE w:val="0"/>
        <w:autoSpaceDN w:val="0"/>
        <w:adjustRightInd w:val="0"/>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14</w:t>
      </w: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认为需要提供的其他材料说明</w:t>
      </w:r>
    </w:p>
    <w:p>
      <w:pPr>
        <w:pStyle w:val="66"/>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附件1、</w:t>
      </w:r>
      <w:r>
        <w:rPr>
          <w:rFonts w:hint="eastAsia" w:ascii="仿宋" w:hAnsi="仿宋" w:eastAsia="仿宋" w:cs="仿宋"/>
          <w:b/>
          <w:color w:val="auto"/>
          <w:sz w:val="24"/>
          <w:szCs w:val="24"/>
          <w:highlight w:val="none"/>
          <w:lang w:eastAsia="zh-CN"/>
        </w:rPr>
        <w:t>在经营活动中没有重大违法记录的书面声明</w:t>
      </w:r>
    </w:p>
    <w:p>
      <w:pPr>
        <w:pStyle w:val="66"/>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附件2、</w:t>
      </w:r>
      <w:r>
        <w:rPr>
          <w:rFonts w:hint="eastAsia" w:ascii="仿宋" w:hAnsi="仿宋" w:eastAsia="仿宋" w:cs="仿宋"/>
          <w:b/>
          <w:color w:val="auto"/>
          <w:sz w:val="24"/>
          <w:szCs w:val="24"/>
          <w:highlight w:val="none"/>
          <w:lang w:eastAsia="zh-CN"/>
        </w:rPr>
        <w:t>中小企业声明函（如有）</w:t>
      </w:r>
    </w:p>
    <w:p>
      <w:pPr>
        <w:pStyle w:val="66"/>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附件3、</w:t>
      </w:r>
      <w:r>
        <w:rPr>
          <w:rFonts w:hint="eastAsia" w:ascii="仿宋" w:hAnsi="仿宋" w:eastAsia="仿宋" w:cs="仿宋"/>
          <w:b/>
          <w:color w:val="auto"/>
          <w:sz w:val="24"/>
          <w:szCs w:val="24"/>
          <w:highlight w:val="none"/>
          <w:lang w:eastAsia="zh-CN"/>
        </w:rPr>
        <w:t>残疾人福利性单位声明函（</w:t>
      </w:r>
      <w:r>
        <w:rPr>
          <w:rFonts w:hint="eastAsia" w:ascii="仿宋" w:hAnsi="仿宋" w:eastAsia="仿宋" w:cs="仿宋"/>
          <w:b/>
          <w:color w:val="auto"/>
          <w:sz w:val="24"/>
          <w:szCs w:val="24"/>
          <w:highlight w:val="none"/>
          <w:lang w:val="en-US" w:eastAsia="zh-CN"/>
        </w:rPr>
        <w:t>如有</w:t>
      </w:r>
      <w:r>
        <w:rPr>
          <w:rFonts w:hint="eastAsia" w:ascii="仿宋" w:hAnsi="仿宋" w:eastAsia="仿宋" w:cs="仿宋"/>
          <w:b/>
          <w:color w:val="auto"/>
          <w:sz w:val="24"/>
          <w:szCs w:val="24"/>
          <w:highlight w:val="none"/>
          <w:lang w:eastAsia="zh-CN"/>
        </w:rPr>
        <w:t>）</w:t>
      </w:r>
    </w:p>
    <w:p>
      <w:pPr>
        <w:pStyle w:val="66"/>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附件4</w:t>
      </w:r>
      <w:r>
        <w:rPr>
          <w:rFonts w:hint="eastAsia" w:ascii="仿宋" w:hAnsi="仿宋" w:eastAsia="仿宋" w:cs="仿宋"/>
          <w:b/>
          <w:color w:val="auto"/>
          <w:sz w:val="24"/>
          <w:szCs w:val="24"/>
          <w:highlight w:val="none"/>
          <w:lang w:eastAsia="zh-CN"/>
        </w:rPr>
        <w:t>省级以上监狱管理局、戒毒管理局（含新疆生产建设兵团）出具的属于监狱企业证明文件（格式自拟）（</w:t>
      </w:r>
      <w:r>
        <w:rPr>
          <w:rFonts w:hint="eastAsia" w:ascii="仿宋" w:hAnsi="仿宋" w:eastAsia="仿宋" w:cs="仿宋"/>
          <w:b/>
          <w:color w:val="auto"/>
          <w:sz w:val="24"/>
          <w:szCs w:val="24"/>
          <w:highlight w:val="none"/>
          <w:lang w:val="en-US" w:eastAsia="zh-CN"/>
        </w:rPr>
        <w:t>如有</w:t>
      </w:r>
      <w:r>
        <w:rPr>
          <w:rFonts w:hint="eastAsia" w:ascii="仿宋" w:hAnsi="仿宋" w:eastAsia="仿宋" w:cs="仿宋"/>
          <w:b/>
          <w:color w:val="auto"/>
          <w:sz w:val="24"/>
          <w:szCs w:val="24"/>
          <w:highlight w:val="none"/>
          <w:lang w:eastAsia="zh-CN"/>
        </w:rPr>
        <w:t>）</w:t>
      </w:r>
    </w:p>
    <w:p>
      <w:pPr>
        <w:pStyle w:val="24"/>
        <w:rPr>
          <w:rFonts w:hint="eastAsia" w:ascii="仿宋" w:hAnsi="仿宋" w:eastAsia="仿宋" w:cs="仿宋"/>
          <w:color w:val="auto"/>
          <w:spacing w:val="-4"/>
          <w:kern w:val="0"/>
          <w:sz w:val="24"/>
          <w:szCs w:val="24"/>
          <w:highlight w:val="none"/>
        </w:rPr>
      </w:pPr>
    </w:p>
    <w:p>
      <w:pPr>
        <w:pStyle w:val="5"/>
        <w:jc w:val="center"/>
        <w:rPr>
          <w:rStyle w:val="38"/>
          <w:rFonts w:hint="eastAsia" w:ascii="仿宋" w:hAnsi="仿宋" w:eastAsia="仿宋" w:cs="仿宋"/>
          <w:b/>
          <w:bCs w:val="0"/>
          <w:color w:val="auto"/>
          <w:sz w:val="24"/>
          <w:szCs w:val="24"/>
          <w:highlight w:val="none"/>
        </w:rPr>
      </w:pPr>
      <w:bookmarkStart w:id="550" w:name="_Toc4030"/>
      <w:bookmarkStart w:id="551" w:name="_Toc50459034"/>
      <w:bookmarkStart w:id="552" w:name="_Toc19393"/>
      <w:bookmarkStart w:id="553" w:name="_Toc11515"/>
      <w:r>
        <w:rPr>
          <w:rStyle w:val="38"/>
          <w:rFonts w:hint="eastAsia" w:ascii="仿宋" w:hAnsi="仿宋" w:eastAsia="仿宋" w:cs="仿宋"/>
          <w:b/>
          <w:bCs w:val="0"/>
          <w:color w:val="auto"/>
          <w:sz w:val="24"/>
          <w:szCs w:val="24"/>
          <w:highlight w:val="none"/>
        </w:rPr>
        <w:t>1、投标承诺书</w:t>
      </w:r>
      <w:bookmarkEnd w:id="550"/>
      <w:bookmarkEnd w:id="551"/>
      <w:bookmarkEnd w:id="552"/>
      <w:bookmarkEnd w:id="553"/>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致（采购人）：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根据已收到的</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，我单位经研究贵方的</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1、我方愿以投标报价</w:t>
      </w:r>
      <w:r>
        <w:rPr>
          <w:rFonts w:hint="eastAsia" w:ascii="仿宋" w:hAnsi="仿宋" w:eastAsia="仿宋" w:cs="仿宋"/>
          <w:color w:val="auto"/>
          <w:sz w:val="24"/>
          <w:szCs w:val="24"/>
          <w:highlight w:val="none"/>
          <w:u w:val="single"/>
        </w:rPr>
        <w:t xml:space="preserve">           元（大写：                     ）             </w:t>
      </w:r>
      <w:r>
        <w:rPr>
          <w:rFonts w:hint="eastAsia" w:ascii="仿宋" w:hAnsi="仿宋" w:eastAsia="仿宋" w:cs="仿宋"/>
          <w:color w:val="auto"/>
          <w:sz w:val="24"/>
          <w:szCs w:val="24"/>
          <w:highlight w:val="none"/>
        </w:rPr>
        <w:t>及投标承诺书的承诺承包本</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中所述招标范围内的全部内容。</w:t>
      </w:r>
    </w:p>
    <w:p>
      <w:pPr>
        <w:autoSpaceDE w:val="0"/>
        <w:autoSpaceDN w:val="0"/>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服务期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autoSpaceDE w:val="0"/>
        <w:autoSpaceDN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3、如果我方中标，非采购人原因，我方保证将按招标文件要求，完成本项目服务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4、如果我方中标，我方将按</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规定的时间内签订合同。如果违约，我方愿以投标保证金作为赔偿金，同时贵方有权终止我方中标并选择其它</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5、如果我方中标，完成项目的服务与</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要求不一致的，服务达不到要求，我方将进行整改直至贵方对服务满意为止。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6、贵方的</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、答疑文件、</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补充、成交通知书和本投标文件将做为合同附件，具有同等法律效力。</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7、如果我方未中标，贵方没有必要对我方做出任何解释和说明，我方将充分尊重和理解贵方的选择。</w:t>
      </w:r>
    </w:p>
    <w:p>
      <w:pPr>
        <w:pStyle w:val="67"/>
        <w:spacing w:line="360" w:lineRule="auto"/>
        <w:ind w:right="480"/>
        <w:rPr>
          <w:rFonts w:hint="eastAsia" w:ascii="仿宋" w:hAnsi="仿宋" w:eastAsia="仿宋" w:cs="仿宋"/>
          <w:color w:val="auto"/>
          <w:sz w:val="24"/>
          <w:szCs w:val="24"/>
          <w:highlight w:val="none"/>
        </w:rPr>
      </w:pPr>
    </w:p>
    <w:p>
      <w:pPr>
        <w:pStyle w:val="67"/>
        <w:spacing w:line="360" w:lineRule="auto"/>
        <w:ind w:right="480"/>
        <w:rPr>
          <w:rFonts w:hint="eastAsia" w:ascii="仿宋" w:hAnsi="仿宋" w:eastAsia="仿宋" w:cs="仿宋"/>
          <w:color w:val="auto"/>
          <w:sz w:val="24"/>
          <w:szCs w:val="24"/>
          <w:highlight w:val="none"/>
        </w:rPr>
      </w:pPr>
    </w:p>
    <w:p>
      <w:pPr>
        <w:pStyle w:val="67"/>
        <w:spacing w:line="360" w:lineRule="auto"/>
        <w:ind w:right="480"/>
        <w:rPr>
          <w:rFonts w:hint="eastAsia" w:ascii="仿宋" w:hAnsi="仿宋" w:eastAsia="仿宋" w:cs="仿宋"/>
          <w:color w:val="auto"/>
          <w:sz w:val="24"/>
          <w:szCs w:val="24"/>
          <w:highlight w:val="none"/>
        </w:rPr>
      </w:pPr>
    </w:p>
    <w:p>
      <w:pPr>
        <w:pStyle w:val="67"/>
        <w:spacing w:line="360" w:lineRule="auto"/>
        <w:ind w:right="480"/>
        <w:rPr>
          <w:rFonts w:hint="eastAsia" w:ascii="仿宋" w:hAnsi="仿宋" w:eastAsia="仿宋" w:cs="仿宋"/>
          <w:color w:val="auto"/>
          <w:sz w:val="24"/>
          <w:szCs w:val="24"/>
          <w:highlight w:val="none"/>
        </w:rPr>
      </w:pPr>
    </w:p>
    <w:p>
      <w:pPr>
        <w:pStyle w:val="67"/>
        <w:spacing w:line="360" w:lineRule="auto"/>
        <w:ind w:right="480"/>
        <w:rPr>
          <w:rFonts w:hint="eastAsia" w:ascii="仿宋" w:hAnsi="仿宋" w:eastAsia="仿宋" w:cs="仿宋"/>
          <w:color w:val="auto"/>
          <w:sz w:val="24"/>
          <w:szCs w:val="24"/>
          <w:highlight w:val="none"/>
        </w:rPr>
      </w:pPr>
    </w:p>
    <w:p>
      <w:pPr>
        <w:pStyle w:val="67"/>
        <w:spacing w:line="360" w:lineRule="auto"/>
        <w:ind w:right="480"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（盖章）：</w:t>
      </w:r>
    </w:p>
    <w:p>
      <w:pPr>
        <w:pStyle w:val="67"/>
        <w:spacing w:line="360" w:lineRule="auto"/>
        <w:ind w:right="84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法定代表人或委托代理人（签字或</w:t>
      </w:r>
      <w:r>
        <w:rPr>
          <w:rFonts w:hint="eastAsia" w:ascii="仿宋" w:hAnsi="仿宋" w:eastAsia="仿宋" w:cs="仿宋"/>
          <w:color w:val="auto"/>
          <w:sz w:val="24"/>
          <w:szCs w:val="24"/>
          <w:highlight w:val="none"/>
          <w:lang w:val="en-US" w:eastAsia="zh-CN"/>
        </w:rPr>
        <w:t>盖</w:t>
      </w:r>
      <w:r>
        <w:rPr>
          <w:rFonts w:hint="eastAsia" w:ascii="仿宋" w:hAnsi="仿宋" w:eastAsia="仿宋" w:cs="仿宋"/>
          <w:color w:val="auto"/>
          <w:sz w:val="24"/>
          <w:szCs w:val="24"/>
          <w:highlight w:val="none"/>
        </w:rPr>
        <w:t>章）：</w:t>
      </w:r>
    </w:p>
    <w:p>
      <w:pPr>
        <w:pStyle w:val="67"/>
        <w:spacing w:line="360" w:lineRule="auto"/>
        <w:ind w:right="840"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   期：  </w:t>
      </w:r>
    </w:p>
    <w:p>
      <w:pPr>
        <w:pStyle w:val="24"/>
        <w:rPr>
          <w:rFonts w:hint="eastAsia" w:ascii="仿宋" w:hAnsi="仿宋" w:eastAsia="仿宋" w:cs="仿宋"/>
          <w:color w:val="auto"/>
          <w:spacing w:val="-4"/>
          <w:kern w:val="0"/>
          <w:sz w:val="24"/>
          <w:szCs w:val="24"/>
          <w:highlight w:val="none"/>
        </w:rPr>
      </w:pPr>
    </w:p>
    <w:p>
      <w:pPr>
        <w:autoSpaceDE w:val="0"/>
        <w:autoSpaceDN w:val="0"/>
        <w:spacing w:line="360" w:lineRule="auto"/>
        <w:jc w:val="center"/>
        <w:rPr>
          <w:rFonts w:hint="eastAsia" w:ascii="仿宋" w:hAnsi="仿宋" w:eastAsia="仿宋" w:cs="仿宋"/>
          <w:b/>
          <w:color w:val="auto"/>
          <w:sz w:val="24"/>
          <w:szCs w:val="24"/>
          <w:highlight w:val="none"/>
        </w:rPr>
      </w:pPr>
      <w:bookmarkStart w:id="554" w:name="_Toc6735_WPSOffice_Level1"/>
      <w:bookmarkStart w:id="555" w:name="_Toc28014_WPSOffice_Level1"/>
    </w:p>
    <w:p>
      <w:pPr>
        <w:pStyle w:val="24"/>
        <w:rPr>
          <w:rFonts w:hint="eastAsia" w:ascii="仿宋" w:hAnsi="仿宋" w:eastAsia="仿宋" w:cs="仿宋"/>
          <w:color w:val="auto"/>
          <w:sz w:val="24"/>
          <w:szCs w:val="24"/>
          <w:highlight w:val="none"/>
        </w:rPr>
      </w:pPr>
    </w:p>
    <w:p>
      <w:pPr>
        <w:pStyle w:val="5"/>
        <w:jc w:val="center"/>
        <w:rPr>
          <w:rStyle w:val="38"/>
          <w:rFonts w:hint="eastAsia" w:ascii="仿宋" w:hAnsi="仿宋" w:eastAsia="仿宋" w:cs="仿宋"/>
          <w:b/>
          <w:bCs w:val="0"/>
          <w:color w:val="auto"/>
          <w:sz w:val="24"/>
          <w:szCs w:val="24"/>
          <w:highlight w:val="none"/>
        </w:rPr>
      </w:pPr>
      <w:bookmarkStart w:id="556" w:name="_Toc3064"/>
      <w:r>
        <w:rPr>
          <w:rStyle w:val="38"/>
          <w:rFonts w:hint="eastAsia" w:ascii="仿宋" w:hAnsi="仿宋" w:eastAsia="仿宋" w:cs="仿宋"/>
          <w:b/>
          <w:bCs w:val="0"/>
          <w:color w:val="auto"/>
          <w:sz w:val="24"/>
          <w:szCs w:val="24"/>
          <w:highlight w:val="none"/>
        </w:rPr>
        <w:t>2、</w:t>
      </w:r>
      <w:bookmarkEnd w:id="554"/>
      <w:bookmarkEnd w:id="555"/>
      <w:r>
        <w:rPr>
          <w:rStyle w:val="38"/>
          <w:rFonts w:hint="eastAsia" w:ascii="仿宋" w:hAnsi="仿宋" w:eastAsia="仿宋" w:cs="仿宋"/>
          <w:b/>
          <w:bCs w:val="0"/>
          <w:color w:val="auto"/>
          <w:sz w:val="24"/>
          <w:szCs w:val="24"/>
          <w:highlight w:val="none"/>
        </w:rPr>
        <w:t>报价一览表</w:t>
      </w:r>
      <w:bookmarkEnd w:id="556"/>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w:t>
      </w:r>
    </w:p>
    <w:p>
      <w:pPr>
        <w:pStyle w:val="24"/>
        <w:rPr>
          <w:rFonts w:hint="eastAsia" w:ascii="仿宋" w:hAnsi="仿宋" w:eastAsia="仿宋" w:cs="仿宋"/>
          <w:color w:val="auto"/>
          <w:sz w:val="24"/>
          <w:szCs w:val="24"/>
          <w:highlight w:val="none"/>
        </w:rPr>
      </w:pPr>
    </w:p>
    <w:p>
      <w:pPr>
        <w:pStyle w:val="24"/>
        <w:rPr>
          <w:rFonts w:hint="eastAsia" w:ascii="仿宋" w:hAnsi="仿宋" w:eastAsia="仿宋" w:cs="仿宋"/>
          <w:color w:val="auto"/>
          <w:sz w:val="24"/>
          <w:szCs w:val="24"/>
          <w:highlight w:val="none"/>
        </w:rPr>
      </w:pPr>
    </w:p>
    <w:tbl>
      <w:tblPr>
        <w:tblStyle w:val="31"/>
        <w:tblW w:w="9200" w:type="dxa"/>
        <w:tblInd w:w="0" w:type="dxa"/>
        <w:tblLayout w:type="fixed"/>
        <w:tblCellMar>
          <w:top w:w="0" w:type="dxa"/>
          <w:left w:w="0" w:type="dxa"/>
          <w:bottom w:w="0" w:type="dxa"/>
          <w:right w:w="0" w:type="dxa"/>
        </w:tblCellMar>
      </w:tblPr>
      <w:tblGrid>
        <w:gridCol w:w="912"/>
        <w:gridCol w:w="1664"/>
        <w:gridCol w:w="5928"/>
        <w:gridCol w:w="696"/>
      </w:tblGrid>
      <w:tr>
        <w:tblPrEx>
          <w:tblCellMar>
            <w:top w:w="0" w:type="dxa"/>
            <w:left w:w="0" w:type="dxa"/>
            <w:bottom w:w="0" w:type="dxa"/>
            <w:right w:w="0" w:type="dxa"/>
          </w:tblCellMar>
        </w:tblPrEx>
        <w:trPr>
          <w:trHeight w:val="684"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条款名称</w:t>
            </w:r>
          </w:p>
        </w:tc>
        <w:tc>
          <w:tcPr>
            <w:tcW w:w="59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内容</w:t>
            </w: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w:t>
            </w:r>
          </w:p>
        </w:tc>
      </w:tr>
      <w:tr>
        <w:tblPrEx>
          <w:tblCellMar>
            <w:top w:w="0" w:type="dxa"/>
            <w:left w:w="0" w:type="dxa"/>
            <w:bottom w:w="0" w:type="dxa"/>
            <w:right w:w="0" w:type="dxa"/>
          </w:tblCellMar>
        </w:tblPrEx>
        <w:trPr>
          <w:trHeight w:val="749"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664" w:type="dxa"/>
            <w:tcBorders>
              <w:top w:val="single" w:color="auto" w:sz="4" w:space="0"/>
              <w:left w:val="single" w:color="auto" w:sz="4" w:space="0"/>
              <w:bottom w:val="single" w:color="auto" w:sz="4" w:space="0"/>
              <w:right w:val="single" w:color="auto" w:sz="4" w:space="0"/>
            </w:tcBorders>
            <w:vAlign w:val="center"/>
          </w:tcPr>
          <w:p>
            <w:pPr>
              <w:pStyle w:val="5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w:t>
            </w:r>
          </w:p>
        </w:tc>
        <w:tc>
          <w:tcPr>
            <w:tcW w:w="59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完全响应</w:t>
            </w:r>
            <w:r>
              <w:rPr>
                <w:rFonts w:hint="eastAsia" w:ascii="仿宋" w:hAnsi="仿宋" w:eastAsia="仿宋" w:cs="仿宋"/>
                <w:color w:val="auto"/>
                <w:kern w:val="0"/>
                <w:sz w:val="24"/>
                <w:szCs w:val="24"/>
                <w:highlight w:val="none"/>
                <w:lang w:eastAsia="zh-CN"/>
              </w:rPr>
              <w:t>招标文件</w:t>
            </w:r>
            <w:r>
              <w:rPr>
                <w:rFonts w:hint="eastAsia" w:ascii="仿宋" w:hAnsi="仿宋" w:eastAsia="仿宋" w:cs="仿宋"/>
                <w:color w:val="auto"/>
                <w:kern w:val="0"/>
                <w:sz w:val="24"/>
                <w:szCs w:val="24"/>
                <w:highlight w:val="none"/>
              </w:rPr>
              <w:t>要求</w:t>
            </w: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p>
        </w:tc>
      </w:tr>
      <w:tr>
        <w:tblPrEx>
          <w:tblCellMar>
            <w:top w:w="0" w:type="dxa"/>
            <w:left w:w="0" w:type="dxa"/>
            <w:bottom w:w="0" w:type="dxa"/>
            <w:right w:w="0" w:type="dxa"/>
          </w:tblCellMar>
        </w:tblPrEx>
        <w:trPr>
          <w:trHeight w:val="749"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664" w:type="dxa"/>
            <w:tcBorders>
              <w:top w:val="single" w:color="auto" w:sz="4" w:space="0"/>
              <w:left w:val="single" w:color="auto" w:sz="4" w:space="0"/>
              <w:bottom w:val="single" w:color="auto" w:sz="4" w:space="0"/>
              <w:right w:val="single" w:color="auto" w:sz="4" w:space="0"/>
            </w:tcBorders>
            <w:vAlign w:val="center"/>
          </w:tcPr>
          <w:p>
            <w:pPr>
              <w:pStyle w:val="5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服务期限</w:t>
            </w:r>
          </w:p>
        </w:tc>
        <w:tc>
          <w:tcPr>
            <w:tcW w:w="5928" w:type="dxa"/>
            <w:tcBorders>
              <w:top w:val="single" w:color="auto" w:sz="4" w:space="0"/>
              <w:left w:val="single" w:color="auto" w:sz="4" w:space="0"/>
              <w:bottom w:val="single" w:color="auto" w:sz="4" w:space="0"/>
              <w:right w:val="single" w:color="auto" w:sz="4" w:space="0"/>
            </w:tcBorders>
            <w:vAlign w:val="center"/>
          </w:tcPr>
          <w:p>
            <w:pPr>
              <w:tabs>
                <w:tab w:val="left" w:pos="4980"/>
                <w:tab w:val="right" w:pos="9000"/>
              </w:tabs>
              <w:spacing w:line="360" w:lineRule="auto"/>
              <w:jc w:val="left"/>
              <w:rPr>
                <w:rFonts w:hint="eastAsia" w:ascii="仿宋" w:hAnsi="仿宋" w:eastAsia="仿宋" w:cs="仿宋"/>
                <w:color w:val="auto"/>
                <w:kern w:val="0"/>
                <w:sz w:val="24"/>
                <w:szCs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u w:val="single"/>
              </w:rPr>
            </w:pPr>
          </w:p>
        </w:tc>
      </w:tr>
      <w:tr>
        <w:tblPrEx>
          <w:tblCellMar>
            <w:top w:w="0" w:type="dxa"/>
            <w:left w:w="0" w:type="dxa"/>
            <w:bottom w:w="0" w:type="dxa"/>
            <w:right w:w="0" w:type="dxa"/>
          </w:tblCellMar>
        </w:tblPrEx>
        <w:trPr>
          <w:trHeight w:val="749"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664" w:type="dxa"/>
            <w:tcBorders>
              <w:top w:val="single" w:color="auto" w:sz="4" w:space="0"/>
              <w:left w:val="single" w:color="auto" w:sz="4" w:space="0"/>
              <w:bottom w:val="single" w:color="auto" w:sz="4" w:space="0"/>
              <w:right w:val="single" w:color="auto" w:sz="4" w:space="0"/>
            </w:tcBorders>
            <w:vAlign w:val="center"/>
          </w:tcPr>
          <w:p>
            <w:pPr>
              <w:pStyle w:val="5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服务地点</w:t>
            </w:r>
          </w:p>
        </w:tc>
        <w:tc>
          <w:tcPr>
            <w:tcW w:w="59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szCs w:val="24"/>
                <w:highlight w:val="none"/>
                <w:shd w:val="clear" w:color="auto" w:fill="FFFFFF"/>
                <w:lang w:eastAsia="zh-CN"/>
              </w:rPr>
            </w:pPr>
            <w:r>
              <w:rPr>
                <w:rFonts w:hint="eastAsia" w:ascii="仿宋" w:hAnsi="仿宋" w:eastAsia="仿宋" w:cs="仿宋"/>
                <w:color w:val="auto"/>
                <w:kern w:val="2"/>
                <w:sz w:val="24"/>
                <w:szCs w:val="24"/>
                <w:highlight w:val="none"/>
                <w:lang w:val="en-US" w:eastAsia="zh-CN" w:bidi="ar-SA"/>
              </w:rPr>
              <w:t>采购人指定地点。</w:t>
            </w: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u w:val="single"/>
              </w:rPr>
            </w:pPr>
          </w:p>
        </w:tc>
      </w:tr>
      <w:tr>
        <w:tblPrEx>
          <w:tblCellMar>
            <w:top w:w="0" w:type="dxa"/>
            <w:left w:w="0" w:type="dxa"/>
            <w:bottom w:w="0" w:type="dxa"/>
            <w:right w:w="0" w:type="dxa"/>
          </w:tblCellMar>
        </w:tblPrEx>
        <w:trPr>
          <w:trHeight w:val="1383"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投标报价  （元）</w:t>
            </w:r>
          </w:p>
        </w:tc>
        <w:tc>
          <w:tcPr>
            <w:tcW w:w="59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left"/>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投标总价： 小写：</w:t>
            </w:r>
          </w:p>
          <w:p>
            <w:pPr>
              <w:widowControl/>
              <w:adjustRightInd w:val="0"/>
              <w:snapToGrid w:val="0"/>
              <w:spacing w:before="100" w:beforeAutospacing="1" w:after="100" w:afterAutospacing="1" w:line="360" w:lineRule="auto"/>
              <w:ind w:firstLine="1200" w:firstLineChars="500"/>
              <w:jc w:val="left"/>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 xml:space="preserve"> 大写：</w:t>
            </w: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u w:val="single"/>
              </w:rPr>
            </w:pPr>
          </w:p>
        </w:tc>
      </w:tr>
    </w:tbl>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投标单位盖章：</w:t>
      </w:r>
    </w:p>
    <w:p>
      <w:pPr>
        <w:pStyle w:val="24"/>
        <w:spacing w:line="360" w:lineRule="auto"/>
        <w:rPr>
          <w:rFonts w:hint="eastAsia" w:ascii="仿宋" w:hAnsi="仿宋" w:eastAsia="仿宋" w:cs="仿宋"/>
          <w:color w:val="auto"/>
          <w:sz w:val="24"/>
          <w:szCs w:val="24"/>
          <w:highlight w:val="none"/>
        </w:rPr>
      </w:pPr>
    </w:p>
    <w:p>
      <w:pPr>
        <w:spacing w:line="360" w:lineRule="auto"/>
        <w:ind w:left="7680" w:hanging="7680" w:hangingChars="3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投标单位法人或授权代表签字或盖章：                                                                     </w:t>
      </w:r>
    </w:p>
    <w:p>
      <w:pPr>
        <w:spacing w:line="360" w:lineRule="auto"/>
        <w:ind w:left="7680" w:hanging="7680" w:hangingChars="3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jc w:val="center"/>
        <w:rPr>
          <w:rStyle w:val="38"/>
          <w:rFonts w:hint="eastAsia" w:ascii="仿宋" w:hAnsi="仿宋" w:eastAsia="仿宋" w:cs="仿宋"/>
          <w:b/>
          <w:bCs w:val="0"/>
          <w:color w:val="auto"/>
          <w:sz w:val="24"/>
          <w:szCs w:val="24"/>
          <w:highlight w:val="none"/>
        </w:rPr>
      </w:pPr>
      <w:bookmarkStart w:id="557" w:name="_Toc8766"/>
      <w:r>
        <w:rPr>
          <w:rStyle w:val="38"/>
          <w:rFonts w:hint="eastAsia" w:ascii="仿宋" w:hAnsi="仿宋" w:eastAsia="仿宋" w:cs="仿宋"/>
          <w:b/>
          <w:bCs w:val="0"/>
          <w:color w:val="auto"/>
          <w:sz w:val="24"/>
          <w:szCs w:val="24"/>
          <w:highlight w:val="none"/>
          <w:lang w:val="en-US" w:eastAsia="zh-CN"/>
        </w:rPr>
        <w:t>3、</w:t>
      </w:r>
      <w:r>
        <w:rPr>
          <w:rStyle w:val="38"/>
          <w:rFonts w:hint="eastAsia" w:ascii="仿宋" w:hAnsi="仿宋" w:eastAsia="仿宋" w:cs="仿宋"/>
          <w:b/>
          <w:bCs w:val="0"/>
          <w:color w:val="auto"/>
          <w:sz w:val="24"/>
          <w:szCs w:val="24"/>
          <w:highlight w:val="none"/>
        </w:rPr>
        <w:t>报价一览明细表</w:t>
      </w:r>
      <w:bookmarkEnd w:id="557"/>
    </w:p>
    <w:p>
      <w:pPr>
        <w:pStyle w:val="19"/>
        <w:spacing w:line="48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p>
    <w:p>
      <w:pPr>
        <w:pStyle w:val="19"/>
        <w:spacing w:line="48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u w:val="single"/>
        </w:rPr>
        <w:t xml:space="preserve">               </w:t>
      </w:r>
    </w:p>
    <w:tbl>
      <w:tblPr>
        <w:tblStyle w:val="32"/>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377"/>
        <w:gridCol w:w="1070"/>
        <w:gridCol w:w="1377"/>
        <w:gridCol w:w="1377"/>
        <w:gridCol w:w="2601"/>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28" w:type="dxa"/>
            <w:vAlign w:val="center"/>
          </w:tcPr>
          <w:p>
            <w:pPr>
              <w:pStyle w:val="1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377" w:type="dxa"/>
            <w:vAlign w:val="center"/>
          </w:tcPr>
          <w:p>
            <w:pPr>
              <w:pStyle w:val="1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费用名称</w:t>
            </w:r>
          </w:p>
        </w:tc>
        <w:tc>
          <w:tcPr>
            <w:tcW w:w="1070" w:type="dxa"/>
            <w:vAlign w:val="center"/>
          </w:tcPr>
          <w:p>
            <w:pPr>
              <w:pStyle w:val="1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377" w:type="dxa"/>
            <w:vAlign w:val="center"/>
          </w:tcPr>
          <w:p>
            <w:pPr>
              <w:pStyle w:val="1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单价（元）</w:t>
            </w:r>
          </w:p>
        </w:tc>
        <w:tc>
          <w:tcPr>
            <w:tcW w:w="1377" w:type="dxa"/>
            <w:vAlign w:val="center"/>
          </w:tcPr>
          <w:p>
            <w:pPr>
              <w:pStyle w:val="1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总价（元）</w:t>
            </w:r>
          </w:p>
        </w:tc>
        <w:tc>
          <w:tcPr>
            <w:tcW w:w="2601" w:type="dxa"/>
            <w:vAlign w:val="center"/>
          </w:tcPr>
          <w:p>
            <w:pPr>
              <w:pStyle w:val="1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是否属于小、微企业或监狱企业或残疾人福利性单位</w:t>
            </w:r>
          </w:p>
        </w:tc>
        <w:tc>
          <w:tcPr>
            <w:tcW w:w="666" w:type="dxa"/>
            <w:vAlign w:val="center"/>
          </w:tcPr>
          <w:p>
            <w:pPr>
              <w:pStyle w:val="1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4" w:hRule="atLeast"/>
        </w:trPr>
        <w:tc>
          <w:tcPr>
            <w:tcW w:w="728"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070"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2601" w:type="dxa"/>
            <w:vMerge w:val="restart"/>
            <w:vAlign w:val="center"/>
          </w:tcPr>
          <w:p>
            <w:pPr>
              <w:pStyle w:val="19"/>
              <w:jc w:val="center"/>
              <w:rPr>
                <w:rFonts w:hint="eastAsia" w:ascii="仿宋" w:hAnsi="仿宋" w:eastAsia="仿宋" w:cs="仿宋"/>
                <w:color w:val="auto"/>
                <w:sz w:val="24"/>
                <w:szCs w:val="24"/>
                <w:highlight w:val="none"/>
              </w:rPr>
            </w:pPr>
          </w:p>
        </w:tc>
        <w:tc>
          <w:tcPr>
            <w:tcW w:w="666" w:type="dxa"/>
            <w:vAlign w:val="center"/>
          </w:tcPr>
          <w:p>
            <w:pPr>
              <w:pStyle w:val="1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28"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070"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2601" w:type="dxa"/>
            <w:vMerge w:val="continue"/>
            <w:vAlign w:val="center"/>
          </w:tcPr>
          <w:p>
            <w:pPr>
              <w:pStyle w:val="19"/>
              <w:jc w:val="center"/>
              <w:rPr>
                <w:rFonts w:hint="eastAsia" w:ascii="仿宋" w:hAnsi="仿宋" w:eastAsia="仿宋" w:cs="仿宋"/>
                <w:color w:val="auto"/>
                <w:sz w:val="24"/>
                <w:szCs w:val="24"/>
                <w:highlight w:val="none"/>
              </w:rPr>
            </w:pPr>
          </w:p>
        </w:tc>
        <w:tc>
          <w:tcPr>
            <w:tcW w:w="666" w:type="dxa"/>
            <w:vAlign w:val="center"/>
          </w:tcPr>
          <w:p>
            <w:pPr>
              <w:pStyle w:val="1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28"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070"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2601" w:type="dxa"/>
            <w:vMerge w:val="continue"/>
            <w:vAlign w:val="center"/>
          </w:tcPr>
          <w:p>
            <w:pPr>
              <w:pStyle w:val="19"/>
              <w:jc w:val="center"/>
              <w:rPr>
                <w:rFonts w:hint="eastAsia" w:ascii="仿宋" w:hAnsi="仿宋" w:eastAsia="仿宋" w:cs="仿宋"/>
                <w:color w:val="auto"/>
                <w:sz w:val="24"/>
                <w:szCs w:val="24"/>
                <w:highlight w:val="none"/>
              </w:rPr>
            </w:pPr>
          </w:p>
        </w:tc>
        <w:tc>
          <w:tcPr>
            <w:tcW w:w="666" w:type="dxa"/>
            <w:vAlign w:val="center"/>
          </w:tcPr>
          <w:p>
            <w:pPr>
              <w:pStyle w:val="1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28"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070"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2601" w:type="dxa"/>
            <w:vMerge w:val="continue"/>
            <w:vAlign w:val="center"/>
          </w:tcPr>
          <w:p>
            <w:pPr>
              <w:pStyle w:val="19"/>
              <w:jc w:val="center"/>
              <w:rPr>
                <w:rFonts w:hint="eastAsia" w:ascii="仿宋" w:hAnsi="仿宋" w:eastAsia="仿宋" w:cs="仿宋"/>
                <w:color w:val="auto"/>
                <w:sz w:val="24"/>
                <w:szCs w:val="24"/>
                <w:highlight w:val="none"/>
              </w:rPr>
            </w:pPr>
          </w:p>
        </w:tc>
        <w:tc>
          <w:tcPr>
            <w:tcW w:w="666" w:type="dxa"/>
            <w:vAlign w:val="center"/>
          </w:tcPr>
          <w:p>
            <w:pPr>
              <w:pStyle w:val="1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28"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070"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1377" w:type="dxa"/>
            <w:vAlign w:val="center"/>
          </w:tcPr>
          <w:p>
            <w:pPr>
              <w:pStyle w:val="19"/>
              <w:jc w:val="center"/>
              <w:rPr>
                <w:rFonts w:hint="eastAsia" w:ascii="仿宋" w:hAnsi="仿宋" w:eastAsia="仿宋" w:cs="仿宋"/>
                <w:color w:val="auto"/>
                <w:sz w:val="24"/>
                <w:szCs w:val="24"/>
                <w:highlight w:val="none"/>
              </w:rPr>
            </w:pPr>
          </w:p>
        </w:tc>
        <w:tc>
          <w:tcPr>
            <w:tcW w:w="2601" w:type="dxa"/>
            <w:vMerge w:val="continue"/>
            <w:vAlign w:val="center"/>
          </w:tcPr>
          <w:p>
            <w:pPr>
              <w:pStyle w:val="19"/>
              <w:jc w:val="center"/>
              <w:rPr>
                <w:rFonts w:hint="eastAsia" w:ascii="仿宋" w:hAnsi="仿宋" w:eastAsia="仿宋" w:cs="仿宋"/>
                <w:color w:val="auto"/>
                <w:sz w:val="24"/>
                <w:szCs w:val="24"/>
                <w:highlight w:val="none"/>
              </w:rPr>
            </w:pPr>
          </w:p>
        </w:tc>
        <w:tc>
          <w:tcPr>
            <w:tcW w:w="666" w:type="dxa"/>
            <w:vAlign w:val="center"/>
          </w:tcPr>
          <w:p>
            <w:pPr>
              <w:pStyle w:val="19"/>
              <w:jc w:val="center"/>
              <w:rPr>
                <w:rFonts w:hint="eastAsia" w:ascii="仿宋" w:hAnsi="仿宋" w:eastAsia="仿宋" w:cs="仿宋"/>
                <w:color w:val="auto"/>
                <w:sz w:val="24"/>
                <w:szCs w:val="24"/>
                <w:highlight w:val="none"/>
              </w:rPr>
            </w:pPr>
          </w:p>
        </w:tc>
      </w:tr>
    </w:tbl>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投标单位盖章：</w:t>
      </w:r>
    </w:p>
    <w:p>
      <w:pPr>
        <w:pStyle w:val="24"/>
        <w:spacing w:line="360" w:lineRule="auto"/>
        <w:rPr>
          <w:rFonts w:hint="eastAsia" w:ascii="仿宋" w:hAnsi="仿宋" w:eastAsia="仿宋" w:cs="仿宋"/>
          <w:color w:val="auto"/>
          <w:sz w:val="24"/>
          <w:szCs w:val="24"/>
          <w:highlight w:val="none"/>
        </w:rPr>
      </w:pPr>
    </w:p>
    <w:p>
      <w:pPr>
        <w:spacing w:line="360" w:lineRule="auto"/>
        <w:ind w:left="7680" w:hanging="7680" w:hangingChars="3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投标单位法人或授权代表签字或盖章：                                                                     </w:t>
      </w:r>
    </w:p>
    <w:p>
      <w:pPr>
        <w:spacing w:line="360" w:lineRule="auto"/>
        <w:ind w:left="7680" w:hanging="7680" w:hangingChars="3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1、上述报价包含一切由供方承担服务的费用，分项报价合计应和总报价一致；</w:t>
      </w:r>
    </w:p>
    <w:p>
      <w:pPr>
        <w:pStyle w:val="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jc w:val="center"/>
        <w:rPr>
          <w:rStyle w:val="38"/>
          <w:rFonts w:hint="eastAsia" w:ascii="仿宋" w:hAnsi="仿宋" w:eastAsia="仿宋" w:cs="仿宋"/>
          <w:b/>
          <w:bCs w:val="0"/>
          <w:color w:val="auto"/>
          <w:sz w:val="24"/>
          <w:szCs w:val="24"/>
          <w:highlight w:val="none"/>
          <w:lang w:val="en-US" w:eastAsia="zh-CN"/>
        </w:rPr>
      </w:pPr>
      <w:bookmarkStart w:id="558" w:name="_Toc18030_WPSOffice_Level1"/>
      <w:bookmarkStart w:id="559" w:name="_Toc12705"/>
      <w:bookmarkStart w:id="560" w:name="_Toc16901"/>
      <w:bookmarkStart w:id="561" w:name="_Toc30221_WPSOffice_Level1"/>
      <w:bookmarkStart w:id="562" w:name="_Toc18663"/>
      <w:bookmarkStart w:id="563" w:name="_Toc50459035"/>
      <w:r>
        <w:rPr>
          <w:rStyle w:val="38"/>
          <w:rFonts w:hint="eastAsia" w:ascii="仿宋" w:hAnsi="仿宋" w:eastAsia="仿宋" w:cs="仿宋"/>
          <w:b/>
          <w:bCs w:val="0"/>
          <w:color w:val="auto"/>
          <w:sz w:val="24"/>
          <w:szCs w:val="24"/>
          <w:highlight w:val="none"/>
          <w:lang w:val="en-US" w:eastAsia="zh-CN"/>
        </w:rPr>
        <w:t>4、</w:t>
      </w:r>
      <w:bookmarkEnd w:id="558"/>
      <w:bookmarkEnd w:id="559"/>
      <w:bookmarkEnd w:id="560"/>
      <w:bookmarkEnd w:id="561"/>
      <w:bookmarkEnd w:id="562"/>
      <w:bookmarkEnd w:id="563"/>
      <w:r>
        <w:rPr>
          <w:rStyle w:val="38"/>
          <w:rFonts w:hint="eastAsia" w:ascii="仿宋" w:hAnsi="仿宋" w:eastAsia="仿宋" w:cs="仿宋"/>
          <w:b/>
          <w:bCs w:val="0"/>
          <w:color w:val="auto"/>
          <w:sz w:val="24"/>
          <w:szCs w:val="24"/>
          <w:highlight w:val="none"/>
          <w:lang w:val="en-US" w:eastAsia="zh-CN"/>
        </w:rPr>
        <w:t>法定代表人（负责人）身份证明</w:t>
      </w:r>
    </w:p>
    <w:p>
      <w:pPr>
        <w:adjustRightInd w:val="0"/>
        <w:snapToGrid w:val="0"/>
        <w:spacing w:line="360" w:lineRule="auto"/>
        <w:jc w:val="center"/>
        <w:rPr>
          <w:rFonts w:hint="eastAsia" w:ascii="仿宋" w:hAnsi="仿宋" w:eastAsia="仿宋" w:cs="仿宋"/>
          <w:color w:val="auto"/>
          <w:sz w:val="24"/>
          <w:szCs w:val="24"/>
          <w:highlight w:val="none"/>
        </w:rPr>
      </w:pP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单位名称：</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单位性质：</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成立时间：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经营期限：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的法定代表人。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特此证明。 </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w:t>
      </w:r>
      <w:r>
        <w:rPr>
          <w:rFonts w:hint="eastAsia" w:ascii="仿宋" w:hAnsi="仿宋" w:eastAsia="仿宋" w:cs="仿宋"/>
          <w:color w:val="auto"/>
          <w:sz w:val="24"/>
          <w:szCs w:val="24"/>
          <w:highlight w:val="none"/>
          <w:lang w:eastAsia="zh-CN"/>
        </w:rPr>
        <w:t>（负责人）</w:t>
      </w:r>
      <w:r>
        <w:rPr>
          <w:rFonts w:hint="eastAsia" w:ascii="仿宋" w:hAnsi="仿宋" w:eastAsia="仿宋" w:cs="仿宋"/>
          <w:color w:val="auto"/>
          <w:sz w:val="24"/>
          <w:szCs w:val="24"/>
          <w:highlight w:val="none"/>
        </w:rPr>
        <w:t>身份证复印件（正反面）</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单位：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（盖单位章） </w:t>
      </w:r>
    </w:p>
    <w:p>
      <w:pPr>
        <w:spacing w:line="360" w:lineRule="auto"/>
        <w:jc w:val="right"/>
        <w:rPr>
          <w:rFonts w:hint="eastAsia" w:ascii="仿宋" w:hAnsi="仿宋" w:eastAsia="仿宋" w:cs="仿宋"/>
          <w:color w:val="auto"/>
          <w:sz w:val="24"/>
          <w:szCs w:val="24"/>
          <w:highlight w:val="none"/>
        </w:rPr>
      </w:pPr>
    </w:p>
    <w:p>
      <w:pPr>
        <w:spacing w:line="360" w:lineRule="auto"/>
        <w:jc w:val="right"/>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r>
        <w:rPr>
          <w:rFonts w:hint="eastAsia" w:ascii="仿宋" w:hAnsi="仿宋" w:eastAsia="仿宋" w:cs="仿宋"/>
          <w:b/>
          <w:color w:val="auto"/>
          <w:sz w:val="24"/>
          <w:szCs w:val="24"/>
          <w:highlight w:val="none"/>
        </w:rPr>
        <w:t xml:space="preserve"> </w:t>
      </w: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p>
    <w:p>
      <w:pPr>
        <w:pStyle w:val="1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说明：仅限法定代表人（负责人）参加时提供。</w:t>
      </w:r>
    </w:p>
    <w:p>
      <w:pPr>
        <w:pStyle w:val="5"/>
        <w:jc w:val="center"/>
        <w:rPr>
          <w:rStyle w:val="38"/>
          <w:rFonts w:hint="eastAsia" w:ascii="仿宋" w:hAnsi="仿宋" w:eastAsia="仿宋" w:cs="仿宋"/>
          <w:b/>
          <w:bCs w:val="0"/>
          <w:color w:val="auto"/>
          <w:sz w:val="24"/>
          <w:szCs w:val="24"/>
          <w:highlight w:val="none"/>
          <w:lang w:val="en-US" w:eastAsia="zh-CN"/>
        </w:rPr>
      </w:pPr>
      <w:bookmarkStart w:id="564" w:name="_Toc2043"/>
      <w:bookmarkStart w:id="565" w:name="_Toc24648"/>
      <w:bookmarkStart w:id="566" w:name="_Toc18441"/>
      <w:bookmarkStart w:id="567" w:name="_Toc50459036"/>
      <w:r>
        <w:rPr>
          <w:rStyle w:val="38"/>
          <w:rFonts w:hint="eastAsia" w:ascii="仿宋" w:hAnsi="仿宋" w:eastAsia="仿宋" w:cs="仿宋"/>
          <w:b/>
          <w:bCs w:val="0"/>
          <w:color w:val="auto"/>
          <w:sz w:val="24"/>
          <w:szCs w:val="24"/>
          <w:highlight w:val="none"/>
          <w:lang w:val="en-US" w:eastAsia="zh-CN"/>
        </w:rPr>
        <w:t>5、</w:t>
      </w:r>
      <w:bookmarkEnd w:id="564"/>
      <w:bookmarkEnd w:id="565"/>
      <w:bookmarkEnd w:id="566"/>
      <w:bookmarkEnd w:id="567"/>
      <w:r>
        <w:rPr>
          <w:rStyle w:val="38"/>
          <w:rFonts w:hint="eastAsia" w:ascii="仿宋" w:hAnsi="仿宋" w:eastAsia="仿宋" w:cs="仿宋"/>
          <w:b/>
          <w:bCs w:val="0"/>
          <w:color w:val="auto"/>
          <w:sz w:val="24"/>
          <w:szCs w:val="24"/>
          <w:highlight w:val="none"/>
          <w:lang w:val="en-US" w:eastAsia="zh-CN"/>
        </w:rPr>
        <w:t>法定代表人（负责人）授权委托书</w:t>
      </w:r>
    </w:p>
    <w:p>
      <w:pPr>
        <w:spacing w:line="360" w:lineRule="auto"/>
        <w:jc w:val="center"/>
        <w:rPr>
          <w:rFonts w:hint="eastAsia" w:ascii="仿宋" w:hAnsi="仿宋" w:eastAsia="仿宋" w:cs="仿宋"/>
          <w:b/>
          <w:bCs/>
          <w:color w:val="auto"/>
          <w:sz w:val="24"/>
          <w:szCs w:val="24"/>
          <w:highlight w:val="none"/>
        </w:rPr>
      </w:pPr>
    </w:p>
    <w:p>
      <w:pPr>
        <w:spacing w:line="360" w:lineRule="auto"/>
        <w:ind w:firstLine="453" w:firstLineChars="189"/>
        <w:jc w:val="left"/>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本授权委托书声明：我</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系</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的法定代表人，现授权委托</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的</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为我的代理人，以本单位的名义参加</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投标活动。代理人在参加整个招标投标活动、合同磋商过程中所签署的一切文件和处理与之相关的一切事物，我均予承认。</w:t>
      </w:r>
    </w:p>
    <w:p>
      <w:pPr>
        <w:spacing w:line="360" w:lineRule="auto"/>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代理人：</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性别：</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年龄：</w:t>
      </w:r>
      <w:r>
        <w:rPr>
          <w:rFonts w:hint="eastAsia" w:ascii="仿宋" w:hAnsi="仿宋" w:eastAsia="仿宋" w:cs="仿宋"/>
          <w:bCs/>
          <w:color w:val="auto"/>
          <w:sz w:val="24"/>
          <w:szCs w:val="24"/>
          <w:highlight w:val="none"/>
          <w:u w:val="single"/>
        </w:rPr>
        <w:t xml:space="preserve">             </w:t>
      </w:r>
    </w:p>
    <w:p>
      <w:pPr>
        <w:spacing w:line="360" w:lineRule="auto"/>
        <w:ind w:firstLine="453" w:firstLineChars="189"/>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部  门：</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职务：</w:t>
      </w:r>
      <w:r>
        <w:rPr>
          <w:rFonts w:hint="eastAsia" w:ascii="仿宋" w:hAnsi="仿宋" w:eastAsia="仿宋" w:cs="仿宋"/>
          <w:bCs/>
          <w:color w:val="auto"/>
          <w:sz w:val="24"/>
          <w:szCs w:val="24"/>
          <w:highlight w:val="none"/>
          <w:u w:val="single"/>
        </w:rPr>
        <w:t xml:space="preserve">             </w:t>
      </w:r>
    </w:p>
    <w:p>
      <w:pPr>
        <w:spacing w:line="360" w:lineRule="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122555</wp:posOffset>
                </wp:positionV>
                <wp:extent cx="2971800" cy="1895475"/>
                <wp:effectExtent l="4445" t="4445" r="14605" b="5080"/>
                <wp:wrapNone/>
                <wp:docPr id="4" name="文本框 4"/>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sz w:val="36"/>
                                <w:szCs w:val="36"/>
                              </w:rPr>
                            </w:pPr>
                          </w:p>
                          <w:p>
                            <w:pPr>
                              <w:jc w:val="center"/>
                              <w:rPr>
                                <w:rFonts w:ascii="仿宋" w:hAnsi="仿宋" w:eastAsia="仿宋"/>
                                <w:sz w:val="36"/>
                                <w:szCs w:val="36"/>
                              </w:rPr>
                            </w:pPr>
                          </w:p>
                          <w:p>
                            <w:pPr>
                              <w:jc w:val="center"/>
                              <w:rPr>
                                <w:sz w:val="32"/>
                                <w:szCs w:val="32"/>
                              </w:rPr>
                            </w:pPr>
                            <w:r>
                              <w:rPr>
                                <w:rFonts w:hint="eastAsia" w:ascii="仿宋" w:hAnsi="仿宋" w:eastAsia="仿宋"/>
                                <w:sz w:val="36"/>
                                <w:szCs w:val="36"/>
                              </w:rPr>
                              <w:t>法定代表人</w:t>
                            </w:r>
                            <w:r>
                              <w:rPr>
                                <w:rFonts w:hint="eastAsia" w:ascii="仿宋" w:hAnsi="仿宋" w:eastAsia="仿宋"/>
                                <w:sz w:val="36"/>
                                <w:szCs w:val="36"/>
                                <w:lang w:eastAsia="zh-CN"/>
                              </w:rPr>
                              <w:t>（</w:t>
                            </w:r>
                            <w:r>
                              <w:rPr>
                                <w:rFonts w:hint="eastAsia" w:ascii="仿宋" w:hAnsi="仿宋" w:eastAsia="仿宋"/>
                                <w:sz w:val="36"/>
                                <w:szCs w:val="36"/>
                                <w:lang w:val="en-US" w:eastAsia="zh-CN"/>
                              </w:rPr>
                              <w:t>负责人</w:t>
                            </w:r>
                            <w:r>
                              <w:rPr>
                                <w:rFonts w:hint="eastAsia" w:ascii="仿宋" w:hAnsi="仿宋" w:eastAsia="仿宋"/>
                                <w:sz w:val="36"/>
                                <w:szCs w:val="36"/>
                                <w:lang w:eastAsia="zh-CN"/>
                              </w:rPr>
                              <w:t>）</w:t>
                            </w:r>
                            <w:r>
                              <w:rPr>
                                <w:rFonts w:hint="eastAsia" w:ascii="仿宋" w:hAnsi="仿宋" w:eastAsia="仿宋"/>
                                <w:sz w:val="36"/>
                                <w:szCs w:val="36"/>
                              </w:rPr>
                              <w:t>身份证复印件（正反面）</w:t>
                            </w:r>
                          </w:p>
                        </w:txbxContent>
                      </wps:txbx>
                      <wps:bodyPr upright="1"/>
                    </wps:wsp>
                  </a:graphicData>
                </a:graphic>
              </wp:anchor>
            </w:drawing>
          </mc:Choice>
          <mc:Fallback>
            <w:pict>
              <v:shape id="_x0000_s1026" o:spid="_x0000_s1026" o:spt="202" type="#_x0000_t202" style="position:absolute;left:0pt;margin-left:-7.3pt;margin-top:9.65pt;height:149.25pt;width:234pt;z-index:251659264;mso-width-relative:page;mso-height-relative:page;" fillcolor="#FFFFFF" filled="t" stroked="t" coordsize="21600,21600" o:gfxdata="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6M8UNkAAAAKAQAADwAAAAAA&#10;AAABACAAAAAiAAAAZHJzL2Rvd25yZXYueG1sUEsBAhQAFAAAAAgAh07iQInh9lMSAgAARQQAAA4A&#10;AAAAAAAAAQAgAAAAKAEAAGRycy9lMm9Eb2MueG1sUEsFBgAAAAAGAAYAWQEAAKwFAAAAAA==&#10;">
                <v:fill on="t" focussize="0,0"/>
                <v:stroke color="#000000" joinstyle="miter"/>
                <v:imagedata o:title=""/>
                <o:lock v:ext="edit" aspectratio="f"/>
                <v:textbox>
                  <w:txbxContent>
                    <w:p>
                      <w:pPr>
                        <w:jc w:val="center"/>
                        <w:rPr>
                          <w:rFonts w:ascii="仿宋" w:hAnsi="仿宋" w:eastAsia="仿宋"/>
                          <w:sz w:val="36"/>
                          <w:szCs w:val="36"/>
                        </w:rPr>
                      </w:pPr>
                    </w:p>
                    <w:p>
                      <w:pPr>
                        <w:jc w:val="center"/>
                        <w:rPr>
                          <w:rFonts w:ascii="仿宋" w:hAnsi="仿宋" w:eastAsia="仿宋"/>
                          <w:sz w:val="36"/>
                          <w:szCs w:val="36"/>
                        </w:rPr>
                      </w:pPr>
                    </w:p>
                    <w:p>
                      <w:pPr>
                        <w:jc w:val="center"/>
                        <w:rPr>
                          <w:sz w:val="32"/>
                          <w:szCs w:val="32"/>
                        </w:rPr>
                      </w:pPr>
                      <w:r>
                        <w:rPr>
                          <w:rFonts w:hint="eastAsia" w:ascii="仿宋" w:hAnsi="仿宋" w:eastAsia="仿宋"/>
                          <w:sz w:val="36"/>
                          <w:szCs w:val="36"/>
                        </w:rPr>
                        <w:t>法定代表人</w:t>
                      </w:r>
                      <w:r>
                        <w:rPr>
                          <w:rFonts w:hint="eastAsia" w:ascii="仿宋" w:hAnsi="仿宋" w:eastAsia="仿宋"/>
                          <w:sz w:val="36"/>
                          <w:szCs w:val="36"/>
                          <w:lang w:eastAsia="zh-CN"/>
                        </w:rPr>
                        <w:t>（</w:t>
                      </w:r>
                      <w:r>
                        <w:rPr>
                          <w:rFonts w:hint="eastAsia" w:ascii="仿宋" w:hAnsi="仿宋" w:eastAsia="仿宋"/>
                          <w:sz w:val="36"/>
                          <w:szCs w:val="36"/>
                          <w:lang w:val="en-US" w:eastAsia="zh-CN"/>
                        </w:rPr>
                        <w:t>负责人</w:t>
                      </w:r>
                      <w:r>
                        <w:rPr>
                          <w:rFonts w:hint="eastAsia" w:ascii="仿宋" w:hAnsi="仿宋" w:eastAsia="仿宋"/>
                          <w:sz w:val="36"/>
                          <w:szCs w:val="36"/>
                          <w:lang w:eastAsia="zh-CN"/>
                        </w:rPr>
                        <w:t>）</w:t>
                      </w:r>
                      <w:r>
                        <w:rPr>
                          <w:rFonts w:hint="eastAsia" w:ascii="仿宋" w:hAnsi="仿宋" w:eastAsia="仿宋"/>
                          <w:sz w:val="36"/>
                          <w:szCs w:val="36"/>
                        </w:rPr>
                        <w:t>身份证复印件（正反面）</w:t>
                      </w:r>
                    </w:p>
                  </w:txbxContent>
                </v:textbox>
              </v:shape>
            </w:pict>
          </mc:Fallback>
        </mc:AlternateContent>
      </w:r>
      <w:r>
        <w:rPr>
          <w:rFonts w:hint="eastAsia" w:ascii="仿宋" w:hAnsi="仿宋" w:eastAsia="仿宋" w:cs="仿宋"/>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3107690</wp:posOffset>
                </wp:positionH>
                <wp:positionV relativeFrom="paragraph">
                  <wp:posOffset>122555</wp:posOffset>
                </wp:positionV>
                <wp:extent cx="2971800" cy="189547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（正反面）</w:t>
                            </w:r>
                          </w:p>
                        </w:txbxContent>
                      </wps:txbx>
                      <wps:bodyPr upright="1"/>
                    </wps:wsp>
                  </a:graphicData>
                </a:graphic>
              </wp:anchor>
            </w:drawing>
          </mc:Choice>
          <mc:Fallback>
            <w:pict>
              <v:shape id="_x0000_s1026" o:spid="_x0000_s1026" o:spt="202" type="#_x0000_t202" style="position:absolute;left:0pt;margin-left:244.7pt;margin-top:9.65pt;height:149.25pt;width:234pt;z-index:251660288;mso-width-relative:page;mso-height-relative:page;" fillcolor="#FFFFFF" filled="t" stroked="t" coordsize="21600,21600" o:gfxdata="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aomDjZAAAACgEAAA8AAAAAAAAA&#10;AQAgAAAAIgAAAGRycy9kb3ducmV2LnhtbFBLAQIUABQAAAAIAIdO4kAUI0bxEAIAAEUEAAAOAAAA&#10;AAAAAAEAIAAAACgBAABkcnMvZTJvRG9jLnhtbFBLBQYAAAAABgAGAFkBAACqBQAAAAA=&#10;">
                <v:fill on="t" focussize="0,0"/>
                <v:stroke color="#000000" joinstyle="miter"/>
                <v:imagedata o:title=""/>
                <o:lock v:ext="edit" aspectratio="f"/>
                <v:textbox>
                  <w:txbxContent>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（正反面）</w:t>
                      </w:r>
                    </w:p>
                  </w:txbxContent>
                </v:textbox>
              </v:shape>
            </w:pict>
          </mc:Fallback>
        </mc:AlternateContent>
      </w:r>
    </w:p>
    <w:p>
      <w:pPr>
        <w:spacing w:line="360" w:lineRule="auto"/>
        <w:rPr>
          <w:rFonts w:hint="eastAsia" w:ascii="仿宋" w:hAnsi="仿宋" w:eastAsia="仿宋" w:cs="仿宋"/>
          <w:bCs/>
          <w:color w:val="auto"/>
          <w:sz w:val="24"/>
          <w:szCs w:val="24"/>
          <w:highlight w:val="none"/>
        </w:rPr>
      </w:pPr>
    </w:p>
    <w:p>
      <w:pPr>
        <w:spacing w:line="360" w:lineRule="auto"/>
        <w:rPr>
          <w:rFonts w:hint="eastAsia" w:ascii="仿宋" w:hAnsi="仿宋" w:eastAsia="仿宋" w:cs="仿宋"/>
          <w:bCs/>
          <w:color w:val="auto"/>
          <w:sz w:val="24"/>
          <w:szCs w:val="24"/>
          <w:highlight w:val="none"/>
        </w:rPr>
      </w:pPr>
    </w:p>
    <w:p>
      <w:pPr>
        <w:spacing w:line="360" w:lineRule="auto"/>
        <w:rPr>
          <w:rFonts w:hint="eastAsia" w:ascii="仿宋" w:hAnsi="仿宋" w:eastAsia="仿宋" w:cs="仿宋"/>
          <w:bCs/>
          <w:color w:val="auto"/>
          <w:sz w:val="24"/>
          <w:szCs w:val="24"/>
          <w:highlight w:val="none"/>
        </w:rPr>
      </w:pPr>
    </w:p>
    <w:p>
      <w:pPr>
        <w:spacing w:line="360" w:lineRule="auto"/>
        <w:rPr>
          <w:rFonts w:hint="eastAsia" w:ascii="仿宋" w:hAnsi="仿宋" w:eastAsia="仿宋" w:cs="仿宋"/>
          <w:bCs/>
          <w:color w:val="auto"/>
          <w:sz w:val="24"/>
          <w:szCs w:val="24"/>
          <w:highlight w:val="none"/>
        </w:rPr>
      </w:pPr>
    </w:p>
    <w:p>
      <w:pPr>
        <w:spacing w:line="360" w:lineRule="auto"/>
        <w:rPr>
          <w:rFonts w:hint="eastAsia" w:ascii="仿宋" w:hAnsi="仿宋" w:eastAsia="仿宋" w:cs="仿宋"/>
          <w:bCs/>
          <w:color w:val="auto"/>
          <w:sz w:val="24"/>
          <w:szCs w:val="24"/>
          <w:highlight w:val="none"/>
        </w:rPr>
      </w:pPr>
    </w:p>
    <w:p>
      <w:pPr>
        <w:pStyle w:val="24"/>
        <w:spacing w:line="360" w:lineRule="auto"/>
        <w:ind w:left="1620" w:hanging="42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  标  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w:t>
      </w:r>
      <w:r>
        <w:rPr>
          <w:rFonts w:hint="eastAsia" w:ascii="仿宋" w:hAnsi="仿宋" w:eastAsia="仿宋" w:cs="仿宋"/>
          <w:color w:val="auto"/>
          <w:sz w:val="24"/>
          <w:szCs w:val="24"/>
          <w:highlight w:val="none"/>
          <w:lang w:val="en-US" w:eastAsia="zh-CN"/>
        </w:rPr>
        <w:t>或盖章</w:t>
      </w:r>
      <w:r>
        <w:rPr>
          <w:rFonts w:hint="eastAsia" w:ascii="仿宋" w:hAnsi="仿宋" w:eastAsia="仿宋" w:cs="仿宋"/>
          <w:color w:val="auto"/>
          <w:sz w:val="24"/>
          <w:szCs w:val="24"/>
          <w:highlight w:val="none"/>
        </w:rPr>
        <w:t>）</w:t>
      </w:r>
    </w:p>
    <w:p>
      <w:pPr>
        <w:pStyle w:val="15"/>
        <w:rPr>
          <w:rFonts w:hint="eastAsia" w:ascii="仿宋" w:hAnsi="仿宋" w:eastAsia="仿宋" w:cs="仿宋"/>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5"/>
        <w:jc w:val="center"/>
        <w:rPr>
          <w:rStyle w:val="38"/>
          <w:rFonts w:hint="eastAsia" w:ascii="仿宋" w:hAnsi="仿宋" w:eastAsia="仿宋" w:cs="仿宋"/>
          <w:b/>
          <w:bCs w:val="0"/>
          <w:color w:val="auto"/>
          <w:sz w:val="24"/>
          <w:szCs w:val="24"/>
          <w:highlight w:val="none"/>
          <w:lang w:val="en-US" w:eastAsia="zh-CN"/>
        </w:rPr>
      </w:pPr>
      <w:bookmarkStart w:id="568" w:name="_Toc50459038"/>
      <w:bookmarkStart w:id="569" w:name="_Toc9258"/>
      <w:bookmarkStart w:id="570" w:name="_Toc28582"/>
      <w:bookmarkStart w:id="571" w:name="_Toc17805"/>
      <w:r>
        <w:rPr>
          <w:rStyle w:val="38"/>
          <w:rFonts w:hint="eastAsia" w:ascii="仿宋" w:hAnsi="仿宋" w:eastAsia="仿宋" w:cs="仿宋"/>
          <w:b/>
          <w:bCs w:val="0"/>
          <w:color w:val="auto"/>
          <w:sz w:val="24"/>
          <w:szCs w:val="24"/>
          <w:highlight w:val="none"/>
          <w:lang w:val="en-US" w:eastAsia="zh-CN"/>
        </w:rPr>
        <w:t>6、保证金汇入情况说明</w:t>
      </w:r>
      <w:bookmarkEnd w:id="568"/>
      <w:bookmarkEnd w:id="569"/>
      <w:bookmarkEnd w:id="570"/>
      <w:bookmarkEnd w:id="571"/>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（后附招标代理开具的保证金收据</w:t>
      </w:r>
      <w:r>
        <w:rPr>
          <w:rFonts w:hint="eastAsia" w:ascii="仿宋" w:hAnsi="仿宋" w:eastAsia="仿宋" w:cs="仿宋"/>
          <w:b/>
          <w:color w:val="auto"/>
          <w:sz w:val="24"/>
          <w:szCs w:val="24"/>
          <w:highlight w:val="none"/>
          <w:lang w:eastAsia="zh-CN"/>
        </w:rPr>
        <w:t>扫描件或</w:t>
      </w:r>
      <w:r>
        <w:rPr>
          <w:rFonts w:hint="eastAsia" w:ascii="仿宋" w:hAnsi="仿宋" w:eastAsia="仿宋" w:cs="仿宋"/>
          <w:b/>
          <w:color w:val="auto"/>
          <w:sz w:val="24"/>
          <w:szCs w:val="24"/>
          <w:highlight w:val="none"/>
          <w:lang w:val="en-US" w:eastAsia="zh-CN"/>
        </w:rPr>
        <w:t>汇款凭证或</w:t>
      </w:r>
      <w:r>
        <w:rPr>
          <w:rFonts w:hint="eastAsia" w:ascii="仿宋" w:hAnsi="仿宋" w:eastAsia="仿宋" w:cs="仿宋"/>
          <w:b/>
          <w:color w:val="auto"/>
          <w:sz w:val="24"/>
          <w:szCs w:val="24"/>
          <w:highlight w:val="none"/>
          <w:lang w:eastAsia="zh-CN"/>
        </w:rPr>
        <w:t>投标保函扫描件</w:t>
      </w:r>
      <w:r>
        <w:rPr>
          <w:rFonts w:hint="eastAsia" w:ascii="仿宋" w:hAnsi="仿宋" w:eastAsia="仿宋" w:cs="仿宋"/>
          <w:b/>
          <w:color w:val="auto"/>
          <w:sz w:val="24"/>
          <w:szCs w:val="24"/>
          <w:highlight w:val="none"/>
        </w:rPr>
        <w:t>）</w:t>
      </w:r>
    </w:p>
    <w:p>
      <w:pPr>
        <w:spacing w:line="360" w:lineRule="auto"/>
        <w:jc w:val="left"/>
        <w:rPr>
          <w:rFonts w:hint="eastAsia" w:ascii="仿宋" w:hAnsi="仿宋" w:eastAsia="仿宋" w:cs="仿宋"/>
          <w:color w:val="auto"/>
          <w:sz w:val="24"/>
          <w:szCs w:val="24"/>
          <w:highlight w:val="none"/>
        </w:rPr>
      </w:pP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新疆华域建设工程项目管理咨询有限公司</w:t>
      </w:r>
      <w:r>
        <w:rPr>
          <w:rFonts w:hint="eastAsia" w:ascii="仿宋" w:hAnsi="仿宋" w:eastAsia="仿宋" w:cs="仿宋"/>
          <w:color w:val="auto"/>
          <w:sz w:val="24"/>
          <w:szCs w:val="24"/>
          <w:highlight w:val="none"/>
        </w:rPr>
        <w:t>：</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本单位已按</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（项目名称）</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（采购编号：</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要求，于年月日前以</w:t>
      </w:r>
      <w:r>
        <w:rPr>
          <w:rFonts w:hint="eastAsia" w:ascii="仿宋" w:hAnsi="仿宋" w:eastAsia="仿宋" w:cs="仿宋"/>
          <w:color w:val="auto"/>
          <w:sz w:val="24"/>
          <w:szCs w:val="24"/>
          <w:highlight w:val="none"/>
          <w:u w:val="single"/>
        </w:rPr>
        <w:t xml:space="preserve">  （付款形式 ）</w:t>
      </w:r>
      <w:r>
        <w:rPr>
          <w:rFonts w:hint="eastAsia" w:ascii="仿宋" w:hAnsi="仿宋" w:eastAsia="仿宋" w:cs="仿宋"/>
          <w:color w:val="auto"/>
          <w:sz w:val="24"/>
          <w:szCs w:val="24"/>
          <w:highlight w:val="none"/>
        </w:rPr>
        <w:t>方式汇入指定账户（账户名称：,账号,开户银行：。</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投标单位投标保证金的汇款情况：（详见附件一投标保证金进账单）</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汇出时间：年月日：</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汇款金额：（大写）人民币</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元整</w:t>
      </w:r>
    </w:p>
    <w:p>
      <w:pPr>
        <w:spacing w:line="360" w:lineRule="auto"/>
        <w:ind w:firstLine="1680" w:firstLineChars="7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（小写：¥元）</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汇款账户名称：</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（必须是投标时使用的单位名称）</w:t>
      </w:r>
    </w:p>
    <w:p>
      <w:pPr>
        <w:spacing w:line="36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帐号：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u w:val="single"/>
        </w:rPr>
        <w:t>（必须是投标时使用的账号）</w:t>
      </w:r>
    </w:p>
    <w:p>
      <w:pPr>
        <w:spacing w:line="36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rPr>
        <w:t>（银行省市分行/支行）</w:t>
      </w:r>
    </w:p>
    <w:p>
      <w:pPr>
        <w:spacing w:line="36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行 号:</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pStyle w:val="15"/>
        <w:rPr>
          <w:rFonts w:hint="eastAsia" w:ascii="仿宋" w:hAnsi="仿宋" w:eastAsia="仿宋" w:cs="仿宋"/>
          <w:color w:val="auto"/>
          <w:sz w:val="24"/>
          <w:szCs w:val="24"/>
          <w:highlight w:val="none"/>
          <w:u w:val="single"/>
        </w:rPr>
      </w:pP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本单位谨承诺上述资料是正确、真实的，如因上述证明与事实不符导致的一切损失，本单位保证承担赔偿等一切法律责任。</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投标保证金退回时，请按上述资料退回。</w:t>
      </w:r>
    </w:p>
    <w:p>
      <w:pPr>
        <w:spacing w:line="360" w:lineRule="auto"/>
        <w:ind w:firstLine="480" w:firstLineChars="200"/>
        <w:jc w:val="left"/>
        <w:rPr>
          <w:rFonts w:hint="eastAsia" w:ascii="仿宋" w:hAnsi="仿宋" w:eastAsia="仿宋" w:cs="仿宋"/>
          <w:color w:val="auto"/>
          <w:sz w:val="24"/>
          <w:szCs w:val="24"/>
          <w:highlight w:val="none"/>
        </w:rPr>
      </w:pPr>
    </w:p>
    <w:p>
      <w:pPr>
        <w:spacing w:line="360" w:lineRule="auto"/>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（单位公章）</w:t>
      </w:r>
    </w:p>
    <w:p>
      <w:pPr>
        <w:spacing w:line="360" w:lineRule="auto"/>
        <w:ind w:firstLine="5280" w:firstLineChars="2200"/>
        <w:jc w:val="left"/>
        <w:rPr>
          <w:rFonts w:hint="eastAsia" w:ascii="仿宋" w:hAnsi="仿宋" w:eastAsia="仿宋" w:cs="仿宋"/>
          <w:color w:val="auto"/>
          <w:sz w:val="24"/>
          <w:szCs w:val="24"/>
          <w:highlight w:val="none"/>
        </w:rPr>
      </w:pPr>
    </w:p>
    <w:p>
      <w:pPr>
        <w:spacing w:line="360" w:lineRule="auto"/>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年月日</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单位名称：</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单位地址：</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单位电话：</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p>
    <w:p>
      <w:pPr>
        <w:pStyle w:val="24"/>
        <w:spacing w:line="360" w:lineRule="auto"/>
        <w:rPr>
          <w:rFonts w:hint="eastAsia" w:ascii="仿宋" w:hAnsi="仿宋" w:eastAsia="仿宋" w:cs="仿宋"/>
          <w:b/>
          <w:bCs/>
          <w:color w:val="auto"/>
          <w:sz w:val="24"/>
          <w:szCs w:val="24"/>
          <w:highlight w:val="none"/>
        </w:rPr>
      </w:pPr>
    </w:p>
    <w:p>
      <w:pPr>
        <w:pStyle w:val="24"/>
        <w:spacing w:line="360" w:lineRule="auto"/>
        <w:rPr>
          <w:rFonts w:hint="eastAsia" w:ascii="仿宋" w:hAnsi="仿宋" w:eastAsia="仿宋" w:cs="仿宋"/>
          <w:b/>
          <w:bCs/>
          <w:color w:val="auto"/>
          <w:sz w:val="24"/>
          <w:szCs w:val="24"/>
          <w:highlight w:val="none"/>
        </w:rPr>
      </w:pPr>
    </w:p>
    <w:p>
      <w:pPr>
        <w:pStyle w:val="5"/>
        <w:jc w:val="center"/>
        <w:rPr>
          <w:rStyle w:val="38"/>
          <w:rFonts w:hint="eastAsia" w:ascii="仿宋" w:hAnsi="仿宋" w:eastAsia="仿宋" w:cs="仿宋"/>
          <w:b/>
          <w:bCs w:val="0"/>
          <w:color w:val="auto"/>
          <w:sz w:val="24"/>
          <w:szCs w:val="24"/>
          <w:highlight w:val="none"/>
          <w:lang w:val="en-US" w:eastAsia="zh-CN"/>
        </w:rPr>
      </w:pPr>
      <w:bookmarkStart w:id="572" w:name="_Toc8056"/>
      <w:r>
        <w:rPr>
          <w:rStyle w:val="38"/>
          <w:rFonts w:hint="eastAsia" w:ascii="仿宋" w:hAnsi="仿宋" w:eastAsia="仿宋" w:cs="仿宋"/>
          <w:b/>
          <w:bCs w:val="0"/>
          <w:color w:val="auto"/>
          <w:sz w:val="24"/>
          <w:szCs w:val="24"/>
          <w:highlight w:val="none"/>
          <w:lang w:val="en-US" w:eastAsia="zh-CN"/>
        </w:rPr>
        <w:t>7、技术条件响应/偏离表</w:t>
      </w:r>
      <w:bookmarkEnd w:id="572"/>
    </w:p>
    <w:p>
      <w:pPr>
        <w:spacing w:after="156" w:afterLines="50"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rPr>
        <w:t>　　　　　　　　　　</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招标服务要求</w:t>
            </w:r>
          </w:p>
        </w:tc>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投标服务响应</w:t>
            </w:r>
          </w:p>
        </w:tc>
        <w:tc>
          <w:tcPr>
            <w:tcW w:w="170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响应/偏离</w:t>
            </w:r>
          </w:p>
        </w:tc>
        <w:tc>
          <w:tcPr>
            <w:tcW w:w="170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注：与</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要求逐条对应填写。</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投标人代表签字：</w:t>
      </w:r>
      <w:r>
        <w:rPr>
          <w:rFonts w:hint="eastAsia" w:ascii="仿宋" w:hAnsi="仿宋" w:eastAsia="仿宋" w:cs="仿宋"/>
          <w:color w:val="auto"/>
          <w:sz w:val="24"/>
          <w:szCs w:val="24"/>
          <w:highlight w:val="none"/>
          <w:u w:val="single"/>
        </w:rPr>
        <w:t>　　　　　　　　　　　　　　　</w:t>
      </w:r>
    </w:p>
    <w:p>
      <w:pPr>
        <w:pStyle w:val="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jc w:val="center"/>
        <w:rPr>
          <w:rStyle w:val="38"/>
          <w:rFonts w:hint="eastAsia" w:ascii="仿宋" w:hAnsi="仿宋" w:eastAsia="仿宋" w:cs="仿宋"/>
          <w:b/>
          <w:bCs w:val="0"/>
          <w:color w:val="auto"/>
          <w:sz w:val="24"/>
          <w:szCs w:val="24"/>
          <w:highlight w:val="none"/>
          <w:lang w:val="en-US" w:eastAsia="zh-CN"/>
        </w:rPr>
      </w:pPr>
      <w:bookmarkStart w:id="573" w:name="_Toc7233"/>
      <w:r>
        <w:rPr>
          <w:rStyle w:val="38"/>
          <w:rFonts w:hint="eastAsia" w:ascii="仿宋" w:hAnsi="仿宋" w:eastAsia="仿宋" w:cs="仿宋"/>
          <w:b/>
          <w:bCs w:val="0"/>
          <w:color w:val="auto"/>
          <w:sz w:val="24"/>
          <w:szCs w:val="24"/>
          <w:highlight w:val="none"/>
          <w:lang w:val="en-US" w:eastAsia="zh-CN"/>
        </w:rPr>
        <w:t>8、商务条件响应/偏离表</w:t>
      </w:r>
      <w:bookmarkEnd w:id="573"/>
    </w:p>
    <w:p>
      <w:pPr>
        <w:spacing w:after="156" w:afterLines="50"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rPr>
        <w:t>　　　　　　　　　　</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招标服务要求</w:t>
            </w:r>
          </w:p>
        </w:tc>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投标服务响应</w:t>
            </w:r>
          </w:p>
        </w:tc>
        <w:tc>
          <w:tcPr>
            <w:tcW w:w="170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响应/偏离</w:t>
            </w:r>
          </w:p>
        </w:tc>
        <w:tc>
          <w:tcPr>
            <w:tcW w:w="170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注：与</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要求逐条对应填写。</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投标人代表签字：</w:t>
      </w:r>
      <w:r>
        <w:rPr>
          <w:rFonts w:hint="eastAsia" w:ascii="仿宋" w:hAnsi="仿宋" w:eastAsia="仿宋" w:cs="仿宋"/>
          <w:color w:val="auto"/>
          <w:sz w:val="24"/>
          <w:szCs w:val="24"/>
          <w:highlight w:val="none"/>
          <w:u w:val="single"/>
        </w:rPr>
        <w:t>　　　　　　　　　　　　　　　</w:t>
      </w:r>
    </w:p>
    <w:p>
      <w:pPr>
        <w:widowControl/>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widowControl/>
        <w:jc w:val="left"/>
        <w:rPr>
          <w:rFonts w:hint="eastAsia" w:ascii="仿宋" w:hAnsi="仿宋" w:eastAsia="仿宋" w:cs="仿宋"/>
          <w:b/>
          <w:bCs/>
          <w:color w:val="auto"/>
          <w:sz w:val="24"/>
          <w:szCs w:val="24"/>
          <w:highlight w:val="none"/>
        </w:rPr>
      </w:pPr>
    </w:p>
    <w:p>
      <w:pPr>
        <w:pStyle w:val="5"/>
        <w:jc w:val="center"/>
        <w:rPr>
          <w:rStyle w:val="38"/>
          <w:rFonts w:hint="eastAsia" w:ascii="仿宋" w:hAnsi="仿宋" w:eastAsia="仿宋" w:cs="仿宋"/>
          <w:b/>
          <w:bCs w:val="0"/>
          <w:color w:val="auto"/>
          <w:sz w:val="24"/>
          <w:szCs w:val="24"/>
          <w:highlight w:val="none"/>
          <w:lang w:val="en-US" w:eastAsia="zh-CN"/>
        </w:rPr>
      </w:pPr>
      <w:bookmarkStart w:id="574" w:name="_Toc16507"/>
      <w:r>
        <w:rPr>
          <w:rStyle w:val="38"/>
          <w:rFonts w:hint="eastAsia" w:ascii="仿宋" w:hAnsi="仿宋" w:eastAsia="仿宋" w:cs="仿宋"/>
          <w:b/>
          <w:bCs w:val="0"/>
          <w:color w:val="auto"/>
          <w:sz w:val="24"/>
          <w:szCs w:val="24"/>
          <w:highlight w:val="none"/>
          <w:lang w:val="en-US" w:eastAsia="zh-CN"/>
        </w:rPr>
        <w:t>9、投标人法人营业执照的证明材料、相关资质证书副本等材料的复印件以及商务因素、技术因素、服务因素所需证明资料（格式自拟）</w:t>
      </w:r>
      <w:bookmarkEnd w:id="574"/>
    </w:p>
    <w:p>
      <w:pPr>
        <w:pStyle w:val="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jc w:val="center"/>
        <w:rPr>
          <w:rStyle w:val="38"/>
          <w:rFonts w:hint="eastAsia" w:ascii="仿宋" w:hAnsi="仿宋" w:eastAsia="仿宋" w:cs="仿宋"/>
          <w:b/>
          <w:bCs w:val="0"/>
          <w:color w:val="auto"/>
          <w:sz w:val="24"/>
          <w:szCs w:val="24"/>
          <w:highlight w:val="none"/>
          <w:lang w:val="en-US" w:eastAsia="zh-CN"/>
        </w:rPr>
      </w:pPr>
      <w:bookmarkStart w:id="575" w:name="_Toc5499"/>
      <w:r>
        <w:rPr>
          <w:rStyle w:val="38"/>
          <w:rFonts w:hint="eastAsia" w:ascii="仿宋" w:hAnsi="仿宋" w:eastAsia="仿宋" w:cs="仿宋"/>
          <w:b/>
          <w:bCs w:val="0"/>
          <w:color w:val="auto"/>
          <w:sz w:val="24"/>
          <w:szCs w:val="24"/>
          <w:highlight w:val="none"/>
          <w:lang w:val="en-US" w:eastAsia="zh-CN"/>
        </w:rPr>
        <w:t>10、投标人近三年（2020年1月1日至今）类似项目业绩</w:t>
      </w:r>
      <w:bookmarkEnd w:id="575"/>
    </w:p>
    <w:tbl>
      <w:tblPr>
        <w:tblStyle w:val="32"/>
        <w:tblW w:w="10097" w:type="dxa"/>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003"/>
        <w:gridCol w:w="1925"/>
        <w:gridCol w:w="1180"/>
        <w:gridCol w:w="1740"/>
        <w:gridCol w:w="2040"/>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32" w:type="dxa"/>
            <w:vAlign w:val="center"/>
          </w:tcPr>
          <w:p>
            <w:pPr>
              <w:pStyle w:val="24"/>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003" w:type="dxa"/>
            <w:vAlign w:val="center"/>
          </w:tcPr>
          <w:p>
            <w:pPr>
              <w:pStyle w:val="24"/>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925" w:type="dxa"/>
            <w:vAlign w:val="center"/>
          </w:tcPr>
          <w:p>
            <w:pPr>
              <w:pStyle w:val="24"/>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项目内容</w:t>
            </w:r>
          </w:p>
        </w:tc>
        <w:tc>
          <w:tcPr>
            <w:tcW w:w="1180" w:type="dxa"/>
            <w:vAlign w:val="center"/>
          </w:tcPr>
          <w:p>
            <w:pPr>
              <w:pStyle w:val="24"/>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合同总价</w:t>
            </w:r>
          </w:p>
        </w:tc>
        <w:tc>
          <w:tcPr>
            <w:tcW w:w="1740" w:type="dxa"/>
            <w:vAlign w:val="center"/>
          </w:tcPr>
          <w:p>
            <w:pPr>
              <w:pStyle w:val="24"/>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采购服务单位</w:t>
            </w:r>
          </w:p>
        </w:tc>
        <w:tc>
          <w:tcPr>
            <w:tcW w:w="2040" w:type="dxa"/>
            <w:vAlign w:val="center"/>
          </w:tcPr>
          <w:p>
            <w:pPr>
              <w:pStyle w:val="24"/>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医院等级类别</w:t>
            </w:r>
          </w:p>
        </w:tc>
        <w:tc>
          <w:tcPr>
            <w:tcW w:w="677" w:type="dxa"/>
            <w:vAlign w:val="center"/>
          </w:tcPr>
          <w:p>
            <w:pPr>
              <w:pStyle w:val="24"/>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4"/>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4"/>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4"/>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4"/>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4"/>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4"/>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4"/>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4"/>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4"/>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4"/>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4"/>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4"/>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4"/>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4"/>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4"/>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4"/>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4"/>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4"/>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4"/>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4"/>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4"/>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4"/>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4"/>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4"/>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532"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4"/>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4"/>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4"/>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4"/>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4"/>
              <w:spacing w:line="360" w:lineRule="auto"/>
              <w:jc w:val="center"/>
              <w:rPr>
                <w:rFonts w:hint="eastAsia" w:ascii="仿宋" w:hAnsi="仿宋" w:eastAsia="仿宋" w:cs="仿宋"/>
                <w:color w:val="auto"/>
                <w:sz w:val="24"/>
                <w:szCs w:val="24"/>
                <w:highlight w:val="none"/>
              </w:rPr>
            </w:pPr>
          </w:p>
        </w:tc>
      </w:tr>
    </w:tbl>
    <w:p>
      <w:pPr>
        <w:pStyle w:val="24"/>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投标人填写本表的同时，须提供中标通知书</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rPr>
        <w:t>合同等的复印件；投标人填写的内容必须真实可靠，如有虚假或者隐瞒，一经查实投标将被否决</w:t>
      </w:r>
      <w:r>
        <w:rPr>
          <w:rFonts w:hint="eastAsia" w:ascii="仿宋" w:hAnsi="仿宋" w:eastAsia="仿宋" w:cs="仿宋"/>
          <w:color w:val="auto"/>
          <w:sz w:val="24"/>
          <w:szCs w:val="24"/>
          <w:highlight w:val="none"/>
          <w:lang w:eastAsia="zh-CN"/>
        </w:rPr>
        <w:t>。</w:t>
      </w:r>
    </w:p>
    <w:p>
      <w:pPr>
        <w:pStyle w:val="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jc w:val="center"/>
        <w:rPr>
          <w:rStyle w:val="38"/>
          <w:rFonts w:hint="eastAsia" w:ascii="仿宋" w:hAnsi="仿宋" w:eastAsia="仿宋" w:cs="仿宋"/>
          <w:b/>
          <w:bCs w:val="0"/>
          <w:color w:val="auto"/>
          <w:sz w:val="24"/>
          <w:szCs w:val="24"/>
          <w:highlight w:val="none"/>
          <w:lang w:val="en-US" w:eastAsia="zh-CN"/>
        </w:rPr>
      </w:pPr>
      <w:bookmarkStart w:id="576" w:name="_Toc10599_WPSOffice_Level1"/>
      <w:bookmarkStart w:id="577" w:name="_Toc23838"/>
      <w:r>
        <w:rPr>
          <w:rStyle w:val="38"/>
          <w:rFonts w:hint="eastAsia" w:ascii="仿宋" w:hAnsi="仿宋" w:eastAsia="仿宋" w:cs="仿宋"/>
          <w:b/>
          <w:bCs w:val="0"/>
          <w:color w:val="auto"/>
          <w:sz w:val="24"/>
          <w:szCs w:val="24"/>
          <w:highlight w:val="none"/>
          <w:lang w:val="en-US" w:eastAsia="zh-CN"/>
        </w:rPr>
        <w:t>11、项目实施方案、</w:t>
      </w:r>
      <w:bookmarkEnd w:id="576"/>
      <w:r>
        <w:rPr>
          <w:rStyle w:val="38"/>
          <w:rFonts w:hint="eastAsia" w:ascii="仿宋" w:hAnsi="仿宋" w:eastAsia="仿宋" w:cs="仿宋"/>
          <w:b/>
          <w:bCs w:val="0"/>
          <w:color w:val="auto"/>
          <w:sz w:val="24"/>
          <w:szCs w:val="24"/>
          <w:highlight w:val="none"/>
          <w:lang w:val="en-US" w:eastAsia="zh-CN"/>
        </w:rPr>
        <w:t>运维方案、培训方案、承诺等内容</w:t>
      </w:r>
      <w:bookmarkEnd w:id="577"/>
    </w:p>
    <w:p>
      <w:pPr>
        <w:pStyle w:val="5"/>
        <w:jc w:val="center"/>
        <w:rPr>
          <w:rFonts w:hint="eastAsia" w:ascii="仿宋" w:hAnsi="仿宋" w:eastAsia="仿宋" w:cs="仿宋"/>
          <w:b/>
          <w:color w:val="auto"/>
          <w:sz w:val="24"/>
          <w:szCs w:val="24"/>
          <w:highlight w:val="none"/>
        </w:rPr>
      </w:pPr>
      <w:bookmarkStart w:id="578" w:name="_Toc20286"/>
      <w:r>
        <w:rPr>
          <w:rStyle w:val="38"/>
          <w:rFonts w:hint="eastAsia" w:ascii="仿宋" w:hAnsi="仿宋" w:eastAsia="仿宋" w:cs="仿宋"/>
          <w:b/>
          <w:bCs w:val="0"/>
          <w:color w:val="auto"/>
          <w:sz w:val="24"/>
          <w:szCs w:val="24"/>
          <w:highlight w:val="none"/>
          <w:lang w:val="en-US" w:eastAsia="zh-CN"/>
        </w:rPr>
        <w:t>格式自拟</w:t>
      </w:r>
      <w:bookmarkEnd w:id="578"/>
    </w:p>
    <w:p>
      <w:pPr>
        <w:widowControl/>
        <w:jc w:val="left"/>
        <w:rPr>
          <w:rFonts w:hint="eastAsia" w:ascii="仿宋" w:hAnsi="仿宋" w:eastAsia="仿宋" w:cs="仿宋"/>
          <w:b/>
          <w:color w:val="auto"/>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pStyle w:val="19"/>
        <w:rPr>
          <w:rFonts w:hint="eastAsia" w:ascii="仿宋" w:hAnsi="仿宋" w:eastAsia="仿宋" w:cs="仿宋"/>
          <w:color w:val="auto"/>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pStyle w:val="5"/>
        <w:jc w:val="center"/>
        <w:rPr>
          <w:rStyle w:val="38"/>
          <w:rFonts w:hint="eastAsia" w:ascii="仿宋" w:hAnsi="仿宋" w:eastAsia="仿宋" w:cs="仿宋"/>
          <w:b/>
          <w:bCs w:val="0"/>
          <w:color w:val="auto"/>
          <w:sz w:val="24"/>
          <w:szCs w:val="24"/>
          <w:highlight w:val="none"/>
          <w:lang w:val="en-US" w:eastAsia="zh-CN"/>
        </w:rPr>
      </w:pPr>
      <w:bookmarkStart w:id="579" w:name="_Toc1779"/>
      <w:bookmarkStart w:id="580" w:name="_Toc45795252"/>
      <w:r>
        <w:rPr>
          <w:rStyle w:val="38"/>
          <w:rFonts w:hint="eastAsia" w:ascii="仿宋" w:hAnsi="仿宋" w:eastAsia="仿宋" w:cs="仿宋"/>
          <w:b/>
          <w:bCs w:val="0"/>
          <w:color w:val="auto"/>
          <w:sz w:val="24"/>
          <w:szCs w:val="24"/>
          <w:highlight w:val="none"/>
          <w:lang w:val="en-US" w:eastAsia="zh-CN"/>
        </w:rPr>
        <w:t>12、投标人基本情况说明</w:t>
      </w:r>
      <w:bookmarkEnd w:id="579"/>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一、</w:t>
      </w:r>
      <w:r>
        <w:rPr>
          <w:rFonts w:hint="eastAsia" w:ascii="仿宋" w:hAnsi="仿宋" w:eastAsia="仿宋" w:cs="仿宋"/>
          <w:b/>
          <w:bCs/>
          <w:color w:val="auto"/>
          <w:sz w:val="24"/>
          <w:szCs w:val="24"/>
          <w:highlight w:val="none"/>
          <w:lang w:val="en-US" w:eastAsia="zh-CN"/>
        </w:rPr>
        <w:t>公司简介：</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w:t>
      </w:r>
    </w:p>
    <w:p>
      <w:pPr>
        <w:pStyle w:val="19"/>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企业信息一览表</w:t>
      </w:r>
    </w:p>
    <w:tbl>
      <w:tblPr>
        <w:tblStyle w:val="32"/>
        <w:tblW w:w="9682"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1217"/>
        <w:gridCol w:w="1217"/>
        <w:gridCol w:w="1217"/>
        <w:gridCol w:w="1218"/>
        <w:gridCol w:w="1218"/>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投标人名称</w:t>
            </w:r>
          </w:p>
        </w:tc>
        <w:tc>
          <w:tcPr>
            <w:tcW w:w="7946" w:type="dxa"/>
            <w:gridSpan w:val="6"/>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注册地址</w:t>
            </w:r>
          </w:p>
        </w:tc>
        <w:tc>
          <w:tcPr>
            <w:tcW w:w="3651" w:type="dxa"/>
            <w:gridSpan w:val="3"/>
            <w:vAlign w:val="center"/>
          </w:tcPr>
          <w:p>
            <w:pPr>
              <w:pStyle w:val="19"/>
              <w:jc w:val="center"/>
              <w:rPr>
                <w:rFonts w:hint="eastAsia" w:ascii="仿宋" w:hAnsi="仿宋" w:eastAsia="仿宋" w:cs="仿宋"/>
                <w:color w:val="auto"/>
                <w:sz w:val="24"/>
                <w:szCs w:val="24"/>
                <w:highlight w:val="none"/>
                <w:vertAlign w:val="baseline"/>
                <w:lang w:eastAsia="zh-CN"/>
              </w:rPr>
            </w:pPr>
          </w:p>
        </w:tc>
        <w:tc>
          <w:tcPr>
            <w:tcW w:w="1218"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邮政编码</w:t>
            </w:r>
          </w:p>
        </w:tc>
        <w:tc>
          <w:tcPr>
            <w:tcW w:w="3077" w:type="dxa"/>
            <w:gridSpan w:val="2"/>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36" w:type="dxa"/>
            <w:vMerge w:val="restart"/>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联系方式</w:t>
            </w:r>
          </w:p>
        </w:tc>
        <w:tc>
          <w:tcPr>
            <w:tcW w:w="1217"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联系人</w:t>
            </w:r>
          </w:p>
        </w:tc>
        <w:tc>
          <w:tcPr>
            <w:tcW w:w="2434" w:type="dxa"/>
            <w:gridSpan w:val="2"/>
            <w:vAlign w:val="center"/>
          </w:tcPr>
          <w:p>
            <w:pPr>
              <w:pStyle w:val="19"/>
              <w:jc w:val="center"/>
              <w:rPr>
                <w:rFonts w:hint="eastAsia" w:ascii="仿宋" w:hAnsi="仿宋" w:eastAsia="仿宋" w:cs="仿宋"/>
                <w:color w:val="auto"/>
                <w:sz w:val="24"/>
                <w:szCs w:val="24"/>
                <w:highlight w:val="none"/>
                <w:vertAlign w:val="baseline"/>
                <w:lang w:eastAsia="zh-CN"/>
              </w:rPr>
            </w:pPr>
          </w:p>
        </w:tc>
        <w:tc>
          <w:tcPr>
            <w:tcW w:w="1218"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联系电话</w:t>
            </w:r>
          </w:p>
        </w:tc>
        <w:tc>
          <w:tcPr>
            <w:tcW w:w="3077" w:type="dxa"/>
            <w:gridSpan w:val="2"/>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36" w:type="dxa"/>
            <w:vMerge w:val="continue"/>
            <w:vAlign w:val="center"/>
          </w:tcPr>
          <w:p>
            <w:pPr>
              <w:pStyle w:val="19"/>
              <w:jc w:val="center"/>
              <w:rPr>
                <w:rFonts w:hint="eastAsia" w:ascii="仿宋" w:hAnsi="仿宋" w:eastAsia="仿宋" w:cs="仿宋"/>
                <w:color w:val="auto"/>
                <w:sz w:val="24"/>
                <w:szCs w:val="24"/>
                <w:highlight w:val="none"/>
                <w:vertAlign w:val="baseline"/>
                <w:lang w:val="en-US" w:eastAsia="zh-CN"/>
              </w:rPr>
            </w:pPr>
          </w:p>
        </w:tc>
        <w:tc>
          <w:tcPr>
            <w:tcW w:w="1217"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传真</w:t>
            </w:r>
          </w:p>
        </w:tc>
        <w:tc>
          <w:tcPr>
            <w:tcW w:w="2434" w:type="dxa"/>
            <w:gridSpan w:val="2"/>
            <w:vAlign w:val="center"/>
          </w:tcPr>
          <w:p>
            <w:pPr>
              <w:pStyle w:val="19"/>
              <w:jc w:val="center"/>
              <w:rPr>
                <w:rFonts w:hint="eastAsia" w:ascii="仿宋" w:hAnsi="仿宋" w:eastAsia="仿宋" w:cs="仿宋"/>
                <w:color w:val="auto"/>
                <w:sz w:val="24"/>
                <w:szCs w:val="24"/>
                <w:highlight w:val="none"/>
                <w:vertAlign w:val="baseline"/>
                <w:lang w:eastAsia="zh-CN"/>
              </w:rPr>
            </w:pPr>
          </w:p>
        </w:tc>
        <w:tc>
          <w:tcPr>
            <w:tcW w:w="1218"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邮箱</w:t>
            </w:r>
          </w:p>
        </w:tc>
        <w:tc>
          <w:tcPr>
            <w:tcW w:w="3077" w:type="dxa"/>
            <w:gridSpan w:val="2"/>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企业性质</w:t>
            </w:r>
          </w:p>
        </w:tc>
        <w:tc>
          <w:tcPr>
            <w:tcW w:w="7946" w:type="dxa"/>
            <w:gridSpan w:val="6"/>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法定代表人</w:t>
            </w:r>
          </w:p>
        </w:tc>
        <w:tc>
          <w:tcPr>
            <w:tcW w:w="1217"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姓名</w:t>
            </w:r>
          </w:p>
        </w:tc>
        <w:tc>
          <w:tcPr>
            <w:tcW w:w="1217" w:type="dxa"/>
            <w:vAlign w:val="center"/>
          </w:tcPr>
          <w:p>
            <w:pPr>
              <w:pStyle w:val="19"/>
              <w:jc w:val="center"/>
              <w:rPr>
                <w:rFonts w:hint="eastAsia" w:ascii="仿宋" w:hAnsi="仿宋" w:eastAsia="仿宋" w:cs="仿宋"/>
                <w:color w:val="auto"/>
                <w:sz w:val="24"/>
                <w:szCs w:val="24"/>
                <w:highlight w:val="none"/>
                <w:vertAlign w:val="baseline"/>
                <w:lang w:eastAsia="zh-CN"/>
              </w:rPr>
            </w:pPr>
          </w:p>
        </w:tc>
        <w:tc>
          <w:tcPr>
            <w:tcW w:w="1217"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技术职称</w:t>
            </w:r>
          </w:p>
        </w:tc>
        <w:tc>
          <w:tcPr>
            <w:tcW w:w="1218" w:type="dxa"/>
            <w:vAlign w:val="center"/>
          </w:tcPr>
          <w:p>
            <w:pPr>
              <w:pStyle w:val="19"/>
              <w:jc w:val="center"/>
              <w:rPr>
                <w:rFonts w:hint="eastAsia" w:ascii="仿宋" w:hAnsi="仿宋" w:eastAsia="仿宋" w:cs="仿宋"/>
                <w:color w:val="auto"/>
                <w:sz w:val="24"/>
                <w:szCs w:val="24"/>
                <w:highlight w:val="none"/>
                <w:vertAlign w:val="baseline"/>
                <w:lang w:eastAsia="zh-CN"/>
              </w:rPr>
            </w:pPr>
          </w:p>
        </w:tc>
        <w:tc>
          <w:tcPr>
            <w:tcW w:w="1218"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电话</w:t>
            </w:r>
          </w:p>
        </w:tc>
        <w:tc>
          <w:tcPr>
            <w:tcW w:w="1859" w:type="dxa"/>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技术负责人</w:t>
            </w:r>
          </w:p>
        </w:tc>
        <w:tc>
          <w:tcPr>
            <w:tcW w:w="1217" w:type="dxa"/>
            <w:vAlign w:val="center"/>
          </w:tcPr>
          <w:p>
            <w:pPr>
              <w:pStyle w:val="19"/>
              <w:jc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姓名</w:t>
            </w:r>
          </w:p>
        </w:tc>
        <w:tc>
          <w:tcPr>
            <w:tcW w:w="1217" w:type="dxa"/>
            <w:vAlign w:val="center"/>
          </w:tcPr>
          <w:p>
            <w:pPr>
              <w:pStyle w:val="19"/>
              <w:jc w:val="center"/>
              <w:rPr>
                <w:rFonts w:hint="eastAsia" w:ascii="仿宋" w:hAnsi="仿宋" w:eastAsia="仿宋" w:cs="仿宋"/>
                <w:color w:val="auto"/>
                <w:kern w:val="2"/>
                <w:sz w:val="24"/>
                <w:szCs w:val="24"/>
                <w:highlight w:val="none"/>
                <w:vertAlign w:val="baseline"/>
                <w:lang w:val="en-US" w:eastAsia="zh-CN" w:bidi="ar-SA"/>
              </w:rPr>
            </w:pPr>
          </w:p>
        </w:tc>
        <w:tc>
          <w:tcPr>
            <w:tcW w:w="1217" w:type="dxa"/>
            <w:vAlign w:val="center"/>
          </w:tcPr>
          <w:p>
            <w:pPr>
              <w:pStyle w:val="19"/>
              <w:jc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技术职称</w:t>
            </w:r>
          </w:p>
        </w:tc>
        <w:tc>
          <w:tcPr>
            <w:tcW w:w="1218" w:type="dxa"/>
            <w:vAlign w:val="center"/>
          </w:tcPr>
          <w:p>
            <w:pPr>
              <w:pStyle w:val="19"/>
              <w:jc w:val="center"/>
              <w:rPr>
                <w:rFonts w:hint="eastAsia" w:ascii="仿宋" w:hAnsi="仿宋" w:eastAsia="仿宋" w:cs="仿宋"/>
                <w:color w:val="auto"/>
                <w:kern w:val="2"/>
                <w:sz w:val="24"/>
                <w:szCs w:val="24"/>
                <w:highlight w:val="none"/>
                <w:vertAlign w:val="baseline"/>
                <w:lang w:val="en-US" w:eastAsia="zh-CN" w:bidi="ar-SA"/>
              </w:rPr>
            </w:pPr>
          </w:p>
        </w:tc>
        <w:tc>
          <w:tcPr>
            <w:tcW w:w="1218" w:type="dxa"/>
            <w:vAlign w:val="center"/>
          </w:tcPr>
          <w:p>
            <w:pPr>
              <w:pStyle w:val="19"/>
              <w:jc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电话</w:t>
            </w:r>
          </w:p>
        </w:tc>
        <w:tc>
          <w:tcPr>
            <w:tcW w:w="1859" w:type="dxa"/>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成立时间</w:t>
            </w:r>
          </w:p>
        </w:tc>
        <w:tc>
          <w:tcPr>
            <w:tcW w:w="2434" w:type="dxa"/>
            <w:gridSpan w:val="2"/>
            <w:vAlign w:val="center"/>
          </w:tcPr>
          <w:p>
            <w:pPr>
              <w:pStyle w:val="19"/>
              <w:jc w:val="center"/>
              <w:rPr>
                <w:rFonts w:hint="eastAsia" w:ascii="仿宋" w:hAnsi="仿宋" w:eastAsia="仿宋" w:cs="仿宋"/>
                <w:color w:val="auto"/>
                <w:sz w:val="24"/>
                <w:szCs w:val="24"/>
                <w:highlight w:val="none"/>
                <w:vertAlign w:val="baseline"/>
                <w:lang w:eastAsia="zh-CN"/>
              </w:rPr>
            </w:pPr>
          </w:p>
        </w:tc>
        <w:tc>
          <w:tcPr>
            <w:tcW w:w="5512" w:type="dxa"/>
            <w:gridSpan w:val="4"/>
            <w:vAlign w:val="center"/>
          </w:tcPr>
          <w:p>
            <w:pPr>
              <w:pStyle w:val="19"/>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营业执照号</w:t>
            </w:r>
          </w:p>
        </w:tc>
        <w:tc>
          <w:tcPr>
            <w:tcW w:w="7946" w:type="dxa"/>
            <w:gridSpan w:val="6"/>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注册时间</w:t>
            </w:r>
          </w:p>
        </w:tc>
        <w:tc>
          <w:tcPr>
            <w:tcW w:w="7946" w:type="dxa"/>
            <w:gridSpan w:val="6"/>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开户银行</w:t>
            </w:r>
          </w:p>
        </w:tc>
        <w:tc>
          <w:tcPr>
            <w:tcW w:w="7946" w:type="dxa"/>
            <w:gridSpan w:val="6"/>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银行账号</w:t>
            </w:r>
          </w:p>
        </w:tc>
        <w:tc>
          <w:tcPr>
            <w:tcW w:w="7946" w:type="dxa"/>
            <w:gridSpan w:val="6"/>
            <w:vAlign w:val="center"/>
          </w:tcPr>
          <w:p>
            <w:pPr>
              <w:pStyle w:val="19"/>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736" w:type="dxa"/>
            <w:vAlign w:val="center"/>
          </w:tcPr>
          <w:p>
            <w:pPr>
              <w:pStyle w:val="19"/>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经营范围备注</w:t>
            </w:r>
          </w:p>
        </w:tc>
        <w:tc>
          <w:tcPr>
            <w:tcW w:w="7946" w:type="dxa"/>
            <w:gridSpan w:val="6"/>
            <w:vAlign w:val="center"/>
          </w:tcPr>
          <w:p>
            <w:pPr>
              <w:pStyle w:val="19"/>
              <w:jc w:val="center"/>
              <w:rPr>
                <w:rFonts w:hint="eastAsia" w:ascii="仿宋" w:hAnsi="仿宋" w:eastAsia="仿宋" w:cs="仿宋"/>
                <w:color w:val="auto"/>
                <w:sz w:val="24"/>
                <w:szCs w:val="24"/>
                <w:highlight w:val="none"/>
                <w:vertAlign w:val="baseline"/>
                <w:lang w:eastAsia="zh-CN"/>
              </w:rPr>
            </w:pPr>
          </w:p>
        </w:tc>
      </w:tr>
    </w:tbl>
    <w:p>
      <w:pPr>
        <w:spacing w:line="420" w:lineRule="exact"/>
        <w:ind w:right="561"/>
        <w:rPr>
          <w:rFonts w:hint="eastAsia" w:ascii="仿宋" w:hAnsi="仿宋" w:eastAsia="仿宋" w:cs="仿宋"/>
          <w:color w:val="auto"/>
          <w:sz w:val="24"/>
          <w:szCs w:val="24"/>
          <w:highlight w:val="none"/>
        </w:rPr>
      </w:pPr>
    </w:p>
    <w:p>
      <w:pPr>
        <w:spacing w:line="420" w:lineRule="exact"/>
        <w:ind w:right="56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名称（加盖公章）：</w:t>
      </w:r>
    </w:p>
    <w:p>
      <w:pPr>
        <w:spacing w:line="420" w:lineRule="exact"/>
        <w:ind w:right="56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法定代表人或受委托人（签名或盖私章）：</w:t>
      </w:r>
    </w:p>
    <w:p>
      <w:pPr>
        <w:spacing w:line="420" w:lineRule="exact"/>
        <w:ind w:right="56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pStyle w:val="5"/>
        <w:jc w:val="center"/>
        <w:rPr>
          <w:rStyle w:val="38"/>
          <w:rFonts w:hint="eastAsia" w:ascii="仿宋" w:hAnsi="仿宋" w:eastAsia="仿宋" w:cs="仿宋"/>
          <w:b/>
          <w:bCs w:val="0"/>
          <w:color w:val="auto"/>
          <w:sz w:val="24"/>
          <w:szCs w:val="24"/>
          <w:highlight w:val="none"/>
          <w:lang w:val="en-US" w:eastAsia="zh-CN"/>
        </w:rPr>
      </w:pPr>
      <w:bookmarkStart w:id="581" w:name="_Toc14849"/>
      <w:r>
        <w:rPr>
          <w:rStyle w:val="38"/>
          <w:rFonts w:hint="eastAsia" w:ascii="仿宋" w:hAnsi="仿宋" w:eastAsia="仿宋" w:cs="仿宋"/>
          <w:b/>
          <w:bCs w:val="0"/>
          <w:color w:val="auto"/>
          <w:sz w:val="24"/>
          <w:szCs w:val="24"/>
          <w:highlight w:val="none"/>
          <w:lang w:val="en-US" w:eastAsia="zh-CN"/>
        </w:rPr>
        <w:t>13、项目人员配置情况表</w:t>
      </w:r>
      <w:bookmarkEnd w:id="581"/>
    </w:p>
    <w:p>
      <w:pPr>
        <w:pStyle w:val="72"/>
        <w:spacing w:line="420" w:lineRule="exact"/>
        <w:ind w:left="638" w:hanging="696" w:hangingChars="29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项目名称：                                项目编号：                 </w:t>
      </w:r>
    </w:p>
    <w:tbl>
      <w:tblPr>
        <w:tblStyle w:val="31"/>
        <w:tblpPr w:leftFromText="180" w:rightFromText="180" w:vertAnchor="text" w:tblpXSpec="center" w:tblpY="1"/>
        <w:tblOverlap w:val="never"/>
        <w:tblW w:w="89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050"/>
        <w:gridCol w:w="1260"/>
        <w:gridCol w:w="1575"/>
        <w:gridCol w:w="1365"/>
        <w:gridCol w:w="1050"/>
        <w:gridCol w:w="1050"/>
        <w:gridCol w:w="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8" w:type="dxa"/>
            <w:vMerge w:val="restart"/>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050" w:type="dxa"/>
            <w:vMerge w:val="restart"/>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姓名</w:t>
            </w:r>
          </w:p>
        </w:tc>
        <w:tc>
          <w:tcPr>
            <w:tcW w:w="1260" w:type="dxa"/>
            <w:vMerge w:val="restart"/>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职务</w:t>
            </w:r>
          </w:p>
        </w:tc>
        <w:tc>
          <w:tcPr>
            <w:tcW w:w="5040" w:type="dxa"/>
            <w:gridSpan w:val="4"/>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执业或职业资格证明</w:t>
            </w:r>
          </w:p>
        </w:tc>
        <w:tc>
          <w:tcPr>
            <w:tcW w:w="876" w:type="dxa"/>
            <w:vMerge w:val="restart"/>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经验年限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738" w:type="dxa"/>
            <w:vMerge w:val="continue"/>
            <w:noWrap w:val="0"/>
            <w:vAlign w:val="center"/>
          </w:tcPr>
          <w:p>
            <w:pPr>
              <w:jc w:val="center"/>
              <w:rPr>
                <w:rFonts w:hint="eastAsia" w:ascii="仿宋" w:hAnsi="仿宋" w:eastAsia="仿宋" w:cs="仿宋"/>
                <w:b/>
                <w:color w:val="auto"/>
                <w:sz w:val="24"/>
                <w:szCs w:val="24"/>
                <w:highlight w:val="none"/>
              </w:rPr>
            </w:pPr>
          </w:p>
        </w:tc>
        <w:tc>
          <w:tcPr>
            <w:tcW w:w="1050" w:type="dxa"/>
            <w:vMerge w:val="continue"/>
            <w:noWrap w:val="0"/>
            <w:vAlign w:val="center"/>
          </w:tcPr>
          <w:p>
            <w:pPr>
              <w:jc w:val="center"/>
              <w:rPr>
                <w:rFonts w:hint="eastAsia" w:ascii="仿宋" w:hAnsi="仿宋" w:eastAsia="仿宋" w:cs="仿宋"/>
                <w:b/>
                <w:color w:val="auto"/>
                <w:sz w:val="24"/>
                <w:szCs w:val="24"/>
                <w:highlight w:val="none"/>
              </w:rPr>
            </w:pPr>
          </w:p>
        </w:tc>
        <w:tc>
          <w:tcPr>
            <w:tcW w:w="1260" w:type="dxa"/>
            <w:vMerge w:val="continue"/>
            <w:noWrap w:val="0"/>
            <w:vAlign w:val="center"/>
          </w:tcPr>
          <w:p>
            <w:pPr>
              <w:jc w:val="center"/>
              <w:rPr>
                <w:rFonts w:hint="eastAsia" w:ascii="仿宋" w:hAnsi="仿宋" w:eastAsia="仿宋" w:cs="仿宋"/>
                <w:b/>
                <w:color w:val="auto"/>
                <w:sz w:val="24"/>
                <w:szCs w:val="24"/>
                <w:highlight w:val="none"/>
              </w:rPr>
            </w:pPr>
          </w:p>
        </w:tc>
        <w:tc>
          <w:tcPr>
            <w:tcW w:w="1575"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证书名称</w:t>
            </w:r>
          </w:p>
        </w:tc>
        <w:tc>
          <w:tcPr>
            <w:tcW w:w="1365"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证号</w:t>
            </w:r>
          </w:p>
        </w:tc>
        <w:tc>
          <w:tcPr>
            <w:tcW w:w="1050"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级别</w:t>
            </w:r>
          </w:p>
        </w:tc>
        <w:tc>
          <w:tcPr>
            <w:tcW w:w="1050"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专业</w:t>
            </w:r>
          </w:p>
        </w:tc>
        <w:tc>
          <w:tcPr>
            <w:tcW w:w="876" w:type="dxa"/>
            <w:vMerge w:val="continue"/>
            <w:noWrap w:val="0"/>
            <w:vAlign w:val="center"/>
          </w:tcPr>
          <w:p>
            <w:pPr>
              <w:jc w:val="center"/>
              <w:rPr>
                <w:rFonts w:hint="eastAsia" w:ascii="仿宋" w:hAnsi="仿宋" w:eastAsia="仿宋" w:cs="仿宋"/>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bl>
    <w:p>
      <w:pPr>
        <w:numPr>
          <w:ilvl w:val="0"/>
          <w:numId w:val="70"/>
        </w:num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主要人员简历表</w:t>
      </w:r>
    </w:p>
    <w:p>
      <w:pPr>
        <w:pStyle w:val="19"/>
        <w:rPr>
          <w:rFonts w:hint="eastAsia" w:ascii="仿宋" w:hAnsi="仿宋" w:eastAsia="仿宋" w:cs="仿宋"/>
          <w:color w:val="auto"/>
          <w:sz w:val="24"/>
          <w:szCs w:val="24"/>
          <w:highlight w:val="none"/>
        </w:rPr>
      </w:pPr>
    </w:p>
    <w:p>
      <w:pPr>
        <w:numPr>
          <w:ilvl w:val="0"/>
          <w:numId w:val="0"/>
        </w:numPr>
        <w:jc w:val="both"/>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项目名称：                                项目编号：</w:t>
      </w:r>
    </w:p>
    <w:tbl>
      <w:tblPr>
        <w:tblStyle w:val="31"/>
        <w:tblpPr w:leftFromText="180" w:rightFromText="180" w:vertAnchor="text" w:horzAnchor="page" w:tblpX="1572" w:tblpY="412"/>
        <w:tblOverlap w:val="never"/>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425"/>
        <w:gridCol w:w="1354"/>
        <w:gridCol w:w="846"/>
        <w:gridCol w:w="1029"/>
        <w:gridCol w:w="535"/>
        <w:gridCol w:w="15"/>
        <w:gridCol w:w="1463"/>
        <w:gridCol w:w="96"/>
        <w:gridCol w:w="106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053"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2625"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029"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性别</w:t>
            </w:r>
          </w:p>
        </w:tc>
        <w:tc>
          <w:tcPr>
            <w:tcW w:w="2013"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156"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年龄</w:t>
            </w:r>
          </w:p>
        </w:tc>
        <w:tc>
          <w:tcPr>
            <w:tcW w:w="1158"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5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职务</w:t>
            </w:r>
          </w:p>
        </w:tc>
        <w:tc>
          <w:tcPr>
            <w:tcW w:w="262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02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职称</w:t>
            </w:r>
          </w:p>
        </w:tc>
        <w:tc>
          <w:tcPr>
            <w:tcW w:w="2013"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w:t>
            </w:r>
          </w:p>
        </w:tc>
        <w:tc>
          <w:tcPr>
            <w:tcW w:w="1158"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832"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参加工作时间</w:t>
            </w:r>
          </w:p>
        </w:tc>
        <w:tc>
          <w:tcPr>
            <w:tcW w:w="2410"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634"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相关经验年限</w:t>
            </w:r>
          </w:p>
        </w:tc>
        <w:tc>
          <w:tcPr>
            <w:tcW w:w="1158"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2832"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资格证书名称、编号</w:t>
            </w:r>
          </w:p>
        </w:tc>
        <w:tc>
          <w:tcPr>
            <w:tcW w:w="6202" w:type="dxa"/>
            <w:gridSpan w:val="8"/>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034" w:type="dxa"/>
            <w:gridSpan w:val="11"/>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目前在任及以往服务项目情况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78"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tc>
        <w:tc>
          <w:tcPr>
            <w:tcW w:w="220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类似项目名称</w:t>
            </w:r>
          </w:p>
        </w:tc>
        <w:tc>
          <w:tcPr>
            <w:tcW w:w="157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项目规模</w:t>
            </w: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所任职务</w:t>
            </w:r>
          </w:p>
        </w:tc>
        <w:tc>
          <w:tcPr>
            <w:tcW w:w="2218" w:type="dxa"/>
            <w:gridSpan w:val="2"/>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78"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0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7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18" w:type="dxa"/>
            <w:gridSpan w:val="2"/>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78"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0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7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18" w:type="dxa"/>
            <w:gridSpan w:val="2"/>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8" w:type="dxa"/>
            <w:gridSpan w:val="2"/>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00" w:type="dxa"/>
            <w:gridSpan w:val="2"/>
            <w:tcBorders>
              <w:top w:val="single" w:color="auto" w:sz="6" w:space="0"/>
              <w:left w:val="single" w:color="auto" w:sz="6" w:space="0"/>
              <w:bottom w:val="single" w:color="auto" w:sz="12"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79" w:type="dxa"/>
            <w:gridSpan w:val="3"/>
            <w:tcBorders>
              <w:top w:val="single" w:color="auto" w:sz="6" w:space="0"/>
              <w:left w:val="single" w:color="auto" w:sz="6" w:space="0"/>
              <w:bottom w:val="single" w:color="auto" w:sz="12"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59" w:type="dxa"/>
            <w:gridSpan w:val="2"/>
            <w:tcBorders>
              <w:top w:val="single" w:color="auto" w:sz="6" w:space="0"/>
              <w:left w:val="single" w:color="auto" w:sz="6" w:space="0"/>
              <w:bottom w:val="single" w:color="auto" w:sz="12"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18" w:type="dxa"/>
            <w:gridSpan w:val="2"/>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bl>
    <w:p>
      <w:pPr>
        <w:pStyle w:val="72"/>
        <w:spacing w:line="420" w:lineRule="exact"/>
        <w:ind w:left="638" w:hanging="696" w:hangingChars="29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15"/>
        <w:overflowPunct w:val="0"/>
        <w:spacing w:line="520" w:lineRule="atLeas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我方承诺上述材料真实有效且具备履行合同所必需的专业技术能力。 </w:t>
      </w:r>
    </w:p>
    <w:p>
      <w:pPr>
        <w:pStyle w:val="15"/>
        <w:spacing w:after="0" w:line="360" w:lineRule="auto"/>
        <w:rPr>
          <w:rFonts w:hint="eastAsia" w:ascii="仿宋" w:hAnsi="仿宋" w:eastAsia="仿宋" w:cs="仿宋"/>
          <w:color w:val="auto"/>
          <w:sz w:val="24"/>
          <w:szCs w:val="24"/>
          <w:highlight w:val="none"/>
        </w:rPr>
      </w:pPr>
    </w:p>
    <w:p>
      <w:pPr>
        <w:pStyle w:val="15"/>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名称（加盖公章）：</w:t>
      </w:r>
    </w:p>
    <w:p>
      <w:pPr>
        <w:pStyle w:val="15"/>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法定代表人或受委托人（签名或盖私章）：</w:t>
      </w:r>
    </w:p>
    <w:p>
      <w:pPr>
        <w:spacing w:line="48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日       期：</w:t>
      </w:r>
    </w:p>
    <w:p>
      <w:pPr>
        <w:pStyle w:val="5"/>
        <w:jc w:val="center"/>
        <w:rPr>
          <w:rStyle w:val="38"/>
          <w:rFonts w:hint="eastAsia" w:ascii="仿宋" w:hAnsi="仿宋" w:eastAsia="仿宋" w:cs="仿宋"/>
          <w:b/>
          <w:bCs w:val="0"/>
          <w:color w:val="auto"/>
          <w:sz w:val="24"/>
          <w:szCs w:val="24"/>
          <w:highlight w:val="none"/>
          <w:lang w:val="en-US" w:eastAsia="zh-CN"/>
        </w:rPr>
      </w:pPr>
      <w:bookmarkStart w:id="582" w:name="_Toc17664"/>
      <w:r>
        <w:rPr>
          <w:rStyle w:val="38"/>
          <w:rFonts w:hint="eastAsia" w:ascii="仿宋" w:hAnsi="仿宋" w:eastAsia="仿宋" w:cs="仿宋"/>
          <w:b/>
          <w:bCs w:val="0"/>
          <w:color w:val="auto"/>
          <w:sz w:val="24"/>
          <w:szCs w:val="24"/>
          <w:highlight w:val="none"/>
          <w:lang w:val="en-US" w:eastAsia="zh-CN"/>
        </w:rPr>
        <w:t>14、投标人认为需要提供的其他材料说明</w:t>
      </w:r>
      <w:bookmarkEnd w:id="582"/>
    </w:p>
    <w:p>
      <w:pPr>
        <w:pStyle w:val="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附件1、</w:t>
      </w:r>
      <w:r>
        <w:rPr>
          <w:rFonts w:hint="eastAsia" w:ascii="仿宋" w:hAnsi="仿宋" w:eastAsia="仿宋" w:cs="仿宋"/>
          <w:b/>
          <w:color w:val="auto"/>
          <w:sz w:val="24"/>
          <w:szCs w:val="24"/>
          <w:highlight w:val="none"/>
        </w:rPr>
        <w:t xml:space="preserve">在经营活动中没有重大违法记录的书面声明 </w:t>
      </w:r>
    </w:p>
    <w:p>
      <w:pPr>
        <w:pStyle w:val="72"/>
        <w:spacing w:line="360" w:lineRule="atLeast"/>
        <w:ind w:firstLine="494"/>
        <w:rPr>
          <w:rFonts w:hint="eastAsia" w:ascii="仿宋" w:hAnsi="仿宋" w:eastAsia="仿宋" w:cs="仿宋"/>
          <w:color w:val="auto"/>
          <w:sz w:val="24"/>
          <w:szCs w:val="24"/>
          <w:highlight w:val="none"/>
        </w:rPr>
      </w:pPr>
    </w:p>
    <w:p>
      <w:pPr>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新疆华域建设工程项目管理咨询有限公司</w:t>
      </w:r>
      <w:r>
        <w:rPr>
          <w:rFonts w:hint="eastAsia" w:ascii="仿宋" w:hAnsi="仿宋" w:eastAsia="仿宋" w:cs="仿宋"/>
          <w:b/>
          <w:color w:val="auto"/>
          <w:sz w:val="24"/>
          <w:szCs w:val="24"/>
          <w:highlight w:val="none"/>
        </w:rPr>
        <w:t>:</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项目（项目编号：　      　　　）的政府采购活动，并声明：</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我方参加本采购项目政府采购前3年内在经营活动中没有因违法经营受到刑事处罚或者责令停产停业、吊销许可证或者执照、较大数额罚款等行政处罚。</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特此声明！</w:t>
      </w:r>
    </w:p>
    <w:p>
      <w:pPr>
        <w:pStyle w:val="72"/>
        <w:spacing w:line="480" w:lineRule="auto"/>
        <w:ind w:firstLine="494"/>
        <w:rPr>
          <w:rFonts w:hint="eastAsia" w:ascii="仿宋" w:hAnsi="仿宋" w:eastAsia="仿宋" w:cs="仿宋"/>
          <w:color w:val="auto"/>
          <w:sz w:val="24"/>
          <w:szCs w:val="24"/>
          <w:highlight w:val="none"/>
        </w:rPr>
      </w:pPr>
    </w:p>
    <w:p>
      <w:pPr>
        <w:pStyle w:val="72"/>
        <w:spacing w:line="480" w:lineRule="auto"/>
        <w:ind w:firstLine="494"/>
        <w:rPr>
          <w:rFonts w:hint="eastAsia" w:ascii="仿宋" w:hAnsi="仿宋" w:eastAsia="仿宋" w:cs="仿宋"/>
          <w:color w:val="auto"/>
          <w:sz w:val="24"/>
          <w:szCs w:val="24"/>
          <w:highlight w:val="none"/>
        </w:rPr>
      </w:pPr>
    </w:p>
    <w:p>
      <w:pPr>
        <w:pStyle w:val="72"/>
        <w:spacing w:line="480" w:lineRule="auto"/>
        <w:ind w:firstLine="494"/>
        <w:rPr>
          <w:rFonts w:hint="eastAsia" w:ascii="仿宋" w:hAnsi="仿宋" w:eastAsia="仿宋" w:cs="仿宋"/>
          <w:color w:val="auto"/>
          <w:sz w:val="24"/>
          <w:szCs w:val="24"/>
          <w:highlight w:val="none"/>
        </w:rPr>
      </w:pPr>
    </w:p>
    <w:p>
      <w:pPr>
        <w:pStyle w:val="72"/>
        <w:spacing w:line="48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名称（加盖公章）：</w:t>
      </w:r>
    </w:p>
    <w:p>
      <w:pPr>
        <w:pStyle w:val="72"/>
        <w:spacing w:line="48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法定代表人或受委托人（签名或盖私章）：</w:t>
      </w:r>
    </w:p>
    <w:p>
      <w:pPr>
        <w:pStyle w:val="72"/>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pStyle w:val="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adjustRightInd w:val="0"/>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附件2、</w:t>
      </w:r>
      <w:r>
        <w:rPr>
          <w:rFonts w:hint="eastAsia" w:ascii="仿宋" w:hAnsi="仿宋" w:eastAsia="仿宋" w:cs="仿宋"/>
          <w:b/>
          <w:color w:val="auto"/>
          <w:sz w:val="24"/>
          <w:szCs w:val="24"/>
          <w:highlight w:val="none"/>
        </w:rPr>
        <w:t>中小企业声明函</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服务</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（如有）</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本公司（联合体）郑重声明，根据《政府采购促进中小企业发展管理办法》(财库[2020]46号)的规定，本公司（联合体）参加</w:t>
      </w:r>
      <w:r>
        <w:rPr>
          <w:rFonts w:hint="eastAsia" w:ascii="仿宋" w:hAnsi="仿宋" w:eastAsia="仿宋" w:cs="仿宋"/>
          <w:color w:val="auto"/>
          <w:sz w:val="24"/>
          <w:szCs w:val="24"/>
          <w:highlight w:val="none"/>
          <w:u w:val="single"/>
        </w:rPr>
        <w:t>（单位名称）</w:t>
      </w:r>
      <w:r>
        <w:rPr>
          <w:rFonts w:hint="eastAsia" w:ascii="仿宋" w:hAnsi="仿宋" w:eastAsia="仿宋" w:cs="仿宋"/>
          <w:color w:val="auto"/>
          <w:sz w:val="24"/>
          <w:szCs w:val="24"/>
          <w:highlight w:val="none"/>
        </w:rPr>
        <w:t xml:space="preserve"> 的</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rPr>
        <w:t xml:space="preserve">  采购活动，服务全部由符合政策要求的中小企业承接。相关企业（含联合体中的中小企业、签订分包意向协议的中小企业）的具体情况如下</w:t>
      </w:r>
    </w:p>
    <w:p>
      <w:pPr>
        <w:keepNext w:val="0"/>
        <w:keepLines w:val="0"/>
        <w:widowControl w:val="0"/>
        <w:suppressLineNumbers w:val="0"/>
        <w:spacing w:before="0" w:beforeAutospacing="0" w:after="0" w:afterAutospacing="0"/>
        <w:ind w:left="0" w:right="0"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u w:val="single"/>
        </w:rPr>
        <w:t xml:space="preserve">（标的名称）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采购</w:t>
      </w:r>
      <w:r>
        <w:rPr>
          <w:rFonts w:hint="eastAsia" w:ascii="仿宋" w:hAnsi="仿宋" w:eastAsia="仿宋" w:cs="仿宋"/>
          <w:color w:val="auto"/>
          <w:sz w:val="24"/>
          <w:szCs w:val="24"/>
          <w:highlight w:val="none"/>
          <w:u w:val="single"/>
          <w:lang w:eastAsia="zh-CN"/>
        </w:rPr>
        <w:t>文件</w:t>
      </w:r>
      <w:r>
        <w:rPr>
          <w:rFonts w:hint="eastAsia" w:ascii="仿宋" w:hAnsi="仿宋" w:eastAsia="仿宋" w:cs="仿宋"/>
          <w:color w:val="auto"/>
          <w:sz w:val="24"/>
          <w:szCs w:val="24"/>
          <w:highlight w:val="none"/>
          <w:u w:val="single"/>
        </w:rPr>
        <w:t>中明确的所属行业）</w:t>
      </w:r>
      <w:r>
        <w:rPr>
          <w:rFonts w:hint="eastAsia" w:ascii="仿宋" w:hAnsi="仿宋" w:eastAsia="仿宋" w:cs="仿宋"/>
          <w:color w:val="auto"/>
          <w:sz w:val="24"/>
          <w:szCs w:val="24"/>
          <w:highlight w:val="none"/>
        </w:rPr>
        <w:t>行业 ；</w:t>
      </w:r>
      <w:r>
        <w:rPr>
          <w:rFonts w:hint="eastAsia" w:ascii="仿宋" w:hAnsi="仿宋" w:eastAsia="仿宋" w:cs="仿宋"/>
          <w:color w:val="auto"/>
          <w:sz w:val="24"/>
          <w:szCs w:val="24"/>
          <w:highlight w:val="none"/>
          <w:lang w:val="en-US" w:eastAsia="zh-CN"/>
        </w:rPr>
        <w:t>承建（承接）企业</w:t>
      </w:r>
      <w:r>
        <w:rPr>
          <w:rFonts w:hint="eastAsia" w:ascii="仿宋" w:hAnsi="仿宋" w:eastAsia="仿宋" w:cs="仿宋"/>
          <w:color w:val="auto"/>
          <w:sz w:val="24"/>
          <w:szCs w:val="24"/>
          <w:highlight w:val="none"/>
        </w:rPr>
        <w:t>为</w:t>
      </w:r>
      <w:r>
        <w:rPr>
          <w:rFonts w:hint="eastAsia" w:ascii="仿宋" w:hAnsi="仿宋" w:eastAsia="仿宋" w:cs="仿宋"/>
          <w:color w:val="auto"/>
          <w:sz w:val="24"/>
          <w:szCs w:val="24"/>
          <w:highlight w:val="none"/>
          <w:u w:val="single"/>
        </w:rPr>
        <w:t xml:space="preserve"> （企业名称）</w:t>
      </w:r>
      <w:r>
        <w:rPr>
          <w:rFonts w:hint="eastAsia" w:ascii="仿宋" w:hAnsi="仿宋" w:eastAsia="仿宋" w:cs="仿宋"/>
          <w:color w:val="auto"/>
          <w:sz w:val="24"/>
          <w:szCs w:val="24"/>
          <w:highlight w:val="none"/>
        </w:rPr>
        <w:t xml:space="preserve"> ，从业人员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w:t>
      </w:r>
      <w:r>
        <w:rPr>
          <w:rFonts w:hint="eastAsia" w:ascii="仿宋" w:hAnsi="仿宋" w:eastAsia="仿宋" w:cs="仿宋"/>
          <w:kern w:val="2"/>
          <w:sz w:val="24"/>
          <w:szCs w:val="24"/>
          <w:vertAlign w:val="superscript"/>
          <w:lang w:val="en-US" w:eastAsia="zh-CN" w:bidi="ar"/>
        </w:rPr>
        <w:t>1</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（中型企业、小型企业、微型企业）</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u w:val="single"/>
        </w:rPr>
        <w:t xml:space="preserve">（标的名称）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采购</w:t>
      </w:r>
      <w:r>
        <w:rPr>
          <w:rFonts w:hint="eastAsia" w:ascii="仿宋" w:hAnsi="仿宋" w:eastAsia="仿宋" w:cs="仿宋"/>
          <w:color w:val="auto"/>
          <w:sz w:val="24"/>
          <w:szCs w:val="24"/>
          <w:highlight w:val="none"/>
          <w:u w:val="single"/>
          <w:lang w:eastAsia="zh-CN"/>
        </w:rPr>
        <w:t>文件</w:t>
      </w:r>
      <w:r>
        <w:rPr>
          <w:rFonts w:hint="eastAsia" w:ascii="仿宋" w:hAnsi="仿宋" w:eastAsia="仿宋" w:cs="仿宋"/>
          <w:color w:val="auto"/>
          <w:sz w:val="24"/>
          <w:szCs w:val="24"/>
          <w:highlight w:val="none"/>
          <w:u w:val="single"/>
        </w:rPr>
        <w:t>中明确的所属行业）</w:t>
      </w:r>
      <w:r>
        <w:rPr>
          <w:rFonts w:hint="eastAsia" w:ascii="仿宋" w:hAnsi="仿宋" w:eastAsia="仿宋" w:cs="仿宋"/>
          <w:color w:val="auto"/>
          <w:sz w:val="24"/>
          <w:szCs w:val="24"/>
          <w:highlight w:val="none"/>
        </w:rPr>
        <w:t>行业 ；承建（承接）企业为为</w:t>
      </w:r>
      <w:r>
        <w:rPr>
          <w:rFonts w:hint="eastAsia" w:ascii="仿宋" w:hAnsi="仿宋" w:eastAsia="仿宋" w:cs="仿宋"/>
          <w:color w:val="auto"/>
          <w:sz w:val="24"/>
          <w:szCs w:val="24"/>
          <w:highlight w:val="none"/>
          <w:u w:val="single"/>
        </w:rPr>
        <w:t xml:space="preserve"> （企业名称）</w:t>
      </w:r>
      <w:r>
        <w:rPr>
          <w:rFonts w:hint="eastAsia" w:ascii="仿宋" w:hAnsi="仿宋" w:eastAsia="仿宋" w:cs="仿宋"/>
          <w:color w:val="auto"/>
          <w:sz w:val="24"/>
          <w:szCs w:val="24"/>
          <w:highlight w:val="none"/>
        </w:rPr>
        <w:t xml:space="preserve"> ，从业人员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 ，属于</w:t>
      </w:r>
      <w:r>
        <w:rPr>
          <w:rFonts w:hint="eastAsia" w:ascii="仿宋" w:hAnsi="仿宋" w:eastAsia="仿宋" w:cs="仿宋"/>
          <w:color w:val="auto"/>
          <w:sz w:val="24"/>
          <w:szCs w:val="24"/>
          <w:highlight w:val="none"/>
          <w:u w:val="single"/>
        </w:rPr>
        <w:t xml:space="preserve"> （中型企业、小型企业、微型企业）</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以上企业，不属于大企业的分支机构，不存在控股股东为大企业的情况，也不存在与大企业的负责人为同一人的情况。</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spacing w:line="360" w:lineRule="auto"/>
        <w:ind w:firstLine="3523" w:firstLineChars="1468"/>
        <w:rPr>
          <w:rFonts w:hint="eastAsia" w:ascii="仿宋" w:hAnsi="仿宋" w:eastAsia="仿宋" w:cs="仿宋"/>
          <w:color w:val="auto"/>
          <w:sz w:val="24"/>
          <w:szCs w:val="24"/>
          <w:highlight w:val="none"/>
        </w:rPr>
      </w:pPr>
    </w:p>
    <w:p>
      <w:pPr>
        <w:spacing w:line="360" w:lineRule="auto"/>
        <w:ind w:firstLine="3523" w:firstLineChars="146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投标单位名称（盖章）：</w:t>
      </w:r>
    </w:p>
    <w:p>
      <w:pPr>
        <w:spacing w:line="360" w:lineRule="auto"/>
        <w:ind w:firstLine="3523" w:firstLineChars="146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p>
    <w:p>
      <w:pPr>
        <w:spacing w:line="360" w:lineRule="auto"/>
        <w:ind w:firstLine="480" w:firstLineChars="200"/>
        <w:rPr>
          <w:rFonts w:hint="eastAsia" w:ascii="仿宋" w:hAnsi="仿宋" w:eastAsia="仿宋" w:cs="仿宋"/>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pStyle w:val="66"/>
        <w:spacing w:line="360" w:lineRule="auto"/>
        <w:ind w:firstLine="0" w:firstLineChars="0"/>
        <w:rPr>
          <w:rFonts w:hint="eastAsia" w:ascii="仿宋" w:hAnsi="仿宋" w:eastAsia="仿宋" w:cs="仿宋"/>
          <w:b/>
          <w:color w:val="auto"/>
          <w:sz w:val="24"/>
          <w:szCs w:val="24"/>
          <w:highlight w:val="none"/>
        </w:rPr>
      </w:pPr>
    </w:p>
    <w:p>
      <w:pPr>
        <w:jc w:val="center"/>
        <w:rPr>
          <w:rFonts w:hint="eastAsia" w:ascii="仿宋" w:hAnsi="仿宋" w:eastAsia="仿宋" w:cs="仿宋"/>
          <w:b/>
          <w:color w:val="auto"/>
          <w:sz w:val="24"/>
          <w:szCs w:val="24"/>
          <w:highlight w:val="none"/>
        </w:rPr>
      </w:pPr>
    </w:p>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附件3、</w:t>
      </w:r>
      <w:r>
        <w:rPr>
          <w:rFonts w:hint="eastAsia" w:ascii="仿宋" w:hAnsi="仿宋" w:eastAsia="仿宋" w:cs="仿宋"/>
          <w:b/>
          <w:color w:val="auto"/>
          <w:sz w:val="24"/>
          <w:szCs w:val="24"/>
          <w:highlight w:val="none"/>
        </w:rPr>
        <w:t>残疾人福利性单位声明函</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如有</w:t>
      </w:r>
      <w:r>
        <w:rPr>
          <w:rFonts w:hint="eastAsia" w:ascii="仿宋" w:hAnsi="仿宋" w:eastAsia="仿宋" w:cs="仿宋"/>
          <w:b/>
          <w:color w:val="auto"/>
          <w:sz w:val="24"/>
          <w:szCs w:val="24"/>
          <w:highlight w:val="none"/>
          <w:lang w:eastAsia="zh-CN"/>
        </w:rPr>
        <w:t>）</w:t>
      </w:r>
    </w:p>
    <w:p>
      <w:pPr>
        <w:spacing w:line="420" w:lineRule="atLeast"/>
        <w:ind w:firstLine="480" w:firstLineChars="200"/>
        <w:rPr>
          <w:rFonts w:hint="eastAsia" w:ascii="仿宋" w:hAnsi="仿宋" w:eastAsia="仿宋" w:cs="仿宋"/>
          <w:color w:val="auto"/>
          <w:sz w:val="24"/>
          <w:szCs w:val="24"/>
          <w:highlight w:val="none"/>
        </w:rPr>
      </w:pPr>
    </w:p>
    <w:p>
      <w:pPr>
        <w:spacing w:line="42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szCs w:val="24"/>
          <w:highlight w:val="none"/>
          <w:u w:val="single"/>
        </w:rPr>
        <w:t>____                __</w:t>
      </w:r>
      <w:r>
        <w:rPr>
          <w:rFonts w:hint="eastAsia" w:ascii="仿宋" w:hAnsi="仿宋" w:eastAsia="仿宋" w:cs="仿宋"/>
          <w:color w:val="auto"/>
          <w:sz w:val="24"/>
          <w:szCs w:val="24"/>
          <w:highlight w:val="none"/>
        </w:rPr>
        <w:t>单位的__                    ____项目采购活动提供本单位制造的货物（由本单位承担工程/提供服务），或者提供其他残疾人福利性单位制造的货物（不包括使用非残疾人福利性单位注册商标的货物）。</w:t>
      </w:r>
    </w:p>
    <w:p>
      <w:pPr>
        <w:spacing w:line="42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480" w:lineRule="auto"/>
        <w:rPr>
          <w:rFonts w:hint="eastAsia" w:ascii="仿宋" w:hAnsi="仿宋" w:eastAsia="仿宋" w:cs="仿宋"/>
          <w:b/>
          <w:color w:val="auto"/>
          <w:sz w:val="24"/>
          <w:szCs w:val="24"/>
          <w:highlight w:val="none"/>
        </w:rPr>
      </w:pPr>
    </w:p>
    <w:p>
      <w:pPr>
        <w:tabs>
          <w:tab w:val="left" w:pos="465"/>
          <w:tab w:val="left" w:pos="780"/>
        </w:tabs>
        <w:spacing w:line="42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注：此函随同价格文件和技术商务文件一起装订，非残疾人福利性单位投标时</w:t>
      </w:r>
      <w:r>
        <w:rPr>
          <w:rFonts w:hint="eastAsia" w:ascii="仿宋" w:hAnsi="仿宋" w:eastAsia="仿宋" w:cs="仿宋"/>
          <w:b/>
          <w:color w:val="auto"/>
          <w:sz w:val="24"/>
          <w:szCs w:val="24"/>
          <w:highlight w:val="none"/>
        </w:rPr>
        <w:t>不需要提供此声明函。</w:t>
      </w:r>
    </w:p>
    <w:p>
      <w:pPr>
        <w:spacing w:line="480" w:lineRule="auto"/>
        <w:rPr>
          <w:rFonts w:hint="eastAsia" w:ascii="仿宋" w:hAnsi="仿宋" w:eastAsia="仿宋" w:cs="仿宋"/>
          <w:b/>
          <w:color w:val="auto"/>
          <w:sz w:val="24"/>
          <w:szCs w:val="24"/>
          <w:highlight w:val="none"/>
        </w:rPr>
      </w:pPr>
    </w:p>
    <w:p>
      <w:pPr>
        <w:spacing w:line="480" w:lineRule="auto"/>
        <w:rPr>
          <w:rFonts w:hint="eastAsia" w:ascii="仿宋" w:hAnsi="仿宋" w:eastAsia="仿宋" w:cs="仿宋"/>
          <w:b/>
          <w:color w:val="auto"/>
          <w:sz w:val="24"/>
          <w:szCs w:val="24"/>
          <w:highlight w:val="none"/>
        </w:rPr>
      </w:pPr>
    </w:p>
    <w:p>
      <w:pPr>
        <w:pStyle w:val="15"/>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名称（加盖公章）：</w:t>
      </w:r>
    </w:p>
    <w:p>
      <w:pPr>
        <w:pStyle w:val="15"/>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法定代表人或受委托人（签名或盖私章）：</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jc w:val="center"/>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lang w:val="en-US" w:eastAsia="zh-CN"/>
        </w:rPr>
      </w:pPr>
    </w:p>
    <w:p>
      <w:pPr>
        <w:pStyle w:val="39"/>
        <w:rPr>
          <w:rFonts w:hint="eastAsia" w:ascii="仿宋" w:hAnsi="仿宋" w:eastAsia="仿宋" w:cs="仿宋"/>
          <w:b/>
          <w:color w:val="auto"/>
          <w:sz w:val="24"/>
          <w:szCs w:val="24"/>
          <w:highlight w:val="none"/>
          <w:lang w:val="en-US" w:eastAsia="zh-CN"/>
        </w:rPr>
      </w:pPr>
    </w:p>
    <w:p>
      <w:pPr>
        <w:pStyle w:val="39"/>
        <w:rPr>
          <w:rFonts w:hint="eastAsia" w:ascii="仿宋" w:hAnsi="仿宋" w:eastAsia="仿宋" w:cs="仿宋"/>
          <w:b/>
          <w:color w:val="auto"/>
          <w:sz w:val="24"/>
          <w:szCs w:val="24"/>
          <w:highlight w:val="none"/>
          <w:lang w:val="en-US" w:eastAsia="zh-CN"/>
        </w:rPr>
      </w:pPr>
    </w:p>
    <w:p>
      <w:pPr>
        <w:pStyle w:val="39"/>
        <w:rPr>
          <w:rFonts w:hint="eastAsia" w:ascii="仿宋" w:hAnsi="仿宋" w:eastAsia="仿宋" w:cs="仿宋"/>
          <w:b/>
          <w:color w:val="auto"/>
          <w:sz w:val="24"/>
          <w:szCs w:val="24"/>
          <w:highlight w:val="none"/>
          <w:lang w:val="en-US" w:eastAsia="zh-CN"/>
        </w:rPr>
      </w:pPr>
    </w:p>
    <w:p>
      <w:pPr>
        <w:pStyle w:val="39"/>
        <w:rPr>
          <w:rFonts w:hint="eastAsia" w:ascii="仿宋" w:hAnsi="仿宋" w:eastAsia="仿宋" w:cs="仿宋"/>
          <w:b/>
          <w:color w:val="auto"/>
          <w:sz w:val="24"/>
          <w:szCs w:val="24"/>
          <w:highlight w:val="none"/>
          <w:lang w:val="en-US" w:eastAsia="zh-CN"/>
        </w:rPr>
      </w:pPr>
    </w:p>
    <w:p>
      <w:pPr>
        <w:pStyle w:val="39"/>
        <w:rPr>
          <w:rFonts w:hint="eastAsia" w:ascii="仿宋" w:hAnsi="仿宋" w:eastAsia="仿宋" w:cs="仿宋"/>
          <w:b/>
          <w:color w:val="auto"/>
          <w:sz w:val="24"/>
          <w:szCs w:val="24"/>
          <w:highlight w:val="none"/>
          <w:lang w:val="en-US" w:eastAsia="zh-CN"/>
        </w:rPr>
      </w:pPr>
    </w:p>
    <w:p>
      <w:pPr>
        <w:pStyle w:val="39"/>
        <w:rPr>
          <w:rFonts w:hint="eastAsia" w:ascii="仿宋" w:hAnsi="仿宋" w:eastAsia="仿宋" w:cs="仿宋"/>
          <w:b/>
          <w:color w:val="auto"/>
          <w:sz w:val="24"/>
          <w:szCs w:val="24"/>
          <w:highlight w:val="none"/>
          <w:lang w:val="en-US" w:eastAsia="zh-CN"/>
        </w:rPr>
      </w:pPr>
    </w:p>
    <w:p>
      <w:pPr>
        <w:pStyle w:val="39"/>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附件4</w:t>
      </w:r>
      <w:r>
        <w:rPr>
          <w:rFonts w:hint="eastAsia" w:ascii="仿宋" w:hAnsi="仿宋" w:eastAsia="仿宋" w:cs="仿宋"/>
          <w:b/>
          <w:color w:val="auto"/>
          <w:sz w:val="24"/>
          <w:szCs w:val="24"/>
          <w:highlight w:val="none"/>
        </w:rPr>
        <w:t>省级以上监狱管理局、戒毒管理局（含新疆生产建设兵团）出具的属于监狱企业证明文件（格式自拟）</w:t>
      </w: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rPr>
          <w:rFonts w:hint="eastAsia"/>
        </w:rPr>
      </w:pPr>
    </w:p>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bookmarkEnd w:id="580"/>
    <w:p>
      <w:pPr>
        <w:pStyle w:val="4"/>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bookmarkStart w:id="583" w:name="_Toc24440"/>
      <w:bookmarkStart w:id="584" w:name="_Toc45795253"/>
      <w:bookmarkStart w:id="585" w:name="_Toc9700"/>
      <w:r>
        <w:rPr>
          <w:rFonts w:hint="eastAsia" w:ascii="仿宋" w:hAnsi="仿宋" w:eastAsia="仿宋" w:cs="仿宋"/>
          <w:color w:val="auto"/>
          <w:sz w:val="24"/>
          <w:szCs w:val="24"/>
          <w:highlight w:val="none"/>
        </w:rPr>
        <w:t xml:space="preserve">附表1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初步评审标准表</w:t>
      </w:r>
      <w:bookmarkEnd w:id="583"/>
    </w:p>
    <w:tbl>
      <w:tblPr>
        <w:tblStyle w:val="31"/>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472"/>
        <w:gridCol w:w="6889"/>
        <w:gridCol w:w="79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517" w:type="dxa"/>
            <w:vMerge w:val="restart"/>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472" w:type="dxa"/>
            <w:vMerge w:val="restart"/>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889" w:type="dxa"/>
            <w:vMerge w:val="restart"/>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评审内容</w:t>
            </w:r>
          </w:p>
        </w:tc>
        <w:tc>
          <w:tcPr>
            <w:tcW w:w="1681" w:type="dxa"/>
            <w:gridSpan w:val="2"/>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p>
        </w:tc>
        <w:tc>
          <w:tcPr>
            <w:tcW w:w="472" w:type="dxa"/>
            <w:vMerge w:val="continue"/>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p>
        </w:tc>
        <w:tc>
          <w:tcPr>
            <w:tcW w:w="6889" w:type="dxa"/>
            <w:vMerge w:val="continue"/>
            <w:vAlign w:val="center"/>
          </w:tcPr>
          <w:p>
            <w:pPr>
              <w:keepNext w:val="0"/>
              <w:keepLines w:val="0"/>
              <w:pageBreakBefore w:val="0"/>
              <w:widowControl w:val="0"/>
              <w:kinsoku/>
              <w:overflowPunct/>
              <w:topLinePunct w:val="0"/>
              <w:autoSpaceDE w:val="0"/>
              <w:autoSpaceDN w:val="0"/>
              <w:bidi w:val="0"/>
              <w:adjustRightInd/>
              <w:snapToGrid/>
              <w:spacing w:line="240" w:lineRule="exact"/>
              <w:textAlignment w:val="auto"/>
              <w:rPr>
                <w:rFonts w:hint="eastAsia" w:ascii="仿宋" w:hAnsi="仿宋" w:eastAsia="仿宋" w:cs="仿宋"/>
                <w:color w:val="auto"/>
                <w:sz w:val="24"/>
                <w:szCs w:val="24"/>
                <w:highlight w:val="none"/>
              </w:rPr>
            </w:pPr>
          </w:p>
        </w:tc>
        <w:tc>
          <w:tcPr>
            <w:tcW w:w="799" w:type="dxa"/>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w:t>
            </w:r>
          </w:p>
        </w:tc>
        <w:tc>
          <w:tcPr>
            <w:tcW w:w="882" w:type="dxa"/>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517" w:type="dxa"/>
            <w:vMerge w:val="restart"/>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资格审查</w:t>
            </w: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投标人为企业法人应提供合法有效的标识有统一社会信用代码的营业执照；事业法人应提供事业单位法人证书；其他组织应提供合法登记证明文件；</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889" w:type="dxa"/>
            <w:vAlign w:val="center"/>
          </w:tcPr>
          <w:p>
            <w:pPr>
              <w:pStyle w:val="28"/>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法定代表人（负责人）参加提供法定代表人（负责人）身份证明书及身份证（授权委托人参加提供法定代表人（负责人）授权委托书及被委托人身份证）；</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889" w:type="dxa"/>
            <w:vAlign w:val="bottom"/>
          </w:tcPr>
          <w:p>
            <w:pPr>
              <w:spacing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6889" w:type="dxa"/>
            <w:vAlign w:val="center"/>
          </w:tcPr>
          <w:p>
            <w:pPr>
              <w:pStyle w:val="28"/>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投标人提供近半年内已缴存的至少一个月的社会保障资金缴存单据或社保机构开具的社会保险参保缴费情况证明，依法不需要缴纳社会保障资金的投标人应提供相关文件证明；</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889" w:type="dxa"/>
            <w:vAlign w:val="center"/>
          </w:tcPr>
          <w:p>
            <w:pPr>
              <w:pStyle w:val="28"/>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投标人提供2022年的财务审计报告（成立时间至提交投标文件截止时间不足一年的可提供成立后任意时段的资产负债表），或其开标前三个月内基本存款账户开户银行出具的资信证明及基本存款账户开户证明；</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889" w:type="dxa"/>
            <w:vAlign w:val="center"/>
          </w:tcPr>
          <w:p>
            <w:pPr>
              <w:pStyle w:val="28"/>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投标人提供近半年内已缴纳的至少一个月的纳税证明或完税证明，纳税证明或完税证明上应有代收机构或税务机关的公章，依法免税的投标人应提供相关文件证明；</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6889" w:type="dxa"/>
            <w:vAlign w:val="center"/>
          </w:tcPr>
          <w:p>
            <w:pPr>
              <w:pStyle w:val="28"/>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投标人应具备良好的商业信誉，提供参加政府采购活动前3年内在经营活动中没有重大违法记录的书面声明；</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17" w:type="dxa"/>
            <w:vMerge w:val="continue"/>
            <w:vAlign w:val="center"/>
          </w:tcPr>
          <w:p>
            <w:pPr>
              <w:autoSpaceDE w:val="0"/>
              <w:autoSpaceDN w:val="0"/>
              <w:spacing w:line="340" w:lineRule="exact"/>
              <w:jc w:val="center"/>
              <w:rPr>
                <w:rFonts w:hint="eastAsia" w:ascii="仿宋" w:hAnsi="仿宋" w:eastAsia="仿宋" w:cs="仿宋"/>
                <w:color w:val="auto"/>
                <w:sz w:val="24"/>
                <w:szCs w:val="24"/>
                <w:highlight w:val="none"/>
              </w:rPr>
            </w:pPr>
          </w:p>
        </w:tc>
        <w:tc>
          <w:tcPr>
            <w:tcW w:w="472" w:type="dxa"/>
            <w:vAlign w:val="center"/>
          </w:tcPr>
          <w:p>
            <w:pPr>
              <w:spacing w:line="3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6889" w:type="dxa"/>
            <w:vAlign w:val="center"/>
          </w:tcPr>
          <w:p>
            <w:pPr>
              <w:pStyle w:val="28"/>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保证金汇款凭证或保函；</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517" w:type="dxa"/>
            <w:vMerge w:val="restart"/>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w:t>
            </w:r>
          </w:p>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w:t>
            </w: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投标文件是否有投标单位法定代表人或其委托代理人（签字或签章）和加盖了投标单位的盖章，投标文件的装订是否符合</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517" w:type="dxa"/>
            <w:vMerge w:val="continue"/>
            <w:vAlign w:val="center"/>
          </w:tcPr>
          <w:p>
            <w:pPr>
              <w:widowControl/>
              <w:spacing w:line="340" w:lineRule="exact"/>
              <w:jc w:val="left"/>
              <w:rPr>
                <w:rFonts w:hint="eastAsia" w:ascii="仿宋" w:hAnsi="仿宋" w:eastAsia="仿宋" w:cs="仿宋"/>
                <w:color w:val="auto"/>
                <w:sz w:val="24"/>
                <w:szCs w:val="24"/>
                <w:highlight w:val="none"/>
              </w:rPr>
            </w:pP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是否对同一招标项目做出两个以上报价而未明确效力；</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517" w:type="dxa"/>
            <w:vMerge w:val="continue"/>
            <w:vAlign w:val="center"/>
          </w:tcPr>
          <w:p>
            <w:pPr>
              <w:widowControl/>
              <w:spacing w:line="340" w:lineRule="exact"/>
              <w:jc w:val="left"/>
              <w:rPr>
                <w:rFonts w:hint="eastAsia" w:ascii="仿宋" w:hAnsi="仿宋" w:eastAsia="仿宋" w:cs="仿宋"/>
                <w:color w:val="auto"/>
                <w:sz w:val="24"/>
                <w:szCs w:val="24"/>
                <w:highlight w:val="none"/>
              </w:rPr>
            </w:pP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服务期限是否符合</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17" w:type="dxa"/>
            <w:vMerge w:val="continue"/>
            <w:vAlign w:val="center"/>
          </w:tcPr>
          <w:p>
            <w:pPr>
              <w:widowControl/>
              <w:spacing w:line="340" w:lineRule="exact"/>
              <w:jc w:val="left"/>
              <w:rPr>
                <w:rFonts w:hint="eastAsia" w:ascii="仿宋" w:hAnsi="仿宋" w:eastAsia="仿宋" w:cs="仿宋"/>
                <w:color w:val="auto"/>
                <w:sz w:val="24"/>
                <w:szCs w:val="24"/>
                <w:highlight w:val="none"/>
              </w:rPr>
            </w:pP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投标人投标总价是否超出</w:t>
            </w:r>
            <w:r>
              <w:rPr>
                <w:rFonts w:hint="eastAsia" w:ascii="仿宋" w:hAnsi="仿宋" w:eastAsia="仿宋" w:cs="仿宋"/>
                <w:color w:val="auto"/>
                <w:sz w:val="24"/>
                <w:szCs w:val="24"/>
                <w:highlight w:val="none"/>
                <w:lang w:val="en-US" w:eastAsia="zh-CN"/>
              </w:rPr>
              <w:t>最高限价</w:t>
            </w:r>
            <w:r>
              <w:rPr>
                <w:rFonts w:hint="eastAsia" w:ascii="仿宋" w:hAnsi="仿宋" w:eastAsia="仿宋" w:cs="仿宋"/>
                <w:color w:val="auto"/>
                <w:sz w:val="24"/>
                <w:szCs w:val="24"/>
                <w:highlight w:val="none"/>
              </w:rPr>
              <w:t>；</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517" w:type="dxa"/>
            <w:vMerge w:val="continue"/>
            <w:vAlign w:val="center"/>
          </w:tcPr>
          <w:p>
            <w:pPr>
              <w:widowControl/>
              <w:spacing w:line="340" w:lineRule="exact"/>
              <w:jc w:val="left"/>
              <w:rPr>
                <w:rFonts w:hint="eastAsia" w:ascii="仿宋" w:hAnsi="仿宋" w:eastAsia="仿宋" w:cs="仿宋"/>
                <w:color w:val="auto"/>
                <w:sz w:val="24"/>
                <w:szCs w:val="24"/>
                <w:highlight w:val="none"/>
              </w:rPr>
            </w:pP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投标文件是否附有采购人不能接受的条件。</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9559" w:type="dxa"/>
            <w:gridSpan w:val="5"/>
            <w:vAlign w:val="center"/>
          </w:tcPr>
          <w:p>
            <w:pPr>
              <w:autoSpaceDE w:val="0"/>
              <w:autoSpaceDN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以上有一项未通过的</w:t>
            </w: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不得进入下阶段评审</w:t>
            </w:r>
          </w:p>
        </w:tc>
      </w:tr>
    </w:tbl>
    <w:p>
      <w:pPr>
        <w:spacing w:line="240" w:lineRule="auto"/>
        <w:rPr>
          <w:rFonts w:hint="eastAsia" w:ascii="仿宋" w:hAnsi="仿宋" w:eastAsia="仿宋" w:cs="仿宋"/>
          <w:b/>
          <w:bCs/>
          <w:sz w:val="24"/>
          <w:szCs w:val="24"/>
        </w:rPr>
      </w:pPr>
    </w:p>
    <w:p>
      <w:pPr>
        <w:pStyle w:val="2"/>
        <w:rPr>
          <w:rFonts w:hint="eastAsia"/>
        </w:rPr>
      </w:pPr>
    </w:p>
    <w:p>
      <w:pPr>
        <w:spacing w:line="240" w:lineRule="auto"/>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rPr>
          <w:rFonts w:hint="eastAsia" w:ascii="仿宋" w:hAnsi="仿宋" w:eastAsia="仿宋" w:cs="仿宋"/>
          <w:b/>
          <w:bCs/>
          <w:sz w:val="24"/>
          <w:szCs w:val="24"/>
        </w:rPr>
      </w:pPr>
    </w:p>
    <w:p>
      <w:pPr>
        <w:pStyle w:val="27"/>
        <w:rPr>
          <w:rFonts w:hint="eastAsia" w:ascii="仿宋" w:hAnsi="仿宋" w:eastAsia="仿宋" w:cs="仿宋"/>
          <w:b/>
          <w:bCs/>
          <w:sz w:val="24"/>
          <w:szCs w:val="24"/>
        </w:rPr>
      </w:pPr>
    </w:p>
    <w:p>
      <w:pPr>
        <w:pStyle w:val="27"/>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rPr>
      </w:pPr>
    </w:p>
    <w:p>
      <w:pPr>
        <w:pStyle w:val="6"/>
        <w:rPr>
          <w:rFonts w:hint="eastAsia" w:ascii="仿宋" w:hAnsi="仿宋" w:eastAsia="仿宋" w:cs="仿宋"/>
          <w:b/>
          <w:bCs/>
          <w:sz w:val="24"/>
          <w:szCs w:val="24"/>
        </w:rPr>
      </w:pPr>
    </w:p>
    <w:p>
      <w:pPr>
        <w:rPr>
          <w:rFonts w:hint="eastAsia"/>
        </w:rPr>
      </w:pPr>
    </w:p>
    <w:p>
      <w:pPr>
        <w:spacing w:line="240" w:lineRule="auto"/>
        <w:rPr>
          <w:rFonts w:hint="eastAsia" w:ascii="仿宋" w:hAnsi="仿宋" w:eastAsia="仿宋" w:cs="仿宋"/>
          <w:b/>
          <w:bCs/>
          <w:sz w:val="24"/>
          <w:szCs w:val="24"/>
          <w:highlight w:val="none"/>
        </w:rPr>
      </w:pPr>
      <w:r>
        <w:rPr>
          <w:rFonts w:hint="eastAsia" w:ascii="仿宋" w:hAnsi="仿宋" w:eastAsia="仿宋" w:cs="仿宋"/>
          <w:b/>
          <w:bCs/>
          <w:sz w:val="24"/>
          <w:szCs w:val="24"/>
        </w:rPr>
        <w:t xml:space="preserve">附表2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评 分 细 则</w:t>
      </w:r>
    </w:p>
    <w:bookmarkEnd w:id="584"/>
    <w:bookmarkEnd w:id="585"/>
    <w:tbl>
      <w:tblPr>
        <w:tblStyle w:val="31"/>
        <w:tblpPr w:leftFromText="180" w:rightFromText="180" w:vertAnchor="text" w:horzAnchor="page" w:tblpX="1567" w:tblpY="959"/>
        <w:tblOverlap w:val="never"/>
        <w:tblW w:w="9079" w:type="dxa"/>
        <w:tblInd w:w="0" w:type="dxa"/>
        <w:tblLayout w:type="fixed"/>
        <w:tblCellMar>
          <w:top w:w="0" w:type="dxa"/>
          <w:left w:w="108" w:type="dxa"/>
          <w:bottom w:w="0" w:type="dxa"/>
          <w:right w:w="108" w:type="dxa"/>
        </w:tblCellMar>
      </w:tblPr>
      <w:tblGrid>
        <w:gridCol w:w="1213"/>
        <w:gridCol w:w="19"/>
        <w:gridCol w:w="6796"/>
        <w:gridCol w:w="54"/>
        <w:gridCol w:w="997"/>
      </w:tblGrid>
      <w:tr>
        <w:tblPrEx>
          <w:tblCellMar>
            <w:top w:w="0" w:type="dxa"/>
            <w:left w:w="108" w:type="dxa"/>
            <w:bottom w:w="0" w:type="dxa"/>
            <w:right w:w="108" w:type="dxa"/>
          </w:tblCellMar>
        </w:tblPrEx>
        <w:trPr>
          <w:trHeight w:val="689" w:hRule="atLeast"/>
          <w:tblHeader/>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6869"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评审内容</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r>
      <w:tr>
        <w:tblPrEx>
          <w:tblCellMar>
            <w:top w:w="0" w:type="dxa"/>
            <w:left w:w="108" w:type="dxa"/>
            <w:bottom w:w="0" w:type="dxa"/>
            <w:right w:w="108" w:type="dxa"/>
          </w:tblCellMar>
        </w:tblPrEx>
        <w:trPr>
          <w:trHeight w:val="852" w:hRule="atLeast"/>
        </w:trPr>
        <w:tc>
          <w:tcPr>
            <w:tcW w:w="9079"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bidi="ar"/>
              </w:rPr>
              <w:t>价格评分</w:t>
            </w:r>
            <w:r>
              <w:rPr>
                <w:rFonts w:hint="eastAsia" w:ascii="仿宋" w:hAnsi="仿宋" w:eastAsia="仿宋" w:cs="仿宋"/>
                <w:b/>
                <w:bCs/>
                <w:color w:val="auto"/>
                <w:kern w:val="0"/>
                <w:sz w:val="24"/>
                <w:szCs w:val="24"/>
                <w:highlight w:val="none"/>
                <w:lang w:val="en-US" w:eastAsia="zh-CN" w:bidi="ar"/>
              </w:rPr>
              <w:t>10</w:t>
            </w:r>
            <w:r>
              <w:rPr>
                <w:rFonts w:hint="eastAsia" w:ascii="仿宋" w:hAnsi="仿宋" w:eastAsia="仿宋" w:cs="仿宋"/>
                <w:b/>
                <w:bCs/>
                <w:color w:val="auto"/>
                <w:kern w:val="0"/>
                <w:sz w:val="24"/>
                <w:szCs w:val="24"/>
                <w:highlight w:val="none"/>
                <w:lang w:bidi="ar"/>
              </w:rPr>
              <w:t>分</w:t>
            </w:r>
          </w:p>
        </w:tc>
      </w:tr>
      <w:tr>
        <w:tblPrEx>
          <w:tblCellMar>
            <w:top w:w="0" w:type="dxa"/>
            <w:left w:w="108" w:type="dxa"/>
            <w:bottom w:w="0" w:type="dxa"/>
            <w:right w:w="108" w:type="dxa"/>
          </w:tblCellMar>
        </w:tblPrEx>
        <w:trPr>
          <w:trHeight w:val="2495"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价</w:t>
            </w:r>
            <w:r>
              <w:rPr>
                <w:rFonts w:hint="eastAsia" w:ascii="仿宋" w:hAnsi="仿宋" w:eastAsia="仿宋" w:cs="仿宋"/>
                <w:color w:val="auto"/>
                <w:sz w:val="24"/>
                <w:szCs w:val="24"/>
                <w:highlight w:val="none"/>
              </w:rPr>
              <w:t>格</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报价得分=(评标基准价/修正后报价)×价格权值×100</w:t>
            </w:r>
          </w:p>
          <w:p>
            <w:pPr>
              <w:widowControl/>
              <w:spacing w:line="276" w:lineRule="auto"/>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备注：</w:t>
            </w:r>
          </w:p>
          <w:p>
            <w:pPr>
              <w:widowControl/>
              <w:spacing w:line="276" w:lineRule="auto"/>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1.报价评分采用低价优先法计算；</w:t>
            </w:r>
          </w:p>
          <w:p>
            <w:pPr>
              <w:widowControl/>
              <w:spacing w:line="276" w:lineRule="auto"/>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2.评标基准价：满足</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文件要求且经算术修正，依据政府采购政策进行价格扣除后的最低报价为评标基准价；</w:t>
            </w:r>
          </w:p>
          <w:p>
            <w:pPr>
              <w:widowControl/>
              <w:spacing w:line="276" w:lineRule="auto"/>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3.修正后报价：评标委员会以报价一览表中报价为基础，对其进行算术修正，依据政府采购政策进行价格扣除后，作为报价计算的依据。</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10</w:t>
            </w:r>
            <w:r>
              <w:rPr>
                <w:rFonts w:hint="eastAsia" w:ascii="仿宋" w:hAnsi="仿宋" w:eastAsia="仿宋" w:cs="仿宋"/>
                <w:color w:val="auto"/>
                <w:kern w:val="0"/>
                <w:sz w:val="24"/>
                <w:szCs w:val="24"/>
                <w:highlight w:val="none"/>
                <w:lang w:bidi="ar"/>
              </w:rPr>
              <w:t>分</w:t>
            </w:r>
          </w:p>
        </w:tc>
      </w:tr>
      <w:tr>
        <w:tblPrEx>
          <w:tblCellMar>
            <w:top w:w="0" w:type="dxa"/>
            <w:left w:w="108" w:type="dxa"/>
            <w:bottom w:w="0" w:type="dxa"/>
            <w:right w:w="108" w:type="dxa"/>
          </w:tblCellMar>
        </w:tblPrEx>
        <w:trPr>
          <w:trHeight w:val="730" w:hRule="atLeast"/>
        </w:trPr>
        <w:tc>
          <w:tcPr>
            <w:tcW w:w="9079"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color w:val="auto"/>
                <w:kern w:val="0"/>
                <w:sz w:val="24"/>
                <w:szCs w:val="24"/>
                <w:highlight w:val="none"/>
                <w:lang w:bidi="ar"/>
              </w:rPr>
            </w:pPr>
            <w:r>
              <w:rPr>
                <w:rFonts w:hint="eastAsia" w:ascii="仿宋" w:hAnsi="仿宋" w:eastAsia="仿宋" w:cs="仿宋"/>
                <w:b/>
                <w:bCs/>
                <w:color w:val="auto"/>
                <w:kern w:val="0"/>
                <w:sz w:val="24"/>
                <w:szCs w:val="24"/>
                <w:highlight w:val="none"/>
                <w:lang w:bidi="ar"/>
              </w:rPr>
              <w:t>商务部分评分</w:t>
            </w:r>
            <w:r>
              <w:rPr>
                <w:rFonts w:hint="eastAsia" w:ascii="仿宋" w:hAnsi="仿宋" w:eastAsia="仿宋" w:cs="仿宋"/>
                <w:b/>
                <w:bCs/>
                <w:color w:val="auto"/>
                <w:kern w:val="0"/>
                <w:sz w:val="24"/>
                <w:szCs w:val="24"/>
                <w:highlight w:val="none"/>
                <w:lang w:val="en-US" w:eastAsia="zh-CN" w:bidi="ar"/>
              </w:rPr>
              <w:t>15</w:t>
            </w:r>
            <w:r>
              <w:rPr>
                <w:rFonts w:hint="eastAsia" w:ascii="仿宋" w:hAnsi="仿宋" w:eastAsia="仿宋" w:cs="仿宋"/>
                <w:b/>
                <w:bCs/>
                <w:color w:val="auto"/>
                <w:kern w:val="0"/>
                <w:sz w:val="24"/>
                <w:szCs w:val="24"/>
                <w:highlight w:val="none"/>
                <w:lang w:bidi="ar"/>
              </w:rPr>
              <w:t>分</w:t>
            </w:r>
          </w:p>
        </w:tc>
      </w:tr>
      <w:tr>
        <w:tblPrEx>
          <w:tblCellMar>
            <w:top w:w="0" w:type="dxa"/>
            <w:left w:w="108" w:type="dxa"/>
            <w:bottom w:w="0" w:type="dxa"/>
            <w:right w:w="108" w:type="dxa"/>
          </w:tblCellMar>
        </w:tblPrEx>
        <w:trPr>
          <w:trHeight w:val="90" w:hRule="atLeast"/>
        </w:trPr>
        <w:tc>
          <w:tcPr>
            <w:tcW w:w="123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 w:hAnsi="仿宋" w:eastAsia="仿宋" w:cs="仿宋"/>
                <w:b/>
                <w:bCs/>
                <w:color w:val="auto"/>
                <w:kern w:val="0"/>
                <w:sz w:val="24"/>
                <w:szCs w:val="24"/>
                <w:highlight w:val="none"/>
                <w:lang w:bidi="ar"/>
              </w:rPr>
            </w:pPr>
            <w:r>
              <w:rPr>
                <w:rFonts w:hint="eastAsia" w:ascii="仿宋" w:hAnsi="仿宋" w:eastAsia="仿宋" w:cs="仿宋"/>
                <w:color w:val="auto"/>
                <w:sz w:val="24"/>
                <w:szCs w:val="24"/>
                <w:highlight w:val="none"/>
                <w:lang w:val="en-US" w:eastAsia="zh-CN"/>
              </w:rPr>
              <w:t>业绩</w:t>
            </w:r>
          </w:p>
        </w:tc>
        <w:tc>
          <w:tcPr>
            <w:tcW w:w="6796" w:type="dxa"/>
            <w:tcBorders>
              <w:top w:val="single" w:color="000000" w:sz="4" w:space="0"/>
              <w:left w:val="single" w:color="auto" w:sz="4" w:space="0"/>
              <w:bottom w:val="single" w:color="000000" w:sz="4" w:space="0"/>
              <w:right w:val="single" w:color="auto" w:sz="4" w:space="0"/>
            </w:tcBorders>
            <w:vAlign w:val="center"/>
          </w:tcPr>
          <w:p>
            <w:pPr>
              <w:widowControl/>
              <w:spacing w:line="276" w:lineRule="auto"/>
              <w:textAlignment w:val="center"/>
              <w:rPr>
                <w:rFonts w:hint="eastAsia" w:ascii="仿宋" w:hAnsi="仿宋" w:eastAsia="仿宋" w:cs="仿宋"/>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投标人提供近3年（2020年1月1日至今）承接并完成的类似项目业绩，每个得1分，最多5分。（提供中标（成交）通知书或合同复印件加盖公章）未提供或提供不符合上述要求者不得分。</w:t>
            </w:r>
          </w:p>
        </w:tc>
        <w:tc>
          <w:tcPr>
            <w:tcW w:w="105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5分</w:t>
            </w:r>
          </w:p>
        </w:tc>
      </w:tr>
      <w:tr>
        <w:tblPrEx>
          <w:tblCellMar>
            <w:top w:w="0" w:type="dxa"/>
            <w:left w:w="108" w:type="dxa"/>
            <w:bottom w:w="0" w:type="dxa"/>
            <w:right w:w="108" w:type="dxa"/>
          </w:tblCellMar>
        </w:tblPrEx>
        <w:trPr>
          <w:trHeight w:val="730" w:hRule="atLeast"/>
        </w:trPr>
        <w:tc>
          <w:tcPr>
            <w:tcW w:w="123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投标人交付能力</w:t>
            </w:r>
          </w:p>
        </w:tc>
        <w:tc>
          <w:tcPr>
            <w:tcW w:w="6796" w:type="dxa"/>
            <w:tcBorders>
              <w:top w:val="single" w:color="000000" w:sz="4" w:space="0"/>
              <w:left w:val="single" w:color="auto" w:sz="4" w:space="0"/>
              <w:bottom w:val="single" w:color="000000" w:sz="4" w:space="0"/>
              <w:right w:val="single" w:color="auto" w:sz="4" w:space="0"/>
            </w:tcBorders>
            <w:vAlign w:val="center"/>
          </w:tcPr>
          <w:p>
            <w:pPr>
              <w:pStyle w:val="70"/>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bookmarkStart w:id="586" w:name="_GoBack"/>
            <w:bookmarkEnd w:id="586"/>
            <w:r>
              <w:rPr>
                <w:rFonts w:hint="eastAsia" w:ascii="仿宋" w:hAnsi="仿宋" w:eastAsia="仿宋" w:cs="仿宋"/>
                <w:b w:val="0"/>
                <w:bCs w:val="0"/>
                <w:color w:val="auto"/>
                <w:kern w:val="2"/>
                <w:sz w:val="24"/>
                <w:szCs w:val="24"/>
                <w:highlight w:val="none"/>
                <w:lang w:val="en-US" w:eastAsia="zh-CN" w:bidi="ar-SA"/>
              </w:rPr>
              <w:t>（1）具有ISO20000-1信息技术服务管理体系认证证书（1分）</w:t>
            </w:r>
          </w:p>
          <w:p>
            <w:pPr>
              <w:pStyle w:val="70"/>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（2）具有ISO27001信息安全管理体系认证证书（1分）</w:t>
            </w:r>
          </w:p>
          <w:p>
            <w:pPr>
              <w:pStyle w:val="70"/>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（3）具有信息技术服务运行维护标准ITSS证书（叁级（含）以上）（1分）</w:t>
            </w:r>
          </w:p>
          <w:p>
            <w:pPr>
              <w:pStyle w:val="70"/>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（4）具有质量管理体系认证证书（ISO9001）（1分）</w:t>
            </w:r>
          </w:p>
          <w:p>
            <w:pPr>
              <w:pStyle w:val="70"/>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（5）AAA级信用等级认定证书（1分）</w:t>
            </w:r>
          </w:p>
          <w:p>
            <w:pPr>
              <w:spacing w:line="360" w:lineRule="auto"/>
              <w:rPr>
                <w:rFonts w:hint="default"/>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注：（以上证书需在有效期内，提供证书复印件加盖软件厂商公章，模糊无法辨认视为无效证书）</w:t>
            </w:r>
          </w:p>
        </w:tc>
        <w:tc>
          <w:tcPr>
            <w:tcW w:w="105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5分</w:t>
            </w:r>
          </w:p>
        </w:tc>
      </w:tr>
      <w:tr>
        <w:tblPrEx>
          <w:tblCellMar>
            <w:top w:w="0" w:type="dxa"/>
            <w:left w:w="108" w:type="dxa"/>
            <w:bottom w:w="0" w:type="dxa"/>
            <w:right w:w="108" w:type="dxa"/>
          </w:tblCellMar>
        </w:tblPrEx>
        <w:trPr>
          <w:trHeight w:val="730" w:hRule="atLeast"/>
        </w:trPr>
        <w:tc>
          <w:tcPr>
            <w:tcW w:w="123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标书质量</w:t>
            </w:r>
          </w:p>
        </w:tc>
        <w:tc>
          <w:tcPr>
            <w:tcW w:w="6796" w:type="dxa"/>
            <w:tcBorders>
              <w:top w:val="single" w:color="000000" w:sz="4" w:space="0"/>
              <w:left w:val="single" w:color="auto" w:sz="4" w:space="0"/>
              <w:bottom w:val="single" w:color="000000" w:sz="4" w:space="0"/>
              <w:right w:val="single" w:color="auto"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投标文件编制内容完整、齐全、叙述严谨，无涂改、错页、漏页现象，优&gt;2～≦3分，良&gt;1～≦2分，一般&gt;0～≦1分。</w:t>
            </w:r>
          </w:p>
        </w:tc>
        <w:tc>
          <w:tcPr>
            <w:tcW w:w="105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3分</w:t>
            </w:r>
          </w:p>
        </w:tc>
      </w:tr>
      <w:tr>
        <w:tblPrEx>
          <w:tblCellMar>
            <w:top w:w="0" w:type="dxa"/>
            <w:left w:w="108" w:type="dxa"/>
            <w:bottom w:w="0" w:type="dxa"/>
            <w:right w:w="108" w:type="dxa"/>
          </w:tblCellMar>
        </w:tblPrEx>
        <w:trPr>
          <w:trHeight w:val="730" w:hRule="atLeast"/>
        </w:trPr>
        <w:tc>
          <w:tcPr>
            <w:tcW w:w="123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投标人履约能力</w:t>
            </w:r>
          </w:p>
        </w:tc>
        <w:tc>
          <w:tcPr>
            <w:tcW w:w="6796" w:type="dxa"/>
            <w:tcBorders>
              <w:top w:val="single" w:color="000000" w:sz="4" w:space="0"/>
              <w:left w:val="single" w:color="auto" w:sz="4" w:space="0"/>
              <w:bottom w:val="single" w:color="000000" w:sz="4" w:space="0"/>
              <w:right w:val="single" w:color="auto"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投标人具备较高的诚信度和履约能力，响应招标文件的履约 要求，能够切实履行各项承诺；优 2 分，良 1 分，一般得0.5 分，差不得分。</w:t>
            </w:r>
          </w:p>
        </w:tc>
        <w:tc>
          <w:tcPr>
            <w:tcW w:w="105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2分</w:t>
            </w:r>
          </w:p>
        </w:tc>
      </w:tr>
      <w:tr>
        <w:tblPrEx>
          <w:tblCellMar>
            <w:top w:w="0" w:type="dxa"/>
            <w:left w:w="108" w:type="dxa"/>
            <w:bottom w:w="0" w:type="dxa"/>
            <w:right w:w="108" w:type="dxa"/>
          </w:tblCellMar>
        </w:tblPrEx>
        <w:trPr>
          <w:trHeight w:val="730" w:hRule="atLeast"/>
        </w:trPr>
        <w:tc>
          <w:tcPr>
            <w:tcW w:w="9079"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bidi="ar"/>
              </w:rPr>
              <w:t>技术部分评分</w:t>
            </w:r>
            <w:r>
              <w:rPr>
                <w:rFonts w:hint="eastAsia" w:ascii="仿宋" w:hAnsi="仿宋" w:eastAsia="仿宋" w:cs="仿宋"/>
                <w:b/>
                <w:bCs/>
                <w:color w:val="auto"/>
                <w:kern w:val="0"/>
                <w:sz w:val="24"/>
                <w:szCs w:val="24"/>
                <w:highlight w:val="none"/>
                <w:lang w:val="en-US" w:eastAsia="zh-CN" w:bidi="ar"/>
              </w:rPr>
              <w:t>75</w:t>
            </w:r>
            <w:r>
              <w:rPr>
                <w:rFonts w:hint="eastAsia" w:ascii="仿宋" w:hAnsi="仿宋" w:eastAsia="仿宋" w:cs="仿宋"/>
                <w:b/>
                <w:bCs/>
                <w:color w:val="auto"/>
                <w:kern w:val="0"/>
                <w:sz w:val="24"/>
                <w:szCs w:val="24"/>
                <w:highlight w:val="none"/>
                <w:lang w:bidi="ar"/>
              </w:rPr>
              <w:t>分</w:t>
            </w:r>
          </w:p>
        </w:tc>
      </w:tr>
      <w:tr>
        <w:tblPrEx>
          <w:tblCellMar>
            <w:top w:w="0" w:type="dxa"/>
            <w:left w:w="108" w:type="dxa"/>
            <w:bottom w:w="0" w:type="dxa"/>
            <w:right w:w="108" w:type="dxa"/>
          </w:tblCellMar>
        </w:tblPrEx>
        <w:trPr>
          <w:trHeight w:val="1774"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技术功能响应及完整性</w:t>
            </w:r>
          </w:p>
        </w:tc>
        <w:tc>
          <w:tcPr>
            <w:tcW w:w="686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投标产品的技术指标、参数及功能要求根据以下情况进行评分：技术参数全部满足招标文件要求得25分；★技术条款每偏离一条扣除1分，普通技术条款每偏离一条扣0.5分，最低得0分，最高得25分。</w:t>
            </w:r>
          </w:p>
        </w:tc>
        <w:tc>
          <w:tcPr>
            <w:tcW w:w="9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25分</w:t>
            </w:r>
          </w:p>
        </w:tc>
      </w:tr>
      <w:tr>
        <w:tblPrEx>
          <w:tblCellMar>
            <w:top w:w="0" w:type="dxa"/>
            <w:left w:w="108" w:type="dxa"/>
            <w:bottom w:w="0" w:type="dxa"/>
            <w:right w:w="108" w:type="dxa"/>
          </w:tblCellMar>
        </w:tblPrEx>
        <w:trPr>
          <w:trHeight w:val="90"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系统稳定性及兼容性</w:t>
            </w:r>
          </w:p>
        </w:tc>
        <w:tc>
          <w:tcPr>
            <w:tcW w:w="686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1.投标人提供与基层医疗卫生机构信息系统互联互通效果图或对接证明的得5分，不提供不得分。</w:t>
            </w:r>
          </w:p>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2.投标人提供与基本公共卫生服务系统互联互通效果图或对接证明的得5分，不提供不得分。</w:t>
            </w:r>
          </w:p>
          <w:p>
            <w:pPr>
              <w:pStyle w:val="6"/>
              <w:keepNext w:val="0"/>
              <w:keepLines w:val="0"/>
              <w:pageBreakBefore w:val="0"/>
              <w:kinsoku/>
              <w:wordWrap/>
              <w:overflowPunct/>
              <w:topLinePunct w:val="0"/>
              <w:autoSpaceDE/>
              <w:autoSpaceDN/>
              <w:bidi w:val="0"/>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3.投标人提供与区域双向转诊系统互联互通效果图或对接证明的得5分，不提供不得分。</w:t>
            </w:r>
          </w:p>
          <w:p>
            <w:pPr>
              <w:pStyle w:val="6"/>
              <w:keepNext w:val="0"/>
              <w:keepLines w:val="0"/>
              <w:pageBreakBefore w:val="0"/>
              <w:kinsoku/>
              <w:wordWrap/>
              <w:overflowPunct/>
              <w:topLinePunct w:val="0"/>
              <w:autoSpaceDE/>
              <w:autoSpaceDN/>
              <w:bidi w:val="0"/>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4.投标人提供与远程会诊管理系统互联互通效果图或对接证明得5分，不提供不得分。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20分</w:t>
            </w:r>
          </w:p>
        </w:tc>
      </w:tr>
      <w:tr>
        <w:tblPrEx>
          <w:tblCellMar>
            <w:top w:w="0" w:type="dxa"/>
            <w:left w:w="108" w:type="dxa"/>
            <w:bottom w:w="0" w:type="dxa"/>
            <w:right w:w="108" w:type="dxa"/>
          </w:tblCellMar>
        </w:tblPrEx>
        <w:trPr>
          <w:trHeight w:val="462"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项目实施方案</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为保障此次信息化建设效果，投标人需对本项目建设背景、建设目标有所了解，并提供整体实施及验收方案，包括不限于项目实施组织、实施周期进度、各阶段计划安排，质量保障、验收方案等内容。</w:t>
            </w:r>
          </w:p>
          <w:p>
            <w:pPr>
              <w:widowControl/>
              <w:spacing w:line="360"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1.方案可行性强，内容全面合理得8-10分；</w:t>
            </w:r>
          </w:p>
          <w:p>
            <w:pPr>
              <w:widowControl/>
              <w:spacing w:line="360"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2.方案可行性一般，内容一般全面合理得5-7分；</w:t>
            </w:r>
          </w:p>
          <w:p>
            <w:pPr>
              <w:widowControl/>
              <w:spacing w:line="360"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3.方案可行性较差，内容不全面、合理性差得1-4分；</w:t>
            </w:r>
          </w:p>
          <w:p>
            <w:pPr>
              <w:widowControl/>
              <w:spacing w:line="360" w:lineRule="auto"/>
              <w:textAlignment w:val="center"/>
              <w:rPr>
                <w:rFonts w:hint="eastAsia"/>
                <w:highlight w:val="none"/>
                <w:lang w:val="en-US" w:eastAsia="zh-CN"/>
              </w:rPr>
            </w:pPr>
            <w:r>
              <w:rPr>
                <w:rFonts w:hint="eastAsia" w:ascii="仿宋" w:hAnsi="仿宋" w:eastAsia="仿宋" w:cs="仿宋"/>
                <w:color w:val="auto"/>
                <w:sz w:val="24"/>
                <w:szCs w:val="24"/>
                <w:highlight w:val="none"/>
                <w:lang w:val="en-US" w:eastAsia="zh-CN"/>
              </w:rPr>
              <w:t>4.未提供方案不得分。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10</w:t>
            </w:r>
            <w:r>
              <w:rPr>
                <w:rFonts w:hint="eastAsia" w:ascii="仿宋" w:hAnsi="仿宋" w:eastAsia="仿宋" w:cs="仿宋"/>
                <w:color w:val="auto"/>
                <w:kern w:val="0"/>
                <w:sz w:val="24"/>
                <w:szCs w:val="24"/>
                <w:highlight w:val="none"/>
                <w:lang w:bidi="ar"/>
              </w:rPr>
              <w:t>分</w:t>
            </w:r>
          </w:p>
        </w:tc>
      </w:tr>
      <w:tr>
        <w:tblPrEx>
          <w:tblCellMar>
            <w:top w:w="0" w:type="dxa"/>
            <w:left w:w="108" w:type="dxa"/>
            <w:bottom w:w="0" w:type="dxa"/>
            <w:right w:w="108" w:type="dxa"/>
          </w:tblCellMar>
        </w:tblPrEx>
        <w:trPr>
          <w:trHeight w:val="635"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运维方案</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1.投标人运维方案全面、科学、可操作性程度高、技术能</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力强，得5分；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2.投标人运维方案较全面、较科学、可操作性满足要求、技术能力较好，得3分；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3.投标人运维方案一般、可操作性一般、技术能力一般， 得1分；</w:t>
            </w:r>
          </w:p>
          <w:p>
            <w:pPr>
              <w:widowControl/>
              <w:spacing w:line="276" w:lineRule="auto"/>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4.项目运维方案不满足要求或不提供，不得分。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5分</w:t>
            </w:r>
          </w:p>
        </w:tc>
      </w:tr>
      <w:tr>
        <w:tblPrEx>
          <w:tblCellMar>
            <w:top w:w="0" w:type="dxa"/>
            <w:left w:w="108" w:type="dxa"/>
            <w:bottom w:w="0" w:type="dxa"/>
            <w:right w:w="108" w:type="dxa"/>
          </w:tblCellMar>
        </w:tblPrEx>
        <w:trPr>
          <w:trHeight w:val="2730"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培训方案</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包括但不限于培训目的、培训时间、培训地点、培训课程安排、培训组织方式等。</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1、培训方案科学合理、详实可行，描述详细，得5分； </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2、培训方案较合理，可行性较强，得3分；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3、培训方案一般，可行性一般，得1分；</w:t>
            </w:r>
          </w:p>
          <w:p>
            <w:pPr>
              <w:widowControl/>
              <w:spacing w:line="276" w:lineRule="auto"/>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4、培训方案不满足要求或不提供，不得分。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5分</w:t>
            </w:r>
          </w:p>
        </w:tc>
      </w:tr>
      <w:tr>
        <w:tblPrEx>
          <w:tblCellMar>
            <w:top w:w="0" w:type="dxa"/>
            <w:left w:w="108" w:type="dxa"/>
            <w:bottom w:w="0" w:type="dxa"/>
            <w:right w:w="108" w:type="dxa"/>
          </w:tblCellMar>
        </w:tblPrEx>
        <w:trPr>
          <w:trHeight w:val="1691"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故障处理及售后服务方案</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根据投标人提供故障处理及售后服务方案的可行性进行评分, 包含完整的售后服务机构、服务响应时间及维护体系、应急处理程序、售后服务保障措施。</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1、故障处理及售后服务方案思路清晰可行、安排合理、售后服务完全满足招标文件需求，得5分；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2、故障处理及售后服务方案基本完善、售后服务基本满足招标文件需求，得3分；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3、故障处理及售后服务方案不够完善、售后服务基本满足招标文件需求，得1分；</w:t>
            </w:r>
          </w:p>
          <w:p>
            <w:pPr>
              <w:widowControl/>
              <w:spacing w:line="276" w:lineRule="auto"/>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4、故障处理及售后服务方案不满足要求或不提供，不得分。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5</w:t>
            </w:r>
            <w:r>
              <w:rPr>
                <w:rFonts w:hint="eastAsia" w:ascii="仿宋" w:hAnsi="仿宋" w:eastAsia="仿宋" w:cs="仿宋"/>
                <w:color w:val="auto"/>
                <w:kern w:val="0"/>
                <w:sz w:val="24"/>
                <w:szCs w:val="24"/>
                <w:highlight w:val="none"/>
                <w:lang w:bidi="ar"/>
              </w:rPr>
              <w:t>分</w:t>
            </w:r>
          </w:p>
        </w:tc>
      </w:tr>
      <w:tr>
        <w:tblPrEx>
          <w:tblCellMar>
            <w:top w:w="0" w:type="dxa"/>
            <w:left w:w="108" w:type="dxa"/>
            <w:bottom w:w="0" w:type="dxa"/>
            <w:right w:w="108" w:type="dxa"/>
          </w:tblCellMar>
        </w:tblPrEx>
        <w:trPr>
          <w:trHeight w:val="1191"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服务承诺</w:t>
            </w:r>
          </w:p>
          <w:p>
            <w:pPr>
              <w:widowControl/>
              <w:spacing w:line="276" w:lineRule="auto"/>
              <w:textAlignment w:val="center"/>
              <w:rPr>
                <w:rFonts w:hint="eastAsia" w:ascii="仿宋" w:hAnsi="仿宋" w:eastAsia="仿宋" w:cs="仿宋"/>
                <w:color w:val="auto"/>
                <w:sz w:val="24"/>
                <w:szCs w:val="24"/>
                <w:highlight w:val="none"/>
                <w:lang w:val="en-US" w:eastAsia="zh-CN"/>
              </w:rPr>
            </w:pP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供应商对服务包括对采购人的配合，咨询服务等作出承诺。</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承诺全面、具体、针对性强得5分； </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基本完整，但针对性较好得3分；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无明显的欠缺，针对性一般得1分；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本项缺项或不可行不得分。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5分</w:t>
            </w:r>
          </w:p>
        </w:tc>
      </w:tr>
    </w:tbl>
    <w:p>
      <w:pPr>
        <w:pStyle w:val="24"/>
        <w:spacing w:line="360" w:lineRule="auto"/>
        <w:rPr>
          <w:rFonts w:hint="eastAsia" w:ascii="仿宋" w:hAnsi="仿宋" w:eastAsia="仿宋" w:cs="仿宋"/>
          <w:color w:val="auto"/>
          <w:sz w:val="24"/>
          <w:szCs w:val="24"/>
          <w:highlight w:val="none"/>
        </w:rPr>
      </w:pPr>
    </w:p>
    <w:sectPr>
      <w:headerReference r:id="rId5"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1116C6C-B770-4247-93CB-7896FE437EE9}"/>
  </w:font>
  <w:font w:name="黑体">
    <w:panose1 w:val="02010609060101010101"/>
    <w:charset w:val="86"/>
    <w:family w:val="auto"/>
    <w:pitch w:val="default"/>
    <w:sig w:usb0="800002BF" w:usb1="38CF7CFA" w:usb2="00000016" w:usb3="00000000" w:csb0="00040001" w:csb1="00000000"/>
    <w:embedRegular r:id="rId2" w:fontKey="{8F7F55E9-A384-415A-B611-47116C08D0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auto"/>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embedRegular r:id="rId3" w:fontKey="{895AF0D3-AE34-4669-980B-7B0682CFCFE7}"/>
  </w:font>
  <w:font w:name="方正小标宋简体">
    <w:panose1 w:val="02000000000000000000"/>
    <w:charset w:val="86"/>
    <w:family w:val="auto"/>
    <w:pitch w:val="default"/>
    <w:sig w:usb0="00000001" w:usb1="08000000" w:usb2="00000000" w:usb3="00000000" w:csb0="00040000" w:csb1="00000000"/>
    <w:embedRegular r:id="rId4" w:fontKey="{3B67C780-14F0-4283-A146-575EB02DB56C}"/>
  </w:font>
  <w:font w:name="楷体">
    <w:panose1 w:val="02010609060101010101"/>
    <w:charset w:val="86"/>
    <w:family w:val="auto"/>
    <w:pitch w:val="default"/>
    <w:sig w:usb0="800002BF" w:usb1="38CF7CFA" w:usb2="00000016" w:usb3="00000000" w:csb0="00040001" w:csb1="00000000"/>
    <w:embedRegular r:id="rId5" w:fontKey="{8CC66430-14A2-4E43-A294-2E6F5F1BEDAA}"/>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jc w:val="center"/>
                          </w:pPr>
                          <w:r>
                            <w:fldChar w:fldCharType="begin"/>
                          </w:r>
                          <w:r>
                            <w:instrText xml:space="preserve">PAGE   \* MERGEFORMAT</w:instrText>
                          </w:r>
                          <w:r>
                            <w:fldChar w:fldCharType="separate"/>
                          </w:r>
                          <w:r>
                            <w:rPr>
                              <w:lang w:val="zh-CN"/>
                            </w:rPr>
                            <w:t>6</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05VZckBAACb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CaEsctTvzy/dvlx6/Lz68E&#10;fdigPkCNeQ8BM9Nw5wdMnv2Azqx7UNHmLyoiGMf2nq/tlUMiIj9ar9brCkMCY/MF8dnj8xAhvZXe&#10;kmw0NOL8Slv56T2kMXVOydWcv9fGlBka95cDMbOHZe4jx2ylYT9Mgva+PaOeHkffUIebTol557Cz&#10;eUtmI87GfjaOIepDh9SWhReE22NCEoVbrjDCToVxZkXdtF95Kf68l6zH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LTlVlyQEAAJsDAAAOAAAAAAAAAAEAIAAAAB4BAABkcnMvZTJvRG9j&#10;LnhtbFBLBQYAAAAABgAGAFkBAABZBQAAAAA=&#10;">
              <v:fill on="f" focussize="0,0"/>
              <v:stroke on="f"/>
              <v:imagedata o:title=""/>
              <o:lock v:ext="edit" aspectratio="f"/>
              <v:textbox inset="0mm,0mm,0mm,0mm" style="mso-fit-shape-to-text:t;">
                <w:txbxContent>
                  <w:p>
                    <w:pPr>
                      <w:pStyle w:val="19"/>
                      <w:jc w:val="center"/>
                    </w:pPr>
                    <w:r>
                      <w:fldChar w:fldCharType="begin"/>
                    </w:r>
                    <w:r>
                      <w:instrText xml:space="preserve">PAGE   \* MERGEFORMAT</w:instrText>
                    </w:r>
                    <w:r>
                      <w:fldChar w:fldCharType="separate"/>
                    </w:r>
                    <w:r>
                      <w:rPr>
                        <w:lang w:val="zh-CN"/>
                      </w:rPr>
                      <w:t>6</w:t>
                    </w:r>
                    <w:r>
                      <w:rPr>
                        <w:lang w:val="zh-CN"/>
                      </w:rPr>
                      <w:fldChar w:fldCharType="end"/>
                    </w:r>
                  </w:p>
                </w:txbxContent>
              </v:textbox>
            </v:shape>
          </w:pict>
        </mc:Fallback>
      </mc:AlternateContent>
    </w:r>
  </w:p>
  <w:p>
    <w:pPr>
      <w:pStyle w:val="1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ind w:left="420" w:hanging="420" w:hangingChars="200"/>
      <w:jc w:val="both"/>
      <w:rPr>
        <w:rFonts w:hint="default" w:eastAsia="宋体"/>
        <w:u w:val="double"/>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6569D"/>
    <w:multiLevelType w:val="multilevel"/>
    <w:tmpl w:val="8096569D"/>
    <w:lvl w:ilvl="0" w:tentative="0">
      <w:start w:val="1"/>
      <w:numFmt w:val="decimal"/>
      <w:lvlText w:val="%1."/>
      <w:lvlJc w:val="left"/>
      <w:pPr>
        <w:tabs>
          <w:tab w:val="left" w:pos="907"/>
        </w:tabs>
        <w:ind w:left="907" w:hanging="907"/>
      </w:pPr>
      <w:rPr>
        <w:rFonts w:hint="eastAsia"/>
        <w:b/>
      </w:rPr>
    </w:lvl>
    <w:lvl w:ilvl="1" w:tentative="0">
      <w:start w:val="1"/>
      <w:numFmt w:val="decimal"/>
      <w:isLgl/>
      <w:lvlText w:val="10.%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92333B14"/>
    <w:multiLevelType w:val="multilevel"/>
    <w:tmpl w:val="92333B14"/>
    <w:lvl w:ilvl="0" w:tentative="0">
      <w:start w:val="1"/>
      <w:numFmt w:val="decimal"/>
      <w:lvlText w:val="17.5.%1"/>
      <w:lvlJc w:val="left"/>
      <w:pPr>
        <w:tabs>
          <w:tab w:val="left" w:pos="907"/>
        </w:tabs>
        <w:ind w:left="907" w:hanging="907"/>
      </w:pPr>
      <w:rPr>
        <w:rFonts w:hint="default" w:ascii="宋体" w:hAnsi="宋体" w:eastAsia="宋体" w:cs="宋体"/>
        <w:b w:val="0"/>
      </w:rPr>
    </w:lvl>
    <w:lvl w:ilvl="1" w:tentative="0">
      <w:start w:val="1"/>
      <w:numFmt w:val="decimal"/>
      <w:isLgl/>
      <w:lvlText w:val="18.%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9954953A"/>
    <w:multiLevelType w:val="multilevel"/>
    <w:tmpl w:val="9954953A"/>
    <w:lvl w:ilvl="0" w:tentative="0">
      <w:start w:val="1"/>
      <w:numFmt w:val="decimal"/>
      <w:lvlText w:val="%1."/>
      <w:lvlJc w:val="left"/>
      <w:pPr>
        <w:tabs>
          <w:tab w:val="left" w:pos="907"/>
        </w:tabs>
        <w:ind w:left="907" w:hanging="907"/>
      </w:pPr>
      <w:rPr>
        <w:rFonts w:hint="eastAsia"/>
        <w:b/>
      </w:rPr>
    </w:lvl>
    <w:lvl w:ilvl="1" w:tentative="0">
      <w:start w:val="1"/>
      <w:numFmt w:val="decimal"/>
      <w:isLgl/>
      <w:lvlText w:val="36.%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9E1A86F1"/>
    <w:multiLevelType w:val="multilevel"/>
    <w:tmpl w:val="9E1A86F1"/>
    <w:lvl w:ilvl="0" w:tentative="0">
      <w:start w:val="1"/>
      <w:numFmt w:val="decimal"/>
      <w:lvlText w:val="%1."/>
      <w:lvlJc w:val="left"/>
      <w:pPr>
        <w:tabs>
          <w:tab w:val="left" w:pos="907"/>
        </w:tabs>
        <w:ind w:left="907" w:hanging="907"/>
      </w:pPr>
      <w:rPr>
        <w:rFonts w:hint="eastAsia"/>
        <w:b/>
      </w:rPr>
    </w:lvl>
    <w:lvl w:ilvl="1" w:tentative="0">
      <w:start w:val="1"/>
      <w:numFmt w:val="decimal"/>
      <w:isLgl/>
      <w:lvlText w:val="42.%2."/>
      <w:lvlJc w:val="left"/>
      <w:pPr>
        <w:tabs>
          <w:tab w:val="left" w:pos="907"/>
        </w:tabs>
        <w:ind w:left="907" w:hanging="907"/>
      </w:pPr>
      <w:rPr>
        <w:rFonts w:hint="eastAsia" w:eastAsia="宋体"/>
        <w:b w:val="0"/>
      </w:rPr>
    </w:lvl>
    <w:lvl w:ilvl="2" w:tentative="0">
      <w:start w:val="1"/>
      <w:numFmt w:val="decimal"/>
      <w:lvlText w:val="43.3.%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A48F9CC7"/>
    <w:multiLevelType w:val="multilevel"/>
    <w:tmpl w:val="A48F9CC7"/>
    <w:lvl w:ilvl="0" w:tentative="0">
      <w:start w:val="1"/>
      <w:numFmt w:val="decimal"/>
      <w:lvlText w:val="%1."/>
      <w:lvlJc w:val="left"/>
      <w:pPr>
        <w:tabs>
          <w:tab w:val="left" w:pos="907"/>
        </w:tabs>
        <w:ind w:left="907" w:hanging="907"/>
      </w:pPr>
      <w:rPr>
        <w:rFonts w:hint="eastAsia"/>
        <w:b/>
      </w:rPr>
    </w:lvl>
    <w:lvl w:ilvl="1" w:tentative="0">
      <w:start w:val="1"/>
      <w:numFmt w:val="decimal"/>
      <w:isLgl/>
      <w:lvlText w:val="34.%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A7A2FB09"/>
    <w:multiLevelType w:val="multilevel"/>
    <w:tmpl w:val="A7A2FB09"/>
    <w:lvl w:ilvl="0" w:tentative="0">
      <w:start w:val="1"/>
      <w:numFmt w:val="decimal"/>
      <w:lvlText w:val="%1."/>
      <w:lvlJc w:val="left"/>
      <w:pPr>
        <w:tabs>
          <w:tab w:val="left" w:pos="907"/>
        </w:tabs>
        <w:ind w:left="907" w:hanging="907"/>
      </w:pPr>
      <w:rPr>
        <w:rFonts w:hint="eastAsia"/>
        <w:b/>
      </w:rPr>
    </w:lvl>
    <w:lvl w:ilvl="1" w:tentative="0">
      <w:start w:val="1"/>
      <w:numFmt w:val="decimal"/>
      <w:isLgl/>
      <w:lvlText w:val="27.%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A89D68FE"/>
    <w:multiLevelType w:val="singleLevel"/>
    <w:tmpl w:val="A89D68FE"/>
    <w:lvl w:ilvl="0" w:tentative="0">
      <w:start w:val="1"/>
      <w:numFmt w:val="bullet"/>
      <w:lvlText w:val=""/>
      <w:lvlJc w:val="left"/>
      <w:pPr>
        <w:ind w:left="420" w:hanging="420"/>
      </w:pPr>
      <w:rPr>
        <w:rFonts w:hint="default" w:ascii="Wingdings" w:hAnsi="Wingdings"/>
      </w:rPr>
    </w:lvl>
  </w:abstractNum>
  <w:abstractNum w:abstractNumId="7">
    <w:nsid w:val="A9E10F71"/>
    <w:multiLevelType w:val="multilevel"/>
    <w:tmpl w:val="A9E10F71"/>
    <w:lvl w:ilvl="0" w:tentative="0">
      <w:start w:val="1"/>
      <w:numFmt w:val="decimal"/>
      <w:lvlText w:val="%1."/>
      <w:lvlJc w:val="left"/>
      <w:pPr>
        <w:tabs>
          <w:tab w:val="left" w:pos="907"/>
        </w:tabs>
        <w:ind w:left="907" w:hanging="907"/>
      </w:pPr>
      <w:rPr>
        <w:rFonts w:hint="eastAsia"/>
        <w:b/>
      </w:rPr>
    </w:lvl>
    <w:lvl w:ilvl="1" w:tentative="0">
      <w:start w:val="1"/>
      <w:numFmt w:val="decimal"/>
      <w:isLgl/>
      <w:lvlText w:val="33.%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AA4DD313"/>
    <w:multiLevelType w:val="multilevel"/>
    <w:tmpl w:val="AA4DD313"/>
    <w:lvl w:ilvl="0" w:tentative="0">
      <w:start w:val="1"/>
      <w:numFmt w:val="decimal"/>
      <w:lvlText w:val="%1."/>
      <w:lvlJc w:val="left"/>
      <w:pPr>
        <w:tabs>
          <w:tab w:val="left" w:pos="907"/>
        </w:tabs>
        <w:ind w:left="907" w:hanging="907"/>
      </w:pPr>
      <w:rPr>
        <w:rFonts w:hint="eastAsia"/>
        <w:b/>
      </w:rPr>
    </w:lvl>
    <w:lvl w:ilvl="1" w:tentative="0">
      <w:start w:val="1"/>
      <w:numFmt w:val="decimal"/>
      <w:isLgl/>
      <w:lvlText w:val="12.%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AF9868AF"/>
    <w:multiLevelType w:val="multilevel"/>
    <w:tmpl w:val="AF9868AF"/>
    <w:lvl w:ilvl="0" w:tentative="0">
      <w:start w:val="1"/>
      <w:numFmt w:val="decimal"/>
      <w:lvlText w:val="20.%1"/>
      <w:lvlJc w:val="left"/>
      <w:pPr>
        <w:tabs>
          <w:tab w:val="left" w:pos="907"/>
        </w:tabs>
        <w:ind w:left="907" w:hanging="907"/>
      </w:pPr>
      <w:rPr>
        <w:rFonts w:hint="default" w:ascii="宋体" w:hAnsi="宋体" w:eastAsia="宋体" w:cs="宋体"/>
        <w:b w:val="0"/>
      </w:rPr>
    </w:lvl>
    <w:lvl w:ilvl="1" w:tentative="0">
      <w:start w:val="1"/>
      <w:numFmt w:val="decimal"/>
      <w:isLgl/>
      <w:lvlText w:val="19.%2."/>
      <w:lvlJc w:val="left"/>
      <w:pPr>
        <w:tabs>
          <w:tab w:val="left" w:pos="907"/>
        </w:tabs>
        <w:ind w:left="907" w:hanging="907"/>
      </w:pPr>
      <w:rPr>
        <w:rFonts w:hint="eastAsia" w:eastAsia="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AFD2DA23"/>
    <w:multiLevelType w:val="multilevel"/>
    <w:tmpl w:val="AFD2DA23"/>
    <w:lvl w:ilvl="0" w:tentative="0">
      <w:start w:val="1"/>
      <w:numFmt w:val="decimal"/>
      <w:lvlText w:val="%1."/>
      <w:lvlJc w:val="left"/>
      <w:pPr>
        <w:tabs>
          <w:tab w:val="left" w:pos="907"/>
        </w:tabs>
        <w:ind w:left="907" w:hanging="907"/>
      </w:pPr>
      <w:rPr>
        <w:rFonts w:hint="eastAsia"/>
        <w:b/>
      </w:rPr>
    </w:lvl>
    <w:lvl w:ilvl="1" w:tentative="0">
      <w:start w:val="1"/>
      <w:numFmt w:val="decimal"/>
      <w:isLgl/>
      <w:lvlText w:val="21.%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B00E335D"/>
    <w:multiLevelType w:val="multilevel"/>
    <w:tmpl w:val="B00E335D"/>
    <w:lvl w:ilvl="0" w:tentative="0">
      <w:start w:val="1"/>
      <w:numFmt w:val="decimal"/>
      <w:lvlText w:val="%1."/>
      <w:lvlJc w:val="left"/>
      <w:pPr>
        <w:tabs>
          <w:tab w:val="left" w:pos="907"/>
        </w:tabs>
        <w:ind w:left="907" w:hanging="907"/>
      </w:pPr>
      <w:rPr>
        <w:rFonts w:hint="eastAsia"/>
        <w:b/>
      </w:rPr>
    </w:lvl>
    <w:lvl w:ilvl="1" w:tentative="0">
      <w:start w:val="1"/>
      <w:numFmt w:val="decimal"/>
      <w:isLgl/>
      <w:lvlText w:val="6.%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B8EACBA9"/>
    <w:multiLevelType w:val="multilevel"/>
    <w:tmpl w:val="B8EACBA9"/>
    <w:lvl w:ilvl="0" w:tentative="0">
      <w:start w:val="1"/>
      <w:numFmt w:val="decimal"/>
      <w:lvlText w:val="%1."/>
      <w:lvlJc w:val="left"/>
      <w:pPr>
        <w:tabs>
          <w:tab w:val="left" w:pos="907"/>
        </w:tabs>
        <w:ind w:left="907" w:hanging="907"/>
      </w:pPr>
      <w:rPr>
        <w:rFonts w:hint="eastAsia"/>
        <w:b/>
      </w:rPr>
    </w:lvl>
    <w:lvl w:ilvl="1" w:tentative="0">
      <w:start w:val="1"/>
      <w:numFmt w:val="decimal"/>
      <w:isLgl/>
      <w:lvlText w:val="22.%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BC19AF0D"/>
    <w:multiLevelType w:val="multilevel"/>
    <w:tmpl w:val="BC19AF0D"/>
    <w:lvl w:ilvl="0" w:tentative="0">
      <w:start w:val="1"/>
      <w:numFmt w:val="decimal"/>
      <w:lvlText w:val="%1."/>
      <w:lvlJc w:val="left"/>
      <w:pPr>
        <w:tabs>
          <w:tab w:val="left" w:pos="907"/>
        </w:tabs>
        <w:ind w:left="907" w:hanging="907"/>
      </w:pPr>
      <w:rPr>
        <w:rFonts w:hint="eastAsia"/>
        <w:b/>
      </w:rPr>
    </w:lvl>
    <w:lvl w:ilvl="1" w:tentative="0">
      <w:start w:val="1"/>
      <w:numFmt w:val="decimal"/>
      <w:isLgl/>
      <w:lvlText w:val="32.%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C0CBC2A9"/>
    <w:multiLevelType w:val="multilevel"/>
    <w:tmpl w:val="C0CBC2A9"/>
    <w:lvl w:ilvl="0" w:tentative="0">
      <w:start w:val="1"/>
      <w:numFmt w:val="decimal"/>
      <w:lvlText w:val="%1."/>
      <w:lvlJc w:val="left"/>
      <w:pPr>
        <w:tabs>
          <w:tab w:val="left" w:pos="907"/>
        </w:tabs>
        <w:ind w:left="907" w:hanging="907"/>
      </w:pPr>
      <w:rPr>
        <w:rFonts w:hint="eastAsia"/>
        <w:b/>
      </w:rPr>
    </w:lvl>
    <w:lvl w:ilvl="1" w:tentative="0">
      <w:start w:val="1"/>
      <w:numFmt w:val="decimal"/>
      <w:isLgl/>
      <w:lvlText w:val="13.%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C22701CE"/>
    <w:multiLevelType w:val="multilevel"/>
    <w:tmpl w:val="C22701CE"/>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4.1.%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C2417F32"/>
    <w:multiLevelType w:val="multilevel"/>
    <w:tmpl w:val="C2417F32"/>
    <w:lvl w:ilvl="0" w:tentative="0">
      <w:start w:val="1"/>
      <w:numFmt w:val="decimal"/>
      <w:lvlText w:val="%1."/>
      <w:lvlJc w:val="left"/>
      <w:pPr>
        <w:tabs>
          <w:tab w:val="left" w:pos="907"/>
        </w:tabs>
        <w:ind w:left="907" w:hanging="907"/>
      </w:pPr>
      <w:rPr>
        <w:rFonts w:hint="eastAsia"/>
        <w:b/>
      </w:rPr>
    </w:lvl>
    <w:lvl w:ilvl="1" w:tentative="0">
      <w:start w:val="1"/>
      <w:numFmt w:val="decimal"/>
      <w:isLgl/>
      <w:lvlText w:val="43.%2."/>
      <w:lvlJc w:val="left"/>
      <w:pPr>
        <w:tabs>
          <w:tab w:val="left" w:pos="907"/>
        </w:tabs>
        <w:ind w:left="907" w:hanging="907"/>
      </w:pPr>
      <w:rPr>
        <w:rFonts w:hint="default" w:ascii="宋体" w:hAnsi="宋体" w:eastAsia="宋体" w:cs="宋体"/>
        <w:b w:val="0"/>
      </w:rPr>
    </w:lvl>
    <w:lvl w:ilvl="2" w:tentative="0">
      <w:start w:val="1"/>
      <w:numFmt w:val="decimal"/>
      <w:lvlText w:val="4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D002ECE8"/>
    <w:multiLevelType w:val="multilevel"/>
    <w:tmpl w:val="D002ECE8"/>
    <w:lvl w:ilvl="0" w:tentative="0">
      <w:start w:val="1"/>
      <w:numFmt w:val="decimal"/>
      <w:lvlText w:val="%1."/>
      <w:lvlJc w:val="left"/>
      <w:pPr>
        <w:tabs>
          <w:tab w:val="left" w:pos="907"/>
        </w:tabs>
        <w:ind w:left="907" w:hanging="907"/>
      </w:pPr>
      <w:rPr>
        <w:rFonts w:hint="eastAsia"/>
        <w:b/>
      </w:rPr>
    </w:lvl>
    <w:lvl w:ilvl="1" w:tentative="0">
      <w:start w:val="1"/>
      <w:numFmt w:val="decimal"/>
      <w:isLgl/>
      <w:lvlText w:val="38.%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D228F261"/>
    <w:multiLevelType w:val="multilevel"/>
    <w:tmpl w:val="D228F261"/>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1.2.%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9">
    <w:nsid w:val="D2D509F7"/>
    <w:multiLevelType w:val="multilevel"/>
    <w:tmpl w:val="D2D509F7"/>
    <w:lvl w:ilvl="0" w:tentative="0">
      <w:start w:val="1"/>
      <w:numFmt w:val="decimal"/>
      <w:lvlText w:val="%1."/>
      <w:lvlJc w:val="left"/>
      <w:pPr>
        <w:tabs>
          <w:tab w:val="left" w:pos="907"/>
        </w:tabs>
        <w:ind w:left="907" w:hanging="907"/>
      </w:pPr>
      <w:rPr>
        <w:rFonts w:hint="eastAsia"/>
        <w:b/>
      </w:rPr>
    </w:lvl>
    <w:lvl w:ilvl="1" w:tentative="0">
      <w:start w:val="1"/>
      <w:numFmt w:val="decimal"/>
      <w:isLgl/>
      <w:lvlText w:val="37.%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D82FDC4F"/>
    <w:multiLevelType w:val="multilevel"/>
    <w:tmpl w:val="D82FDC4F"/>
    <w:lvl w:ilvl="0" w:tentative="0">
      <w:start w:val="1"/>
      <w:numFmt w:val="decimal"/>
      <w:lvlText w:val="%1."/>
      <w:lvlJc w:val="left"/>
      <w:pPr>
        <w:tabs>
          <w:tab w:val="left" w:pos="907"/>
        </w:tabs>
        <w:ind w:left="907" w:hanging="907"/>
      </w:pPr>
      <w:rPr>
        <w:rFonts w:hint="eastAsia"/>
        <w:b/>
      </w:rPr>
    </w:lvl>
    <w:lvl w:ilvl="1" w:tentative="0">
      <w:start w:val="1"/>
      <w:numFmt w:val="decimal"/>
      <w:isLgl/>
      <w:lvlText w:val="31.%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DA854457"/>
    <w:multiLevelType w:val="multilevel"/>
    <w:tmpl w:val="DA854457"/>
    <w:lvl w:ilvl="0" w:tentative="0">
      <w:start w:val="1"/>
      <w:numFmt w:val="decimal"/>
      <w:lvlText w:val="%1."/>
      <w:lvlJc w:val="left"/>
      <w:pPr>
        <w:tabs>
          <w:tab w:val="left" w:pos="907"/>
        </w:tabs>
        <w:ind w:left="907" w:hanging="907"/>
      </w:pPr>
      <w:rPr>
        <w:rFonts w:hint="eastAsia"/>
        <w:b/>
      </w:rPr>
    </w:lvl>
    <w:lvl w:ilvl="1" w:tentative="0">
      <w:start w:val="1"/>
      <w:numFmt w:val="decimal"/>
      <w:isLgl/>
      <w:lvlText w:val="17.%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DB667128"/>
    <w:multiLevelType w:val="multilevel"/>
    <w:tmpl w:val="DB667128"/>
    <w:lvl w:ilvl="0" w:tentative="0">
      <w:start w:val="1"/>
      <w:numFmt w:val="decimal"/>
      <w:lvlText w:val="%1."/>
      <w:lvlJc w:val="left"/>
      <w:pPr>
        <w:tabs>
          <w:tab w:val="left" w:pos="907"/>
        </w:tabs>
        <w:ind w:left="907" w:hanging="907"/>
      </w:pPr>
      <w:rPr>
        <w:rFonts w:hint="eastAsia"/>
        <w:b/>
      </w:rPr>
    </w:lvl>
    <w:lvl w:ilvl="1" w:tentative="0">
      <w:start w:val="1"/>
      <w:numFmt w:val="decimal"/>
      <w:isLgl/>
      <w:lvlText w:val="39.%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E6A74FC1"/>
    <w:multiLevelType w:val="multilevel"/>
    <w:tmpl w:val="E6A74FC1"/>
    <w:lvl w:ilvl="0" w:tentative="0">
      <w:start w:val="1"/>
      <w:numFmt w:val="decimal"/>
      <w:lvlText w:val="%1."/>
      <w:lvlJc w:val="left"/>
      <w:pPr>
        <w:tabs>
          <w:tab w:val="left" w:pos="907"/>
        </w:tabs>
        <w:ind w:left="907" w:hanging="907"/>
      </w:pPr>
      <w:rPr>
        <w:rFonts w:hint="eastAsia"/>
        <w:b/>
      </w:rPr>
    </w:lvl>
    <w:lvl w:ilvl="1" w:tentative="0">
      <w:start w:val="1"/>
      <w:numFmt w:val="decimal"/>
      <w:isLgl/>
      <w:lvlText w:val="30.%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4">
    <w:nsid w:val="F0530013"/>
    <w:multiLevelType w:val="multilevel"/>
    <w:tmpl w:val="F0530013"/>
    <w:lvl w:ilvl="0" w:tentative="0">
      <w:start w:val="1"/>
      <w:numFmt w:val="decimal"/>
      <w:lvlText w:val="%1."/>
      <w:lvlJc w:val="left"/>
      <w:pPr>
        <w:tabs>
          <w:tab w:val="left" w:pos="907"/>
        </w:tabs>
        <w:ind w:left="907" w:hanging="907"/>
      </w:pPr>
      <w:rPr>
        <w:rFonts w:hint="eastAsia"/>
        <w:b/>
      </w:rPr>
    </w:lvl>
    <w:lvl w:ilvl="1" w:tentative="0">
      <w:start w:val="1"/>
      <w:numFmt w:val="decimal"/>
      <w:isLgl/>
      <w:lvlText w:val="28.%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F204C63F"/>
    <w:multiLevelType w:val="multilevel"/>
    <w:tmpl w:val="F204C63F"/>
    <w:lvl w:ilvl="0" w:tentative="0">
      <w:start w:val="1"/>
      <w:numFmt w:val="decimal"/>
      <w:lvlText w:val="%1."/>
      <w:lvlJc w:val="left"/>
      <w:pPr>
        <w:tabs>
          <w:tab w:val="left" w:pos="907"/>
        </w:tabs>
        <w:ind w:left="907" w:hanging="907"/>
      </w:pPr>
      <w:rPr>
        <w:rFonts w:hint="eastAsia"/>
        <w:b/>
      </w:rPr>
    </w:lvl>
    <w:lvl w:ilvl="1" w:tentative="0">
      <w:start w:val="1"/>
      <w:numFmt w:val="decimal"/>
      <w:isLgl/>
      <w:lvlText w:val="42.%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FD3D99E3"/>
    <w:multiLevelType w:val="multilevel"/>
    <w:tmpl w:val="FD3D99E3"/>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4.2.%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FF5CA5AF"/>
    <w:multiLevelType w:val="multilevel"/>
    <w:tmpl w:val="FF5CA5AF"/>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26.1.%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00000028"/>
    <w:multiLevelType w:val="multilevel"/>
    <w:tmpl w:val="00000028"/>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9">
    <w:nsid w:val="0000003A"/>
    <w:multiLevelType w:val="multilevel"/>
    <w:tmpl w:val="0000003A"/>
    <w:lvl w:ilvl="0" w:tentative="0">
      <w:start w:val="1"/>
      <w:numFmt w:val="decimal"/>
      <w:lvlText w:val="%1."/>
      <w:lvlJc w:val="left"/>
      <w:pPr>
        <w:tabs>
          <w:tab w:val="left" w:pos="907"/>
        </w:tabs>
        <w:ind w:left="907" w:hanging="907"/>
      </w:pPr>
      <w:rPr>
        <w:rFonts w:hint="eastAsia"/>
        <w:b/>
      </w:rPr>
    </w:lvl>
    <w:lvl w:ilvl="1" w:tentative="0">
      <w:start w:val="1"/>
      <w:numFmt w:val="decimal"/>
      <w:isLgl/>
      <w:lvlText w:val="4.%2."/>
      <w:lvlJc w:val="left"/>
      <w:pPr>
        <w:tabs>
          <w:tab w:val="left" w:pos="907"/>
        </w:tabs>
        <w:ind w:left="907" w:hanging="907"/>
      </w:pPr>
      <w:rPr>
        <w:rFonts w:hint="eastAsia"/>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0">
    <w:nsid w:val="0000004F"/>
    <w:multiLevelType w:val="multilevel"/>
    <w:tmpl w:val="0000004F"/>
    <w:lvl w:ilvl="0" w:tentative="0">
      <w:start w:val="1"/>
      <w:numFmt w:val="decimal"/>
      <w:lvlText w:val="%1."/>
      <w:lvlJc w:val="left"/>
      <w:pPr>
        <w:tabs>
          <w:tab w:val="left" w:pos="907"/>
        </w:tabs>
        <w:ind w:left="907" w:hanging="907"/>
      </w:pPr>
      <w:rPr>
        <w:rFonts w:hint="eastAsia"/>
        <w:b/>
      </w:rPr>
    </w:lvl>
    <w:lvl w:ilvl="1" w:tentative="0">
      <w:start w:val="1"/>
      <w:numFmt w:val="decimal"/>
      <w:isLgl/>
      <w:lvlText w:val="2.%2."/>
      <w:lvlJc w:val="left"/>
      <w:pPr>
        <w:tabs>
          <w:tab w:val="left" w:pos="907"/>
        </w:tabs>
        <w:ind w:left="907" w:hanging="907"/>
      </w:pPr>
      <w:rPr>
        <w:rFonts w:hint="eastAsia"/>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1">
    <w:nsid w:val="04944B75"/>
    <w:multiLevelType w:val="multilevel"/>
    <w:tmpl w:val="04944B75"/>
    <w:lvl w:ilvl="0" w:tentative="0">
      <w:start w:val="1"/>
      <w:numFmt w:val="decimal"/>
      <w:lvlText w:val="%1."/>
      <w:lvlJc w:val="left"/>
      <w:pPr>
        <w:tabs>
          <w:tab w:val="left" w:pos="907"/>
        </w:tabs>
        <w:ind w:left="907" w:hanging="907"/>
      </w:pPr>
      <w:rPr>
        <w:rFonts w:hint="eastAsia"/>
        <w:b/>
      </w:rPr>
    </w:lvl>
    <w:lvl w:ilvl="1" w:tentative="0">
      <w:start w:val="1"/>
      <w:numFmt w:val="decimal"/>
      <w:isLgl/>
      <w:lvlText w:val="11.%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2">
    <w:nsid w:val="0609AC39"/>
    <w:multiLevelType w:val="singleLevel"/>
    <w:tmpl w:val="0609AC39"/>
    <w:lvl w:ilvl="0" w:tentative="0">
      <w:start w:val="2"/>
      <w:numFmt w:val="chineseCounting"/>
      <w:suff w:val="nothing"/>
      <w:lvlText w:val="（%1）"/>
      <w:lvlJc w:val="left"/>
      <w:rPr>
        <w:rFonts w:hint="eastAsia"/>
      </w:rPr>
    </w:lvl>
  </w:abstractNum>
  <w:abstractNum w:abstractNumId="33">
    <w:nsid w:val="08FB2646"/>
    <w:multiLevelType w:val="multilevel"/>
    <w:tmpl w:val="08FB2646"/>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4">
    <w:nsid w:val="09DB2046"/>
    <w:multiLevelType w:val="multilevel"/>
    <w:tmpl w:val="09DB2046"/>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27.4.%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1175E00E"/>
    <w:multiLevelType w:val="multilevel"/>
    <w:tmpl w:val="1175E00E"/>
    <w:lvl w:ilvl="0" w:tentative="0">
      <w:start w:val="1"/>
      <w:numFmt w:val="decimal"/>
      <w:lvlText w:val="%1."/>
      <w:lvlJc w:val="left"/>
      <w:pPr>
        <w:tabs>
          <w:tab w:val="left" w:pos="907"/>
        </w:tabs>
        <w:ind w:left="907" w:hanging="907"/>
      </w:pPr>
      <w:rPr>
        <w:rFonts w:hint="eastAsia"/>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11AE64C4"/>
    <w:multiLevelType w:val="multilevel"/>
    <w:tmpl w:val="11AE64C4"/>
    <w:lvl w:ilvl="0" w:tentative="0">
      <w:start w:val="1"/>
      <w:numFmt w:val="none"/>
      <w:lvlText w:val="3.1."/>
      <w:lvlJc w:val="left"/>
      <w:pPr>
        <w:tabs>
          <w:tab w:val="left" w:pos="907"/>
        </w:tabs>
        <w:ind w:left="907" w:hanging="907"/>
      </w:pPr>
      <w:rPr>
        <w:rFonts w:hint="eastAsia"/>
        <w:b/>
      </w:rPr>
    </w:lvl>
    <w:lvl w:ilvl="1" w:tentative="0">
      <w:start w:val="1"/>
      <w:numFmt w:val="none"/>
      <w:isLgl/>
      <w:lvlText w:val="3.1."/>
      <w:lvlJc w:val="left"/>
      <w:pPr>
        <w:tabs>
          <w:tab w:val="left" w:pos="907"/>
        </w:tabs>
        <w:ind w:left="907" w:hanging="907"/>
      </w:pPr>
      <w:rPr>
        <w:rFonts w:hint="eastAsia"/>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11D42D01"/>
    <w:multiLevelType w:val="multilevel"/>
    <w:tmpl w:val="11D42D01"/>
    <w:lvl w:ilvl="0" w:tentative="0">
      <w:start w:val="1"/>
      <w:numFmt w:val="decimal"/>
      <w:lvlText w:val="（%1）"/>
      <w:lvlJc w:val="left"/>
      <w:pPr>
        <w:ind w:left="902" w:hanging="420"/>
      </w:pPr>
      <w:rPr>
        <w:rFonts w:hint="default" w:ascii="宋体" w:hAnsi="宋体" w:eastAsia="宋体"/>
        <w:color w:val="auto"/>
        <w:sz w:val="21"/>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8">
    <w:nsid w:val="12CE74D2"/>
    <w:multiLevelType w:val="multilevel"/>
    <w:tmpl w:val="12CE74D2"/>
    <w:lvl w:ilvl="0" w:tentative="0">
      <w:start w:val="1"/>
      <w:numFmt w:val="chineseCounting"/>
      <w:suff w:val="nothing"/>
      <w:lvlText w:val="第%1章 "/>
      <w:lvlJc w:val="left"/>
      <w:pPr>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pStyle w:val="8"/>
      <w:isLgl/>
      <w:lvlText w:val="%1.%2.%3.%4.%5."/>
      <w:lvlJc w:val="left"/>
      <w:pPr>
        <w:ind w:left="1008" w:hanging="1008"/>
      </w:pPr>
      <w:rPr>
        <w:rFonts w:hint="eastAsia"/>
      </w:rPr>
    </w:lvl>
    <w:lvl w:ilvl="5" w:tentative="0">
      <w:start w:val="1"/>
      <w:numFmt w:val="decimal"/>
      <w:pStyle w:val="9"/>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39">
    <w:nsid w:val="1766605B"/>
    <w:multiLevelType w:val="multilevel"/>
    <w:tmpl w:val="1766605B"/>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0">
    <w:nsid w:val="1DB30E2E"/>
    <w:multiLevelType w:val="multilevel"/>
    <w:tmpl w:val="1DB30E2E"/>
    <w:lvl w:ilvl="0" w:tentative="0">
      <w:start w:val="1"/>
      <w:numFmt w:val="decimal"/>
      <w:lvlText w:val="（%1）"/>
      <w:lvlJc w:val="left"/>
      <w:pPr>
        <w:ind w:left="1151" w:hanging="720"/>
      </w:pPr>
      <w:rPr>
        <w:rFonts w:hint="default"/>
      </w:rPr>
    </w:lvl>
    <w:lvl w:ilvl="1" w:tentative="0">
      <w:start w:val="1"/>
      <w:numFmt w:val="lowerLetter"/>
      <w:lvlText w:val="%2)"/>
      <w:lvlJc w:val="left"/>
      <w:pPr>
        <w:ind w:left="1271" w:hanging="420"/>
      </w:pPr>
    </w:lvl>
    <w:lvl w:ilvl="2" w:tentative="0">
      <w:start w:val="1"/>
      <w:numFmt w:val="lowerRoman"/>
      <w:lvlText w:val="%3."/>
      <w:lvlJc w:val="right"/>
      <w:pPr>
        <w:ind w:left="1691" w:hanging="420"/>
      </w:pPr>
    </w:lvl>
    <w:lvl w:ilvl="3" w:tentative="0">
      <w:start w:val="1"/>
      <w:numFmt w:val="decimal"/>
      <w:lvlText w:val="%4."/>
      <w:lvlJc w:val="left"/>
      <w:pPr>
        <w:ind w:left="2111" w:hanging="420"/>
      </w:pPr>
    </w:lvl>
    <w:lvl w:ilvl="4" w:tentative="0">
      <w:start w:val="1"/>
      <w:numFmt w:val="lowerLetter"/>
      <w:lvlText w:val="%5)"/>
      <w:lvlJc w:val="left"/>
      <w:pPr>
        <w:ind w:left="2531" w:hanging="420"/>
      </w:pPr>
    </w:lvl>
    <w:lvl w:ilvl="5" w:tentative="0">
      <w:start w:val="1"/>
      <w:numFmt w:val="lowerRoman"/>
      <w:lvlText w:val="%6."/>
      <w:lvlJc w:val="right"/>
      <w:pPr>
        <w:ind w:left="2951" w:hanging="420"/>
      </w:pPr>
    </w:lvl>
    <w:lvl w:ilvl="6" w:tentative="0">
      <w:start w:val="1"/>
      <w:numFmt w:val="decimal"/>
      <w:lvlText w:val="%7."/>
      <w:lvlJc w:val="left"/>
      <w:pPr>
        <w:ind w:left="3371" w:hanging="420"/>
      </w:pPr>
    </w:lvl>
    <w:lvl w:ilvl="7" w:tentative="0">
      <w:start w:val="1"/>
      <w:numFmt w:val="lowerLetter"/>
      <w:lvlText w:val="%8)"/>
      <w:lvlJc w:val="left"/>
      <w:pPr>
        <w:ind w:left="3791" w:hanging="420"/>
      </w:pPr>
    </w:lvl>
    <w:lvl w:ilvl="8" w:tentative="0">
      <w:start w:val="1"/>
      <w:numFmt w:val="lowerRoman"/>
      <w:lvlText w:val="%9."/>
      <w:lvlJc w:val="right"/>
      <w:pPr>
        <w:ind w:left="4211" w:hanging="420"/>
      </w:pPr>
    </w:lvl>
  </w:abstractNum>
  <w:abstractNum w:abstractNumId="41">
    <w:nsid w:val="200049DC"/>
    <w:multiLevelType w:val="multilevel"/>
    <w:tmpl w:val="200049DC"/>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2">
    <w:nsid w:val="2358F3A8"/>
    <w:multiLevelType w:val="multilevel"/>
    <w:tmpl w:val="2358F3A8"/>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default" w:ascii="宋体" w:hAnsi="宋体" w:eastAsia="宋体" w:cs="宋体"/>
        <w:b w:val="0"/>
      </w:rPr>
    </w:lvl>
    <w:lvl w:ilvl="2" w:tentative="0">
      <w:start w:val="1"/>
      <w:numFmt w:val="decimal"/>
      <w:lvlText w:val="14.%2.%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3">
    <w:nsid w:val="29A13BAF"/>
    <w:multiLevelType w:val="multilevel"/>
    <w:tmpl w:val="29A13BAF"/>
    <w:lvl w:ilvl="0" w:tentative="0">
      <w:start w:val="1"/>
      <w:numFmt w:val="bullet"/>
      <w:lvlText w:val=""/>
      <w:lvlJc w:val="left"/>
      <w:pPr>
        <w:ind w:left="421" w:hanging="420"/>
      </w:pPr>
      <w:rPr>
        <w:rFonts w:hint="default" w:ascii="Wingdings" w:hAnsi="Wingdings"/>
      </w:rPr>
    </w:lvl>
    <w:lvl w:ilvl="1" w:tentative="0">
      <w:start w:val="1"/>
      <w:numFmt w:val="decimal"/>
      <w:lvlText w:val="%2、"/>
      <w:lvlJc w:val="left"/>
      <w:pPr>
        <w:ind w:left="786" w:hanging="360"/>
      </w:pPr>
      <w:rPr>
        <w:rFonts w:hint="default"/>
      </w:rPr>
    </w:lvl>
    <w:lvl w:ilvl="2" w:tentative="0">
      <w:start w:val="1"/>
      <w:numFmt w:val="japaneseCounting"/>
      <w:lvlText w:val="（%3）"/>
      <w:lvlJc w:val="left"/>
      <w:pPr>
        <w:ind w:left="1561" w:hanging="720"/>
      </w:pPr>
      <w:rPr>
        <w:rFonts w:hint="default"/>
      </w:r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44">
    <w:nsid w:val="2C48416B"/>
    <w:multiLevelType w:val="multilevel"/>
    <w:tmpl w:val="2C48416B"/>
    <w:lvl w:ilvl="0" w:tentative="0">
      <w:start w:val="1"/>
      <w:numFmt w:val="decimal"/>
      <w:lvlText w:val="4.1.%1"/>
      <w:lvlJc w:val="left"/>
      <w:pPr>
        <w:tabs>
          <w:tab w:val="left" w:pos="907"/>
        </w:tabs>
        <w:ind w:left="907" w:hanging="907"/>
      </w:pPr>
      <w:rPr>
        <w:rFonts w:hint="default" w:ascii="宋体" w:hAnsi="宋体" w:eastAsia="宋体" w:cs="宋体"/>
        <w:b w:val="0"/>
      </w:rPr>
    </w:lvl>
    <w:lvl w:ilvl="1" w:tentative="0">
      <w:start w:val="1"/>
      <w:numFmt w:val="decimal"/>
      <w:lvlText w:val="6.2.%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5">
    <w:nsid w:val="3165F6A4"/>
    <w:multiLevelType w:val="multilevel"/>
    <w:tmpl w:val="3165F6A4"/>
    <w:lvl w:ilvl="0" w:tentative="0">
      <w:start w:val="1"/>
      <w:numFmt w:val="decimal"/>
      <w:lvlText w:val="%1."/>
      <w:lvlJc w:val="left"/>
      <w:pPr>
        <w:tabs>
          <w:tab w:val="left" w:pos="907"/>
        </w:tabs>
        <w:ind w:left="907" w:hanging="907"/>
      </w:pPr>
      <w:rPr>
        <w:rFonts w:hint="eastAsia"/>
        <w:b/>
      </w:rPr>
    </w:lvl>
    <w:lvl w:ilvl="1" w:tentative="0">
      <w:start w:val="1"/>
      <w:numFmt w:val="decimal"/>
      <w:isLgl/>
      <w:lvlText w:val="26.%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6">
    <w:nsid w:val="36A80CE3"/>
    <w:multiLevelType w:val="multilevel"/>
    <w:tmpl w:val="36A80CE3"/>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7">
    <w:nsid w:val="389572DE"/>
    <w:multiLevelType w:val="multilevel"/>
    <w:tmpl w:val="389572DE"/>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8">
    <w:nsid w:val="3E8846B6"/>
    <w:multiLevelType w:val="multilevel"/>
    <w:tmpl w:val="3E8846B6"/>
    <w:lvl w:ilvl="0" w:tentative="0">
      <w:start w:val="1"/>
      <w:numFmt w:val="decimal"/>
      <w:lvlText w:val="%1."/>
      <w:lvlJc w:val="left"/>
      <w:pPr>
        <w:tabs>
          <w:tab w:val="left" w:pos="907"/>
        </w:tabs>
        <w:ind w:left="907" w:hanging="907"/>
      </w:pPr>
      <w:rPr>
        <w:rFonts w:hint="eastAsia"/>
        <w:b/>
      </w:rPr>
    </w:lvl>
    <w:lvl w:ilvl="1" w:tentative="0">
      <w:start w:val="1"/>
      <w:numFmt w:val="decimal"/>
      <w:isLgl/>
      <w:lvlText w:val="25.%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9">
    <w:nsid w:val="3F8DA08C"/>
    <w:multiLevelType w:val="multilevel"/>
    <w:tmpl w:val="3F8DA08C"/>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1.1.%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0">
    <w:nsid w:val="401A4206"/>
    <w:multiLevelType w:val="multilevel"/>
    <w:tmpl w:val="401A4206"/>
    <w:lvl w:ilvl="0" w:tentative="0">
      <w:start w:val="1"/>
      <w:numFmt w:val="decimal"/>
      <w:lvlText w:val="%1."/>
      <w:lvlJc w:val="left"/>
      <w:pPr>
        <w:tabs>
          <w:tab w:val="left" w:pos="907"/>
        </w:tabs>
        <w:ind w:left="907" w:hanging="907"/>
      </w:pPr>
      <w:rPr>
        <w:rFonts w:hint="eastAsia"/>
        <w:b/>
      </w:rPr>
    </w:lvl>
    <w:lvl w:ilvl="1" w:tentative="0">
      <w:start w:val="1"/>
      <w:numFmt w:val="decimal"/>
      <w:isLgl/>
      <w:lvlText w:val="40.%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1">
    <w:nsid w:val="48024D8F"/>
    <w:multiLevelType w:val="multilevel"/>
    <w:tmpl w:val="48024D8F"/>
    <w:lvl w:ilvl="0" w:tentative="0">
      <w:start w:val="1"/>
      <w:numFmt w:val="decimal"/>
      <w:lvlText w:val="%1."/>
      <w:lvlJc w:val="left"/>
      <w:pPr>
        <w:tabs>
          <w:tab w:val="left" w:pos="907"/>
        </w:tabs>
        <w:ind w:left="907" w:hanging="907"/>
      </w:pPr>
      <w:rPr>
        <w:rFonts w:hint="eastAsia"/>
        <w:b/>
      </w:rPr>
    </w:lvl>
    <w:lvl w:ilvl="1" w:tentative="0">
      <w:start w:val="1"/>
      <w:numFmt w:val="decimal"/>
      <w:isLgl/>
      <w:lvlText w:val="7.%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2">
    <w:nsid w:val="4A8B0558"/>
    <w:multiLevelType w:val="multilevel"/>
    <w:tmpl w:val="4A8B0558"/>
    <w:lvl w:ilvl="0" w:tentative="0">
      <w:start w:val="1"/>
      <w:numFmt w:val="decimal"/>
      <w:lvlText w:val="%1）"/>
      <w:lvlJc w:val="left"/>
      <w:pPr>
        <w:tabs>
          <w:tab w:val="left" w:pos="1920"/>
        </w:tabs>
        <w:ind w:left="19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4C56676A"/>
    <w:multiLevelType w:val="multilevel"/>
    <w:tmpl w:val="4C56676A"/>
    <w:lvl w:ilvl="0" w:tentative="0">
      <w:start w:val="1"/>
      <w:numFmt w:val="decimal"/>
      <w:lvlText w:val="19.%1"/>
      <w:lvlJc w:val="left"/>
      <w:pPr>
        <w:tabs>
          <w:tab w:val="left" w:pos="907"/>
        </w:tabs>
        <w:ind w:left="907" w:hanging="907"/>
      </w:pPr>
      <w:rPr>
        <w:rFonts w:hint="default" w:ascii="宋体" w:hAnsi="宋体" w:eastAsia="宋体" w:cs="宋体"/>
        <w:b w:val="0"/>
      </w:rPr>
    </w:lvl>
    <w:lvl w:ilvl="1" w:tentative="0">
      <w:start w:val="1"/>
      <w:numFmt w:val="decimal"/>
      <w:isLgl/>
      <w:lvlText w:val="19.%2."/>
      <w:lvlJc w:val="left"/>
      <w:pPr>
        <w:tabs>
          <w:tab w:val="left" w:pos="907"/>
        </w:tabs>
        <w:ind w:left="907" w:hanging="907"/>
      </w:pPr>
      <w:rPr>
        <w:rFonts w:hint="eastAsia" w:eastAsia="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4">
    <w:nsid w:val="4D4FE455"/>
    <w:multiLevelType w:val="multilevel"/>
    <w:tmpl w:val="4D4FE455"/>
    <w:lvl w:ilvl="0" w:tentative="0">
      <w:start w:val="1"/>
      <w:numFmt w:val="decimal"/>
      <w:lvlText w:val="%1."/>
      <w:lvlJc w:val="left"/>
      <w:pPr>
        <w:tabs>
          <w:tab w:val="left" w:pos="907"/>
        </w:tabs>
        <w:ind w:left="907" w:hanging="907"/>
      </w:pPr>
      <w:rPr>
        <w:rFonts w:hint="eastAsia"/>
        <w:b/>
      </w:rPr>
    </w:lvl>
    <w:lvl w:ilvl="1" w:tentative="0">
      <w:start w:val="1"/>
      <w:numFmt w:val="decimal"/>
      <w:isLgl/>
      <w:lvlText w:val="16.%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5">
    <w:nsid w:val="52D45F6D"/>
    <w:multiLevelType w:val="multilevel"/>
    <w:tmpl w:val="52D45F6D"/>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6">
    <w:nsid w:val="574243A6"/>
    <w:multiLevelType w:val="multilevel"/>
    <w:tmpl w:val="574243A6"/>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7">
    <w:nsid w:val="57FDEF10"/>
    <w:multiLevelType w:val="multilevel"/>
    <w:tmpl w:val="57FDEF10"/>
    <w:lvl w:ilvl="0" w:tentative="0">
      <w:start w:val="1"/>
      <w:numFmt w:val="decimal"/>
      <w:lvlText w:val="24.4.%1"/>
      <w:lvlJc w:val="left"/>
      <w:pPr>
        <w:ind w:left="425" w:hanging="425"/>
      </w:pPr>
      <w:rPr>
        <w:rFonts w:hint="default" w:ascii="宋体" w:hAnsi="宋体" w:eastAsia="宋体" w:cs="宋体"/>
        <w:w w:val="100"/>
        <w:lang w:val="zh-CN" w:eastAsia="zh-CN" w:bidi="zh-CN"/>
      </w:rPr>
    </w:lvl>
    <w:lvl w:ilvl="1" w:tentative="0">
      <w:start w:val="1"/>
      <w:numFmt w:val="decimal"/>
      <w:lvlText w:val="%1.%2."/>
      <w:lvlJc w:val="left"/>
      <w:pPr>
        <w:ind w:left="566" w:hanging="567"/>
      </w:pPr>
      <w:rPr>
        <w:rFonts w:hint="default"/>
        <w:w w:val="100"/>
        <w:lang w:val="zh-CN" w:eastAsia="zh-CN" w:bidi="zh-CN"/>
      </w:rPr>
    </w:lvl>
    <w:lvl w:ilvl="2" w:tentative="0">
      <w:start w:val="1"/>
      <w:numFmt w:val="decimal"/>
      <w:lvlText w:val="27.2.%3"/>
      <w:lvlJc w:val="left"/>
      <w:pPr>
        <w:ind w:left="708" w:hanging="567"/>
      </w:pPr>
      <w:rPr>
        <w:rFonts w:hint="default" w:ascii="宋体" w:hAnsi="宋体" w:eastAsia="宋体" w:cs="宋体"/>
        <w:w w:val="100"/>
        <w:sz w:val="21"/>
        <w:szCs w:val="21"/>
        <w:lang w:val="zh-CN" w:eastAsia="zh-CN" w:bidi="zh-CN"/>
      </w:rPr>
    </w:lvl>
    <w:lvl w:ilvl="3" w:tentative="0">
      <w:start w:val="0"/>
      <w:numFmt w:val="bullet"/>
      <w:lvlText w:val="•"/>
      <w:lvlJc w:val="left"/>
      <w:pPr>
        <w:ind w:left="1850" w:hanging="567"/>
      </w:pPr>
      <w:rPr>
        <w:rFonts w:hint="default"/>
        <w:lang w:val="zh-CN" w:eastAsia="zh-CN" w:bidi="zh-CN"/>
      </w:rPr>
    </w:lvl>
    <w:lvl w:ilvl="4" w:tentative="0">
      <w:start w:val="0"/>
      <w:numFmt w:val="bullet"/>
      <w:lvlText w:val="•"/>
      <w:lvlJc w:val="left"/>
      <w:pPr>
        <w:ind w:left="3001" w:hanging="567"/>
      </w:pPr>
      <w:rPr>
        <w:rFonts w:hint="default"/>
        <w:lang w:val="zh-CN" w:eastAsia="zh-CN" w:bidi="zh-CN"/>
      </w:rPr>
    </w:lvl>
    <w:lvl w:ilvl="5" w:tentative="0">
      <w:start w:val="0"/>
      <w:numFmt w:val="bullet"/>
      <w:lvlText w:val="•"/>
      <w:lvlJc w:val="left"/>
      <w:pPr>
        <w:ind w:left="4152" w:hanging="567"/>
      </w:pPr>
      <w:rPr>
        <w:rFonts w:hint="default"/>
        <w:lang w:val="zh-CN" w:eastAsia="zh-CN" w:bidi="zh-CN"/>
      </w:rPr>
    </w:lvl>
    <w:lvl w:ilvl="6" w:tentative="0">
      <w:start w:val="0"/>
      <w:numFmt w:val="bullet"/>
      <w:lvlText w:val="•"/>
      <w:lvlJc w:val="left"/>
      <w:pPr>
        <w:ind w:left="5303" w:hanging="567"/>
      </w:pPr>
      <w:rPr>
        <w:rFonts w:hint="default"/>
        <w:lang w:val="zh-CN" w:eastAsia="zh-CN" w:bidi="zh-CN"/>
      </w:rPr>
    </w:lvl>
    <w:lvl w:ilvl="7" w:tentative="0">
      <w:start w:val="0"/>
      <w:numFmt w:val="bullet"/>
      <w:lvlText w:val="•"/>
      <w:lvlJc w:val="left"/>
      <w:pPr>
        <w:ind w:left="6454" w:hanging="567"/>
      </w:pPr>
      <w:rPr>
        <w:rFonts w:hint="default"/>
        <w:lang w:val="zh-CN" w:eastAsia="zh-CN" w:bidi="zh-CN"/>
      </w:rPr>
    </w:lvl>
    <w:lvl w:ilvl="8" w:tentative="0">
      <w:start w:val="0"/>
      <w:numFmt w:val="bullet"/>
      <w:lvlText w:val="•"/>
      <w:lvlJc w:val="left"/>
      <w:pPr>
        <w:ind w:left="7604" w:hanging="567"/>
      </w:pPr>
      <w:rPr>
        <w:rFonts w:hint="default"/>
        <w:lang w:val="zh-CN" w:eastAsia="zh-CN" w:bidi="zh-CN"/>
      </w:rPr>
    </w:lvl>
  </w:abstractNum>
  <w:abstractNum w:abstractNumId="58">
    <w:nsid w:val="5CDF1E11"/>
    <w:multiLevelType w:val="multilevel"/>
    <w:tmpl w:val="5CDF1E11"/>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9">
    <w:nsid w:val="5F8F954A"/>
    <w:multiLevelType w:val="multilevel"/>
    <w:tmpl w:val="5F8F954A"/>
    <w:lvl w:ilvl="0" w:tentative="0">
      <w:start w:val="1"/>
      <w:numFmt w:val="decimal"/>
      <w:lvlText w:val="%1."/>
      <w:lvlJc w:val="left"/>
      <w:pPr>
        <w:tabs>
          <w:tab w:val="left" w:pos="907"/>
        </w:tabs>
        <w:ind w:left="907" w:hanging="907"/>
      </w:pPr>
      <w:rPr>
        <w:rFonts w:hint="eastAsia"/>
        <w:b/>
      </w:rPr>
    </w:lvl>
    <w:lvl w:ilvl="1" w:tentative="0">
      <w:start w:val="1"/>
      <w:numFmt w:val="decimal"/>
      <w:isLgl/>
      <w:lvlText w:val="41.%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0">
    <w:nsid w:val="5FADE20A"/>
    <w:multiLevelType w:val="singleLevel"/>
    <w:tmpl w:val="5FADE20A"/>
    <w:lvl w:ilvl="0" w:tentative="0">
      <w:start w:val="5"/>
      <w:numFmt w:val="chineseCounting"/>
      <w:suff w:val="space"/>
      <w:lvlText w:val="第%1章"/>
      <w:lvlJc w:val="left"/>
    </w:lvl>
  </w:abstractNum>
  <w:abstractNum w:abstractNumId="61">
    <w:nsid w:val="6639293E"/>
    <w:multiLevelType w:val="multilevel"/>
    <w:tmpl w:val="6639293E"/>
    <w:lvl w:ilvl="0" w:tentative="0">
      <w:start w:val="1"/>
      <w:numFmt w:val="decimal"/>
      <w:lvlText w:val="%1."/>
      <w:lvlJc w:val="left"/>
      <w:pPr>
        <w:tabs>
          <w:tab w:val="left" w:pos="907"/>
        </w:tabs>
        <w:ind w:left="907" w:hanging="907"/>
      </w:pPr>
      <w:rPr>
        <w:rFonts w:hint="eastAsia"/>
        <w:b/>
      </w:rPr>
    </w:lvl>
    <w:lvl w:ilvl="1" w:tentative="0">
      <w:start w:val="1"/>
      <w:numFmt w:val="decimal"/>
      <w:isLgl/>
      <w:lvlText w:val="24.%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2">
    <w:nsid w:val="671913AA"/>
    <w:multiLevelType w:val="multilevel"/>
    <w:tmpl w:val="671913AA"/>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1.3.%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3">
    <w:nsid w:val="67CD9943"/>
    <w:multiLevelType w:val="multilevel"/>
    <w:tmpl w:val="67CD9943"/>
    <w:lvl w:ilvl="0" w:tentative="0">
      <w:start w:val="1"/>
      <w:numFmt w:val="decimal"/>
      <w:lvlText w:val="23.1.%1"/>
      <w:lvlJc w:val="left"/>
      <w:pPr>
        <w:tabs>
          <w:tab w:val="left" w:pos="907"/>
        </w:tabs>
        <w:ind w:left="907" w:hanging="907"/>
      </w:pPr>
      <w:rPr>
        <w:rFonts w:hint="default" w:ascii="宋体" w:hAnsi="宋体" w:eastAsia="宋体" w:cs="宋体"/>
        <w:b w:val="0"/>
      </w:rPr>
    </w:lvl>
    <w:lvl w:ilvl="1" w:tentative="0">
      <w:start w:val="1"/>
      <w:numFmt w:val="decimal"/>
      <w:isLgl/>
      <w:lvlText w:val="27.%2."/>
      <w:lvlJc w:val="left"/>
      <w:pPr>
        <w:tabs>
          <w:tab w:val="left" w:pos="907"/>
        </w:tabs>
        <w:ind w:left="907" w:hanging="907"/>
      </w:pPr>
      <w:rPr>
        <w:rFonts w:hint="eastAsia" w:eastAsia="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4">
    <w:nsid w:val="6CE7ABAE"/>
    <w:multiLevelType w:val="singleLevel"/>
    <w:tmpl w:val="6CE7ABAE"/>
    <w:lvl w:ilvl="0" w:tentative="0">
      <w:start w:val="2"/>
      <w:numFmt w:val="decimal"/>
      <w:suff w:val="nothing"/>
      <w:lvlText w:val="%1、"/>
      <w:lvlJc w:val="left"/>
    </w:lvl>
  </w:abstractNum>
  <w:abstractNum w:abstractNumId="65">
    <w:nsid w:val="71BCB1A9"/>
    <w:multiLevelType w:val="multilevel"/>
    <w:tmpl w:val="71BCB1A9"/>
    <w:lvl w:ilvl="0" w:tentative="0">
      <w:start w:val="1"/>
      <w:numFmt w:val="decimal"/>
      <w:lvlText w:val="28.1.%1"/>
      <w:lvlJc w:val="left"/>
      <w:pPr>
        <w:tabs>
          <w:tab w:val="left" w:pos="907"/>
        </w:tabs>
        <w:ind w:left="907" w:hanging="907"/>
      </w:pPr>
      <w:rPr>
        <w:rFonts w:hint="default" w:ascii="宋体" w:hAnsi="宋体" w:eastAsia="宋体" w:cs="宋体"/>
        <w:b w:val="0"/>
      </w:rPr>
    </w:lvl>
    <w:lvl w:ilvl="1" w:tentative="0">
      <w:start w:val="1"/>
      <w:numFmt w:val="decimal"/>
      <w:isLgl/>
      <w:lvlText w:val="23.%2."/>
      <w:lvlJc w:val="left"/>
      <w:pPr>
        <w:tabs>
          <w:tab w:val="left" w:pos="907"/>
        </w:tabs>
        <w:ind w:left="907" w:hanging="907"/>
      </w:pPr>
      <w:rPr>
        <w:rFonts w:hint="eastAsia"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6">
    <w:nsid w:val="747E531B"/>
    <w:multiLevelType w:val="multilevel"/>
    <w:tmpl w:val="747E53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74A59161"/>
    <w:multiLevelType w:val="multilevel"/>
    <w:tmpl w:val="74A59161"/>
    <w:lvl w:ilvl="0" w:tentative="0">
      <w:start w:val="1"/>
      <w:numFmt w:val="decimal"/>
      <w:lvlText w:val="%1."/>
      <w:lvlJc w:val="left"/>
      <w:pPr>
        <w:tabs>
          <w:tab w:val="left" w:pos="907"/>
        </w:tabs>
        <w:ind w:left="907" w:hanging="907"/>
      </w:pPr>
      <w:rPr>
        <w:rFonts w:hint="eastAsia"/>
        <w:b/>
      </w:rPr>
    </w:lvl>
    <w:lvl w:ilvl="1" w:tentative="0">
      <w:start w:val="1"/>
      <w:numFmt w:val="decimal"/>
      <w:isLgl/>
      <w:lvlText w:val="15.%2."/>
      <w:lvlJc w:val="left"/>
      <w:pPr>
        <w:tabs>
          <w:tab w:val="left" w:pos="907"/>
        </w:tabs>
        <w:ind w:left="907" w:hanging="907"/>
      </w:pPr>
      <w:rPr>
        <w:rFonts w:hint="default" w:ascii="宋体" w:hAnsi="宋体" w:eastAsia="宋体" w:cs="宋体"/>
        <w:b w:val="0"/>
      </w:rPr>
    </w:lvl>
    <w:lvl w:ilvl="2" w:tentative="0">
      <w:start w:val="1"/>
      <w:numFmt w:val="decimal"/>
      <w:lvlText w:val="15.%2.%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8">
    <w:nsid w:val="7C3E3361"/>
    <w:multiLevelType w:val="multilevel"/>
    <w:tmpl w:val="7C3E3361"/>
    <w:lvl w:ilvl="0" w:tentative="0">
      <w:start w:val="1"/>
      <w:numFmt w:val="decimal"/>
      <w:lvlText w:val="（%1）"/>
      <w:lvlJc w:val="left"/>
      <w:pPr>
        <w:ind w:left="1200" w:hanging="720"/>
      </w:pPr>
      <w:rPr>
        <w:rFonts w:hint="default"/>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9">
    <w:nsid w:val="7E212080"/>
    <w:multiLevelType w:val="multilevel"/>
    <w:tmpl w:val="7E212080"/>
    <w:lvl w:ilvl="0" w:tentative="0">
      <w:start w:val="1"/>
      <w:numFmt w:val="decimal"/>
      <w:lvlText w:val="%1."/>
      <w:lvlJc w:val="left"/>
      <w:pPr>
        <w:tabs>
          <w:tab w:val="left" w:pos="907"/>
        </w:tabs>
        <w:ind w:left="907" w:hanging="907"/>
      </w:pPr>
      <w:rPr>
        <w:rFonts w:hint="eastAsia"/>
        <w:b/>
      </w:rPr>
    </w:lvl>
    <w:lvl w:ilvl="1" w:tentative="0">
      <w:start w:val="1"/>
      <w:numFmt w:val="decimal"/>
      <w:isLgl/>
      <w:lvlText w:val="35.%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8"/>
  </w:num>
  <w:num w:numId="2">
    <w:abstractNumId w:val="47"/>
  </w:num>
  <w:num w:numId="3">
    <w:abstractNumId w:val="64"/>
  </w:num>
  <w:num w:numId="4">
    <w:abstractNumId w:val="28"/>
  </w:num>
  <w:num w:numId="5">
    <w:abstractNumId w:val="43"/>
  </w:num>
  <w:num w:numId="6">
    <w:abstractNumId w:val="30"/>
  </w:num>
  <w:num w:numId="7">
    <w:abstractNumId w:val="36"/>
  </w:num>
  <w:num w:numId="8">
    <w:abstractNumId w:val="29"/>
  </w:num>
  <w:num w:numId="9">
    <w:abstractNumId w:val="44"/>
  </w:num>
  <w:num w:numId="10">
    <w:abstractNumId w:val="11"/>
  </w:num>
  <w:num w:numId="11">
    <w:abstractNumId w:val="51"/>
  </w:num>
  <w:num w:numId="12">
    <w:abstractNumId w:val="0"/>
  </w:num>
  <w:num w:numId="13">
    <w:abstractNumId w:val="31"/>
  </w:num>
  <w:num w:numId="14">
    <w:abstractNumId w:val="8"/>
  </w:num>
  <w:num w:numId="15">
    <w:abstractNumId w:val="14"/>
  </w:num>
  <w:num w:numId="16">
    <w:abstractNumId w:val="42"/>
  </w:num>
  <w:num w:numId="17">
    <w:abstractNumId w:val="67"/>
  </w:num>
  <w:num w:numId="18">
    <w:abstractNumId w:val="54"/>
  </w:num>
  <w:num w:numId="19">
    <w:abstractNumId w:val="21"/>
  </w:num>
  <w:num w:numId="20">
    <w:abstractNumId w:val="1"/>
  </w:num>
  <w:num w:numId="21">
    <w:abstractNumId w:val="53"/>
  </w:num>
  <w:num w:numId="22">
    <w:abstractNumId w:val="9"/>
  </w:num>
  <w:num w:numId="23">
    <w:abstractNumId w:val="10"/>
  </w:num>
  <w:num w:numId="24">
    <w:abstractNumId w:val="12"/>
  </w:num>
  <w:num w:numId="25">
    <w:abstractNumId w:val="65"/>
  </w:num>
  <w:num w:numId="26">
    <w:abstractNumId w:val="63"/>
  </w:num>
  <w:num w:numId="27">
    <w:abstractNumId w:val="61"/>
  </w:num>
  <w:num w:numId="28">
    <w:abstractNumId w:val="57"/>
  </w:num>
  <w:num w:numId="29">
    <w:abstractNumId w:val="48"/>
  </w:num>
  <w:num w:numId="30">
    <w:abstractNumId w:val="45"/>
  </w:num>
  <w:num w:numId="31">
    <w:abstractNumId w:val="27"/>
  </w:num>
  <w:num w:numId="32">
    <w:abstractNumId w:val="5"/>
  </w:num>
  <w:num w:numId="33">
    <w:abstractNumId w:val="34"/>
  </w:num>
  <w:num w:numId="34">
    <w:abstractNumId w:val="24"/>
  </w:num>
  <w:num w:numId="35">
    <w:abstractNumId w:val="35"/>
  </w:num>
  <w:num w:numId="36">
    <w:abstractNumId w:val="23"/>
  </w:num>
  <w:num w:numId="37">
    <w:abstractNumId w:val="20"/>
  </w:num>
  <w:num w:numId="38">
    <w:abstractNumId w:val="49"/>
  </w:num>
  <w:num w:numId="39">
    <w:abstractNumId w:val="18"/>
  </w:num>
  <w:num w:numId="40">
    <w:abstractNumId w:val="62"/>
  </w:num>
  <w:num w:numId="41">
    <w:abstractNumId w:val="13"/>
  </w:num>
  <w:num w:numId="42">
    <w:abstractNumId w:val="7"/>
  </w:num>
  <w:num w:numId="43">
    <w:abstractNumId w:val="4"/>
  </w:num>
  <w:num w:numId="44">
    <w:abstractNumId w:val="15"/>
  </w:num>
  <w:num w:numId="45">
    <w:abstractNumId w:val="26"/>
  </w:num>
  <w:num w:numId="46">
    <w:abstractNumId w:val="52"/>
  </w:num>
  <w:num w:numId="47">
    <w:abstractNumId w:val="69"/>
  </w:num>
  <w:num w:numId="48">
    <w:abstractNumId w:val="2"/>
  </w:num>
  <w:num w:numId="49">
    <w:abstractNumId w:val="19"/>
  </w:num>
  <w:num w:numId="50">
    <w:abstractNumId w:val="17"/>
  </w:num>
  <w:num w:numId="51">
    <w:abstractNumId w:val="22"/>
  </w:num>
  <w:num w:numId="52">
    <w:abstractNumId w:val="50"/>
  </w:num>
  <w:num w:numId="53">
    <w:abstractNumId w:val="59"/>
  </w:num>
  <w:num w:numId="54">
    <w:abstractNumId w:val="25"/>
  </w:num>
  <w:num w:numId="55">
    <w:abstractNumId w:val="16"/>
  </w:num>
  <w:num w:numId="56">
    <w:abstractNumId w:val="3"/>
  </w:num>
  <w:num w:numId="57">
    <w:abstractNumId w:val="60"/>
  </w:num>
  <w:num w:numId="58">
    <w:abstractNumId w:val="40"/>
  </w:num>
  <w:num w:numId="59">
    <w:abstractNumId w:val="68"/>
  </w:num>
  <w:num w:numId="60">
    <w:abstractNumId w:val="6"/>
  </w:num>
  <w:num w:numId="61">
    <w:abstractNumId w:val="37"/>
  </w:num>
  <w:num w:numId="62">
    <w:abstractNumId w:val="55"/>
  </w:num>
  <w:num w:numId="63">
    <w:abstractNumId w:val="56"/>
  </w:num>
  <w:num w:numId="64">
    <w:abstractNumId w:val="39"/>
  </w:num>
  <w:num w:numId="65">
    <w:abstractNumId w:val="33"/>
  </w:num>
  <w:num w:numId="66">
    <w:abstractNumId w:val="46"/>
  </w:num>
  <w:num w:numId="67">
    <w:abstractNumId w:val="41"/>
  </w:num>
  <w:num w:numId="68">
    <w:abstractNumId w:val="58"/>
  </w:num>
  <w:num w:numId="69">
    <w:abstractNumId w:val="66"/>
  </w:num>
  <w:num w:numId="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 w:name="KSO_WPS_MARK_KEY" w:val="d5523776-c68f-4319-8b5a-3238f7280179"/>
  </w:docVars>
  <w:rsids>
    <w:rsidRoot w:val="004D745D"/>
    <w:rsid w:val="0002561E"/>
    <w:rsid w:val="000268AB"/>
    <w:rsid w:val="00040642"/>
    <w:rsid w:val="00062C58"/>
    <w:rsid w:val="000630E8"/>
    <w:rsid w:val="000755AA"/>
    <w:rsid w:val="000A1C5F"/>
    <w:rsid w:val="000D1780"/>
    <w:rsid w:val="000F7605"/>
    <w:rsid w:val="00124A8F"/>
    <w:rsid w:val="00131EFB"/>
    <w:rsid w:val="001445B4"/>
    <w:rsid w:val="00195545"/>
    <w:rsid w:val="002039FE"/>
    <w:rsid w:val="002232B4"/>
    <w:rsid w:val="002520CC"/>
    <w:rsid w:val="00255931"/>
    <w:rsid w:val="00271920"/>
    <w:rsid w:val="003916CF"/>
    <w:rsid w:val="003F6C93"/>
    <w:rsid w:val="004243B5"/>
    <w:rsid w:val="004B7BE0"/>
    <w:rsid w:val="004D4324"/>
    <w:rsid w:val="004D745D"/>
    <w:rsid w:val="005140A0"/>
    <w:rsid w:val="00536F1D"/>
    <w:rsid w:val="005A18F3"/>
    <w:rsid w:val="005D7312"/>
    <w:rsid w:val="00636825"/>
    <w:rsid w:val="006A122F"/>
    <w:rsid w:val="006A1773"/>
    <w:rsid w:val="006C5C9E"/>
    <w:rsid w:val="0075366B"/>
    <w:rsid w:val="007538CE"/>
    <w:rsid w:val="007C1288"/>
    <w:rsid w:val="00831EB2"/>
    <w:rsid w:val="0086078F"/>
    <w:rsid w:val="00883C54"/>
    <w:rsid w:val="009A078B"/>
    <w:rsid w:val="009F2A63"/>
    <w:rsid w:val="00A11027"/>
    <w:rsid w:val="00A4483F"/>
    <w:rsid w:val="00A758B8"/>
    <w:rsid w:val="00AC7EC5"/>
    <w:rsid w:val="00AD63BD"/>
    <w:rsid w:val="00B24090"/>
    <w:rsid w:val="00B62A93"/>
    <w:rsid w:val="00B95B2D"/>
    <w:rsid w:val="00BC3E67"/>
    <w:rsid w:val="00BF50F3"/>
    <w:rsid w:val="00C01EBD"/>
    <w:rsid w:val="00C106BE"/>
    <w:rsid w:val="00C16B46"/>
    <w:rsid w:val="00C33D60"/>
    <w:rsid w:val="00CA2485"/>
    <w:rsid w:val="00CC41B7"/>
    <w:rsid w:val="00CF1D1F"/>
    <w:rsid w:val="00D2762D"/>
    <w:rsid w:val="00D44368"/>
    <w:rsid w:val="00D931B2"/>
    <w:rsid w:val="00DD0E0A"/>
    <w:rsid w:val="00E35776"/>
    <w:rsid w:val="00EA0245"/>
    <w:rsid w:val="00EB23BF"/>
    <w:rsid w:val="00EF38D6"/>
    <w:rsid w:val="00F77098"/>
    <w:rsid w:val="00F96F6D"/>
    <w:rsid w:val="011D29D3"/>
    <w:rsid w:val="01B053DC"/>
    <w:rsid w:val="01E21263"/>
    <w:rsid w:val="022402D8"/>
    <w:rsid w:val="033267EB"/>
    <w:rsid w:val="039B6A7A"/>
    <w:rsid w:val="03B44D43"/>
    <w:rsid w:val="04284DF7"/>
    <w:rsid w:val="04934A97"/>
    <w:rsid w:val="04BB67EA"/>
    <w:rsid w:val="05045E17"/>
    <w:rsid w:val="052B7D68"/>
    <w:rsid w:val="053C7EE8"/>
    <w:rsid w:val="05DD405D"/>
    <w:rsid w:val="065A4F71"/>
    <w:rsid w:val="06712BB6"/>
    <w:rsid w:val="06F92A76"/>
    <w:rsid w:val="07B03476"/>
    <w:rsid w:val="08813251"/>
    <w:rsid w:val="091B505B"/>
    <w:rsid w:val="09710ACA"/>
    <w:rsid w:val="097148FC"/>
    <w:rsid w:val="09B2776D"/>
    <w:rsid w:val="09BC676A"/>
    <w:rsid w:val="0ADD43C6"/>
    <w:rsid w:val="0B5C2B1E"/>
    <w:rsid w:val="0B6C4C4F"/>
    <w:rsid w:val="0B8B36A6"/>
    <w:rsid w:val="0BBA6DAD"/>
    <w:rsid w:val="0BDB7443"/>
    <w:rsid w:val="0C0D4DBB"/>
    <w:rsid w:val="0C9C64B3"/>
    <w:rsid w:val="0D103128"/>
    <w:rsid w:val="0D807ECA"/>
    <w:rsid w:val="0DEC55AB"/>
    <w:rsid w:val="0EB421D9"/>
    <w:rsid w:val="0EF32D02"/>
    <w:rsid w:val="0F21471A"/>
    <w:rsid w:val="0F28222B"/>
    <w:rsid w:val="0FC71A98"/>
    <w:rsid w:val="0FCD5301"/>
    <w:rsid w:val="0FEE5277"/>
    <w:rsid w:val="10946D5B"/>
    <w:rsid w:val="113969C6"/>
    <w:rsid w:val="1186727F"/>
    <w:rsid w:val="11A62133"/>
    <w:rsid w:val="1230739F"/>
    <w:rsid w:val="125300E4"/>
    <w:rsid w:val="12695089"/>
    <w:rsid w:val="12737232"/>
    <w:rsid w:val="129739A4"/>
    <w:rsid w:val="13795061"/>
    <w:rsid w:val="13B77AAE"/>
    <w:rsid w:val="140212F1"/>
    <w:rsid w:val="14B35AE2"/>
    <w:rsid w:val="151A7A0E"/>
    <w:rsid w:val="15CF32C4"/>
    <w:rsid w:val="162C2DA3"/>
    <w:rsid w:val="16612C47"/>
    <w:rsid w:val="16C65BD4"/>
    <w:rsid w:val="16D50F3F"/>
    <w:rsid w:val="179359CE"/>
    <w:rsid w:val="17AD3752"/>
    <w:rsid w:val="17F11DA8"/>
    <w:rsid w:val="17FE78E9"/>
    <w:rsid w:val="1871436F"/>
    <w:rsid w:val="187273DD"/>
    <w:rsid w:val="18C63235"/>
    <w:rsid w:val="196B6A67"/>
    <w:rsid w:val="19C40DBE"/>
    <w:rsid w:val="1A036844"/>
    <w:rsid w:val="1A21456C"/>
    <w:rsid w:val="1A845156"/>
    <w:rsid w:val="1AF220BF"/>
    <w:rsid w:val="1B7E7A42"/>
    <w:rsid w:val="1C790EA2"/>
    <w:rsid w:val="1CBB4733"/>
    <w:rsid w:val="1CCD3F1F"/>
    <w:rsid w:val="1CFE11EF"/>
    <w:rsid w:val="1D721295"/>
    <w:rsid w:val="1E0B405F"/>
    <w:rsid w:val="1E135B88"/>
    <w:rsid w:val="1E2A66BB"/>
    <w:rsid w:val="1E94348E"/>
    <w:rsid w:val="1F6F7E60"/>
    <w:rsid w:val="1F775289"/>
    <w:rsid w:val="1FD13B1D"/>
    <w:rsid w:val="1FD618FC"/>
    <w:rsid w:val="20341B32"/>
    <w:rsid w:val="20436F19"/>
    <w:rsid w:val="20A429B6"/>
    <w:rsid w:val="20BF6817"/>
    <w:rsid w:val="210C2083"/>
    <w:rsid w:val="21321990"/>
    <w:rsid w:val="21342863"/>
    <w:rsid w:val="21DE185B"/>
    <w:rsid w:val="222B5EB7"/>
    <w:rsid w:val="22616361"/>
    <w:rsid w:val="22771648"/>
    <w:rsid w:val="22E96105"/>
    <w:rsid w:val="22F62592"/>
    <w:rsid w:val="23AE6E53"/>
    <w:rsid w:val="243B67B0"/>
    <w:rsid w:val="24672DFE"/>
    <w:rsid w:val="247F6640"/>
    <w:rsid w:val="24FB0BDF"/>
    <w:rsid w:val="25063990"/>
    <w:rsid w:val="252B0548"/>
    <w:rsid w:val="256C7C30"/>
    <w:rsid w:val="25BD73D6"/>
    <w:rsid w:val="262302AF"/>
    <w:rsid w:val="26263565"/>
    <w:rsid w:val="26753BA5"/>
    <w:rsid w:val="27BE32D0"/>
    <w:rsid w:val="2842528D"/>
    <w:rsid w:val="28437DE4"/>
    <w:rsid w:val="287B1BD9"/>
    <w:rsid w:val="28B53DD7"/>
    <w:rsid w:val="29A92FCA"/>
    <w:rsid w:val="2A77438F"/>
    <w:rsid w:val="2AA131BA"/>
    <w:rsid w:val="2B231E21"/>
    <w:rsid w:val="2B3F4073"/>
    <w:rsid w:val="2B626552"/>
    <w:rsid w:val="2C0A43BD"/>
    <w:rsid w:val="2D781B6D"/>
    <w:rsid w:val="2E873790"/>
    <w:rsid w:val="2E877731"/>
    <w:rsid w:val="2E9C7239"/>
    <w:rsid w:val="2EB01C1E"/>
    <w:rsid w:val="2ED26038"/>
    <w:rsid w:val="2F176141"/>
    <w:rsid w:val="2FD55B62"/>
    <w:rsid w:val="2FF27415"/>
    <w:rsid w:val="2FF40230"/>
    <w:rsid w:val="2FF46B54"/>
    <w:rsid w:val="30A25EDE"/>
    <w:rsid w:val="311952BE"/>
    <w:rsid w:val="31AD0696"/>
    <w:rsid w:val="3273487A"/>
    <w:rsid w:val="32DA54BB"/>
    <w:rsid w:val="332B3F69"/>
    <w:rsid w:val="3392111C"/>
    <w:rsid w:val="33F51DC1"/>
    <w:rsid w:val="33F7090C"/>
    <w:rsid w:val="342655A2"/>
    <w:rsid w:val="343A1627"/>
    <w:rsid w:val="34BB18DF"/>
    <w:rsid w:val="350A151B"/>
    <w:rsid w:val="35836DF6"/>
    <w:rsid w:val="35984464"/>
    <w:rsid w:val="361D0069"/>
    <w:rsid w:val="36392E40"/>
    <w:rsid w:val="36410489"/>
    <w:rsid w:val="36BB706D"/>
    <w:rsid w:val="36CD288E"/>
    <w:rsid w:val="36D47C20"/>
    <w:rsid w:val="377D6AA9"/>
    <w:rsid w:val="38691290"/>
    <w:rsid w:val="38784439"/>
    <w:rsid w:val="388957C2"/>
    <w:rsid w:val="38EA4F9B"/>
    <w:rsid w:val="39022224"/>
    <w:rsid w:val="391C3471"/>
    <w:rsid w:val="3958538C"/>
    <w:rsid w:val="39FB1F96"/>
    <w:rsid w:val="3A35183F"/>
    <w:rsid w:val="3AFE45A9"/>
    <w:rsid w:val="3B9C1459"/>
    <w:rsid w:val="3BED7720"/>
    <w:rsid w:val="3C4B567C"/>
    <w:rsid w:val="3C4E0CC8"/>
    <w:rsid w:val="3CDD7527"/>
    <w:rsid w:val="3D7F382F"/>
    <w:rsid w:val="3D8E5820"/>
    <w:rsid w:val="3DC329AA"/>
    <w:rsid w:val="3E340A57"/>
    <w:rsid w:val="3E4610DE"/>
    <w:rsid w:val="3E5C0C91"/>
    <w:rsid w:val="3E8B7504"/>
    <w:rsid w:val="3E924A3A"/>
    <w:rsid w:val="3EDB6353"/>
    <w:rsid w:val="3FA579C0"/>
    <w:rsid w:val="3FBC52EF"/>
    <w:rsid w:val="405014B2"/>
    <w:rsid w:val="40546445"/>
    <w:rsid w:val="40656146"/>
    <w:rsid w:val="407B1E6C"/>
    <w:rsid w:val="40B27A77"/>
    <w:rsid w:val="416A65A4"/>
    <w:rsid w:val="4185309F"/>
    <w:rsid w:val="421309EA"/>
    <w:rsid w:val="42240501"/>
    <w:rsid w:val="427174BE"/>
    <w:rsid w:val="427B0595"/>
    <w:rsid w:val="42AE2961"/>
    <w:rsid w:val="42B0448A"/>
    <w:rsid w:val="42F51E9D"/>
    <w:rsid w:val="4306653F"/>
    <w:rsid w:val="43122A4F"/>
    <w:rsid w:val="448B5355"/>
    <w:rsid w:val="45392515"/>
    <w:rsid w:val="45F13F14"/>
    <w:rsid w:val="47E464E1"/>
    <w:rsid w:val="489108BA"/>
    <w:rsid w:val="489804DA"/>
    <w:rsid w:val="49530909"/>
    <w:rsid w:val="49FD08B7"/>
    <w:rsid w:val="4A041EBB"/>
    <w:rsid w:val="4A132597"/>
    <w:rsid w:val="4A2159B7"/>
    <w:rsid w:val="4A22313A"/>
    <w:rsid w:val="4B545D45"/>
    <w:rsid w:val="4B800849"/>
    <w:rsid w:val="4BB328F5"/>
    <w:rsid w:val="4BB618E9"/>
    <w:rsid w:val="4BF90C50"/>
    <w:rsid w:val="4C4A6CDD"/>
    <w:rsid w:val="4CA24E44"/>
    <w:rsid w:val="4CD117F4"/>
    <w:rsid w:val="4D1C7CE2"/>
    <w:rsid w:val="4DBF66C9"/>
    <w:rsid w:val="4E6B4C82"/>
    <w:rsid w:val="4E736C23"/>
    <w:rsid w:val="4E9844D8"/>
    <w:rsid w:val="4EEF40A5"/>
    <w:rsid w:val="4F152BAE"/>
    <w:rsid w:val="4F351F9F"/>
    <w:rsid w:val="4F8C3B89"/>
    <w:rsid w:val="4F9F1B0F"/>
    <w:rsid w:val="508E2130"/>
    <w:rsid w:val="509052E3"/>
    <w:rsid w:val="51A52CE0"/>
    <w:rsid w:val="51D25A47"/>
    <w:rsid w:val="520E24F1"/>
    <w:rsid w:val="52F6742E"/>
    <w:rsid w:val="535624E4"/>
    <w:rsid w:val="5371638D"/>
    <w:rsid w:val="53F200E2"/>
    <w:rsid w:val="55532D28"/>
    <w:rsid w:val="55CA71B9"/>
    <w:rsid w:val="55EE796A"/>
    <w:rsid w:val="56606E23"/>
    <w:rsid w:val="57F16C7F"/>
    <w:rsid w:val="58082C12"/>
    <w:rsid w:val="58511E7C"/>
    <w:rsid w:val="58984200"/>
    <w:rsid w:val="58E660B8"/>
    <w:rsid w:val="59ED51E1"/>
    <w:rsid w:val="5A750890"/>
    <w:rsid w:val="5AB05476"/>
    <w:rsid w:val="5AC30E2E"/>
    <w:rsid w:val="5AED1980"/>
    <w:rsid w:val="5AFA0244"/>
    <w:rsid w:val="5B2A2BD4"/>
    <w:rsid w:val="5B9B691A"/>
    <w:rsid w:val="5BA3015F"/>
    <w:rsid w:val="5C43724B"/>
    <w:rsid w:val="5C682135"/>
    <w:rsid w:val="5D1523DC"/>
    <w:rsid w:val="5D7D2FEA"/>
    <w:rsid w:val="5DB1283B"/>
    <w:rsid w:val="5DB33FE7"/>
    <w:rsid w:val="5DEF1EB3"/>
    <w:rsid w:val="5E4E4F75"/>
    <w:rsid w:val="5F8D4FB7"/>
    <w:rsid w:val="5FB962D5"/>
    <w:rsid w:val="60440664"/>
    <w:rsid w:val="60771CEC"/>
    <w:rsid w:val="60B80169"/>
    <w:rsid w:val="60C020EB"/>
    <w:rsid w:val="60D618C6"/>
    <w:rsid w:val="6105535C"/>
    <w:rsid w:val="614C4F26"/>
    <w:rsid w:val="614E0E03"/>
    <w:rsid w:val="616D55C9"/>
    <w:rsid w:val="62067841"/>
    <w:rsid w:val="624D6221"/>
    <w:rsid w:val="625B3673"/>
    <w:rsid w:val="62ED6B99"/>
    <w:rsid w:val="631D6B7A"/>
    <w:rsid w:val="63EC14BE"/>
    <w:rsid w:val="641C5C65"/>
    <w:rsid w:val="64373C6C"/>
    <w:rsid w:val="646E7959"/>
    <w:rsid w:val="647D5E76"/>
    <w:rsid w:val="651D1F50"/>
    <w:rsid w:val="653B0AC5"/>
    <w:rsid w:val="65464707"/>
    <w:rsid w:val="65B533A0"/>
    <w:rsid w:val="662E109F"/>
    <w:rsid w:val="67233350"/>
    <w:rsid w:val="67780823"/>
    <w:rsid w:val="67961104"/>
    <w:rsid w:val="67AD62C7"/>
    <w:rsid w:val="691E53FA"/>
    <w:rsid w:val="696F71F1"/>
    <w:rsid w:val="69737CA8"/>
    <w:rsid w:val="69AF0748"/>
    <w:rsid w:val="69B83AA1"/>
    <w:rsid w:val="69BD315D"/>
    <w:rsid w:val="69D501AF"/>
    <w:rsid w:val="6A52585A"/>
    <w:rsid w:val="6A582B8E"/>
    <w:rsid w:val="6A776C4C"/>
    <w:rsid w:val="6A9A6CFD"/>
    <w:rsid w:val="6AAB1A1A"/>
    <w:rsid w:val="6AD00976"/>
    <w:rsid w:val="6BEA3CBA"/>
    <w:rsid w:val="6C1379F3"/>
    <w:rsid w:val="6CB26586"/>
    <w:rsid w:val="6DA57E98"/>
    <w:rsid w:val="6E0D7137"/>
    <w:rsid w:val="6E1A0886"/>
    <w:rsid w:val="6E781A51"/>
    <w:rsid w:val="6EA84BC9"/>
    <w:rsid w:val="6EC72CAC"/>
    <w:rsid w:val="6FDB57EB"/>
    <w:rsid w:val="6FDB5DF3"/>
    <w:rsid w:val="6FF60E93"/>
    <w:rsid w:val="701E3F32"/>
    <w:rsid w:val="707E2326"/>
    <w:rsid w:val="710F6A7D"/>
    <w:rsid w:val="719C2A2E"/>
    <w:rsid w:val="72356C99"/>
    <w:rsid w:val="727B1B10"/>
    <w:rsid w:val="72AC5157"/>
    <w:rsid w:val="733C1156"/>
    <w:rsid w:val="73546D6E"/>
    <w:rsid w:val="73F94F64"/>
    <w:rsid w:val="74235DC1"/>
    <w:rsid w:val="74336552"/>
    <w:rsid w:val="7456013E"/>
    <w:rsid w:val="748E3F2E"/>
    <w:rsid w:val="75587EE6"/>
    <w:rsid w:val="764741F6"/>
    <w:rsid w:val="768935A6"/>
    <w:rsid w:val="76FB6D7B"/>
    <w:rsid w:val="773504DF"/>
    <w:rsid w:val="77E70A98"/>
    <w:rsid w:val="77F547F3"/>
    <w:rsid w:val="78060B96"/>
    <w:rsid w:val="784F29CE"/>
    <w:rsid w:val="79362FB2"/>
    <w:rsid w:val="79C21DD2"/>
    <w:rsid w:val="7A552EF7"/>
    <w:rsid w:val="7AFE5AFB"/>
    <w:rsid w:val="7B0477F0"/>
    <w:rsid w:val="7BD65017"/>
    <w:rsid w:val="7C2E19A1"/>
    <w:rsid w:val="7C471C13"/>
    <w:rsid w:val="7CAF680C"/>
    <w:rsid w:val="7D8306B2"/>
    <w:rsid w:val="7DB4237D"/>
    <w:rsid w:val="7DB4751F"/>
    <w:rsid w:val="7EC56E34"/>
    <w:rsid w:val="7F224D4A"/>
    <w:rsid w:val="7F833DB1"/>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3"/>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tabs>
        <w:tab w:val="left" w:pos="540"/>
      </w:tabs>
      <w:adjustRightInd w:val="0"/>
      <w:snapToGrid w:val="0"/>
      <w:spacing w:line="360" w:lineRule="auto"/>
      <w:jc w:val="left"/>
      <w:outlineLvl w:val="2"/>
    </w:pPr>
    <w:rPr>
      <w:b/>
      <w:sz w:val="24"/>
      <w:szCs w:val="20"/>
    </w:rPr>
  </w:style>
  <w:style w:type="paragraph" w:styleId="7">
    <w:name w:val="heading 4"/>
    <w:basedOn w:val="1"/>
    <w:next w:val="1"/>
    <w:qFormat/>
    <w:uiPriority w:val="0"/>
    <w:pPr>
      <w:keepNext/>
      <w:keepLines/>
      <w:jc w:val="left"/>
      <w:outlineLvl w:val="3"/>
    </w:pPr>
    <w:rPr>
      <w:rFonts w:hint="eastAsia" w:ascii="Arial" w:hAnsi="Arial"/>
      <w:b/>
      <w:sz w:val="32"/>
    </w:rPr>
  </w:style>
  <w:style w:type="paragraph" w:styleId="8">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9">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adjustRightInd/>
      <w:snapToGrid/>
      <w:spacing w:after="120" w:line="360" w:lineRule="auto"/>
      <w:ind w:left="420" w:leftChars="200" w:firstLine="420"/>
    </w:pPr>
    <w:rPr>
      <w:rFonts w:ascii="Calibri" w:hAnsi="Calibri" w:eastAsia="宋体"/>
      <w:sz w:val="24"/>
      <w:szCs w:val="22"/>
    </w:rPr>
  </w:style>
  <w:style w:type="paragraph" w:styleId="3">
    <w:name w:val="Body Text Indent"/>
    <w:basedOn w:val="1"/>
    <w:next w:val="2"/>
    <w:qFormat/>
    <w:uiPriority w:val="99"/>
    <w:pPr>
      <w:adjustRightInd w:val="0"/>
      <w:snapToGrid w:val="0"/>
      <w:spacing w:line="460" w:lineRule="exact"/>
      <w:ind w:firstLine="560" w:firstLineChars="200"/>
    </w:pPr>
    <w:rPr>
      <w:rFonts w:ascii="仿宋_GB2312" w:hAnsi="Tahoma" w:eastAsia="仿宋_GB2312"/>
      <w:sz w:val="28"/>
    </w:rPr>
  </w:style>
  <w:style w:type="paragraph" w:styleId="10">
    <w:name w:val="List 3"/>
    <w:basedOn w:val="1"/>
    <w:qFormat/>
    <w:uiPriority w:val="0"/>
    <w:pPr>
      <w:ind w:left="100" w:leftChars="400" w:hanging="200" w:hangingChars="200"/>
      <w:contextualSpacing/>
    </w:pPr>
  </w:style>
  <w:style w:type="paragraph" w:styleId="11">
    <w:name w:val="Normal Indent"/>
    <w:basedOn w:val="1"/>
    <w:next w:val="1"/>
    <w:qFormat/>
    <w:uiPriority w:val="99"/>
    <w:pPr>
      <w:widowControl w:val="0"/>
      <w:adjustRightInd w:val="0"/>
      <w:spacing w:line="360" w:lineRule="atLeast"/>
      <w:ind w:firstLine="482"/>
    </w:pPr>
    <w:rPr>
      <w:color w:val="auto"/>
      <w:sz w:val="24"/>
    </w:rPr>
  </w:style>
  <w:style w:type="paragraph" w:styleId="12">
    <w:name w:val="caption"/>
    <w:basedOn w:val="1"/>
    <w:next w:val="1"/>
    <w:semiHidden/>
    <w:unhideWhenUsed/>
    <w:qFormat/>
    <w:uiPriority w:val="0"/>
    <w:pPr>
      <w:spacing w:before="152" w:after="160"/>
    </w:pPr>
    <w:rPr>
      <w:rFonts w:ascii="Arial" w:hAnsi="Arial" w:eastAsia="黑体" w:cs="Arial"/>
      <w:sz w:val="20"/>
    </w:rPr>
  </w:style>
  <w:style w:type="paragraph" w:styleId="13">
    <w:name w:val="annotation text"/>
    <w:basedOn w:val="1"/>
    <w:link w:val="56"/>
    <w:qFormat/>
    <w:uiPriority w:val="0"/>
    <w:pPr>
      <w:adjustRightInd w:val="0"/>
      <w:spacing w:line="360" w:lineRule="atLeast"/>
      <w:jc w:val="left"/>
      <w:textAlignment w:val="baseline"/>
    </w:pPr>
    <w:rPr>
      <w:kern w:val="0"/>
      <w:sz w:val="24"/>
    </w:rPr>
  </w:style>
  <w:style w:type="paragraph" w:styleId="14">
    <w:name w:val="Salutation"/>
    <w:basedOn w:val="1"/>
    <w:next w:val="1"/>
    <w:link w:val="53"/>
    <w:qFormat/>
    <w:uiPriority w:val="0"/>
    <w:rPr>
      <w:sz w:val="24"/>
    </w:rPr>
  </w:style>
  <w:style w:type="paragraph" w:styleId="15">
    <w:name w:val="Body Text"/>
    <w:basedOn w:val="1"/>
    <w:next w:val="1"/>
    <w:link w:val="60"/>
    <w:qFormat/>
    <w:uiPriority w:val="0"/>
    <w:pPr>
      <w:spacing w:after="120"/>
    </w:pPr>
    <w:rPr>
      <w:rFonts w:asciiTheme="minorHAnsi" w:hAnsiTheme="minorHAnsi" w:cstheme="minorBidi"/>
      <w:szCs w:val="24"/>
    </w:rPr>
  </w:style>
  <w:style w:type="paragraph" w:styleId="16">
    <w:name w:val="List 2"/>
    <w:basedOn w:val="1"/>
    <w:qFormat/>
    <w:uiPriority w:val="0"/>
    <w:pPr>
      <w:ind w:left="100" w:leftChars="200" w:hanging="200" w:hangingChars="200"/>
    </w:pPr>
    <w:rPr>
      <w:szCs w:val="24"/>
    </w:rPr>
  </w:style>
  <w:style w:type="paragraph" w:styleId="17">
    <w:name w:val="Plain Text"/>
    <w:basedOn w:val="1"/>
    <w:next w:val="18"/>
    <w:link w:val="51"/>
    <w:qFormat/>
    <w:uiPriority w:val="0"/>
    <w:rPr>
      <w:rFonts w:ascii="宋体" w:hAnsi="Courier New"/>
    </w:rPr>
  </w:style>
  <w:style w:type="paragraph" w:styleId="18">
    <w:name w:val="index 7"/>
    <w:basedOn w:val="1"/>
    <w:next w:val="1"/>
    <w:unhideWhenUsed/>
    <w:qFormat/>
    <w:uiPriority w:val="99"/>
  </w:style>
  <w:style w:type="paragraph" w:styleId="19">
    <w:name w:val="footer"/>
    <w:basedOn w:val="1"/>
    <w:link w:val="46"/>
    <w:qFormat/>
    <w:uiPriority w:val="0"/>
    <w:pPr>
      <w:tabs>
        <w:tab w:val="center" w:pos="4153"/>
        <w:tab w:val="right" w:pos="8306"/>
      </w:tabs>
      <w:snapToGrid w:val="0"/>
      <w:jc w:val="left"/>
    </w:pPr>
    <w:rPr>
      <w:sz w:val="18"/>
      <w:szCs w:val="18"/>
    </w:rPr>
  </w:style>
  <w:style w:type="paragraph" w:styleId="20">
    <w:name w:val="envelope return"/>
    <w:basedOn w:val="1"/>
    <w:semiHidden/>
    <w:qFormat/>
    <w:uiPriority w:val="0"/>
    <w:pPr>
      <w:snapToGrid w:val="0"/>
      <w:spacing w:after="200" w:line="276" w:lineRule="auto"/>
    </w:pPr>
    <w:rPr>
      <w:rFonts w:ascii="Arial" w:hAnsi="Arial" w:cs="Arial"/>
      <w:sz w:val="22"/>
      <w:szCs w:val="22"/>
      <w:lang w:eastAsia="en-US" w:bidi="en-US"/>
    </w:rPr>
  </w:style>
  <w:style w:type="paragraph" w:styleId="21">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tabs>
        <w:tab w:val="right" w:leader="dot" w:pos="9628"/>
      </w:tabs>
      <w:spacing w:line="360" w:lineRule="auto"/>
    </w:pPr>
    <w:rPr>
      <w:szCs w:val="24"/>
    </w:rPr>
  </w:style>
  <w:style w:type="paragraph" w:styleId="23">
    <w:name w:val="List"/>
    <w:basedOn w:val="1"/>
    <w:qFormat/>
    <w:uiPriority w:val="0"/>
    <w:pPr>
      <w:spacing w:line="360" w:lineRule="exact"/>
      <w:ind w:left="420" w:hanging="420"/>
      <w:jc w:val="left"/>
    </w:pPr>
    <w:rPr>
      <w:szCs w:val="21"/>
    </w:rPr>
  </w:style>
  <w:style w:type="paragraph" w:styleId="24">
    <w:name w:val="footnote text"/>
    <w:basedOn w:val="1"/>
    <w:link w:val="41"/>
    <w:qFormat/>
    <w:uiPriority w:val="99"/>
    <w:pPr>
      <w:snapToGrid w:val="0"/>
      <w:jc w:val="left"/>
    </w:pPr>
    <w:rPr>
      <w:rFonts w:asciiTheme="minorHAnsi" w:hAnsiTheme="minorHAnsi" w:eastAsiaTheme="minorEastAsia" w:cstheme="minorBidi"/>
      <w:sz w:val="18"/>
      <w:szCs w:val="22"/>
    </w:rPr>
  </w:style>
  <w:style w:type="paragraph" w:styleId="25">
    <w:name w:val="toc 2"/>
    <w:basedOn w:val="1"/>
    <w:next w:val="1"/>
    <w:qFormat/>
    <w:uiPriority w:val="0"/>
    <w:pPr>
      <w:adjustRightInd w:val="0"/>
      <w:spacing w:line="360" w:lineRule="auto"/>
      <w:ind w:left="240" w:firstLine="425"/>
      <w:jc w:val="left"/>
      <w:textAlignment w:val="baseline"/>
    </w:pPr>
    <w:rPr>
      <w:smallCaps/>
      <w:sz w:val="20"/>
    </w:rPr>
  </w:style>
  <w:style w:type="paragraph" w:styleId="26">
    <w:name w:val="Body Text 2"/>
    <w:basedOn w:val="1"/>
    <w:qFormat/>
    <w:uiPriority w:val="0"/>
    <w:pPr>
      <w:keepNext w:val="0"/>
      <w:keepLines w:val="0"/>
      <w:widowControl w:val="0"/>
      <w:suppressLineNumbers w:val="0"/>
      <w:spacing w:before="0" w:beforeAutospacing="0" w:after="0" w:afterAutospacing="0"/>
      <w:ind w:left="0" w:right="0"/>
      <w:jc w:val="both"/>
    </w:pPr>
    <w:rPr>
      <w:rFonts w:hint="default" w:ascii="楷体_GB2312" w:hAnsi="Copperplate Gothic Bold" w:eastAsia="楷体_GB2312" w:cs="Times New Roman"/>
      <w:kern w:val="2"/>
      <w:sz w:val="28"/>
      <w:szCs w:val="28"/>
      <w:lang w:val="en-US" w:eastAsia="zh-CN" w:bidi="ar"/>
    </w:r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42"/>
    <w:qFormat/>
    <w:uiPriority w:val="0"/>
    <w:pPr>
      <w:adjustRightInd w:val="0"/>
      <w:snapToGrid w:val="0"/>
      <w:spacing w:before="120" w:after="120" w:line="520" w:lineRule="exact"/>
      <w:jc w:val="center"/>
      <w:outlineLvl w:val="0"/>
    </w:pPr>
    <w:rPr>
      <w:rFonts w:ascii="黑体" w:hAnsiTheme="minorHAnsi" w:eastAsiaTheme="minorEastAsia" w:cstheme="minorBidi"/>
      <w:b/>
      <w:snapToGrid w:val="0"/>
      <w:sz w:val="44"/>
      <w:szCs w:val="22"/>
    </w:rPr>
  </w:style>
  <w:style w:type="paragraph" w:styleId="30">
    <w:name w:val="Body Text First Indent"/>
    <w:basedOn w:val="15"/>
    <w:next w:val="2"/>
    <w:qFormat/>
    <w:uiPriority w:val="99"/>
    <w:pPr>
      <w:spacing w:after="120"/>
      <w:ind w:firstLine="420" w:firstLineChars="100"/>
    </w:p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rFonts w:ascii="Calibri" w:hAnsi="Calibri" w:eastAsia="宋体" w:cs="Times New Roman"/>
      <w:b/>
      <w:bCs/>
    </w:rPr>
  </w:style>
  <w:style w:type="character" w:styleId="35">
    <w:name w:val="Hyperlink"/>
    <w:qFormat/>
    <w:uiPriority w:val="0"/>
    <w:rPr>
      <w:color w:val="0000FF"/>
      <w:u w:val="single"/>
    </w:rPr>
  </w:style>
  <w:style w:type="paragraph" w:customStyle="1" w:styleId="36">
    <w:name w:val="Default"/>
    <w:next w:val="37"/>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37">
    <w:name w:val="大标题"/>
    <w:basedOn w:val="1"/>
    <w:next w:val="2"/>
    <w:qFormat/>
    <w:uiPriority w:val="0"/>
    <w:pPr>
      <w:pageBreakBefore/>
      <w:spacing w:after="200" w:line="720" w:lineRule="auto"/>
      <w:jc w:val="center"/>
      <w:outlineLvl w:val="0"/>
    </w:pPr>
    <w:rPr>
      <w:rFonts w:ascii="黑体" w:hAnsi="Calibri" w:eastAsia="黑体"/>
      <w:sz w:val="32"/>
      <w:szCs w:val="30"/>
      <w:lang w:eastAsia="en-US" w:bidi="en-US"/>
    </w:rPr>
  </w:style>
  <w:style w:type="character" w:customStyle="1" w:styleId="38">
    <w:name w:val="标题 3 Char"/>
    <w:qFormat/>
    <w:uiPriority w:val="0"/>
    <w:rPr>
      <w:rFonts w:eastAsia="宋体"/>
      <w:b/>
      <w:bCs/>
      <w:kern w:val="2"/>
      <w:sz w:val="32"/>
      <w:szCs w:val="32"/>
      <w:lang w:val="en-US" w:eastAsia="zh-CN" w:bidi="ar-SA"/>
    </w:rPr>
  </w:style>
  <w:style w:type="paragraph" w:customStyle="1" w:styleId="39">
    <w:name w:val="首行缩进"/>
    <w:basedOn w:val="1"/>
    <w:qFormat/>
    <w:uiPriority w:val="99"/>
    <w:pPr>
      <w:ind w:firstLine="480" w:firstLineChars="200"/>
    </w:pPr>
    <w:rPr>
      <w:lang w:val="zh-CN"/>
    </w:rPr>
  </w:style>
  <w:style w:type="paragraph" w:customStyle="1" w:styleId="40">
    <w:name w:val="默认段落字体 Para Char Char Char Char Char Char Char Char Char Char"/>
    <w:basedOn w:val="1"/>
    <w:qFormat/>
    <w:uiPriority w:val="0"/>
    <w:rPr>
      <w:rFonts w:ascii="Tahoma" w:hAnsi="Tahoma"/>
      <w:sz w:val="24"/>
    </w:rPr>
  </w:style>
  <w:style w:type="character" w:customStyle="1" w:styleId="41">
    <w:name w:val="脚注文本 Char"/>
    <w:link w:val="24"/>
    <w:qFormat/>
    <w:uiPriority w:val="99"/>
    <w:rPr>
      <w:sz w:val="18"/>
    </w:rPr>
  </w:style>
  <w:style w:type="character" w:customStyle="1" w:styleId="42">
    <w:name w:val="标题 Char"/>
    <w:link w:val="29"/>
    <w:qFormat/>
    <w:uiPriority w:val="0"/>
    <w:rPr>
      <w:rFonts w:ascii="黑体"/>
      <w:b/>
      <w:snapToGrid w:val="0"/>
      <w:sz w:val="44"/>
    </w:rPr>
  </w:style>
  <w:style w:type="character" w:customStyle="1" w:styleId="43">
    <w:name w:val="标题 Char1"/>
    <w:basedOn w:val="33"/>
    <w:qFormat/>
    <w:uiPriority w:val="10"/>
    <w:rPr>
      <w:rFonts w:eastAsia="宋体" w:asciiTheme="majorHAnsi" w:hAnsiTheme="majorHAnsi" w:cstheme="majorBidi"/>
      <w:b/>
      <w:bCs/>
      <w:sz w:val="32"/>
      <w:szCs w:val="32"/>
    </w:rPr>
  </w:style>
  <w:style w:type="character" w:customStyle="1" w:styleId="44">
    <w:name w:val="脚注文本 Char1"/>
    <w:basedOn w:val="33"/>
    <w:semiHidden/>
    <w:qFormat/>
    <w:uiPriority w:val="99"/>
    <w:rPr>
      <w:rFonts w:ascii="Times New Roman" w:hAnsi="Times New Roman" w:eastAsia="宋体" w:cs="Times New Roman"/>
      <w:sz w:val="18"/>
      <w:szCs w:val="18"/>
    </w:rPr>
  </w:style>
  <w:style w:type="paragraph" w:customStyle="1" w:styleId="45">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character" w:customStyle="1" w:styleId="46">
    <w:name w:val="页脚 Char"/>
    <w:basedOn w:val="33"/>
    <w:link w:val="19"/>
    <w:qFormat/>
    <w:uiPriority w:val="0"/>
    <w:rPr>
      <w:rFonts w:ascii="Times New Roman" w:hAnsi="Times New Roman" w:eastAsia="宋体" w:cs="Times New Roman"/>
      <w:sz w:val="18"/>
      <w:szCs w:val="18"/>
    </w:rPr>
  </w:style>
  <w:style w:type="character" w:customStyle="1" w:styleId="47">
    <w:name w:val="页眉 Char"/>
    <w:basedOn w:val="33"/>
    <w:link w:val="21"/>
    <w:qFormat/>
    <w:uiPriority w:val="0"/>
    <w:rPr>
      <w:rFonts w:ascii="Times New Roman" w:hAnsi="Times New Roman" w:eastAsia="宋体" w:cs="Times New Roman"/>
      <w:sz w:val="18"/>
      <w:szCs w:val="18"/>
    </w:rPr>
  </w:style>
  <w:style w:type="character" w:customStyle="1" w:styleId="48">
    <w:name w:val="页脚 Char1"/>
    <w:basedOn w:val="33"/>
    <w:semiHidden/>
    <w:qFormat/>
    <w:uiPriority w:val="99"/>
    <w:rPr>
      <w:sz w:val="18"/>
      <w:szCs w:val="18"/>
    </w:rPr>
  </w:style>
  <w:style w:type="character" w:customStyle="1" w:styleId="49">
    <w:name w:val="Default Text Char Char"/>
    <w:link w:val="50"/>
    <w:qFormat/>
    <w:uiPriority w:val="0"/>
    <w:rPr>
      <w:color w:val="000000"/>
      <w:sz w:val="24"/>
    </w:rPr>
  </w:style>
  <w:style w:type="paragraph" w:customStyle="1" w:styleId="50">
    <w:name w:val="Default Text"/>
    <w:link w:val="49"/>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character" w:customStyle="1" w:styleId="51">
    <w:name w:val="纯文本 Char1"/>
    <w:link w:val="17"/>
    <w:qFormat/>
    <w:uiPriority w:val="0"/>
    <w:rPr>
      <w:rFonts w:ascii="宋体" w:hAnsi="Courier New" w:eastAsia="宋体" w:cs="Times New Roman"/>
      <w:szCs w:val="20"/>
    </w:rPr>
  </w:style>
  <w:style w:type="character" w:customStyle="1" w:styleId="52">
    <w:name w:val="15"/>
    <w:qFormat/>
    <w:uiPriority w:val="0"/>
    <w:rPr>
      <w:rFonts w:hint="default" w:ascii="Times New Roman" w:hAnsi="Times New Roman" w:cs="Times New Roman"/>
    </w:rPr>
  </w:style>
  <w:style w:type="character" w:customStyle="1" w:styleId="53">
    <w:name w:val="称呼 Char"/>
    <w:link w:val="14"/>
    <w:qFormat/>
    <w:uiPriority w:val="0"/>
    <w:rPr>
      <w:rFonts w:ascii="Times New Roman" w:hAnsi="Times New Roman" w:eastAsia="宋体" w:cs="Times New Roman"/>
      <w:sz w:val="24"/>
      <w:szCs w:val="20"/>
    </w:rPr>
  </w:style>
  <w:style w:type="character" w:customStyle="1" w:styleId="54">
    <w:name w:val="称呼 Char1"/>
    <w:basedOn w:val="33"/>
    <w:semiHidden/>
    <w:qFormat/>
    <w:uiPriority w:val="99"/>
    <w:rPr>
      <w:rFonts w:ascii="Times New Roman" w:hAnsi="Times New Roman" w:eastAsia="宋体" w:cs="Times New Roman"/>
      <w:szCs w:val="20"/>
    </w:rPr>
  </w:style>
  <w:style w:type="character" w:customStyle="1" w:styleId="55">
    <w:name w:val="纯文本 Char"/>
    <w:basedOn w:val="33"/>
    <w:semiHidden/>
    <w:qFormat/>
    <w:uiPriority w:val="99"/>
    <w:rPr>
      <w:rFonts w:ascii="宋体" w:hAnsi="Courier New" w:eastAsia="宋体" w:cs="Courier New"/>
      <w:szCs w:val="21"/>
    </w:rPr>
  </w:style>
  <w:style w:type="character" w:customStyle="1" w:styleId="56">
    <w:name w:val="批注文字 Char"/>
    <w:link w:val="13"/>
    <w:qFormat/>
    <w:uiPriority w:val="0"/>
    <w:rPr>
      <w:rFonts w:ascii="Times New Roman" w:hAnsi="Times New Roman" w:eastAsia="宋体" w:cs="Times New Roman"/>
      <w:kern w:val="0"/>
      <w:sz w:val="24"/>
      <w:szCs w:val="20"/>
    </w:rPr>
  </w:style>
  <w:style w:type="character" w:customStyle="1" w:styleId="57">
    <w:name w:val="批注文字 Char1"/>
    <w:basedOn w:val="33"/>
    <w:semiHidden/>
    <w:qFormat/>
    <w:uiPriority w:val="99"/>
    <w:rPr>
      <w:rFonts w:ascii="Times New Roman" w:hAnsi="Times New Roman" w:eastAsia="宋体" w:cs="Times New Roman"/>
      <w:szCs w:val="20"/>
    </w:rPr>
  </w:style>
  <w:style w:type="character" w:customStyle="1" w:styleId="58">
    <w:name w:val="标题 1 Char"/>
    <w:basedOn w:val="33"/>
    <w:link w:val="4"/>
    <w:qFormat/>
    <w:uiPriority w:val="0"/>
    <w:rPr>
      <w:rFonts w:ascii="Times New Roman" w:hAnsi="Times New Roman" w:eastAsia="宋体" w:cs="Times New Roman"/>
      <w:b/>
      <w:bCs/>
      <w:kern w:val="44"/>
      <w:sz w:val="44"/>
      <w:szCs w:val="44"/>
    </w:rPr>
  </w:style>
  <w:style w:type="character" w:customStyle="1" w:styleId="59">
    <w:name w:val="标题 3 Char Char"/>
    <w:qFormat/>
    <w:uiPriority w:val="0"/>
    <w:rPr>
      <w:rFonts w:ascii="黑体" w:eastAsia="黑体"/>
      <w:bCs/>
      <w:sz w:val="30"/>
    </w:rPr>
  </w:style>
  <w:style w:type="character" w:customStyle="1" w:styleId="60">
    <w:name w:val="正文文本 Char"/>
    <w:link w:val="15"/>
    <w:qFormat/>
    <w:uiPriority w:val="0"/>
    <w:rPr>
      <w:rFonts w:eastAsia="宋体"/>
      <w:szCs w:val="24"/>
    </w:rPr>
  </w:style>
  <w:style w:type="character" w:customStyle="1" w:styleId="61">
    <w:name w:val="正文文本 Char1"/>
    <w:basedOn w:val="33"/>
    <w:semiHidden/>
    <w:qFormat/>
    <w:uiPriority w:val="99"/>
    <w:rPr>
      <w:rFonts w:ascii="Times New Roman" w:hAnsi="Times New Roman" w:eastAsia="宋体" w:cs="Times New Roman"/>
      <w:szCs w:val="20"/>
    </w:rPr>
  </w:style>
  <w:style w:type="paragraph" w:customStyle="1" w:styleId="62">
    <w:name w:val="列出段落1"/>
    <w:basedOn w:val="1"/>
    <w:qFormat/>
    <w:uiPriority w:val="34"/>
    <w:pPr>
      <w:ind w:firstLine="420" w:firstLineChars="200"/>
    </w:pPr>
  </w:style>
  <w:style w:type="character" w:customStyle="1" w:styleId="63">
    <w:name w:val="标题 2 Char"/>
    <w:basedOn w:val="33"/>
    <w:link w:val="5"/>
    <w:qFormat/>
    <w:uiPriority w:val="0"/>
    <w:rPr>
      <w:rFonts w:ascii="Arial" w:hAnsi="Arial" w:eastAsia="黑体" w:cs="Times New Roman"/>
      <w:b/>
      <w:bCs/>
      <w:sz w:val="32"/>
      <w:szCs w:val="32"/>
    </w:rPr>
  </w:style>
  <w:style w:type="paragraph" w:customStyle="1" w:styleId="64">
    <w:name w:val="_Style 2"/>
    <w:basedOn w:val="4"/>
    <w:next w:val="1"/>
    <w:qFormat/>
    <w:uiPriority w:val="39"/>
    <w:pPr>
      <w:widowControl/>
      <w:spacing w:before="480" w:line="276" w:lineRule="auto"/>
      <w:jc w:val="left"/>
      <w:outlineLvl w:val="9"/>
    </w:pPr>
    <w:rPr>
      <w:rFonts w:ascii="Cambria" w:hAnsi="Cambria"/>
      <w:b w:val="0"/>
      <w:color w:val="365F91"/>
      <w:kern w:val="0"/>
      <w:szCs w:val="28"/>
    </w:rPr>
  </w:style>
  <w:style w:type="character" w:customStyle="1" w:styleId="65">
    <w:name w:val="font61"/>
    <w:basedOn w:val="33"/>
    <w:qFormat/>
    <w:uiPriority w:val="0"/>
    <w:rPr>
      <w:rFonts w:hint="eastAsia" w:ascii="微软雅黑" w:hAnsi="微软雅黑" w:eastAsia="微软雅黑" w:cs="微软雅黑"/>
      <w:b/>
      <w:color w:val="000000"/>
      <w:sz w:val="21"/>
      <w:szCs w:val="21"/>
      <w:u w:val="none"/>
    </w:rPr>
  </w:style>
  <w:style w:type="paragraph" w:customStyle="1" w:styleId="66">
    <w:name w:val="5）标书正文 首行缩进2字符"/>
    <w:basedOn w:val="1"/>
    <w:qFormat/>
    <w:uiPriority w:val="99"/>
    <w:pPr>
      <w:spacing w:line="480" w:lineRule="exact"/>
      <w:ind w:firstLine="200" w:firstLineChars="200"/>
    </w:pPr>
    <w:rPr>
      <w:rFonts w:ascii="仿宋_GB2312" w:eastAsia="仿宋_GB2312"/>
      <w:sz w:val="28"/>
    </w:rPr>
  </w:style>
  <w:style w:type="paragraph" w:customStyle="1" w:styleId="67">
    <w:name w:val="È¡ÀÊ¡ÎÄ¡À¾"/>
    <w:basedOn w:val="1"/>
    <w:qFormat/>
    <w:uiPriority w:val="99"/>
    <w:pPr>
      <w:overflowPunct w:val="0"/>
      <w:autoSpaceDE w:val="0"/>
      <w:autoSpaceDN w:val="0"/>
      <w:textAlignment w:val="baseline"/>
    </w:pPr>
    <w:rPr>
      <w:rFonts w:ascii="Calibri" w:hAnsi="Calibri"/>
      <w:sz w:val="24"/>
    </w:rPr>
  </w:style>
  <w:style w:type="character" w:customStyle="1" w:styleId="68">
    <w:name w:val="标题1"/>
    <w:qFormat/>
    <w:uiPriority w:val="0"/>
  </w:style>
  <w:style w:type="paragraph" w:customStyle="1" w:styleId="69">
    <w:name w:val="其他"/>
    <w:basedOn w:val="1"/>
    <w:qFormat/>
    <w:uiPriority w:val="0"/>
    <w:pPr>
      <w:shd w:val="clear" w:color="auto" w:fill="FFFFFF"/>
      <w:spacing w:line="303" w:lineRule="exact"/>
      <w:jc w:val="left"/>
    </w:pPr>
    <w:rPr>
      <w:rFonts w:ascii="黑体" w:hAnsi="黑体" w:eastAsia="黑体" w:cs="黑体"/>
      <w:sz w:val="19"/>
      <w:szCs w:val="19"/>
      <w:lang w:val="zh-CN" w:bidi="zh-CN"/>
    </w:rPr>
  </w:style>
  <w:style w:type="paragraph" w:styleId="70">
    <w:name w:val="List Paragraph"/>
    <w:basedOn w:val="1"/>
    <w:unhideWhenUsed/>
    <w:qFormat/>
    <w:uiPriority w:val="99"/>
    <w:pPr>
      <w:ind w:firstLine="420" w:firstLineChars="200"/>
    </w:pPr>
  </w:style>
  <w:style w:type="character" w:customStyle="1" w:styleId="71">
    <w:name w:val="正文缩进2格 Char"/>
    <w:link w:val="72"/>
    <w:qFormat/>
    <w:uiPriority w:val="0"/>
    <w:rPr>
      <w:rFonts w:ascii="仿宋_GB2312" w:hAnsi="宋体" w:eastAsia="仿宋_GB2312"/>
      <w:kern w:val="2"/>
      <w:sz w:val="31"/>
      <w:szCs w:val="28"/>
    </w:rPr>
  </w:style>
  <w:style w:type="paragraph" w:customStyle="1" w:styleId="72">
    <w:name w:val="正文缩进2格"/>
    <w:basedOn w:val="1"/>
    <w:link w:val="71"/>
    <w:qFormat/>
    <w:uiPriority w:val="0"/>
    <w:pPr>
      <w:spacing w:line="600" w:lineRule="exact"/>
      <w:ind w:firstLine="639" w:firstLineChars="206"/>
    </w:pPr>
    <w:rPr>
      <w:rFonts w:ascii="仿宋_GB2312" w:hAnsi="宋体" w:eastAsia="仿宋_GB2312"/>
      <w:sz w:val="31"/>
      <w:szCs w:val="28"/>
    </w:rPr>
  </w:style>
  <w:style w:type="paragraph" w:customStyle="1" w:styleId="73">
    <w:name w:val="正文缩进1"/>
    <w:basedOn w:val="1"/>
    <w:qFormat/>
    <w:uiPriority w:val="0"/>
    <w:pPr>
      <w:ind w:firstLine="420" w:firstLineChars="200"/>
    </w:pPr>
  </w:style>
  <w:style w:type="paragraph" w:customStyle="1" w:styleId="74">
    <w:name w:val="索引 11"/>
    <w:basedOn w:val="1"/>
    <w:next w:val="1"/>
    <w:qFormat/>
    <w:uiPriority w:val="0"/>
    <w:pPr>
      <w:spacing w:line="360" w:lineRule="auto"/>
    </w:pPr>
    <w:rPr>
      <w:rFonts w:ascii="仿宋_GB2312" w:eastAsia="仿宋_GB2312"/>
      <w:sz w:val="24"/>
      <w:szCs w:val="20"/>
    </w:rPr>
  </w:style>
  <w:style w:type="paragraph" w:customStyle="1" w:styleId="75">
    <w:name w:val="纯文本1"/>
    <w:basedOn w:val="1"/>
    <w:qFormat/>
    <w:uiPriority w:val="0"/>
    <w:rPr>
      <w:rFonts w:ascii="宋体" w:hAnsi="Courier New" w:eastAsiaTheme="minorEastAsia" w:cstheme="minorBidi"/>
      <w:szCs w:val="22"/>
    </w:rPr>
  </w:style>
  <w:style w:type="character" w:customStyle="1" w:styleId="76">
    <w:name w:val="NormalCharacter"/>
    <w:qFormat/>
    <w:uiPriority w:val="0"/>
  </w:style>
  <w:style w:type="paragraph" w:customStyle="1" w:styleId="77">
    <w:name w:val="正文-无缩进"/>
    <w:basedOn w:val="1"/>
    <w:qFormat/>
    <w:uiPriority w:val="0"/>
  </w:style>
  <w:style w:type="paragraph" w:customStyle="1" w:styleId="78">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79">
    <w:name w:val="列表段落1"/>
    <w:basedOn w:val="1"/>
    <w:qFormat/>
    <w:uiPriority w:val="34"/>
    <w:pPr>
      <w:ind w:firstLine="420" w:firstLineChars="200"/>
    </w:pPr>
    <w:rPr>
      <w:rFonts w:ascii="Calibri" w:hAnsi="Calibri"/>
      <w:szCs w:val="22"/>
    </w:rPr>
  </w:style>
  <w:style w:type="paragraph" w:customStyle="1" w:styleId="80">
    <w:name w:val="i正文"/>
    <w:basedOn w:val="1"/>
    <w:qFormat/>
    <w:uiPriority w:val="0"/>
    <w:rPr>
      <w:rFonts w:ascii="仿宋" w:hAnsi="仿宋" w:eastAsia="仿宋"/>
    </w:rPr>
  </w:style>
  <w:style w:type="paragraph" w:customStyle="1" w:styleId="81">
    <w:name w:val="样式 正文缩进 + 首行缩进:  2 字符"/>
    <w:basedOn w:val="11"/>
    <w:qFormat/>
    <w:uiPriority w:val="0"/>
    <w:pPr>
      <w:spacing w:line="360" w:lineRule="auto"/>
      <w:ind w:firstLine="200"/>
    </w:pPr>
    <w:rPr>
      <w:rFonts w:ascii="Calibri" w:hAnsi="Calibri" w:eastAsia="宋体" w:cs="Times New Roman"/>
      <w:kern w:val="0"/>
      <w:sz w:val="24"/>
      <w:szCs w:val="20"/>
    </w:rPr>
  </w:style>
  <w:style w:type="paragraph" w:customStyle="1" w:styleId="82">
    <w:name w:val="正文首行缩进1(Crlf+Shift+M)"/>
    <w:qFormat/>
    <w:uiPriority w:val="0"/>
    <w:pPr>
      <w:spacing w:before="120" w:after="120" w:line="360" w:lineRule="auto"/>
      <w:ind w:firstLine="420" w:firstLineChars="200"/>
    </w:pPr>
    <w:rPr>
      <w:rFonts w:ascii="Arial" w:hAnsi="Arial" w:eastAsia="宋体" w:cs="Times New Roman"/>
      <w:kern w:val="2"/>
      <w:sz w:val="21"/>
      <w:szCs w:val="24"/>
      <w:lang w:val="en-US" w:eastAsia="zh-CN" w:bidi="ar-SA"/>
    </w:rPr>
  </w:style>
  <w:style w:type="paragraph" w:customStyle="1" w:styleId="83">
    <w:name w:val="_正文段落"/>
    <w:basedOn w:val="1"/>
    <w:qFormat/>
    <w:uiPriority w:val="0"/>
    <w:pPr>
      <w:spacing w:line="360" w:lineRule="auto"/>
    </w:pPr>
    <w:rPr>
      <w:rFonts w:ascii="宋体" w:hAnsi="Times New Roman" w:eastAsia="仿宋_GB2312" w:cs="Times New Roman"/>
      <w:kern w:val="0"/>
      <w:sz w:val="28"/>
      <w:szCs w:val="24"/>
    </w:rPr>
  </w:style>
  <w:style w:type="character" w:customStyle="1" w:styleId="84">
    <w:name w:val="font31"/>
    <w:basedOn w:val="33"/>
    <w:qFormat/>
    <w:uiPriority w:val="0"/>
    <w:rPr>
      <w:rFonts w:hint="eastAsia" w:ascii="微软雅黑" w:hAnsi="微软雅黑" w:eastAsia="微软雅黑" w:cs="微软雅黑"/>
      <w:color w:val="404040"/>
      <w:sz w:val="20"/>
      <w:szCs w:val="20"/>
      <w:u w:val="none"/>
    </w:rPr>
  </w:style>
  <w:style w:type="paragraph" w:customStyle="1" w:styleId="8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98</Pages>
  <Words>52398</Words>
  <Characters>56106</Characters>
  <Lines>1</Lines>
  <Paragraphs>1</Paragraphs>
  <TotalTime>8</TotalTime>
  <ScaleCrop>false</ScaleCrop>
  <LinksUpToDate>false</LinksUpToDate>
  <CharactersWithSpaces>60507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2020-12-11T09:06:00Z</dcterms:created>
  <dc:creator>ASUS</dc:creator>
  <cp:lastModifiedBy>吴涛</cp:lastModifiedBy>
  <cp:lastPrinted>2022-12-23T03:48:00Z</cp:lastPrinted>
  <dcterms:modified xsi:type="dcterms:W3CDTF">2023-05-24T07:48:26Z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B22EB3A921764015A383285BC970D1FD_13</vt:lpwstr>
  </property>
</Properties>
</file>