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400" w:lineRule="atLeast"/>
        <w:jc w:val="center"/>
        <w:rPr>
          <w:rFonts w:ascii="仿宋" w:hAnsi="仿宋" w:eastAsia="仿宋" w:cs="仿宋"/>
          <w:b/>
        </w:rPr>
      </w:pPr>
      <w:bookmarkStart w:id="0" w:name="_Toc130180736"/>
      <w:bookmarkStart w:id="1" w:name="_Toc130180922"/>
      <w:bookmarkStart w:id="2" w:name="_Toc130180841"/>
    </w:p>
    <w:p>
      <w:pPr>
        <w:pStyle w:val="4"/>
        <w:jc w:val="center"/>
        <w:rPr>
          <w:rFonts w:ascii="仿宋" w:hAnsi="仿宋" w:eastAsia="仿宋" w:cs="仿宋"/>
          <w:sz w:val="48"/>
          <w:szCs w:val="44"/>
        </w:rPr>
      </w:pPr>
      <w:r>
        <w:rPr>
          <w:rFonts w:hint="eastAsia" w:ascii="仿宋" w:hAnsi="仿宋" w:eastAsia="仿宋" w:cs="仿宋"/>
          <w:sz w:val="48"/>
          <w:szCs w:val="44"/>
        </w:rPr>
        <w:t>新疆维吾尔自治区疾病预防控制中心关于实验室试剂采购项目</w:t>
      </w:r>
    </w:p>
    <w:p>
      <w:pPr>
        <w:rPr>
          <w:rFonts w:ascii="仿宋" w:hAnsi="仿宋" w:eastAsia="仿宋" w:cs="仿宋"/>
          <w:sz w:val="48"/>
          <w:szCs w:val="44"/>
        </w:rPr>
      </w:pPr>
    </w:p>
    <w:p>
      <w:pPr>
        <w:pStyle w:val="26"/>
        <w:numPr>
          <w:ilvl w:val="4"/>
          <w:numId w:val="0"/>
        </w:numPr>
        <w:rPr>
          <w:rFonts w:ascii="仿宋" w:hAnsi="仿宋" w:eastAsia="仿宋" w:cs="仿宋"/>
        </w:rPr>
      </w:pPr>
    </w:p>
    <w:p>
      <w:pPr>
        <w:pStyle w:val="4"/>
        <w:jc w:val="center"/>
        <w:rPr>
          <w:rFonts w:ascii="仿宋" w:hAnsi="仿宋" w:eastAsia="仿宋" w:cs="仿宋"/>
          <w:bCs w:val="0"/>
        </w:rPr>
      </w:pPr>
      <w:r>
        <w:rPr>
          <w:rFonts w:hint="eastAsia" w:ascii="仿宋" w:hAnsi="仿宋" w:eastAsia="仿宋" w:cs="仿宋"/>
          <w:bCs w:val="0"/>
        </w:rPr>
        <w:t>招标文件</w:t>
      </w:r>
    </w:p>
    <w:p>
      <w:pPr>
        <w:pStyle w:val="13"/>
        <w:spacing w:line="400" w:lineRule="atLeast"/>
        <w:rPr>
          <w:rFonts w:ascii="仿宋" w:hAnsi="仿宋" w:eastAsia="仿宋" w:cs="仿宋"/>
          <w:b/>
        </w:rPr>
      </w:pPr>
    </w:p>
    <w:p>
      <w:pPr>
        <w:pStyle w:val="13"/>
        <w:spacing w:line="400" w:lineRule="atLeast"/>
        <w:rPr>
          <w:rFonts w:ascii="仿宋" w:hAnsi="仿宋" w:eastAsia="仿宋" w:cs="仿宋"/>
          <w:b/>
        </w:rPr>
      </w:pPr>
    </w:p>
    <w:p>
      <w:pPr>
        <w:pStyle w:val="13"/>
        <w:spacing w:line="400" w:lineRule="atLeast"/>
        <w:rPr>
          <w:rFonts w:ascii="仿宋" w:hAnsi="仿宋" w:eastAsia="仿宋" w:cs="仿宋"/>
          <w:b/>
        </w:rPr>
      </w:pPr>
    </w:p>
    <w:p>
      <w:pPr>
        <w:pStyle w:val="13"/>
        <w:spacing w:line="400" w:lineRule="atLeast"/>
        <w:rPr>
          <w:rFonts w:ascii="仿宋" w:hAnsi="仿宋" w:eastAsia="仿宋" w:cs="仿宋"/>
          <w:b/>
        </w:rPr>
      </w:pPr>
    </w:p>
    <w:p>
      <w:pPr>
        <w:pStyle w:val="13"/>
        <w:spacing w:line="400" w:lineRule="atLeast"/>
        <w:rPr>
          <w:rFonts w:ascii="仿宋" w:hAnsi="仿宋" w:eastAsia="仿宋" w:cs="仿宋"/>
          <w:b/>
        </w:rPr>
      </w:pPr>
    </w:p>
    <w:p>
      <w:pPr>
        <w:pStyle w:val="13"/>
        <w:spacing w:line="400" w:lineRule="atLeast"/>
        <w:ind w:firstLine="321" w:firstLineChars="100"/>
        <w:rPr>
          <w:rFonts w:hint="eastAsia" w:ascii="仿宋" w:hAnsi="仿宋" w:eastAsia="仿宋" w:cs="仿宋"/>
          <w:b/>
          <w:sz w:val="32"/>
          <w:szCs w:val="32"/>
          <w:lang w:eastAsia="zh-CN"/>
        </w:rPr>
      </w:pPr>
      <w:r>
        <w:rPr>
          <w:rFonts w:hint="eastAsia" w:ascii="仿宋" w:hAnsi="仿宋" w:eastAsia="仿宋" w:cs="仿宋"/>
          <w:b/>
          <w:sz w:val="32"/>
          <w:szCs w:val="32"/>
        </w:rPr>
        <w:t>项目编号：</w:t>
      </w:r>
      <w:r>
        <w:rPr>
          <w:rFonts w:hint="eastAsia" w:ascii="仿宋" w:hAnsi="仿宋" w:eastAsia="仿宋" w:cs="仿宋"/>
          <w:b/>
          <w:sz w:val="32"/>
          <w:szCs w:val="32"/>
          <w:lang w:eastAsia="zh-CN"/>
        </w:rPr>
        <w:t>HYZB-2022-0004-1</w:t>
      </w:r>
    </w:p>
    <w:p>
      <w:pPr>
        <w:pStyle w:val="13"/>
        <w:spacing w:line="400" w:lineRule="atLeast"/>
        <w:rPr>
          <w:rFonts w:ascii="仿宋" w:hAnsi="仿宋" w:eastAsia="仿宋" w:cs="仿宋"/>
          <w:b/>
          <w:sz w:val="32"/>
          <w:szCs w:val="32"/>
        </w:rPr>
      </w:pPr>
    </w:p>
    <w:p>
      <w:pPr>
        <w:pStyle w:val="13"/>
        <w:spacing w:line="400" w:lineRule="atLeast"/>
        <w:ind w:left="1925" w:leftChars="152" w:hanging="1606" w:hangingChars="500"/>
        <w:rPr>
          <w:rFonts w:ascii="仿宋" w:hAnsi="仿宋" w:eastAsia="仿宋" w:cs="仿宋"/>
          <w:b/>
          <w:sz w:val="32"/>
          <w:szCs w:val="32"/>
        </w:rPr>
      </w:pPr>
      <w:r>
        <w:rPr>
          <w:rFonts w:hint="eastAsia" w:ascii="仿宋" w:hAnsi="仿宋" w:eastAsia="仿宋" w:cs="仿宋"/>
          <w:b/>
          <w:sz w:val="32"/>
          <w:szCs w:val="32"/>
        </w:rPr>
        <w:t>项目名称：新疆维吾尔自治区疾病预防控制中心关于实验室试剂采购项目</w:t>
      </w:r>
    </w:p>
    <w:p>
      <w:pPr>
        <w:pStyle w:val="13"/>
        <w:spacing w:line="400" w:lineRule="atLeast"/>
        <w:rPr>
          <w:rFonts w:ascii="仿宋" w:hAnsi="仿宋" w:eastAsia="仿宋" w:cs="仿宋"/>
          <w:b/>
          <w:sz w:val="32"/>
          <w:szCs w:val="32"/>
        </w:rPr>
      </w:pPr>
    </w:p>
    <w:p>
      <w:pPr>
        <w:pStyle w:val="13"/>
        <w:spacing w:line="400" w:lineRule="atLeast"/>
        <w:ind w:firstLine="321" w:firstLineChars="100"/>
        <w:rPr>
          <w:rFonts w:ascii="仿宋" w:hAnsi="仿宋" w:eastAsia="仿宋" w:cs="仿宋"/>
          <w:b/>
          <w:sz w:val="32"/>
          <w:szCs w:val="32"/>
        </w:rPr>
      </w:pPr>
      <w:r>
        <w:rPr>
          <w:rFonts w:hint="eastAsia" w:ascii="仿宋" w:hAnsi="仿宋" w:eastAsia="仿宋" w:cs="仿宋"/>
          <w:b/>
          <w:sz w:val="32"/>
          <w:szCs w:val="32"/>
        </w:rPr>
        <w:t xml:space="preserve">委托单位：新疆维吾尔自治区疾病预防控制中心              </w:t>
      </w:r>
    </w:p>
    <w:p>
      <w:pPr>
        <w:pStyle w:val="13"/>
        <w:spacing w:line="400" w:lineRule="atLeast"/>
        <w:rPr>
          <w:rFonts w:ascii="仿宋" w:hAnsi="仿宋" w:eastAsia="仿宋" w:cs="仿宋"/>
          <w:b/>
          <w:sz w:val="32"/>
          <w:szCs w:val="32"/>
        </w:rPr>
      </w:pPr>
    </w:p>
    <w:p>
      <w:pPr>
        <w:pStyle w:val="13"/>
        <w:spacing w:line="400" w:lineRule="atLeast"/>
        <w:ind w:firstLine="321" w:firstLineChars="100"/>
        <w:rPr>
          <w:rFonts w:ascii="仿宋" w:hAnsi="仿宋" w:eastAsia="仿宋" w:cs="仿宋"/>
          <w:b/>
          <w:sz w:val="32"/>
          <w:szCs w:val="32"/>
        </w:rPr>
      </w:pPr>
      <w:r>
        <w:rPr>
          <w:rFonts w:hint="eastAsia" w:ascii="仿宋" w:hAnsi="仿宋" w:eastAsia="仿宋" w:cs="仿宋"/>
          <w:b/>
          <w:sz w:val="32"/>
          <w:szCs w:val="32"/>
        </w:rPr>
        <w:t>采购代理：新疆华域建设工程项目管理咨询有限公司</w:t>
      </w:r>
    </w:p>
    <w:p>
      <w:pPr>
        <w:spacing w:line="400" w:lineRule="atLeast"/>
        <w:jc w:val="center"/>
        <w:rPr>
          <w:rFonts w:ascii="仿宋" w:hAnsi="仿宋" w:eastAsia="仿宋" w:cs="仿宋"/>
          <w:b/>
          <w:sz w:val="24"/>
        </w:rPr>
      </w:pPr>
    </w:p>
    <w:p>
      <w:pPr>
        <w:spacing w:line="400" w:lineRule="atLeast"/>
        <w:jc w:val="center"/>
        <w:rPr>
          <w:rFonts w:ascii="仿宋" w:hAnsi="仿宋" w:eastAsia="仿宋" w:cs="仿宋"/>
          <w:b/>
          <w:sz w:val="24"/>
        </w:rPr>
      </w:pPr>
    </w:p>
    <w:p>
      <w:pPr>
        <w:rPr>
          <w:rFonts w:ascii="仿宋" w:hAnsi="仿宋" w:eastAsia="仿宋" w:cs="仿宋"/>
          <w:b/>
          <w:sz w:val="24"/>
        </w:rPr>
      </w:pPr>
    </w:p>
    <w:p>
      <w:pPr>
        <w:pStyle w:val="19"/>
        <w:rPr>
          <w:rFonts w:ascii="仿宋" w:hAnsi="仿宋" w:eastAsia="仿宋" w:cs="仿宋"/>
        </w:rPr>
      </w:pPr>
    </w:p>
    <w:p>
      <w:pPr>
        <w:pStyle w:val="10"/>
        <w:rPr>
          <w:rFonts w:ascii="仿宋" w:hAnsi="仿宋" w:eastAsia="仿宋" w:cs="仿宋"/>
          <w:color w:val="auto"/>
        </w:rPr>
      </w:pPr>
    </w:p>
    <w:p>
      <w:pPr>
        <w:pStyle w:val="9"/>
        <w:jc w:val="center"/>
        <w:rPr>
          <w:rFonts w:ascii="仿宋" w:hAnsi="仿宋" w:eastAsia="仿宋" w:cs="仿宋"/>
          <w:b/>
          <w:sz w:val="32"/>
          <w:szCs w:val="32"/>
        </w:rPr>
      </w:pPr>
      <w:r>
        <w:rPr>
          <w:rFonts w:hint="eastAsia" w:ascii="仿宋" w:hAnsi="仿宋" w:eastAsia="仿宋" w:cs="仿宋"/>
          <w:b/>
          <w:sz w:val="32"/>
          <w:szCs w:val="32"/>
        </w:rPr>
        <w:t>2022年</w:t>
      </w:r>
      <w:r>
        <w:rPr>
          <w:rFonts w:ascii="仿宋" w:hAnsi="仿宋" w:eastAsia="仿宋" w:cs="仿宋"/>
          <w:b/>
          <w:sz w:val="32"/>
          <w:szCs w:val="32"/>
        </w:rPr>
        <w:t>4</w:t>
      </w:r>
      <w:r>
        <w:rPr>
          <w:rFonts w:hint="eastAsia" w:ascii="仿宋" w:hAnsi="仿宋" w:eastAsia="仿宋" w:cs="仿宋"/>
          <w:b/>
          <w:sz w:val="32"/>
          <w:szCs w:val="32"/>
        </w:rPr>
        <w:t>月</w:t>
      </w:r>
    </w:p>
    <w:p>
      <w:pPr>
        <w:pStyle w:val="3"/>
        <w:keepLines w:val="0"/>
        <w:numPr>
          <w:ilvl w:val="0"/>
          <w:numId w:val="3"/>
        </w:numPr>
        <w:spacing w:before="0" w:after="0" w:line="360" w:lineRule="auto"/>
        <w:ind w:right="-441" w:rightChars="-210"/>
        <w:jc w:val="center"/>
        <w:rPr>
          <w:rFonts w:ascii="仿宋" w:hAnsi="仿宋" w:eastAsia="仿宋" w:cs="仿宋"/>
          <w:kern w:val="2"/>
          <w:sz w:val="48"/>
          <w:szCs w:val="48"/>
        </w:rPr>
      </w:pPr>
      <w:r>
        <w:rPr>
          <w:rFonts w:hint="eastAsia" w:ascii="仿宋" w:hAnsi="仿宋" w:eastAsia="仿宋" w:cs="仿宋"/>
          <w:kern w:val="2"/>
          <w:sz w:val="48"/>
          <w:szCs w:val="48"/>
        </w:rPr>
        <w:t xml:space="preserve"> 项目公告</w:t>
      </w:r>
    </w:p>
    <w:p>
      <w:pPr>
        <w:rPr>
          <w:rFonts w:ascii="仿宋" w:hAnsi="仿宋" w:eastAsia="仿宋" w:cs="仿宋"/>
        </w:rPr>
      </w:pPr>
    </w:p>
    <w:p>
      <w:pPr>
        <w:jc w:val="center"/>
        <w:rPr>
          <w:rStyle w:val="23"/>
          <w:rFonts w:ascii="仿宋" w:hAnsi="仿宋" w:eastAsia="仿宋" w:cs="仿宋"/>
          <w:sz w:val="32"/>
          <w:szCs w:val="32"/>
        </w:rPr>
      </w:pPr>
      <w:r>
        <w:rPr>
          <w:rFonts w:hint="eastAsia" w:ascii="仿宋" w:hAnsi="仿宋" w:eastAsia="仿宋" w:cs="仿宋"/>
          <w:b/>
          <w:sz w:val="32"/>
          <w:szCs w:val="32"/>
        </w:rPr>
        <w:t>新疆维吾尔自治区疾病预防控制中心关于实验室试剂采购项目</w:t>
      </w:r>
    </w:p>
    <w:p>
      <w:pPr>
        <w:pStyle w:val="17"/>
        <w:widowControl/>
        <w:spacing w:before="255" w:after="255" w:line="360" w:lineRule="exact"/>
        <w:jc w:val="both"/>
        <w:rPr>
          <w:rFonts w:ascii="仿宋" w:hAnsi="仿宋" w:eastAsia="仿宋" w:cs="仿宋"/>
          <w:sz w:val="27"/>
          <w:szCs w:val="27"/>
        </w:rPr>
      </w:pPr>
      <w:r>
        <w:rPr>
          <w:rStyle w:val="23"/>
          <w:rFonts w:hint="eastAsia" w:ascii="仿宋" w:hAnsi="仿宋" w:eastAsia="仿宋" w:cs="仿宋"/>
          <w:sz w:val="27"/>
          <w:szCs w:val="27"/>
        </w:rPr>
        <w:t>一、项目基本情况</w:t>
      </w:r>
    </w:p>
    <w:p>
      <w:pPr>
        <w:pStyle w:val="17"/>
        <w:widowControl/>
        <w:spacing w:line="360" w:lineRule="exact"/>
        <w:ind w:firstLine="540" w:firstLineChars="200"/>
        <w:rPr>
          <w:rFonts w:hint="eastAsia" w:ascii="仿宋" w:hAnsi="仿宋" w:eastAsia="仿宋" w:cs="仿宋"/>
          <w:sz w:val="27"/>
          <w:szCs w:val="27"/>
          <w:lang w:eastAsia="zh-CN"/>
        </w:rPr>
      </w:pPr>
      <w:r>
        <w:rPr>
          <w:rFonts w:hint="eastAsia" w:ascii="仿宋" w:hAnsi="仿宋" w:eastAsia="仿宋" w:cs="仿宋"/>
          <w:sz w:val="27"/>
          <w:szCs w:val="27"/>
        </w:rPr>
        <w:t>项目编号：</w:t>
      </w:r>
      <w:r>
        <w:rPr>
          <w:rFonts w:hint="eastAsia" w:ascii="仿宋" w:hAnsi="仿宋" w:eastAsia="仿宋" w:cs="仿宋"/>
          <w:sz w:val="27"/>
          <w:szCs w:val="27"/>
          <w:lang w:eastAsia="zh-CN"/>
        </w:rPr>
        <w:t>HYZB-2022-0004-1</w:t>
      </w:r>
    </w:p>
    <w:p>
      <w:pPr>
        <w:pStyle w:val="17"/>
        <w:widowControl/>
        <w:spacing w:line="360" w:lineRule="exact"/>
        <w:ind w:left="1888" w:leftChars="256" w:hanging="1350" w:hangingChars="500"/>
        <w:rPr>
          <w:rFonts w:ascii="仿宋" w:hAnsi="仿宋" w:eastAsia="仿宋" w:cs="仿宋"/>
          <w:sz w:val="27"/>
          <w:szCs w:val="27"/>
        </w:rPr>
      </w:pPr>
      <w:r>
        <w:rPr>
          <w:rFonts w:hint="eastAsia" w:ascii="仿宋" w:hAnsi="仿宋" w:eastAsia="仿宋" w:cs="仿宋"/>
          <w:sz w:val="27"/>
          <w:szCs w:val="27"/>
        </w:rPr>
        <w:t>项目名称：新疆维吾尔自治区疾病预防控制中心关于实验室试剂采购项目</w:t>
      </w:r>
    </w:p>
    <w:p>
      <w:pPr>
        <w:pStyle w:val="17"/>
        <w:widowControl/>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采购方式：公开招标</w:t>
      </w:r>
    </w:p>
    <w:p>
      <w:pPr>
        <w:pStyle w:val="17"/>
        <w:widowControl/>
        <w:spacing w:line="360" w:lineRule="exact"/>
        <w:rPr>
          <w:rFonts w:hint="default" w:ascii="仿宋" w:hAnsi="仿宋" w:eastAsia="仿宋" w:cs="仿宋"/>
          <w:lang w:val="en-US" w:eastAsia="zh-CN"/>
        </w:rPr>
      </w:pPr>
      <w:r>
        <w:rPr>
          <w:rFonts w:hint="eastAsia" w:ascii="仿宋" w:hAnsi="仿宋" w:eastAsia="仿宋" w:cs="仿宋"/>
          <w:sz w:val="27"/>
          <w:szCs w:val="27"/>
        </w:rPr>
        <w:t>     预算金额（元）：</w:t>
      </w:r>
      <w:r>
        <w:rPr>
          <w:rFonts w:hint="eastAsia" w:ascii="仿宋" w:hAnsi="仿宋" w:eastAsia="仿宋" w:cs="仿宋"/>
          <w:sz w:val="27"/>
          <w:szCs w:val="27"/>
          <w:lang w:val="en-US" w:eastAsia="zh-CN"/>
        </w:rPr>
        <w:t>标项一：490829.00元；标项二：351615.00元；标项三：214900.00元；标项四：237800.00元；标项五：133000.00元；标项六：169150.00元；标项七：377270.00元。</w:t>
      </w:r>
    </w:p>
    <w:p>
      <w:pPr>
        <w:pStyle w:val="17"/>
        <w:widowControl/>
        <w:spacing w:line="360" w:lineRule="exact"/>
        <w:ind w:firstLine="540" w:firstLineChars="200"/>
        <w:rPr>
          <w:rFonts w:hint="default" w:ascii="仿宋" w:hAnsi="仿宋" w:eastAsia="仿宋" w:cs="仿宋"/>
          <w:sz w:val="27"/>
          <w:szCs w:val="27"/>
          <w:lang w:val="en-US" w:eastAsia="zh-CN"/>
        </w:rPr>
      </w:pPr>
      <w:r>
        <w:rPr>
          <w:rFonts w:hint="eastAsia" w:ascii="仿宋" w:hAnsi="仿宋" w:eastAsia="仿宋" w:cs="仿宋"/>
          <w:sz w:val="27"/>
          <w:szCs w:val="27"/>
        </w:rPr>
        <w:t>最高限价（元）：</w:t>
      </w:r>
      <w:r>
        <w:rPr>
          <w:rFonts w:hint="eastAsia" w:ascii="仿宋" w:hAnsi="仿宋" w:eastAsia="仿宋" w:cs="仿宋"/>
          <w:sz w:val="27"/>
          <w:szCs w:val="27"/>
          <w:lang w:val="en-US" w:eastAsia="zh-CN"/>
        </w:rPr>
        <w:t>标项一：490829.00元；标项二：351615.00元；标项三：214900.00元；标项四：237800.00元；标项五：133000.00元；标项六：169150.00元；标项七：377270.00元。</w:t>
      </w:r>
    </w:p>
    <w:p>
      <w:pPr>
        <w:pStyle w:val="17"/>
        <w:widowControl/>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采购需求：</w:t>
      </w:r>
      <w:r>
        <w:rPr>
          <w:rFonts w:ascii="仿宋" w:hAnsi="仿宋" w:eastAsia="仿宋" w:cs="仿宋"/>
          <w:i w:val="0"/>
          <w:iCs w:val="0"/>
          <w:caps w:val="0"/>
          <w:color w:val="000000"/>
          <w:spacing w:val="0"/>
          <w:sz w:val="27"/>
          <w:szCs w:val="27"/>
        </w:rPr>
        <w:t>用于自治区疾控中心免疫规划、结核病、艾滋病、寄生虫病、传染病、慢性病、职业卫生、环境卫生、应急、消毒感染等疾病专用或其他实验室使用</w:t>
      </w:r>
    </w:p>
    <w:p>
      <w:pPr>
        <w:pStyle w:val="17"/>
        <w:widowControl/>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合同履约期限：按甲方要求供货</w:t>
      </w:r>
    </w:p>
    <w:p>
      <w:pPr>
        <w:pStyle w:val="17"/>
        <w:widowControl/>
        <w:spacing w:line="360" w:lineRule="exact"/>
        <w:ind w:left="538" w:leftChars="256"/>
        <w:rPr>
          <w:rFonts w:ascii="仿宋" w:hAnsi="仿宋" w:eastAsia="仿宋" w:cs="仿宋"/>
        </w:rPr>
      </w:pPr>
      <w:r>
        <w:rPr>
          <w:rFonts w:hint="eastAsia" w:ascii="仿宋" w:hAnsi="仿宋" w:eastAsia="仿宋" w:cs="仿宋"/>
          <w:sz w:val="27"/>
          <w:szCs w:val="27"/>
        </w:rPr>
        <w:t>本项目（否）接受联合体投标。</w:t>
      </w:r>
    </w:p>
    <w:p>
      <w:pPr>
        <w:pStyle w:val="17"/>
        <w:widowControl/>
        <w:spacing w:line="360" w:lineRule="exact"/>
        <w:rPr>
          <w:rFonts w:ascii="仿宋" w:hAnsi="仿宋" w:eastAsia="仿宋" w:cs="仿宋"/>
        </w:rPr>
      </w:pPr>
      <w:r>
        <w:rPr>
          <w:rStyle w:val="23"/>
          <w:rFonts w:hint="eastAsia" w:ascii="仿宋" w:hAnsi="仿宋" w:eastAsia="仿宋" w:cs="仿宋"/>
          <w:sz w:val="27"/>
          <w:szCs w:val="27"/>
        </w:rPr>
        <w:t>二、申请人的资格要求：</w:t>
      </w:r>
    </w:p>
    <w:p>
      <w:pPr>
        <w:ind w:firstLine="540" w:firstLineChars="200"/>
        <w:rPr>
          <w:rFonts w:ascii="仿宋" w:hAnsi="仿宋" w:eastAsia="仿宋" w:cs="仿宋"/>
          <w:kern w:val="0"/>
          <w:sz w:val="27"/>
          <w:szCs w:val="27"/>
        </w:rPr>
      </w:pPr>
      <w:r>
        <w:rPr>
          <w:rFonts w:hint="eastAsia" w:ascii="仿宋" w:hAnsi="仿宋" w:eastAsia="仿宋" w:cs="仿宋"/>
          <w:kern w:val="0"/>
          <w:sz w:val="27"/>
          <w:szCs w:val="27"/>
        </w:rPr>
        <w:t>1.满足《中华人民共和国政府采购法》第二十二条规定；</w:t>
      </w:r>
    </w:p>
    <w:p>
      <w:pPr>
        <w:pStyle w:val="17"/>
        <w:ind w:firstLine="540" w:firstLineChars="200"/>
        <w:rPr>
          <w:rFonts w:ascii="仿宋" w:hAnsi="仿宋" w:eastAsia="仿宋" w:cs="仿宋"/>
          <w:sz w:val="27"/>
          <w:szCs w:val="27"/>
        </w:rPr>
      </w:pPr>
      <w:r>
        <w:rPr>
          <w:rFonts w:hint="eastAsia" w:ascii="仿宋" w:hAnsi="仿宋" w:eastAsia="仿宋" w:cs="仿宋"/>
          <w:sz w:val="27"/>
          <w:szCs w:val="27"/>
        </w:rPr>
        <w:t>2.落实政府采购政策需满足的资格要求：无</w:t>
      </w:r>
    </w:p>
    <w:p>
      <w:pPr>
        <w:pStyle w:val="17"/>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3.本项目的特定资格要求：</w:t>
      </w:r>
    </w:p>
    <w:p>
      <w:pPr>
        <w:pStyle w:val="17"/>
        <w:spacing w:line="360" w:lineRule="exact"/>
        <w:ind w:firstLine="540" w:firstLineChars="200"/>
        <w:rPr>
          <w:rFonts w:ascii="仿宋" w:hAnsi="仿宋" w:eastAsia="仿宋" w:cs="仿宋"/>
          <w:sz w:val="27"/>
          <w:szCs w:val="27"/>
        </w:rPr>
      </w:pPr>
      <w:bookmarkStart w:id="399" w:name="_GoBack"/>
      <w:r>
        <w:rPr>
          <w:rFonts w:hint="eastAsia" w:ascii="仿宋" w:hAnsi="仿宋" w:eastAsia="仿宋" w:cs="仿宋"/>
          <w:sz w:val="27"/>
          <w:szCs w:val="27"/>
        </w:rPr>
        <w:t>（1）有效的工商营业执照副本原件、税务登记证副本原件、组织机构代码证副本原件或“三证合一”的营业执照副本原件或当地公证处出具的此资质的公证书原件；（营业执照需包含本次项目的相关经营权）；</w:t>
      </w:r>
    </w:p>
    <w:p>
      <w:pPr>
        <w:pStyle w:val="17"/>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2）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p>
      <w:pPr>
        <w:pStyle w:val="17"/>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3）供应商应在“信用中国”网站（www.creditchina.gov.cn）未被列入失信被执行人记录、重大税收违法案件当事人名单且在中国政府采购网（www.ccgp.gov.cn）没有相关主体政府采购严重违法失信行为记录（被禁止在一定期限内参加政府采购活动但期限届满的除外）（查询日期为从招标文件发售之日起至投标截止日前），以网页截图（需显示查询时间）加盖投标人公章为准；</w:t>
      </w:r>
      <w:bookmarkEnd w:id="399"/>
      <w:r>
        <w:rPr>
          <w:rFonts w:hint="eastAsia" w:ascii="仿宋" w:hAnsi="仿宋" w:eastAsia="仿宋" w:cs="仿宋"/>
          <w:sz w:val="27"/>
          <w:szCs w:val="27"/>
        </w:rPr>
        <w:t>  </w:t>
      </w:r>
    </w:p>
    <w:p>
      <w:pPr>
        <w:pStyle w:val="17"/>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4）单位负责人为同一人或者存在直接控股、管理关系的不同投标人，不得参加同一合同项下的政府招标活动。除单一来源采购项目外，为采购项目提供整体设计、规范编制或者项目管理、监理、检测等服务的投标人，不得再参加该采购项目的其他采购活动。</w:t>
      </w:r>
    </w:p>
    <w:p>
      <w:pPr>
        <w:pStyle w:val="17"/>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（5）本项目（否）接受联合体投标</w:t>
      </w:r>
    </w:p>
    <w:p>
      <w:pPr>
        <w:pStyle w:val="17"/>
        <w:widowControl/>
        <w:spacing w:before="255" w:after="255" w:line="360" w:lineRule="exact"/>
        <w:rPr>
          <w:rFonts w:ascii="仿宋" w:hAnsi="仿宋" w:eastAsia="仿宋" w:cs="仿宋"/>
          <w:sz w:val="27"/>
          <w:szCs w:val="27"/>
          <w:highlight w:val="none"/>
        </w:rPr>
      </w:pPr>
      <w:r>
        <w:rPr>
          <w:rStyle w:val="23"/>
          <w:rFonts w:hint="eastAsia" w:ascii="仿宋" w:hAnsi="仿宋" w:eastAsia="仿宋" w:cs="仿宋"/>
          <w:sz w:val="27"/>
          <w:szCs w:val="27"/>
          <w:highlight w:val="none"/>
        </w:rPr>
        <w:t>三、获取招标文件</w:t>
      </w:r>
      <w:r>
        <w:rPr>
          <w:rFonts w:hint="eastAsia" w:ascii="仿宋" w:hAnsi="仿宋" w:eastAsia="仿宋" w:cs="仿宋"/>
          <w:sz w:val="27"/>
          <w:szCs w:val="27"/>
          <w:highlight w:val="none"/>
        </w:rPr>
        <w:t> </w:t>
      </w:r>
    </w:p>
    <w:p>
      <w:pPr>
        <w:pStyle w:val="17"/>
        <w:widowControl/>
        <w:spacing w:line="360" w:lineRule="exact"/>
        <w:rPr>
          <w:rFonts w:ascii="仿宋" w:hAnsi="仿宋" w:eastAsia="仿宋" w:cs="仿宋"/>
          <w:highlight w:val="none"/>
        </w:rPr>
      </w:pPr>
      <w:r>
        <w:rPr>
          <w:rFonts w:hint="eastAsia" w:ascii="仿宋" w:hAnsi="仿宋" w:eastAsia="仿宋" w:cs="仿宋"/>
          <w:sz w:val="27"/>
          <w:szCs w:val="27"/>
          <w:highlight w:val="none"/>
        </w:rPr>
        <w:t>    时间：2022年</w:t>
      </w:r>
      <w:r>
        <w:rPr>
          <w:rFonts w:hint="eastAsia" w:ascii="仿宋" w:hAnsi="仿宋" w:eastAsia="仿宋" w:cs="仿宋"/>
          <w:sz w:val="27"/>
          <w:szCs w:val="27"/>
          <w:highlight w:val="none"/>
          <w:lang w:val="en-US" w:eastAsia="zh-CN"/>
        </w:rPr>
        <w:t>6</w:t>
      </w:r>
      <w:r>
        <w:rPr>
          <w:rFonts w:hint="eastAsia" w:ascii="仿宋" w:hAnsi="仿宋" w:eastAsia="仿宋" w:cs="仿宋"/>
          <w:sz w:val="27"/>
          <w:szCs w:val="27"/>
          <w:highlight w:val="none"/>
        </w:rPr>
        <w:t>月</w:t>
      </w:r>
      <w:r>
        <w:rPr>
          <w:rFonts w:hint="eastAsia" w:ascii="仿宋" w:hAnsi="仿宋" w:eastAsia="仿宋" w:cs="仿宋"/>
          <w:sz w:val="27"/>
          <w:szCs w:val="27"/>
          <w:highlight w:val="none"/>
          <w:lang w:val="en-US" w:eastAsia="zh-CN"/>
        </w:rPr>
        <w:t>2</w:t>
      </w:r>
      <w:r>
        <w:rPr>
          <w:rFonts w:hint="eastAsia" w:ascii="仿宋" w:hAnsi="仿宋" w:eastAsia="仿宋" w:cs="仿宋"/>
          <w:sz w:val="27"/>
          <w:szCs w:val="27"/>
          <w:highlight w:val="none"/>
        </w:rPr>
        <w:t>日至2022年</w:t>
      </w:r>
      <w:r>
        <w:rPr>
          <w:rFonts w:hint="eastAsia" w:ascii="仿宋" w:hAnsi="仿宋" w:eastAsia="仿宋" w:cs="仿宋"/>
          <w:sz w:val="27"/>
          <w:szCs w:val="27"/>
          <w:highlight w:val="none"/>
          <w:lang w:val="en-US" w:eastAsia="zh-CN"/>
        </w:rPr>
        <w:t>6</w:t>
      </w:r>
      <w:r>
        <w:rPr>
          <w:rFonts w:hint="eastAsia" w:ascii="仿宋" w:hAnsi="仿宋" w:eastAsia="仿宋" w:cs="仿宋"/>
          <w:sz w:val="27"/>
          <w:szCs w:val="27"/>
          <w:highlight w:val="none"/>
        </w:rPr>
        <w:t>月</w:t>
      </w:r>
      <w:r>
        <w:rPr>
          <w:rFonts w:hint="eastAsia" w:ascii="仿宋" w:hAnsi="仿宋" w:eastAsia="仿宋" w:cs="仿宋"/>
          <w:sz w:val="27"/>
          <w:szCs w:val="27"/>
          <w:highlight w:val="none"/>
          <w:lang w:val="en-US" w:eastAsia="zh-CN"/>
        </w:rPr>
        <w:t>10</w:t>
      </w:r>
      <w:r>
        <w:rPr>
          <w:rFonts w:hint="eastAsia" w:ascii="仿宋" w:hAnsi="仿宋" w:eastAsia="仿宋" w:cs="仿宋"/>
          <w:sz w:val="27"/>
          <w:szCs w:val="27"/>
          <w:highlight w:val="none"/>
        </w:rPr>
        <w:t>日 ，每天上午10:00至14:00 ，下午15:30至19:30（北京时间，法定节假日除外）</w:t>
      </w:r>
    </w:p>
    <w:p>
      <w:pPr>
        <w:pStyle w:val="17"/>
        <w:spacing w:line="300" w:lineRule="atLeast"/>
        <w:rPr>
          <w:rFonts w:ascii="仿宋" w:hAnsi="仿宋" w:eastAsia="仿宋" w:cs="仿宋"/>
          <w:highlight w:val="none"/>
        </w:rPr>
      </w:pPr>
      <w:r>
        <w:rPr>
          <w:rFonts w:hint="eastAsia" w:ascii="仿宋" w:hAnsi="仿宋" w:eastAsia="仿宋" w:cs="仿宋"/>
          <w:sz w:val="27"/>
          <w:szCs w:val="27"/>
          <w:highlight w:val="none"/>
        </w:rPr>
        <w:t>    地点：新疆政府采购网（http://www.ccgp-xinjiang.gov.cn/）   </w:t>
      </w:r>
    </w:p>
    <w:p>
      <w:pPr>
        <w:pStyle w:val="17"/>
        <w:spacing w:line="300" w:lineRule="atLeast"/>
        <w:jc w:val="both"/>
        <w:rPr>
          <w:rFonts w:ascii="仿宋" w:hAnsi="仿宋" w:eastAsia="仿宋" w:cs="仿宋"/>
          <w:highlight w:val="none"/>
        </w:rPr>
      </w:pPr>
      <w:r>
        <w:rPr>
          <w:rFonts w:hint="eastAsia" w:ascii="仿宋" w:hAnsi="仿宋" w:eastAsia="仿宋" w:cs="仿宋"/>
          <w:sz w:val="27"/>
          <w:szCs w:val="27"/>
          <w:highlight w:val="none"/>
        </w:rPr>
        <w:t>    方式：网上报名及购买文件，购买前需将</w:t>
      </w:r>
      <w:r>
        <w:rPr>
          <w:rFonts w:hint="eastAsia" w:ascii="仿宋" w:hAnsi="仿宋" w:eastAsia="仿宋" w:cs="仿宋"/>
          <w:sz w:val="27"/>
          <w:szCs w:val="27"/>
          <w:highlight w:val="none"/>
          <w:lang w:val="en-US" w:eastAsia="zh-CN"/>
        </w:rPr>
        <w:t>资格要求中证件及法定代表人授权委托书</w:t>
      </w:r>
      <w:r>
        <w:rPr>
          <w:rFonts w:hint="eastAsia" w:ascii="仿宋" w:hAnsi="仿宋" w:eastAsia="仿宋" w:cs="仿宋"/>
          <w:sz w:val="27"/>
          <w:szCs w:val="27"/>
          <w:highlight w:val="none"/>
        </w:rPr>
        <w:t>加盖公章扫描件发送至</w:t>
      </w:r>
      <w:r>
        <w:rPr>
          <w:rFonts w:hint="eastAsia" w:ascii="仿宋" w:hAnsi="仿宋" w:eastAsia="仿宋" w:cs="仿宋"/>
          <w:sz w:val="27"/>
          <w:szCs w:val="27"/>
          <w:highlight w:val="none"/>
          <w:lang w:val="en-US" w:eastAsia="zh-CN"/>
        </w:rPr>
        <w:t>1933640239</w:t>
      </w:r>
      <w:r>
        <w:rPr>
          <w:rFonts w:hint="eastAsia" w:ascii="仿宋" w:hAnsi="仿宋" w:eastAsia="仿宋" w:cs="仿宋"/>
          <w:sz w:val="27"/>
          <w:szCs w:val="27"/>
          <w:highlight w:val="none"/>
        </w:rPr>
        <w:t>@qq.com</w:t>
      </w:r>
    </w:p>
    <w:p>
      <w:pPr>
        <w:pStyle w:val="17"/>
        <w:widowControl/>
        <w:spacing w:line="360" w:lineRule="exact"/>
        <w:rPr>
          <w:rFonts w:ascii="仿宋" w:hAnsi="仿宋" w:eastAsia="仿宋" w:cs="仿宋"/>
          <w:highlight w:val="none"/>
        </w:rPr>
      </w:pPr>
      <w:r>
        <w:rPr>
          <w:rFonts w:hint="eastAsia" w:ascii="仿宋" w:hAnsi="仿宋" w:eastAsia="仿宋" w:cs="仿宋"/>
          <w:sz w:val="27"/>
          <w:szCs w:val="27"/>
          <w:highlight w:val="none"/>
        </w:rPr>
        <w:t>    每个标项售价（元）：300</w:t>
      </w:r>
      <w:r>
        <w:rPr>
          <w:rFonts w:hint="eastAsia" w:ascii="仿宋" w:hAnsi="仿宋" w:eastAsia="仿宋" w:cs="仿宋"/>
          <w:highlight w:val="none"/>
        </w:rPr>
        <w:t> </w:t>
      </w:r>
    </w:p>
    <w:p>
      <w:pPr>
        <w:pStyle w:val="17"/>
        <w:widowControl/>
        <w:spacing w:before="255" w:after="255" w:line="360" w:lineRule="exact"/>
        <w:rPr>
          <w:rFonts w:ascii="仿宋" w:hAnsi="仿宋" w:eastAsia="仿宋" w:cs="仿宋"/>
          <w:sz w:val="27"/>
          <w:szCs w:val="27"/>
          <w:highlight w:val="none"/>
        </w:rPr>
      </w:pPr>
      <w:r>
        <w:rPr>
          <w:rStyle w:val="23"/>
          <w:rFonts w:hint="eastAsia" w:ascii="仿宋" w:hAnsi="仿宋" w:eastAsia="仿宋" w:cs="仿宋"/>
          <w:sz w:val="27"/>
          <w:szCs w:val="27"/>
          <w:highlight w:val="none"/>
        </w:rPr>
        <w:t>四、提交投标文件截止时间、开标时间和地点</w:t>
      </w:r>
    </w:p>
    <w:p>
      <w:pPr>
        <w:pStyle w:val="17"/>
        <w:widowControl/>
        <w:spacing w:line="360" w:lineRule="exact"/>
        <w:rPr>
          <w:rFonts w:ascii="仿宋" w:hAnsi="仿宋" w:eastAsia="仿宋" w:cs="仿宋"/>
          <w:highlight w:val="none"/>
        </w:rPr>
      </w:pPr>
      <w:r>
        <w:rPr>
          <w:rFonts w:hint="eastAsia" w:ascii="仿宋" w:hAnsi="仿宋" w:eastAsia="仿宋" w:cs="仿宋"/>
          <w:sz w:val="27"/>
          <w:szCs w:val="27"/>
          <w:highlight w:val="none"/>
        </w:rPr>
        <w:t>    提交投标文件截止时间：2022年</w:t>
      </w:r>
      <w:r>
        <w:rPr>
          <w:rFonts w:hint="eastAsia" w:ascii="仿宋" w:hAnsi="仿宋" w:eastAsia="仿宋" w:cs="仿宋"/>
          <w:sz w:val="27"/>
          <w:szCs w:val="27"/>
          <w:highlight w:val="none"/>
          <w:lang w:val="en-US" w:eastAsia="zh-CN"/>
        </w:rPr>
        <w:t>6</w:t>
      </w:r>
      <w:r>
        <w:rPr>
          <w:rFonts w:hint="eastAsia" w:ascii="仿宋" w:hAnsi="仿宋" w:eastAsia="仿宋" w:cs="仿宋"/>
          <w:sz w:val="27"/>
          <w:szCs w:val="27"/>
          <w:highlight w:val="none"/>
        </w:rPr>
        <w:t>月</w:t>
      </w:r>
      <w:r>
        <w:rPr>
          <w:rFonts w:hint="eastAsia" w:ascii="仿宋" w:hAnsi="仿宋" w:eastAsia="仿宋" w:cs="仿宋"/>
          <w:sz w:val="27"/>
          <w:szCs w:val="27"/>
          <w:highlight w:val="none"/>
          <w:lang w:val="en-US" w:eastAsia="zh-CN"/>
        </w:rPr>
        <w:t>23</w:t>
      </w:r>
      <w:r>
        <w:rPr>
          <w:rFonts w:hint="eastAsia" w:ascii="仿宋" w:hAnsi="仿宋" w:eastAsia="仿宋" w:cs="仿宋"/>
          <w:sz w:val="27"/>
          <w:szCs w:val="27"/>
          <w:highlight w:val="none"/>
        </w:rPr>
        <w:t>日</w:t>
      </w:r>
      <w:r>
        <w:rPr>
          <w:rFonts w:hint="eastAsia" w:ascii="仿宋" w:hAnsi="仿宋" w:eastAsia="仿宋" w:cs="仿宋"/>
          <w:sz w:val="27"/>
          <w:szCs w:val="27"/>
          <w:highlight w:val="none"/>
          <w:lang w:val="en-US" w:eastAsia="zh-CN"/>
        </w:rPr>
        <w:t>11</w:t>
      </w:r>
      <w:r>
        <w:rPr>
          <w:rFonts w:hint="eastAsia" w:ascii="仿宋" w:hAnsi="仿宋" w:eastAsia="仿宋" w:cs="仿宋"/>
          <w:sz w:val="27"/>
          <w:szCs w:val="27"/>
          <w:highlight w:val="none"/>
        </w:rPr>
        <w:t>:00（北京时间）</w:t>
      </w:r>
    </w:p>
    <w:p>
      <w:pPr>
        <w:pStyle w:val="17"/>
        <w:widowControl/>
        <w:spacing w:line="360" w:lineRule="exact"/>
        <w:ind w:firstLine="810"/>
        <w:rPr>
          <w:rFonts w:hint="default" w:ascii="仿宋" w:hAnsi="仿宋" w:eastAsia="仿宋" w:cs="仿宋"/>
          <w:sz w:val="27"/>
          <w:szCs w:val="27"/>
          <w:highlight w:val="none"/>
          <w:lang w:val="en-US" w:eastAsia="zh-CN"/>
        </w:rPr>
      </w:pPr>
      <w:r>
        <w:rPr>
          <w:rFonts w:hint="eastAsia" w:ascii="仿宋" w:hAnsi="仿宋" w:eastAsia="仿宋" w:cs="仿宋"/>
          <w:sz w:val="27"/>
          <w:szCs w:val="27"/>
          <w:highlight w:val="none"/>
        </w:rPr>
        <w:t>投标地点：</w:t>
      </w:r>
      <w:r>
        <w:rPr>
          <w:rFonts w:hint="eastAsia" w:ascii="仿宋" w:hAnsi="仿宋" w:eastAsia="仿宋" w:cs="仿宋"/>
          <w:sz w:val="27"/>
          <w:szCs w:val="27"/>
          <w:highlight w:val="none"/>
          <w:lang w:val="en-US" w:eastAsia="zh-CN"/>
        </w:rPr>
        <w:t>详见招标文件</w:t>
      </w:r>
    </w:p>
    <w:p>
      <w:pPr>
        <w:pStyle w:val="17"/>
        <w:widowControl/>
        <w:spacing w:line="360" w:lineRule="exact"/>
        <w:rPr>
          <w:rFonts w:ascii="仿宋" w:hAnsi="仿宋" w:eastAsia="仿宋" w:cs="仿宋"/>
          <w:highlight w:val="none"/>
        </w:rPr>
      </w:pPr>
      <w:r>
        <w:rPr>
          <w:rFonts w:hint="eastAsia" w:ascii="仿宋" w:hAnsi="仿宋" w:eastAsia="仿宋" w:cs="仿宋"/>
          <w:sz w:val="27"/>
          <w:szCs w:val="27"/>
          <w:highlight w:val="none"/>
        </w:rPr>
        <w:t>    开标时间：2022年</w:t>
      </w:r>
      <w:r>
        <w:rPr>
          <w:rFonts w:hint="eastAsia" w:ascii="仿宋" w:hAnsi="仿宋" w:eastAsia="仿宋" w:cs="仿宋"/>
          <w:sz w:val="27"/>
          <w:szCs w:val="27"/>
          <w:highlight w:val="none"/>
          <w:lang w:val="en-US" w:eastAsia="zh-CN"/>
        </w:rPr>
        <w:t>6</w:t>
      </w:r>
      <w:r>
        <w:rPr>
          <w:rFonts w:hint="eastAsia" w:ascii="仿宋" w:hAnsi="仿宋" w:eastAsia="仿宋" w:cs="仿宋"/>
          <w:sz w:val="27"/>
          <w:szCs w:val="27"/>
          <w:highlight w:val="none"/>
        </w:rPr>
        <w:t>月</w:t>
      </w:r>
      <w:r>
        <w:rPr>
          <w:rFonts w:hint="eastAsia" w:ascii="仿宋" w:hAnsi="仿宋" w:eastAsia="仿宋" w:cs="仿宋"/>
          <w:sz w:val="27"/>
          <w:szCs w:val="27"/>
          <w:highlight w:val="none"/>
          <w:lang w:val="en-US" w:eastAsia="zh-CN"/>
        </w:rPr>
        <w:t>23</w:t>
      </w:r>
      <w:r>
        <w:rPr>
          <w:rFonts w:hint="eastAsia" w:ascii="仿宋" w:hAnsi="仿宋" w:eastAsia="仿宋" w:cs="仿宋"/>
          <w:sz w:val="27"/>
          <w:szCs w:val="27"/>
          <w:highlight w:val="none"/>
        </w:rPr>
        <w:t>日</w:t>
      </w:r>
      <w:r>
        <w:rPr>
          <w:rFonts w:hint="eastAsia" w:ascii="仿宋" w:hAnsi="仿宋" w:eastAsia="仿宋" w:cs="仿宋"/>
          <w:sz w:val="27"/>
          <w:szCs w:val="27"/>
          <w:highlight w:val="none"/>
          <w:lang w:val="en-US" w:eastAsia="zh-CN"/>
        </w:rPr>
        <w:t>11</w:t>
      </w:r>
      <w:r>
        <w:rPr>
          <w:rFonts w:hint="eastAsia" w:ascii="仿宋" w:hAnsi="仿宋" w:eastAsia="仿宋" w:cs="仿宋"/>
          <w:sz w:val="27"/>
          <w:szCs w:val="27"/>
          <w:highlight w:val="none"/>
        </w:rPr>
        <w:t>:00</w:t>
      </w:r>
      <w:r>
        <w:rPr>
          <w:rFonts w:hint="eastAsia" w:ascii="仿宋" w:hAnsi="仿宋" w:eastAsia="仿宋" w:cs="仿宋"/>
          <w:highlight w:val="none"/>
        </w:rPr>
        <w:t> </w:t>
      </w:r>
      <w:r>
        <w:rPr>
          <w:rFonts w:hint="eastAsia" w:ascii="仿宋" w:hAnsi="仿宋" w:eastAsia="仿宋" w:cs="仿宋"/>
          <w:sz w:val="27"/>
          <w:szCs w:val="27"/>
          <w:highlight w:val="none"/>
        </w:rPr>
        <w:t>（北京时间）</w:t>
      </w:r>
    </w:p>
    <w:p>
      <w:pPr>
        <w:pStyle w:val="17"/>
        <w:widowControl/>
        <w:spacing w:line="360" w:lineRule="exact"/>
        <w:ind w:firstLine="810"/>
        <w:rPr>
          <w:rFonts w:hint="default" w:ascii="仿宋" w:hAnsi="仿宋" w:eastAsia="仿宋" w:cs="仿宋"/>
          <w:sz w:val="27"/>
          <w:szCs w:val="27"/>
          <w:highlight w:val="none"/>
          <w:lang w:val="en-US" w:eastAsia="zh-CN"/>
        </w:rPr>
      </w:pPr>
      <w:r>
        <w:rPr>
          <w:rFonts w:hint="eastAsia" w:ascii="仿宋" w:hAnsi="仿宋" w:eastAsia="仿宋" w:cs="仿宋"/>
          <w:sz w:val="27"/>
          <w:szCs w:val="27"/>
          <w:highlight w:val="none"/>
        </w:rPr>
        <w:t>开标地点：</w:t>
      </w:r>
      <w:r>
        <w:rPr>
          <w:rFonts w:hint="eastAsia" w:ascii="仿宋" w:hAnsi="仿宋" w:eastAsia="仿宋" w:cs="仿宋"/>
          <w:sz w:val="27"/>
          <w:szCs w:val="27"/>
          <w:highlight w:val="none"/>
          <w:lang w:val="en-US" w:eastAsia="zh-CN"/>
        </w:rPr>
        <w:t>详见招标文件</w:t>
      </w:r>
    </w:p>
    <w:p>
      <w:pPr>
        <w:pStyle w:val="17"/>
        <w:widowControl/>
        <w:spacing w:line="360" w:lineRule="exact"/>
        <w:rPr>
          <w:rFonts w:ascii="仿宋" w:hAnsi="仿宋" w:eastAsia="仿宋" w:cs="仿宋"/>
          <w:sz w:val="31"/>
          <w:szCs w:val="31"/>
          <w:highlight w:val="none"/>
        </w:rPr>
      </w:pPr>
      <w:r>
        <w:rPr>
          <w:rStyle w:val="23"/>
          <w:rFonts w:hint="eastAsia" w:ascii="仿宋" w:hAnsi="仿宋" w:eastAsia="仿宋" w:cs="仿宋"/>
          <w:sz w:val="27"/>
          <w:szCs w:val="27"/>
          <w:highlight w:val="none"/>
        </w:rPr>
        <w:t>公告期限</w:t>
      </w:r>
      <w:r>
        <w:rPr>
          <w:rFonts w:hint="eastAsia" w:ascii="仿宋" w:hAnsi="仿宋" w:eastAsia="仿宋" w:cs="仿宋"/>
          <w:sz w:val="31"/>
          <w:szCs w:val="31"/>
          <w:highlight w:val="none"/>
        </w:rPr>
        <w:t> ：</w:t>
      </w:r>
      <w:r>
        <w:rPr>
          <w:rFonts w:hint="eastAsia" w:ascii="仿宋" w:hAnsi="仿宋" w:eastAsia="仿宋" w:cs="仿宋"/>
          <w:sz w:val="27"/>
          <w:szCs w:val="27"/>
          <w:highlight w:val="none"/>
        </w:rPr>
        <w:t xml:space="preserve"> 自本公告发布之日起5个工作日。</w:t>
      </w:r>
    </w:p>
    <w:p>
      <w:pPr>
        <w:pStyle w:val="17"/>
        <w:widowControl/>
        <w:spacing w:before="255" w:after="255" w:line="360" w:lineRule="exact"/>
        <w:rPr>
          <w:rFonts w:ascii="仿宋" w:hAnsi="仿宋" w:eastAsia="仿宋" w:cs="仿宋"/>
          <w:sz w:val="27"/>
          <w:szCs w:val="27"/>
        </w:rPr>
      </w:pPr>
      <w:r>
        <w:rPr>
          <w:rStyle w:val="23"/>
          <w:rFonts w:hint="eastAsia" w:ascii="仿宋" w:hAnsi="仿宋" w:eastAsia="仿宋" w:cs="仿宋"/>
          <w:sz w:val="27"/>
          <w:szCs w:val="27"/>
        </w:rPr>
        <w:t>六、其他补充事宜</w:t>
      </w:r>
    </w:p>
    <w:p>
      <w:pPr>
        <w:pStyle w:val="17"/>
        <w:widowControl/>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 须提供的证明材料：法定代表人授权委托书</w:t>
      </w:r>
      <w:r>
        <w:rPr>
          <w:rFonts w:hint="eastAsia" w:ascii="仿宋" w:hAnsi="仿宋" w:eastAsia="仿宋" w:cs="仿宋"/>
          <w:sz w:val="27"/>
          <w:szCs w:val="27"/>
          <w:lang w:val="en-US" w:eastAsia="zh-CN"/>
        </w:rPr>
        <w:t>及资格要求中所要求证件及网站截图盖章扫描件</w:t>
      </w:r>
      <w:r>
        <w:rPr>
          <w:rFonts w:hint="eastAsia" w:ascii="仿宋" w:hAnsi="仿宋" w:eastAsia="仿宋" w:cs="仿宋"/>
          <w:sz w:val="27"/>
          <w:szCs w:val="27"/>
        </w:rPr>
        <w:t>。</w:t>
      </w:r>
    </w:p>
    <w:p>
      <w:pPr>
        <w:pStyle w:val="17"/>
        <w:widowControl/>
        <w:spacing w:before="255" w:after="255" w:line="360" w:lineRule="exact"/>
        <w:rPr>
          <w:rFonts w:ascii="仿宋" w:hAnsi="仿宋" w:eastAsia="仿宋" w:cs="仿宋"/>
          <w:sz w:val="31"/>
          <w:szCs w:val="31"/>
        </w:rPr>
      </w:pPr>
      <w:r>
        <w:rPr>
          <w:rStyle w:val="23"/>
          <w:rFonts w:hint="eastAsia" w:ascii="仿宋" w:hAnsi="仿宋" w:eastAsia="仿宋" w:cs="仿宋"/>
          <w:sz w:val="27"/>
          <w:szCs w:val="27"/>
        </w:rPr>
        <w:t>七、对本次采购提出询问，请按以下方式联系</w:t>
      </w:r>
    </w:p>
    <w:p>
      <w:pPr>
        <w:pStyle w:val="17"/>
        <w:spacing w:line="300" w:lineRule="exact"/>
        <w:rPr>
          <w:rFonts w:ascii="仿宋" w:hAnsi="仿宋" w:eastAsia="仿宋" w:cs="仿宋"/>
          <w:sz w:val="27"/>
          <w:szCs w:val="27"/>
        </w:rPr>
      </w:pPr>
      <w:r>
        <w:rPr>
          <w:rFonts w:hint="eastAsia" w:ascii="仿宋" w:hAnsi="仿宋" w:eastAsia="仿宋" w:cs="仿宋"/>
          <w:sz w:val="27"/>
          <w:szCs w:val="27"/>
        </w:rPr>
        <w:t xml:space="preserve">   1.采购人信息</w:t>
      </w:r>
    </w:p>
    <w:p>
      <w:pPr>
        <w:pStyle w:val="17"/>
        <w:spacing w:line="300" w:lineRule="exact"/>
        <w:rPr>
          <w:rFonts w:ascii="仿宋" w:hAnsi="仿宋" w:eastAsia="仿宋" w:cs="仿宋"/>
          <w:sz w:val="27"/>
          <w:szCs w:val="27"/>
        </w:rPr>
      </w:pPr>
      <w:r>
        <w:rPr>
          <w:rFonts w:hint="eastAsia" w:ascii="仿宋" w:hAnsi="仿宋" w:eastAsia="仿宋" w:cs="仿宋"/>
          <w:sz w:val="27"/>
          <w:szCs w:val="27"/>
        </w:rPr>
        <w:t>    名    称：新疆维吾尔自治区疾病预防控制中心</w:t>
      </w:r>
    </w:p>
    <w:p>
      <w:pPr>
        <w:pStyle w:val="17"/>
        <w:spacing w:line="300" w:lineRule="exact"/>
        <w:rPr>
          <w:rFonts w:ascii="仿宋" w:hAnsi="仿宋" w:eastAsia="仿宋" w:cs="仿宋"/>
          <w:sz w:val="27"/>
          <w:szCs w:val="27"/>
        </w:rPr>
      </w:pPr>
      <w:r>
        <w:rPr>
          <w:rFonts w:hint="eastAsia" w:ascii="仿宋" w:hAnsi="仿宋" w:eastAsia="仿宋" w:cs="仿宋"/>
          <w:sz w:val="27"/>
          <w:szCs w:val="27"/>
        </w:rPr>
        <w:t>    地    址：乌鲁木齐市碱泉一街380号</w:t>
      </w:r>
    </w:p>
    <w:p>
      <w:pPr>
        <w:pStyle w:val="17"/>
        <w:widowControl/>
        <w:spacing w:line="360" w:lineRule="exact"/>
        <w:ind w:firstLine="540" w:firstLineChars="200"/>
        <w:rPr>
          <w:rFonts w:hint="eastAsia" w:ascii="仿宋" w:hAnsi="仿宋" w:eastAsia="仿宋" w:cs="仿宋"/>
          <w:sz w:val="27"/>
          <w:szCs w:val="27"/>
          <w:lang w:eastAsia="zh-CN"/>
        </w:rPr>
      </w:pPr>
      <w:r>
        <w:rPr>
          <w:rFonts w:hint="eastAsia" w:ascii="仿宋" w:hAnsi="仿宋" w:eastAsia="仿宋" w:cs="仿宋"/>
          <w:sz w:val="27"/>
          <w:szCs w:val="27"/>
        </w:rPr>
        <w:t>项目联系方式：(0991) 2623010</w:t>
      </w:r>
    </w:p>
    <w:p>
      <w:pPr>
        <w:pStyle w:val="17"/>
        <w:widowControl/>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   </w:t>
      </w:r>
    </w:p>
    <w:p>
      <w:pPr>
        <w:pStyle w:val="17"/>
        <w:widowControl/>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 xml:space="preserve"> 2.采购代理机构信息            </w:t>
      </w:r>
    </w:p>
    <w:p>
      <w:pPr>
        <w:pStyle w:val="17"/>
        <w:widowControl/>
        <w:spacing w:line="360" w:lineRule="exact"/>
        <w:ind w:left="2580" w:leftChars="200" w:hanging="2160" w:hangingChars="800"/>
        <w:rPr>
          <w:rFonts w:ascii="仿宋" w:hAnsi="仿宋" w:eastAsia="仿宋" w:cs="仿宋"/>
          <w:sz w:val="27"/>
          <w:szCs w:val="27"/>
        </w:rPr>
      </w:pPr>
      <w:r>
        <w:rPr>
          <w:rFonts w:hint="eastAsia" w:ascii="仿宋" w:hAnsi="仿宋" w:eastAsia="仿宋" w:cs="仿宋"/>
          <w:sz w:val="27"/>
          <w:szCs w:val="27"/>
        </w:rPr>
        <w:t>  名    称：新疆华域建设工程项目管理咨询有限公司           </w:t>
      </w:r>
    </w:p>
    <w:p>
      <w:pPr>
        <w:pStyle w:val="17"/>
        <w:widowControl/>
        <w:spacing w:line="360" w:lineRule="exact"/>
        <w:ind w:firstLine="810" w:firstLineChars="300"/>
        <w:rPr>
          <w:rFonts w:ascii="仿宋" w:hAnsi="仿宋" w:eastAsia="仿宋" w:cs="仿宋"/>
          <w:sz w:val="27"/>
          <w:szCs w:val="27"/>
        </w:rPr>
      </w:pPr>
      <w:r>
        <w:rPr>
          <w:rFonts w:hint="eastAsia" w:ascii="仿宋" w:hAnsi="仿宋" w:eastAsia="仿宋" w:cs="仿宋"/>
          <w:sz w:val="27"/>
          <w:szCs w:val="27"/>
        </w:rPr>
        <w:t>地    址：乌鲁木齐市五星北路194号</w:t>
      </w:r>
    </w:p>
    <w:p>
      <w:pPr>
        <w:pStyle w:val="17"/>
        <w:widowControl/>
        <w:spacing w:line="360" w:lineRule="exact"/>
        <w:ind w:firstLine="810" w:firstLineChars="300"/>
        <w:rPr>
          <w:rFonts w:ascii="仿宋" w:hAnsi="仿宋" w:eastAsia="仿宋" w:cs="仿宋"/>
          <w:sz w:val="27"/>
          <w:szCs w:val="27"/>
        </w:rPr>
      </w:pPr>
      <w:r>
        <w:rPr>
          <w:rFonts w:hint="eastAsia" w:ascii="仿宋" w:hAnsi="仿宋" w:eastAsia="仿宋" w:cs="仿宋"/>
          <w:sz w:val="27"/>
          <w:szCs w:val="27"/>
        </w:rPr>
        <w:t>项目联系人：</w:t>
      </w:r>
      <w:r>
        <w:rPr>
          <w:rFonts w:hint="eastAsia" w:ascii="仿宋" w:hAnsi="仿宋" w:eastAsia="仿宋" w:cs="仿宋"/>
          <w:sz w:val="27"/>
          <w:szCs w:val="27"/>
          <w:lang w:eastAsia="zh-CN"/>
        </w:rPr>
        <w:t>王工</w:t>
      </w:r>
      <w:r>
        <w:rPr>
          <w:rFonts w:hint="eastAsia" w:ascii="仿宋" w:hAnsi="仿宋" w:eastAsia="仿宋" w:cs="仿宋"/>
          <w:sz w:val="27"/>
          <w:szCs w:val="27"/>
        </w:rPr>
        <w:t>         </w:t>
      </w:r>
    </w:p>
    <w:p>
      <w:pPr>
        <w:pStyle w:val="17"/>
        <w:widowControl/>
        <w:spacing w:line="360" w:lineRule="exact"/>
        <w:ind w:firstLine="810" w:firstLineChars="300"/>
        <w:rPr>
          <w:rFonts w:hint="eastAsia" w:ascii="仿宋" w:hAnsi="仿宋" w:eastAsia="仿宋" w:cs="仿宋"/>
          <w:sz w:val="27"/>
          <w:szCs w:val="27"/>
          <w:lang w:eastAsia="zh-CN"/>
        </w:rPr>
      </w:pPr>
      <w:r>
        <w:rPr>
          <w:rFonts w:hint="eastAsia" w:ascii="仿宋" w:hAnsi="仿宋" w:eastAsia="仿宋" w:cs="仿宋"/>
          <w:sz w:val="27"/>
          <w:szCs w:val="27"/>
        </w:rPr>
        <w:t xml:space="preserve"> 项目联系方式：</w:t>
      </w:r>
      <w:r>
        <w:rPr>
          <w:rFonts w:hint="eastAsia" w:ascii="仿宋" w:hAnsi="仿宋" w:eastAsia="仿宋" w:cs="仿宋"/>
          <w:sz w:val="27"/>
          <w:szCs w:val="27"/>
          <w:lang w:eastAsia="zh-CN"/>
        </w:rPr>
        <w:t>16699260858</w:t>
      </w:r>
    </w:p>
    <w:p>
      <w:pPr>
        <w:pStyle w:val="3"/>
        <w:keepLines w:val="0"/>
        <w:spacing w:before="0" w:after="0" w:line="360" w:lineRule="auto"/>
        <w:ind w:right="-441" w:rightChars="-210"/>
        <w:jc w:val="center"/>
        <w:rPr>
          <w:rFonts w:ascii="仿宋" w:hAnsi="仿宋" w:eastAsia="仿宋" w:cs="仿宋"/>
          <w:kern w:val="2"/>
          <w:sz w:val="48"/>
          <w:szCs w:val="48"/>
        </w:rPr>
      </w:pPr>
      <w:bookmarkStart w:id="3" w:name="_Toc14165"/>
    </w:p>
    <w:p>
      <w:pPr>
        <w:pStyle w:val="3"/>
        <w:keepLines w:val="0"/>
        <w:spacing w:before="0" w:after="0" w:line="360" w:lineRule="auto"/>
        <w:ind w:right="-441" w:rightChars="-210"/>
        <w:jc w:val="center"/>
        <w:rPr>
          <w:rFonts w:ascii="仿宋" w:hAnsi="仿宋" w:eastAsia="仿宋" w:cs="仿宋"/>
          <w:kern w:val="2"/>
          <w:sz w:val="48"/>
          <w:szCs w:val="48"/>
        </w:rPr>
      </w:pPr>
    </w:p>
    <w:p>
      <w:pPr>
        <w:pStyle w:val="3"/>
        <w:keepLines w:val="0"/>
        <w:spacing w:before="0" w:after="0" w:line="360" w:lineRule="auto"/>
        <w:ind w:right="-441" w:rightChars="-210"/>
        <w:jc w:val="center"/>
        <w:rPr>
          <w:rFonts w:ascii="仿宋" w:hAnsi="仿宋" w:eastAsia="仿宋" w:cs="仿宋"/>
          <w:kern w:val="2"/>
          <w:sz w:val="48"/>
          <w:szCs w:val="48"/>
        </w:rPr>
      </w:pPr>
    </w:p>
    <w:p>
      <w:pPr>
        <w:pStyle w:val="3"/>
        <w:keepLines w:val="0"/>
        <w:spacing w:before="0" w:after="0" w:line="360" w:lineRule="auto"/>
        <w:ind w:right="-441" w:rightChars="-210"/>
        <w:jc w:val="center"/>
        <w:rPr>
          <w:rFonts w:ascii="仿宋" w:hAnsi="仿宋" w:eastAsia="仿宋" w:cs="仿宋"/>
          <w:kern w:val="2"/>
          <w:sz w:val="48"/>
          <w:szCs w:val="48"/>
        </w:rPr>
      </w:pPr>
    </w:p>
    <w:p>
      <w:pPr>
        <w:pStyle w:val="3"/>
        <w:keepLines w:val="0"/>
        <w:spacing w:before="0" w:after="0" w:line="360" w:lineRule="auto"/>
        <w:ind w:right="-441" w:rightChars="-210"/>
        <w:jc w:val="center"/>
        <w:rPr>
          <w:rFonts w:ascii="仿宋" w:hAnsi="仿宋" w:eastAsia="仿宋" w:cs="仿宋"/>
          <w:kern w:val="2"/>
          <w:sz w:val="48"/>
          <w:szCs w:val="48"/>
        </w:rPr>
      </w:pPr>
    </w:p>
    <w:p>
      <w:pPr>
        <w:pStyle w:val="3"/>
        <w:keepLines w:val="0"/>
        <w:spacing w:before="0" w:after="0" w:line="360" w:lineRule="auto"/>
        <w:ind w:right="-441" w:rightChars="-210"/>
        <w:jc w:val="center"/>
        <w:rPr>
          <w:rFonts w:ascii="仿宋" w:hAnsi="仿宋" w:eastAsia="仿宋" w:cs="仿宋"/>
          <w:kern w:val="2"/>
          <w:sz w:val="48"/>
          <w:szCs w:val="48"/>
        </w:rPr>
      </w:pPr>
    </w:p>
    <w:p>
      <w:pPr>
        <w:pStyle w:val="3"/>
        <w:keepLines w:val="0"/>
        <w:spacing w:before="0" w:after="0" w:line="360" w:lineRule="auto"/>
        <w:ind w:right="-441" w:rightChars="-210"/>
        <w:jc w:val="center"/>
        <w:rPr>
          <w:rFonts w:ascii="仿宋" w:hAnsi="仿宋" w:eastAsia="仿宋" w:cs="仿宋"/>
          <w:kern w:val="2"/>
          <w:sz w:val="48"/>
          <w:szCs w:val="48"/>
        </w:rPr>
      </w:pPr>
    </w:p>
    <w:p/>
    <w:p>
      <w:pPr>
        <w:pStyle w:val="26"/>
        <w:numPr>
          <w:ilvl w:val="0"/>
          <w:numId w:val="0"/>
        </w:numPr>
        <w:ind w:left="1134"/>
      </w:pPr>
    </w:p>
    <w:p>
      <w:pPr>
        <w:pStyle w:val="3"/>
        <w:keepLines w:val="0"/>
        <w:spacing w:before="0" w:after="0" w:line="360" w:lineRule="auto"/>
        <w:ind w:right="-441" w:rightChars="-210"/>
        <w:jc w:val="center"/>
        <w:rPr>
          <w:rFonts w:ascii="仿宋" w:hAnsi="仿宋" w:eastAsia="仿宋" w:cs="仿宋"/>
          <w:kern w:val="2"/>
          <w:sz w:val="48"/>
          <w:szCs w:val="48"/>
        </w:rPr>
      </w:pPr>
    </w:p>
    <w:p/>
    <w:p>
      <w:pPr>
        <w:pStyle w:val="26"/>
        <w:numPr>
          <w:ilvl w:val="0"/>
          <w:numId w:val="0"/>
        </w:numPr>
        <w:ind w:left="1134"/>
      </w:pPr>
    </w:p>
    <w:p>
      <w:pPr>
        <w:pStyle w:val="27"/>
      </w:pPr>
    </w:p>
    <w:p>
      <w:pPr>
        <w:pStyle w:val="27"/>
      </w:pPr>
    </w:p>
    <w:p>
      <w:pPr>
        <w:pStyle w:val="27"/>
      </w:pPr>
    </w:p>
    <w:p>
      <w:pPr>
        <w:pStyle w:val="27"/>
      </w:pPr>
    </w:p>
    <w:p>
      <w:pPr>
        <w:pStyle w:val="27"/>
      </w:pPr>
    </w:p>
    <w:p>
      <w:pPr>
        <w:pStyle w:val="3"/>
        <w:keepLines w:val="0"/>
        <w:spacing w:before="0" w:after="0" w:line="360" w:lineRule="auto"/>
        <w:ind w:right="-441" w:rightChars="-210"/>
        <w:jc w:val="center"/>
        <w:rPr>
          <w:rFonts w:ascii="仿宋" w:hAnsi="仿宋" w:eastAsia="仿宋" w:cs="仿宋"/>
          <w:b w:val="0"/>
          <w:bCs w:val="0"/>
          <w:sz w:val="32"/>
        </w:rPr>
      </w:pPr>
      <w:r>
        <w:rPr>
          <w:rFonts w:hint="eastAsia" w:ascii="仿宋" w:hAnsi="仿宋" w:eastAsia="仿宋" w:cs="仿宋"/>
          <w:kern w:val="2"/>
          <w:sz w:val="48"/>
          <w:szCs w:val="48"/>
        </w:rPr>
        <w:t>第二章  投标人须知</w:t>
      </w:r>
      <w:bookmarkEnd w:id="0"/>
      <w:bookmarkEnd w:id="1"/>
      <w:bookmarkEnd w:id="2"/>
      <w:bookmarkEnd w:id="3"/>
      <w:bookmarkStart w:id="4" w:name="_Toc271105676"/>
      <w:bookmarkStart w:id="5" w:name="_Toc209258272"/>
      <w:bookmarkStart w:id="6" w:name="_Toc19085"/>
      <w:bookmarkStart w:id="7" w:name="_Toc243743353"/>
      <w:bookmarkStart w:id="8" w:name="_Toc272350606"/>
      <w:bookmarkStart w:id="9" w:name="_Toc191353014"/>
      <w:bookmarkStart w:id="10" w:name="_Toc226966680"/>
      <w:bookmarkStart w:id="11" w:name="_Toc279046865"/>
      <w:bookmarkStart w:id="12" w:name="_Toc49082409"/>
      <w:bookmarkStart w:id="13" w:name="_Toc49135195"/>
      <w:bookmarkStart w:id="14" w:name="_Toc243923367"/>
      <w:bookmarkStart w:id="15" w:name="_Toc185747578"/>
      <w:bookmarkStart w:id="16" w:name="_Toc245203880"/>
      <w:bookmarkStart w:id="17" w:name="_Toc278958158"/>
      <w:bookmarkStart w:id="18" w:name="_Toc226521692"/>
      <w:bookmarkStart w:id="19" w:name="_Toc277758485"/>
    </w:p>
    <w:p>
      <w:pPr>
        <w:pStyle w:val="3"/>
        <w:keepLines w:val="0"/>
        <w:spacing w:before="0" w:after="0" w:line="360" w:lineRule="auto"/>
        <w:ind w:right="-441" w:rightChars="-210"/>
        <w:jc w:val="center"/>
        <w:rPr>
          <w:rFonts w:ascii="仿宋" w:hAnsi="仿宋" w:eastAsia="仿宋" w:cs="仿宋"/>
          <w:b w:val="0"/>
          <w:bCs w:val="0"/>
          <w:sz w:val="32"/>
        </w:rPr>
      </w:pPr>
      <w:r>
        <w:rPr>
          <w:rFonts w:hint="eastAsia" w:ascii="仿宋" w:hAnsi="仿宋" w:eastAsia="仿宋" w:cs="仿宋"/>
          <w:b w:val="0"/>
          <w:bCs w:val="0"/>
          <w:sz w:val="32"/>
        </w:rPr>
        <w:t>投标人须知前附表</w:t>
      </w:r>
    </w:p>
    <w:tbl>
      <w:tblPr>
        <w:tblStyle w:val="20"/>
        <w:tblW w:w="9438" w:type="dxa"/>
        <w:tblInd w:w="-5" w:type="dxa"/>
        <w:tblLayout w:type="fixed"/>
        <w:tblCellMar>
          <w:top w:w="0" w:type="dxa"/>
          <w:left w:w="0" w:type="dxa"/>
          <w:bottom w:w="0" w:type="dxa"/>
          <w:right w:w="0" w:type="dxa"/>
        </w:tblCellMar>
      </w:tblPr>
      <w:tblGrid>
        <w:gridCol w:w="1571"/>
        <w:gridCol w:w="7867"/>
      </w:tblGrid>
      <w:tr>
        <w:tblPrEx>
          <w:tblCellMar>
            <w:top w:w="0" w:type="dxa"/>
            <w:left w:w="0" w:type="dxa"/>
            <w:bottom w:w="0" w:type="dxa"/>
            <w:right w:w="0" w:type="dxa"/>
          </w:tblCellMar>
        </w:tblPrEx>
        <w:trPr>
          <w:trHeight w:val="784" w:hRule="exact"/>
        </w:trPr>
        <w:tc>
          <w:tcPr>
            <w:tcW w:w="157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sz w:val="24"/>
                <w:lang w:val="zh-CN"/>
              </w:rPr>
            </w:pPr>
            <w:r>
              <w:rPr>
                <w:rFonts w:hint="eastAsia" w:ascii="仿宋" w:hAnsi="仿宋" w:eastAsia="仿宋" w:cs="仿宋"/>
                <w:sz w:val="24"/>
                <w:lang w:val="zh-CN"/>
              </w:rPr>
              <w:t>采购项目名称</w:t>
            </w:r>
          </w:p>
        </w:tc>
        <w:tc>
          <w:tcPr>
            <w:tcW w:w="786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 w:hAnsi="仿宋" w:eastAsia="仿宋" w:cs="仿宋"/>
                <w:sz w:val="24"/>
                <w:lang w:val="zh-CN"/>
              </w:rPr>
            </w:pPr>
            <w:r>
              <w:rPr>
                <w:rFonts w:hint="eastAsia" w:ascii="仿宋" w:hAnsi="仿宋" w:eastAsia="仿宋" w:cs="仿宋"/>
                <w:sz w:val="24"/>
                <w:lang w:val="zh-CN"/>
              </w:rPr>
              <w:t>新疆维吾尔自治区疾病预防控制中心关于实验室试剂采购项目（</w:t>
            </w:r>
            <w:r>
              <w:rPr>
                <w:rFonts w:hint="eastAsia" w:ascii="仿宋" w:hAnsi="仿宋" w:eastAsia="仿宋" w:cs="仿宋"/>
                <w:sz w:val="24"/>
                <w:lang w:val="en-US" w:eastAsia="zh-CN"/>
              </w:rPr>
              <w:t>二次</w:t>
            </w:r>
            <w:r>
              <w:rPr>
                <w:rFonts w:hint="eastAsia" w:ascii="仿宋" w:hAnsi="仿宋" w:eastAsia="仿宋" w:cs="仿宋"/>
                <w:sz w:val="24"/>
                <w:lang w:val="zh-CN"/>
              </w:rPr>
              <w:t>）</w:t>
            </w:r>
          </w:p>
        </w:tc>
      </w:tr>
      <w:tr>
        <w:tblPrEx>
          <w:tblCellMar>
            <w:top w:w="0" w:type="dxa"/>
            <w:left w:w="0" w:type="dxa"/>
            <w:bottom w:w="0" w:type="dxa"/>
            <w:right w:w="0" w:type="dxa"/>
          </w:tblCellMar>
        </w:tblPrEx>
        <w:trPr>
          <w:trHeight w:val="523" w:hRule="exact"/>
        </w:trPr>
        <w:tc>
          <w:tcPr>
            <w:tcW w:w="157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sz w:val="24"/>
              </w:rPr>
            </w:pPr>
            <w:r>
              <w:rPr>
                <w:rFonts w:hint="eastAsia" w:ascii="仿宋" w:hAnsi="仿宋" w:eastAsia="仿宋" w:cs="仿宋"/>
                <w:sz w:val="24"/>
              </w:rPr>
              <w:t>采   购   人</w:t>
            </w:r>
          </w:p>
        </w:tc>
        <w:tc>
          <w:tcPr>
            <w:tcW w:w="786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 w:hAnsi="仿宋" w:eastAsia="仿宋" w:cs="仿宋"/>
                <w:sz w:val="24"/>
                <w:lang w:val="zh-CN"/>
              </w:rPr>
            </w:pPr>
            <w:r>
              <w:rPr>
                <w:rFonts w:hint="eastAsia" w:ascii="仿宋" w:hAnsi="仿宋" w:eastAsia="仿宋" w:cs="仿宋"/>
                <w:sz w:val="24"/>
                <w:lang w:val="zh-CN"/>
              </w:rPr>
              <w:t>新疆维吾尔自治区疾病预防控制中心</w:t>
            </w:r>
          </w:p>
        </w:tc>
      </w:tr>
      <w:tr>
        <w:tblPrEx>
          <w:tblCellMar>
            <w:top w:w="0" w:type="dxa"/>
            <w:left w:w="0" w:type="dxa"/>
            <w:bottom w:w="0" w:type="dxa"/>
            <w:right w:w="0" w:type="dxa"/>
          </w:tblCellMar>
        </w:tblPrEx>
        <w:trPr>
          <w:trHeight w:val="529" w:hRule="exact"/>
        </w:trPr>
        <w:tc>
          <w:tcPr>
            <w:tcW w:w="1571"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 w:hAnsi="仿宋" w:eastAsia="仿宋" w:cs="仿宋"/>
                <w:sz w:val="24"/>
                <w:lang w:val="zh-CN"/>
              </w:rPr>
            </w:pPr>
            <w:r>
              <w:rPr>
                <w:rFonts w:hint="eastAsia" w:ascii="仿宋" w:hAnsi="仿宋" w:eastAsia="仿宋" w:cs="仿宋"/>
                <w:sz w:val="24"/>
                <w:lang w:val="zh-CN"/>
              </w:rPr>
              <w:t>采购代理机构</w:t>
            </w:r>
          </w:p>
        </w:tc>
        <w:tc>
          <w:tcPr>
            <w:tcW w:w="786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 w:hAnsi="仿宋" w:eastAsia="仿宋" w:cs="仿宋"/>
                <w:sz w:val="24"/>
                <w:lang w:val="zh-CN"/>
              </w:rPr>
            </w:pPr>
            <w:r>
              <w:rPr>
                <w:rFonts w:hint="eastAsia" w:ascii="仿宋" w:hAnsi="仿宋" w:eastAsia="仿宋" w:cs="仿宋"/>
                <w:sz w:val="24"/>
                <w:lang w:val="zh-CN"/>
              </w:rPr>
              <w:t>新疆华域建设工程项目管理咨询有限公司</w:t>
            </w:r>
          </w:p>
        </w:tc>
      </w:tr>
      <w:tr>
        <w:tblPrEx>
          <w:tblCellMar>
            <w:top w:w="0" w:type="dxa"/>
            <w:left w:w="0" w:type="dxa"/>
            <w:bottom w:w="0" w:type="dxa"/>
            <w:right w:w="0" w:type="dxa"/>
          </w:tblCellMar>
        </w:tblPrEx>
        <w:trPr>
          <w:trHeight w:val="562" w:hRule="exact"/>
        </w:trPr>
        <w:tc>
          <w:tcPr>
            <w:tcW w:w="1571"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 w:hAnsi="仿宋" w:eastAsia="仿宋" w:cs="仿宋"/>
                <w:sz w:val="24"/>
              </w:rPr>
            </w:pPr>
            <w:r>
              <w:rPr>
                <w:rFonts w:hint="eastAsia" w:ascii="仿宋" w:hAnsi="仿宋" w:eastAsia="仿宋" w:cs="仿宋"/>
                <w:sz w:val="24"/>
              </w:rPr>
              <w:t>招标文件编号</w:t>
            </w:r>
          </w:p>
        </w:tc>
        <w:tc>
          <w:tcPr>
            <w:tcW w:w="7867" w:type="dxa"/>
            <w:tcBorders>
              <w:top w:val="single" w:color="auto" w:sz="4" w:space="0"/>
              <w:left w:val="single" w:color="auto" w:sz="4" w:space="0"/>
              <w:bottom w:val="single" w:color="auto" w:sz="4" w:space="0"/>
              <w:right w:val="single" w:color="auto" w:sz="4" w:space="0"/>
            </w:tcBorders>
            <w:vAlign w:val="center"/>
          </w:tcPr>
          <w:p>
            <w:pPr>
              <w:spacing w:line="600" w:lineRule="exact"/>
              <w:rPr>
                <w:rFonts w:hint="default" w:ascii="仿宋" w:hAnsi="仿宋" w:eastAsia="仿宋" w:cs="仿宋"/>
                <w:sz w:val="24"/>
                <w:lang w:val="en-US" w:eastAsia="zh-CN"/>
              </w:rPr>
            </w:pPr>
            <w:r>
              <w:rPr>
                <w:rFonts w:hint="eastAsia" w:ascii="仿宋" w:hAnsi="仿宋" w:eastAsia="仿宋" w:cs="仿宋"/>
                <w:sz w:val="24"/>
                <w:lang w:val="zh-CN"/>
              </w:rPr>
              <w:t>HYZB-2022-000</w:t>
            </w:r>
            <w:r>
              <w:rPr>
                <w:rFonts w:ascii="仿宋" w:hAnsi="仿宋" w:eastAsia="仿宋" w:cs="仿宋"/>
                <w:sz w:val="24"/>
                <w:lang w:val="zh-CN"/>
              </w:rPr>
              <w:t>4</w:t>
            </w:r>
            <w:r>
              <w:rPr>
                <w:rFonts w:hint="eastAsia" w:ascii="仿宋" w:hAnsi="仿宋" w:eastAsia="仿宋" w:cs="仿宋"/>
                <w:sz w:val="24"/>
                <w:lang w:val="en-US" w:eastAsia="zh-CN"/>
              </w:rPr>
              <w:t>-1</w:t>
            </w:r>
          </w:p>
        </w:tc>
      </w:tr>
      <w:tr>
        <w:tblPrEx>
          <w:tblCellMar>
            <w:top w:w="0" w:type="dxa"/>
            <w:left w:w="0" w:type="dxa"/>
            <w:bottom w:w="0" w:type="dxa"/>
            <w:right w:w="0" w:type="dxa"/>
          </w:tblCellMar>
        </w:tblPrEx>
        <w:trPr>
          <w:trHeight w:val="587" w:hRule="exact"/>
        </w:trPr>
        <w:tc>
          <w:tcPr>
            <w:tcW w:w="1571" w:type="dxa"/>
            <w:tcBorders>
              <w:top w:val="single" w:color="auto" w:sz="4" w:space="0"/>
              <w:left w:val="single" w:color="auto" w:sz="6" w:space="0"/>
              <w:bottom w:val="single" w:color="auto" w:sz="6" w:space="0"/>
              <w:right w:val="single" w:color="auto" w:sz="6" w:space="0"/>
            </w:tcBorders>
            <w:vAlign w:val="center"/>
          </w:tcPr>
          <w:p>
            <w:pPr>
              <w:spacing w:line="600" w:lineRule="exact"/>
              <w:rPr>
                <w:rFonts w:ascii="仿宋" w:hAnsi="仿宋" w:eastAsia="仿宋" w:cs="仿宋"/>
                <w:sz w:val="24"/>
                <w:lang w:val="zh-CN"/>
              </w:rPr>
            </w:pPr>
            <w:r>
              <w:rPr>
                <w:rFonts w:hint="eastAsia" w:ascii="仿宋" w:hAnsi="仿宋" w:eastAsia="仿宋" w:cs="仿宋"/>
                <w:sz w:val="24"/>
                <w:lang w:val="zh-CN"/>
              </w:rPr>
              <w:t>资金到位情况</w:t>
            </w:r>
          </w:p>
        </w:tc>
        <w:tc>
          <w:tcPr>
            <w:tcW w:w="7867" w:type="dxa"/>
            <w:tcBorders>
              <w:top w:val="single" w:color="auto" w:sz="4" w:space="0"/>
              <w:left w:val="single" w:color="auto" w:sz="6" w:space="0"/>
              <w:bottom w:val="single" w:color="auto" w:sz="6" w:space="0"/>
              <w:right w:val="single" w:color="000000" w:sz="6" w:space="0"/>
            </w:tcBorders>
            <w:vAlign w:val="center"/>
          </w:tcPr>
          <w:p>
            <w:pPr>
              <w:spacing w:line="600" w:lineRule="exact"/>
              <w:rPr>
                <w:rFonts w:ascii="仿宋" w:hAnsi="仿宋" w:eastAsia="仿宋" w:cs="仿宋"/>
                <w:sz w:val="24"/>
                <w:lang w:val="zh-CN"/>
              </w:rPr>
            </w:pPr>
            <w:r>
              <w:rPr>
                <w:rFonts w:hint="eastAsia" w:ascii="仿宋" w:hAnsi="仿宋" w:eastAsia="仿宋" w:cs="仿宋"/>
                <w:sz w:val="24"/>
                <w:lang w:val="zh-CN"/>
              </w:rPr>
              <w:t>已到位</w:t>
            </w:r>
          </w:p>
        </w:tc>
      </w:tr>
      <w:tr>
        <w:tblPrEx>
          <w:tblCellMar>
            <w:top w:w="0" w:type="dxa"/>
            <w:left w:w="0" w:type="dxa"/>
            <w:bottom w:w="0" w:type="dxa"/>
            <w:right w:w="0" w:type="dxa"/>
          </w:tblCellMar>
        </w:tblPrEx>
        <w:trPr>
          <w:trHeight w:val="591" w:hRule="atLeast"/>
        </w:trPr>
        <w:tc>
          <w:tcPr>
            <w:tcW w:w="1571" w:type="dxa"/>
            <w:tcBorders>
              <w:top w:val="single" w:color="auto" w:sz="6" w:space="0"/>
              <w:left w:val="single" w:color="auto" w:sz="6" w:space="0"/>
              <w:bottom w:val="single" w:color="auto" w:sz="4" w:space="0"/>
              <w:right w:val="single" w:color="auto" w:sz="6" w:space="0"/>
            </w:tcBorders>
            <w:vAlign w:val="center"/>
          </w:tcPr>
          <w:p>
            <w:pPr>
              <w:spacing w:line="500" w:lineRule="exact"/>
              <w:jc w:val="center"/>
              <w:rPr>
                <w:rFonts w:ascii="仿宋" w:hAnsi="仿宋" w:eastAsia="仿宋" w:cs="仿宋"/>
                <w:sz w:val="24"/>
                <w:lang w:val="zh-CN"/>
              </w:rPr>
            </w:pPr>
            <w:r>
              <w:rPr>
                <w:rFonts w:hint="eastAsia" w:ascii="仿宋" w:hAnsi="仿宋" w:eastAsia="仿宋" w:cs="仿宋"/>
                <w:sz w:val="24"/>
                <w:lang w:val="zh-CN"/>
              </w:rPr>
              <w:t>采</w:t>
            </w:r>
            <w:r>
              <w:rPr>
                <w:rFonts w:hint="eastAsia" w:ascii="仿宋" w:hAnsi="仿宋" w:eastAsia="仿宋" w:cs="仿宋"/>
                <w:sz w:val="24"/>
              </w:rPr>
              <w:t xml:space="preserve"> </w:t>
            </w:r>
            <w:r>
              <w:rPr>
                <w:rFonts w:hint="eastAsia" w:ascii="仿宋" w:hAnsi="仿宋" w:eastAsia="仿宋" w:cs="仿宋"/>
                <w:sz w:val="24"/>
                <w:lang w:val="zh-CN"/>
              </w:rPr>
              <w:t>购</w:t>
            </w:r>
            <w:r>
              <w:rPr>
                <w:rFonts w:hint="eastAsia" w:ascii="仿宋" w:hAnsi="仿宋" w:eastAsia="仿宋" w:cs="仿宋"/>
                <w:sz w:val="24"/>
              </w:rPr>
              <w:t xml:space="preserve"> </w:t>
            </w:r>
            <w:r>
              <w:rPr>
                <w:rFonts w:hint="eastAsia" w:ascii="仿宋" w:hAnsi="仿宋" w:eastAsia="仿宋" w:cs="仿宋"/>
                <w:sz w:val="24"/>
                <w:lang w:val="zh-CN"/>
              </w:rPr>
              <w:t>内</w:t>
            </w:r>
            <w:r>
              <w:rPr>
                <w:rFonts w:hint="eastAsia" w:ascii="仿宋" w:hAnsi="仿宋" w:eastAsia="仿宋" w:cs="仿宋"/>
                <w:sz w:val="24"/>
              </w:rPr>
              <w:t xml:space="preserve"> </w:t>
            </w:r>
            <w:r>
              <w:rPr>
                <w:rFonts w:hint="eastAsia" w:ascii="仿宋" w:hAnsi="仿宋" w:eastAsia="仿宋" w:cs="仿宋"/>
                <w:sz w:val="24"/>
                <w:lang w:val="zh-CN"/>
              </w:rPr>
              <w:t>容</w:t>
            </w:r>
          </w:p>
        </w:tc>
        <w:tc>
          <w:tcPr>
            <w:tcW w:w="7867" w:type="dxa"/>
            <w:tcBorders>
              <w:top w:val="single" w:color="auto" w:sz="6" w:space="0"/>
              <w:left w:val="nil"/>
              <w:bottom w:val="single" w:color="auto" w:sz="4" w:space="0"/>
              <w:right w:val="single" w:color="000000" w:sz="6" w:space="0"/>
            </w:tcBorders>
            <w:vAlign w:val="center"/>
          </w:tcPr>
          <w:p>
            <w:pPr>
              <w:spacing w:line="600" w:lineRule="exact"/>
              <w:rPr>
                <w:rFonts w:ascii="仿宋" w:hAnsi="仿宋" w:eastAsia="仿宋" w:cs="仿宋"/>
                <w:sz w:val="24"/>
                <w:lang w:val="zh-CN"/>
              </w:rPr>
            </w:pPr>
            <w:r>
              <w:rPr>
                <w:rFonts w:hint="eastAsia" w:ascii="仿宋" w:hAnsi="仿宋" w:eastAsia="仿宋" w:cs="仿宋"/>
                <w:sz w:val="24"/>
                <w:lang w:val="zh-CN"/>
              </w:rPr>
              <w:t>实验室试剂采购</w:t>
            </w:r>
          </w:p>
        </w:tc>
      </w:tr>
      <w:tr>
        <w:tblPrEx>
          <w:tblCellMar>
            <w:top w:w="0" w:type="dxa"/>
            <w:left w:w="0" w:type="dxa"/>
            <w:bottom w:w="0" w:type="dxa"/>
            <w:right w:w="0" w:type="dxa"/>
          </w:tblCellMar>
        </w:tblPrEx>
        <w:trPr>
          <w:trHeight w:val="884" w:hRule="atLeast"/>
        </w:trPr>
        <w:tc>
          <w:tcPr>
            <w:tcW w:w="1571" w:type="dxa"/>
            <w:tcBorders>
              <w:top w:val="single" w:color="auto" w:sz="6" w:space="0"/>
              <w:left w:val="single" w:color="auto" w:sz="6" w:space="0"/>
              <w:bottom w:val="single" w:color="auto" w:sz="4" w:space="0"/>
              <w:right w:val="single" w:color="auto" w:sz="6" w:space="0"/>
            </w:tcBorders>
            <w:vAlign w:val="center"/>
          </w:tcPr>
          <w:p>
            <w:pPr>
              <w:tabs>
                <w:tab w:val="left" w:pos="437"/>
              </w:tabs>
              <w:spacing w:line="500" w:lineRule="exact"/>
              <w:jc w:val="center"/>
              <w:rPr>
                <w:rFonts w:ascii="仿宋" w:hAnsi="仿宋" w:eastAsia="仿宋" w:cs="仿宋"/>
                <w:sz w:val="24"/>
                <w:lang w:val="zh-CN"/>
              </w:rPr>
            </w:pPr>
            <w:r>
              <w:rPr>
                <w:rFonts w:hint="eastAsia" w:ascii="仿宋" w:hAnsi="仿宋" w:eastAsia="仿宋" w:cs="仿宋"/>
                <w:sz w:val="24"/>
                <w:lang w:val="zh-CN"/>
              </w:rPr>
              <w:t>投标供应</w:t>
            </w:r>
          </w:p>
          <w:p>
            <w:pPr>
              <w:tabs>
                <w:tab w:val="left" w:pos="437"/>
              </w:tabs>
              <w:spacing w:line="500" w:lineRule="exact"/>
              <w:jc w:val="center"/>
              <w:rPr>
                <w:rFonts w:ascii="仿宋" w:hAnsi="仿宋" w:eastAsia="仿宋" w:cs="仿宋"/>
                <w:sz w:val="24"/>
                <w:lang w:val="zh-CN"/>
              </w:rPr>
            </w:pPr>
            <w:r>
              <w:rPr>
                <w:rFonts w:hint="eastAsia" w:ascii="仿宋" w:hAnsi="仿宋" w:eastAsia="仿宋" w:cs="仿宋"/>
                <w:sz w:val="24"/>
                <w:lang w:val="zh-CN"/>
              </w:rPr>
              <w:t>商资格要求</w:t>
            </w:r>
          </w:p>
          <w:p>
            <w:pPr>
              <w:tabs>
                <w:tab w:val="left" w:pos="437"/>
              </w:tabs>
              <w:spacing w:line="500" w:lineRule="exact"/>
              <w:jc w:val="center"/>
              <w:rPr>
                <w:rFonts w:ascii="仿宋" w:hAnsi="仿宋" w:eastAsia="仿宋" w:cs="仿宋"/>
                <w:sz w:val="24"/>
                <w:lang w:val="zh-CN"/>
              </w:rPr>
            </w:pPr>
          </w:p>
        </w:tc>
        <w:tc>
          <w:tcPr>
            <w:tcW w:w="7867" w:type="dxa"/>
            <w:tcBorders>
              <w:top w:val="single" w:color="auto" w:sz="6" w:space="0"/>
              <w:left w:val="nil"/>
              <w:bottom w:val="single" w:color="auto" w:sz="4" w:space="0"/>
              <w:right w:val="single" w:color="000000" w:sz="6" w:space="0"/>
            </w:tcBorders>
            <w:vAlign w:val="center"/>
          </w:tcPr>
          <w:p>
            <w:pPr>
              <w:spacing w:line="600" w:lineRule="exact"/>
              <w:rPr>
                <w:rFonts w:ascii="仿宋" w:hAnsi="仿宋" w:eastAsia="仿宋" w:cs="仿宋"/>
                <w:sz w:val="24"/>
                <w:lang w:val="zh-CN"/>
              </w:rPr>
            </w:pPr>
            <w:r>
              <w:rPr>
                <w:rFonts w:hint="eastAsia" w:ascii="仿宋" w:hAnsi="仿宋" w:eastAsia="仿宋" w:cs="仿宋"/>
                <w:sz w:val="24"/>
                <w:lang w:val="zh-CN"/>
              </w:rPr>
              <w:t>（1）有效的工商营业执照副本、税务登记证副本、组织机构代码证副本或“三证合一”的营业执照副本；</w:t>
            </w:r>
          </w:p>
          <w:p>
            <w:pPr>
              <w:spacing w:line="600" w:lineRule="exact"/>
              <w:rPr>
                <w:rFonts w:ascii="仿宋" w:hAnsi="仿宋" w:eastAsia="仿宋" w:cs="仿宋"/>
                <w:sz w:val="24"/>
                <w:lang w:val="zh-CN"/>
              </w:rPr>
            </w:pPr>
            <w:r>
              <w:rPr>
                <w:rFonts w:hint="eastAsia" w:ascii="仿宋" w:hAnsi="仿宋" w:eastAsia="仿宋" w:cs="仿宋"/>
                <w:sz w:val="24"/>
                <w:lang w:val="zh-CN"/>
              </w:rPr>
              <w:t>（2）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或其他经营资格证明文件</w:t>
            </w:r>
          </w:p>
          <w:p>
            <w:pPr>
              <w:spacing w:line="600" w:lineRule="exact"/>
              <w:rPr>
                <w:rFonts w:ascii="仿宋" w:hAnsi="仿宋" w:eastAsia="仿宋" w:cs="仿宋"/>
                <w:sz w:val="24"/>
                <w:lang w:val="zh-CN"/>
              </w:rPr>
            </w:pPr>
            <w:r>
              <w:rPr>
                <w:rFonts w:hint="eastAsia" w:ascii="仿宋" w:hAnsi="仿宋" w:eastAsia="仿宋" w:cs="仿宋"/>
                <w:sz w:val="24"/>
                <w:lang w:val="zh-CN"/>
              </w:rPr>
              <w:t>（3）供应商应在“信用中国”网站（www.creditchina.gov.cn）未被列入失信被执行人记录、重大税收违法案件当事人名单且在中国政府采购网（www.ccgp.gov.cn）没有相关主体政府采购严重违法失信行为记录（被禁止在一定期限内参加政府采购活动但期限届满的除外）（查询日期为从招标文件发售之日起至投标截止日前），以网页截图（需显示查询时间）加盖投标人公章为准；  </w:t>
            </w:r>
          </w:p>
          <w:p>
            <w:pPr>
              <w:spacing w:line="600" w:lineRule="exact"/>
              <w:rPr>
                <w:rFonts w:ascii="仿宋" w:hAnsi="仿宋" w:eastAsia="仿宋" w:cs="仿宋"/>
                <w:sz w:val="24"/>
                <w:lang w:val="zh-CN"/>
              </w:rPr>
            </w:pPr>
            <w:r>
              <w:rPr>
                <w:rFonts w:hint="eastAsia" w:ascii="仿宋" w:hAnsi="仿宋" w:eastAsia="仿宋" w:cs="仿宋"/>
                <w:sz w:val="24"/>
                <w:lang w:val="zh-CN"/>
              </w:rPr>
              <w:t>（4）单位负责人为同一人或者存在直接控股、管理关系的不同投标人，不得参加同一合同项下的政府招标活动。除单一来源采购项目外，为采购项目提供整体设计、规范编制或者项目管理、监理、检测等服务的投标人，不得再参加该采购项目的其他采购活动。</w:t>
            </w:r>
          </w:p>
          <w:p>
            <w:pPr>
              <w:spacing w:line="600" w:lineRule="exact"/>
              <w:rPr>
                <w:rFonts w:hint="default" w:ascii="仿宋" w:hAnsi="仿宋" w:eastAsia="仿宋" w:cs="仿宋"/>
                <w:sz w:val="24"/>
                <w:lang w:val="en-US" w:eastAsia="zh-CN"/>
              </w:rPr>
            </w:pPr>
            <w:r>
              <w:rPr>
                <w:rFonts w:hint="eastAsia" w:ascii="仿宋" w:hAnsi="仿宋" w:eastAsia="仿宋" w:cs="仿宋"/>
                <w:sz w:val="24"/>
                <w:lang w:val="zh-CN"/>
              </w:rPr>
              <w:t>（5）</w:t>
            </w:r>
            <w:r>
              <w:rPr>
                <w:rFonts w:hint="eastAsia" w:ascii="仿宋" w:hAnsi="仿宋" w:eastAsia="仿宋" w:cs="仿宋"/>
                <w:sz w:val="24"/>
                <w:lang w:val="en-US" w:eastAsia="zh-CN"/>
              </w:rPr>
              <w:t>法定代表人授权委托书（须明确授权参与包号）</w:t>
            </w:r>
          </w:p>
          <w:p>
            <w:pPr>
              <w:spacing w:line="600" w:lineRule="exact"/>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）本项目（否）接受联合体投标</w:t>
            </w:r>
          </w:p>
        </w:tc>
      </w:tr>
      <w:tr>
        <w:tblPrEx>
          <w:tblCellMar>
            <w:top w:w="0" w:type="dxa"/>
            <w:left w:w="0" w:type="dxa"/>
            <w:bottom w:w="0" w:type="dxa"/>
            <w:right w:w="0" w:type="dxa"/>
          </w:tblCellMar>
        </w:tblPrEx>
        <w:trPr>
          <w:trHeight w:val="171" w:hRule="atLeast"/>
        </w:trPr>
        <w:tc>
          <w:tcPr>
            <w:tcW w:w="1571" w:type="dxa"/>
            <w:tcBorders>
              <w:top w:val="single" w:color="auto" w:sz="4" w:space="0"/>
              <w:left w:val="single" w:color="auto" w:sz="6" w:space="0"/>
              <w:bottom w:val="single" w:color="auto" w:sz="4" w:space="0"/>
              <w:right w:val="single" w:color="auto" w:sz="6" w:space="0"/>
            </w:tcBorders>
            <w:vAlign w:val="center"/>
          </w:tcPr>
          <w:p>
            <w:pPr>
              <w:spacing w:line="500" w:lineRule="exact"/>
              <w:ind w:firstLine="240" w:firstLineChars="100"/>
              <w:rPr>
                <w:rFonts w:ascii="仿宋" w:hAnsi="仿宋" w:eastAsia="仿宋" w:cs="仿宋"/>
                <w:sz w:val="24"/>
                <w:lang w:val="zh-CN"/>
              </w:rPr>
            </w:pPr>
            <w:r>
              <w:rPr>
                <w:rFonts w:hint="eastAsia" w:ascii="仿宋" w:hAnsi="仿宋" w:eastAsia="仿宋" w:cs="仿宋"/>
                <w:sz w:val="24"/>
                <w:lang w:val="zh-CN"/>
              </w:rPr>
              <w:t>服务地点</w:t>
            </w:r>
          </w:p>
        </w:tc>
        <w:tc>
          <w:tcPr>
            <w:tcW w:w="7867" w:type="dxa"/>
            <w:tcBorders>
              <w:top w:val="single" w:color="auto" w:sz="4" w:space="0"/>
              <w:left w:val="nil"/>
              <w:right w:val="single" w:color="000000" w:sz="6" w:space="0"/>
            </w:tcBorders>
            <w:vAlign w:val="center"/>
          </w:tcPr>
          <w:p>
            <w:pPr>
              <w:spacing w:line="500" w:lineRule="exact"/>
              <w:jc w:val="left"/>
              <w:rPr>
                <w:rFonts w:ascii="仿宋" w:hAnsi="仿宋" w:eastAsia="仿宋" w:cs="仿宋"/>
                <w:sz w:val="24"/>
                <w:lang w:val="zh-CN"/>
              </w:rPr>
            </w:pPr>
            <w:r>
              <w:rPr>
                <w:rFonts w:hint="eastAsia" w:ascii="仿宋" w:hAnsi="仿宋" w:eastAsia="仿宋" w:cs="仿宋"/>
                <w:sz w:val="24"/>
                <w:lang w:val="zh-CN"/>
              </w:rPr>
              <w:t>采购人指定</w:t>
            </w:r>
            <w:r>
              <w:rPr>
                <w:rFonts w:hint="eastAsia" w:ascii="仿宋" w:hAnsi="仿宋" w:eastAsia="仿宋" w:cs="仿宋"/>
                <w:sz w:val="24"/>
              </w:rPr>
              <w:t>地</w:t>
            </w:r>
            <w:r>
              <w:rPr>
                <w:rFonts w:hint="eastAsia" w:ascii="仿宋" w:hAnsi="仿宋" w:eastAsia="仿宋" w:cs="仿宋"/>
                <w:sz w:val="24"/>
                <w:lang w:val="zh-CN"/>
              </w:rPr>
              <w:t>点</w:t>
            </w:r>
          </w:p>
        </w:tc>
      </w:tr>
      <w:tr>
        <w:tblPrEx>
          <w:tblCellMar>
            <w:top w:w="0" w:type="dxa"/>
            <w:left w:w="0" w:type="dxa"/>
            <w:bottom w:w="0" w:type="dxa"/>
            <w:right w:w="0" w:type="dxa"/>
          </w:tblCellMar>
        </w:tblPrEx>
        <w:trPr>
          <w:trHeight w:val="370" w:hRule="atLeast"/>
        </w:trPr>
        <w:tc>
          <w:tcPr>
            <w:tcW w:w="1571" w:type="dxa"/>
            <w:tcBorders>
              <w:top w:val="single" w:color="auto" w:sz="4"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sz w:val="24"/>
                <w:lang w:val="zh-CN"/>
              </w:rPr>
            </w:pPr>
            <w:r>
              <w:rPr>
                <w:rFonts w:hint="eastAsia" w:ascii="仿宋" w:hAnsi="仿宋" w:eastAsia="仿宋" w:cs="仿宋"/>
                <w:sz w:val="24"/>
                <w:lang w:val="zh-CN"/>
              </w:rPr>
              <w:t>合同履约期限</w:t>
            </w:r>
          </w:p>
        </w:tc>
        <w:tc>
          <w:tcPr>
            <w:tcW w:w="7867" w:type="dxa"/>
            <w:tcBorders>
              <w:top w:val="single" w:color="auto" w:sz="6" w:space="0"/>
              <w:left w:val="nil"/>
              <w:bottom w:val="single" w:color="auto" w:sz="6" w:space="0"/>
              <w:right w:val="single" w:color="000000" w:sz="6" w:space="0"/>
            </w:tcBorders>
            <w:vAlign w:val="center"/>
          </w:tcPr>
          <w:p>
            <w:pPr>
              <w:spacing w:line="500" w:lineRule="exact"/>
              <w:jc w:val="left"/>
              <w:rPr>
                <w:rFonts w:ascii="仿宋" w:hAnsi="仿宋" w:eastAsia="仿宋" w:cs="仿宋"/>
                <w:sz w:val="24"/>
              </w:rPr>
            </w:pPr>
            <w:r>
              <w:rPr>
                <w:rFonts w:hint="eastAsia" w:ascii="仿宋" w:hAnsi="仿宋" w:eastAsia="仿宋" w:cs="仿宋"/>
                <w:sz w:val="24"/>
              </w:rPr>
              <w:t>按甲方要求</w:t>
            </w:r>
            <w:r>
              <w:rPr>
                <w:rFonts w:hint="eastAsia" w:ascii="仿宋" w:hAnsi="仿宋" w:eastAsia="仿宋" w:cs="仿宋"/>
                <w:sz w:val="24"/>
                <w:lang w:val="en-US" w:eastAsia="zh-CN"/>
              </w:rPr>
              <w:t>分批次</w:t>
            </w:r>
            <w:r>
              <w:rPr>
                <w:rFonts w:hint="eastAsia" w:ascii="仿宋" w:hAnsi="仿宋" w:eastAsia="仿宋" w:cs="仿宋"/>
                <w:sz w:val="24"/>
              </w:rPr>
              <w:t>供货</w:t>
            </w:r>
          </w:p>
        </w:tc>
      </w:tr>
      <w:tr>
        <w:tblPrEx>
          <w:tblCellMar>
            <w:top w:w="0" w:type="dxa"/>
            <w:left w:w="0" w:type="dxa"/>
            <w:bottom w:w="0" w:type="dxa"/>
            <w:right w:w="0" w:type="dxa"/>
          </w:tblCellMar>
        </w:tblPrEx>
        <w:trPr>
          <w:trHeight w:val="556" w:hRule="atLeast"/>
        </w:trPr>
        <w:tc>
          <w:tcPr>
            <w:tcW w:w="1571" w:type="dxa"/>
            <w:tcBorders>
              <w:top w:val="single" w:color="auto" w:sz="4"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lang w:val="zh-CN"/>
              </w:rPr>
            </w:pPr>
            <w:r>
              <w:rPr>
                <w:rFonts w:hint="eastAsia" w:ascii="仿宋" w:hAnsi="仿宋" w:eastAsia="仿宋" w:cs="仿宋"/>
                <w:sz w:val="24"/>
                <w:lang w:val="zh-CN"/>
              </w:rPr>
              <w:t>投标保证金</w:t>
            </w:r>
          </w:p>
          <w:p>
            <w:pPr>
              <w:spacing w:line="500" w:lineRule="exact"/>
              <w:jc w:val="center"/>
              <w:rPr>
                <w:rFonts w:ascii="仿宋" w:hAnsi="仿宋" w:eastAsia="仿宋" w:cs="仿宋"/>
                <w:sz w:val="24"/>
                <w:lang w:val="zh-CN"/>
              </w:rPr>
            </w:pPr>
            <w:r>
              <w:rPr>
                <w:rFonts w:hint="eastAsia" w:ascii="仿宋" w:hAnsi="仿宋" w:eastAsia="仿宋" w:cs="仿宋"/>
                <w:sz w:val="24"/>
                <w:lang w:val="zh-CN"/>
              </w:rPr>
              <w:t>形式及相关须知</w:t>
            </w:r>
          </w:p>
        </w:tc>
        <w:tc>
          <w:tcPr>
            <w:tcW w:w="7867" w:type="dxa"/>
            <w:tcBorders>
              <w:top w:val="single" w:color="auto" w:sz="6" w:space="0"/>
              <w:left w:val="nil"/>
              <w:bottom w:val="single" w:color="auto" w:sz="6" w:space="0"/>
              <w:right w:val="single" w:color="000000" w:sz="6" w:space="0"/>
            </w:tcBorders>
            <w:vAlign w:val="center"/>
          </w:tcPr>
          <w:p>
            <w:pPr>
              <w:pStyle w:val="17"/>
              <w:widowControl/>
              <w:spacing w:line="360" w:lineRule="exact"/>
              <w:ind w:firstLine="480" w:firstLineChars="200"/>
              <w:rPr>
                <w:rFonts w:hint="eastAsia" w:ascii="仿宋" w:hAnsi="仿宋" w:eastAsia="仿宋" w:cs="仿宋"/>
              </w:rPr>
            </w:pPr>
            <w:r>
              <w:rPr>
                <w:rFonts w:hint="eastAsia" w:ascii="仿宋" w:hAnsi="仿宋" w:eastAsia="仿宋" w:cs="仿宋"/>
              </w:rPr>
              <w:t>保证金要求提供，数额不得超过采购项目预算金额的2%，本项目的投标保证金为：标项一：</w:t>
            </w:r>
            <w:r>
              <w:rPr>
                <w:rFonts w:hint="eastAsia" w:ascii="仿宋" w:hAnsi="仿宋" w:eastAsia="仿宋" w:cs="仿宋"/>
                <w:lang w:val="en-US" w:eastAsia="zh-CN"/>
              </w:rPr>
              <w:t>8000</w:t>
            </w:r>
            <w:r>
              <w:rPr>
                <w:rFonts w:hint="eastAsia" w:ascii="仿宋" w:hAnsi="仿宋" w:eastAsia="仿宋" w:cs="仿宋"/>
              </w:rPr>
              <w:t>.00元；标项</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6000</w:t>
            </w:r>
            <w:r>
              <w:rPr>
                <w:rFonts w:hint="eastAsia" w:ascii="仿宋" w:hAnsi="仿宋" w:eastAsia="仿宋" w:cs="仿宋"/>
              </w:rPr>
              <w:t>.00元；标项</w:t>
            </w:r>
            <w:r>
              <w:rPr>
                <w:rFonts w:hint="eastAsia" w:ascii="仿宋" w:hAnsi="仿宋" w:eastAsia="仿宋" w:cs="仿宋"/>
                <w:lang w:val="en-US" w:eastAsia="zh-CN"/>
              </w:rPr>
              <w:t>三</w:t>
            </w:r>
            <w:r>
              <w:rPr>
                <w:rFonts w:hint="eastAsia" w:ascii="仿宋" w:hAnsi="仿宋" w:eastAsia="仿宋" w:cs="仿宋"/>
              </w:rPr>
              <w:t>：</w:t>
            </w:r>
            <w:r>
              <w:rPr>
                <w:rFonts w:hint="eastAsia" w:ascii="仿宋" w:hAnsi="仿宋" w:eastAsia="仿宋" w:cs="仿宋"/>
                <w:lang w:val="en-US" w:eastAsia="zh-CN"/>
              </w:rPr>
              <w:t>4000</w:t>
            </w:r>
            <w:r>
              <w:rPr>
                <w:rFonts w:hint="eastAsia" w:ascii="仿宋" w:hAnsi="仿宋" w:eastAsia="仿宋" w:cs="仿宋"/>
              </w:rPr>
              <w:t>.00元；标项</w:t>
            </w:r>
            <w:r>
              <w:rPr>
                <w:rFonts w:hint="eastAsia" w:ascii="仿宋" w:hAnsi="仿宋" w:eastAsia="仿宋" w:cs="仿宋"/>
                <w:lang w:val="en-US" w:eastAsia="zh-CN"/>
              </w:rPr>
              <w:t>四</w:t>
            </w:r>
            <w:r>
              <w:rPr>
                <w:rFonts w:hint="eastAsia" w:ascii="仿宋" w:hAnsi="仿宋" w:eastAsia="仿宋" w:cs="仿宋"/>
              </w:rPr>
              <w:t>：</w:t>
            </w:r>
            <w:r>
              <w:rPr>
                <w:rFonts w:hint="eastAsia" w:ascii="仿宋" w:hAnsi="仿宋" w:eastAsia="仿宋" w:cs="仿宋"/>
                <w:lang w:val="en-US" w:eastAsia="zh-CN"/>
              </w:rPr>
              <w:t>4000</w:t>
            </w:r>
            <w:r>
              <w:rPr>
                <w:rFonts w:hint="eastAsia" w:ascii="仿宋" w:hAnsi="仿宋" w:eastAsia="仿宋" w:cs="仿宋"/>
              </w:rPr>
              <w:t>.00元；标项</w:t>
            </w:r>
            <w:r>
              <w:rPr>
                <w:rFonts w:hint="eastAsia" w:ascii="仿宋" w:hAnsi="仿宋" w:eastAsia="仿宋" w:cs="仿宋"/>
                <w:lang w:val="en-US" w:eastAsia="zh-CN"/>
              </w:rPr>
              <w:t>五</w:t>
            </w:r>
            <w:r>
              <w:rPr>
                <w:rFonts w:hint="eastAsia" w:ascii="仿宋" w:hAnsi="仿宋" w:eastAsia="仿宋" w:cs="仿宋"/>
              </w:rPr>
              <w:t>：</w:t>
            </w:r>
            <w:r>
              <w:rPr>
                <w:rFonts w:hint="eastAsia" w:ascii="仿宋" w:hAnsi="仿宋" w:eastAsia="仿宋" w:cs="仿宋"/>
                <w:lang w:val="en-US" w:eastAsia="zh-CN"/>
              </w:rPr>
              <w:t>2600</w:t>
            </w:r>
            <w:r>
              <w:rPr>
                <w:rFonts w:hint="eastAsia" w:ascii="仿宋" w:hAnsi="仿宋" w:eastAsia="仿宋" w:cs="仿宋"/>
              </w:rPr>
              <w:t>.00元；标项</w:t>
            </w:r>
            <w:r>
              <w:rPr>
                <w:rFonts w:hint="eastAsia" w:ascii="仿宋" w:hAnsi="仿宋" w:eastAsia="仿宋" w:cs="仿宋"/>
                <w:lang w:val="en-US" w:eastAsia="zh-CN"/>
              </w:rPr>
              <w:t>六</w:t>
            </w:r>
            <w:r>
              <w:rPr>
                <w:rFonts w:hint="eastAsia" w:ascii="仿宋" w:hAnsi="仿宋" w:eastAsia="仿宋" w:cs="仿宋"/>
              </w:rPr>
              <w:t>：</w:t>
            </w:r>
            <w:r>
              <w:rPr>
                <w:rFonts w:hint="eastAsia" w:ascii="仿宋" w:hAnsi="仿宋" w:eastAsia="仿宋" w:cs="仿宋"/>
                <w:lang w:val="en-US" w:eastAsia="zh-CN"/>
              </w:rPr>
              <w:t>3000</w:t>
            </w:r>
            <w:r>
              <w:rPr>
                <w:rFonts w:hint="eastAsia" w:ascii="仿宋" w:hAnsi="仿宋" w:eastAsia="仿宋" w:cs="仿宋"/>
              </w:rPr>
              <w:t>.00元；标项</w:t>
            </w:r>
            <w:r>
              <w:rPr>
                <w:rFonts w:hint="eastAsia" w:ascii="仿宋" w:hAnsi="仿宋" w:eastAsia="仿宋" w:cs="仿宋"/>
                <w:lang w:val="en-US" w:eastAsia="zh-CN"/>
              </w:rPr>
              <w:t>七</w:t>
            </w:r>
            <w:r>
              <w:rPr>
                <w:rFonts w:hint="eastAsia" w:ascii="仿宋" w:hAnsi="仿宋" w:eastAsia="仿宋" w:cs="仿宋"/>
              </w:rPr>
              <w:t>：</w:t>
            </w:r>
            <w:r>
              <w:rPr>
                <w:rFonts w:hint="eastAsia" w:ascii="仿宋" w:hAnsi="仿宋" w:eastAsia="仿宋" w:cs="仿宋"/>
                <w:lang w:val="en-US" w:eastAsia="zh-CN"/>
              </w:rPr>
              <w:t>700</w:t>
            </w:r>
            <w:r>
              <w:rPr>
                <w:rFonts w:hint="eastAsia" w:ascii="仿宋" w:hAnsi="仿宋" w:eastAsia="仿宋" w:cs="仿宋"/>
              </w:rPr>
              <w:t>0.00元。</w:t>
            </w:r>
          </w:p>
          <w:p>
            <w:pPr>
              <w:pStyle w:val="13"/>
              <w:spacing w:line="440" w:lineRule="exact"/>
              <w:jc w:val="left"/>
              <w:rPr>
                <w:rFonts w:ascii="仿宋" w:hAnsi="仿宋" w:eastAsia="仿宋" w:cs="仿宋"/>
              </w:rPr>
            </w:pPr>
            <w:r>
              <w:rPr>
                <w:rFonts w:hint="eastAsia" w:ascii="仿宋" w:hAnsi="仿宋" w:eastAsia="仿宋" w:cs="仿宋"/>
              </w:rPr>
              <w:t>提交方式为</w:t>
            </w:r>
            <w:r>
              <w:rPr>
                <w:rFonts w:hint="eastAsia" w:ascii="仿宋" w:hAnsi="仿宋" w:eastAsia="仿宋" w:cs="仿宋"/>
                <w:u w:val="single"/>
              </w:rPr>
              <w:t>投标人基本账户以网银或银行电汇形式</w:t>
            </w:r>
            <w:r>
              <w:rPr>
                <w:rFonts w:hint="eastAsia" w:ascii="仿宋" w:hAnsi="仿宋" w:eastAsia="仿宋" w:cs="仿宋"/>
              </w:rPr>
              <w:t>，在投标截止时间之前汇至本公司账户，否则其响应文件将被拒绝评审，投标人提交投标保证金应充分考虑资金在途时间。</w:t>
            </w:r>
          </w:p>
          <w:p>
            <w:pPr>
              <w:spacing w:line="440" w:lineRule="exact"/>
              <w:jc w:val="left"/>
              <w:rPr>
                <w:rFonts w:ascii="仿宋" w:hAnsi="仿宋" w:eastAsia="仿宋" w:cs="仿宋"/>
                <w:sz w:val="24"/>
              </w:rPr>
            </w:pPr>
            <w:r>
              <w:rPr>
                <w:rFonts w:hint="eastAsia" w:ascii="仿宋" w:hAnsi="仿宋" w:eastAsia="仿宋" w:cs="仿宋"/>
                <w:sz w:val="24"/>
              </w:rPr>
              <w:t xml:space="preserve">账户信息：新疆华域建设工程项目管理咨询有限公司伊犁分公司  </w:t>
            </w:r>
          </w:p>
          <w:p>
            <w:pPr>
              <w:spacing w:line="440" w:lineRule="exact"/>
              <w:jc w:val="left"/>
              <w:rPr>
                <w:rFonts w:ascii="仿宋" w:hAnsi="仿宋" w:eastAsia="仿宋" w:cs="仿宋"/>
                <w:sz w:val="24"/>
              </w:rPr>
            </w:pPr>
            <w:r>
              <w:rPr>
                <w:rFonts w:hint="eastAsia" w:ascii="仿宋" w:hAnsi="仿宋" w:eastAsia="仿宋" w:cs="仿宋"/>
                <w:sz w:val="24"/>
              </w:rPr>
              <w:t>开户行：中国工商银行股份有限公司伊宁阿合买提江街支行</w:t>
            </w:r>
          </w:p>
          <w:p>
            <w:pPr>
              <w:spacing w:line="440" w:lineRule="exact"/>
              <w:jc w:val="left"/>
              <w:rPr>
                <w:rFonts w:ascii="仿宋" w:hAnsi="仿宋" w:eastAsia="仿宋" w:cs="仿宋"/>
                <w:sz w:val="24"/>
              </w:rPr>
            </w:pPr>
            <w:r>
              <w:rPr>
                <w:rFonts w:hint="eastAsia" w:ascii="仿宋" w:hAnsi="仿宋" w:eastAsia="仿宋" w:cs="仿宋"/>
                <w:sz w:val="24"/>
              </w:rPr>
              <w:t>银行账号：3006023109200131786</w:t>
            </w:r>
          </w:p>
          <w:p>
            <w:pPr>
              <w:spacing w:line="500" w:lineRule="exact"/>
              <w:jc w:val="left"/>
              <w:rPr>
                <w:rFonts w:ascii="仿宋" w:hAnsi="仿宋" w:eastAsia="仿宋" w:cs="仿宋"/>
                <w:sz w:val="24"/>
                <w:lang w:val="zh-CN"/>
              </w:rPr>
            </w:pPr>
            <w:r>
              <w:rPr>
                <w:rFonts w:hint="eastAsia" w:ascii="仿宋" w:hAnsi="仿宋" w:eastAsia="仿宋" w:cs="仿宋"/>
                <w:sz w:val="24"/>
              </w:rPr>
              <w:t>注：以电汇方式递交投标保证金须在电汇凭据附言栏中写明项目编号、包号及用途(保证金)，由于未按要求注明信息而导致的一切后果由投标人承担，在投标文件中投标单位须附基本开户许可证复印件及汇款凭证证明。开标结束后三个工作日以后退保证金请联系电话：吴工：1</w:t>
            </w:r>
            <w:r>
              <w:rPr>
                <w:rFonts w:ascii="仿宋" w:hAnsi="仿宋" w:eastAsia="仿宋" w:cs="仿宋"/>
                <w:sz w:val="24"/>
              </w:rPr>
              <w:t>8599296695</w:t>
            </w:r>
            <w:r>
              <w:rPr>
                <w:rFonts w:hint="eastAsia" w:ascii="仿宋" w:hAnsi="仿宋" w:eastAsia="仿宋" w:cs="仿宋"/>
                <w:sz w:val="24"/>
              </w:rPr>
              <w:t>。</w:t>
            </w:r>
          </w:p>
        </w:tc>
      </w:tr>
      <w:tr>
        <w:tblPrEx>
          <w:tblCellMar>
            <w:top w:w="0" w:type="dxa"/>
            <w:left w:w="0" w:type="dxa"/>
            <w:bottom w:w="0" w:type="dxa"/>
            <w:right w:w="0" w:type="dxa"/>
          </w:tblCellMar>
        </w:tblPrEx>
        <w:trPr>
          <w:trHeight w:val="499" w:hRule="exact"/>
        </w:trPr>
        <w:tc>
          <w:tcPr>
            <w:tcW w:w="1571" w:type="dxa"/>
            <w:tcBorders>
              <w:top w:val="nil"/>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lang w:val="zh-CN"/>
              </w:rPr>
            </w:pPr>
            <w:r>
              <w:rPr>
                <w:rFonts w:hint="eastAsia" w:ascii="仿宋" w:hAnsi="仿宋" w:eastAsia="仿宋" w:cs="仿宋"/>
                <w:sz w:val="24"/>
                <w:lang w:val="zh-CN"/>
              </w:rPr>
              <w:t>付款方式</w:t>
            </w:r>
          </w:p>
        </w:tc>
        <w:tc>
          <w:tcPr>
            <w:tcW w:w="7867" w:type="dxa"/>
            <w:tcBorders>
              <w:top w:val="single" w:color="auto" w:sz="6" w:space="0"/>
              <w:left w:val="nil"/>
              <w:bottom w:val="single" w:color="auto" w:sz="6" w:space="0"/>
              <w:right w:val="single" w:color="000000" w:sz="6" w:space="0"/>
            </w:tcBorders>
          </w:tcPr>
          <w:p>
            <w:pPr>
              <w:spacing w:line="360" w:lineRule="exact"/>
              <w:jc w:val="left"/>
              <w:rPr>
                <w:rFonts w:ascii="仿宋" w:hAnsi="仿宋" w:eastAsia="仿宋" w:cs="仿宋"/>
                <w:sz w:val="24"/>
              </w:rPr>
            </w:pPr>
            <w:r>
              <w:rPr>
                <w:rFonts w:hint="eastAsia" w:ascii="仿宋" w:hAnsi="仿宋" w:eastAsia="仿宋" w:cs="仿宋"/>
                <w:sz w:val="24"/>
              </w:rPr>
              <w:t>后期与甲方签订合同为准</w:t>
            </w:r>
          </w:p>
        </w:tc>
      </w:tr>
      <w:tr>
        <w:tblPrEx>
          <w:tblCellMar>
            <w:top w:w="0" w:type="dxa"/>
            <w:left w:w="0" w:type="dxa"/>
            <w:bottom w:w="0" w:type="dxa"/>
            <w:right w:w="0" w:type="dxa"/>
          </w:tblCellMar>
        </w:tblPrEx>
        <w:trPr>
          <w:trHeight w:val="4224" w:hRule="exact"/>
        </w:trPr>
        <w:tc>
          <w:tcPr>
            <w:tcW w:w="1571" w:type="dxa"/>
            <w:tcBorders>
              <w:top w:val="nil"/>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lang w:val="zh-CN"/>
              </w:rPr>
            </w:pPr>
            <w:r>
              <w:rPr>
                <w:rFonts w:hint="eastAsia" w:ascii="仿宋" w:hAnsi="仿宋" w:eastAsia="仿宋" w:cs="仿宋"/>
                <w:sz w:val="24"/>
                <w:lang w:val="zh-CN"/>
              </w:rPr>
              <w:t>投标文件份数</w:t>
            </w:r>
          </w:p>
        </w:tc>
        <w:tc>
          <w:tcPr>
            <w:tcW w:w="7867" w:type="dxa"/>
            <w:tcBorders>
              <w:top w:val="single" w:color="auto" w:sz="6" w:space="0"/>
              <w:left w:val="nil"/>
              <w:bottom w:val="single" w:color="auto" w:sz="6" w:space="0"/>
              <w:right w:val="single" w:color="000000" w:sz="6" w:space="0"/>
            </w:tcBorders>
          </w:tcPr>
          <w:p>
            <w:pPr>
              <w:pStyle w:val="45"/>
              <w:spacing w:line="440" w:lineRule="exact"/>
              <w:jc w:val="both"/>
              <w:rPr>
                <w:rFonts w:hint="eastAsia" w:ascii="仿宋" w:hAnsi="仿宋" w:eastAsia="仿宋" w:cs="仿宋"/>
                <w:color w:val="auto"/>
              </w:rPr>
            </w:pPr>
            <w:r>
              <w:rPr>
                <w:rFonts w:hint="eastAsia" w:ascii="仿宋" w:hAnsi="仿宋" w:eastAsia="仿宋" w:cs="仿宋"/>
                <w:color w:val="auto"/>
              </w:rPr>
              <w:t>投标文件的数量：</w:t>
            </w:r>
          </w:p>
          <w:p>
            <w:pPr>
              <w:pStyle w:val="45"/>
              <w:spacing w:line="440" w:lineRule="exact"/>
              <w:jc w:val="both"/>
              <w:rPr>
                <w:rFonts w:hint="eastAsia" w:ascii="仿宋" w:hAnsi="仿宋" w:eastAsia="仿宋" w:cs="仿宋"/>
                <w:color w:val="auto"/>
              </w:rPr>
            </w:pPr>
            <w:r>
              <w:rPr>
                <w:rFonts w:hint="eastAsia" w:ascii="仿宋" w:hAnsi="仿宋" w:eastAsia="仿宋" w:cs="仿宋"/>
                <w:color w:val="auto"/>
                <w:lang w:val="en-US" w:eastAsia="zh-CN"/>
              </w:rPr>
              <w:t>资格审查文件（单独密封）（不分标段）：</w:t>
            </w:r>
            <w:r>
              <w:rPr>
                <w:rFonts w:hint="eastAsia" w:ascii="仿宋" w:hAnsi="仿宋" w:eastAsia="仿宋" w:cs="仿宋"/>
                <w:color w:val="auto"/>
              </w:rPr>
              <w:t>正本1份、副本</w:t>
            </w:r>
            <w:r>
              <w:rPr>
                <w:rFonts w:hint="eastAsia" w:ascii="仿宋" w:hAnsi="仿宋" w:eastAsia="仿宋" w:cs="仿宋"/>
                <w:color w:val="auto"/>
                <w:lang w:val="en-US" w:eastAsia="zh-CN"/>
              </w:rPr>
              <w:t>6</w:t>
            </w:r>
            <w:r>
              <w:rPr>
                <w:rFonts w:hint="eastAsia" w:ascii="仿宋" w:hAnsi="仿宋" w:eastAsia="仿宋" w:cs="仿宋"/>
                <w:color w:val="auto"/>
              </w:rPr>
              <w:t>份</w:t>
            </w:r>
          </w:p>
          <w:p>
            <w:pPr>
              <w:pStyle w:val="45"/>
              <w:spacing w:line="440" w:lineRule="exact"/>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经济部分和商务技术部分装订为一册（单独密封）（每个标段）：</w:t>
            </w:r>
            <w:r>
              <w:rPr>
                <w:rFonts w:hint="eastAsia" w:ascii="仿宋" w:hAnsi="仿宋" w:eastAsia="仿宋" w:cs="仿宋"/>
                <w:color w:val="auto"/>
              </w:rPr>
              <w:t>正本1份、副本</w:t>
            </w:r>
            <w:r>
              <w:rPr>
                <w:rFonts w:hint="eastAsia" w:ascii="仿宋" w:hAnsi="仿宋" w:eastAsia="仿宋" w:cs="仿宋"/>
                <w:color w:val="auto"/>
                <w:lang w:val="en-US" w:eastAsia="zh-CN"/>
              </w:rPr>
              <w:t>6</w:t>
            </w:r>
            <w:r>
              <w:rPr>
                <w:rFonts w:hint="eastAsia" w:ascii="仿宋" w:hAnsi="仿宋" w:eastAsia="仿宋" w:cs="仿宋"/>
                <w:color w:val="auto"/>
              </w:rPr>
              <w:t>份</w:t>
            </w:r>
          </w:p>
          <w:p>
            <w:pPr>
              <w:pStyle w:val="45"/>
              <w:spacing w:line="440" w:lineRule="exact"/>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开标一览表（每个标段）单独密封一份。</w:t>
            </w:r>
          </w:p>
          <w:p>
            <w:pPr>
              <w:pStyle w:val="45"/>
              <w:spacing w:line="440" w:lineRule="exact"/>
              <w:jc w:val="both"/>
              <w:rPr>
                <w:rFonts w:ascii="仿宋" w:hAnsi="仿宋" w:eastAsia="仿宋" w:cs="仿宋"/>
                <w:color w:val="auto"/>
              </w:rPr>
            </w:pPr>
            <w:r>
              <w:rPr>
                <w:rFonts w:hint="eastAsia" w:ascii="仿宋" w:hAnsi="仿宋" w:eastAsia="仿宋" w:cs="仿宋"/>
                <w:color w:val="auto"/>
                <w:lang w:val="en-US" w:eastAsia="zh-CN"/>
              </w:rPr>
              <w:t>各部分</w:t>
            </w:r>
            <w:r>
              <w:rPr>
                <w:rFonts w:hint="eastAsia" w:ascii="仿宋" w:hAnsi="仿宋" w:eastAsia="仿宋" w:cs="仿宋"/>
                <w:color w:val="auto"/>
              </w:rPr>
              <w:t>电子版投标文件：1份(□扫描件，☑ Word，以U盘形式提交，</w:t>
            </w:r>
            <w:r>
              <w:rPr>
                <w:rFonts w:hint="eastAsia" w:ascii="仿宋" w:hAnsi="仿宋" w:eastAsia="仿宋" w:cs="仿宋"/>
                <w:color w:val="auto"/>
                <w:lang w:val="en-US" w:eastAsia="zh-CN"/>
              </w:rPr>
              <w:t>和各部分文件密封在一个封袋内</w:t>
            </w:r>
            <w:r>
              <w:rPr>
                <w:rFonts w:hint="eastAsia" w:ascii="仿宋" w:hAnsi="仿宋" w:eastAsia="仿宋" w:cs="仿宋"/>
                <w:color w:val="auto"/>
              </w:rPr>
              <w:t>)</w:t>
            </w:r>
          </w:p>
          <w:p>
            <w:pPr>
              <w:spacing w:line="360" w:lineRule="exact"/>
              <w:jc w:val="left"/>
              <w:rPr>
                <w:rFonts w:ascii="仿宋" w:hAnsi="仿宋" w:eastAsia="仿宋" w:cs="仿宋"/>
                <w:sz w:val="24"/>
              </w:rPr>
            </w:pPr>
            <w:r>
              <w:rPr>
                <w:rFonts w:hint="eastAsia" w:ascii="仿宋" w:hAnsi="仿宋" w:eastAsia="仿宋" w:cs="仿宋"/>
                <w:b/>
                <w:sz w:val="24"/>
              </w:rPr>
              <w:t>（注：装订形式：不得采用活页、拉杆等方式，必须采用胶装，否则按废标处理）</w:t>
            </w:r>
          </w:p>
        </w:tc>
      </w:tr>
      <w:tr>
        <w:tblPrEx>
          <w:tblCellMar>
            <w:top w:w="0" w:type="dxa"/>
            <w:left w:w="0" w:type="dxa"/>
            <w:bottom w:w="0" w:type="dxa"/>
            <w:right w:w="0" w:type="dxa"/>
          </w:tblCellMar>
        </w:tblPrEx>
        <w:trPr>
          <w:trHeight w:val="914" w:hRule="exact"/>
        </w:trPr>
        <w:tc>
          <w:tcPr>
            <w:tcW w:w="1571" w:type="dxa"/>
            <w:tcBorders>
              <w:top w:val="nil"/>
              <w:left w:val="single" w:color="auto" w:sz="6" w:space="0"/>
              <w:bottom w:val="single" w:color="auto" w:sz="6" w:space="0"/>
              <w:right w:val="single" w:color="auto" w:sz="6" w:space="0"/>
            </w:tcBorders>
            <w:vAlign w:val="center"/>
          </w:tcPr>
          <w:p>
            <w:pPr>
              <w:spacing w:line="360" w:lineRule="exact"/>
              <w:jc w:val="center"/>
              <w:rPr>
                <w:rFonts w:hint="eastAsia" w:ascii="仿宋" w:hAnsi="仿宋" w:eastAsia="仿宋" w:cs="仿宋"/>
                <w:sz w:val="24"/>
                <w:lang w:val="zh-CN"/>
              </w:rPr>
            </w:pPr>
            <w:r>
              <w:rPr>
                <w:rFonts w:hint="eastAsia" w:ascii="仿宋" w:hAnsi="仿宋" w:eastAsia="仿宋" w:cs="仿宋"/>
                <w:sz w:val="24"/>
                <w:lang w:val="zh-CN"/>
              </w:rPr>
              <w:t>投标文件递交地点</w:t>
            </w:r>
          </w:p>
        </w:tc>
        <w:tc>
          <w:tcPr>
            <w:tcW w:w="7867" w:type="dxa"/>
            <w:tcBorders>
              <w:top w:val="nil"/>
              <w:left w:val="nil"/>
              <w:bottom w:val="single" w:color="auto" w:sz="6" w:space="0"/>
              <w:right w:val="single" w:color="000000" w:sz="6" w:space="0"/>
            </w:tcBorders>
            <w:vAlign w:val="center"/>
          </w:tcPr>
          <w:p>
            <w:pPr>
              <w:spacing w:line="360" w:lineRule="exact"/>
              <w:jc w:val="left"/>
              <w:rPr>
                <w:rFonts w:hint="eastAsia" w:ascii="仿宋" w:hAnsi="仿宋" w:eastAsia="仿宋" w:cs="仿宋"/>
                <w:sz w:val="24"/>
                <w:lang w:val="zh-CN"/>
              </w:rPr>
            </w:pPr>
            <w:r>
              <w:rPr>
                <w:rFonts w:hint="eastAsia" w:ascii="仿宋" w:hAnsi="仿宋" w:eastAsia="仿宋" w:cs="仿宋"/>
                <w:sz w:val="24"/>
                <w:lang w:val="zh-CN"/>
              </w:rPr>
              <w:t>乌鲁木齐市沙依巴克区克拉玛依西街1100号北晟广场公寓楼22层开标室</w:t>
            </w:r>
          </w:p>
        </w:tc>
      </w:tr>
      <w:tr>
        <w:tblPrEx>
          <w:tblCellMar>
            <w:top w:w="0" w:type="dxa"/>
            <w:left w:w="0" w:type="dxa"/>
            <w:bottom w:w="0" w:type="dxa"/>
            <w:right w:w="0" w:type="dxa"/>
          </w:tblCellMar>
        </w:tblPrEx>
        <w:trPr>
          <w:trHeight w:val="695" w:hRule="exact"/>
        </w:trPr>
        <w:tc>
          <w:tcPr>
            <w:tcW w:w="1571" w:type="dxa"/>
            <w:tcBorders>
              <w:top w:val="nil"/>
              <w:left w:val="single" w:color="auto" w:sz="6" w:space="0"/>
              <w:bottom w:val="single" w:color="auto" w:sz="4" w:space="0"/>
              <w:right w:val="single" w:color="auto" w:sz="6" w:space="0"/>
            </w:tcBorders>
            <w:vAlign w:val="center"/>
          </w:tcPr>
          <w:p>
            <w:pPr>
              <w:spacing w:line="360" w:lineRule="exact"/>
              <w:jc w:val="center"/>
              <w:rPr>
                <w:rFonts w:hint="eastAsia" w:ascii="仿宋" w:hAnsi="仿宋" w:eastAsia="仿宋" w:cs="仿宋"/>
                <w:sz w:val="24"/>
                <w:lang w:val="zh-CN"/>
              </w:rPr>
            </w:pPr>
            <w:r>
              <w:rPr>
                <w:rFonts w:hint="eastAsia" w:ascii="仿宋" w:hAnsi="仿宋" w:eastAsia="仿宋" w:cs="仿宋"/>
                <w:sz w:val="24"/>
                <w:lang w:val="zh-CN"/>
              </w:rPr>
              <w:t>投标文件截止时间</w:t>
            </w:r>
          </w:p>
        </w:tc>
        <w:tc>
          <w:tcPr>
            <w:tcW w:w="7867" w:type="dxa"/>
            <w:tcBorders>
              <w:top w:val="nil"/>
              <w:left w:val="nil"/>
              <w:bottom w:val="single" w:color="auto" w:sz="4" w:space="0"/>
              <w:right w:val="single" w:color="000000" w:sz="6" w:space="0"/>
            </w:tcBorders>
            <w:vAlign w:val="center"/>
          </w:tcPr>
          <w:p>
            <w:pPr>
              <w:spacing w:line="360" w:lineRule="exact"/>
              <w:jc w:val="left"/>
              <w:rPr>
                <w:rFonts w:hint="eastAsia" w:ascii="仿宋" w:hAnsi="仿宋" w:eastAsia="仿宋" w:cs="仿宋"/>
                <w:sz w:val="24"/>
                <w:lang w:val="zh-CN"/>
              </w:rPr>
            </w:pPr>
            <w:r>
              <w:rPr>
                <w:rFonts w:hint="eastAsia" w:ascii="仿宋" w:hAnsi="仿宋" w:eastAsia="仿宋" w:cs="仿宋"/>
                <w:sz w:val="24"/>
                <w:lang w:val="zh-CN"/>
              </w:rPr>
              <w:t>2022年</w:t>
            </w:r>
            <w:r>
              <w:rPr>
                <w:rFonts w:hint="eastAsia" w:ascii="仿宋" w:hAnsi="仿宋" w:eastAsia="仿宋" w:cs="仿宋"/>
                <w:sz w:val="24"/>
                <w:lang w:val="en-US" w:eastAsia="zh-CN"/>
              </w:rPr>
              <w:t>6</w:t>
            </w:r>
            <w:r>
              <w:rPr>
                <w:rFonts w:hint="eastAsia" w:ascii="仿宋" w:hAnsi="仿宋" w:eastAsia="仿宋" w:cs="仿宋"/>
                <w:sz w:val="24"/>
                <w:lang w:val="zh-CN"/>
              </w:rPr>
              <w:t>月</w:t>
            </w:r>
            <w:r>
              <w:rPr>
                <w:rFonts w:hint="eastAsia" w:ascii="仿宋" w:hAnsi="仿宋" w:eastAsia="仿宋" w:cs="仿宋"/>
                <w:sz w:val="24"/>
                <w:lang w:val="en-US" w:eastAsia="zh-CN"/>
              </w:rPr>
              <w:t>23</w:t>
            </w:r>
            <w:r>
              <w:rPr>
                <w:rFonts w:hint="eastAsia" w:ascii="仿宋" w:hAnsi="仿宋" w:eastAsia="仿宋" w:cs="仿宋"/>
                <w:sz w:val="24"/>
                <w:lang w:val="zh-CN"/>
              </w:rPr>
              <w:t>日1</w:t>
            </w:r>
            <w:r>
              <w:rPr>
                <w:rFonts w:hint="eastAsia" w:ascii="仿宋" w:hAnsi="仿宋" w:eastAsia="仿宋" w:cs="仿宋"/>
                <w:sz w:val="24"/>
                <w:lang w:val="en-US" w:eastAsia="zh-CN"/>
              </w:rPr>
              <w:t>1</w:t>
            </w:r>
            <w:r>
              <w:rPr>
                <w:rFonts w:hint="eastAsia" w:ascii="仿宋" w:hAnsi="仿宋" w:eastAsia="仿宋" w:cs="仿宋"/>
                <w:sz w:val="24"/>
                <w:lang w:val="zh-CN"/>
              </w:rPr>
              <w:t>:00（北京时间）</w:t>
            </w:r>
          </w:p>
        </w:tc>
      </w:tr>
      <w:tr>
        <w:tblPrEx>
          <w:tblCellMar>
            <w:top w:w="0" w:type="dxa"/>
            <w:left w:w="0" w:type="dxa"/>
            <w:bottom w:w="0" w:type="dxa"/>
            <w:right w:w="0" w:type="dxa"/>
          </w:tblCellMar>
        </w:tblPrEx>
        <w:trPr>
          <w:trHeight w:val="478" w:hRule="exact"/>
        </w:trPr>
        <w:tc>
          <w:tcPr>
            <w:tcW w:w="15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lang w:val="zh-CN"/>
              </w:rPr>
            </w:pPr>
            <w:r>
              <w:rPr>
                <w:rFonts w:hint="eastAsia" w:ascii="仿宋" w:hAnsi="仿宋" w:eastAsia="仿宋" w:cs="仿宋"/>
                <w:sz w:val="24"/>
                <w:lang w:val="zh-CN"/>
              </w:rPr>
              <w:t>开标时间</w:t>
            </w:r>
          </w:p>
        </w:tc>
        <w:tc>
          <w:tcPr>
            <w:tcW w:w="786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 w:hAnsi="仿宋" w:eastAsia="仿宋" w:cs="仿宋"/>
                <w:sz w:val="24"/>
                <w:lang w:val="zh-CN"/>
              </w:rPr>
            </w:pPr>
            <w:r>
              <w:rPr>
                <w:rFonts w:hint="eastAsia" w:ascii="仿宋" w:hAnsi="仿宋" w:eastAsia="仿宋" w:cs="仿宋"/>
                <w:sz w:val="24"/>
                <w:lang w:val="zh-CN"/>
              </w:rPr>
              <w:t>2022年</w:t>
            </w:r>
            <w:r>
              <w:rPr>
                <w:rFonts w:hint="eastAsia" w:ascii="仿宋" w:hAnsi="仿宋" w:eastAsia="仿宋" w:cs="仿宋"/>
                <w:sz w:val="24"/>
                <w:lang w:val="en-US" w:eastAsia="zh-CN"/>
              </w:rPr>
              <w:t>6</w:t>
            </w:r>
            <w:r>
              <w:rPr>
                <w:rFonts w:hint="eastAsia" w:ascii="仿宋" w:hAnsi="仿宋" w:eastAsia="仿宋" w:cs="仿宋"/>
                <w:sz w:val="24"/>
                <w:lang w:val="zh-CN"/>
              </w:rPr>
              <w:t>月</w:t>
            </w:r>
            <w:r>
              <w:rPr>
                <w:rFonts w:hint="eastAsia" w:ascii="仿宋" w:hAnsi="仿宋" w:eastAsia="仿宋" w:cs="仿宋"/>
                <w:sz w:val="24"/>
                <w:lang w:val="en-US" w:eastAsia="zh-CN"/>
              </w:rPr>
              <w:t>23</w:t>
            </w:r>
            <w:r>
              <w:rPr>
                <w:rFonts w:hint="eastAsia" w:ascii="仿宋" w:hAnsi="仿宋" w:eastAsia="仿宋" w:cs="仿宋"/>
                <w:sz w:val="24"/>
                <w:lang w:val="zh-CN"/>
              </w:rPr>
              <w:t>日1</w:t>
            </w:r>
            <w:r>
              <w:rPr>
                <w:rFonts w:hint="eastAsia" w:ascii="仿宋" w:hAnsi="仿宋" w:eastAsia="仿宋" w:cs="仿宋"/>
                <w:sz w:val="24"/>
                <w:lang w:val="en-US" w:eastAsia="zh-CN"/>
              </w:rPr>
              <w:t>1</w:t>
            </w:r>
            <w:r>
              <w:rPr>
                <w:rFonts w:hint="eastAsia" w:ascii="仿宋" w:hAnsi="仿宋" w:eastAsia="仿宋" w:cs="仿宋"/>
                <w:sz w:val="24"/>
                <w:lang w:val="zh-CN"/>
              </w:rPr>
              <w:t>:00（北京时间）</w:t>
            </w:r>
          </w:p>
        </w:tc>
      </w:tr>
      <w:tr>
        <w:tblPrEx>
          <w:tblCellMar>
            <w:top w:w="0" w:type="dxa"/>
            <w:left w:w="0" w:type="dxa"/>
            <w:bottom w:w="0" w:type="dxa"/>
            <w:right w:w="0" w:type="dxa"/>
          </w:tblCellMar>
        </w:tblPrEx>
        <w:trPr>
          <w:trHeight w:val="781" w:hRule="atLeast"/>
        </w:trPr>
        <w:tc>
          <w:tcPr>
            <w:tcW w:w="15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lang w:val="zh-CN"/>
              </w:rPr>
            </w:pPr>
            <w:r>
              <w:rPr>
                <w:rFonts w:hint="eastAsia" w:ascii="仿宋" w:hAnsi="仿宋" w:eastAsia="仿宋" w:cs="仿宋"/>
                <w:sz w:val="24"/>
                <w:lang w:val="zh-CN"/>
              </w:rPr>
              <w:t>采购预算价</w:t>
            </w:r>
          </w:p>
        </w:tc>
        <w:tc>
          <w:tcPr>
            <w:tcW w:w="7867" w:type="dxa"/>
            <w:tcBorders>
              <w:top w:val="single" w:color="auto" w:sz="4" w:space="0"/>
              <w:left w:val="single" w:color="auto" w:sz="4" w:space="0"/>
              <w:bottom w:val="single" w:color="auto" w:sz="4" w:space="0"/>
              <w:right w:val="single" w:color="auto" w:sz="4" w:space="0"/>
            </w:tcBorders>
            <w:vAlign w:val="center"/>
          </w:tcPr>
          <w:p>
            <w:pPr>
              <w:pStyle w:val="17"/>
              <w:widowControl/>
              <w:spacing w:line="360" w:lineRule="exact"/>
              <w:rPr>
                <w:rFonts w:hint="eastAsia" w:ascii="仿宋" w:hAnsi="仿宋" w:eastAsia="仿宋" w:cs="仿宋"/>
              </w:rPr>
            </w:pPr>
            <w:r>
              <w:rPr>
                <w:rFonts w:hint="eastAsia" w:ascii="仿宋" w:hAnsi="仿宋" w:eastAsia="仿宋" w:cs="仿宋"/>
              </w:rPr>
              <w:t>标项一：490829.00元；标项二：351615.00元；标项三：214900.00元；标项四：237800.00元；标项五：133000.00元；标项六：169150.00元；标项七：377270.00元。</w:t>
            </w:r>
          </w:p>
          <w:p>
            <w:pPr>
              <w:pStyle w:val="17"/>
              <w:widowControl/>
              <w:spacing w:line="360" w:lineRule="exact"/>
              <w:rPr>
                <w:rFonts w:hint="default" w:ascii="仿宋" w:hAnsi="仿宋" w:eastAsia="仿宋" w:cs="仿宋"/>
                <w:lang w:val="en-US" w:eastAsia="zh-CN"/>
              </w:rPr>
            </w:pPr>
            <w:r>
              <w:rPr>
                <w:rFonts w:hint="eastAsia" w:ascii="仿宋" w:hAnsi="仿宋" w:eastAsia="仿宋" w:cs="仿宋"/>
                <w:lang w:val="en-US" w:eastAsia="zh-CN"/>
              </w:rPr>
              <w:t>本次招标投标人的投标报价不得超出本标项的预算价，所提供的报价明细表中各项货物投标单价不得超过附件中单价限价，如超出投标限价和单价限价的投标视为不响应招标文件，作否决投标处理。</w:t>
            </w:r>
          </w:p>
        </w:tc>
      </w:tr>
      <w:tr>
        <w:tblPrEx>
          <w:tblCellMar>
            <w:top w:w="0" w:type="dxa"/>
            <w:left w:w="0" w:type="dxa"/>
            <w:bottom w:w="0" w:type="dxa"/>
            <w:right w:w="0" w:type="dxa"/>
          </w:tblCellMar>
        </w:tblPrEx>
        <w:trPr>
          <w:trHeight w:val="278" w:hRule="atLeast"/>
        </w:trPr>
        <w:tc>
          <w:tcPr>
            <w:tcW w:w="15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lang w:val="zh-CN"/>
              </w:rPr>
            </w:pPr>
            <w:r>
              <w:rPr>
                <w:rFonts w:hint="eastAsia" w:ascii="仿宋" w:hAnsi="仿宋" w:eastAsia="仿宋" w:cs="仿宋"/>
                <w:sz w:val="24"/>
                <w:lang w:val="zh-CN"/>
              </w:rPr>
              <w:t>答疑</w:t>
            </w:r>
          </w:p>
        </w:tc>
        <w:tc>
          <w:tcPr>
            <w:tcW w:w="7867"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560" w:lineRule="exact"/>
              <w:rPr>
                <w:rFonts w:ascii="仿宋" w:hAnsi="仿宋" w:eastAsia="仿宋" w:cs="仿宋"/>
                <w:sz w:val="24"/>
              </w:rPr>
            </w:pPr>
            <w:r>
              <w:rPr>
                <w:rFonts w:hint="eastAsia" w:ascii="仿宋" w:hAnsi="仿宋" w:eastAsia="仿宋" w:cs="仿宋"/>
                <w:sz w:val="24"/>
              </w:rPr>
              <w:t>若有代理公司将在投标截止前5日通知各投标人</w:t>
            </w:r>
          </w:p>
          <w:p>
            <w:pPr>
              <w:numPr>
                <w:ilvl w:val="0"/>
                <w:numId w:val="4"/>
              </w:numPr>
              <w:spacing w:line="560" w:lineRule="exact"/>
              <w:rPr>
                <w:rFonts w:ascii="仿宋" w:hAnsi="仿宋" w:eastAsia="仿宋" w:cs="仿宋"/>
                <w:sz w:val="24"/>
              </w:rPr>
            </w:pPr>
            <w:r>
              <w:rPr>
                <w:rFonts w:hint="eastAsia" w:ascii="仿宋" w:hAnsi="仿宋" w:eastAsia="仿宋" w:cs="仿宋"/>
                <w:sz w:val="24"/>
              </w:rPr>
              <w:t>若没有则不召开答疑会</w:t>
            </w:r>
          </w:p>
        </w:tc>
      </w:tr>
      <w:tr>
        <w:tblPrEx>
          <w:tblCellMar>
            <w:top w:w="0" w:type="dxa"/>
            <w:left w:w="0" w:type="dxa"/>
            <w:bottom w:w="0" w:type="dxa"/>
            <w:right w:w="0" w:type="dxa"/>
          </w:tblCellMar>
        </w:tblPrEx>
        <w:trPr>
          <w:trHeight w:val="288" w:hRule="atLeast"/>
        </w:trPr>
        <w:tc>
          <w:tcPr>
            <w:tcW w:w="157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sz w:val="24"/>
                <w:lang w:val="zh-CN"/>
              </w:rPr>
            </w:pPr>
            <w:r>
              <w:rPr>
                <w:rFonts w:hint="eastAsia" w:ascii="仿宋" w:hAnsi="仿宋" w:eastAsia="仿宋" w:cs="仿宋"/>
                <w:sz w:val="24"/>
                <w:lang w:val="zh-CN"/>
              </w:rPr>
              <w:t>招标文件的澄清、修改及补正</w:t>
            </w:r>
          </w:p>
        </w:tc>
        <w:tc>
          <w:tcPr>
            <w:tcW w:w="786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
                <w:sz w:val="24"/>
              </w:rPr>
            </w:pPr>
            <w:r>
              <w:rPr>
                <w:rFonts w:hint="eastAsia" w:ascii="仿宋" w:hAnsi="仿宋" w:eastAsia="仿宋" w:cs="仿宋"/>
                <w:sz w:val="24"/>
              </w:rPr>
              <w:t>投标截止前5日书面e-mill通知所有投标人，其内容将作为投标文件的组成部分，时间不足5日将顺延。</w:t>
            </w:r>
          </w:p>
        </w:tc>
      </w:tr>
      <w:tr>
        <w:tblPrEx>
          <w:tblCellMar>
            <w:top w:w="0" w:type="dxa"/>
            <w:left w:w="0" w:type="dxa"/>
            <w:bottom w:w="0" w:type="dxa"/>
            <w:right w:w="0" w:type="dxa"/>
          </w:tblCellMar>
        </w:tblPrEx>
        <w:trPr>
          <w:trHeight w:val="1037" w:hRule="atLeast"/>
        </w:trPr>
        <w:tc>
          <w:tcPr>
            <w:tcW w:w="1571"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小、微企业</w:t>
            </w:r>
          </w:p>
        </w:tc>
        <w:tc>
          <w:tcPr>
            <w:tcW w:w="786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1、给予小型和微型企业产品的价格给予6%-10%的扣除，用扣除后的价格参与评审，本项目具体扣除比例为6%。</w:t>
            </w:r>
          </w:p>
        </w:tc>
      </w:tr>
      <w:tr>
        <w:tblPrEx>
          <w:tblCellMar>
            <w:top w:w="0" w:type="dxa"/>
            <w:left w:w="0" w:type="dxa"/>
            <w:bottom w:w="0" w:type="dxa"/>
            <w:right w:w="0" w:type="dxa"/>
          </w:tblCellMar>
        </w:tblPrEx>
        <w:trPr>
          <w:trHeight w:val="1087" w:hRule="atLeast"/>
        </w:trPr>
        <w:tc>
          <w:tcPr>
            <w:tcW w:w="1571"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sz w:val="24"/>
              </w:rPr>
            </w:pPr>
          </w:p>
        </w:tc>
        <w:tc>
          <w:tcPr>
            <w:tcW w:w="786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2、中小企业在融资、投标保证、履约保证等方面有需求的，可查询当地政府采购管理部门相关政策，通过专业化的担保途径解决。</w:t>
            </w:r>
          </w:p>
        </w:tc>
      </w:tr>
      <w:tr>
        <w:tblPrEx>
          <w:tblCellMar>
            <w:top w:w="0" w:type="dxa"/>
            <w:left w:w="0" w:type="dxa"/>
            <w:bottom w:w="0" w:type="dxa"/>
            <w:right w:w="0" w:type="dxa"/>
          </w:tblCellMar>
        </w:tblPrEx>
        <w:trPr>
          <w:trHeight w:val="288" w:hRule="atLeast"/>
        </w:trPr>
        <w:tc>
          <w:tcPr>
            <w:tcW w:w="1571"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sz w:val="24"/>
              </w:rPr>
            </w:pPr>
          </w:p>
        </w:tc>
        <w:tc>
          <w:tcPr>
            <w:tcW w:w="786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3、根据财政部、司法部《关于政府采购支持监狱企业发展有关问题》的通知(财库[2014]168号)监狱企业参加本项目投标时，应当提供由省级以上监狱管理局；戒毒管理局(新疆生产建设兵团)出具的属于监狱企业的证明文件。监狱企业视同小型、微型企业。</w:t>
            </w:r>
          </w:p>
        </w:tc>
      </w:tr>
      <w:tr>
        <w:tblPrEx>
          <w:tblCellMar>
            <w:top w:w="0" w:type="dxa"/>
            <w:left w:w="0" w:type="dxa"/>
            <w:bottom w:w="0" w:type="dxa"/>
            <w:right w:w="0" w:type="dxa"/>
          </w:tblCellMar>
        </w:tblPrEx>
        <w:trPr>
          <w:trHeight w:val="288" w:hRule="atLeast"/>
        </w:trPr>
        <w:tc>
          <w:tcPr>
            <w:tcW w:w="15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低于成本价不正当竞争预防措施</w:t>
            </w:r>
          </w:p>
          <w:p>
            <w:pPr>
              <w:spacing w:line="440" w:lineRule="exact"/>
              <w:jc w:val="left"/>
              <w:rPr>
                <w:rFonts w:ascii="仿宋" w:hAnsi="仿宋" w:eastAsia="仿宋" w:cs="仿宋"/>
                <w:sz w:val="24"/>
              </w:rPr>
            </w:pPr>
          </w:p>
        </w:tc>
        <w:tc>
          <w:tcPr>
            <w:tcW w:w="786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在评标过程中，评标委员会认为投标人报价明显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
              <w:rPr>
                <w:rFonts w:hint="default" w:eastAsia="仿宋"/>
                <w:lang w:val="en-US" w:eastAsia="zh-CN"/>
              </w:rPr>
            </w:pPr>
            <w:r>
              <w:rPr>
                <w:rFonts w:hint="eastAsia" w:ascii="仿宋" w:hAnsi="仿宋" w:eastAsia="仿宋" w:cs="仿宋"/>
                <w:sz w:val="24"/>
                <w:lang w:val="en-US" w:eastAsia="zh-CN"/>
              </w:rPr>
              <w:t>如大型企业中标，须将其中30%份额分包给小微企业。</w:t>
            </w:r>
          </w:p>
          <w:p>
            <w:pPr>
              <w:spacing w:line="440" w:lineRule="exact"/>
              <w:jc w:val="left"/>
              <w:rPr>
                <w:rFonts w:ascii="仿宋" w:hAnsi="仿宋" w:eastAsia="仿宋" w:cs="仿宋"/>
                <w:sz w:val="24"/>
              </w:rPr>
            </w:pPr>
            <w:r>
              <w:rPr>
                <w:rFonts w:hint="eastAsia" w:ascii="仿宋" w:hAnsi="仿宋" w:eastAsia="仿宋" w:cs="仿宋"/>
                <w:sz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440" w:lineRule="exact"/>
              <w:jc w:val="left"/>
              <w:rPr>
                <w:rFonts w:ascii="仿宋" w:hAnsi="仿宋" w:eastAsia="仿宋" w:cs="仿宋"/>
                <w:sz w:val="24"/>
              </w:rPr>
            </w:pPr>
            <w:r>
              <w:rPr>
                <w:rFonts w:hint="eastAsia" w:ascii="仿宋" w:hAnsi="仿宋" w:eastAsia="仿宋" w:cs="仿宋"/>
                <w:sz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bl>
    <w:p>
      <w:pPr>
        <w:pStyle w:val="2"/>
        <w:keepLines/>
        <w:numPr>
          <w:ilvl w:val="0"/>
          <w:numId w:val="5"/>
        </w:numPr>
        <w:tabs>
          <w:tab w:val="left" w:pos="425"/>
        </w:tabs>
        <w:spacing w:before="260" w:after="260" w:line="400" w:lineRule="exact"/>
        <w:rPr>
          <w:rFonts w:ascii="仿宋" w:hAnsi="仿宋" w:eastAsia="仿宋" w:cs="仿宋"/>
          <w:bCs w:val="0"/>
          <w:sz w:val="28"/>
        </w:rPr>
      </w:pPr>
      <w:r>
        <w:rPr>
          <w:rFonts w:hint="eastAsia" w:ascii="仿宋" w:hAnsi="仿宋" w:eastAsia="仿宋" w:cs="仿宋"/>
          <w:bCs w:val="0"/>
          <w:sz w:val="28"/>
        </w:rPr>
        <w:t xml:space="preserve"> 总体说明</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17"/>
        <w:widowControl/>
        <w:spacing w:line="360" w:lineRule="exact"/>
        <w:rPr>
          <w:rFonts w:hint="eastAsia" w:ascii="仿宋" w:hAnsi="仿宋" w:eastAsia="仿宋" w:cs="仿宋"/>
          <w:b/>
          <w:bCs/>
        </w:rPr>
      </w:pPr>
      <w:r>
        <w:rPr>
          <w:rFonts w:hint="eastAsia" w:ascii="仿宋" w:hAnsi="仿宋" w:eastAsia="仿宋" w:cs="仿宋"/>
          <w:b/>
          <w:bCs/>
        </w:rPr>
        <w:t>采购预算：</w:t>
      </w:r>
    </w:p>
    <w:p>
      <w:pPr>
        <w:pStyle w:val="17"/>
        <w:widowControl/>
        <w:spacing w:line="360" w:lineRule="exact"/>
        <w:rPr>
          <w:rFonts w:hint="eastAsia" w:ascii="仿宋" w:hAnsi="仿宋" w:eastAsia="仿宋" w:cs="仿宋"/>
          <w:b/>
          <w:bCs/>
        </w:rPr>
      </w:pPr>
      <w:r>
        <w:rPr>
          <w:rFonts w:hint="eastAsia" w:ascii="仿宋" w:hAnsi="仿宋" w:eastAsia="仿宋" w:cs="仿宋"/>
          <w:b/>
          <w:bCs/>
        </w:rPr>
        <w:t>标项一：490829.00元；标项二：351615.00元；标项三：214900.00元；标项四：237800.00元；标项五：133000.00元；标项六：169150.00元；标项七：377270.00元。</w:t>
      </w:r>
    </w:p>
    <w:p>
      <w:pPr>
        <w:numPr>
          <w:ilvl w:val="1"/>
          <w:numId w:val="5"/>
        </w:numPr>
        <w:tabs>
          <w:tab w:val="left" w:pos="525"/>
          <w:tab w:val="left" w:pos="630"/>
        </w:tabs>
        <w:spacing w:line="480" w:lineRule="auto"/>
        <w:outlineLvl w:val="3"/>
        <w:rPr>
          <w:rFonts w:ascii="仿宋" w:hAnsi="仿宋" w:eastAsia="仿宋" w:cs="仿宋"/>
          <w:sz w:val="24"/>
        </w:rPr>
      </w:pPr>
      <w:r>
        <w:rPr>
          <w:rFonts w:hint="eastAsia" w:ascii="仿宋" w:hAnsi="仿宋" w:eastAsia="仿宋" w:cs="仿宋"/>
          <w:b/>
          <w:bCs/>
          <w:sz w:val="24"/>
        </w:rPr>
        <w:t>适用范围</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依据《中华人民共和国政府采购法》、《中华人民共和国招标投标法》等有关法律法规制定本须知。</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采购人、招标代理机构、供应商及各方当事人适用本须知。</w:t>
      </w:r>
    </w:p>
    <w:p>
      <w:pPr>
        <w:numPr>
          <w:ilvl w:val="1"/>
          <w:numId w:val="5"/>
        </w:numPr>
        <w:tabs>
          <w:tab w:val="left" w:pos="525"/>
          <w:tab w:val="left" w:pos="630"/>
        </w:tabs>
        <w:spacing w:line="480" w:lineRule="auto"/>
        <w:outlineLvl w:val="3"/>
        <w:rPr>
          <w:rFonts w:ascii="仿宋" w:hAnsi="仿宋" w:eastAsia="仿宋" w:cs="仿宋"/>
          <w:b/>
          <w:bCs/>
          <w:sz w:val="24"/>
        </w:rPr>
      </w:pPr>
      <w:r>
        <w:rPr>
          <w:rFonts w:hint="eastAsia" w:ascii="仿宋" w:hAnsi="仿宋" w:eastAsia="仿宋" w:cs="仿宋"/>
          <w:b/>
          <w:bCs/>
          <w:sz w:val="24"/>
        </w:rPr>
        <w:t>关于投标项目</w:t>
      </w:r>
    </w:p>
    <w:p>
      <w:pPr>
        <w:rPr>
          <w:rFonts w:ascii="仿宋" w:hAnsi="仿宋" w:eastAsia="仿宋" w:cs="仿宋"/>
          <w:sz w:val="24"/>
        </w:rPr>
      </w:pPr>
      <w:r>
        <w:rPr>
          <w:rFonts w:hint="eastAsia" w:ascii="仿宋" w:hAnsi="仿宋" w:eastAsia="仿宋" w:cs="仿宋"/>
          <w:sz w:val="24"/>
        </w:rPr>
        <w:t>新疆维吾尔自治区疾病预防控制中心关于实验室试剂及耗材项目采购项目。投标人必须对项目标段内容进行整体投标，不允许仅对其中部分内容进行投标。</w:t>
      </w:r>
    </w:p>
    <w:p>
      <w:pPr>
        <w:numPr>
          <w:ilvl w:val="1"/>
          <w:numId w:val="5"/>
        </w:numPr>
        <w:tabs>
          <w:tab w:val="left" w:pos="525"/>
          <w:tab w:val="left" w:pos="630"/>
        </w:tabs>
        <w:spacing w:line="480" w:lineRule="auto"/>
        <w:outlineLvl w:val="3"/>
        <w:rPr>
          <w:rFonts w:ascii="仿宋" w:hAnsi="仿宋" w:eastAsia="仿宋" w:cs="仿宋"/>
          <w:b/>
          <w:bCs/>
          <w:sz w:val="24"/>
        </w:rPr>
      </w:pPr>
      <w:r>
        <w:rPr>
          <w:rFonts w:hint="eastAsia" w:ascii="仿宋" w:hAnsi="仿宋" w:eastAsia="仿宋" w:cs="仿宋"/>
          <w:b/>
          <w:bCs/>
          <w:sz w:val="24"/>
        </w:rPr>
        <w:t>关于定标方式</w:t>
      </w:r>
    </w:p>
    <w:p>
      <w:pPr>
        <w:spacing w:line="360" w:lineRule="auto"/>
        <w:ind w:firstLine="480" w:firstLineChars="200"/>
        <w:rPr>
          <w:rFonts w:ascii="仿宋" w:hAnsi="仿宋" w:eastAsia="仿宋" w:cs="仿宋"/>
        </w:rPr>
      </w:pPr>
      <w:r>
        <w:rPr>
          <w:rFonts w:hint="eastAsia" w:ascii="仿宋" w:hAnsi="仿宋" w:eastAsia="仿宋" w:cs="仿宋"/>
          <w:bCs/>
          <w:sz w:val="24"/>
        </w:rPr>
        <w:t>招标小组将根据需要决定对所有合格的招标供应商在规定时间内进行一次报价，最后报价将作为招标小组评比的最终依据；采购人拒绝接受有选择性报价的投标。</w:t>
      </w:r>
    </w:p>
    <w:p>
      <w:pPr>
        <w:numPr>
          <w:ilvl w:val="1"/>
          <w:numId w:val="5"/>
        </w:numPr>
        <w:tabs>
          <w:tab w:val="left" w:pos="525"/>
          <w:tab w:val="left" w:pos="630"/>
        </w:tabs>
        <w:spacing w:line="480" w:lineRule="auto"/>
        <w:outlineLvl w:val="3"/>
        <w:rPr>
          <w:rFonts w:ascii="仿宋" w:hAnsi="仿宋" w:eastAsia="仿宋" w:cs="仿宋"/>
          <w:b/>
          <w:bCs/>
          <w:sz w:val="24"/>
        </w:rPr>
      </w:pPr>
      <w:r>
        <w:rPr>
          <w:rFonts w:hint="eastAsia" w:ascii="仿宋" w:hAnsi="仿宋" w:eastAsia="仿宋" w:cs="仿宋"/>
          <w:b/>
          <w:bCs/>
          <w:sz w:val="24"/>
        </w:rPr>
        <w:t>定义</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采购人：是指</w:t>
      </w:r>
      <w:r>
        <w:rPr>
          <w:rFonts w:hint="eastAsia" w:ascii="仿宋" w:hAnsi="仿宋" w:eastAsia="仿宋" w:cs="仿宋"/>
          <w:b/>
          <w:bCs/>
          <w:sz w:val="24"/>
        </w:rPr>
        <w:t>新疆维吾尔自治区疾病预防控制中心</w:t>
      </w:r>
      <w:r>
        <w:rPr>
          <w:rFonts w:hint="eastAsia" w:ascii="仿宋" w:hAnsi="仿宋" w:eastAsia="仿宋" w:cs="仿宋"/>
          <w:sz w:val="24"/>
        </w:rPr>
        <w:t>。</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招标代理机构：是指</w:t>
      </w:r>
      <w:r>
        <w:rPr>
          <w:rFonts w:hint="eastAsia" w:ascii="仿宋" w:hAnsi="仿宋" w:eastAsia="仿宋" w:cs="仿宋"/>
          <w:b/>
          <w:bCs/>
          <w:sz w:val="24"/>
        </w:rPr>
        <w:t>新疆华域建设工程项目管理咨询有限公司</w:t>
      </w:r>
      <w:r>
        <w:rPr>
          <w:rFonts w:hint="eastAsia" w:ascii="仿宋" w:hAnsi="仿宋" w:eastAsia="仿宋" w:cs="仿宋"/>
          <w:sz w:val="24"/>
        </w:rPr>
        <w:t xml:space="preserve"> 。</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投标人：是指向招标代理机构提交投标文件的</w:t>
      </w:r>
      <w:r>
        <w:rPr>
          <w:rFonts w:hint="eastAsia" w:ascii="仿宋" w:hAnsi="仿宋" w:eastAsia="仿宋" w:cs="仿宋"/>
          <w:b/>
          <w:bCs/>
          <w:sz w:val="24"/>
        </w:rPr>
        <w:t>供应商(投标人一经报名应积极参加招标项目若不参加请于开标前三天向招标代理公司提交加盖单位公章弃标函若不提供该企业将被列入黑名单）</w:t>
      </w:r>
      <w:r>
        <w:rPr>
          <w:rFonts w:hint="eastAsia" w:ascii="仿宋" w:hAnsi="仿宋" w:eastAsia="仿宋" w:cs="仿宋"/>
          <w:sz w:val="24"/>
        </w:rPr>
        <w:t>。</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中标人：是指经合法招、投标程序评选出来的</w:t>
      </w:r>
      <w:r>
        <w:rPr>
          <w:rFonts w:hint="eastAsia" w:ascii="仿宋" w:hAnsi="仿宋" w:eastAsia="仿宋" w:cs="仿宋"/>
          <w:b/>
          <w:bCs/>
          <w:sz w:val="24"/>
        </w:rPr>
        <w:t>投标人</w:t>
      </w:r>
      <w:r>
        <w:rPr>
          <w:rFonts w:hint="eastAsia" w:ascii="仿宋" w:hAnsi="仿宋" w:eastAsia="仿宋" w:cs="仿宋"/>
          <w:sz w:val="24"/>
        </w:rPr>
        <w:t>。</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货物、设备（货物）：是指投标人按招标文件规定，须向采购人提供的设备（货物）、备件、工具、手册及其它技术资料和材料。</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服务：是指招标文件规定投标人须承担的有关服务。</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实质性响应：是指符合采购文件的要求、条款、条件和规定，且没有重大偏离或保留。</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重大偏离或保留：是指投标文件中影响到采购文件规定的货物和服务质量或限制了采购人的权利/投标人的义务的规定，而认可该等规定偏离将影响到其他投标人的公平竞争地位。</w:t>
      </w:r>
    </w:p>
    <w:p>
      <w:pPr>
        <w:numPr>
          <w:ilvl w:val="2"/>
          <w:numId w:val="5"/>
        </w:numPr>
        <w:tabs>
          <w:tab w:val="left" w:pos="735"/>
          <w:tab w:val="left" w:pos="840"/>
        </w:tabs>
        <w:spacing w:line="360" w:lineRule="auto"/>
        <w:ind w:left="735" w:hanging="735"/>
        <w:rPr>
          <w:rFonts w:ascii="仿宋" w:hAnsi="仿宋" w:eastAsia="仿宋" w:cs="仿宋"/>
          <w:sz w:val="24"/>
        </w:rPr>
      </w:pPr>
      <w:r>
        <w:rPr>
          <w:rFonts w:hint="eastAsia" w:ascii="仿宋" w:hAnsi="仿宋" w:eastAsia="仿宋" w:cs="仿宋"/>
          <w:sz w:val="24"/>
        </w:rPr>
        <w:t>合同履约期限：</w:t>
      </w:r>
      <w:r>
        <w:rPr>
          <w:rFonts w:hint="eastAsia" w:ascii="仿宋" w:hAnsi="仿宋" w:eastAsia="仿宋" w:cs="仿宋"/>
          <w:sz w:val="24"/>
          <w:lang w:val="en-US" w:eastAsia="zh-CN"/>
        </w:rPr>
        <w:t>采购人指定时间。</w:t>
      </w:r>
    </w:p>
    <w:p>
      <w:pPr>
        <w:numPr>
          <w:ilvl w:val="2"/>
          <w:numId w:val="5"/>
        </w:numPr>
        <w:tabs>
          <w:tab w:val="left" w:pos="735"/>
          <w:tab w:val="left" w:pos="840"/>
        </w:tabs>
        <w:spacing w:line="360" w:lineRule="auto"/>
        <w:ind w:left="735" w:hanging="735"/>
        <w:rPr>
          <w:rFonts w:ascii="仿宋" w:hAnsi="仿宋" w:eastAsia="仿宋" w:cs="仿宋"/>
          <w:sz w:val="24"/>
        </w:rPr>
      </w:pPr>
      <w:r>
        <w:rPr>
          <w:rFonts w:hint="eastAsia" w:ascii="仿宋" w:hAnsi="仿宋" w:eastAsia="仿宋" w:cs="仿宋"/>
          <w:sz w:val="24"/>
        </w:rPr>
        <w:t>日期、天数、时间：无特别说明时是指公历日及北京时间。</w:t>
      </w:r>
    </w:p>
    <w:p>
      <w:pPr>
        <w:numPr>
          <w:ilvl w:val="2"/>
          <w:numId w:val="5"/>
        </w:numPr>
        <w:tabs>
          <w:tab w:val="left" w:pos="735"/>
          <w:tab w:val="left" w:pos="840"/>
        </w:tabs>
        <w:spacing w:line="360" w:lineRule="auto"/>
        <w:ind w:left="840" w:hanging="840"/>
        <w:rPr>
          <w:rFonts w:ascii="仿宋" w:hAnsi="仿宋" w:eastAsia="仿宋" w:cs="仿宋"/>
          <w:sz w:val="24"/>
        </w:rPr>
      </w:pPr>
      <w:r>
        <w:rPr>
          <w:rFonts w:hint="eastAsia" w:ascii="仿宋" w:hAnsi="仿宋" w:eastAsia="仿宋" w:cs="仿宋"/>
          <w:sz w:val="24"/>
        </w:rPr>
        <w:t>招标文件中的标题或题名仅起引导作用，而不应该作为对招标文件内容的理解或解释。</w:t>
      </w:r>
    </w:p>
    <w:p>
      <w:pPr>
        <w:numPr>
          <w:ilvl w:val="1"/>
          <w:numId w:val="5"/>
        </w:numPr>
        <w:tabs>
          <w:tab w:val="left" w:pos="525"/>
          <w:tab w:val="left" w:pos="630"/>
        </w:tabs>
        <w:spacing w:line="480" w:lineRule="auto"/>
        <w:outlineLvl w:val="3"/>
        <w:rPr>
          <w:rFonts w:ascii="仿宋" w:hAnsi="仿宋" w:eastAsia="仿宋" w:cs="仿宋"/>
          <w:b/>
          <w:sz w:val="24"/>
        </w:rPr>
      </w:pPr>
      <w:bookmarkStart w:id="20" w:name="_Toc264616629"/>
      <w:r>
        <w:rPr>
          <w:rFonts w:hint="eastAsia" w:ascii="仿宋" w:hAnsi="仿宋" w:eastAsia="仿宋" w:cs="仿宋"/>
          <w:b/>
          <w:sz w:val="24"/>
        </w:rPr>
        <w:t>应遵循的原则</w:t>
      </w:r>
      <w:bookmarkEnd w:id="20"/>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遵循公开、公平、公正和诚实信用原则。</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坚持价格合理、质量优先、服务优质原则。</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利用法律手段强化竞争机制，贯彻统一、规范、简化、高效的要求。</w:t>
      </w:r>
    </w:p>
    <w:p>
      <w:pPr>
        <w:numPr>
          <w:ilvl w:val="2"/>
          <w:numId w:val="5"/>
        </w:numPr>
        <w:tabs>
          <w:tab w:val="left" w:pos="735"/>
          <w:tab w:val="left" w:pos="1254"/>
        </w:tabs>
        <w:spacing w:line="360" w:lineRule="auto"/>
        <w:ind w:left="735" w:hanging="735"/>
        <w:rPr>
          <w:rFonts w:hint="eastAsia" w:ascii="仿宋" w:hAnsi="仿宋" w:eastAsia="仿宋" w:cs="仿宋"/>
          <w:sz w:val="24"/>
        </w:rPr>
      </w:pPr>
      <w:r>
        <w:rPr>
          <w:rFonts w:hint="eastAsia" w:ascii="仿宋" w:hAnsi="仿宋" w:eastAsia="仿宋" w:cs="仿宋"/>
          <w:sz w:val="24"/>
        </w:rPr>
        <w:t>投标文件递交地点、开标地点：乌鲁木齐市沙依巴克区克拉玛依西街1100号北晟广场</w:t>
      </w:r>
      <w:r>
        <w:rPr>
          <w:rFonts w:hint="eastAsia" w:ascii="仿宋" w:hAnsi="仿宋" w:eastAsia="仿宋" w:cs="仿宋"/>
          <w:sz w:val="24"/>
          <w:lang w:val="en-US" w:eastAsia="zh-CN"/>
        </w:rPr>
        <w:t>公寓楼</w:t>
      </w:r>
      <w:r>
        <w:rPr>
          <w:rFonts w:hint="eastAsia" w:ascii="仿宋" w:hAnsi="仿宋" w:eastAsia="仿宋" w:cs="仿宋"/>
          <w:sz w:val="24"/>
        </w:rPr>
        <w:t>22层开标室</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合同的签订：《中标通知书》发出之日起次日与招标人签订合同。</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除非另有说明，本招标文件中所示的时间均指北京时间。以上工作时间计划如有变更，以招标代理机构另行书面通知为准。</w:t>
      </w:r>
    </w:p>
    <w:p>
      <w:pPr>
        <w:numPr>
          <w:ilvl w:val="1"/>
          <w:numId w:val="5"/>
        </w:numPr>
        <w:tabs>
          <w:tab w:val="left" w:pos="525"/>
          <w:tab w:val="left" w:pos="630"/>
        </w:tabs>
        <w:spacing w:line="480" w:lineRule="auto"/>
        <w:outlineLvl w:val="3"/>
        <w:rPr>
          <w:rFonts w:ascii="仿宋" w:hAnsi="仿宋" w:eastAsia="仿宋" w:cs="仿宋"/>
          <w:b/>
          <w:sz w:val="24"/>
        </w:rPr>
      </w:pPr>
      <w:bookmarkStart w:id="21" w:name="_Toc264616632"/>
      <w:r>
        <w:rPr>
          <w:rFonts w:hint="eastAsia" w:ascii="仿宋" w:hAnsi="仿宋" w:eastAsia="仿宋" w:cs="仿宋"/>
          <w:b/>
          <w:sz w:val="24"/>
        </w:rPr>
        <w:t>合格的货物和服务</w:t>
      </w:r>
      <w:bookmarkEnd w:id="21"/>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投标人提供的所有货物及服务，其来源地均应为中华人民共和国或与中华人民共和国有官方贸易关系的国家或地区。</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投标人提供的所有货物和服务，其质量、技术等特征必须符合国家、行业现行的标准及采购人需求。</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采购人将拒绝接受不合格的货物和服务，由此产生的费用及相关后果均由投标人自行承担。</w:t>
      </w:r>
    </w:p>
    <w:p>
      <w:pPr>
        <w:numPr>
          <w:ilvl w:val="2"/>
          <w:numId w:val="5"/>
        </w:numPr>
        <w:tabs>
          <w:tab w:val="left" w:pos="735"/>
          <w:tab w:val="left" w:pos="1254"/>
        </w:tabs>
        <w:spacing w:line="360" w:lineRule="auto"/>
        <w:ind w:left="735" w:hanging="735"/>
        <w:rPr>
          <w:rFonts w:ascii="仿宋" w:hAnsi="仿宋" w:eastAsia="仿宋" w:cs="仿宋"/>
          <w:b/>
          <w:sz w:val="24"/>
        </w:rPr>
      </w:pPr>
      <w:r>
        <w:rPr>
          <w:rFonts w:hint="eastAsia" w:ascii="仿宋" w:hAnsi="仿宋" w:eastAsia="仿宋" w:cs="仿宋"/>
          <w:sz w:val="24"/>
        </w:rPr>
        <w:t>投标人应保证本项目下提供的服务或其任何一部分不会因第三方依法享有的专利权、商标权或其他知识产权而产生法律纠纷；如果投标人不拥有相应的知识产权，则须在报价中包括合法获取该知识产权的相关费用，并在投标文件中附有相关证明文件；</w:t>
      </w:r>
      <w:r>
        <w:rPr>
          <w:rFonts w:hint="eastAsia" w:ascii="仿宋" w:hAnsi="仿宋" w:eastAsia="仿宋" w:cs="仿宋"/>
          <w:b/>
          <w:sz w:val="24"/>
        </w:rPr>
        <w:t>如因第三方提出其专利权、商标权或其他知识产权的侵权之诉，则一切法律责任由投标人承担。</w:t>
      </w:r>
    </w:p>
    <w:p>
      <w:pPr>
        <w:numPr>
          <w:ilvl w:val="1"/>
          <w:numId w:val="5"/>
        </w:numPr>
        <w:tabs>
          <w:tab w:val="left" w:pos="525"/>
          <w:tab w:val="left" w:pos="630"/>
        </w:tabs>
        <w:spacing w:line="480" w:lineRule="auto"/>
        <w:outlineLvl w:val="3"/>
        <w:rPr>
          <w:rFonts w:ascii="仿宋" w:hAnsi="仿宋" w:eastAsia="仿宋" w:cs="仿宋"/>
          <w:b/>
          <w:sz w:val="24"/>
        </w:rPr>
      </w:pPr>
      <w:bookmarkStart w:id="22" w:name="_Toc264616633"/>
      <w:r>
        <w:rPr>
          <w:rFonts w:hint="eastAsia" w:ascii="仿宋" w:hAnsi="仿宋" w:eastAsia="仿宋" w:cs="仿宋"/>
          <w:b/>
          <w:sz w:val="24"/>
        </w:rPr>
        <w:t>保密</w:t>
      </w:r>
      <w:bookmarkEnd w:id="22"/>
    </w:p>
    <w:p>
      <w:pPr>
        <w:pStyle w:val="13"/>
        <w:tabs>
          <w:tab w:val="left" w:pos="978"/>
        </w:tabs>
        <w:spacing w:after="60" w:afterLines="25"/>
        <w:ind w:left="2" w:leftChars="1" w:firstLine="480" w:firstLineChars="200"/>
        <w:rPr>
          <w:rFonts w:ascii="仿宋" w:hAnsi="仿宋" w:eastAsia="仿宋" w:cs="仿宋"/>
        </w:rPr>
      </w:pPr>
      <w:r>
        <w:rPr>
          <w:rFonts w:hint="eastAsia" w:ascii="仿宋" w:hAnsi="仿宋" w:eastAsia="仿宋" w:cs="仿宋"/>
        </w:rPr>
        <w:t>招投标双方应分别为对方在投标文件和招标文件中涉及的商业和技术等秘密保密，违者应对由此造成的后果承担责任。投标方不得将参加此次投标活动的事实进行商业性宣传。</w:t>
      </w:r>
    </w:p>
    <w:p>
      <w:pPr>
        <w:numPr>
          <w:ilvl w:val="1"/>
          <w:numId w:val="5"/>
        </w:numPr>
        <w:tabs>
          <w:tab w:val="left" w:pos="525"/>
          <w:tab w:val="left" w:pos="630"/>
        </w:tabs>
        <w:spacing w:line="480" w:lineRule="auto"/>
        <w:outlineLvl w:val="3"/>
        <w:rPr>
          <w:rFonts w:ascii="仿宋" w:hAnsi="仿宋" w:eastAsia="仿宋" w:cs="仿宋"/>
          <w:b/>
          <w:sz w:val="24"/>
        </w:rPr>
      </w:pPr>
      <w:bookmarkStart w:id="23" w:name="_Toc264616636"/>
      <w:r>
        <w:rPr>
          <w:rFonts w:hint="eastAsia" w:ascii="仿宋" w:hAnsi="仿宋" w:eastAsia="仿宋" w:cs="仿宋"/>
          <w:b/>
          <w:sz w:val="24"/>
        </w:rPr>
        <w:t>质疑与受理</w:t>
      </w:r>
      <w:bookmarkEnd w:id="23"/>
    </w:p>
    <w:p>
      <w:pPr>
        <w:numPr>
          <w:ilvl w:val="2"/>
          <w:numId w:val="5"/>
        </w:numPr>
        <w:tabs>
          <w:tab w:val="left" w:pos="735"/>
          <w:tab w:val="left" w:pos="840"/>
        </w:tabs>
        <w:spacing w:line="360" w:lineRule="auto"/>
        <w:ind w:left="840" w:hanging="840"/>
        <w:rPr>
          <w:rFonts w:ascii="仿宋" w:hAnsi="仿宋" w:eastAsia="仿宋" w:cs="仿宋"/>
          <w:sz w:val="24"/>
        </w:rPr>
      </w:pPr>
      <w:r>
        <w:rPr>
          <w:rFonts w:hint="eastAsia" w:ascii="仿宋" w:hAnsi="仿宋" w:eastAsia="仿宋" w:cs="仿宋"/>
          <w:sz w:val="24"/>
        </w:rPr>
        <w:t>投标人有质疑时，应当以书面形式（加盖投标人公章）在质疑有效期限内向招标代理机构提交质疑书原件，逾期质疑无效。投标人以电话、传真或电邮形式提交的质疑书属于无效质疑。</w:t>
      </w:r>
    </w:p>
    <w:p>
      <w:pPr>
        <w:numPr>
          <w:ilvl w:val="2"/>
          <w:numId w:val="5"/>
        </w:numPr>
        <w:tabs>
          <w:tab w:val="left" w:pos="735"/>
          <w:tab w:val="left" w:pos="840"/>
        </w:tabs>
        <w:spacing w:line="360" w:lineRule="auto"/>
        <w:ind w:left="840" w:hanging="840"/>
        <w:rPr>
          <w:rFonts w:ascii="仿宋" w:hAnsi="仿宋" w:eastAsia="仿宋" w:cs="仿宋"/>
          <w:sz w:val="24"/>
        </w:rPr>
      </w:pPr>
      <w:r>
        <w:rPr>
          <w:rFonts w:hint="eastAsia" w:ascii="仿宋" w:hAnsi="仿宋" w:eastAsia="仿宋" w:cs="仿宋"/>
          <w:sz w:val="24"/>
        </w:rPr>
        <w:t>质疑内容不得含有虚假、恶意成分。依据谁主张谁举证的原则，质疑者提供的质疑书应当包括下列主要内容：具体的质疑事项、事实依据及相关确凿的证明材料和注明事实的确切来源、投标人名称、联系人与联系电话、质疑时间，质疑书应当署名并由法定代表人签字盖章并加盖公章。招标代理机构受理书面质疑书原件之日起，在规定的期限内做出答复。对于捏造事实、滥用维权扰乱采购秩序的恶意质疑者或举证不全查无实据被驳回次数在一年内达三次以上，将纳入不良行为记录名单并承担相应的法律责任。</w:t>
      </w:r>
    </w:p>
    <w:p>
      <w:pPr>
        <w:numPr>
          <w:ilvl w:val="2"/>
          <w:numId w:val="5"/>
        </w:numPr>
        <w:tabs>
          <w:tab w:val="left" w:pos="735"/>
          <w:tab w:val="left" w:pos="840"/>
        </w:tabs>
        <w:spacing w:line="360" w:lineRule="auto"/>
        <w:ind w:left="840" w:hanging="840"/>
        <w:rPr>
          <w:rFonts w:ascii="仿宋" w:hAnsi="仿宋" w:eastAsia="仿宋" w:cs="仿宋"/>
          <w:sz w:val="24"/>
        </w:rPr>
      </w:pPr>
      <w:r>
        <w:rPr>
          <w:rFonts w:hint="eastAsia" w:ascii="仿宋" w:hAnsi="仿宋" w:eastAsia="仿宋" w:cs="仿宋"/>
          <w:sz w:val="24"/>
        </w:rPr>
        <w:t>招标代理机构在收到投标人的有效书面质疑后三个工作日内作出答复，但答复的内容不涉及商业秘密，质疑投标人对采购人、招标代理机构的质疑答复不满意，或采购人、招标代理机构未在规定期限内作出答复的，可以在答复期满后15个工作日内向同级政府采购监督管理部门提出投诉。</w:t>
      </w:r>
    </w:p>
    <w:p>
      <w:pPr>
        <w:numPr>
          <w:ilvl w:val="1"/>
          <w:numId w:val="5"/>
        </w:numPr>
        <w:tabs>
          <w:tab w:val="left" w:pos="525"/>
          <w:tab w:val="left" w:pos="630"/>
        </w:tabs>
        <w:spacing w:line="480" w:lineRule="auto"/>
        <w:outlineLvl w:val="3"/>
        <w:rPr>
          <w:rFonts w:ascii="仿宋" w:hAnsi="仿宋" w:eastAsia="仿宋" w:cs="仿宋"/>
          <w:b/>
          <w:sz w:val="24"/>
        </w:rPr>
      </w:pPr>
      <w:bookmarkStart w:id="24" w:name="_Toc264616637"/>
      <w:r>
        <w:rPr>
          <w:rFonts w:hint="eastAsia" w:ascii="仿宋" w:hAnsi="仿宋" w:eastAsia="仿宋" w:cs="仿宋"/>
          <w:b/>
          <w:sz w:val="24"/>
        </w:rPr>
        <w:t>不得参与同一采购项目竞争的</w:t>
      </w:r>
      <w:bookmarkEnd w:id="24"/>
      <w:r>
        <w:rPr>
          <w:rFonts w:hint="eastAsia" w:ascii="仿宋" w:hAnsi="仿宋" w:eastAsia="仿宋" w:cs="仿宋"/>
          <w:b/>
          <w:sz w:val="24"/>
        </w:rPr>
        <w:t>投标人</w:t>
      </w:r>
    </w:p>
    <w:p>
      <w:pPr>
        <w:adjustRightInd w:val="0"/>
        <w:snapToGrid w:val="0"/>
        <w:spacing w:line="360" w:lineRule="auto"/>
        <w:ind w:left="420" w:leftChars="200"/>
        <w:rPr>
          <w:rFonts w:ascii="仿宋" w:hAnsi="仿宋" w:eastAsia="仿宋" w:cs="仿宋"/>
          <w:sz w:val="24"/>
        </w:rPr>
      </w:pPr>
      <w:r>
        <w:rPr>
          <w:rFonts w:hint="eastAsia" w:ascii="仿宋" w:hAnsi="仿宋" w:eastAsia="仿宋" w:cs="仿宋"/>
          <w:sz w:val="24"/>
        </w:rPr>
        <w:t>不同的投标人之间有下列情形之一的，不接受作为参与不同竞争的投标人：</w:t>
      </w:r>
    </w:p>
    <w:p>
      <w:pPr>
        <w:numPr>
          <w:ilvl w:val="2"/>
          <w:numId w:val="5"/>
        </w:numPr>
        <w:tabs>
          <w:tab w:val="left" w:pos="735"/>
          <w:tab w:val="left" w:pos="840"/>
        </w:tabs>
        <w:spacing w:line="360" w:lineRule="auto"/>
        <w:ind w:left="840" w:hanging="840"/>
        <w:rPr>
          <w:rFonts w:ascii="仿宋" w:hAnsi="仿宋" w:eastAsia="仿宋" w:cs="仿宋"/>
          <w:sz w:val="24"/>
        </w:rPr>
      </w:pPr>
      <w:r>
        <w:rPr>
          <w:rFonts w:hint="eastAsia" w:ascii="仿宋" w:hAnsi="仿宋" w:eastAsia="仿宋" w:cs="仿宋"/>
          <w:sz w:val="24"/>
        </w:rPr>
        <w:t>彼此存在投资与被投资关系的；</w:t>
      </w:r>
    </w:p>
    <w:p>
      <w:pPr>
        <w:numPr>
          <w:ilvl w:val="2"/>
          <w:numId w:val="5"/>
        </w:numPr>
        <w:tabs>
          <w:tab w:val="left" w:pos="735"/>
          <w:tab w:val="left" w:pos="840"/>
        </w:tabs>
        <w:spacing w:line="360" w:lineRule="auto"/>
        <w:ind w:left="840" w:hanging="840"/>
        <w:rPr>
          <w:rFonts w:ascii="仿宋" w:hAnsi="仿宋" w:eastAsia="仿宋" w:cs="仿宋"/>
          <w:sz w:val="24"/>
        </w:rPr>
      </w:pPr>
      <w:r>
        <w:rPr>
          <w:rFonts w:hint="eastAsia" w:ascii="仿宋" w:hAnsi="仿宋" w:eastAsia="仿宋" w:cs="仿宋"/>
          <w:sz w:val="24"/>
        </w:rPr>
        <w:t>彼此的经营者、董事会（或同类管理机构）成员属于直系亲属或配偶关系的。</w:t>
      </w:r>
    </w:p>
    <w:p>
      <w:pPr>
        <w:numPr>
          <w:ilvl w:val="1"/>
          <w:numId w:val="5"/>
        </w:numPr>
        <w:tabs>
          <w:tab w:val="left" w:pos="525"/>
          <w:tab w:val="left" w:pos="630"/>
        </w:tabs>
        <w:spacing w:line="480" w:lineRule="auto"/>
        <w:outlineLvl w:val="3"/>
        <w:rPr>
          <w:rFonts w:ascii="仿宋" w:hAnsi="仿宋" w:eastAsia="仿宋" w:cs="仿宋"/>
          <w:b/>
          <w:sz w:val="24"/>
        </w:rPr>
      </w:pPr>
      <w:bookmarkStart w:id="25" w:name="_Toc264616638"/>
      <w:r>
        <w:rPr>
          <w:rFonts w:hint="eastAsia" w:ascii="仿宋" w:hAnsi="仿宋" w:eastAsia="仿宋" w:cs="仿宋"/>
          <w:b/>
          <w:sz w:val="24"/>
        </w:rPr>
        <w:t>通知</w:t>
      </w:r>
      <w:bookmarkEnd w:id="25"/>
    </w:p>
    <w:p>
      <w:pPr>
        <w:tabs>
          <w:tab w:val="left" w:pos="90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对与本项目有关的通知，招标代理机构将以书面（包括书面材料、信函、传真、电报等，下同）或在本次招标公告刊登的媒体上以发布公告的形式，送达所有与通知有关的已领取了招标文件的投标人，邮箱及电话号码以投标人的登记为准。投标人应于收到通知的当日以书面方式予以回复确认。因投标人登记的电话及邮箱号码有误、电话及邮箱线路故障或其它任何意外情形，导致所发出的通知延迟送达或无法送达投标人，招标代理机构不承担责任。</w:t>
      </w:r>
    </w:p>
    <w:p>
      <w:pPr>
        <w:numPr>
          <w:ilvl w:val="1"/>
          <w:numId w:val="5"/>
        </w:numPr>
        <w:tabs>
          <w:tab w:val="left" w:pos="525"/>
          <w:tab w:val="left" w:pos="630"/>
        </w:tabs>
        <w:spacing w:line="480" w:lineRule="auto"/>
        <w:outlineLvl w:val="3"/>
        <w:rPr>
          <w:rFonts w:ascii="仿宋" w:hAnsi="仿宋" w:eastAsia="仿宋" w:cs="仿宋"/>
          <w:b/>
          <w:sz w:val="24"/>
        </w:rPr>
      </w:pPr>
      <w:bookmarkStart w:id="26" w:name="_Toc264616639"/>
      <w:r>
        <w:rPr>
          <w:rFonts w:hint="eastAsia" w:ascii="仿宋" w:hAnsi="仿宋" w:eastAsia="仿宋" w:cs="仿宋"/>
          <w:b/>
          <w:sz w:val="24"/>
        </w:rPr>
        <w:t>招标文件的解释权</w:t>
      </w:r>
      <w:bookmarkEnd w:id="26"/>
    </w:p>
    <w:p>
      <w:pPr>
        <w:tabs>
          <w:tab w:val="left" w:pos="840"/>
        </w:tabs>
        <w:spacing w:line="360" w:lineRule="auto"/>
        <w:ind w:firstLine="480" w:firstLineChars="200"/>
        <w:rPr>
          <w:rFonts w:ascii="仿宋" w:hAnsi="仿宋" w:eastAsia="仿宋" w:cs="仿宋"/>
          <w:sz w:val="24"/>
        </w:rPr>
      </w:pPr>
      <w:r>
        <w:rPr>
          <w:rFonts w:hint="eastAsia" w:ascii="仿宋" w:hAnsi="仿宋" w:eastAsia="仿宋" w:cs="仿宋"/>
          <w:sz w:val="24"/>
        </w:rPr>
        <w:t>本招标文件的解释权归“新疆华域建设工程项目管理咨询有限公司或招标人 ”所有。</w:t>
      </w:r>
    </w:p>
    <w:p>
      <w:pPr>
        <w:pStyle w:val="2"/>
        <w:keepLines/>
        <w:numPr>
          <w:ilvl w:val="0"/>
          <w:numId w:val="5"/>
        </w:numPr>
        <w:spacing w:before="260" w:after="260" w:line="400" w:lineRule="exact"/>
        <w:rPr>
          <w:rFonts w:ascii="仿宋" w:hAnsi="仿宋" w:eastAsia="仿宋" w:cs="仿宋"/>
        </w:rPr>
      </w:pPr>
      <w:bookmarkStart w:id="27" w:name="_Toc130695593"/>
      <w:bookmarkStart w:id="28" w:name="_Toc226966681"/>
      <w:bookmarkStart w:id="29" w:name="_Toc279046866"/>
      <w:bookmarkStart w:id="30" w:name="_Toc49082410"/>
      <w:bookmarkStart w:id="31" w:name="_Toc243743354"/>
      <w:bookmarkStart w:id="32" w:name="_Toc153615290"/>
      <w:bookmarkStart w:id="33" w:name="_Toc191353015"/>
      <w:bookmarkStart w:id="34" w:name="_Toc130697185"/>
      <w:bookmarkStart w:id="35" w:name="_Toc271105677"/>
      <w:bookmarkStart w:id="36" w:name="_Toc245203881"/>
      <w:bookmarkStart w:id="37" w:name="_Toc209258273"/>
      <w:bookmarkStart w:id="38" w:name="_Toc185747579"/>
      <w:bookmarkStart w:id="39" w:name="_Toc12078"/>
      <w:bookmarkStart w:id="40" w:name="_Toc49135196"/>
      <w:bookmarkStart w:id="41" w:name="_Toc226521693"/>
      <w:bookmarkStart w:id="42" w:name="_Toc243923368"/>
      <w:bookmarkStart w:id="43" w:name="_Toc278958159"/>
      <w:bookmarkStart w:id="44" w:name="_Toc272350607"/>
      <w:bookmarkStart w:id="45" w:name="_Toc277758486"/>
      <w:r>
        <w:rPr>
          <w:rFonts w:hint="eastAsia" w:ascii="仿宋" w:hAnsi="仿宋" w:eastAsia="仿宋" w:cs="仿宋"/>
        </w:rPr>
        <w:t>招标文件</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numPr>
          <w:ilvl w:val="1"/>
          <w:numId w:val="5"/>
        </w:numPr>
        <w:tabs>
          <w:tab w:val="left" w:pos="420"/>
          <w:tab w:val="left" w:pos="525"/>
          <w:tab w:val="clear" w:pos="567"/>
        </w:tabs>
        <w:spacing w:line="480" w:lineRule="auto"/>
        <w:ind w:left="420" w:hanging="420"/>
        <w:outlineLvl w:val="3"/>
        <w:rPr>
          <w:rFonts w:ascii="仿宋" w:hAnsi="仿宋" w:eastAsia="仿宋" w:cs="仿宋"/>
          <w:b/>
          <w:bCs/>
          <w:sz w:val="24"/>
        </w:rPr>
      </w:pPr>
      <w:r>
        <w:rPr>
          <w:rFonts w:hint="eastAsia" w:ascii="仿宋" w:hAnsi="仿宋" w:eastAsia="仿宋" w:cs="仿宋"/>
          <w:b/>
          <w:bCs/>
          <w:sz w:val="24"/>
        </w:rPr>
        <w:t>招标文件的组成</w:t>
      </w:r>
    </w:p>
    <w:p>
      <w:pPr>
        <w:spacing w:line="360" w:lineRule="auto"/>
        <w:ind w:firstLine="240"/>
        <w:rPr>
          <w:rFonts w:ascii="仿宋" w:hAnsi="仿宋" w:eastAsia="仿宋" w:cs="仿宋"/>
          <w:sz w:val="24"/>
        </w:rPr>
      </w:pPr>
      <w:r>
        <w:rPr>
          <w:rFonts w:hint="eastAsia" w:ascii="仿宋" w:hAnsi="仿宋" w:eastAsia="仿宋" w:cs="仿宋"/>
          <w:sz w:val="24"/>
        </w:rPr>
        <w:t>（1）公告</w:t>
      </w:r>
    </w:p>
    <w:p>
      <w:pPr>
        <w:spacing w:line="360" w:lineRule="auto"/>
        <w:ind w:firstLine="240"/>
        <w:rPr>
          <w:rFonts w:ascii="仿宋" w:hAnsi="仿宋" w:eastAsia="仿宋" w:cs="仿宋"/>
          <w:sz w:val="24"/>
        </w:rPr>
      </w:pPr>
      <w:r>
        <w:rPr>
          <w:rFonts w:hint="eastAsia" w:ascii="仿宋" w:hAnsi="仿宋" w:eastAsia="仿宋" w:cs="仿宋"/>
          <w:sz w:val="24"/>
        </w:rPr>
        <w:t>（2）投标人须知</w:t>
      </w:r>
    </w:p>
    <w:p>
      <w:pPr>
        <w:spacing w:line="360" w:lineRule="auto"/>
        <w:ind w:firstLine="240"/>
        <w:rPr>
          <w:rFonts w:ascii="仿宋" w:hAnsi="仿宋" w:eastAsia="仿宋" w:cs="仿宋"/>
          <w:sz w:val="24"/>
        </w:rPr>
      </w:pPr>
      <w:r>
        <w:rPr>
          <w:rFonts w:hint="eastAsia" w:ascii="仿宋" w:hAnsi="仿宋" w:eastAsia="仿宋" w:cs="仿宋"/>
          <w:sz w:val="24"/>
        </w:rPr>
        <w:t>（3）采购人需求</w:t>
      </w:r>
    </w:p>
    <w:p>
      <w:pPr>
        <w:spacing w:line="360" w:lineRule="auto"/>
        <w:ind w:firstLine="240"/>
        <w:rPr>
          <w:rFonts w:ascii="仿宋" w:hAnsi="仿宋" w:eastAsia="仿宋" w:cs="仿宋"/>
          <w:sz w:val="24"/>
        </w:rPr>
      </w:pPr>
      <w:r>
        <w:rPr>
          <w:rFonts w:hint="eastAsia" w:ascii="仿宋" w:hAnsi="仿宋" w:eastAsia="仿宋" w:cs="仿宋"/>
          <w:sz w:val="24"/>
        </w:rPr>
        <w:t>（4）政府采购合同</w:t>
      </w:r>
    </w:p>
    <w:p>
      <w:pPr>
        <w:spacing w:line="360" w:lineRule="auto"/>
        <w:ind w:firstLine="240"/>
        <w:rPr>
          <w:rFonts w:ascii="仿宋" w:hAnsi="仿宋" w:eastAsia="仿宋" w:cs="仿宋"/>
          <w:sz w:val="24"/>
        </w:rPr>
      </w:pPr>
      <w:r>
        <w:rPr>
          <w:rFonts w:hint="eastAsia" w:ascii="仿宋" w:hAnsi="仿宋" w:eastAsia="仿宋" w:cs="仿宋"/>
          <w:sz w:val="24"/>
        </w:rPr>
        <w:t>（5）投标文件格式</w:t>
      </w:r>
    </w:p>
    <w:p>
      <w:pPr>
        <w:spacing w:line="360" w:lineRule="auto"/>
        <w:ind w:firstLine="240"/>
        <w:rPr>
          <w:rFonts w:ascii="仿宋" w:hAnsi="仿宋" w:eastAsia="仿宋" w:cs="仿宋"/>
          <w:sz w:val="24"/>
        </w:rPr>
      </w:pPr>
      <w:r>
        <w:rPr>
          <w:rFonts w:hint="eastAsia" w:ascii="仿宋" w:hAnsi="仿宋" w:eastAsia="仿宋" w:cs="仿宋"/>
          <w:sz w:val="24"/>
        </w:rPr>
        <w:t>（6）附件：评标文件</w:t>
      </w:r>
    </w:p>
    <w:p>
      <w:pPr>
        <w:spacing w:line="360" w:lineRule="auto"/>
        <w:ind w:firstLine="240"/>
        <w:rPr>
          <w:rFonts w:ascii="仿宋" w:hAnsi="仿宋" w:eastAsia="仿宋" w:cs="仿宋"/>
          <w:sz w:val="24"/>
        </w:rPr>
      </w:pPr>
      <w:r>
        <w:rPr>
          <w:rFonts w:hint="eastAsia" w:ascii="仿宋" w:hAnsi="仿宋" w:eastAsia="仿宋" w:cs="仿宋"/>
          <w:sz w:val="24"/>
        </w:rPr>
        <w:t>（7）根据招标文件规定发出的澄清、修改及补充文件（如有）；</w:t>
      </w:r>
    </w:p>
    <w:p>
      <w:pPr>
        <w:numPr>
          <w:ilvl w:val="1"/>
          <w:numId w:val="5"/>
        </w:numPr>
        <w:tabs>
          <w:tab w:val="left" w:pos="420"/>
          <w:tab w:val="left" w:pos="525"/>
          <w:tab w:val="clear" w:pos="567"/>
        </w:tabs>
        <w:spacing w:line="480" w:lineRule="auto"/>
        <w:ind w:left="420" w:hanging="420"/>
        <w:outlineLvl w:val="3"/>
        <w:rPr>
          <w:rFonts w:ascii="仿宋" w:hAnsi="仿宋" w:eastAsia="仿宋" w:cs="仿宋"/>
          <w:b/>
          <w:bCs/>
          <w:sz w:val="24"/>
        </w:rPr>
      </w:pPr>
      <w:r>
        <w:rPr>
          <w:rFonts w:hint="eastAsia" w:ascii="仿宋" w:hAnsi="仿宋" w:eastAsia="仿宋" w:cs="仿宋"/>
          <w:b/>
          <w:bCs/>
          <w:sz w:val="24"/>
        </w:rPr>
        <w:t>招标文件的澄清</w:t>
      </w:r>
    </w:p>
    <w:p>
      <w:pPr>
        <w:spacing w:line="360" w:lineRule="auto"/>
        <w:ind w:left="154" w:firstLine="444" w:firstLineChars="185"/>
        <w:rPr>
          <w:rFonts w:ascii="仿宋" w:hAnsi="仿宋" w:eastAsia="仿宋" w:cs="仿宋"/>
          <w:sz w:val="24"/>
        </w:rPr>
      </w:pPr>
      <w:r>
        <w:rPr>
          <w:rFonts w:hint="eastAsia" w:ascii="仿宋" w:hAnsi="仿宋" w:eastAsia="仿宋" w:cs="仿宋"/>
          <w:bCs/>
          <w:sz w:val="24"/>
        </w:rPr>
        <w:t>投标人如对招标文件有任何疑问，均应以书面形式在投标截止前5日（包括书面文字、电传、传真、电报等，应加盖公章）向招标代理机构提出澄清要求，</w:t>
      </w:r>
      <w:r>
        <w:rPr>
          <w:rFonts w:hint="eastAsia" w:ascii="仿宋" w:hAnsi="仿宋" w:eastAsia="仿宋" w:cs="仿宋"/>
          <w:sz w:val="24"/>
        </w:rPr>
        <w:t>招标代理机构将用信函、传真、E-Mail等形式做出答复，招标代理机构认为有必要（对响应招标文件有影响时）可将答复内容分发给所有取得同一招标文件的投标人。</w:t>
      </w:r>
    </w:p>
    <w:p>
      <w:pPr>
        <w:numPr>
          <w:ilvl w:val="1"/>
          <w:numId w:val="5"/>
        </w:numPr>
        <w:tabs>
          <w:tab w:val="left" w:pos="420"/>
          <w:tab w:val="left" w:pos="525"/>
          <w:tab w:val="clear" w:pos="567"/>
        </w:tabs>
        <w:spacing w:line="480" w:lineRule="auto"/>
        <w:ind w:left="420" w:hanging="420"/>
        <w:outlineLvl w:val="3"/>
        <w:rPr>
          <w:rFonts w:ascii="仿宋" w:hAnsi="仿宋" w:eastAsia="仿宋" w:cs="仿宋"/>
          <w:b/>
          <w:bCs/>
          <w:sz w:val="24"/>
        </w:rPr>
      </w:pPr>
      <w:r>
        <w:rPr>
          <w:rFonts w:hint="eastAsia" w:ascii="仿宋" w:hAnsi="仿宋" w:eastAsia="仿宋" w:cs="仿宋"/>
          <w:b/>
          <w:bCs/>
          <w:sz w:val="24"/>
        </w:rPr>
        <w:t>招标文件的补充和修改</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对招标文件进行必要的补充</w:t>
      </w:r>
      <w:r>
        <w:rPr>
          <w:rFonts w:hint="eastAsia" w:ascii="仿宋" w:hAnsi="仿宋" w:eastAsia="仿宋" w:cs="仿宋"/>
          <w:sz w:val="24"/>
        </w:rPr>
        <w:t>或</w:t>
      </w:r>
      <w:r>
        <w:rPr>
          <w:rFonts w:hint="eastAsia" w:ascii="仿宋" w:hAnsi="仿宋" w:eastAsia="仿宋" w:cs="仿宋"/>
          <w:bCs/>
          <w:sz w:val="24"/>
        </w:rPr>
        <w:t>修改，代理公司将</w:t>
      </w:r>
      <w:r>
        <w:rPr>
          <w:rFonts w:hint="eastAsia" w:ascii="仿宋" w:hAnsi="仿宋" w:eastAsia="仿宋" w:cs="仿宋"/>
          <w:sz w:val="24"/>
        </w:rPr>
        <w:t>于开标前5天以书面或邮件的形式通知所有已获取招标文件的</w:t>
      </w:r>
      <w:r>
        <w:rPr>
          <w:rFonts w:hint="eastAsia" w:ascii="仿宋" w:hAnsi="仿宋" w:eastAsia="仿宋" w:cs="仿宋"/>
          <w:bCs/>
          <w:sz w:val="24"/>
        </w:rPr>
        <w:t>投标人，</w:t>
      </w:r>
      <w:r>
        <w:rPr>
          <w:rFonts w:hint="eastAsia" w:ascii="仿宋" w:hAnsi="仿宋" w:eastAsia="仿宋" w:cs="仿宋"/>
          <w:sz w:val="24"/>
        </w:rPr>
        <w:t>在收到</w:t>
      </w:r>
      <w:r>
        <w:rPr>
          <w:rFonts w:hint="eastAsia" w:ascii="仿宋" w:hAnsi="仿宋" w:eastAsia="仿宋" w:cs="仿宋"/>
          <w:bCs/>
          <w:sz w:val="24"/>
        </w:rPr>
        <w:t>补充</w:t>
      </w:r>
      <w:r>
        <w:rPr>
          <w:rFonts w:hint="eastAsia" w:ascii="仿宋" w:hAnsi="仿宋" w:eastAsia="仿宋" w:cs="仿宋"/>
          <w:sz w:val="24"/>
        </w:rPr>
        <w:t>或修改通知后应立即以书面形式予以确认，该</w:t>
      </w:r>
      <w:r>
        <w:rPr>
          <w:rFonts w:hint="eastAsia" w:ascii="仿宋" w:hAnsi="仿宋" w:eastAsia="仿宋" w:cs="仿宋"/>
          <w:bCs/>
          <w:sz w:val="24"/>
        </w:rPr>
        <w:t>补充</w:t>
      </w:r>
      <w:r>
        <w:rPr>
          <w:rFonts w:hint="eastAsia" w:ascii="仿宋" w:hAnsi="仿宋" w:eastAsia="仿宋" w:cs="仿宋"/>
          <w:sz w:val="24"/>
        </w:rPr>
        <w:t>或修改的内容为招标文件的组成部分；</w:t>
      </w:r>
      <w:r>
        <w:rPr>
          <w:rFonts w:hint="eastAsia" w:ascii="仿宋" w:hAnsi="仿宋" w:eastAsia="仿宋" w:cs="仿宋"/>
          <w:bCs/>
          <w:sz w:val="24"/>
        </w:rPr>
        <w:t>补充</w:t>
      </w:r>
      <w:r>
        <w:rPr>
          <w:rFonts w:hint="eastAsia" w:ascii="仿宋" w:hAnsi="仿宋" w:eastAsia="仿宋" w:cs="仿宋"/>
          <w:sz w:val="24"/>
        </w:rPr>
        <w:t>或修改不足5天的，应顺延投标截至时间。</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对于投标人澄清要求的回复，或者招标文件的修改补充文件，招标机构均将以书面或邮件形式通知所有投标人。投标人在收到澄清或补充文件后应于24小时内，以书面或邮件形式予以确认，如澄清或补充文件发出后24小时内未收到投标人书面确认，则视为投标人已确认。</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招标过程中的一切修改文件或补充文件一旦确认后与招标文件具有同等法律效力，投标人有责任履行相应的义务。</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bCs/>
          <w:sz w:val="24"/>
        </w:rPr>
        <w:t>为使潜在投标人有合理的时间理解招标文件的修改，招标代理机构可酌情推迟投标截止日期和开标时间，</w:t>
      </w:r>
      <w:r>
        <w:rPr>
          <w:rFonts w:hint="eastAsia" w:ascii="仿宋" w:hAnsi="仿宋" w:eastAsia="仿宋" w:cs="仿宋"/>
          <w:sz w:val="24"/>
        </w:rPr>
        <w:t>但至少应当在规定的投标截止时间三日前，将变更时间书面通知所有招标文件收受人。</w:t>
      </w:r>
    </w:p>
    <w:p>
      <w:pPr>
        <w:pStyle w:val="2"/>
        <w:keepLines/>
        <w:numPr>
          <w:ilvl w:val="0"/>
          <w:numId w:val="5"/>
        </w:numPr>
        <w:spacing w:before="260" w:after="260" w:line="400" w:lineRule="exact"/>
        <w:rPr>
          <w:rFonts w:ascii="仿宋" w:hAnsi="仿宋" w:eastAsia="仿宋" w:cs="仿宋"/>
        </w:rPr>
      </w:pPr>
      <w:bookmarkStart w:id="46" w:name="_Toc130697186"/>
      <w:bookmarkStart w:id="47" w:name="_Toc153615291"/>
      <w:bookmarkStart w:id="48" w:name="_Toc49135197"/>
      <w:bookmarkStart w:id="49" w:name="_Toc49082411"/>
      <w:bookmarkStart w:id="50" w:name="_Toc130695594"/>
      <w:bookmarkStart w:id="51" w:name="_Toc191353016"/>
      <w:bookmarkStart w:id="52" w:name="_Toc279046867"/>
      <w:bookmarkStart w:id="53" w:name="_Toc278958160"/>
      <w:bookmarkStart w:id="54" w:name="_Toc226966682"/>
      <w:bookmarkStart w:id="55" w:name="_Toc272350608"/>
      <w:bookmarkStart w:id="56" w:name="_Toc243743355"/>
      <w:bookmarkStart w:id="57" w:name="_Toc277758487"/>
      <w:bookmarkStart w:id="58" w:name="_Toc185747580"/>
      <w:bookmarkStart w:id="59" w:name="_Toc245203882"/>
      <w:bookmarkStart w:id="60" w:name="_Toc243923369"/>
      <w:bookmarkStart w:id="61" w:name="_Toc226521694"/>
      <w:bookmarkStart w:id="62" w:name="_Toc271105678"/>
      <w:bookmarkStart w:id="63" w:name="_Toc209258274"/>
      <w:bookmarkStart w:id="64" w:name="_Toc24217"/>
      <w:r>
        <w:rPr>
          <w:rFonts w:hint="eastAsia" w:ascii="仿宋" w:hAnsi="仿宋" w:eastAsia="仿宋" w:cs="仿宋"/>
        </w:rPr>
        <w:t>投标</w:t>
      </w:r>
      <w:bookmarkEnd w:id="46"/>
      <w:bookmarkEnd w:id="47"/>
      <w:bookmarkEnd w:id="48"/>
      <w:bookmarkEnd w:id="49"/>
      <w:bookmarkEnd w:id="50"/>
      <w:r>
        <w:rPr>
          <w:rFonts w:hint="eastAsia" w:ascii="仿宋" w:hAnsi="仿宋" w:eastAsia="仿宋" w:cs="仿宋"/>
        </w:rPr>
        <w:t>文件</w:t>
      </w:r>
      <w:bookmarkEnd w:id="51"/>
      <w:bookmarkEnd w:id="52"/>
      <w:bookmarkEnd w:id="53"/>
      <w:bookmarkEnd w:id="54"/>
      <w:bookmarkEnd w:id="55"/>
      <w:bookmarkEnd w:id="56"/>
      <w:bookmarkEnd w:id="57"/>
      <w:bookmarkEnd w:id="58"/>
      <w:bookmarkEnd w:id="59"/>
      <w:bookmarkEnd w:id="60"/>
      <w:bookmarkEnd w:id="61"/>
      <w:bookmarkEnd w:id="62"/>
      <w:bookmarkEnd w:id="63"/>
      <w:bookmarkEnd w:id="64"/>
    </w:p>
    <w:p>
      <w:pPr>
        <w:numPr>
          <w:ilvl w:val="1"/>
          <w:numId w:val="5"/>
        </w:numPr>
        <w:tabs>
          <w:tab w:val="left" w:pos="420"/>
          <w:tab w:val="left" w:pos="525"/>
          <w:tab w:val="clear" w:pos="567"/>
        </w:tabs>
        <w:spacing w:line="480" w:lineRule="auto"/>
        <w:ind w:left="420" w:hanging="420"/>
        <w:outlineLvl w:val="3"/>
        <w:rPr>
          <w:rFonts w:ascii="仿宋" w:hAnsi="仿宋" w:eastAsia="仿宋" w:cs="仿宋"/>
          <w:b/>
          <w:bCs/>
          <w:sz w:val="24"/>
        </w:rPr>
      </w:pPr>
      <w:r>
        <w:rPr>
          <w:rFonts w:hint="eastAsia" w:ascii="仿宋" w:hAnsi="仿宋" w:eastAsia="仿宋" w:cs="仿宋"/>
          <w:b/>
          <w:bCs/>
          <w:sz w:val="24"/>
        </w:rPr>
        <w:t>投标文件的编写</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投标人应仔细阅读招标文件的所有内容，按招标文件的要求制作并递交投标文件，并保证所提供的全部资料的真实性、准确性，以确保其投标对招标文件做出实质性响应；否则，将拒绝其投标。投标人在投标中提供不真实的材料，无论其材料是否重要，都将直接导致投标文件无效，并承担由此产生的法律责任。</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投标语言和计量单位：投标文件和来往函件应用简体中文书写，投标人提供的支持文件、技术资料和印刷的文献可以用其他语言，但相应内容应附有中文翻译本（经公证处公证），以中文为准，计量单位应使用国际公制单位。</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投标人须对本项目的全部货物及服务进行整体投标，不能对某一部分内容进行选择投标。任何只对其中一部分内容进行的投标都被视为无效投标。</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本项目不接受备选投标方案或备选的投标货物型号/规格，投标文件的报价只允许有一个报价，招标代理机构不接受有任何选择的报价</w:t>
      </w:r>
      <w:r>
        <w:rPr>
          <w:rFonts w:hint="eastAsia" w:ascii="仿宋" w:hAnsi="仿宋" w:eastAsia="仿宋" w:cs="仿宋"/>
          <w:bCs/>
          <w:sz w:val="24"/>
        </w:rPr>
        <w:t>。</w:t>
      </w:r>
    </w:p>
    <w:p>
      <w:pPr>
        <w:numPr>
          <w:ilvl w:val="2"/>
          <w:numId w:val="5"/>
        </w:numPr>
        <w:tabs>
          <w:tab w:val="left" w:pos="735"/>
          <w:tab w:val="left" w:pos="1254"/>
        </w:tabs>
        <w:spacing w:line="360" w:lineRule="auto"/>
        <w:ind w:left="735" w:hanging="735"/>
        <w:rPr>
          <w:rFonts w:ascii="仿宋" w:hAnsi="仿宋" w:eastAsia="仿宋" w:cs="仿宋"/>
          <w:b w:val="0"/>
          <w:bCs/>
          <w:sz w:val="24"/>
        </w:rPr>
      </w:pPr>
      <w:r>
        <w:rPr>
          <w:rFonts w:hint="eastAsia" w:ascii="仿宋" w:hAnsi="仿宋" w:eastAsia="仿宋" w:cs="仿宋"/>
          <w:b w:val="0"/>
          <w:bCs/>
          <w:sz w:val="24"/>
        </w:rPr>
        <w:t>本项目投标报价应包含所有履约费用。除本招标文件另有规定外，投标供应商应按招标文件所附相应的开标一览表格式标明拟提供服务的总价、合同履约期限等（以开标一览表格式为准），任何有选择性的报价将不予接受，每种服务只允许有一个报价。</w:t>
      </w:r>
    </w:p>
    <w:p>
      <w:pPr>
        <w:numPr>
          <w:ilvl w:val="2"/>
          <w:numId w:val="5"/>
        </w:numPr>
        <w:tabs>
          <w:tab w:val="left" w:pos="735"/>
          <w:tab w:val="left" w:pos="1254"/>
        </w:tabs>
        <w:spacing w:line="360" w:lineRule="auto"/>
        <w:ind w:left="735" w:hanging="735"/>
        <w:rPr>
          <w:rFonts w:ascii="仿宋" w:hAnsi="仿宋" w:eastAsia="仿宋" w:cs="仿宋"/>
          <w:b w:val="0"/>
          <w:bCs/>
          <w:sz w:val="24"/>
        </w:rPr>
      </w:pPr>
      <w:r>
        <w:rPr>
          <w:rFonts w:hint="eastAsia" w:ascii="仿宋" w:hAnsi="仿宋" w:eastAsia="仿宋" w:cs="仿宋"/>
          <w:b w:val="0"/>
          <w:bCs/>
          <w:sz w:val="24"/>
        </w:rPr>
        <w:t>投标人应以人民币报价。投标人</w:t>
      </w:r>
      <w:r>
        <w:rPr>
          <w:rFonts w:hint="eastAsia" w:ascii="仿宋" w:hAnsi="仿宋" w:eastAsia="仿宋" w:cs="仿宋"/>
          <w:b w:val="0"/>
          <w:bCs/>
          <w:sz w:val="24"/>
          <w:lang w:val="en-US" w:eastAsia="zh-CN"/>
        </w:rPr>
        <w:t>如报价明细表中存在漏项，视为不响应招标文件，将被否决其投标。</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开标时，投标文件中开标一览表(报价表)内容与投标文件中明细表内容不一致的，以开标一览表(报价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投标人须用人民币报价。当单价与数量的乘积与合价不一致时，以标出的单价与数量的乘积为准，单价小数点有明显错误除外。</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其投标应作无效标处理。</w:t>
      </w:r>
    </w:p>
    <w:p>
      <w:pPr>
        <w:numPr>
          <w:ilvl w:val="1"/>
          <w:numId w:val="5"/>
        </w:numPr>
        <w:tabs>
          <w:tab w:val="left" w:pos="420"/>
          <w:tab w:val="left" w:pos="525"/>
          <w:tab w:val="clear" w:pos="567"/>
        </w:tabs>
        <w:spacing w:line="480" w:lineRule="auto"/>
        <w:ind w:left="420" w:hanging="420"/>
        <w:outlineLvl w:val="3"/>
        <w:rPr>
          <w:rFonts w:ascii="仿宋" w:hAnsi="仿宋" w:eastAsia="仿宋" w:cs="仿宋"/>
          <w:b/>
          <w:bCs/>
          <w:sz w:val="24"/>
        </w:rPr>
      </w:pPr>
      <w:r>
        <w:rPr>
          <w:rFonts w:hint="eastAsia" w:ascii="仿宋" w:hAnsi="仿宋" w:eastAsia="仿宋" w:cs="仿宋"/>
          <w:b/>
          <w:bCs/>
          <w:sz w:val="24"/>
        </w:rPr>
        <w:t>投标文件的组成</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投标文件应包括但不限于以下部分（按以下顺序装订）：</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投标书</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投标人基本情况表</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投标一览表</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总体方案说明</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详细报价清单</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技术规格差异表</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法定代表人证明书</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法定代表人授权委托书</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拟派本项目负责人及主要人员情况表</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2019年12月至投标文件递交截止日前类似业绩情况一览表</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投标服务方案</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投标人资格文件声明函</w:t>
      </w:r>
    </w:p>
    <w:p>
      <w:pPr>
        <w:numPr>
          <w:ilvl w:val="0"/>
          <w:numId w:val="6"/>
        </w:numPr>
        <w:tabs>
          <w:tab w:val="left" w:pos="1155"/>
          <w:tab w:val="clear" w:pos="720"/>
        </w:tabs>
        <w:spacing w:line="360" w:lineRule="auto"/>
        <w:ind w:left="1050" w:hanging="630"/>
        <w:rPr>
          <w:rFonts w:ascii="仿宋" w:hAnsi="仿宋" w:eastAsia="仿宋" w:cs="仿宋"/>
          <w:sz w:val="24"/>
        </w:rPr>
      </w:pPr>
      <w:r>
        <w:rPr>
          <w:rFonts w:hint="eastAsia" w:ascii="仿宋" w:hAnsi="仿宋" w:eastAsia="仿宋" w:cs="仿宋"/>
          <w:sz w:val="24"/>
        </w:rPr>
        <w:t>资格文件</w:t>
      </w:r>
    </w:p>
    <w:p>
      <w:pPr>
        <w:numPr>
          <w:ilvl w:val="2"/>
          <w:numId w:val="5"/>
        </w:numPr>
        <w:tabs>
          <w:tab w:val="left" w:pos="735"/>
          <w:tab w:val="left" w:pos="1254"/>
        </w:tabs>
        <w:spacing w:line="360" w:lineRule="auto"/>
        <w:ind w:left="735" w:hanging="735"/>
        <w:rPr>
          <w:rFonts w:ascii="仿宋" w:hAnsi="仿宋" w:eastAsia="仿宋" w:cs="仿宋"/>
          <w:b/>
          <w:sz w:val="24"/>
        </w:rPr>
      </w:pPr>
      <w:r>
        <w:rPr>
          <w:rFonts w:hint="eastAsia" w:ascii="仿宋" w:hAnsi="仿宋" w:eastAsia="仿宋" w:cs="仿宋"/>
          <w:sz w:val="24"/>
        </w:rPr>
        <w:t>投标人必须编制完整的投标文件，按上述顺序编制目录及页码并装订成册，内容较多时可以分册装订。各册独立装订的投标文件必须</w:t>
      </w:r>
      <w:r>
        <w:rPr>
          <w:rFonts w:hint="eastAsia" w:ascii="仿宋" w:hAnsi="仿宋" w:eastAsia="仿宋" w:cs="仿宋"/>
          <w:sz w:val="24"/>
          <w:lang w:val="en-US" w:eastAsia="zh-CN"/>
        </w:rPr>
        <w:t>逐页加盖投标人公章，投标人文件封面必须</w:t>
      </w:r>
      <w:r>
        <w:rPr>
          <w:rFonts w:hint="eastAsia" w:ascii="仿宋" w:hAnsi="仿宋" w:eastAsia="仿宋" w:cs="仿宋"/>
          <w:sz w:val="24"/>
        </w:rPr>
        <w:t>加盖投标人</w:t>
      </w:r>
      <w:r>
        <w:rPr>
          <w:rFonts w:hint="eastAsia" w:ascii="仿宋" w:hAnsi="仿宋" w:eastAsia="仿宋" w:cs="仿宋"/>
          <w:sz w:val="24"/>
          <w:lang w:val="en-US" w:eastAsia="zh-CN"/>
        </w:rPr>
        <w:t>公章及法定代表人章</w:t>
      </w:r>
      <w:r>
        <w:rPr>
          <w:rFonts w:hint="eastAsia" w:ascii="仿宋" w:hAnsi="仿宋" w:eastAsia="仿宋" w:cs="仿宋"/>
          <w:sz w:val="24"/>
        </w:rPr>
        <w:t>。</w:t>
      </w:r>
      <w:r>
        <w:rPr>
          <w:rFonts w:hint="eastAsia" w:ascii="仿宋" w:hAnsi="仿宋" w:eastAsia="仿宋" w:cs="仿宋"/>
          <w:sz w:val="24"/>
          <w:lang w:val="en-US" w:eastAsia="zh-CN"/>
        </w:rPr>
        <w:t>投标文件中凡是要求法定代表人盖章处必须由法定代表人签字并加盖法定代表人章。</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投标文件应装订牢固不可拆卸（如：胶订），如因装订不牢固导致的任何损失由投标人承担。</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投标人必须自行承担因其投标文件的任何错漏而导致的一切后果。</w:t>
      </w:r>
    </w:p>
    <w:p>
      <w:pPr>
        <w:numPr>
          <w:ilvl w:val="1"/>
          <w:numId w:val="5"/>
        </w:numPr>
        <w:tabs>
          <w:tab w:val="left" w:pos="420"/>
          <w:tab w:val="left" w:pos="525"/>
          <w:tab w:val="clear" w:pos="567"/>
        </w:tabs>
        <w:spacing w:line="480" w:lineRule="auto"/>
        <w:ind w:left="420" w:hanging="420"/>
        <w:outlineLvl w:val="3"/>
        <w:rPr>
          <w:rFonts w:ascii="仿宋" w:hAnsi="仿宋" w:eastAsia="仿宋" w:cs="仿宋"/>
          <w:b/>
          <w:bCs/>
          <w:sz w:val="24"/>
        </w:rPr>
      </w:pPr>
      <w:r>
        <w:rPr>
          <w:rFonts w:hint="eastAsia" w:ascii="仿宋" w:hAnsi="仿宋" w:eastAsia="仿宋" w:cs="仿宋"/>
          <w:b/>
          <w:bCs/>
          <w:sz w:val="24"/>
        </w:rPr>
        <w:t>投标文件的修改和撤回</w:t>
      </w:r>
    </w:p>
    <w:p>
      <w:pPr>
        <w:spacing w:line="360" w:lineRule="auto"/>
        <w:ind w:left="154" w:firstLine="444" w:firstLineChars="185"/>
        <w:rPr>
          <w:rFonts w:ascii="仿宋" w:hAnsi="仿宋" w:eastAsia="仿宋" w:cs="仿宋"/>
          <w:sz w:val="24"/>
        </w:rPr>
      </w:pPr>
      <w:r>
        <w:rPr>
          <w:rFonts w:hint="eastAsia" w:ascii="仿宋" w:hAnsi="仿宋" w:eastAsia="仿宋" w:cs="仿宋"/>
          <w:sz w:val="24"/>
        </w:rPr>
        <w:t>在投标截止时间前投标人可以修改和</w:t>
      </w:r>
      <w:r>
        <w:rPr>
          <w:rFonts w:hint="eastAsia" w:ascii="仿宋" w:hAnsi="仿宋" w:eastAsia="仿宋" w:cs="仿宋"/>
          <w:bCs/>
          <w:sz w:val="24"/>
        </w:rPr>
        <w:t>撤回</w:t>
      </w:r>
      <w:r>
        <w:rPr>
          <w:rFonts w:hint="eastAsia" w:ascii="仿宋" w:hAnsi="仿宋" w:eastAsia="仿宋" w:cs="仿宋"/>
          <w:sz w:val="24"/>
        </w:rPr>
        <w:t>其投标文件，但必须以书面形式通知招标代理机构，投标截止后不得修改和</w:t>
      </w:r>
      <w:r>
        <w:rPr>
          <w:rFonts w:hint="eastAsia" w:ascii="仿宋" w:hAnsi="仿宋" w:eastAsia="仿宋" w:cs="仿宋"/>
          <w:bCs/>
          <w:sz w:val="24"/>
        </w:rPr>
        <w:t>撤回</w:t>
      </w:r>
      <w:r>
        <w:rPr>
          <w:rFonts w:hint="eastAsia" w:ascii="仿宋" w:hAnsi="仿宋" w:eastAsia="仿宋" w:cs="仿宋"/>
          <w:sz w:val="24"/>
        </w:rPr>
        <w:t>其投标文件。</w:t>
      </w:r>
    </w:p>
    <w:p>
      <w:pPr>
        <w:pStyle w:val="2"/>
        <w:keepLines/>
        <w:numPr>
          <w:ilvl w:val="0"/>
          <w:numId w:val="5"/>
        </w:numPr>
        <w:spacing w:before="260" w:after="260" w:line="400" w:lineRule="exact"/>
        <w:rPr>
          <w:rFonts w:ascii="仿宋" w:hAnsi="仿宋" w:eastAsia="仿宋" w:cs="仿宋"/>
          <w:sz w:val="28"/>
        </w:rPr>
      </w:pPr>
      <w:bookmarkStart w:id="65" w:name="_Toc279046868"/>
      <w:bookmarkStart w:id="66" w:name="_Toc277758488"/>
      <w:bookmarkStart w:id="67" w:name="_Toc245203883"/>
      <w:bookmarkStart w:id="68" w:name="_Toc209258275"/>
      <w:bookmarkStart w:id="69" w:name="_Toc272350609"/>
      <w:bookmarkStart w:id="70" w:name="_Toc191353017"/>
      <w:bookmarkStart w:id="71" w:name="_Toc226966683"/>
      <w:bookmarkStart w:id="72" w:name="_Toc278958161"/>
      <w:bookmarkStart w:id="73" w:name="_Toc226521695"/>
      <w:bookmarkStart w:id="74" w:name="_Toc243923370"/>
      <w:bookmarkStart w:id="75" w:name="_Toc271105679"/>
      <w:bookmarkStart w:id="76" w:name="_Toc185747581"/>
      <w:bookmarkStart w:id="77" w:name="_Toc243743356"/>
      <w:bookmarkStart w:id="78" w:name="_Toc15393"/>
      <w:bookmarkStart w:id="79" w:name="_Toc153615292"/>
      <w:bookmarkStart w:id="80" w:name="_Toc61327402"/>
      <w:bookmarkStart w:id="81" w:name="_Toc130695595"/>
      <w:bookmarkStart w:id="82" w:name="_Toc130697187"/>
      <w:r>
        <w:rPr>
          <w:rFonts w:hint="eastAsia" w:ascii="仿宋" w:hAnsi="仿宋" w:eastAsia="仿宋" w:cs="仿宋"/>
          <w:sz w:val="28"/>
        </w:rPr>
        <w:t>投标总则</w:t>
      </w:r>
      <w:bookmarkEnd w:id="65"/>
      <w:bookmarkEnd w:id="66"/>
      <w:bookmarkEnd w:id="67"/>
      <w:bookmarkEnd w:id="68"/>
      <w:bookmarkEnd w:id="69"/>
      <w:bookmarkEnd w:id="70"/>
      <w:bookmarkEnd w:id="71"/>
      <w:bookmarkEnd w:id="72"/>
      <w:bookmarkEnd w:id="73"/>
      <w:bookmarkEnd w:id="74"/>
      <w:bookmarkEnd w:id="75"/>
      <w:bookmarkEnd w:id="76"/>
      <w:bookmarkEnd w:id="77"/>
      <w:bookmarkEnd w:id="78"/>
    </w:p>
    <w:p>
      <w:pPr>
        <w:rPr>
          <w:rFonts w:ascii="仿宋" w:hAnsi="仿宋" w:eastAsia="仿宋" w:cs="仿宋"/>
        </w:rPr>
      </w:pPr>
    </w:p>
    <w:p>
      <w:pPr>
        <w:numPr>
          <w:ilvl w:val="1"/>
          <w:numId w:val="5"/>
        </w:numPr>
        <w:tabs>
          <w:tab w:val="left" w:pos="420"/>
          <w:tab w:val="left" w:pos="525"/>
          <w:tab w:val="clear" w:pos="567"/>
        </w:tabs>
        <w:spacing w:line="480" w:lineRule="auto"/>
        <w:ind w:left="420" w:hanging="420"/>
        <w:outlineLvl w:val="3"/>
        <w:rPr>
          <w:rFonts w:ascii="仿宋" w:hAnsi="仿宋" w:eastAsia="仿宋" w:cs="仿宋"/>
        </w:rPr>
      </w:pPr>
      <w:r>
        <w:rPr>
          <w:rFonts w:hint="eastAsia" w:ascii="仿宋" w:hAnsi="仿宋" w:eastAsia="仿宋" w:cs="仿宋"/>
          <w:b/>
          <w:bCs/>
          <w:sz w:val="24"/>
        </w:rPr>
        <w:t>投标细则</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lang w:val="en-US" w:eastAsia="zh-CN"/>
        </w:rPr>
        <w:t>投标文件份数：详见投标人须知前附表。</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如果正本与副本不符，应以正本为准。投标文件应由投标人的合法授权代表正式签署，任何更改（如果有的话）应由原签署人签字。所有不完整的投标将被拒绝。投标人的全部投标文件正本均不退回，中标人的所有投标文件均不退回。投标人在投标过程中产生的一切费用，无论投标结果如何，均由投标人承担。</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投标人应对投标设备（货物）提供完整的详细的技术说明，如投标人对指定的技术要求建议做任何改动，应在投标文件中清楚地注明。</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b/>
          <w:bCs/>
          <w:sz w:val="24"/>
        </w:rPr>
        <w:t>资格文件视为投标文件不可分割的一部份</w:t>
      </w:r>
      <w:r>
        <w:rPr>
          <w:rFonts w:hint="eastAsia" w:ascii="仿宋" w:hAnsi="仿宋" w:eastAsia="仿宋" w:cs="仿宋"/>
          <w:sz w:val="24"/>
        </w:rPr>
        <w:t>。</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所有投标文件应在投标截止时间前送达投标、开标地点，并交予招标代理机构专责人员，任何迟于这个时间的投标将被拒绝。</w:t>
      </w:r>
    </w:p>
    <w:p>
      <w:pPr>
        <w:numPr>
          <w:ilvl w:val="2"/>
          <w:numId w:val="5"/>
        </w:numPr>
        <w:tabs>
          <w:tab w:val="left" w:pos="735"/>
          <w:tab w:val="left" w:pos="1254"/>
        </w:tabs>
        <w:spacing w:line="360" w:lineRule="auto"/>
        <w:ind w:left="735" w:hanging="735"/>
        <w:rPr>
          <w:rFonts w:ascii="仿宋" w:hAnsi="仿宋" w:eastAsia="仿宋" w:cs="仿宋"/>
        </w:rPr>
      </w:pPr>
      <w:r>
        <w:rPr>
          <w:rFonts w:hint="eastAsia" w:ascii="仿宋" w:hAnsi="仿宋" w:eastAsia="仿宋" w:cs="仿宋"/>
          <w:b/>
          <w:bCs/>
          <w:sz w:val="24"/>
        </w:rPr>
        <w:t>所有投标文件必须封入密封完好的信封或包装，封口加盖投标单位公章。投标文件的正本和副本</w:t>
      </w:r>
      <w:r>
        <w:rPr>
          <w:rFonts w:hint="eastAsia" w:ascii="仿宋" w:hAnsi="仿宋" w:eastAsia="仿宋" w:cs="仿宋"/>
          <w:b/>
          <w:bCs/>
          <w:sz w:val="24"/>
          <w:lang w:val="en-US" w:eastAsia="zh-CN"/>
        </w:rPr>
        <w:t>不</w:t>
      </w:r>
      <w:r>
        <w:rPr>
          <w:rFonts w:hint="eastAsia" w:ascii="仿宋" w:hAnsi="仿宋" w:eastAsia="仿宋" w:cs="仿宋"/>
          <w:b/>
          <w:bCs/>
          <w:sz w:val="24"/>
        </w:rPr>
        <w:t>分别封装</w:t>
      </w:r>
      <w:r>
        <w:rPr>
          <w:rFonts w:hint="eastAsia" w:ascii="仿宋" w:hAnsi="仿宋" w:eastAsia="仿宋" w:cs="仿宋"/>
          <w:sz w:val="24"/>
        </w:rPr>
        <w:t>，并在每一信封或包装的封面上写明：</w:t>
      </w:r>
    </w:p>
    <w:tbl>
      <w:tblPr>
        <w:tblStyle w:val="20"/>
        <w:tblW w:w="8190" w:type="dxa"/>
        <w:tblInd w:w="9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8190" w:type="dxa"/>
          </w:tcPr>
          <w:p>
            <w:pPr>
              <w:spacing w:line="360" w:lineRule="auto"/>
              <w:ind w:left="450"/>
              <w:jc w:val="right"/>
              <w:rPr>
                <w:rFonts w:ascii="仿宋" w:hAnsi="仿宋" w:eastAsia="仿宋" w:cs="仿宋"/>
                <w:b/>
                <w:sz w:val="24"/>
              </w:rPr>
            </w:pPr>
            <w:r>
              <w:rPr>
                <w:rFonts w:hint="eastAsia" w:ascii="仿宋" w:hAnsi="仿宋" w:eastAsia="仿宋" w:cs="仿宋"/>
                <w:b/>
                <w:sz w:val="24"/>
              </w:rPr>
              <w:t>正本/副本/投标一览表</w:t>
            </w:r>
          </w:p>
          <w:p>
            <w:pPr>
              <w:spacing w:line="420" w:lineRule="exact"/>
              <w:ind w:left="448"/>
              <w:rPr>
                <w:rFonts w:ascii="仿宋" w:hAnsi="仿宋" w:eastAsia="仿宋" w:cs="仿宋"/>
                <w:sz w:val="24"/>
              </w:rPr>
            </w:pPr>
            <w:r>
              <w:rPr>
                <w:rFonts w:hint="eastAsia" w:ascii="仿宋" w:hAnsi="仿宋" w:eastAsia="仿宋" w:cs="仿宋"/>
                <w:sz w:val="24"/>
              </w:rPr>
              <w:t xml:space="preserve">收件人名称：新疆华域建设工程项目管理咨询有限公司 </w:t>
            </w:r>
          </w:p>
          <w:p>
            <w:pPr>
              <w:spacing w:line="420" w:lineRule="exact"/>
              <w:ind w:left="448"/>
              <w:rPr>
                <w:rFonts w:ascii="仿宋" w:hAnsi="仿宋" w:eastAsia="仿宋" w:cs="仿宋"/>
                <w:sz w:val="24"/>
              </w:rPr>
            </w:pPr>
            <w:r>
              <w:rPr>
                <w:rFonts w:hint="eastAsia" w:ascii="仿宋" w:hAnsi="仿宋" w:eastAsia="仿宋" w:cs="仿宋"/>
                <w:sz w:val="24"/>
              </w:rPr>
              <w:t>招标编号：HYZB</w:t>
            </w:r>
            <w:r>
              <w:rPr>
                <w:rFonts w:ascii="仿宋" w:hAnsi="仿宋" w:eastAsia="仿宋" w:cs="仿宋"/>
                <w:sz w:val="24"/>
              </w:rPr>
              <w:t>01</w:t>
            </w:r>
            <w:r>
              <w:rPr>
                <w:rFonts w:hint="eastAsia" w:ascii="仿宋" w:hAnsi="仿宋" w:eastAsia="仿宋" w:cs="仿宋"/>
                <w:sz w:val="24"/>
              </w:rPr>
              <w:t>-202</w:t>
            </w:r>
            <w:r>
              <w:rPr>
                <w:rFonts w:ascii="仿宋" w:hAnsi="仿宋" w:eastAsia="仿宋" w:cs="仿宋"/>
                <w:sz w:val="24"/>
              </w:rPr>
              <w:t>2</w:t>
            </w:r>
            <w:r>
              <w:rPr>
                <w:rFonts w:hint="eastAsia" w:ascii="仿宋" w:hAnsi="仿宋" w:eastAsia="仿宋" w:cs="仿宋"/>
                <w:sz w:val="24"/>
              </w:rPr>
              <w:t>-  号</w:t>
            </w:r>
          </w:p>
          <w:p>
            <w:pPr>
              <w:spacing w:line="420" w:lineRule="exact"/>
              <w:ind w:left="448"/>
              <w:rPr>
                <w:rFonts w:ascii="仿宋" w:hAnsi="仿宋" w:eastAsia="仿宋" w:cs="仿宋"/>
                <w:sz w:val="24"/>
              </w:rPr>
            </w:pPr>
            <w:r>
              <w:rPr>
                <w:rFonts w:hint="eastAsia" w:ascii="仿宋" w:hAnsi="仿宋" w:eastAsia="仿宋" w:cs="仿宋"/>
                <w:sz w:val="24"/>
              </w:rPr>
              <w:t>项目名称：XX项目</w:t>
            </w:r>
          </w:p>
          <w:p>
            <w:pPr>
              <w:spacing w:line="420" w:lineRule="exact"/>
              <w:ind w:left="448"/>
              <w:rPr>
                <w:rFonts w:ascii="仿宋" w:hAnsi="仿宋" w:eastAsia="仿宋" w:cs="仿宋"/>
                <w:sz w:val="24"/>
              </w:rPr>
            </w:pPr>
            <w:r>
              <w:rPr>
                <w:rFonts w:hint="eastAsia" w:ascii="仿宋" w:hAnsi="仿宋" w:eastAsia="仿宋" w:cs="仿宋"/>
                <w:sz w:val="24"/>
              </w:rPr>
              <w:t>投标人名称：</w:t>
            </w:r>
          </w:p>
          <w:p>
            <w:pPr>
              <w:spacing w:line="420" w:lineRule="exact"/>
              <w:ind w:left="448"/>
              <w:rPr>
                <w:rFonts w:ascii="仿宋" w:hAnsi="仿宋" w:eastAsia="仿宋" w:cs="仿宋"/>
                <w:sz w:val="24"/>
              </w:rPr>
            </w:pPr>
            <w:r>
              <w:rPr>
                <w:rFonts w:hint="eastAsia" w:ascii="仿宋" w:hAnsi="仿宋" w:eastAsia="仿宋" w:cs="仿宋"/>
                <w:sz w:val="24"/>
              </w:rPr>
              <w:t>投标人地址：</w:t>
            </w:r>
          </w:p>
          <w:p>
            <w:pPr>
              <w:spacing w:line="420" w:lineRule="exact"/>
              <w:ind w:left="448"/>
              <w:rPr>
                <w:rFonts w:ascii="仿宋" w:hAnsi="仿宋" w:eastAsia="仿宋" w:cs="仿宋"/>
                <w:sz w:val="24"/>
              </w:rPr>
            </w:pPr>
            <w:r>
              <w:rPr>
                <w:rFonts w:hint="eastAsia" w:ascii="仿宋" w:hAnsi="仿宋" w:eastAsia="仿宋" w:cs="仿宋"/>
                <w:sz w:val="24"/>
              </w:rPr>
              <w:t>联系人：</w:t>
            </w:r>
          </w:p>
          <w:p>
            <w:pPr>
              <w:spacing w:line="420" w:lineRule="exact"/>
              <w:ind w:left="448"/>
              <w:rPr>
                <w:rFonts w:ascii="仿宋" w:hAnsi="仿宋" w:eastAsia="仿宋" w:cs="仿宋"/>
                <w:sz w:val="24"/>
              </w:rPr>
            </w:pPr>
            <w:r>
              <w:rPr>
                <w:rFonts w:hint="eastAsia" w:ascii="仿宋" w:hAnsi="仿宋" w:eastAsia="仿宋" w:cs="仿宋"/>
                <w:sz w:val="24"/>
              </w:rPr>
              <w:t>联系电话：</w:t>
            </w:r>
          </w:p>
          <w:p>
            <w:pPr>
              <w:spacing w:line="420" w:lineRule="exact"/>
              <w:ind w:left="448"/>
              <w:rPr>
                <w:rFonts w:ascii="仿宋" w:hAnsi="仿宋" w:eastAsia="仿宋" w:cs="仿宋"/>
                <w:b/>
                <w:sz w:val="24"/>
              </w:rPr>
            </w:pPr>
            <w:r>
              <w:rPr>
                <w:rFonts w:hint="eastAsia" w:ascii="仿宋" w:hAnsi="仿宋" w:eastAsia="仿宋" w:cs="仿宋"/>
                <w:b/>
                <w:sz w:val="24"/>
              </w:rPr>
              <w:t>于“     年   月   日   时  分”之前不准启封（即投标截止时间）</w:t>
            </w:r>
          </w:p>
        </w:tc>
      </w:tr>
    </w:tbl>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招标代理机构对不可抗力事件造成的投标文件的损坏、丢失不承担任何责任。</w:t>
      </w:r>
    </w:p>
    <w:p>
      <w:pPr>
        <w:numPr>
          <w:ilvl w:val="2"/>
          <w:numId w:val="5"/>
        </w:numPr>
        <w:tabs>
          <w:tab w:val="left" w:pos="735"/>
          <w:tab w:val="left" w:pos="1254"/>
        </w:tabs>
        <w:spacing w:line="360" w:lineRule="auto"/>
        <w:ind w:left="735" w:hanging="735"/>
        <w:rPr>
          <w:rFonts w:ascii="仿宋" w:hAnsi="仿宋" w:eastAsia="仿宋" w:cs="仿宋"/>
          <w:sz w:val="24"/>
        </w:rPr>
      </w:pPr>
      <w:r>
        <w:rPr>
          <w:rFonts w:hint="eastAsia" w:ascii="仿宋" w:hAnsi="仿宋" w:eastAsia="仿宋" w:cs="仿宋"/>
          <w:sz w:val="24"/>
        </w:rPr>
        <w:t>招标代理机构不接受电报、电话、电传、传真投标。</w:t>
      </w:r>
    </w:p>
    <w:p>
      <w:pPr>
        <w:numPr>
          <w:ilvl w:val="1"/>
          <w:numId w:val="5"/>
        </w:numPr>
        <w:tabs>
          <w:tab w:val="left" w:pos="420"/>
          <w:tab w:val="left" w:pos="525"/>
          <w:tab w:val="clear" w:pos="567"/>
        </w:tabs>
        <w:spacing w:line="480" w:lineRule="auto"/>
        <w:ind w:left="420" w:hanging="420"/>
        <w:outlineLvl w:val="3"/>
        <w:rPr>
          <w:rFonts w:ascii="仿宋" w:hAnsi="仿宋" w:eastAsia="仿宋" w:cs="仿宋"/>
          <w:b/>
          <w:bCs/>
          <w:sz w:val="24"/>
        </w:rPr>
      </w:pPr>
      <w:r>
        <w:rPr>
          <w:rFonts w:hint="eastAsia" w:ascii="仿宋" w:hAnsi="仿宋" w:eastAsia="仿宋" w:cs="仿宋"/>
          <w:b/>
          <w:bCs/>
          <w:sz w:val="24"/>
        </w:rPr>
        <w:t>投标有效期</w:t>
      </w:r>
    </w:p>
    <w:p>
      <w:pPr>
        <w:spacing w:line="360" w:lineRule="auto"/>
        <w:ind w:firstLine="597" w:firstLineChars="249"/>
        <w:rPr>
          <w:rFonts w:ascii="仿宋" w:hAnsi="仿宋" w:eastAsia="仿宋" w:cs="仿宋"/>
          <w:sz w:val="24"/>
        </w:rPr>
      </w:pPr>
      <w:r>
        <w:rPr>
          <w:rFonts w:hint="eastAsia" w:ascii="仿宋" w:hAnsi="仿宋" w:eastAsia="仿宋" w:cs="仿宋"/>
          <w:sz w:val="24"/>
        </w:rPr>
        <w:t>从投标截止日起，投标有效期为90天（日历天）。在特殊情况下，招标代理机构可于投标有效期满之前要求投标人同意延长有效期，要求与答复均应以书面形式。投标人可以拒绝上述要求而其投标保证金不被没收，同意延期的投标人根据原截止期应负之权利及责任相应也延至新的截止期。</w:t>
      </w:r>
    </w:p>
    <w:bookmarkEnd w:id="79"/>
    <w:bookmarkEnd w:id="80"/>
    <w:bookmarkEnd w:id="81"/>
    <w:bookmarkEnd w:id="82"/>
    <w:p>
      <w:pPr>
        <w:pStyle w:val="2"/>
        <w:keepLines/>
        <w:numPr>
          <w:ilvl w:val="0"/>
          <w:numId w:val="5"/>
        </w:numPr>
        <w:spacing w:before="260" w:after="260" w:line="400" w:lineRule="exact"/>
        <w:rPr>
          <w:rFonts w:ascii="仿宋" w:hAnsi="仿宋" w:eastAsia="仿宋" w:cs="仿宋"/>
          <w:sz w:val="28"/>
        </w:rPr>
      </w:pPr>
      <w:bookmarkStart w:id="83" w:name="_Toc191353018"/>
      <w:bookmarkStart w:id="84" w:name="_Toc209258276"/>
      <w:bookmarkStart w:id="85" w:name="_Toc271105681"/>
      <w:bookmarkStart w:id="86" w:name="_Toc226521696"/>
      <w:bookmarkStart w:id="87" w:name="_Toc243923371"/>
      <w:bookmarkStart w:id="88" w:name="_Toc5409"/>
      <w:bookmarkStart w:id="89" w:name="_Toc278958162"/>
      <w:bookmarkStart w:id="90" w:name="_Toc243743357"/>
      <w:bookmarkStart w:id="91" w:name="_Toc277758489"/>
      <w:bookmarkStart w:id="92" w:name="_Toc245203885"/>
      <w:bookmarkStart w:id="93" w:name="_Toc279046869"/>
      <w:bookmarkStart w:id="94" w:name="_Toc272350611"/>
      <w:bookmarkStart w:id="95" w:name="_Toc185747582"/>
      <w:bookmarkStart w:id="96" w:name="_Toc226966684"/>
      <w:r>
        <w:rPr>
          <w:rFonts w:hint="eastAsia" w:ascii="仿宋" w:hAnsi="仿宋" w:eastAsia="仿宋" w:cs="仿宋"/>
          <w:sz w:val="28"/>
        </w:rPr>
        <w:t>开标、评标、定标与签约</w:t>
      </w:r>
      <w:bookmarkEnd w:id="83"/>
      <w:bookmarkEnd w:id="84"/>
      <w:bookmarkEnd w:id="85"/>
      <w:bookmarkEnd w:id="86"/>
      <w:bookmarkEnd w:id="87"/>
      <w:bookmarkEnd w:id="88"/>
      <w:bookmarkEnd w:id="89"/>
      <w:bookmarkEnd w:id="90"/>
      <w:bookmarkEnd w:id="91"/>
      <w:bookmarkEnd w:id="92"/>
      <w:bookmarkEnd w:id="93"/>
      <w:bookmarkEnd w:id="94"/>
      <w:bookmarkEnd w:id="95"/>
      <w:bookmarkEnd w:id="96"/>
    </w:p>
    <w:p>
      <w:pPr>
        <w:numPr>
          <w:ilvl w:val="1"/>
          <w:numId w:val="5"/>
        </w:numPr>
        <w:tabs>
          <w:tab w:val="left" w:pos="420"/>
          <w:tab w:val="left" w:pos="525"/>
          <w:tab w:val="clear" w:pos="567"/>
        </w:tabs>
        <w:spacing w:line="480" w:lineRule="auto"/>
        <w:ind w:left="420" w:hanging="420"/>
        <w:outlineLvl w:val="3"/>
        <w:rPr>
          <w:rFonts w:ascii="仿宋" w:hAnsi="仿宋" w:eastAsia="仿宋" w:cs="仿宋"/>
          <w:b/>
          <w:bCs/>
          <w:sz w:val="24"/>
        </w:rPr>
      </w:pPr>
      <w:r>
        <w:rPr>
          <w:rFonts w:hint="eastAsia" w:ascii="仿宋" w:hAnsi="仿宋" w:eastAsia="仿宋" w:cs="仿宋"/>
          <w:b/>
          <w:bCs/>
          <w:sz w:val="24"/>
        </w:rPr>
        <w:t>开标</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开标在招标文件确定的投标文件递交截止时间的同一时间公开进行，开标地点为招标文件预先确定的地点。</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开标由招标代理机构主持，邀请所有投标人参加。</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投标人代表必须持本人身份证参加开标会，如投标人代表非法定代表人，还应持法定代表人授权书。</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开标时，由投标人或者其推选的代表检查投标文件的密封情况，或由采购人委托的公证机构检查并公证。经确认无误后，进入评标环节。</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在招标文件要求提交投标文件的截止时间前收到的所有经检查合格的投标文件少于三家时，则招标失败，招标代理机构将重新招标。</w:t>
      </w:r>
    </w:p>
    <w:p>
      <w:pPr>
        <w:numPr>
          <w:ilvl w:val="1"/>
          <w:numId w:val="5"/>
        </w:numPr>
        <w:tabs>
          <w:tab w:val="left" w:pos="420"/>
          <w:tab w:val="left" w:pos="525"/>
          <w:tab w:val="clear" w:pos="567"/>
        </w:tabs>
        <w:spacing w:line="480" w:lineRule="auto"/>
        <w:ind w:left="420" w:hanging="420"/>
        <w:outlineLvl w:val="3"/>
        <w:rPr>
          <w:rFonts w:ascii="仿宋" w:hAnsi="仿宋" w:eastAsia="仿宋" w:cs="仿宋"/>
          <w:b/>
          <w:bCs/>
          <w:sz w:val="24"/>
        </w:rPr>
      </w:pPr>
      <w:r>
        <w:rPr>
          <w:rFonts w:hint="eastAsia" w:ascii="仿宋" w:hAnsi="仿宋" w:eastAsia="仿宋" w:cs="仿宋"/>
          <w:b/>
          <w:bCs/>
          <w:sz w:val="24"/>
        </w:rPr>
        <w:t>评标</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评标委员会</w:t>
      </w:r>
    </w:p>
    <w:p>
      <w:pPr>
        <w:numPr>
          <w:ilvl w:val="0"/>
          <w:numId w:val="7"/>
        </w:numPr>
        <w:spacing w:line="360" w:lineRule="auto"/>
        <w:rPr>
          <w:rFonts w:ascii="仿宋" w:hAnsi="仿宋" w:eastAsia="仿宋" w:cs="仿宋"/>
          <w:bCs/>
          <w:sz w:val="24"/>
        </w:rPr>
      </w:pPr>
      <w:r>
        <w:rPr>
          <w:rFonts w:hint="eastAsia" w:ascii="仿宋" w:hAnsi="仿宋" w:eastAsia="仿宋" w:cs="仿宋"/>
          <w:bCs/>
          <w:sz w:val="24"/>
        </w:rPr>
        <w:t>依法组建评标委员会。评标委员会由</w:t>
      </w:r>
      <w:r>
        <w:rPr>
          <w:rFonts w:hint="eastAsia" w:ascii="仿宋" w:hAnsi="仿宋" w:eastAsia="仿宋" w:cs="仿宋"/>
          <w:b/>
          <w:bCs/>
          <w:sz w:val="24"/>
          <w:u w:val="single"/>
          <w:lang w:val="en-US" w:eastAsia="zh-CN"/>
        </w:rPr>
        <w:t>7</w:t>
      </w:r>
      <w:r>
        <w:rPr>
          <w:rFonts w:hint="eastAsia" w:ascii="仿宋" w:hAnsi="仿宋" w:eastAsia="仿宋" w:cs="仿宋"/>
          <w:bCs/>
          <w:sz w:val="24"/>
        </w:rPr>
        <w:t>人组成，其中采购人代表</w:t>
      </w:r>
      <w:r>
        <w:rPr>
          <w:rFonts w:hint="eastAsia" w:ascii="仿宋" w:hAnsi="仿宋" w:eastAsia="仿宋" w:cs="仿宋"/>
          <w:b/>
          <w:sz w:val="24"/>
          <w:u w:val="single"/>
          <w:lang w:val="en-US" w:eastAsia="zh-CN"/>
        </w:rPr>
        <w:t>2</w:t>
      </w:r>
      <w:r>
        <w:rPr>
          <w:rFonts w:hint="eastAsia" w:ascii="仿宋" w:hAnsi="仿宋" w:eastAsia="仿宋" w:cs="仿宋"/>
          <w:bCs/>
          <w:sz w:val="24"/>
        </w:rPr>
        <w:t>名，其余</w:t>
      </w:r>
      <w:r>
        <w:rPr>
          <w:rFonts w:hint="eastAsia" w:ascii="仿宋" w:hAnsi="仿宋" w:eastAsia="仿宋" w:cs="仿宋"/>
          <w:b/>
          <w:bCs/>
          <w:sz w:val="24"/>
          <w:u w:val="single"/>
          <w:lang w:val="en-US" w:eastAsia="zh-CN"/>
        </w:rPr>
        <w:t>5</w:t>
      </w:r>
      <w:r>
        <w:rPr>
          <w:rFonts w:hint="eastAsia" w:ascii="仿宋" w:hAnsi="仿宋" w:eastAsia="仿宋" w:cs="仿宋"/>
          <w:bCs/>
          <w:sz w:val="24"/>
        </w:rPr>
        <w:t>名评标委员均从专家库中随机抽取产生。</w:t>
      </w:r>
    </w:p>
    <w:p>
      <w:pPr>
        <w:numPr>
          <w:ilvl w:val="0"/>
          <w:numId w:val="7"/>
        </w:numPr>
        <w:spacing w:line="360" w:lineRule="auto"/>
        <w:rPr>
          <w:rFonts w:ascii="仿宋" w:hAnsi="仿宋" w:eastAsia="仿宋" w:cs="仿宋"/>
          <w:bCs/>
          <w:sz w:val="24"/>
        </w:rPr>
      </w:pPr>
      <w:r>
        <w:rPr>
          <w:rFonts w:hint="eastAsia" w:ascii="仿宋" w:hAnsi="仿宋" w:eastAsia="仿宋" w:cs="仿宋"/>
          <w:bCs/>
          <w:sz w:val="24"/>
        </w:rPr>
        <w:t>评标委员会将只对确定为实质上响应招标文件要求的投标文件，即通过符合性审查的投标文件进行评价和比较，</w:t>
      </w:r>
      <w:r>
        <w:rPr>
          <w:rFonts w:hint="eastAsia" w:ascii="仿宋" w:hAnsi="仿宋" w:eastAsia="仿宋" w:cs="仿宋"/>
          <w:b/>
          <w:sz w:val="24"/>
        </w:rPr>
        <w:t>响应的依据是招标文件本身的内容，而不寻求其它证据</w:t>
      </w:r>
      <w:r>
        <w:rPr>
          <w:rFonts w:hint="eastAsia" w:ascii="仿宋" w:hAnsi="仿宋" w:eastAsia="仿宋" w:cs="仿宋"/>
          <w:bCs/>
          <w:sz w:val="24"/>
        </w:rPr>
        <w:t>。</w:t>
      </w:r>
      <w:r>
        <w:rPr>
          <w:rFonts w:hint="eastAsia" w:ascii="仿宋" w:hAnsi="仿宋" w:eastAsia="仿宋" w:cs="仿宋"/>
          <w:b/>
          <w:sz w:val="24"/>
        </w:rPr>
        <w:t>实质上响应的投标应该是与招标文件要求的全部主要条款、条件和规格相符，没有重大偏离的投标</w:t>
      </w:r>
      <w:r>
        <w:rPr>
          <w:rFonts w:hint="eastAsia" w:ascii="仿宋" w:hAnsi="仿宋" w:eastAsia="仿宋" w:cs="仿宋"/>
          <w:bCs/>
          <w:sz w:val="24"/>
        </w:rPr>
        <w:t>。</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评标原则</w:t>
      </w:r>
    </w:p>
    <w:p>
      <w:pPr>
        <w:numPr>
          <w:ilvl w:val="0"/>
          <w:numId w:val="8"/>
        </w:numPr>
        <w:spacing w:line="360" w:lineRule="auto"/>
        <w:rPr>
          <w:rFonts w:ascii="仿宋" w:hAnsi="仿宋" w:eastAsia="仿宋" w:cs="仿宋"/>
          <w:bCs/>
          <w:sz w:val="24"/>
        </w:rPr>
      </w:pPr>
      <w:r>
        <w:rPr>
          <w:rFonts w:hint="eastAsia" w:ascii="仿宋" w:hAnsi="仿宋" w:eastAsia="仿宋" w:cs="仿宋"/>
          <w:bCs/>
          <w:sz w:val="24"/>
        </w:rPr>
        <w:t>评标遵循公平、公正、科学、择优的原则。</w:t>
      </w:r>
    </w:p>
    <w:p>
      <w:pPr>
        <w:numPr>
          <w:ilvl w:val="0"/>
          <w:numId w:val="8"/>
        </w:numPr>
        <w:spacing w:line="360" w:lineRule="auto"/>
        <w:rPr>
          <w:rFonts w:ascii="仿宋" w:hAnsi="仿宋" w:eastAsia="仿宋" w:cs="仿宋"/>
          <w:bCs/>
          <w:sz w:val="24"/>
        </w:rPr>
      </w:pPr>
      <w:r>
        <w:rPr>
          <w:rFonts w:hint="eastAsia" w:ascii="仿宋" w:hAnsi="仿宋" w:eastAsia="仿宋" w:cs="仿宋"/>
          <w:bCs/>
          <w:sz w:val="24"/>
        </w:rPr>
        <w:t>确定中标人的评标准则是：能够最大限度满足招标文件中规定的各项综合评价标准。评标委员会没有义务接受最低报价的投标。</w:t>
      </w:r>
    </w:p>
    <w:p>
      <w:pPr>
        <w:numPr>
          <w:ilvl w:val="0"/>
          <w:numId w:val="8"/>
        </w:numPr>
        <w:spacing w:line="360" w:lineRule="auto"/>
        <w:rPr>
          <w:rFonts w:ascii="仿宋" w:hAnsi="仿宋" w:eastAsia="仿宋" w:cs="仿宋"/>
          <w:bCs/>
          <w:sz w:val="24"/>
        </w:rPr>
      </w:pPr>
      <w:r>
        <w:rPr>
          <w:rFonts w:hint="eastAsia" w:ascii="仿宋" w:hAnsi="仿宋" w:eastAsia="仿宋" w:cs="仿宋"/>
          <w:bCs/>
          <w:sz w:val="24"/>
        </w:rPr>
        <w:t>评标委员会有权根据有关规定否决所有投标。</w:t>
      </w:r>
    </w:p>
    <w:p>
      <w:pPr>
        <w:numPr>
          <w:ilvl w:val="2"/>
          <w:numId w:val="5"/>
        </w:numPr>
        <w:tabs>
          <w:tab w:val="left" w:pos="735"/>
          <w:tab w:val="left" w:pos="1254"/>
        </w:tabs>
        <w:spacing w:line="360" w:lineRule="auto"/>
        <w:ind w:left="735" w:hanging="735"/>
        <w:rPr>
          <w:rFonts w:ascii="仿宋" w:hAnsi="仿宋" w:eastAsia="仿宋" w:cs="仿宋"/>
          <w:bCs/>
        </w:rPr>
      </w:pPr>
      <w:r>
        <w:rPr>
          <w:rFonts w:hint="eastAsia" w:ascii="仿宋" w:hAnsi="仿宋" w:eastAsia="仿宋" w:cs="仿宋"/>
          <w:bCs/>
          <w:sz w:val="24"/>
        </w:rPr>
        <w:t>评标过程的保密性</w:t>
      </w:r>
    </w:p>
    <w:p>
      <w:pPr>
        <w:numPr>
          <w:ilvl w:val="0"/>
          <w:numId w:val="9"/>
        </w:numPr>
        <w:spacing w:line="360" w:lineRule="auto"/>
        <w:rPr>
          <w:rFonts w:ascii="仿宋" w:hAnsi="仿宋" w:eastAsia="仿宋" w:cs="仿宋"/>
          <w:bCs/>
          <w:sz w:val="24"/>
        </w:rPr>
      </w:pPr>
      <w:r>
        <w:rPr>
          <w:rFonts w:hint="eastAsia" w:ascii="仿宋" w:hAnsi="仿宋" w:eastAsia="仿宋" w:cs="仿宋"/>
          <w:bCs/>
          <w:sz w:val="24"/>
        </w:rPr>
        <w:t>开标后，直至向中标的投标人授予合同时止，凡与审查、澄清、评价和比较投标有关的资料以及授标意见等，均不得向投标人及与评标无关的其他人透露。</w:t>
      </w:r>
    </w:p>
    <w:p>
      <w:pPr>
        <w:numPr>
          <w:ilvl w:val="0"/>
          <w:numId w:val="9"/>
        </w:numPr>
        <w:spacing w:line="360" w:lineRule="auto"/>
        <w:rPr>
          <w:rFonts w:ascii="仿宋" w:hAnsi="仿宋" w:eastAsia="仿宋" w:cs="仿宋"/>
          <w:bCs/>
          <w:sz w:val="24"/>
        </w:rPr>
      </w:pPr>
      <w:r>
        <w:rPr>
          <w:rFonts w:hint="eastAsia" w:ascii="仿宋" w:hAnsi="仿宋" w:eastAsia="仿宋" w:cs="仿宋"/>
          <w:bCs/>
          <w:sz w:val="24"/>
        </w:rPr>
        <w:t>在评标过程中，如果投标人试图在投标文件审查、澄清、比较及授予合同方面向评标委员会及采购人施加任何影响，其投标将被拒绝。</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投标文件的澄清</w:t>
      </w:r>
    </w:p>
    <w:p>
      <w:pPr>
        <w:numPr>
          <w:ilvl w:val="0"/>
          <w:numId w:val="10"/>
        </w:numPr>
        <w:spacing w:line="360" w:lineRule="auto"/>
        <w:rPr>
          <w:rFonts w:ascii="仿宋" w:hAnsi="仿宋" w:eastAsia="仿宋" w:cs="仿宋"/>
          <w:bCs/>
          <w:sz w:val="24"/>
        </w:rPr>
      </w:pPr>
      <w:r>
        <w:rPr>
          <w:rFonts w:hint="eastAsia" w:ascii="仿宋" w:hAnsi="仿宋" w:eastAsia="仿宋" w:cs="仿宋"/>
          <w:bCs/>
          <w:sz w:val="24"/>
        </w:rPr>
        <w:t>除评标委员会主动要求澄清外，从开标后至授予合同期间，任何投标人均不得就与其投标相关的任何问题与评标委员会联系。</w:t>
      </w:r>
    </w:p>
    <w:p>
      <w:pPr>
        <w:numPr>
          <w:ilvl w:val="0"/>
          <w:numId w:val="10"/>
        </w:numPr>
        <w:spacing w:line="360" w:lineRule="auto"/>
        <w:rPr>
          <w:rFonts w:ascii="仿宋" w:hAnsi="仿宋" w:eastAsia="仿宋" w:cs="仿宋"/>
          <w:bCs/>
          <w:sz w:val="24"/>
        </w:rPr>
      </w:pPr>
      <w:r>
        <w:rPr>
          <w:rFonts w:hint="eastAsia" w:ascii="仿宋" w:hAnsi="仿宋" w:eastAsia="仿宋" w:cs="仿宋"/>
          <w:bCs/>
          <w:sz w:val="24"/>
        </w:rPr>
        <w:t>为有利评标，在开标后，可随时请投标人就投标文件中某点加以澄清，澄清的内容不得对投标文件作实质性修改。以书面形式表达并加盖公章或由投标人的合法授权代表正式签署的答复经评标委员会认可后，可作为投标文件的一部分参与评标。</w:t>
      </w:r>
    </w:p>
    <w:p>
      <w:pPr>
        <w:numPr>
          <w:ilvl w:val="2"/>
          <w:numId w:val="5"/>
        </w:numPr>
        <w:tabs>
          <w:tab w:val="left" w:pos="735"/>
          <w:tab w:val="left" w:pos="1254"/>
        </w:tabs>
        <w:spacing w:line="360" w:lineRule="auto"/>
        <w:ind w:left="735" w:hanging="735"/>
        <w:rPr>
          <w:rFonts w:ascii="仿宋" w:hAnsi="仿宋" w:eastAsia="仿宋" w:cs="仿宋"/>
          <w:bCs/>
          <w:sz w:val="24"/>
        </w:rPr>
      </w:pPr>
      <w:r>
        <w:rPr>
          <w:rFonts w:hint="eastAsia" w:ascii="仿宋" w:hAnsi="仿宋" w:eastAsia="仿宋" w:cs="仿宋"/>
          <w:bCs/>
          <w:sz w:val="24"/>
        </w:rPr>
        <w:t>评标程序及方法（详见评标文件）</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评标分</w:t>
      </w:r>
      <w:r>
        <w:rPr>
          <w:rFonts w:hint="eastAsia" w:ascii="仿宋" w:hAnsi="仿宋" w:eastAsia="仿宋" w:cs="仿宋"/>
          <w:b/>
          <w:sz w:val="24"/>
        </w:rPr>
        <w:t>两个阶段进行：投标文件资格性、符合性审查和投标文件详细评审</w:t>
      </w:r>
      <w:r>
        <w:rPr>
          <w:rFonts w:hint="eastAsia" w:ascii="仿宋" w:hAnsi="仿宋" w:eastAsia="仿宋" w:cs="仿宋"/>
          <w:bCs/>
          <w:sz w:val="24"/>
        </w:rPr>
        <w:t>。各评委首先对各投标文件进行</w:t>
      </w:r>
      <w:r>
        <w:rPr>
          <w:rFonts w:hint="eastAsia" w:ascii="仿宋" w:hAnsi="仿宋" w:eastAsia="仿宋" w:cs="仿宋"/>
          <w:bCs/>
          <w:sz w:val="24"/>
          <w:lang w:val="en-US" w:eastAsia="zh-CN"/>
        </w:rPr>
        <w:t>资格审查和</w:t>
      </w:r>
      <w:r>
        <w:rPr>
          <w:rFonts w:hint="eastAsia" w:ascii="仿宋" w:hAnsi="仿宋" w:eastAsia="仿宋" w:cs="仿宋"/>
          <w:bCs/>
          <w:sz w:val="24"/>
        </w:rPr>
        <w:t>符合性审查，投标人只有完全通过，才能进入下一阶段的详细评审，否则视为无效投标。</w:t>
      </w:r>
    </w:p>
    <w:p>
      <w:pPr>
        <w:spacing w:line="360" w:lineRule="auto"/>
        <w:ind w:left="283"/>
        <w:rPr>
          <w:rFonts w:ascii="仿宋" w:hAnsi="仿宋" w:eastAsia="仿宋" w:cs="仿宋"/>
          <w:bCs/>
          <w:sz w:val="24"/>
        </w:rPr>
      </w:pPr>
      <w:r>
        <w:rPr>
          <w:rFonts w:hint="eastAsia" w:ascii="仿宋" w:hAnsi="仿宋" w:eastAsia="仿宋" w:cs="仿宋"/>
          <w:bCs/>
          <w:sz w:val="24"/>
        </w:rPr>
        <w:t>6.资格审查</w:t>
      </w:r>
    </w:p>
    <w:tbl>
      <w:tblPr>
        <w:tblStyle w:val="20"/>
        <w:tblW w:w="97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90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687" w:type="dxa"/>
            <w:vAlign w:val="center"/>
          </w:tcPr>
          <w:p>
            <w:pPr>
              <w:spacing w:line="440" w:lineRule="exact"/>
              <w:jc w:val="center"/>
              <w:rPr>
                <w:rFonts w:ascii="仿宋" w:hAnsi="仿宋" w:eastAsia="仿宋" w:cs="仿宋"/>
                <w:b/>
                <w:bCs/>
                <w:szCs w:val="21"/>
              </w:rPr>
            </w:pPr>
            <w:r>
              <w:rPr>
                <w:rFonts w:hint="eastAsia" w:ascii="仿宋" w:hAnsi="仿宋" w:eastAsia="仿宋" w:cs="仿宋"/>
                <w:b/>
                <w:bCs/>
                <w:szCs w:val="21"/>
              </w:rPr>
              <w:t>序号</w:t>
            </w:r>
          </w:p>
        </w:tc>
        <w:tc>
          <w:tcPr>
            <w:tcW w:w="9070" w:type="dxa"/>
            <w:vAlign w:val="center"/>
          </w:tcPr>
          <w:p>
            <w:pPr>
              <w:spacing w:line="440" w:lineRule="exact"/>
              <w:jc w:val="center"/>
              <w:rPr>
                <w:rFonts w:ascii="仿宋" w:hAnsi="仿宋" w:eastAsia="仿宋" w:cs="仿宋"/>
                <w:b/>
                <w:bCs/>
                <w:szCs w:val="21"/>
              </w:rPr>
            </w:pPr>
            <w:r>
              <w:rPr>
                <w:rFonts w:hint="eastAsia" w:ascii="仿宋" w:hAnsi="仿宋" w:eastAsia="仿宋" w:cs="仿宋"/>
                <w:b/>
                <w:bCs/>
                <w:szCs w:val="21"/>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5" w:hRule="atLeast"/>
        </w:trPr>
        <w:tc>
          <w:tcPr>
            <w:tcW w:w="687"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1</w:t>
            </w:r>
          </w:p>
        </w:tc>
        <w:tc>
          <w:tcPr>
            <w:tcW w:w="9070" w:type="dxa"/>
            <w:vAlign w:val="center"/>
          </w:tcPr>
          <w:p>
            <w:pPr>
              <w:spacing w:line="400" w:lineRule="exact"/>
              <w:rPr>
                <w:rFonts w:ascii="仿宋" w:hAnsi="仿宋" w:eastAsia="仿宋" w:cs="仿宋"/>
                <w:szCs w:val="21"/>
              </w:rPr>
            </w:pPr>
            <w:r>
              <w:rPr>
                <w:rFonts w:hint="eastAsia" w:ascii="仿宋" w:hAnsi="仿宋" w:eastAsia="仿宋" w:cs="仿宋"/>
                <w:szCs w:val="21"/>
              </w:rPr>
              <w:t>满足《中华人民共和国政府采购法》第二十二条规定；</w:t>
            </w:r>
          </w:p>
          <w:p>
            <w:pPr>
              <w:spacing w:line="400" w:lineRule="exact"/>
              <w:rPr>
                <w:rFonts w:ascii="仿宋" w:hAnsi="仿宋" w:eastAsia="仿宋" w:cs="仿宋"/>
                <w:szCs w:val="21"/>
              </w:rPr>
            </w:pPr>
            <w:r>
              <w:rPr>
                <w:rFonts w:hint="eastAsia" w:ascii="仿宋" w:hAnsi="仿宋" w:eastAsia="仿宋" w:cs="仿宋"/>
                <w:szCs w:val="21"/>
              </w:rPr>
              <w:t>（1）具有独立承担民事责任的能力； </w:t>
            </w:r>
          </w:p>
          <w:p>
            <w:pPr>
              <w:spacing w:line="400" w:lineRule="exact"/>
              <w:rPr>
                <w:rFonts w:ascii="仿宋" w:hAnsi="仿宋" w:eastAsia="仿宋" w:cs="仿宋"/>
                <w:szCs w:val="21"/>
              </w:rPr>
            </w:pPr>
            <w:r>
              <w:rPr>
                <w:rFonts w:hint="eastAsia" w:ascii="仿宋" w:hAnsi="仿宋" w:eastAsia="仿宋" w:cs="仿宋"/>
                <w:szCs w:val="21"/>
              </w:rPr>
              <w:t>（2）具有良好的商业信誉和健全的财务会计制度； </w:t>
            </w:r>
          </w:p>
          <w:p>
            <w:pPr>
              <w:spacing w:line="400" w:lineRule="exact"/>
              <w:rPr>
                <w:rFonts w:ascii="仿宋" w:hAnsi="仿宋" w:eastAsia="仿宋" w:cs="仿宋"/>
                <w:szCs w:val="21"/>
              </w:rPr>
            </w:pPr>
            <w:r>
              <w:rPr>
                <w:rFonts w:hint="eastAsia" w:ascii="仿宋" w:hAnsi="仿宋" w:eastAsia="仿宋" w:cs="仿宋"/>
                <w:szCs w:val="21"/>
              </w:rPr>
              <w:t>（3）具有履行合同所必需的设备和专业技术能力； </w:t>
            </w:r>
          </w:p>
          <w:p>
            <w:pPr>
              <w:spacing w:line="400" w:lineRule="exact"/>
              <w:rPr>
                <w:rFonts w:ascii="仿宋" w:hAnsi="仿宋" w:eastAsia="仿宋" w:cs="仿宋"/>
                <w:szCs w:val="21"/>
              </w:rPr>
            </w:pPr>
            <w:r>
              <w:rPr>
                <w:rFonts w:hint="eastAsia" w:ascii="仿宋" w:hAnsi="仿宋" w:eastAsia="仿宋" w:cs="仿宋"/>
                <w:szCs w:val="21"/>
              </w:rPr>
              <w:t>（4）有依法缴纳税收和社会保障资金的良好记录； </w:t>
            </w:r>
          </w:p>
          <w:p>
            <w:pPr>
              <w:spacing w:line="400" w:lineRule="exact"/>
              <w:rPr>
                <w:rFonts w:ascii="仿宋" w:hAnsi="仿宋" w:eastAsia="仿宋" w:cs="仿宋"/>
                <w:szCs w:val="21"/>
              </w:rPr>
            </w:pPr>
            <w:r>
              <w:rPr>
                <w:rFonts w:hint="eastAsia" w:ascii="仿宋" w:hAnsi="仿宋" w:eastAsia="仿宋" w:cs="仿宋"/>
                <w:szCs w:val="21"/>
              </w:rPr>
              <w:t>（5）参加政府采购活动前三年内，在经营活动中没有重大违法记录； </w:t>
            </w:r>
          </w:p>
          <w:p>
            <w:pPr>
              <w:spacing w:line="400" w:lineRule="exact"/>
              <w:rPr>
                <w:rFonts w:ascii="仿宋" w:hAnsi="仿宋" w:eastAsia="仿宋" w:cs="仿宋"/>
                <w:szCs w:val="21"/>
              </w:rPr>
            </w:pPr>
            <w:r>
              <w:rPr>
                <w:rFonts w:hint="eastAsia" w:ascii="仿宋" w:hAnsi="仿宋" w:eastAsia="仿宋" w:cs="仿宋"/>
                <w:szCs w:val="21"/>
              </w:rPr>
              <w:t>（6）法律、行政法规规定的其他条件；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5" w:hRule="atLeast"/>
        </w:trPr>
        <w:tc>
          <w:tcPr>
            <w:tcW w:w="687"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2</w:t>
            </w:r>
          </w:p>
        </w:tc>
        <w:tc>
          <w:tcPr>
            <w:tcW w:w="9070" w:type="dxa"/>
            <w:vAlign w:val="center"/>
          </w:tcPr>
          <w:p>
            <w:pPr>
              <w:spacing w:line="400" w:lineRule="exact"/>
              <w:rPr>
                <w:rFonts w:ascii="仿宋" w:hAnsi="仿宋" w:eastAsia="仿宋" w:cs="仿宋"/>
                <w:szCs w:val="21"/>
              </w:rPr>
            </w:pPr>
            <w:r>
              <w:rPr>
                <w:rFonts w:hint="eastAsia" w:ascii="仿宋" w:hAnsi="仿宋" w:eastAsia="仿宋" w:cs="仿宋"/>
                <w:szCs w:val="21"/>
              </w:rPr>
              <w:t>落实政府采购政策需满足的资格要求：</w:t>
            </w:r>
          </w:p>
          <w:p>
            <w:pPr>
              <w:spacing w:line="400" w:lineRule="exact"/>
              <w:rPr>
                <w:rFonts w:ascii="仿宋" w:hAnsi="仿宋" w:eastAsia="仿宋" w:cs="仿宋"/>
                <w:szCs w:val="21"/>
              </w:rPr>
            </w:pPr>
            <w:r>
              <w:rPr>
                <w:rFonts w:hint="eastAsia" w:ascii="仿宋" w:hAnsi="仿宋" w:eastAsia="仿宋" w:cs="仿宋"/>
                <w:szCs w:val="21"/>
              </w:rPr>
              <w:t>（1）财政部、国家发展改革委、生态环境部、市场监管总局《关于调整优化节能产品、环境标志产品政府采购执行机制的通知》（财库[2019]9 号文）；</w:t>
            </w:r>
          </w:p>
          <w:p>
            <w:pPr>
              <w:spacing w:line="400" w:lineRule="exact"/>
              <w:rPr>
                <w:rFonts w:ascii="仿宋" w:hAnsi="仿宋" w:eastAsia="仿宋" w:cs="仿宋"/>
                <w:szCs w:val="21"/>
              </w:rPr>
            </w:pPr>
            <w:r>
              <w:rPr>
                <w:rFonts w:hint="eastAsia" w:ascii="仿宋" w:hAnsi="仿宋" w:eastAsia="仿宋" w:cs="仿宋"/>
                <w:szCs w:val="21"/>
              </w:rPr>
              <w:t>（2）财政部、生态环境部《关于印发环境标志产品政府采购品目清单的通知》（财库[2019]18 号文）；</w:t>
            </w:r>
          </w:p>
          <w:p>
            <w:pPr>
              <w:spacing w:line="400" w:lineRule="exact"/>
              <w:rPr>
                <w:rFonts w:ascii="仿宋" w:hAnsi="仿宋" w:eastAsia="仿宋" w:cs="仿宋"/>
                <w:szCs w:val="21"/>
              </w:rPr>
            </w:pPr>
            <w:r>
              <w:rPr>
                <w:rFonts w:hint="eastAsia" w:ascii="仿宋" w:hAnsi="仿宋" w:eastAsia="仿宋" w:cs="仿宋"/>
                <w:szCs w:val="21"/>
              </w:rPr>
              <w:t>（3）财政部、发展改革委《关于印发节能产品政府采购品目清单的通知》（财库[2019]19 号文）；</w:t>
            </w:r>
          </w:p>
          <w:p>
            <w:pPr>
              <w:spacing w:line="400" w:lineRule="exact"/>
              <w:rPr>
                <w:rFonts w:ascii="仿宋" w:hAnsi="仿宋" w:eastAsia="仿宋" w:cs="仿宋"/>
                <w:szCs w:val="21"/>
              </w:rPr>
            </w:pPr>
            <w:r>
              <w:rPr>
                <w:rFonts w:hint="eastAsia" w:ascii="仿宋" w:hAnsi="仿宋" w:eastAsia="仿宋" w:cs="仿宋"/>
                <w:szCs w:val="21"/>
              </w:rPr>
              <w:t>（4）市场监管总局《市场监管总局关于发布参与实施政府采购节能产品、环境标志产品认证机构名录的公告》（2019 年第 16 号）；</w:t>
            </w:r>
          </w:p>
          <w:p>
            <w:pPr>
              <w:spacing w:line="400" w:lineRule="exact"/>
              <w:rPr>
                <w:rFonts w:ascii="仿宋" w:hAnsi="仿宋" w:eastAsia="仿宋" w:cs="仿宋"/>
                <w:szCs w:val="21"/>
              </w:rPr>
            </w:pPr>
            <w:r>
              <w:rPr>
                <w:rFonts w:hint="eastAsia" w:ascii="仿宋" w:hAnsi="仿宋" w:eastAsia="仿宋" w:cs="仿宋"/>
                <w:szCs w:val="21"/>
              </w:rPr>
              <w:t>（5）关于印发《政府采购促进中小企业发展管理办法》（财库〔2020〕46号）；</w:t>
            </w:r>
          </w:p>
          <w:p>
            <w:pPr>
              <w:spacing w:line="400" w:lineRule="exact"/>
              <w:rPr>
                <w:rFonts w:ascii="仿宋" w:hAnsi="仿宋" w:eastAsia="仿宋" w:cs="仿宋"/>
              </w:rPr>
            </w:pPr>
            <w:r>
              <w:rPr>
                <w:rFonts w:hint="eastAsia" w:ascii="仿宋" w:hAnsi="仿宋" w:eastAsia="仿宋" w:cs="仿宋"/>
                <w:szCs w:val="21"/>
              </w:rPr>
              <w:t>（6）财政部、民政部、中国残疾人联合会《关于促进残疾人就业政府采购政策的通知》（财库[2017]141 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87"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3</w:t>
            </w:r>
          </w:p>
        </w:tc>
        <w:tc>
          <w:tcPr>
            <w:tcW w:w="9070" w:type="dxa"/>
            <w:vAlign w:val="center"/>
          </w:tcPr>
          <w:p>
            <w:pPr>
              <w:spacing w:line="400" w:lineRule="exact"/>
            </w:pPr>
            <w:r>
              <w:rPr>
                <w:rFonts w:hint="eastAsia"/>
              </w:rPr>
              <w:t>本项目的特定资格要求：</w:t>
            </w:r>
          </w:p>
          <w:p>
            <w:pPr>
              <w:spacing w:line="440" w:lineRule="exact"/>
              <w:rPr>
                <w:rFonts w:hint="eastAsia"/>
              </w:rPr>
            </w:pPr>
            <w:r>
              <w:rPr>
                <w:rFonts w:hint="eastAsia"/>
              </w:rPr>
              <w:t>（1）有效的工商营业执照副本原件、税务登记证副本原件、组织机构代码证副本原件或“三证合一”的营业执照副本原件或当地公证处出具的此资质的公证书原件；（营业执照需包含本次项目的相关经营权）；</w:t>
            </w:r>
          </w:p>
          <w:p>
            <w:pPr>
              <w:spacing w:line="440" w:lineRule="exact"/>
              <w:rPr>
                <w:rFonts w:hint="default" w:eastAsia="宋体"/>
                <w:lang w:val="en-US" w:eastAsia="zh-CN"/>
              </w:rPr>
            </w:pPr>
            <w:r>
              <w:rPr>
                <w:rFonts w:hint="eastAsia"/>
              </w:rPr>
              <w:t>（2）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r>
              <w:rPr>
                <w:rFonts w:hint="eastAsia"/>
                <w:lang w:val="en-US" w:eastAsia="zh-CN"/>
              </w:rPr>
              <w:t>或其他经营资格证明文件</w:t>
            </w:r>
          </w:p>
          <w:p>
            <w:pPr>
              <w:spacing w:line="440" w:lineRule="exact"/>
            </w:pPr>
            <w:r>
              <w:rPr>
                <w:rFonts w:hint="eastAsia"/>
              </w:rPr>
              <w:t>（3）供应商应在“信用中国”网站（www.creditchina.gov.cn）未被列入失信被执行人记录、重大税收违法案件当事人名单且在中国政府采购网（www.ccgp.gov.cn）没有相关主体政府采购严重违法失信行为记录（被禁止在一定期限内参加政府采购活动但期限届满的除外）（查询日期为从招标文件发售之日起至投标截止日前），以网页截图（需显示查询时间）加盖投标人公章为准；  </w:t>
            </w:r>
          </w:p>
          <w:p>
            <w:pPr>
              <w:spacing w:line="440" w:lineRule="exact"/>
              <w:rPr>
                <w:rFonts w:hint="eastAsia"/>
              </w:rPr>
            </w:pPr>
            <w:r>
              <w:rPr>
                <w:rFonts w:hint="eastAsia"/>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pStyle w:val="2"/>
              <w:rPr>
                <w:rFonts w:hint="default" w:eastAsia="仿宋"/>
                <w:lang w:val="en-US" w:eastAsia="zh-CN"/>
              </w:rPr>
            </w:pPr>
            <w:r>
              <w:rPr>
                <w:rFonts w:hint="eastAsia" w:ascii="Times New Roman" w:hAnsi="Times New Roman" w:eastAsia="宋体" w:cs="Times New Roman"/>
                <w:b w:val="0"/>
                <w:bCs w:val="0"/>
                <w:kern w:val="2"/>
                <w:sz w:val="21"/>
                <w:szCs w:val="24"/>
                <w:lang w:val="en-US" w:eastAsia="zh-CN" w:bidi="ar-SA"/>
              </w:rPr>
              <w:t>（5）法定代表人授权委托书必须明确授权所投包号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687" w:type="dxa"/>
            <w:vAlign w:val="center"/>
          </w:tcPr>
          <w:p>
            <w:pPr>
              <w:spacing w:line="400" w:lineRule="exact"/>
              <w:rPr>
                <w:rFonts w:ascii="仿宋" w:hAnsi="仿宋" w:eastAsia="仿宋" w:cs="仿宋"/>
                <w:b/>
                <w:szCs w:val="21"/>
              </w:rPr>
            </w:pPr>
            <w:r>
              <w:rPr>
                <w:rFonts w:hint="eastAsia" w:ascii="仿宋" w:hAnsi="仿宋" w:eastAsia="仿宋" w:cs="仿宋"/>
                <w:b/>
                <w:szCs w:val="21"/>
              </w:rPr>
              <w:t>备注</w:t>
            </w:r>
          </w:p>
        </w:tc>
        <w:tc>
          <w:tcPr>
            <w:tcW w:w="9070" w:type="dxa"/>
          </w:tcPr>
          <w:p>
            <w:pPr>
              <w:spacing w:line="400" w:lineRule="exact"/>
              <w:rPr>
                <w:rFonts w:ascii="仿宋" w:hAnsi="仿宋" w:eastAsia="仿宋" w:cs="仿宋"/>
                <w:b/>
                <w:szCs w:val="21"/>
              </w:rPr>
            </w:pPr>
            <w:r>
              <w:rPr>
                <w:rFonts w:hint="eastAsia" w:ascii="仿宋" w:hAnsi="仿宋" w:eastAsia="仿宋" w:cs="仿宋"/>
                <w:b/>
                <w:szCs w:val="21"/>
              </w:rPr>
              <w:t>再次重申：供应商请认真阅读和理解上述内容，避免响应文件中有违背上述审查标准之一的情况发生而成为无效响应。</w:t>
            </w:r>
          </w:p>
        </w:tc>
      </w:tr>
    </w:tbl>
    <w:p>
      <w:pPr>
        <w:rPr>
          <w:rFonts w:ascii="仿宋" w:hAnsi="仿宋" w:eastAsia="仿宋" w:cs="仿宋"/>
          <w:b/>
          <w:sz w:val="24"/>
        </w:rPr>
      </w:pPr>
      <w:r>
        <w:rPr>
          <w:rFonts w:hint="eastAsia" w:ascii="仿宋" w:hAnsi="仿宋" w:eastAsia="仿宋" w:cs="仿宋"/>
          <w:b/>
          <w:sz w:val="24"/>
        </w:rPr>
        <w:t>符合性审查：评标委员会依据招标文件，对投标文件的有效性、完整性和对招标文件的响应程度进行审查，以确定投标人是否对招标文件的实质性要求做出响应。</w:t>
      </w:r>
    </w:p>
    <w:p>
      <w:pPr>
        <w:pStyle w:val="32"/>
        <w:autoSpaceDE w:val="0"/>
        <w:autoSpaceDN w:val="0"/>
        <w:adjustRightInd w:val="0"/>
        <w:spacing w:line="460" w:lineRule="exact"/>
        <w:ind w:left="425" w:firstLine="0" w:firstLineChars="0"/>
        <w:rPr>
          <w:rFonts w:ascii="仿宋" w:hAnsi="仿宋" w:eastAsia="仿宋" w:cs="仿宋"/>
          <w:b/>
          <w:szCs w:val="21"/>
        </w:rPr>
      </w:pPr>
    </w:p>
    <w:p>
      <w:pPr>
        <w:pStyle w:val="32"/>
        <w:autoSpaceDE w:val="0"/>
        <w:autoSpaceDN w:val="0"/>
        <w:adjustRightInd w:val="0"/>
        <w:spacing w:line="460" w:lineRule="exact"/>
        <w:ind w:left="425" w:firstLine="0" w:firstLineChars="0"/>
        <w:rPr>
          <w:rFonts w:ascii="仿宋" w:hAnsi="仿宋" w:eastAsia="仿宋" w:cs="仿宋"/>
          <w:b/>
          <w:szCs w:val="21"/>
        </w:rPr>
      </w:pPr>
    </w:p>
    <w:p>
      <w:pPr>
        <w:pStyle w:val="32"/>
        <w:autoSpaceDE w:val="0"/>
        <w:autoSpaceDN w:val="0"/>
        <w:adjustRightInd w:val="0"/>
        <w:spacing w:line="460" w:lineRule="exact"/>
        <w:ind w:left="425" w:firstLine="0" w:firstLineChars="0"/>
        <w:rPr>
          <w:rFonts w:ascii="仿宋" w:hAnsi="仿宋" w:eastAsia="仿宋" w:cs="仿宋"/>
          <w:b/>
          <w:sz w:val="30"/>
          <w:szCs w:val="30"/>
        </w:rPr>
      </w:pPr>
      <w:r>
        <w:rPr>
          <w:rFonts w:hint="eastAsia" w:ascii="仿宋" w:hAnsi="仿宋" w:eastAsia="仿宋" w:cs="仿宋"/>
          <w:b/>
          <w:szCs w:val="21"/>
        </w:rPr>
        <w:t>符合性审查</w:t>
      </w:r>
    </w:p>
    <w:tbl>
      <w:tblPr>
        <w:tblStyle w:val="20"/>
        <w:tblW w:w="97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90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trPr>
        <w:tc>
          <w:tcPr>
            <w:tcW w:w="687" w:type="dxa"/>
            <w:vAlign w:val="center"/>
          </w:tcPr>
          <w:p>
            <w:pPr>
              <w:spacing w:line="440" w:lineRule="exact"/>
              <w:jc w:val="center"/>
              <w:rPr>
                <w:rFonts w:ascii="仿宋" w:hAnsi="仿宋" w:eastAsia="仿宋" w:cs="仿宋"/>
                <w:b/>
                <w:bCs/>
                <w:szCs w:val="21"/>
              </w:rPr>
            </w:pPr>
            <w:r>
              <w:rPr>
                <w:rFonts w:hint="eastAsia" w:ascii="仿宋" w:hAnsi="仿宋" w:eastAsia="仿宋" w:cs="仿宋"/>
                <w:b/>
                <w:bCs/>
                <w:szCs w:val="21"/>
              </w:rPr>
              <w:t>序号</w:t>
            </w:r>
          </w:p>
        </w:tc>
        <w:tc>
          <w:tcPr>
            <w:tcW w:w="9070" w:type="dxa"/>
            <w:vAlign w:val="center"/>
          </w:tcPr>
          <w:p>
            <w:pPr>
              <w:spacing w:line="440" w:lineRule="exact"/>
              <w:jc w:val="center"/>
              <w:rPr>
                <w:rFonts w:ascii="仿宋" w:hAnsi="仿宋" w:eastAsia="仿宋" w:cs="仿宋"/>
                <w:b/>
                <w:bCs/>
                <w:szCs w:val="21"/>
              </w:rPr>
            </w:pPr>
            <w:r>
              <w:rPr>
                <w:rFonts w:hint="eastAsia" w:ascii="仿宋" w:hAnsi="仿宋" w:eastAsia="仿宋" w:cs="仿宋"/>
                <w:b/>
                <w:bCs/>
                <w:szCs w:val="21"/>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 w:hRule="atLeast"/>
        </w:trPr>
        <w:tc>
          <w:tcPr>
            <w:tcW w:w="687"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1</w:t>
            </w:r>
          </w:p>
        </w:tc>
        <w:tc>
          <w:tcPr>
            <w:tcW w:w="9070" w:type="dxa"/>
            <w:vAlign w:val="center"/>
          </w:tcPr>
          <w:p>
            <w:pPr>
              <w:spacing w:line="440" w:lineRule="exact"/>
              <w:rPr>
                <w:rFonts w:ascii="仿宋" w:hAnsi="仿宋" w:eastAsia="仿宋" w:cs="仿宋"/>
                <w:szCs w:val="21"/>
              </w:rPr>
            </w:pPr>
            <w:r>
              <w:rPr>
                <w:rFonts w:hint="eastAsia" w:ascii="仿宋" w:hAnsi="仿宋" w:eastAsia="仿宋" w:cs="仿宋"/>
                <w:szCs w:val="21"/>
              </w:rPr>
              <w:t>投标文件是否按招标文件的要求加盖供应商单位公章、法定代表人或其委托代理人签字或盖章；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687"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2</w:t>
            </w:r>
          </w:p>
        </w:tc>
        <w:tc>
          <w:tcPr>
            <w:tcW w:w="9070" w:type="dxa"/>
            <w:vAlign w:val="center"/>
          </w:tcPr>
          <w:p>
            <w:pPr>
              <w:spacing w:line="440" w:lineRule="exact"/>
              <w:rPr>
                <w:rFonts w:ascii="仿宋" w:hAnsi="仿宋" w:eastAsia="仿宋" w:cs="仿宋"/>
                <w:szCs w:val="21"/>
              </w:rPr>
            </w:pPr>
            <w:r>
              <w:rPr>
                <w:rFonts w:hint="eastAsia" w:ascii="仿宋" w:hAnsi="仿宋" w:eastAsia="仿宋" w:cs="仿宋"/>
                <w:szCs w:val="21"/>
              </w:rPr>
              <w:t>供应商是否对同一采购项目做出两个以上报价而未明确效力；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trPr>
        <w:tc>
          <w:tcPr>
            <w:tcW w:w="687"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3</w:t>
            </w:r>
          </w:p>
        </w:tc>
        <w:tc>
          <w:tcPr>
            <w:tcW w:w="9070" w:type="dxa"/>
            <w:vAlign w:val="center"/>
          </w:tcPr>
          <w:p>
            <w:pPr>
              <w:spacing w:line="440" w:lineRule="exact"/>
              <w:rPr>
                <w:rFonts w:ascii="仿宋" w:hAnsi="仿宋" w:eastAsia="仿宋" w:cs="仿宋"/>
                <w:szCs w:val="21"/>
              </w:rPr>
            </w:pPr>
            <w:r>
              <w:rPr>
                <w:rFonts w:hint="eastAsia" w:ascii="仿宋" w:hAnsi="仿宋" w:eastAsia="仿宋" w:cs="仿宋"/>
                <w:szCs w:val="21"/>
              </w:rPr>
              <w:t>合同履约期限是否符合招标文件要求；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trPr>
        <w:tc>
          <w:tcPr>
            <w:tcW w:w="687"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4</w:t>
            </w:r>
          </w:p>
        </w:tc>
        <w:tc>
          <w:tcPr>
            <w:tcW w:w="9070" w:type="dxa"/>
            <w:vAlign w:val="center"/>
          </w:tcPr>
          <w:p>
            <w:pPr>
              <w:spacing w:line="440" w:lineRule="exact"/>
              <w:rPr>
                <w:rFonts w:ascii="仿宋" w:hAnsi="仿宋" w:eastAsia="仿宋" w:cs="仿宋"/>
                <w:szCs w:val="21"/>
              </w:rPr>
            </w:pPr>
            <w:r>
              <w:rPr>
                <w:rFonts w:hint="eastAsia" w:ascii="仿宋" w:hAnsi="仿宋" w:eastAsia="仿宋" w:cs="仿宋"/>
                <w:szCs w:val="21"/>
              </w:rPr>
              <w:t>投标文件的投标报价不得高于最高限价；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trPr>
        <w:tc>
          <w:tcPr>
            <w:tcW w:w="687"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5</w:t>
            </w:r>
          </w:p>
        </w:tc>
        <w:tc>
          <w:tcPr>
            <w:tcW w:w="9070" w:type="dxa"/>
            <w:vAlign w:val="center"/>
          </w:tcPr>
          <w:p>
            <w:pPr>
              <w:spacing w:line="440" w:lineRule="exact"/>
              <w:rPr>
                <w:rFonts w:ascii="仿宋" w:hAnsi="仿宋" w:eastAsia="仿宋" w:cs="仿宋"/>
                <w:szCs w:val="21"/>
              </w:rPr>
            </w:pPr>
            <w:r>
              <w:rPr>
                <w:rFonts w:hint="eastAsia" w:ascii="仿宋" w:hAnsi="仿宋" w:eastAsia="仿宋" w:cs="仿宋"/>
                <w:szCs w:val="21"/>
              </w:rPr>
              <w:t>供应商是否按招标文件要求投标保证金；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trPr>
        <w:tc>
          <w:tcPr>
            <w:tcW w:w="687"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6</w:t>
            </w:r>
          </w:p>
        </w:tc>
        <w:tc>
          <w:tcPr>
            <w:tcW w:w="9070" w:type="dxa"/>
            <w:vAlign w:val="center"/>
          </w:tcPr>
          <w:p>
            <w:pPr>
              <w:spacing w:line="440" w:lineRule="exact"/>
              <w:rPr>
                <w:rFonts w:ascii="仿宋" w:hAnsi="仿宋" w:eastAsia="仿宋" w:cs="仿宋"/>
                <w:szCs w:val="21"/>
              </w:rPr>
            </w:pPr>
            <w:r>
              <w:rPr>
                <w:rFonts w:hint="eastAsia" w:ascii="仿宋" w:hAnsi="仿宋" w:eastAsia="仿宋" w:cs="仿宋"/>
                <w:szCs w:val="21"/>
              </w:rPr>
              <w:t>投标文件与事实不符或提供虚假或失实资料的；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trPr>
        <w:tc>
          <w:tcPr>
            <w:tcW w:w="687"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7</w:t>
            </w:r>
          </w:p>
        </w:tc>
        <w:tc>
          <w:tcPr>
            <w:tcW w:w="9070" w:type="dxa"/>
            <w:vAlign w:val="center"/>
          </w:tcPr>
          <w:p>
            <w:pPr>
              <w:spacing w:line="440" w:lineRule="exact"/>
              <w:rPr>
                <w:rFonts w:ascii="仿宋" w:hAnsi="仿宋" w:eastAsia="仿宋" w:cs="仿宋"/>
                <w:szCs w:val="21"/>
              </w:rPr>
            </w:pPr>
            <w:r>
              <w:rPr>
                <w:rFonts w:hint="eastAsia" w:ascii="仿宋" w:hAnsi="仿宋" w:eastAsia="仿宋" w:cs="仿宋"/>
                <w:szCs w:val="21"/>
              </w:rPr>
              <w:t>不符合法律、法规和招标文件中规定的其他要求，以及其他评委小组认为不能实质上满足招标文件要求的。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trPr>
        <w:tc>
          <w:tcPr>
            <w:tcW w:w="687" w:type="dxa"/>
            <w:vAlign w:val="center"/>
          </w:tcPr>
          <w:p>
            <w:pPr>
              <w:spacing w:line="440" w:lineRule="exact"/>
              <w:jc w:val="center"/>
              <w:rPr>
                <w:rFonts w:ascii="仿宋" w:hAnsi="仿宋" w:eastAsia="仿宋" w:cs="仿宋"/>
                <w:b/>
                <w:sz w:val="24"/>
                <w:lang w:val="zh-CN"/>
              </w:rPr>
            </w:pPr>
            <w:r>
              <w:rPr>
                <w:rFonts w:hint="eastAsia" w:ascii="仿宋" w:hAnsi="仿宋" w:eastAsia="仿宋" w:cs="仿宋"/>
                <w:b/>
                <w:szCs w:val="21"/>
              </w:rPr>
              <w:t>备注</w:t>
            </w:r>
          </w:p>
        </w:tc>
        <w:tc>
          <w:tcPr>
            <w:tcW w:w="9070" w:type="dxa"/>
            <w:vAlign w:val="center"/>
          </w:tcPr>
          <w:p>
            <w:pPr>
              <w:spacing w:line="440" w:lineRule="exact"/>
              <w:rPr>
                <w:rFonts w:ascii="仿宋" w:hAnsi="仿宋" w:eastAsia="仿宋" w:cs="仿宋"/>
                <w:b/>
                <w:szCs w:val="21"/>
              </w:rPr>
            </w:pPr>
            <w:r>
              <w:rPr>
                <w:rFonts w:hint="eastAsia" w:ascii="仿宋" w:hAnsi="仿宋" w:eastAsia="仿宋" w:cs="仿宋"/>
                <w:b/>
                <w:szCs w:val="21"/>
              </w:rPr>
              <w:t>响应文件有上述符合性评审之一的，为未能对招标文件做出实质性响应，作废标处理，不再进入以后的评标程序。</w:t>
            </w:r>
          </w:p>
        </w:tc>
      </w:tr>
    </w:tbl>
    <w:p>
      <w:pPr>
        <w:ind w:left="283"/>
        <w:rPr>
          <w:rFonts w:ascii="仿宋" w:hAnsi="仿宋" w:eastAsia="仿宋" w:cs="仿宋"/>
          <w:b/>
          <w:sz w:val="24"/>
        </w:rPr>
      </w:pPr>
      <w:r>
        <w:rPr>
          <w:rFonts w:hint="eastAsia" w:ascii="仿宋" w:hAnsi="仿宋" w:eastAsia="仿宋" w:cs="仿宋"/>
          <w:b/>
          <w:sz w:val="24"/>
        </w:rPr>
        <w:t>7.计算错误将按以下方法更正</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71投标报价有算术错误的，评标委员会按以下原则对投标报价进行修正，修正的价格经投标人书面确认后具有约束力。投标人不接受修正价格的，其投标将被否决。</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7.2投标文件中“报价一览表”内容与投标文件中相应内容不一致的，以“报价一览表”为准；</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7.3大写金额和小写金额不一致的，以大写金额为准；</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7.4单价金额小数点或者百分比有明显错位的，以“响应报价一览表”的总价为准，并修改单价；</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7.5总价金额与按单价汇总金额不一致的，以单价金额计算结果为准。</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7.6同时出现两种以上不一致的，按照前款规定的顺序修正。修正后的报价经供应商确认后产生约束力，供应商不确认的，其响应无效。</w:t>
      </w:r>
    </w:p>
    <w:p>
      <w:pPr>
        <w:autoSpaceDE w:val="0"/>
        <w:autoSpaceDN w:val="0"/>
        <w:adjustRightInd w:val="0"/>
        <w:spacing w:line="460" w:lineRule="exact"/>
        <w:jc w:val="left"/>
        <w:rPr>
          <w:rFonts w:ascii="仿宋" w:hAnsi="仿宋" w:eastAsia="仿宋" w:cs="仿宋"/>
          <w:szCs w:val="21"/>
        </w:rPr>
      </w:pPr>
      <w:r>
        <w:rPr>
          <w:rFonts w:hint="eastAsia" w:ascii="仿宋" w:hAnsi="仿宋" w:eastAsia="仿宋" w:cs="仿宋"/>
          <w:szCs w:val="21"/>
        </w:rPr>
        <w:t>7.7投标人的报价在合同执行过程中是固定不变的，未经采购人许可不得以任何理由予以变更。以可调整的价格提交的投标文件将作为非实质性响应而予以拒绝。</w:t>
      </w:r>
    </w:p>
    <w:p>
      <w:pPr>
        <w:ind w:left="283"/>
        <w:rPr>
          <w:rFonts w:ascii="仿宋" w:hAnsi="仿宋" w:eastAsia="仿宋" w:cs="仿宋"/>
          <w:b/>
          <w:sz w:val="24"/>
        </w:rPr>
      </w:pPr>
      <w:r>
        <w:rPr>
          <w:rFonts w:hint="eastAsia" w:ascii="仿宋" w:hAnsi="仿宋" w:eastAsia="仿宋" w:cs="仿宋"/>
          <w:b/>
          <w:sz w:val="24"/>
        </w:rPr>
        <w:t>8.投标文件的澄清</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8.1在评标期间，对于投标文件中含义不明确、同类问题表述不一致或者有明显文字和计算错误的内容，评标委员会应当以书面形式要求投标人作出必要的澄清、说明或者补正，投标人有责任按照评标委员会的要求进行澄清、说明或者补正。投标人的澄清、说明或者补正不得超出投标文件的范围或者改变投标文件的实质性内容。</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8.2投标人的澄清文件是投标文件的组成部分，并取代投标文件中被澄清部分。</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8.3评标委员会判断投标文件的响应程度仅基于投标文件本身，而不靠外部证据。</w:t>
      </w:r>
    </w:p>
    <w:p>
      <w:pPr>
        <w:ind w:left="425"/>
        <w:rPr>
          <w:rFonts w:ascii="仿宋" w:hAnsi="仿宋" w:eastAsia="仿宋" w:cs="仿宋"/>
          <w:b/>
          <w:sz w:val="24"/>
        </w:rPr>
      </w:pPr>
      <w:r>
        <w:rPr>
          <w:rFonts w:hint="eastAsia" w:ascii="仿宋" w:hAnsi="仿宋" w:eastAsia="仿宋" w:cs="仿宋"/>
          <w:b/>
          <w:sz w:val="24"/>
        </w:rPr>
        <w:t>9.串通投标</w:t>
      </w:r>
    </w:p>
    <w:p>
      <w:pPr>
        <w:autoSpaceDE w:val="0"/>
        <w:autoSpaceDN w:val="0"/>
        <w:adjustRightInd w:val="0"/>
        <w:spacing w:line="460" w:lineRule="exact"/>
        <w:jc w:val="left"/>
        <w:rPr>
          <w:rFonts w:ascii="仿宋" w:hAnsi="仿宋" w:eastAsia="仿宋" w:cs="仿宋"/>
          <w:szCs w:val="21"/>
        </w:rPr>
      </w:pPr>
      <w:r>
        <w:rPr>
          <w:rFonts w:hint="eastAsia" w:ascii="仿宋" w:hAnsi="仿宋" w:eastAsia="仿宋" w:cs="仿宋"/>
          <w:szCs w:val="21"/>
        </w:rPr>
        <w:t>有下列情形之一的，视为投标人串通投标，其投标无效：</w:t>
      </w:r>
    </w:p>
    <w:p>
      <w:pPr>
        <w:pStyle w:val="32"/>
        <w:numPr>
          <w:ilvl w:val="0"/>
          <w:numId w:val="11"/>
        </w:numPr>
        <w:autoSpaceDE w:val="0"/>
        <w:autoSpaceDN w:val="0"/>
        <w:adjustRightInd w:val="0"/>
        <w:spacing w:line="460" w:lineRule="exact"/>
        <w:ind w:firstLineChars="0"/>
        <w:jc w:val="left"/>
        <w:rPr>
          <w:rFonts w:ascii="仿宋" w:hAnsi="仿宋" w:eastAsia="仿宋" w:cs="仿宋"/>
          <w:szCs w:val="21"/>
        </w:rPr>
      </w:pPr>
      <w:r>
        <w:rPr>
          <w:rFonts w:hint="eastAsia" w:ascii="仿宋" w:hAnsi="仿宋" w:eastAsia="仿宋" w:cs="仿宋"/>
          <w:szCs w:val="21"/>
        </w:rPr>
        <w:t>不同投标人的投标文件由同一单位或者个人编制；</w:t>
      </w:r>
    </w:p>
    <w:p>
      <w:pPr>
        <w:pStyle w:val="32"/>
        <w:autoSpaceDE w:val="0"/>
        <w:autoSpaceDN w:val="0"/>
        <w:adjustRightInd w:val="0"/>
        <w:spacing w:line="460" w:lineRule="exact"/>
        <w:ind w:left="210" w:firstLine="0" w:firstLineChars="0"/>
        <w:jc w:val="left"/>
        <w:rPr>
          <w:rFonts w:ascii="仿宋" w:hAnsi="仿宋" w:eastAsia="仿宋" w:cs="仿宋"/>
          <w:szCs w:val="21"/>
        </w:rPr>
      </w:pPr>
      <w:r>
        <w:rPr>
          <w:rFonts w:hint="eastAsia" w:ascii="仿宋" w:hAnsi="仿宋" w:eastAsia="仿宋" w:cs="仿宋"/>
          <w:szCs w:val="21"/>
        </w:rPr>
        <w:t>（2）不同投标人委托同一单位或者个人办理投标事宜；</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（3）不同投标人的投标文件载明的项目管理成员或者联系人员为同一人；</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（4）不同投标人的投标文件异常一致或者投标报价呈规律性差异；</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（5）不同投标人的投标文件相互混装；</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（6）不同投标人的投标保证金从同一单位或者个人的账户转出。</w:t>
      </w:r>
    </w:p>
    <w:p>
      <w:pPr>
        <w:autoSpaceDE w:val="0"/>
        <w:autoSpaceDN w:val="0"/>
        <w:adjustRightInd w:val="0"/>
        <w:spacing w:line="460" w:lineRule="exact"/>
        <w:jc w:val="left"/>
        <w:rPr>
          <w:rFonts w:ascii="仿宋" w:hAnsi="仿宋" w:eastAsia="仿宋" w:cs="仿宋"/>
          <w:szCs w:val="21"/>
        </w:rPr>
      </w:pPr>
      <w:r>
        <w:rPr>
          <w:rFonts w:hint="eastAsia" w:ascii="仿宋" w:hAnsi="仿宋" w:eastAsia="仿宋" w:cs="仿宋"/>
          <w:szCs w:val="21"/>
        </w:rPr>
        <w:t>经过初步评审，如果由于有效投标不足三家使得投标明显缺乏竞争的，将不进入下一评审阶段。</w:t>
      </w:r>
    </w:p>
    <w:p>
      <w:pPr>
        <w:ind w:left="425"/>
        <w:rPr>
          <w:rFonts w:ascii="仿宋" w:hAnsi="仿宋" w:eastAsia="仿宋" w:cs="仿宋"/>
          <w:b/>
          <w:sz w:val="24"/>
        </w:rPr>
      </w:pPr>
      <w:r>
        <w:rPr>
          <w:rFonts w:hint="eastAsia" w:ascii="仿宋" w:hAnsi="仿宋" w:eastAsia="仿宋" w:cs="仿宋"/>
          <w:b/>
          <w:sz w:val="24"/>
        </w:rPr>
        <w:t>10详细评审</w:t>
      </w:r>
    </w:p>
    <w:p>
      <w:pPr>
        <w:pStyle w:val="32"/>
        <w:autoSpaceDE w:val="0"/>
        <w:autoSpaceDN w:val="0"/>
        <w:adjustRightInd w:val="0"/>
        <w:spacing w:line="460" w:lineRule="exact"/>
        <w:ind w:left="425" w:firstLine="0" w:firstLineChars="0"/>
        <w:jc w:val="left"/>
        <w:rPr>
          <w:rFonts w:ascii="仿宋" w:hAnsi="仿宋" w:eastAsia="仿宋" w:cs="仿宋"/>
          <w:szCs w:val="21"/>
        </w:rPr>
      </w:pPr>
      <w:r>
        <w:rPr>
          <w:rFonts w:hint="eastAsia" w:ascii="仿宋" w:hAnsi="仿宋" w:eastAsia="仿宋" w:cs="仿宋"/>
          <w:szCs w:val="21"/>
        </w:rPr>
        <w:t>10.1经初步评审合格的投标文件，评标委员会成员将采用综合评分法对投标文件报价部分及商务、技术部分进行进一步评审、比较。</w:t>
      </w:r>
    </w:p>
    <w:p>
      <w:pPr>
        <w:pStyle w:val="32"/>
        <w:spacing w:line="360" w:lineRule="auto"/>
        <w:ind w:left="425" w:firstLine="0" w:firstLineChars="0"/>
        <w:rPr>
          <w:rFonts w:ascii="仿宋" w:hAnsi="仿宋" w:eastAsia="仿宋" w:cs="仿宋"/>
        </w:rPr>
      </w:pPr>
      <w:r>
        <w:rPr>
          <w:rFonts w:hint="eastAsia" w:ascii="仿宋" w:hAnsi="仿宋" w:eastAsia="仿宋" w:cs="仿宋"/>
          <w:szCs w:val="21"/>
        </w:rPr>
        <w:t>10.2</w:t>
      </w:r>
      <w:r>
        <w:rPr>
          <w:rFonts w:hint="eastAsia" w:ascii="仿宋" w:hAnsi="仿宋" w:eastAsia="仿宋" w:cs="仿宋"/>
          <w:kern w:val="0"/>
          <w:sz w:val="24"/>
        </w:rPr>
        <w:t>综合评分法。评标委员会将采用综合评分法对投标文件所载明的供应商的投标报价、企业资质、技术性能、质量保证体系、付款方式、交货期、信誉服务、企业业绩等内容进行打分，依据得分从高到低的顺序最终确定中标供应商，最低报价不作为中标的唯一依据。采用百分制原则：满分为100分、</w:t>
      </w:r>
      <w:r>
        <w:rPr>
          <w:rFonts w:hint="eastAsia" w:ascii="仿宋" w:hAnsi="仿宋" w:eastAsia="仿宋" w:cs="仿宋"/>
          <w:kern w:val="0"/>
          <w:sz w:val="24"/>
          <w:lang w:val="en-US" w:eastAsia="zh-CN"/>
        </w:rPr>
        <w:t>商务技术部分70%</w:t>
      </w:r>
      <w:r>
        <w:rPr>
          <w:rFonts w:hint="eastAsia" w:ascii="仿宋" w:hAnsi="仿宋" w:eastAsia="仿宋" w:cs="仿宋"/>
          <w:kern w:val="0"/>
          <w:sz w:val="24"/>
        </w:rPr>
        <w:t>、经济</w:t>
      </w:r>
      <w:r>
        <w:rPr>
          <w:rFonts w:hint="eastAsia" w:ascii="仿宋" w:hAnsi="仿宋" w:eastAsia="仿宋" w:cs="仿宋"/>
          <w:kern w:val="0"/>
          <w:sz w:val="24"/>
          <w:lang w:val="en-US" w:eastAsia="zh-CN"/>
        </w:rPr>
        <w:t>部分</w:t>
      </w:r>
      <w:r>
        <w:rPr>
          <w:rFonts w:hint="eastAsia" w:ascii="仿宋" w:hAnsi="仿宋" w:eastAsia="仿宋" w:cs="仿宋"/>
          <w:kern w:val="0"/>
          <w:sz w:val="24"/>
        </w:rPr>
        <w:t>占3</w:t>
      </w:r>
      <w:r>
        <w:rPr>
          <w:rFonts w:ascii="仿宋" w:hAnsi="仿宋" w:eastAsia="仿宋" w:cs="仿宋"/>
          <w:kern w:val="0"/>
          <w:sz w:val="24"/>
        </w:rPr>
        <w:t>0</w:t>
      </w:r>
      <w:r>
        <w:rPr>
          <w:rFonts w:hint="eastAsia" w:ascii="仿宋" w:hAnsi="仿宋" w:eastAsia="仿宋" w:cs="仿宋"/>
          <w:kern w:val="0"/>
          <w:sz w:val="24"/>
        </w:rPr>
        <w:t>%。投标单位最终得分=</w:t>
      </w:r>
      <w:r>
        <w:rPr>
          <w:rFonts w:hint="eastAsia" w:ascii="仿宋" w:hAnsi="仿宋" w:eastAsia="仿宋" w:cs="仿宋"/>
          <w:kern w:val="0"/>
          <w:sz w:val="24"/>
          <w:lang w:val="en-US" w:eastAsia="zh-CN"/>
        </w:rPr>
        <w:t>技术部分</w:t>
      </w:r>
      <w:r>
        <w:rPr>
          <w:rFonts w:hint="eastAsia" w:ascii="仿宋" w:hAnsi="仿宋" w:eastAsia="仿宋" w:cs="仿宋"/>
          <w:kern w:val="0"/>
          <w:sz w:val="24"/>
        </w:rPr>
        <w:t>得分+</w:t>
      </w:r>
      <w:r>
        <w:rPr>
          <w:rFonts w:hint="eastAsia" w:ascii="仿宋" w:hAnsi="仿宋" w:eastAsia="仿宋" w:cs="仿宋"/>
          <w:kern w:val="0"/>
          <w:sz w:val="24"/>
          <w:lang w:val="en-US" w:eastAsia="zh-CN"/>
        </w:rPr>
        <w:t>商务部分得分</w:t>
      </w:r>
      <w:r>
        <w:rPr>
          <w:rFonts w:hint="eastAsia" w:ascii="仿宋" w:hAnsi="仿宋" w:eastAsia="仿宋" w:cs="仿宋"/>
          <w:kern w:val="0"/>
          <w:sz w:val="24"/>
        </w:rPr>
        <w:t>+经济标得分，具体评分标准如下：</w:t>
      </w:r>
    </w:p>
    <w:p>
      <w:pPr>
        <w:pStyle w:val="32"/>
        <w:spacing w:line="440" w:lineRule="exact"/>
        <w:ind w:left="567" w:firstLine="0" w:firstLineChars="0"/>
        <w:rPr>
          <w:rFonts w:ascii="仿宋" w:hAnsi="仿宋" w:eastAsia="仿宋" w:cs="仿宋"/>
          <w:b/>
          <w:sz w:val="24"/>
        </w:rPr>
      </w:pPr>
      <w:r>
        <w:rPr>
          <w:rFonts w:hint="eastAsia" w:ascii="仿宋" w:hAnsi="仿宋" w:eastAsia="仿宋" w:cs="仿宋"/>
          <w:b/>
          <w:sz w:val="24"/>
        </w:rPr>
        <w:t>一、</w:t>
      </w:r>
      <w:r>
        <w:rPr>
          <w:rFonts w:hint="eastAsia" w:ascii="仿宋" w:hAnsi="仿宋" w:eastAsia="仿宋" w:cs="仿宋"/>
          <w:b/>
          <w:sz w:val="24"/>
          <w:lang w:val="en-US" w:eastAsia="zh-CN"/>
        </w:rPr>
        <w:t>商务技术</w:t>
      </w:r>
      <w:r>
        <w:rPr>
          <w:rFonts w:hint="eastAsia" w:ascii="仿宋" w:hAnsi="仿宋" w:eastAsia="仿宋" w:cs="仿宋"/>
          <w:b/>
          <w:sz w:val="24"/>
        </w:rPr>
        <w:t>部分</w:t>
      </w:r>
      <w:r>
        <w:rPr>
          <w:rFonts w:hint="eastAsia" w:ascii="仿宋" w:hAnsi="仿宋" w:eastAsia="仿宋" w:cs="仿宋"/>
          <w:b/>
          <w:sz w:val="24"/>
          <w:lang w:val="en-US" w:eastAsia="zh-CN"/>
        </w:rPr>
        <w:t>70</w:t>
      </w:r>
      <w:r>
        <w:rPr>
          <w:rFonts w:hint="eastAsia" w:ascii="仿宋" w:hAnsi="仿宋" w:eastAsia="仿宋" w:cs="仿宋"/>
          <w:b/>
          <w:sz w:val="24"/>
        </w:rPr>
        <w:t xml:space="preserve">分 </w:t>
      </w:r>
    </w:p>
    <w:tbl>
      <w:tblPr>
        <w:tblStyle w:val="20"/>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753"/>
        <w:gridCol w:w="1005"/>
        <w:gridCol w:w="6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blHeader/>
          <w:jc w:val="center"/>
        </w:trPr>
        <w:tc>
          <w:tcPr>
            <w:tcW w:w="696"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753"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评审项目</w:t>
            </w:r>
          </w:p>
        </w:tc>
        <w:tc>
          <w:tcPr>
            <w:tcW w:w="1005"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分值</w:t>
            </w:r>
          </w:p>
        </w:tc>
        <w:tc>
          <w:tcPr>
            <w:tcW w:w="6332" w:type="dxa"/>
            <w:tcBorders>
              <w:top w:val="single" w:color="auto" w:sz="4" w:space="0"/>
              <w:left w:val="single" w:color="auto" w:sz="4" w:space="0"/>
              <w:bottom w:val="single" w:color="auto" w:sz="4" w:space="0"/>
              <w:right w:val="single" w:color="auto" w:sz="4" w:space="0"/>
            </w:tcBorders>
            <w:vAlign w:val="center"/>
          </w:tcPr>
          <w:p>
            <w:pPr>
              <w:pStyle w:val="45"/>
              <w:rPr>
                <w:rFonts w:hint="eastAsia" w:ascii="仿宋" w:hAnsi="仿宋" w:eastAsia="仿宋" w:cs="仿宋"/>
                <w:color w:val="auto"/>
                <w:szCs w:val="21"/>
              </w:rPr>
            </w:pPr>
            <w:r>
              <w:rPr>
                <w:rFonts w:hint="eastAsia" w:ascii="仿宋" w:hAnsi="仿宋" w:eastAsia="仿宋" w:cs="仿宋"/>
                <w:color w:val="auto"/>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1753"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产品符合性</w:t>
            </w:r>
          </w:p>
        </w:tc>
        <w:tc>
          <w:tcPr>
            <w:tcW w:w="1005" w:type="dxa"/>
            <w:tcBorders>
              <w:top w:val="single" w:color="auto" w:sz="4" w:space="0"/>
              <w:left w:val="single" w:color="auto" w:sz="4" w:space="0"/>
              <w:bottom w:val="single" w:color="auto" w:sz="4" w:space="0"/>
              <w:right w:val="single" w:color="auto" w:sz="4" w:space="0"/>
            </w:tcBorders>
            <w:vAlign w:val="center"/>
          </w:tcPr>
          <w:p>
            <w:pPr>
              <w:pStyle w:val="45"/>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36分</w:t>
            </w:r>
          </w:p>
        </w:tc>
        <w:tc>
          <w:tcPr>
            <w:tcW w:w="6332" w:type="dxa"/>
            <w:tcBorders>
              <w:top w:val="single" w:color="auto" w:sz="4" w:space="0"/>
              <w:left w:val="single" w:color="auto" w:sz="4" w:space="0"/>
              <w:bottom w:val="single" w:color="auto" w:sz="4" w:space="0"/>
              <w:right w:val="single" w:color="auto" w:sz="4" w:space="0"/>
            </w:tcBorders>
            <w:vAlign w:val="center"/>
          </w:tcPr>
          <w:p>
            <w:pPr>
              <w:pStyle w:val="45"/>
              <w:rPr>
                <w:rFonts w:hint="eastAsia" w:ascii="仿宋" w:hAnsi="仿宋" w:eastAsia="仿宋" w:cs="仿宋"/>
                <w:color w:val="auto"/>
                <w:szCs w:val="21"/>
              </w:rPr>
            </w:pPr>
            <w:r>
              <w:rPr>
                <w:rFonts w:hint="eastAsia" w:ascii="仿宋" w:hAnsi="仿宋" w:eastAsia="仿宋" w:cs="仿宋"/>
                <w:color w:val="auto"/>
                <w:szCs w:val="21"/>
              </w:rPr>
              <w:t>投标人的产品技术规格、参数完全响应招标文件要求，无偏离的得</w:t>
            </w:r>
            <w:r>
              <w:rPr>
                <w:rFonts w:hint="eastAsia" w:ascii="仿宋" w:hAnsi="仿宋" w:eastAsia="仿宋" w:cs="仿宋"/>
                <w:color w:val="auto"/>
                <w:szCs w:val="21"/>
                <w:lang w:val="en-US" w:eastAsia="zh-CN"/>
              </w:rPr>
              <w:t>25分</w:t>
            </w:r>
            <w:r>
              <w:rPr>
                <w:rFonts w:hint="eastAsia" w:ascii="仿宋" w:hAnsi="仿宋" w:eastAsia="仿宋" w:cs="仿宋"/>
                <w:color w:val="auto"/>
                <w:szCs w:val="21"/>
              </w:rPr>
              <w:t>，若参数高于基本招标要求的相关技术参数的（本项参数必须为精确度或数量参数，尺寸参数必须和招标文件要求参数一致），每高于1项得</w:t>
            </w:r>
            <w:r>
              <w:rPr>
                <w:rFonts w:hint="eastAsia" w:ascii="仿宋" w:hAnsi="仿宋" w:eastAsia="仿宋" w:cs="仿宋"/>
                <w:color w:val="auto"/>
                <w:szCs w:val="21"/>
                <w:lang w:val="en-US" w:eastAsia="zh-CN"/>
              </w:rPr>
              <w:t>1</w:t>
            </w:r>
            <w:r>
              <w:rPr>
                <w:rFonts w:hint="eastAsia" w:ascii="仿宋" w:hAnsi="仿宋" w:eastAsia="仿宋" w:cs="仿宋"/>
                <w:color w:val="auto"/>
                <w:szCs w:val="21"/>
              </w:rPr>
              <w:t>分,最多加</w:t>
            </w:r>
            <w:r>
              <w:rPr>
                <w:rFonts w:hint="eastAsia" w:ascii="仿宋" w:hAnsi="仿宋" w:eastAsia="仿宋" w:cs="仿宋"/>
                <w:color w:val="auto"/>
                <w:szCs w:val="21"/>
                <w:lang w:val="en-US" w:eastAsia="zh-CN"/>
              </w:rPr>
              <w:t>11分</w:t>
            </w:r>
            <w:r>
              <w:rPr>
                <w:rFonts w:hint="eastAsia" w:ascii="仿宋" w:hAnsi="仿宋" w:eastAsia="仿宋" w:cs="仿宋"/>
                <w:color w:val="auto"/>
                <w:szCs w:val="21"/>
              </w:rPr>
              <w:t>；</w:t>
            </w:r>
            <w:r>
              <w:rPr>
                <w:rFonts w:hint="eastAsia" w:ascii="仿宋" w:hAnsi="仿宋" w:eastAsia="仿宋" w:cs="仿宋"/>
                <w:color w:val="auto"/>
                <w:szCs w:val="21"/>
                <w:lang w:val="en-US" w:eastAsia="zh-CN"/>
              </w:rPr>
              <w:t>每低于1项扣2分，扣完为止</w:t>
            </w:r>
            <w:r>
              <w:rPr>
                <w:rFonts w:hint="eastAsia" w:ascii="仿宋" w:hAnsi="仿宋" w:eastAsia="仿宋" w:cs="仿宋"/>
                <w:color w:val="auto"/>
                <w:szCs w:val="21"/>
              </w:rPr>
              <w:t>（需提供相关证明文件，不提供不得分）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1753"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bookmarkStart w:id="97" w:name="_Hlk95308477"/>
            <w:r>
              <w:rPr>
                <w:rFonts w:hint="eastAsia" w:ascii="仿宋" w:hAnsi="仿宋" w:eastAsia="仿宋" w:cs="仿宋"/>
                <w:color w:val="auto"/>
                <w:szCs w:val="21"/>
              </w:rPr>
              <w:t>产品品牌信誉</w:t>
            </w:r>
            <w:bookmarkEnd w:id="97"/>
          </w:p>
        </w:tc>
        <w:tc>
          <w:tcPr>
            <w:tcW w:w="1005" w:type="dxa"/>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分</w:t>
            </w:r>
          </w:p>
        </w:tc>
        <w:tc>
          <w:tcPr>
            <w:tcW w:w="6332" w:type="dxa"/>
            <w:vAlign w:val="center"/>
          </w:tcPr>
          <w:p>
            <w:pPr>
              <w:pStyle w:val="45"/>
              <w:rPr>
                <w:rFonts w:hint="eastAsia" w:ascii="仿宋" w:hAnsi="仿宋" w:eastAsia="仿宋" w:cs="仿宋"/>
                <w:color w:val="auto"/>
                <w:szCs w:val="21"/>
              </w:rPr>
            </w:pPr>
            <w:r>
              <w:rPr>
                <w:rFonts w:hint="eastAsia" w:ascii="仿宋" w:hAnsi="仿宋" w:eastAsia="仿宋" w:cs="仿宋"/>
                <w:color w:val="auto"/>
                <w:szCs w:val="21"/>
              </w:rPr>
              <w:t>产品品牌信誉、知名度、市场形象、市场使用情况等</w:t>
            </w:r>
            <w:r>
              <w:rPr>
                <w:rFonts w:hint="eastAsia" w:ascii="仿宋" w:hAnsi="仿宋" w:eastAsia="仿宋" w:cs="仿宋"/>
                <w:color w:val="auto"/>
                <w:szCs w:val="21"/>
                <w:lang w:val="en-US" w:eastAsia="zh-CN"/>
              </w:rPr>
              <w:t>优得3分，良得2分，中得1分。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1753"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产品技术优势</w:t>
            </w:r>
          </w:p>
        </w:tc>
        <w:tc>
          <w:tcPr>
            <w:tcW w:w="1005"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分</w:t>
            </w:r>
          </w:p>
        </w:tc>
        <w:tc>
          <w:tcPr>
            <w:tcW w:w="6332" w:type="dxa"/>
            <w:tcBorders>
              <w:top w:val="single" w:color="auto" w:sz="4" w:space="0"/>
              <w:left w:val="single" w:color="auto" w:sz="4" w:space="0"/>
              <w:bottom w:val="single" w:color="auto" w:sz="4" w:space="0"/>
              <w:right w:val="single" w:color="auto" w:sz="4" w:space="0"/>
            </w:tcBorders>
            <w:vAlign w:val="center"/>
          </w:tcPr>
          <w:p>
            <w:pPr>
              <w:pStyle w:val="45"/>
              <w:rPr>
                <w:rFonts w:hint="eastAsia" w:ascii="仿宋" w:hAnsi="仿宋" w:eastAsia="仿宋" w:cs="仿宋"/>
                <w:color w:val="auto"/>
                <w:szCs w:val="21"/>
              </w:rPr>
            </w:pPr>
            <w:r>
              <w:rPr>
                <w:rFonts w:hint="eastAsia" w:ascii="仿宋" w:hAnsi="仿宋" w:eastAsia="仿宋" w:cs="仿宋"/>
                <w:color w:val="auto"/>
                <w:szCs w:val="21"/>
              </w:rPr>
              <w:t>投标人的产品技术先进性、专业性等</w:t>
            </w:r>
            <w:r>
              <w:rPr>
                <w:rFonts w:hint="eastAsia" w:ascii="仿宋" w:hAnsi="仿宋" w:eastAsia="仿宋" w:cs="仿宋"/>
                <w:color w:val="auto"/>
                <w:szCs w:val="21"/>
                <w:lang w:val="en-US" w:eastAsia="zh-CN"/>
              </w:rPr>
              <w:t>优得3分，良得2分，中得1分。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1753"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bookmarkStart w:id="98" w:name="_Hlk95308497"/>
            <w:r>
              <w:rPr>
                <w:rFonts w:hint="eastAsia" w:ascii="仿宋" w:hAnsi="仿宋" w:eastAsia="仿宋" w:cs="仿宋"/>
                <w:color w:val="auto"/>
                <w:szCs w:val="21"/>
              </w:rPr>
              <w:t>服务方案</w:t>
            </w:r>
            <w:bookmarkEnd w:id="98"/>
          </w:p>
        </w:tc>
        <w:tc>
          <w:tcPr>
            <w:tcW w:w="1005"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val="en-US" w:eastAsia="zh-CN"/>
              </w:rPr>
              <w:t>5</w:t>
            </w:r>
            <w:r>
              <w:rPr>
                <w:rFonts w:hint="eastAsia" w:ascii="仿宋" w:hAnsi="仿宋" w:eastAsia="仿宋" w:cs="仿宋"/>
                <w:color w:val="auto"/>
                <w:szCs w:val="21"/>
              </w:rPr>
              <w:t>分</w:t>
            </w:r>
          </w:p>
        </w:tc>
        <w:tc>
          <w:tcPr>
            <w:tcW w:w="6332" w:type="dxa"/>
            <w:tcBorders>
              <w:top w:val="single" w:color="auto" w:sz="4" w:space="0"/>
              <w:left w:val="single" w:color="auto" w:sz="4" w:space="0"/>
              <w:bottom w:val="single" w:color="auto" w:sz="4" w:space="0"/>
              <w:right w:val="single" w:color="auto" w:sz="4" w:space="0"/>
            </w:tcBorders>
            <w:vAlign w:val="center"/>
          </w:tcPr>
          <w:p>
            <w:pPr>
              <w:pStyle w:val="45"/>
              <w:rPr>
                <w:rFonts w:hint="eastAsia" w:ascii="仿宋" w:hAnsi="仿宋" w:eastAsia="仿宋" w:cs="仿宋"/>
                <w:color w:val="auto"/>
                <w:szCs w:val="21"/>
                <w:lang w:eastAsia="zh-CN"/>
              </w:rPr>
            </w:pPr>
            <w:r>
              <w:rPr>
                <w:rFonts w:hint="eastAsia" w:ascii="仿宋" w:hAnsi="仿宋" w:eastAsia="仿宋" w:cs="仿宋"/>
                <w:color w:val="auto"/>
                <w:szCs w:val="21"/>
              </w:rPr>
              <w:t>服务方案、配送方案、工作流程、各类突发事件的应对预案、合理化建议、进度计划及保障措施、质量保障及质量控制措施、服务保障承诺及方案服务方案详细完善，</w:t>
            </w:r>
            <w:r>
              <w:rPr>
                <w:rFonts w:hint="eastAsia" w:ascii="仿宋" w:hAnsi="仿宋" w:eastAsia="仿宋" w:cs="仿宋"/>
                <w:color w:val="auto"/>
                <w:szCs w:val="21"/>
                <w:lang w:val="en-US" w:eastAsia="zh-CN"/>
              </w:rPr>
              <w:t>评委根据各投标文件提供的服务方案进行综合评比打分，</w:t>
            </w:r>
            <w:r>
              <w:rPr>
                <w:rFonts w:hint="eastAsia" w:ascii="仿宋" w:hAnsi="仿宋" w:eastAsia="仿宋" w:cs="仿宋"/>
                <w:color w:val="auto"/>
                <w:szCs w:val="21"/>
              </w:rPr>
              <w:t>较好的得</w:t>
            </w:r>
            <w:r>
              <w:rPr>
                <w:rFonts w:hint="eastAsia" w:ascii="仿宋" w:hAnsi="仿宋" w:eastAsia="仿宋" w:cs="仿宋"/>
                <w:color w:val="auto"/>
                <w:szCs w:val="21"/>
                <w:lang w:val="en-US" w:eastAsia="zh-CN"/>
              </w:rPr>
              <w:t>10-</w:t>
            </w:r>
            <w:r>
              <w:rPr>
                <w:rFonts w:hint="eastAsia" w:ascii="仿宋" w:hAnsi="仿宋" w:eastAsia="仿宋" w:cs="仿宋"/>
                <w:color w:val="auto"/>
                <w:szCs w:val="21"/>
              </w:rPr>
              <w:t>1</w:t>
            </w:r>
            <w:r>
              <w:rPr>
                <w:rFonts w:hint="eastAsia" w:ascii="仿宋" w:hAnsi="仿宋" w:eastAsia="仿宋" w:cs="仿宋"/>
                <w:color w:val="auto"/>
                <w:szCs w:val="21"/>
                <w:lang w:val="en-US" w:eastAsia="zh-CN"/>
              </w:rPr>
              <w:t>5</w:t>
            </w:r>
            <w:r>
              <w:rPr>
                <w:rFonts w:hint="eastAsia" w:ascii="仿宋" w:hAnsi="仿宋" w:eastAsia="仿宋" w:cs="仿宋"/>
                <w:color w:val="auto"/>
                <w:szCs w:val="21"/>
              </w:rPr>
              <w:t>分；一般的得</w:t>
            </w:r>
            <w:r>
              <w:rPr>
                <w:rFonts w:hint="eastAsia" w:ascii="仿宋" w:hAnsi="仿宋" w:eastAsia="仿宋" w:cs="仿宋"/>
                <w:color w:val="auto"/>
                <w:szCs w:val="21"/>
                <w:lang w:val="en-US" w:eastAsia="zh-CN"/>
              </w:rPr>
              <w:t>5-10</w:t>
            </w:r>
            <w:r>
              <w:rPr>
                <w:rFonts w:hint="eastAsia" w:ascii="仿宋" w:hAnsi="仿宋" w:eastAsia="仿宋" w:cs="仿宋"/>
                <w:color w:val="auto"/>
                <w:szCs w:val="21"/>
              </w:rPr>
              <w:t>分；</w:t>
            </w:r>
            <w:r>
              <w:rPr>
                <w:rFonts w:hint="eastAsia" w:ascii="仿宋" w:hAnsi="仿宋" w:eastAsia="仿宋" w:cs="仿宋"/>
                <w:color w:val="auto"/>
                <w:szCs w:val="21"/>
                <w:lang w:val="en-US" w:eastAsia="zh-CN"/>
              </w:rPr>
              <w:t>较差</w:t>
            </w:r>
            <w:r>
              <w:rPr>
                <w:rFonts w:hint="eastAsia" w:ascii="仿宋" w:hAnsi="仿宋" w:eastAsia="仿宋" w:cs="仿宋"/>
                <w:color w:val="auto"/>
                <w:szCs w:val="21"/>
              </w:rPr>
              <w:t>的得</w:t>
            </w:r>
            <w:r>
              <w:rPr>
                <w:rFonts w:hint="eastAsia" w:ascii="仿宋" w:hAnsi="仿宋" w:eastAsia="仿宋" w:cs="仿宋"/>
                <w:color w:val="auto"/>
                <w:szCs w:val="21"/>
                <w:lang w:val="en-US" w:eastAsia="zh-CN"/>
              </w:rPr>
              <w:t>0-5</w:t>
            </w:r>
            <w:r>
              <w:rPr>
                <w:rFonts w:hint="eastAsia" w:ascii="仿宋" w:hAnsi="仿宋" w:eastAsia="仿宋" w:cs="仿宋"/>
                <w:color w:val="auto"/>
                <w:szCs w:val="21"/>
              </w:rPr>
              <w:t>分</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pStyle w:val="45"/>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5</w:t>
            </w:r>
          </w:p>
        </w:tc>
        <w:tc>
          <w:tcPr>
            <w:tcW w:w="1753"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投标文件及相关资料的完整性</w:t>
            </w:r>
          </w:p>
        </w:tc>
        <w:tc>
          <w:tcPr>
            <w:tcW w:w="1005"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分</w:t>
            </w:r>
          </w:p>
        </w:tc>
        <w:tc>
          <w:tcPr>
            <w:tcW w:w="6332" w:type="dxa"/>
            <w:tcBorders>
              <w:top w:val="single" w:color="auto" w:sz="4" w:space="0"/>
              <w:left w:val="single" w:color="auto" w:sz="4" w:space="0"/>
              <w:bottom w:val="single" w:color="auto" w:sz="4" w:space="0"/>
              <w:right w:val="single" w:color="auto" w:sz="4" w:space="0"/>
            </w:tcBorders>
            <w:vAlign w:val="center"/>
          </w:tcPr>
          <w:p>
            <w:pPr>
              <w:pStyle w:val="45"/>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相关资料的提供情况，是否真实、完整、清晰、有序、合理；投标文件是否编制完整、格式规范、内容齐全、表述准确、条理清晰，内容无前后矛盾，评委根据各投标文件的制作情况及资料提供情况进行综合评比打分，优的得3分；良的得2分；一般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6</w:t>
            </w:r>
          </w:p>
        </w:tc>
        <w:tc>
          <w:tcPr>
            <w:tcW w:w="1753"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服务承诺</w:t>
            </w:r>
          </w:p>
        </w:tc>
        <w:tc>
          <w:tcPr>
            <w:tcW w:w="1005"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rPr>
            </w:pPr>
            <w:r>
              <w:rPr>
                <w:rFonts w:hint="eastAsia" w:ascii="仿宋" w:hAnsi="仿宋" w:eastAsia="仿宋" w:cs="仿宋"/>
                <w:color w:val="auto"/>
                <w:szCs w:val="21"/>
              </w:rPr>
              <w:t>5分</w:t>
            </w:r>
          </w:p>
        </w:tc>
        <w:tc>
          <w:tcPr>
            <w:tcW w:w="6332" w:type="dxa"/>
            <w:tcBorders>
              <w:top w:val="single" w:color="auto" w:sz="4" w:space="0"/>
              <w:left w:val="single" w:color="auto" w:sz="4" w:space="0"/>
              <w:bottom w:val="single" w:color="auto" w:sz="4" w:space="0"/>
              <w:right w:val="single" w:color="auto" w:sz="4" w:space="0"/>
            </w:tcBorders>
            <w:vAlign w:val="center"/>
          </w:tcPr>
          <w:p>
            <w:pPr>
              <w:pStyle w:val="45"/>
              <w:rPr>
                <w:rFonts w:hint="eastAsia" w:ascii="仿宋" w:hAnsi="仿宋" w:eastAsia="仿宋" w:cs="仿宋"/>
                <w:color w:val="auto"/>
                <w:szCs w:val="21"/>
                <w:lang w:eastAsia="zh-CN"/>
              </w:rPr>
            </w:pPr>
            <w:r>
              <w:rPr>
                <w:rFonts w:hint="eastAsia" w:ascii="仿宋" w:hAnsi="仿宋" w:eastAsia="仿宋" w:cs="仿宋"/>
                <w:color w:val="auto"/>
                <w:szCs w:val="21"/>
              </w:rPr>
              <w:t>1、</w:t>
            </w:r>
            <w:r>
              <w:rPr>
                <w:rFonts w:hint="eastAsia" w:ascii="仿宋" w:hAnsi="仿宋" w:eastAsia="仿宋" w:cs="仿宋"/>
                <w:color w:val="auto"/>
                <w:szCs w:val="21"/>
                <w:lang w:eastAsia="zh-CN"/>
              </w:rPr>
              <w:t>根据质保期限、产品有效期、服务响应时间、解决问题时间、现场培训、维护保养等事项做出承诺。承诺事项完善、详尽且可行性的，得</w:t>
            </w:r>
            <w:r>
              <w:rPr>
                <w:rFonts w:hint="eastAsia" w:ascii="仿宋" w:hAnsi="仿宋" w:eastAsia="仿宋" w:cs="仿宋"/>
                <w:color w:val="auto"/>
                <w:szCs w:val="21"/>
                <w:lang w:val="en-US" w:eastAsia="zh-CN"/>
              </w:rPr>
              <w:t>5分；</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7</w:t>
            </w:r>
          </w:p>
        </w:tc>
        <w:tc>
          <w:tcPr>
            <w:tcW w:w="1753"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业绩</w:t>
            </w:r>
          </w:p>
        </w:tc>
        <w:tc>
          <w:tcPr>
            <w:tcW w:w="1005" w:type="dxa"/>
            <w:tcBorders>
              <w:top w:val="single" w:color="auto" w:sz="4" w:space="0"/>
              <w:left w:val="single" w:color="auto" w:sz="4" w:space="0"/>
              <w:bottom w:val="single" w:color="auto" w:sz="4" w:space="0"/>
              <w:right w:val="single" w:color="auto" w:sz="4" w:space="0"/>
            </w:tcBorders>
            <w:vAlign w:val="center"/>
          </w:tcPr>
          <w:p>
            <w:pPr>
              <w:pStyle w:val="45"/>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5分</w:t>
            </w:r>
          </w:p>
        </w:tc>
        <w:tc>
          <w:tcPr>
            <w:tcW w:w="6332" w:type="dxa"/>
            <w:tcBorders>
              <w:top w:val="single" w:color="auto" w:sz="4" w:space="0"/>
              <w:left w:val="single" w:color="auto" w:sz="4" w:space="0"/>
              <w:bottom w:val="single" w:color="auto" w:sz="4" w:space="0"/>
              <w:right w:val="single" w:color="auto" w:sz="4" w:space="0"/>
            </w:tcBorders>
            <w:vAlign w:val="center"/>
          </w:tcPr>
          <w:p>
            <w:pPr>
              <w:pStyle w:val="45"/>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投标人满足近三年类似业绩三项得基本分2分，不足三项不得分，每多一项加1分，最多加3分。</w:t>
            </w:r>
          </w:p>
        </w:tc>
      </w:tr>
    </w:tbl>
    <w:p>
      <w:pPr>
        <w:pStyle w:val="32"/>
        <w:spacing w:line="440" w:lineRule="exact"/>
        <w:ind w:left="425" w:firstLine="0" w:firstLineChars="0"/>
        <w:rPr>
          <w:rFonts w:ascii="仿宋" w:hAnsi="仿宋" w:eastAsia="仿宋" w:cs="仿宋"/>
          <w:b/>
          <w:sz w:val="24"/>
        </w:rPr>
      </w:pPr>
      <w:r>
        <w:rPr>
          <w:rFonts w:hint="eastAsia" w:ascii="仿宋" w:hAnsi="仿宋" w:eastAsia="仿宋" w:cs="仿宋"/>
          <w:b/>
          <w:sz w:val="24"/>
        </w:rPr>
        <w:t xml:space="preserve">   </w:t>
      </w:r>
    </w:p>
    <w:p>
      <w:pPr>
        <w:spacing w:line="440" w:lineRule="exact"/>
        <w:ind w:left="142"/>
        <w:rPr>
          <w:rFonts w:ascii="仿宋" w:hAnsi="仿宋" w:eastAsia="仿宋" w:cs="仿宋"/>
          <w:b/>
          <w:sz w:val="24"/>
        </w:rPr>
      </w:pPr>
      <w:r>
        <w:rPr>
          <w:rFonts w:hint="eastAsia" w:ascii="仿宋" w:hAnsi="仿宋" w:eastAsia="仿宋" w:cs="仿宋"/>
          <w:b/>
          <w:sz w:val="24"/>
          <w:lang w:val="en-US" w:eastAsia="zh-CN"/>
        </w:rPr>
        <w:t>二</w:t>
      </w:r>
      <w:r>
        <w:rPr>
          <w:rFonts w:hint="eastAsia" w:ascii="仿宋" w:hAnsi="仿宋" w:eastAsia="仿宋" w:cs="仿宋"/>
          <w:b/>
          <w:sz w:val="24"/>
        </w:rPr>
        <w:t>、经济标（投标报价）部分 3</w:t>
      </w:r>
      <w:r>
        <w:rPr>
          <w:rFonts w:ascii="仿宋" w:hAnsi="仿宋" w:eastAsia="仿宋" w:cs="仿宋"/>
          <w:b/>
          <w:sz w:val="24"/>
        </w:rPr>
        <w:t>0</w:t>
      </w:r>
      <w:r>
        <w:rPr>
          <w:rFonts w:hint="eastAsia" w:ascii="仿宋" w:hAnsi="仿宋" w:eastAsia="仿宋" w:cs="仿宋"/>
          <w:b/>
          <w:sz w:val="24"/>
        </w:rPr>
        <w:t>分</w:t>
      </w:r>
    </w:p>
    <w:tbl>
      <w:tblPr>
        <w:tblStyle w:val="20"/>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7094"/>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789" w:type="dxa"/>
            <w:vAlign w:val="center"/>
          </w:tcPr>
          <w:p>
            <w:pPr>
              <w:pStyle w:val="45"/>
              <w:jc w:val="center"/>
              <w:rPr>
                <w:rFonts w:ascii="仿宋" w:hAnsi="仿宋" w:eastAsia="仿宋" w:cs="仿宋"/>
                <w:b/>
                <w:bCs/>
                <w:color w:val="auto"/>
              </w:rPr>
            </w:pPr>
            <w:r>
              <w:rPr>
                <w:rFonts w:hint="eastAsia" w:ascii="仿宋" w:hAnsi="仿宋" w:eastAsia="仿宋" w:cs="仿宋"/>
                <w:b/>
                <w:bCs/>
                <w:color w:val="auto"/>
              </w:rPr>
              <w:t>项目</w:t>
            </w:r>
          </w:p>
        </w:tc>
        <w:tc>
          <w:tcPr>
            <w:tcW w:w="7094" w:type="dxa"/>
            <w:vAlign w:val="center"/>
          </w:tcPr>
          <w:p>
            <w:pPr>
              <w:pStyle w:val="45"/>
              <w:jc w:val="center"/>
              <w:rPr>
                <w:rFonts w:ascii="仿宋" w:hAnsi="仿宋" w:eastAsia="仿宋" w:cs="仿宋"/>
                <w:b/>
                <w:bCs/>
                <w:color w:val="auto"/>
              </w:rPr>
            </w:pPr>
            <w:r>
              <w:rPr>
                <w:rFonts w:hint="eastAsia" w:ascii="仿宋" w:hAnsi="仿宋" w:eastAsia="仿宋" w:cs="仿宋"/>
                <w:b/>
                <w:bCs/>
                <w:color w:val="auto"/>
              </w:rPr>
              <w:t>评标内容</w:t>
            </w:r>
          </w:p>
        </w:tc>
        <w:tc>
          <w:tcPr>
            <w:tcW w:w="870" w:type="dxa"/>
            <w:vAlign w:val="center"/>
          </w:tcPr>
          <w:p>
            <w:pPr>
              <w:pStyle w:val="45"/>
              <w:jc w:val="center"/>
              <w:rPr>
                <w:rFonts w:ascii="仿宋" w:hAnsi="仿宋" w:eastAsia="仿宋" w:cs="仿宋"/>
                <w:b/>
                <w:bCs/>
                <w:color w:val="auto"/>
              </w:rPr>
            </w:pPr>
            <w:r>
              <w:rPr>
                <w:rFonts w:hint="eastAsia" w:ascii="仿宋" w:hAnsi="仿宋" w:eastAsia="仿宋" w:cs="仿宋"/>
                <w:b/>
                <w:bCs/>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753" w:type="dxa"/>
            <w:gridSpan w:val="3"/>
            <w:vAlign w:val="center"/>
          </w:tcPr>
          <w:p>
            <w:pPr>
              <w:pStyle w:val="45"/>
              <w:rPr>
                <w:rFonts w:ascii="仿宋" w:hAnsi="仿宋" w:eastAsia="仿宋" w:cs="仿宋"/>
                <w:color w:val="auto"/>
              </w:rPr>
            </w:pPr>
            <w:r>
              <w:rPr>
                <w:rFonts w:hint="eastAsia" w:ascii="仿宋" w:hAnsi="仿宋" w:eastAsia="仿宋" w:cs="仿宋"/>
                <w:b/>
                <w:bCs/>
                <w:color w:val="auto"/>
              </w:rPr>
              <w:t>A．投标价格评分30分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89" w:type="dxa"/>
            <w:vAlign w:val="center"/>
          </w:tcPr>
          <w:p>
            <w:pPr>
              <w:pStyle w:val="45"/>
              <w:jc w:val="center"/>
              <w:rPr>
                <w:rFonts w:ascii="仿宋" w:hAnsi="仿宋" w:eastAsia="仿宋" w:cs="仿宋"/>
                <w:color w:val="auto"/>
              </w:rPr>
            </w:pPr>
            <w:r>
              <w:rPr>
                <w:rFonts w:hint="eastAsia" w:ascii="仿宋" w:hAnsi="仿宋" w:eastAsia="仿宋" w:cs="仿宋"/>
                <w:color w:val="auto"/>
              </w:rPr>
              <w:t>价格</w:t>
            </w:r>
          </w:p>
        </w:tc>
        <w:tc>
          <w:tcPr>
            <w:tcW w:w="7094" w:type="dxa"/>
            <w:vAlign w:val="center"/>
          </w:tcPr>
          <w:p>
            <w:pPr>
              <w:pStyle w:val="45"/>
              <w:rPr>
                <w:rFonts w:ascii="仿宋" w:hAnsi="仿宋" w:eastAsia="仿宋" w:cs="仿宋"/>
                <w:color w:val="auto"/>
              </w:rPr>
            </w:pPr>
            <w:r>
              <w:rPr>
                <w:rFonts w:hint="eastAsia" w:ascii="仿宋" w:hAnsi="仿宋" w:eastAsia="仿宋" w:cs="仿宋"/>
                <w:color w:val="auto"/>
                <w:szCs w:val="21"/>
              </w:rPr>
              <w:t>价格得分的评分方法：采用低价优先法计算，即满足招标文件要求且投标价格最低的投标报价为评标基准价，其价格得分为满分。其他投标人的价格得分统一按照下列公式计算：价格得分=（评标基准价/投标报价）×3</w:t>
            </w:r>
            <w:r>
              <w:rPr>
                <w:rFonts w:ascii="仿宋" w:hAnsi="仿宋" w:eastAsia="仿宋" w:cs="仿宋"/>
                <w:color w:val="auto"/>
                <w:szCs w:val="21"/>
              </w:rPr>
              <w:t>0</w:t>
            </w:r>
            <w:r>
              <w:rPr>
                <w:rFonts w:hint="eastAsia" w:ascii="仿宋" w:hAnsi="仿宋" w:eastAsia="仿宋" w:cs="仿宋"/>
                <w:color w:val="auto"/>
                <w:szCs w:val="21"/>
              </w:rPr>
              <w:t>%×100，如此类推，算出所有投标供应商的价格得分。</w:t>
            </w:r>
          </w:p>
        </w:tc>
        <w:tc>
          <w:tcPr>
            <w:tcW w:w="870" w:type="dxa"/>
            <w:vAlign w:val="center"/>
          </w:tcPr>
          <w:p>
            <w:pPr>
              <w:pStyle w:val="45"/>
              <w:jc w:val="center"/>
              <w:rPr>
                <w:rFonts w:ascii="仿宋" w:hAnsi="仿宋" w:eastAsia="仿宋" w:cs="仿宋"/>
                <w:color w:val="auto"/>
              </w:rPr>
            </w:pPr>
            <w:r>
              <w:rPr>
                <w:rFonts w:hint="eastAsia" w:ascii="仿宋" w:hAnsi="仿宋" w:eastAsia="仿宋" w:cs="仿宋"/>
                <w:color w:val="auto"/>
              </w:rPr>
              <w:t>3</w:t>
            </w:r>
            <w:r>
              <w:rPr>
                <w:rFonts w:ascii="仿宋" w:hAnsi="仿宋" w:eastAsia="仿宋" w:cs="仿宋"/>
                <w:color w:val="auto"/>
              </w:rPr>
              <w:t>0</w:t>
            </w:r>
            <w:r>
              <w:rPr>
                <w:rFonts w:hint="eastAsia" w:ascii="仿宋" w:hAnsi="仿宋" w:eastAsia="仿宋" w:cs="仿宋"/>
                <w:color w:val="auto"/>
              </w:rPr>
              <w:t>分</w:t>
            </w:r>
          </w:p>
        </w:tc>
      </w:tr>
    </w:tbl>
    <w:p>
      <w:pPr>
        <w:autoSpaceDE w:val="0"/>
        <w:autoSpaceDN w:val="0"/>
        <w:adjustRightInd w:val="0"/>
        <w:spacing w:line="460" w:lineRule="exact"/>
        <w:ind w:left="142"/>
        <w:jc w:val="left"/>
        <w:rPr>
          <w:rFonts w:ascii="仿宋" w:hAnsi="仿宋" w:eastAsia="仿宋" w:cs="仿宋"/>
          <w:b/>
          <w:bCs/>
          <w:sz w:val="24"/>
        </w:rPr>
      </w:pPr>
    </w:p>
    <w:p>
      <w:pPr>
        <w:rPr>
          <w:rFonts w:ascii="仿宋" w:hAnsi="仿宋" w:eastAsia="仿宋" w:cs="仿宋"/>
          <w:b/>
          <w:bCs/>
          <w:sz w:val="24"/>
        </w:rPr>
      </w:pPr>
      <w:r>
        <w:rPr>
          <w:rFonts w:hint="eastAsia" w:ascii="仿宋" w:hAnsi="仿宋" w:eastAsia="仿宋" w:cs="仿宋"/>
          <w:b/>
          <w:bCs/>
          <w:sz w:val="24"/>
        </w:rPr>
        <w:t>11.推荐中标候选人</w:t>
      </w:r>
    </w:p>
    <w:p>
      <w:pPr>
        <w:spacing w:line="360" w:lineRule="auto"/>
        <w:rPr>
          <w:rFonts w:ascii="仿宋" w:hAnsi="仿宋" w:eastAsia="仿宋" w:cs="仿宋"/>
          <w:kern w:val="0"/>
          <w:sz w:val="24"/>
        </w:rPr>
      </w:pPr>
      <w:r>
        <w:rPr>
          <w:rFonts w:hint="eastAsia" w:ascii="仿宋" w:hAnsi="仿宋" w:eastAsia="仿宋" w:cs="仿宋"/>
          <w:kern w:val="0"/>
          <w:sz w:val="24"/>
        </w:rPr>
        <w:t>评分完毕，投标报价得分和商务、技术部分得分之和，作为投标人的综合得分（精确到小数点后二位）。评标委员会按照综合得分高低进行排序，取前3名作为中标候选人推荐给采购人。如果两个投标人的得分相同，投标价格低者排在前。</w:t>
      </w:r>
    </w:p>
    <w:p>
      <w:pPr>
        <w:tabs>
          <w:tab w:val="left" w:pos="420"/>
          <w:tab w:val="left" w:pos="525"/>
          <w:tab w:val="left" w:pos="992"/>
        </w:tabs>
        <w:spacing w:line="480" w:lineRule="auto"/>
        <w:outlineLvl w:val="3"/>
        <w:rPr>
          <w:rFonts w:ascii="仿宋" w:hAnsi="仿宋" w:eastAsia="仿宋" w:cs="仿宋"/>
          <w:b/>
          <w:bCs/>
          <w:sz w:val="24"/>
        </w:rPr>
      </w:pPr>
      <w:r>
        <w:rPr>
          <w:rFonts w:hint="eastAsia" w:ascii="仿宋" w:hAnsi="仿宋" w:eastAsia="仿宋" w:cs="仿宋"/>
          <w:b/>
          <w:bCs/>
          <w:sz w:val="24"/>
        </w:rPr>
        <w:t>12定标</w:t>
      </w:r>
    </w:p>
    <w:p>
      <w:pPr>
        <w:tabs>
          <w:tab w:val="left" w:pos="624"/>
          <w:tab w:val="left" w:pos="735"/>
          <w:tab w:val="left" w:pos="992"/>
          <w:tab w:val="left" w:pos="1254"/>
        </w:tabs>
        <w:spacing w:line="360" w:lineRule="auto"/>
        <w:ind w:left="142"/>
        <w:rPr>
          <w:rFonts w:ascii="仿宋" w:hAnsi="仿宋" w:eastAsia="仿宋" w:cs="仿宋"/>
          <w:sz w:val="24"/>
        </w:rPr>
      </w:pPr>
      <w:r>
        <w:rPr>
          <w:rFonts w:hint="eastAsia" w:ascii="仿宋" w:hAnsi="仿宋" w:eastAsia="仿宋" w:cs="仿宋"/>
          <w:bCs/>
          <w:sz w:val="24"/>
        </w:rPr>
        <w:t>12.1评标委员会提出评标书面报告和推荐中标意见报采购人确认。确认后由采购人、招标代理机构与预中标人进行最终澄清及对投标人的资格和履约能力进行再次审查，形成最终合同的基础文件。如在最终澄清过程中，发现预中标人存在重大问题造成其履约能力不能满足要求的，取消其中标资格，并视其实际情况，保留追究其法律责任的权利。第一中标候选人未能通过资格后审或放弃中标、或因不可抗力提出不能履行合同的，采购人可以确定综合得分排名次高的第二中标候选人为中标人。</w:t>
      </w:r>
    </w:p>
    <w:p>
      <w:pPr>
        <w:tabs>
          <w:tab w:val="left" w:pos="624"/>
          <w:tab w:val="left" w:pos="735"/>
          <w:tab w:val="left" w:pos="992"/>
          <w:tab w:val="left" w:pos="1254"/>
        </w:tabs>
        <w:spacing w:line="360" w:lineRule="auto"/>
        <w:rPr>
          <w:rFonts w:ascii="仿宋" w:hAnsi="仿宋" w:eastAsia="仿宋" w:cs="仿宋"/>
          <w:sz w:val="24"/>
        </w:rPr>
      </w:pPr>
      <w:r>
        <w:rPr>
          <w:rFonts w:hint="eastAsia" w:ascii="仿宋" w:hAnsi="仿宋" w:eastAsia="仿宋" w:cs="仿宋"/>
          <w:bCs/>
          <w:sz w:val="24"/>
        </w:rPr>
        <w:t>12.2最终澄清完成后，由招标代理机构向中标人发出《中标通知书》，并同时将中标结果以网上公告的方式通知所有未中标的投标人。</w:t>
      </w:r>
    </w:p>
    <w:p>
      <w:pPr>
        <w:tabs>
          <w:tab w:val="left" w:pos="420"/>
          <w:tab w:val="left" w:pos="525"/>
          <w:tab w:val="left" w:pos="992"/>
        </w:tabs>
        <w:spacing w:line="480" w:lineRule="auto"/>
        <w:outlineLvl w:val="3"/>
        <w:rPr>
          <w:rFonts w:ascii="仿宋" w:hAnsi="仿宋" w:eastAsia="仿宋" w:cs="仿宋"/>
          <w:b/>
          <w:bCs/>
          <w:sz w:val="24"/>
        </w:rPr>
      </w:pPr>
      <w:r>
        <w:rPr>
          <w:rFonts w:hint="eastAsia" w:ascii="仿宋" w:hAnsi="仿宋" w:eastAsia="仿宋" w:cs="仿宋"/>
          <w:b/>
          <w:bCs/>
          <w:sz w:val="24"/>
        </w:rPr>
        <w:t>13.签约</w:t>
      </w:r>
    </w:p>
    <w:p>
      <w:pPr>
        <w:tabs>
          <w:tab w:val="left" w:pos="624"/>
          <w:tab w:val="left" w:pos="735"/>
          <w:tab w:val="left" w:pos="992"/>
          <w:tab w:val="left" w:pos="1254"/>
        </w:tabs>
        <w:spacing w:line="360" w:lineRule="auto"/>
        <w:rPr>
          <w:rFonts w:ascii="仿宋" w:hAnsi="仿宋" w:eastAsia="仿宋" w:cs="仿宋"/>
          <w:bCs/>
          <w:sz w:val="24"/>
        </w:rPr>
      </w:pPr>
      <w:r>
        <w:rPr>
          <w:rFonts w:hint="eastAsia" w:ascii="仿宋" w:hAnsi="仿宋" w:eastAsia="仿宋" w:cs="仿宋"/>
          <w:bCs/>
          <w:sz w:val="24"/>
        </w:rPr>
        <w:t>13.1中标人应当在《中标通知书》发出之日起次日与招标人签订合同。</w:t>
      </w:r>
    </w:p>
    <w:p>
      <w:pPr>
        <w:tabs>
          <w:tab w:val="left" w:pos="624"/>
          <w:tab w:val="left" w:pos="735"/>
          <w:tab w:val="left" w:pos="992"/>
          <w:tab w:val="left" w:pos="1254"/>
        </w:tabs>
        <w:spacing w:line="360" w:lineRule="auto"/>
        <w:rPr>
          <w:rFonts w:ascii="仿宋" w:hAnsi="仿宋" w:eastAsia="仿宋" w:cs="仿宋"/>
        </w:rPr>
      </w:pPr>
      <w:r>
        <w:rPr>
          <w:rFonts w:hint="eastAsia" w:ascii="仿宋" w:hAnsi="仿宋" w:eastAsia="仿宋" w:cs="仿宋"/>
          <w:bCs/>
          <w:sz w:val="24"/>
        </w:rPr>
        <w:t>13.2招标</w:t>
      </w:r>
      <w:r>
        <w:rPr>
          <w:rFonts w:hint="eastAsia" w:ascii="仿宋" w:hAnsi="仿宋" w:eastAsia="仿宋" w:cs="仿宋"/>
          <w:sz w:val="24"/>
        </w:rPr>
        <w:t>人不得向中标人提出任何不合理的要求，作为签订合同的条件，不得与中标人私下订立背离合同实质性内容的协议。</w:t>
      </w:r>
    </w:p>
    <w:p>
      <w:pPr>
        <w:tabs>
          <w:tab w:val="left" w:pos="420"/>
          <w:tab w:val="left" w:pos="525"/>
          <w:tab w:val="left" w:pos="992"/>
        </w:tabs>
        <w:spacing w:line="480" w:lineRule="auto"/>
        <w:outlineLvl w:val="3"/>
        <w:rPr>
          <w:rFonts w:ascii="仿宋" w:hAnsi="仿宋" w:eastAsia="仿宋" w:cs="仿宋"/>
          <w:b/>
          <w:bCs/>
          <w:sz w:val="24"/>
        </w:rPr>
      </w:pPr>
      <w:bookmarkStart w:id="99" w:name="_Toc209258277"/>
      <w:bookmarkStart w:id="100" w:name="_Toc226966685"/>
      <w:bookmarkStart w:id="101" w:name="_Toc191353019"/>
      <w:bookmarkStart w:id="102" w:name="_Toc272350612"/>
      <w:bookmarkStart w:id="103" w:name="_Toc271105682"/>
      <w:bookmarkStart w:id="104" w:name="_Toc226521697"/>
      <w:bookmarkStart w:id="105" w:name="_Toc278958163"/>
      <w:bookmarkStart w:id="106" w:name="_Toc279046870"/>
      <w:bookmarkStart w:id="107" w:name="_Toc243743358"/>
      <w:bookmarkStart w:id="108" w:name="_Toc245203886"/>
      <w:bookmarkStart w:id="109" w:name="_Toc185747583"/>
      <w:bookmarkStart w:id="110" w:name="_Toc22157"/>
      <w:bookmarkStart w:id="111" w:name="_Toc243923372"/>
      <w:bookmarkStart w:id="112" w:name="_Toc277758490"/>
      <w:r>
        <w:rPr>
          <w:rFonts w:hint="eastAsia" w:ascii="仿宋" w:hAnsi="仿宋" w:eastAsia="仿宋" w:cs="仿宋"/>
          <w:b/>
          <w:bCs/>
          <w:sz w:val="24"/>
        </w:rPr>
        <w:t>14招标服务费</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numPr>
          <w:ilvl w:val="0"/>
          <w:numId w:val="12"/>
        </w:numPr>
        <w:spacing w:line="360" w:lineRule="auto"/>
        <w:rPr>
          <w:rFonts w:ascii="仿宋" w:hAnsi="仿宋" w:eastAsia="仿宋" w:cs="仿宋"/>
          <w:bCs/>
          <w:sz w:val="24"/>
        </w:rPr>
      </w:pPr>
      <w:r>
        <w:rPr>
          <w:rFonts w:hint="eastAsia" w:ascii="仿宋" w:hAnsi="仿宋" w:eastAsia="仿宋" w:cs="仿宋"/>
          <w:bCs/>
          <w:sz w:val="24"/>
        </w:rPr>
        <w:t>收费标准按</w:t>
      </w:r>
      <w:r>
        <w:rPr>
          <w:rFonts w:hint="eastAsia" w:ascii="仿宋" w:hAnsi="仿宋" w:eastAsia="仿宋" w:cs="仿宋"/>
          <w:bCs/>
          <w:sz w:val="24"/>
          <w:lang w:val="en-US" w:eastAsia="zh-CN"/>
        </w:rPr>
        <w:t>代理机构与采购人签订合同为准</w:t>
      </w:r>
      <w:r>
        <w:rPr>
          <w:rFonts w:hint="eastAsia" w:ascii="仿宋" w:hAnsi="仿宋" w:eastAsia="仿宋" w:cs="仿宋"/>
          <w:bCs/>
          <w:sz w:val="24"/>
        </w:rPr>
        <w:t>。</w:t>
      </w:r>
    </w:p>
    <w:p>
      <w:pPr>
        <w:numPr>
          <w:ilvl w:val="0"/>
          <w:numId w:val="12"/>
        </w:numPr>
        <w:spacing w:line="360" w:lineRule="auto"/>
        <w:rPr>
          <w:rFonts w:ascii="仿宋" w:hAnsi="仿宋" w:eastAsia="仿宋" w:cs="仿宋"/>
          <w:bCs/>
          <w:sz w:val="24"/>
        </w:rPr>
      </w:pPr>
      <w:r>
        <w:rPr>
          <w:rFonts w:hint="eastAsia" w:ascii="仿宋" w:hAnsi="仿宋" w:eastAsia="仿宋" w:cs="仿宋"/>
          <w:bCs/>
          <w:sz w:val="24"/>
          <w:lang w:val="en-US" w:eastAsia="zh-CN"/>
        </w:rPr>
        <w:t>项目代理费由中标人支付，不足3000元按3000元计取。</w:t>
      </w:r>
    </w:p>
    <w:p>
      <w:pPr>
        <w:numPr>
          <w:ilvl w:val="0"/>
          <w:numId w:val="12"/>
        </w:numPr>
        <w:spacing w:line="360" w:lineRule="auto"/>
        <w:rPr>
          <w:rFonts w:ascii="仿宋" w:hAnsi="仿宋" w:eastAsia="仿宋" w:cs="仿宋"/>
          <w:bCs/>
          <w:sz w:val="24"/>
        </w:rPr>
        <w:sectPr>
          <w:footerReference r:id="rId5" w:type="first"/>
          <w:headerReference r:id="rId3" w:type="default"/>
          <w:footerReference r:id="rId4" w:type="default"/>
          <w:type w:val="nextColumn"/>
          <w:pgSz w:w="11906" w:h="16838"/>
          <w:pgMar w:top="1191" w:right="1418" w:bottom="1191" w:left="1418" w:header="737" w:footer="737" w:gutter="0"/>
          <w:pgNumType w:start="1"/>
          <w:cols w:space="720" w:num="1"/>
          <w:docGrid w:linePitch="312" w:charSpace="0"/>
        </w:sectPr>
      </w:pPr>
      <w:r>
        <w:rPr>
          <w:rFonts w:hint="eastAsia" w:ascii="仿宋" w:hAnsi="仿宋" w:eastAsia="仿宋" w:cs="仿宋"/>
          <w:bCs/>
          <w:sz w:val="24"/>
          <w:lang w:val="en-US" w:eastAsia="zh-CN"/>
        </w:rPr>
        <w:t>本项目代理费在领取中标通知书前支付</w:t>
      </w:r>
      <w:r>
        <w:rPr>
          <w:rFonts w:hint="eastAsia" w:ascii="仿宋" w:hAnsi="仿宋" w:eastAsia="仿宋" w:cs="仿宋"/>
          <w:bCs/>
          <w:sz w:val="24"/>
        </w:rPr>
        <w:t>。</w:t>
      </w:r>
    </w:p>
    <w:p>
      <w:pPr>
        <w:pStyle w:val="3"/>
        <w:keepLines w:val="0"/>
        <w:numPr>
          <w:ilvl w:val="0"/>
          <w:numId w:val="3"/>
        </w:numPr>
        <w:spacing w:before="0" w:after="0" w:line="360" w:lineRule="auto"/>
        <w:ind w:right="-441" w:rightChars="-210"/>
        <w:jc w:val="center"/>
        <w:rPr>
          <w:rFonts w:ascii="仿宋" w:hAnsi="仿宋" w:eastAsia="仿宋" w:cs="仿宋"/>
          <w:kern w:val="2"/>
          <w:sz w:val="48"/>
          <w:szCs w:val="48"/>
        </w:rPr>
      </w:pPr>
      <w:bookmarkStart w:id="113" w:name="_Toc130180842"/>
      <w:bookmarkStart w:id="114" w:name="_Toc2420"/>
      <w:bookmarkStart w:id="115" w:name="_Toc130180923"/>
      <w:bookmarkStart w:id="116" w:name="_Toc130180737"/>
      <w:r>
        <w:rPr>
          <w:rFonts w:hint="eastAsia" w:ascii="仿宋" w:hAnsi="仿宋" w:eastAsia="仿宋" w:cs="仿宋"/>
          <w:kern w:val="2"/>
          <w:sz w:val="48"/>
          <w:szCs w:val="48"/>
        </w:rPr>
        <w:t xml:space="preserve"> 采购人需求</w:t>
      </w:r>
      <w:bookmarkEnd w:id="113"/>
      <w:bookmarkEnd w:id="114"/>
      <w:bookmarkEnd w:id="115"/>
      <w:bookmarkEnd w:id="116"/>
    </w:p>
    <w:p>
      <w:pPr>
        <w:rPr>
          <w:rFonts w:ascii="仿宋" w:hAnsi="仿宋" w:eastAsia="仿宋" w:cs="仿宋"/>
        </w:rPr>
      </w:pPr>
    </w:p>
    <w:p>
      <w:pPr>
        <w:pStyle w:val="27"/>
        <w:spacing w:line="240" w:lineRule="auto"/>
        <w:rPr>
          <w:rFonts w:ascii="仿宋" w:hAnsi="仿宋" w:eastAsia="仿宋" w:cs="仿宋"/>
          <w:kern w:val="2"/>
          <w:sz w:val="28"/>
          <w:szCs w:val="28"/>
        </w:rPr>
      </w:pPr>
      <w:r>
        <w:rPr>
          <w:rFonts w:hint="eastAsia" w:ascii="仿宋" w:hAnsi="仿宋" w:eastAsia="仿宋" w:cs="仿宋"/>
          <w:kern w:val="2"/>
          <w:sz w:val="28"/>
          <w:szCs w:val="28"/>
        </w:rPr>
        <w:t>详见附件</w:t>
      </w: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27"/>
        <w:spacing w:line="240" w:lineRule="auto"/>
        <w:rPr>
          <w:rFonts w:ascii="仿宋" w:hAnsi="仿宋" w:eastAsia="仿宋" w:cs="仿宋"/>
        </w:rPr>
      </w:pPr>
    </w:p>
    <w:p>
      <w:pPr>
        <w:pStyle w:val="3"/>
        <w:keepLines w:val="0"/>
        <w:numPr>
          <w:ilvl w:val="0"/>
          <w:numId w:val="3"/>
        </w:numPr>
        <w:spacing w:before="0" w:after="0" w:line="360" w:lineRule="auto"/>
        <w:ind w:right="-441" w:rightChars="-210"/>
        <w:jc w:val="center"/>
        <w:rPr>
          <w:rFonts w:ascii="仿宋" w:hAnsi="仿宋" w:eastAsia="仿宋" w:cs="仿宋"/>
          <w:kern w:val="2"/>
          <w:sz w:val="48"/>
          <w:szCs w:val="48"/>
        </w:rPr>
      </w:pPr>
      <w:bookmarkStart w:id="117" w:name="_Toc31409"/>
      <w:bookmarkStart w:id="118" w:name="_Toc130180738"/>
      <w:bookmarkStart w:id="119" w:name="_Toc130180843"/>
      <w:bookmarkStart w:id="120" w:name="_Toc130180924"/>
      <w:r>
        <w:rPr>
          <w:rFonts w:hint="eastAsia" w:ascii="仿宋" w:hAnsi="仿宋" w:eastAsia="仿宋" w:cs="仿宋"/>
          <w:kern w:val="2"/>
          <w:sz w:val="48"/>
          <w:szCs w:val="48"/>
        </w:rPr>
        <w:t xml:space="preserve"> 采购合同</w:t>
      </w:r>
      <w:bookmarkEnd w:id="117"/>
      <w:bookmarkEnd w:id="118"/>
      <w:bookmarkEnd w:id="119"/>
      <w:bookmarkEnd w:id="120"/>
    </w:p>
    <w:p>
      <w:pPr>
        <w:spacing w:line="360" w:lineRule="auto"/>
        <w:rPr>
          <w:rFonts w:ascii="仿宋" w:hAnsi="仿宋" w:eastAsia="仿宋" w:cs="仿宋"/>
          <w:b/>
          <w:bCs/>
        </w:rPr>
      </w:pPr>
    </w:p>
    <w:p>
      <w:pPr>
        <w:adjustRightInd w:val="0"/>
        <w:snapToGrid w:val="0"/>
        <w:spacing w:line="360" w:lineRule="auto"/>
        <w:jc w:val="center"/>
        <w:rPr>
          <w:rFonts w:ascii="仿宋" w:hAnsi="仿宋" w:eastAsia="仿宋" w:cs="仿宋"/>
          <w:sz w:val="44"/>
          <w:szCs w:val="44"/>
        </w:rPr>
      </w:pPr>
      <w:bookmarkStart w:id="121" w:name="_Toc31345"/>
      <w:bookmarkStart w:id="122" w:name="_Toc130180844"/>
      <w:bookmarkStart w:id="123" w:name="_Toc130180925"/>
      <w:bookmarkStart w:id="124" w:name="_Toc130180739"/>
      <w:r>
        <w:rPr>
          <w:rFonts w:hint="eastAsia" w:ascii="仿宋" w:hAnsi="仿宋" w:eastAsia="仿宋" w:cs="仿宋"/>
          <w:sz w:val="44"/>
          <w:szCs w:val="44"/>
        </w:rPr>
        <w:t>新疆维吾尔自治区疾病预防控制中心</w:t>
      </w:r>
    </w:p>
    <w:p>
      <w:pPr>
        <w:tabs>
          <w:tab w:val="center" w:pos="4536"/>
          <w:tab w:val="left" w:pos="7560"/>
        </w:tabs>
        <w:adjustRightInd w:val="0"/>
        <w:snapToGrid w:val="0"/>
        <w:spacing w:line="360" w:lineRule="auto"/>
        <w:jc w:val="left"/>
        <w:rPr>
          <w:rFonts w:ascii="仿宋" w:hAnsi="仿宋" w:eastAsia="仿宋" w:cs="仿宋"/>
          <w:sz w:val="30"/>
          <w:szCs w:val="30"/>
        </w:rPr>
      </w:pPr>
      <w:r>
        <w:rPr>
          <w:rFonts w:hint="eastAsia" w:ascii="仿宋" w:hAnsi="仿宋" w:eastAsia="仿宋" w:cs="仿宋"/>
          <w:w w:val="110"/>
          <w:sz w:val="44"/>
          <w:szCs w:val="44"/>
        </w:rPr>
        <w:tab/>
      </w:r>
      <w:r>
        <w:rPr>
          <w:rFonts w:hint="eastAsia" w:ascii="仿宋" w:hAnsi="仿宋" w:eastAsia="仿宋" w:cs="仿宋"/>
          <w:w w:val="110"/>
          <w:sz w:val="44"/>
          <w:szCs w:val="44"/>
        </w:rPr>
        <w:t xml:space="preserve">采 购 </w:t>
      </w:r>
      <w:r>
        <w:rPr>
          <w:rFonts w:hint="eastAsia" w:ascii="仿宋" w:hAnsi="仿宋" w:eastAsia="仿宋" w:cs="仿宋"/>
          <w:sz w:val="44"/>
          <w:szCs w:val="44"/>
        </w:rPr>
        <w:t>合 同</w:t>
      </w:r>
      <w:r>
        <w:rPr>
          <w:rFonts w:hint="eastAsia" w:ascii="仿宋" w:hAnsi="仿宋" w:eastAsia="仿宋" w:cs="仿宋"/>
          <w:sz w:val="30"/>
          <w:szCs w:val="30"/>
        </w:rPr>
        <w:tab/>
      </w:r>
    </w:p>
    <w:p>
      <w:pPr>
        <w:adjustRightInd w:val="0"/>
        <w:snapToGrid w:val="0"/>
        <w:spacing w:line="360" w:lineRule="auto"/>
        <w:ind w:firstLine="1050" w:firstLineChars="500"/>
        <w:rPr>
          <w:rFonts w:ascii="仿宋" w:hAnsi="仿宋" w:eastAsia="仿宋" w:cs="仿宋"/>
          <w:szCs w:val="21"/>
        </w:rPr>
      </w:pPr>
    </w:p>
    <w:p>
      <w:pPr>
        <w:adjustRightInd w:val="0"/>
        <w:snapToGrid w:val="0"/>
        <w:spacing w:line="360" w:lineRule="auto"/>
        <w:ind w:firstLine="1500" w:firstLineChars="500"/>
        <w:rPr>
          <w:rFonts w:ascii="仿宋" w:hAnsi="仿宋" w:eastAsia="仿宋" w:cs="仿宋"/>
          <w:sz w:val="30"/>
          <w:szCs w:val="30"/>
        </w:rPr>
      </w:pPr>
      <w:r>
        <w:rPr>
          <w:rFonts w:hint="eastAsia" w:ascii="仿宋" w:hAnsi="仿宋" w:eastAsia="仿宋" w:cs="仿宋"/>
          <w:sz w:val="30"/>
          <w:szCs w:val="30"/>
        </w:rPr>
        <w:t>项目编号：</w:t>
      </w:r>
    </w:p>
    <w:p>
      <w:pPr>
        <w:adjustRightInd w:val="0"/>
        <w:snapToGrid w:val="0"/>
        <w:spacing w:line="360" w:lineRule="auto"/>
        <w:ind w:firstLine="1500" w:firstLineChars="500"/>
        <w:rPr>
          <w:rFonts w:ascii="仿宋" w:hAnsi="仿宋" w:eastAsia="仿宋" w:cs="仿宋"/>
          <w:sz w:val="30"/>
          <w:szCs w:val="30"/>
        </w:rPr>
      </w:pPr>
      <w:r>
        <w:rPr>
          <w:rFonts w:hint="eastAsia" w:ascii="仿宋" w:hAnsi="仿宋" w:eastAsia="仿宋" w:cs="仿宋"/>
          <w:sz w:val="30"/>
          <w:szCs w:val="30"/>
        </w:rPr>
        <w:t>合同编号：</w:t>
      </w:r>
    </w:p>
    <w:p>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      年度）</w:t>
      </w:r>
    </w:p>
    <w:p>
      <w:pPr>
        <w:widowControl/>
        <w:adjustRightInd w:val="0"/>
        <w:snapToGrid w:val="0"/>
        <w:spacing w:line="360" w:lineRule="auto"/>
        <w:jc w:val="center"/>
        <w:rPr>
          <w:rFonts w:ascii="仿宋" w:hAnsi="仿宋" w:eastAsia="仿宋" w:cs="仿宋"/>
          <w:kern w:val="0"/>
          <w:szCs w:val="21"/>
        </w:rPr>
      </w:pPr>
      <w:r>
        <w:rPr>
          <w:rFonts w:hint="eastAsia" w:ascii="仿宋" w:hAnsi="仿宋" w:eastAsia="仿宋" w:cs="仿宋"/>
          <w:szCs w:val="21"/>
        </w:rPr>
        <w:t xml:space="preserve">      </w:t>
      </w:r>
    </w:p>
    <w:p>
      <w:pPr>
        <w:adjustRightInd w:val="0"/>
        <w:snapToGrid w:val="0"/>
        <w:spacing w:line="360" w:lineRule="auto"/>
        <w:rPr>
          <w:rFonts w:ascii="仿宋" w:hAnsi="仿宋" w:eastAsia="仿宋" w:cs="仿宋"/>
          <w:szCs w:val="21"/>
        </w:rPr>
      </w:pPr>
      <w:r>
        <w:rPr>
          <w:rFonts w:hint="eastAsia" w:ascii="仿宋" w:hAnsi="仿宋" w:eastAsia="仿宋" w:cs="仿宋"/>
          <w:szCs w:val="21"/>
        </w:rPr>
        <w:t xml:space="preserve">          </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ind w:firstLine="966" w:firstLineChars="345"/>
        <w:rPr>
          <w:rFonts w:ascii="仿宋" w:hAnsi="仿宋" w:eastAsia="仿宋" w:cs="仿宋"/>
          <w:sz w:val="28"/>
          <w:szCs w:val="28"/>
        </w:rPr>
      </w:pPr>
      <w:r>
        <w:rPr>
          <w:rFonts w:hint="eastAsia" w:ascii="仿宋" w:hAnsi="仿宋" w:eastAsia="仿宋" w:cs="仿宋"/>
          <w:sz w:val="28"/>
          <w:szCs w:val="28"/>
        </w:rPr>
        <w:t>甲  方：新疆维吾尔自治区疾病预防控制中心</w:t>
      </w:r>
    </w:p>
    <w:p>
      <w:pPr>
        <w:adjustRightInd w:val="0"/>
        <w:snapToGrid w:val="0"/>
        <w:spacing w:line="360" w:lineRule="auto"/>
        <w:ind w:firstLine="966" w:firstLineChars="345"/>
        <w:rPr>
          <w:rFonts w:ascii="仿宋" w:hAnsi="仿宋" w:eastAsia="仿宋" w:cs="仿宋"/>
          <w:sz w:val="28"/>
          <w:szCs w:val="28"/>
        </w:rPr>
      </w:pPr>
      <w:r>
        <w:rPr>
          <w:rFonts w:hint="eastAsia" w:ascii="仿宋" w:hAnsi="仿宋" w:eastAsia="仿宋" w:cs="仿宋"/>
          <w:sz w:val="28"/>
          <w:szCs w:val="28"/>
        </w:rPr>
        <w:t xml:space="preserve">乙  方： </w:t>
      </w:r>
    </w:p>
    <w:p>
      <w:pPr>
        <w:adjustRightInd w:val="0"/>
        <w:snapToGrid w:val="0"/>
        <w:spacing w:line="360" w:lineRule="auto"/>
        <w:jc w:val="center"/>
        <w:rPr>
          <w:rFonts w:ascii="仿宋" w:hAnsi="仿宋" w:eastAsia="仿宋" w:cs="仿宋"/>
          <w:sz w:val="28"/>
          <w:szCs w:val="28"/>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ind w:firstLine="1120" w:firstLineChars="400"/>
        <w:rPr>
          <w:rFonts w:ascii="仿宋" w:hAnsi="仿宋" w:eastAsia="仿宋" w:cs="仿宋"/>
          <w:sz w:val="28"/>
          <w:szCs w:val="28"/>
        </w:rPr>
      </w:pPr>
      <w:r>
        <w:rPr>
          <w:rFonts w:hint="eastAsia" w:ascii="仿宋" w:hAnsi="仿宋" w:eastAsia="仿宋" w:cs="仿宋"/>
          <w:sz w:val="28"/>
          <w:szCs w:val="28"/>
        </w:rPr>
        <w:t xml:space="preserve">合同签订地点：                             </w:t>
      </w:r>
    </w:p>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二O二</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p>
    <w:p>
      <w:pPr>
        <w:adjustRightInd w:val="0"/>
        <w:snapToGrid w:val="0"/>
        <w:spacing w:line="360" w:lineRule="auto"/>
        <w:jc w:val="center"/>
        <w:rPr>
          <w:rFonts w:ascii="仿宋" w:hAnsi="仿宋" w:eastAsia="仿宋" w:cs="仿宋"/>
          <w:sz w:val="28"/>
          <w:szCs w:val="28"/>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jc w:val="center"/>
        <w:rPr>
          <w:rFonts w:ascii="仿宋" w:hAnsi="仿宋" w:eastAsia="仿宋" w:cs="仿宋"/>
          <w:sz w:val="30"/>
          <w:szCs w:val="30"/>
        </w:rPr>
      </w:pPr>
    </w:p>
    <w:p>
      <w:pPr>
        <w:adjustRightInd w:val="0"/>
        <w:snapToGrid w:val="0"/>
        <w:spacing w:line="360" w:lineRule="auto"/>
        <w:jc w:val="center"/>
        <w:rPr>
          <w:rFonts w:ascii="仿宋" w:hAnsi="仿宋" w:eastAsia="仿宋" w:cs="仿宋"/>
          <w:sz w:val="30"/>
          <w:szCs w:val="30"/>
        </w:rPr>
      </w:pPr>
    </w:p>
    <w:p>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采 购 （专 用） 合 同（本级）</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甲方：新疆维吾尔自治区疾病预防控制中心</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乙方：                                </w:t>
      </w:r>
    </w:p>
    <w:p>
      <w:pPr>
        <w:widowControl/>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新疆维吾尔自治区疾病预防控制中心（以下简称甲方）经</w:t>
      </w:r>
      <w:r>
        <w:rPr>
          <w:rFonts w:hint="eastAsia" w:ascii="仿宋" w:hAnsi="仿宋" w:eastAsia="仿宋" w:cs="仿宋"/>
          <w:szCs w:val="21"/>
          <w:u w:val="single"/>
        </w:rPr>
        <w:t xml:space="preserve">             </w:t>
      </w:r>
      <w:r>
        <w:rPr>
          <w:rFonts w:hint="eastAsia" w:ascii="仿宋" w:hAnsi="仿宋" w:eastAsia="仿宋" w:cs="仿宋"/>
          <w:szCs w:val="21"/>
        </w:rPr>
        <w:t>组织的招标采购，选定</w:t>
      </w:r>
      <w:r>
        <w:rPr>
          <w:rFonts w:hint="eastAsia" w:ascii="仿宋" w:hAnsi="仿宋" w:eastAsia="仿宋" w:cs="仿宋"/>
          <w:szCs w:val="21"/>
          <w:u w:val="single"/>
        </w:rPr>
        <w:t xml:space="preserve">                                                                                    （                  （</w:t>
      </w:r>
      <w:r>
        <w:rPr>
          <w:rFonts w:hint="eastAsia" w:ascii="仿宋" w:hAnsi="仿宋" w:eastAsia="仿宋" w:cs="仿宋"/>
          <w:szCs w:val="21"/>
        </w:rPr>
        <w:t>以下简称乙方</w:t>
      </w:r>
      <w:r>
        <w:rPr>
          <w:rFonts w:hint="eastAsia" w:ascii="仿宋" w:hAnsi="仿宋" w:eastAsia="仿宋" w:cs="仿宋"/>
          <w:szCs w:val="21"/>
          <w:u w:val="single"/>
        </w:rPr>
        <w:t>）</w:t>
      </w:r>
      <w:r>
        <w:rPr>
          <w:rFonts w:hint="eastAsia" w:ascii="仿宋" w:hAnsi="仿宋" w:eastAsia="仿宋" w:cs="仿宋"/>
          <w:szCs w:val="21"/>
        </w:rPr>
        <w:t>：为提供</w:t>
      </w:r>
      <w:r>
        <w:rPr>
          <w:rFonts w:hint="eastAsia" w:ascii="仿宋" w:hAnsi="仿宋" w:eastAsia="仿宋" w:cs="仿宋"/>
          <w:szCs w:val="21"/>
          <w:u w:val="single"/>
        </w:rPr>
        <w:t xml:space="preserve">                          </w:t>
      </w:r>
      <w:r>
        <w:rPr>
          <w:rFonts w:hint="eastAsia" w:ascii="仿宋" w:hAnsi="仿宋" w:eastAsia="仿宋" w:cs="仿宋"/>
          <w:szCs w:val="21"/>
        </w:rPr>
        <w:t>产品的</w:t>
      </w:r>
      <w:r>
        <w:rPr>
          <w:rFonts w:hint="eastAsia" w:ascii="仿宋" w:hAnsi="仿宋" w:eastAsia="仿宋" w:cs="仿宋"/>
          <w:szCs w:val="21"/>
          <w:u w:val="single"/>
        </w:rPr>
        <w:t>中标单位</w:t>
      </w:r>
      <w:r>
        <w:rPr>
          <w:rFonts w:hint="eastAsia" w:ascii="仿宋" w:hAnsi="仿宋" w:eastAsia="仿宋" w:cs="仿宋"/>
          <w:szCs w:val="21"/>
        </w:rPr>
        <w:t>。依据《中华人民共和国民法典》、《中华人民共和国政府采购法》及相关法律、法规，经甲、乙双方共同协商，按下述条款签署本合同。</w:t>
      </w:r>
    </w:p>
    <w:p>
      <w:pPr>
        <w:widowControl/>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一、合同标的、规格、数量、单价 </w:t>
      </w:r>
    </w:p>
    <w:tbl>
      <w:tblPr>
        <w:tblStyle w:val="20"/>
        <w:tblW w:w="10419" w:type="dxa"/>
        <w:jc w:val="center"/>
        <w:tblLayout w:type="fixed"/>
        <w:tblCellMar>
          <w:top w:w="0" w:type="dxa"/>
          <w:left w:w="108" w:type="dxa"/>
          <w:bottom w:w="0" w:type="dxa"/>
          <w:right w:w="108" w:type="dxa"/>
        </w:tblCellMar>
      </w:tblPr>
      <w:tblGrid>
        <w:gridCol w:w="855"/>
        <w:gridCol w:w="1266"/>
        <w:gridCol w:w="851"/>
        <w:gridCol w:w="119"/>
        <w:gridCol w:w="609"/>
        <w:gridCol w:w="242"/>
        <w:gridCol w:w="732"/>
        <w:gridCol w:w="850"/>
        <w:gridCol w:w="1559"/>
        <w:gridCol w:w="1276"/>
        <w:gridCol w:w="996"/>
        <w:gridCol w:w="262"/>
        <w:gridCol w:w="543"/>
        <w:gridCol w:w="259"/>
      </w:tblGrid>
      <w:tr>
        <w:tblPrEx>
          <w:tblCellMar>
            <w:top w:w="0" w:type="dxa"/>
            <w:left w:w="108" w:type="dxa"/>
            <w:bottom w:w="0" w:type="dxa"/>
            <w:right w:w="108" w:type="dxa"/>
          </w:tblCellMar>
        </w:tblPrEx>
        <w:trPr>
          <w:cantSplit/>
          <w:trHeight w:val="453" w:hRule="exact"/>
          <w:jc w:val="center"/>
        </w:trPr>
        <w:tc>
          <w:tcPr>
            <w:tcW w:w="855"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项目序号</w:t>
            </w:r>
          </w:p>
        </w:tc>
        <w:tc>
          <w:tcPr>
            <w:tcW w:w="126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名   称</w:t>
            </w:r>
          </w:p>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（通用名）</w:t>
            </w:r>
          </w:p>
        </w:tc>
        <w:tc>
          <w:tcPr>
            <w:tcW w:w="851"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国产/进口</w:t>
            </w:r>
          </w:p>
        </w:tc>
        <w:tc>
          <w:tcPr>
            <w:tcW w:w="728" w:type="dxa"/>
            <w:gridSpan w:val="2"/>
            <w:tcBorders>
              <w:top w:val="single" w:color="auto" w:sz="4" w:space="0"/>
              <w:left w:val="single" w:color="auto" w:sz="4" w:space="0"/>
              <w:right w:val="single" w:color="auto" w:sz="4" w:space="0"/>
            </w:tcBorders>
          </w:tcPr>
          <w:p>
            <w:pPr>
              <w:adjustRightInd w:val="0"/>
              <w:snapToGrid w:val="0"/>
              <w:spacing w:line="360" w:lineRule="auto"/>
              <w:rPr>
                <w:rFonts w:ascii="仿宋" w:hAnsi="仿宋" w:eastAsia="仿宋" w:cs="仿宋"/>
                <w:szCs w:val="21"/>
              </w:rPr>
            </w:pPr>
          </w:p>
        </w:tc>
        <w:tc>
          <w:tcPr>
            <w:tcW w:w="974" w:type="dxa"/>
            <w:gridSpan w:val="2"/>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技术参 数</w:t>
            </w:r>
          </w:p>
        </w:tc>
        <w:tc>
          <w:tcPr>
            <w:tcW w:w="850" w:type="dxa"/>
            <w:tcBorders>
              <w:top w:val="single" w:color="auto" w:sz="4" w:space="0"/>
              <w:left w:val="single" w:color="auto" w:sz="4" w:space="0"/>
              <w:right w:val="single" w:color="auto" w:sz="4" w:space="0"/>
            </w:tcBorders>
          </w:tcPr>
          <w:p>
            <w:pPr>
              <w:adjustRightInd w:val="0"/>
              <w:snapToGrid w:val="0"/>
              <w:spacing w:line="360" w:lineRule="auto"/>
              <w:jc w:val="center"/>
              <w:rPr>
                <w:rFonts w:ascii="仿宋" w:hAnsi="仿宋" w:eastAsia="仿宋" w:cs="仿宋"/>
                <w:szCs w:val="21"/>
              </w:rPr>
            </w:pPr>
          </w:p>
        </w:tc>
        <w:tc>
          <w:tcPr>
            <w:tcW w:w="1559"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投标方报价</w:t>
            </w:r>
          </w:p>
          <w:p>
            <w:pPr>
              <w:adjustRightInd w:val="0"/>
              <w:snapToGrid w:val="0"/>
              <w:spacing w:line="360" w:lineRule="auto"/>
              <w:ind w:left="165"/>
              <w:jc w:val="center"/>
              <w:rPr>
                <w:rFonts w:ascii="仿宋" w:hAnsi="仿宋" w:eastAsia="仿宋" w:cs="仿宋"/>
                <w:szCs w:val="21"/>
              </w:rPr>
            </w:pPr>
            <w:r>
              <w:rPr>
                <w:rFonts w:hint="eastAsia" w:ascii="仿宋" w:hAnsi="仿宋" w:eastAsia="仿宋" w:cs="仿宋"/>
                <w:szCs w:val="21"/>
              </w:rPr>
              <w:t>单价（元/</w:t>
            </w:r>
          </w:p>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支）</w:t>
            </w:r>
          </w:p>
        </w:tc>
        <w:tc>
          <w:tcPr>
            <w:tcW w:w="127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合同总价</w:t>
            </w:r>
          </w:p>
        </w:tc>
        <w:tc>
          <w:tcPr>
            <w:tcW w:w="99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金额大写</w:t>
            </w:r>
          </w:p>
        </w:tc>
        <w:tc>
          <w:tcPr>
            <w:tcW w:w="262" w:type="dxa"/>
            <w:tcBorders>
              <w:top w:val="single" w:color="auto" w:sz="4" w:space="0"/>
            </w:tcBorders>
          </w:tcPr>
          <w:p>
            <w:pPr>
              <w:widowControl/>
              <w:adjustRightInd w:val="0"/>
              <w:snapToGrid w:val="0"/>
              <w:jc w:val="left"/>
              <w:rPr>
                <w:rFonts w:ascii="仿宋" w:hAnsi="仿宋" w:eastAsia="仿宋" w:cs="仿宋"/>
                <w:szCs w:val="21"/>
              </w:rPr>
            </w:pPr>
          </w:p>
          <w:p>
            <w:pPr>
              <w:widowControl/>
              <w:adjustRightInd w:val="0"/>
              <w:snapToGrid w:val="0"/>
              <w:jc w:val="left"/>
              <w:rPr>
                <w:rFonts w:ascii="仿宋" w:hAnsi="仿宋" w:eastAsia="仿宋" w:cs="仿宋"/>
                <w:szCs w:val="21"/>
              </w:rPr>
            </w:pPr>
          </w:p>
        </w:tc>
        <w:tc>
          <w:tcPr>
            <w:tcW w:w="802" w:type="dxa"/>
            <w:gridSpan w:val="2"/>
            <w:vMerge w:val="restart"/>
            <w:tcBorders>
              <w:top w:val="single" w:color="auto" w:sz="4" w:space="0"/>
              <w:right w:val="single" w:color="auto" w:sz="4" w:space="0"/>
            </w:tcBorders>
            <w:vAlign w:val="center"/>
          </w:tcPr>
          <w:p>
            <w:pPr>
              <w:widowControl/>
              <w:adjustRightInd w:val="0"/>
              <w:snapToGrid w:val="0"/>
              <w:jc w:val="center"/>
              <w:rPr>
                <w:rFonts w:ascii="仿宋" w:hAnsi="仿宋" w:eastAsia="仿宋" w:cs="仿宋"/>
                <w:szCs w:val="21"/>
              </w:rPr>
            </w:pPr>
          </w:p>
          <w:p>
            <w:pPr>
              <w:widowControl/>
              <w:adjustRightInd w:val="0"/>
              <w:snapToGrid w:val="0"/>
              <w:jc w:val="center"/>
              <w:rPr>
                <w:rFonts w:ascii="仿宋" w:hAnsi="仿宋" w:eastAsia="仿宋" w:cs="仿宋"/>
                <w:szCs w:val="21"/>
              </w:rPr>
            </w:pPr>
            <w:r>
              <w:rPr>
                <w:rFonts w:hint="eastAsia" w:ascii="仿宋" w:hAnsi="仿宋" w:eastAsia="仿宋" w:cs="仿宋"/>
                <w:szCs w:val="21"/>
              </w:rPr>
              <w:t>收货人及电话</w:t>
            </w:r>
          </w:p>
        </w:tc>
      </w:tr>
      <w:tr>
        <w:tblPrEx>
          <w:tblCellMar>
            <w:top w:w="0" w:type="dxa"/>
            <w:left w:w="108" w:type="dxa"/>
            <w:bottom w:w="0" w:type="dxa"/>
            <w:right w:w="108" w:type="dxa"/>
          </w:tblCellMar>
        </w:tblPrEx>
        <w:trPr>
          <w:cantSplit/>
          <w:trHeight w:val="411" w:hRule="atLeast"/>
          <w:jc w:val="center"/>
        </w:trPr>
        <w:tc>
          <w:tcPr>
            <w:tcW w:w="855"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66" w:type="dxa"/>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851" w:type="dxa"/>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728" w:type="dxa"/>
            <w:gridSpan w:val="2"/>
            <w:tcBorders>
              <w:left w:val="single" w:color="auto" w:sz="4" w:space="0"/>
              <w:right w:val="single" w:color="auto" w:sz="4" w:space="0"/>
            </w:tcBorders>
          </w:tcPr>
          <w:p>
            <w:pPr>
              <w:adjustRightInd w:val="0"/>
              <w:snapToGrid w:val="0"/>
              <w:spacing w:line="360" w:lineRule="auto"/>
              <w:rPr>
                <w:rFonts w:ascii="仿宋" w:hAnsi="仿宋" w:eastAsia="仿宋" w:cs="仿宋"/>
                <w:szCs w:val="21"/>
              </w:rPr>
            </w:pPr>
            <w:r>
              <w:rPr>
                <w:rFonts w:hint="eastAsia" w:ascii="仿宋" w:hAnsi="仿宋" w:eastAsia="仿宋" w:cs="仿宋"/>
                <w:szCs w:val="21"/>
              </w:rPr>
              <w:t>品名型号</w:t>
            </w:r>
          </w:p>
        </w:tc>
        <w:tc>
          <w:tcPr>
            <w:tcW w:w="974" w:type="dxa"/>
            <w:gridSpan w:val="2"/>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850" w:type="dxa"/>
            <w:tcBorders>
              <w:left w:val="single" w:color="auto" w:sz="4" w:space="0"/>
              <w:right w:val="single" w:color="auto" w:sz="4" w:space="0"/>
            </w:tcBorders>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数量</w:t>
            </w:r>
          </w:p>
        </w:tc>
        <w:tc>
          <w:tcPr>
            <w:tcW w:w="1559" w:type="dxa"/>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76" w:type="dxa"/>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996"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262" w:type="dxa"/>
            <w:tcBorders>
              <w:bottom w:val="single" w:color="auto" w:sz="4" w:space="0"/>
            </w:tcBorders>
          </w:tcPr>
          <w:p>
            <w:pPr>
              <w:widowControl/>
              <w:adjustRightInd w:val="0"/>
              <w:snapToGrid w:val="0"/>
              <w:jc w:val="left"/>
              <w:rPr>
                <w:rFonts w:ascii="仿宋" w:hAnsi="仿宋" w:eastAsia="仿宋" w:cs="仿宋"/>
                <w:szCs w:val="21"/>
              </w:rPr>
            </w:pPr>
          </w:p>
        </w:tc>
        <w:tc>
          <w:tcPr>
            <w:tcW w:w="802" w:type="dxa"/>
            <w:gridSpan w:val="2"/>
            <w:vMerge w:val="continue"/>
            <w:tcBorders>
              <w:bottom w:val="single" w:color="auto" w:sz="4" w:space="0"/>
              <w:right w:val="single" w:color="auto" w:sz="4" w:space="0"/>
            </w:tcBorders>
          </w:tcPr>
          <w:p>
            <w:pPr>
              <w:widowControl/>
              <w:adjustRightInd w:val="0"/>
              <w:snapToGrid w:val="0"/>
              <w:jc w:val="left"/>
              <w:rPr>
                <w:rFonts w:ascii="仿宋" w:hAnsi="仿宋" w:eastAsia="仿宋" w:cs="仿宋"/>
                <w:szCs w:val="21"/>
              </w:rPr>
            </w:pPr>
          </w:p>
        </w:tc>
      </w:tr>
      <w:tr>
        <w:tblPrEx>
          <w:tblCellMar>
            <w:top w:w="0" w:type="dxa"/>
            <w:left w:w="108" w:type="dxa"/>
            <w:bottom w:w="0" w:type="dxa"/>
            <w:right w:w="108" w:type="dxa"/>
          </w:tblCellMar>
        </w:tblPrEx>
        <w:trPr>
          <w:cantSplit/>
          <w:trHeight w:val="803" w:hRule="atLeast"/>
          <w:jc w:val="center"/>
        </w:trPr>
        <w:tc>
          <w:tcPr>
            <w:tcW w:w="855"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6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851"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728" w:type="dxa"/>
            <w:gridSpan w:val="2"/>
            <w:tcBorders>
              <w:top w:val="single" w:color="auto" w:sz="4" w:space="0"/>
              <w:left w:val="single" w:color="auto" w:sz="6" w:space="0"/>
              <w:bottom w:val="single" w:color="auto" w:sz="4" w:space="0"/>
              <w:right w:val="single" w:color="auto" w:sz="6" w:space="0"/>
            </w:tcBorders>
          </w:tcPr>
          <w:p>
            <w:pPr>
              <w:adjustRightInd w:val="0"/>
              <w:snapToGrid w:val="0"/>
              <w:spacing w:line="360" w:lineRule="auto"/>
              <w:jc w:val="center"/>
              <w:rPr>
                <w:rFonts w:ascii="仿宋" w:hAnsi="仿宋" w:eastAsia="仿宋" w:cs="仿宋"/>
                <w:szCs w:val="21"/>
              </w:rPr>
            </w:pPr>
          </w:p>
        </w:tc>
        <w:tc>
          <w:tcPr>
            <w:tcW w:w="974" w:type="dxa"/>
            <w:gridSpan w:val="2"/>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996" w:type="dxa"/>
            <w:tcBorders>
              <w:top w:val="single" w:color="auto" w:sz="4" w:space="0"/>
              <w:left w:val="single" w:color="auto" w:sz="6"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262" w:type="dxa"/>
            <w:tcBorders>
              <w:top w:val="single" w:color="auto" w:sz="4" w:space="0"/>
              <w:left w:val="single" w:color="auto" w:sz="4" w:space="0"/>
            </w:tcBorders>
          </w:tcPr>
          <w:p>
            <w:pPr>
              <w:widowControl/>
              <w:adjustRightInd w:val="0"/>
              <w:snapToGrid w:val="0"/>
              <w:jc w:val="left"/>
              <w:rPr>
                <w:rFonts w:ascii="仿宋" w:hAnsi="仿宋" w:eastAsia="仿宋" w:cs="仿宋"/>
                <w:szCs w:val="21"/>
              </w:rPr>
            </w:pPr>
          </w:p>
        </w:tc>
        <w:tc>
          <w:tcPr>
            <w:tcW w:w="802" w:type="dxa"/>
            <w:gridSpan w:val="2"/>
            <w:tcBorders>
              <w:top w:val="single" w:color="auto" w:sz="4" w:space="0"/>
              <w:bottom w:val="single" w:color="auto" w:sz="4" w:space="0"/>
              <w:right w:val="single" w:color="auto" w:sz="4" w:space="0"/>
            </w:tcBorders>
          </w:tcPr>
          <w:p>
            <w:pPr>
              <w:widowControl/>
              <w:adjustRightInd w:val="0"/>
              <w:snapToGrid w:val="0"/>
              <w:jc w:val="left"/>
              <w:rPr>
                <w:rFonts w:ascii="仿宋" w:hAnsi="仿宋" w:eastAsia="仿宋" w:cs="仿宋"/>
                <w:szCs w:val="21"/>
              </w:rPr>
            </w:pPr>
          </w:p>
        </w:tc>
      </w:tr>
      <w:tr>
        <w:tblPrEx>
          <w:tblCellMar>
            <w:top w:w="0" w:type="dxa"/>
            <w:left w:w="108" w:type="dxa"/>
            <w:bottom w:w="0" w:type="dxa"/>
            <w:right w:w="108" w:type="dxa"/>
          </w:tblCellMar>
        </w:tblPrEx>
        <w:trPr>
          <w:cantSplit/>
          <w:trHeight w:val="551" w:hRule="atLeast"/>
          <w:jc w:val="center"/>
        </w:trPr>
        <w:tc>
          <w:tcPr>
            <w:tcW w:w="855"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6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851"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728" w:type="dxa"/>
            <w:gridSpan w:val="2"/>
            <w:tcBorders>
              <w:top w:val="single" w:color="auto" w:sz="4" w:space="0"/>
              <w:left w:val="single" w:color="auto" w:sz="6" w:space="0"/>
              <w:bottom w:val="single" w:color="auto" w:sz="4" w:space="0"/>
              <w:right w:val="single" w:color="auto" w:sz="6" w:space="0"/>
            </w:tcBorders>
          </w:tcPr>
          <w:p>
            <w:pPr>
              <w:adjustRightInd w:val="0"/>
              <w:snapToGrid w:val="0"/>
              <w:spacing w:line="360" w:lineRule="auto"/>
              <w:jc w:val="center"/>
              <w:rPr>
                <w:rFonts w:ascii="仿宋" w:hAnsi="仿宋" w:eastAsia="仿宋" w:cs="仿宋"/>
                <w:szCs w:val="21"/>
              </w:rPr>
            </w:pPr>
          </w:p>
        </w:tc>
        <w:tc>
          <w:tcPr>
            <w:tcW w:w="974" w:type="dxa"/>
            <w:gridSpan w:val="2"/>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996"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jc w:val="left"/>
              <w:rPr>
                <w:rFonts w:ascii="仿宋" w:hAnsi="仿宋" w:eastAsia="仿宋" w:cs="仿宋"/>
                <w:szCs w:val="21"/>
              </w:rPr>
            </w:pPr>
          </w:p>
        </w:tc>
        <w:tc>
          <w:tcPr>
            <w:tcW w:w="262" w:type="dxa"/>
            <w:tcBorders>
              <w:top w:val="single" w:color="auto" w:sz="4" w:space="0"/>
              <w:left w:val="single" w:color="auto" w:sz="4" w:space="0"/>
              <w:bottom w:val="single" w:color="auto" w:sz="4" w:space="0"/>
            </w:tcBorders>
            <w:vAlign w:val="center"/>
          </w:tcPr>
          <w:p>
            <w:pPr>
              <w:widowControl/>
              <w:adjustRightInd w:val="0"/>
              <w:snapToGrid w:val="0"/>
              <w:jc w:val="left"/>
              <w:rPr>
                <w:rFonts w:ascii="仿宋" w:hAnsi="仿宋" w:eastAsia="仿宋" w:cs="仿宋"/>
                <w:szCs w:val="21"/>
              </w:rPr>
            </w:pPr>
          </w:p>
        </w:tc>
        <w:tc>
          <w:tcPr>
            <w:tcW w:w="802" w:type="dxa"/>
            <w:gridSpan w:val="2"/>
            <w:tcBorders>
              <w:top w:val="single" w:color="auto" w:sz="4" w:space="0"/>
              <w:bottom w:val="single" w:color="auto" w:sz="4" w:space="0"/>
              <w:right w:val="single" w:color="auto" w:sz="4" w:space="0"/>
            </w:tcBorders>
          </w:tcPr>
          <w:p>
            <w:pPr>
              <w:widowControl/>
              <w:adjustRightInd w:val="0"/>
              <w:snapToGrid w:val="0"/>
              <w:jc w:val="left"/>
              <w:rPr>
                <w:rFonts w:ascii="仿宋" w:hAnsi="仿宋" w:eastAsia="仿宋" w:cs="仿宋"/>
                <w:szCs w:val="21"/>
              </w:rPr>
            </w:pPr>
          </w:p>
        </w:tc>
      </w:tr>
      <w:tr>
        <w:tblPrEx>
          <w:tblCellMar>
            <w:top w:w="0" w:type="dxa"/>
            <w:left w:w="108" w:type="dxa"/>
            <w:bottom w:w="0" w:type="dxa"/>
            <w:right w:w="108" w:type="dxa"/>
          </w:tblCellMar>
        </w:tblPrEx>
        <w:trPr>
          <w:cantSplit/>
          <w:trHeight w:val="755" w:hRule="atLeast"/>
          <w:jc w:val="center"/>
        </w:trPr>
        <w:tc>
          <w:tcPr>
            <w:tcW w:w="2121" w:type="dxa"/>
            <w:gridSpan w:val="2"/>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合同总价</w:t>
            </w:r>
          </w:p>
        </w:tc>
        <w:tc>
          <w:tcPr>
            <w:tcW w:w="851" w:type="dxa"/>
            <w:tcBorders>
              <w:top w:val="single" w:color="auto" w:sz="4" w:space="0"/>
              <w:left w:val="single" w:color="auto" w:sz="6" w:space="0"/>
              <w:bottom w:val="single" w:color="auto" w:sz="4" w:space="0"/>
              <w:right w:val="single" w:color="auto" w:sz="6" w:space="0"/>
            </w:tcBorders>
          </w:tcPr>
          <w:p>
            <w:pPr>
              <w:adjustRightInd w:val="0"/>
              <w:snapToGrid w:val="0"/>
              <w:spacing w:line="360" w:lineRule="auto"/>
              <w:rPr>
                <w:rFonts w:ascii="仿宋" w:hAnsi="仿宋" w:eastAsia="仿宋" w:cs="仿宋"/>
                <w:szCs w:val="21"/>
              </w:rPr>
            </w:pPr>
          </w:p>
        </w:tc>
        <w:tc>
          <w:tcPr>
            <w:tcW w:w="970" w:type="dxa"/>
            <w:gridSpan w:val="3"/>
            <w:tcBorders>
              <w:top w:val="single" w:color="auto" w:sz="4" w:space="0"/>
              <w:left w:val="single" w:color="auto" w:sz="6" w:space="0"/>
              <w:bottom w:val="single" w:color="auto" w:sz="4" w:space="0"/>
            </w:tcBorders>
          </w:tcPr>
          <w:p>
            <w:pPr>
              <w:adjustRightInd w:val="0"/>
              <w:snapToGrid w:val="0"/>
              <w:spacing w:line="360" w:lineRule="auto"/>
              <w:rPr>
                <w:rFonts w:ascii="仿宋" w:hAnsi="仿宋" w:eastAsia="仿宋" w:cs="仿宋"/>
                <w:szCs w:val="21"/>
              </w:rPr>
            </w:pPr>
          </w:p>
        </w:tc>
        <w:tc>
          <w:tcPr>
            <w:tcW w:w="6477" w:type="dxa"/>
            <w:gridSpan w:val="8"/>
            <w:tcBorders>
              <w:right w:val="single" w:color="auto" w:sz="4" w:space="0"/>
            </w:tcBorders>
          </w:tcPr>
          <w:p>
            <w:pPr>
              <w:adjustRightInd w:val="0"/>
              <w:snapToGrid w:val="0"/>
              <w:spacing w:line="360" w:lineRule="auto"/>
              <w:rPr>
                <w:rFonts w:ascii="仿宋" w:hAnsi="仿宋" w:eastAsia="仿宋" w:cs="仿宋"/>
                <w:kern w:val="0"/>
                <w:szCs w:val="21"/>
              </w:rPr>
            </w:pPr>
          </w:p>
          <w:p>
            <w:pPr>
              <w:adjustRightInd w:val="0"/>
              <w:snapToGrid w:val="0"/>
              <w:spacing w:line="360" w:lineRule="auto"/>
              <w:rPr>
                <w:rFonts w:ascii="仿宋" w:hAnsi="仿宋" w:eastAsia="仿宋" w:cs="仿宋"/>
                <w:kern w:val="0"/>
                <w:szCs w:val="21"/>
              </w:rPr>
            </w:pPr>
            <w:r>
              <w:rPr>
                <w:rFonts w:hint="eastAsia" w:ascii="仿宋" w:hAnsi="仿宋" w:eastAsia="仿宋" w:cs="仿宋"/>
                <w:kern w:val="0"/>
                <w:szCs w:val="21"/>
              </w:rPr>
              <w:t>人民币大写</w:t>
            </w:r>
            <w:r>
              <w:rPr>
                <w:rFonts w:hint="eastAsia" w:ascii="仿宋" w:hAnsi="仿宋" w:eastAsia="仿宋" w:cs="仿宋"/>
                <w:kern w:val="0"/>
                <w:szCs w:val="21"/>
                <w:u w:val="single"/>
              </w:rPr>
              <w:t xml:space="preserve">：                       </w:t>
            </w:r>
            <w:r>
              <w:rPr>
                <w:rFonts w:hint="eastAsia" w:ascii="仿宋" w:hAnsi="仿宋" w:eastAsia="仿宋" w:cs="仿宋"/>
                <w:szCs w:val="21"/>
              </w:rPr>
              <w:t xml:space="preserve"> </w:t>
            </w:r>
            <w:r>
              <w:rPr>
                <w:rFonts w:hint="eastAsia" w:ascii="仿宋" w:hAnsi="仿宋" w:eastAsia="仿宋" w:cs="仿宋"/>
                <w:kern w:val="0"/>
                <w:szCs w:val="21"/>
              </w:rPr>
              <w:t>（小写￥</w:t>
            </w:r>
            <w:r>
              <w:rPr>
                <w:rFonts w:hint="eastAsia" w:ascii="仿宋" w:hAnsi="仿宋" w:eastAsia="仿宋" w:cs="仿宋"/>
                <w:szCs w:val="21"/>
              </w:rPr>
              <w:t xml:space="preserve">      </w:t>
            </w:r>
            <w:r>
              <w:rPr>
                <w:rFonts w:hint="eastAsia" w:ascii="仿宋" w:hAnsi="仿宋" w:eastAsia="仿宋" w:cs="仿宋"/>
                <w:kern w:val="0"/>
                <w:szCs w:val="21"/>
              </w:rPr>
              <w:t>元）</w:t>
            </w:r>
          </w:p>
          <w:p>
            <w:pPr>
              <w:widowControl/>
              <w:adjustRightInd w:val="0"/>
              <w:snapToGrid w:val="0"/>
              <w:jc w:val="left"/>
              <w:rPr>
                <w:rFonts w:ascii="仿宋" w:hAnsi="仿宋" w:eastAsia="仿宋" w:cs="仿宋"/>
                <w:szCs w:val="21"/>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gridAfter w:val="1"/>
          <w:wBefore w:w="3091" w:type="dxa"/>
          <w:wAfter w:w="259" w:type="dxa"/>
          <w:trHeight w:val="100" w:hRule="atLeast"/>
          <w:jc w:val="center"/>
        </w:trPr>
        <w:tc>
          <w:tcPr>
            <w:tcW w:w="851" w:type="dxa"/>
            <w:gridSpan w:val="2"/>
            <w:tcBorders>
              <w:top w:val="single" w:color="auto" w:sz="4" w:space="0"/>
            </w:tcBorders>
          </w:tcPr>
          <w:p>
            <w:pPr>
              <w:tabs>
                <w:tab w:val="left" w:pos="540"/>
              </w:tabs>
              <w:adjustRightInd w:val="0"/>
              <w:snapToGrid w:val="0"/>
              <w:spacing w:line="360" w:lineRule="auto"/>
              <w:rPr>
                <w:rFonts w:ascii="仿宋" w:hAnsi="仿宋" w:eastAsia="仿宋" w:cs="仿宋"/>
                <w:szCs w:val="21"/>
              </w:rPr>
            </w:pPr>
          </w:p>
        </w:tc>
        <w:tc>
          <w:tcPr>
            <w:tcW w:w="6218" w:type="dxa"/>
            <w:gridSpan w:val="7"/>
            <w:tcBorders>
              <w:top w:val="single" w:color="auto" w:sz="4" w:space="0"/>
            </w:tcBorders>
          </w:tcPr>
          <w:p>
            <w:pPr>
              <w:tabs>
                <w:tab w:val="left" w:pos="540"/>
              </w:tabs>
              <w:adjustRightInd w:val="0"/>
              <w:snapToGrid w:val="0"/>
              <w:spacing w:line="360" w:lineRule="auto"/>
              <w:rPr>
                <w:rFonts w:ascii="仿宋" w:hAnsi="仿宋" w:eastAsia="仿宋" w:cs="仿宋"/>
                <w:szCs w:val="21"/>
              </w:rPr>
            </w:pPr>
          </w:p>
        </w:tc>
      </w:tr>
    </w:tbl>
    <w:p>
      <w:pPr>
        <w:adjustRightInd w:val="0"/>
        <w:snapToGrid w:val="0"/>
        <w:spacing w:line="360" w:lineRule="auto"/>
        <w:rPr>
          <w:rFonts w:ascii="仿宋" w:hAnsi="仿宋" w:eastAsia="仿宋" w:cs="仿宋"/>
          <w:spacing w:val="-20"/>
          <w:szCs w:val="21"/>
        </w:rPr>
      </w:pPr>
      <w:r>
        <w:rPr>
          <w:rFonts w:hint="eastAsia" w:ascii="仿宋" w:hAnsi="仿宋" w:eastAsia="仿宋" w:cs="仿宋"/>
          <w:spacing w:val="-20"/>
          <w:szCs w:val="21"/>
        </w:rPr>
        <w:t>说      明：</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 合同总价包含到达交货地点的运杂费、技术服务（相关技术指导）、运输费、保险费、培训及其他各项费用。</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（二）合同总价包括乙方销售本合同产品，国家根据现行税法向乙方征收的与履行合同有关的一切税费。</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 合同总价一次包死，不受市场价格变化的影响，并作为结算的唯一依据。</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二、产品质量要求</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（一） 国家标准：</w:t>
      </w:r>
      <w:r>
        <w:rPr>
          <w:rFonts w:hint="eastAsia" w:ascii="仿宋" w:hAnsi="仿宋" w:eastAsia="仿宋" w:cs="仿宋"/>
          <w:szCs w:val="21"/>
          <w:u w:val="single"/>
        </w:rPr>
        <w:t xml:space="preserve">  符合国家标准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（二）行业标准：</w:t>
      </w:r>
      <w:r>
        <w:rPr>
          <w:rFonts w:hint="eastAsia" w:ascii="仿宋" w:hAnsi="仿宋" w:eastAsia="仿宋" w:cs="仿宋"/>
          <w:szCs w:val="21"/>
          <w:u w:val="single"/>
        </w:rPr>
        <w:t xml:space="preserve">    符合行业标准         </w:t>
      </w:r>
      <w:r>
        <w:rPr>
          <w:rFonts w:hint="eastAsia" w:ascii="仿宋" w:hAnsi="仿宋" w:eastAsia="仿宋" w:cs="仿宋"/>
          <w:szCs w:val="21"/>
        </w:rPr>
        <w:t xml:space="preserve">                             </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（三） 样品标准：</w:t>
      </w:r>
      <w:r>
        <w:rPr>
          <w:rFonts w:hint="eastAsia" w:ascii="仿宋" w:hAnsi="仿宋" w:eastAsia="仿宋" w:cs="仿宋"/>
          <w:szCs w:val="21"/>
          <w:u w:val="single"/>
        </w:rPr>
        <w:t xml:space="preserve"> (有/无) 乙方按甲方要求制作样品，该样品由甲乙双方封样，由甲方保存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w:t>
      </w:r>
      <w:r>
        <w:rPr>
          <w:rFonts w:hint="eastAsia" w:ascii="仿宋" w:hAnsi="仿宋" w:eastAsia="仿宋" w:cs="仿宋"/>
          <w:szCs w:val="21"/>
          <w:u w:val="single"/>
        </w:rPr>
        <w:t>7</w:t>
      </w:r>
      <w:r>
        <w:rPr>
          <w:rFonts w:hint="eastAsia" w:ascii="仿宋" w:hAnsi="仿宋" w:eastAsia="仿宋" w:cs="仿宋"/>
          <w:szCs w:val="21"/>
        </w:rPr>
        <w:t>天内，免费负责更换新的产品。对造成的损失甲方保留索赔的权利。</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（五）因乙方产品发生知识产权纠纷、质量问题导致的产品被监管部门没收、罚款或召回及因第三方主张民事权利等造成的甲方经济损失和相关费用均由乙方承担。</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三、包装方式及包装品处理</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（一）包装方式：</w:t>
      </w:r>
      <w:r>
        <w:rPr>
          <w:rFonts w:hint="eastAsia" w:ascii="仿宋" w:hAnsi="仿宋" w:eastAsia="仿宋" w:cs="仿宋"/>
          <w:szCs w:val="21"/>
          <w:u w:val="single"/>
        </w:rPr>
        <w:t xml:space="preserve">     纸箱/木箱/泡沫                      </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（二）包装品处理：</w:t>
      </w:r>
      <w:r>
        <w:rPr>
          <w:rFonts w:hint="eastAsia" w:ascii="仿宋" w:hAnsi="仿宋" w:eastAsia="仿宋" w:cs="仿宋"/>
          <w:szCs w:val="21"/>
          <w:u w:val="single"/>
        </w:rPr>
        <w:t xml:space="preserve">   由甲方指定处理                      </w:t>
      </w:r>
    </w:p>
    <w:p>
      <w:pPr>
        <w:numPr>
          <w:ilvl w:val="0"/>
          <w:numId w:val="13"/>
        </w:num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交货方式</w:t>
      </w:r>
    </w:p>
    <w:p>
      <w:pPr>
        <w:numPr>
          <w:ilvl w:val="0"/>
          <w:numId w:val="14"/>
        </w:num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交货期限：</w:t>
      </w:r>
      <w:r>
        <w:rPr>
          <w:rFonts w:hint="eastAsia" w:ascii="仿宋" w:hAnsi="仿宋" w:eastAsia="仿宋" w:cs="仿宋"/>
          <w:szCs w:val="21"/>
          <w:u w:val="single"/>
        </w:rPr>
        <w:t xml:space="preserve">    国产物资自合同签订之日起   日完成交货，进口物资自合同签订之日起   日交货。  </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 xml:space="preserve">（二）交货地点： </w:t>
      </w:r>
      <w:r>
        <w:rPr>
          <w:rFonts w:hint="eastAsia" w:ascii="仿宋" w:hAnsi="仿宋" w:eastAsia="仿宋" w:cs="仿宋"/>
          <w:szCs w:val="21"/>
          <w:u w:val="single"/>
        </w:rPr>
        <w:t xml:space="preserve">  甲方指定地点。 </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（三）运输方式：</w:t>
      </w:r>
      <w:r>
        <w:rPr>
          <w:rFonts w:hint="eastAsia" w:ascii="仿宋" w:hAnsi="仿宋" w:eastAsia="仿宋" w:cs="仿宋"/>
          <w:szCs w:val="21"/>
          <w:u w:val="single"/>
        </w:rPr>
        <w:t xml:space="preserve">  乙方负责运输到甲方指定地点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w:t>
      </w:r>
    </w:p>
    <w:p>
      <w:pPr>
        <w:pStyle w:val="8"/>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pPr>
        <w:numPr>
          <w:ilvl w:val="0"/>
          <w:numId w:val="13"/>
        </w:num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验收</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 xml:space="preserve"> （一）验收时间：</w:t>
      </w:r>
      <w:r>
        <w:rPr>
          <w:rFonts w:hint="eastAsia" w:ascii="仿宋" w:hAnsi="仿宋" w:eastAsia="仿宋" w:cs="仿宋"/>
          <w:szCs w:val="21"/>
          <w:u w:val="single"/>
        </w:rPr>
        <w:t xml:space="preserve"> 货到现场验收 。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（二）验收方式：</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验收按照下列要求验收，如一项不合格，视同产品不合格：</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 1 \* GB2 </w:instrText>
      </w:r>
      <w:r>
        <w:rPr>
          <w:rFonts w:hint="eastAsia" w:ascii="仿宋" w:hAnsi="仿宋" w:eastAsia="仿宋" w:cs="仿宋"/>
          <w:szCs w:val="21"/>
        </w:rPr>
        <w:fldChar w:fldCharType="separate"/>
      </w:r>
      <w:r>
        <w:rPr>
          <w:rFonts w:hint="eastAsia" w:ascii="仿宋" w:hAnsi="仿宋" w:eastAsia="仿宋" w:cs="仿宋"/>
          <w:szCs w:val="21"/>
        </w:rPr>
        <w:t>⑴</w:t>
      </w:r>
      <w:r>
        <w:rPr>
          <w:rFonts w:hint="eastAsia" w:ascii="仿宋" w:hAnsi="仿宋" w:eastAsia="仿宋" w:cs="仿宋"/>
          <w:szCs w:val="21"/>
        </w:rPr>
        <w:fldChar w:fldCharType="end"/>
      </w:r>
      <w:r>
        <w:rPr>
          <w:rFonts w:hint="eastAsia" w:ascii="仿宋" w:hAnsi="仿宋" w:eastAsia="仿宋" w:cs="仿宋"/>
          <w:szCs w:val="21"/>
        </w:rPr>
        <w:t>资料验收：供方交货时应按合同规定的要求，提供相关的技术资料。</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 2 \* GB2 </w:instrText>
      </w:r>
      <w:r>
        <w:rPr>
          <w:rFonts w:hint="eastAsia" w:ascii="仿宋" w:hAnsi="仿宋" w:eastAsia="仿宋" w:cs="仿宋"/>
          <w:szCs w:val="21"/>
        </w:rPr>
        <w:fldChar w:fldCharType="separate"/>
      </w:r>
      <w:r>
        <w:rPr>
          <w:rFonts w:hint="eastAsia" w:ascii="仿宋" w:hAnsi="仿宋" w:eastAsia="仿宋" w:cs="仿宋"/>
          <w:szCs w:val="21"/>
        </w:rPr>
        <w:t>⑵</w:t>
      </w:r>
      <w:r>
        <w:rPr>
          <w:rFonts w:hint="eastAsia" w:ascii="仿宋" w:hAnsi="仿宋" w:eastAsia="仿宋" w:cs="仿宋"/>
          <w:szCs w:val="21"/>
        </w:rPr>
        <w:fldChar w:fldCharType="end"/>
      </w:r>
      <w:r>
        <w:rPr>
          <w:rFonts w:hint="eastAsia" w:ascii="仿宋" w:hAnsi="仿宋" w:eastAsia="仿宋" w:cs="仿宋"/>
          <w:szCs w:val="21"/>
        </w:rPr>
        <w:t xml:space="preserve">实物验收：包括产品名称、数量、规格和包装等外观形态。质保期剩余期限不得低于该产品限定质保期的 </w:t>
      </w:r>
      <w:r>
        <w:rPr>
          <w:rFonts w:hint="eastAsia" w:ascii="仿宋" w:hAnsi="仿宋" w:eastAsia="仿宋" w:cs="仿宋"/>
          <w:szCs w:val="21"/>
          <w:u w:val="single"/>
        </w:rPr>
        <w:t xml:space="preserve">（按招标文件及中标文件约定执行） </w:t>
      </w:r>
      <w:r>
        <w:rPr>
          <w:rFonts w:hint="eastAsia" w:ascii="仿宋" w:hAnsi="仿宋" w:eastAsia="仿宋" w:cs="仿宋"/>
          <w:szCs w:val="21"/>
        </w:rPr>
        <w:t>。</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 3 \* GB2 </w:instrText>
      </w:r>
      <w:r>
        <w:rPr>
          <w:rFonts w:hint="eastAsia" w:ascii="仿宋" w:hAnsi="仿宋" w:eastAsia="仿宋" w:cs="仿宋"/>
          <w:szCs w:val="21"/>
        </w:rPr>
        <w:fldChar w:fldCharType="separate"/>
      </w:r>
      <w:r>
        <w:rPr>
          <w:rFonts w:hint="eastAsia" w:ascii="仿宋" w:hAnsi="仿宋" w:eastAsia="仿宋" w:cs="仿宋"/>
          <w:szCs w:val="21"/>
        </w:rPr>
        <w:t>⑶</w:t>
      </w:r>
      <w:r>
        <w:rPr>
          <w:rFonts w:hint="eastAsia" w:ascii="仿宋" w:hAnsi="仿宋" w:eastAsia="仿宋" w:cs="仿宋"/>
          <w:szCs w:val="21"/>
        </w:rPr>
        <w:fldChar w:fldCharType="end"/>
      </w:r>
      <w:r>
        <w:rPr>
          <w:rFonts w:hint="eastAsia" w:ascii="仿宋" w:hAnsi="仿宋" w:eastAsia="仿宋" w:cs="仿宋"/>
          <w:szCs w:val="21"/>
        </w:rPr>
        <w:t>产品质量抽检复核。</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(4)验收人员可以包括使用部门人员、财务部门人员、乙方人员、代理机构。</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（三）安装验收：</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产品如需安装验收，自设备正常运转</w:t>
      </w:r>
      <w:r>
        <w:rPr>
          <w:rFonts w:hint="eastAsia" w:ascii="仿宋" w:hAnsi="仿宋" w:eastAsia="仿宋" w:cs="仿宋"/>
          <w:szCs w:val="21"/>
          <w:u w:val="single"/>
        </w:rPr>
        <w:t xml:space="preserve"> 7 </w:t>
      </w:r>
      <w:r>
        <w:rPr>
          <w:rFonts w:hint="eastAsia" w:ascii="仿宋" w:hAnsi="仿宋" w:eastAsia="仿宋" w:cs="仿宋"/>
          <w:szCs w:val="21"/>
        </w:rPr>
        <w:t>天后，视为验收合格。</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四）特殊产品（指疫苗等生物产品）乙方交货时，同时应当提供该批产品由药品检验机构依法签发的生物制品每批检验合格或者审核批准证明复印件，并加盖企业印章。销售进口产品的，还应当提供进口药品通关单复印件，并加盖企业印章。甲方在产品质量保证期内有权进行抽检复核，如发现产品质量问题，乙方应按照甲方要求及时予以退换。</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（五）质量争议：对产品质量发生争议由</w:t>
      </w:r>
      <w:r>
        <w:rPr>
          <w:rFonts w:hint="eastAsia" w:ascii="仿宋" w:hAnsi="仿宋" w:eastAsia="仿宋" w:cs="仿宋"/>
          <w:szCs w:val="21"/>
          <w:u w:val="single"/>
        </w:rPr>
        <w:t xml:space="preserve"> 具有检验资质的第三方 </w:t>
      </w:r>
      <w:r>
        <w:rPr>
          <w:rFonts w:hint="eastAsia" w:ascii="仿宋" w:hAnsi="仿宋" w:eastAsia="仿宋" w:cs="仿宋"/>
          <w:szCs w:val="21"/>
        </w:rPr>
        <w:t>检验机构进行检验，检验费由</w:t>
      </w:r>
      <w:r>
        <w:rPr>
          <w:rFonts w:hint="eastAsia" w:ascii="仿宋" w:hAnsi="仿宋" w:eastAsia="仿宋" w:cs="仿宋"/>
          <w:szCs w:val="21"/>
          <w:u w:val="single"/>
        </w:rPr>
        <w:t>乙方</w:t>
      </w:r>
      <w:r>
        <w:rPr>
          <w:rFonts w:hint="eastAsia" w:ascii="仿宋" w:hAnsi="仿宋" w:eastAsia="仿宋" w:cs="仿宋"/>
          <w:szCs w:val="21"/>
        </w:rPr>
        <w:t xml:space="preserve">承担。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（六）  乙方接到甲方对产品质量提出异议的通知后，3天内负责处理并通知甲方处理情况，否则即视为默认甲方提出的异议和处理意见。</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（七）甲方因使用、保管、保养不善等造成产品质量下降的，不得提出异议。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（八）货物符合合同约定的技术规范要求和验收标准的，甲方签署验收合格证明 。                    </w:t>
      </w:r>
    </w:p>
    <w:p>
      <w:pPr>
        <w:adjustRightInd w:val="0"/>
        <w:snapToGrid w:val="0"/>
        <w:spacing w:line="360" w:lineRule="auto"/>
        <w:ind w:firstLine="420" w:firstLineChars="200"/>
        <w:outlineLvl w:val="0"/>
        <w:rPr>
          <w:rFonts w:ascii="仿宋" w:hAnsi="仿宋" w:eastAsia="仿宋" w:cs="仿宋"/>
          <w:kern w:val="0"/>
          <w:szCs w:val="21"/>
        </w:rPr>
      </w:pPr>
      <w:r>
        <w:rPr>
          <w:rFonts w:hint="eastAsia" w:ascii="仿宋" w:hAnsi="仿宋" w:eastAsia="仿宋" w:cs="仿宋"/>
          <w:kern w:val="0"/>
          <w:szCs w:val="21"/>
        </w:rPr>
        <w:t>六、款项支付</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（一）履约保证金</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   为保证乙方能够按合同履约，乙方应交付10%履约保证金</w:t>
      </w:r>
      <w:r>
        <w:rPr>
          <w:rFonts w:hint="eastAsia" w:ascii="仿宋" w:hAnsi="仿宋" w:eastAsia="仿宋" w:cs="仿宋"/>
          <w:szCs w:val="21"/>
          <w:u w:val="single"/>
        </w:rPr>
        <w:t xml:space="preserve">           元。</w:t>
      </w:r>
      <w:r>
        <w:rPr>
          <w:rFonts w:hint="eastAsia" w:ascii="仿宋" w:hAnsi="仿宋" w:eastAsia="仿宋" w:cs="仿宋"/>
          <w:szCs w:val="21"/>
        </w:rPr>
        <w:t>如物资为设备类，则该履约金自动转为质保金，保证金在质保期开始计算时，转为质保金，待质保期届满（无违约责任）后返还（无息）。如乙方有违约行为，甲方可用该保证金冲抵甲方的损失及乙方的违约金。</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（二）货款支付：</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合同总价包含到达交货地点的运杂费、技术服务（相关技术指导）、运输费、保险费、培训、税费及其他各项费用(本合同按</w:t>
      </w:r>
      <w:r>
        <w:rPr>
          <w:rFonts w:hint="eastAsia" w:ascii="仿宋" w:hAnsi="仿宋" w:eastAsia="仿宋" w:cs="仿宋"/>
          <w:szCs w:val="21"/>
          <w:u w:val="single"/>
        </w:rPr>
        <w:t xml:space="preserve">                执行</w:t>
      </w:r>
      <w:r>
        <w:rPr>
          <w:rFonts w:hint="eastAsia" w:ascii="仿宋" w:hAnsi="仿宋" w:eastAsia="仿宋" w:cs="仿宋"/>
          <w:szCs w:val="21"/>
        </w:rPr>
        <w:t>)。</w:t>
      </w:r>
    </w:p>
    <w:p>
      <w:pPr>
        <w:adjustRightInd w:val="0"/>
        <w:snapToGrid w:val="0"/>
        <w:spacing w:line="360" w:lineRule="auto"/>
        <w:ind w:left="105" w:firstLine="420"/>
        <w:rPr>
          <w:rFonts w:ascii="仿宋" w:hAnsi="仿宋" w:eastAsia="仿宋" w:cs="仿宋"/>
          <w:szCs w:val="21"/>
        </w:rPr>
      </w:pPr>
      <w:r>
        <w:rPr>
          <w:rFonts w:hint="eastAsia" w:ascii="仿宋" w:hAnsi="仿宋" w:eastAsia="仿宋" w:cs="仿宋"/>
          <w:szCs w:val="21"/>
        </w:rPr>
        <w:t>双方约定，合同签订后，乙方向甲方交纳10%履约金</w:t>
      </w:r>
      <w:r>
        <w:rPr>
          <w:rFonts w:hint="eastAsia" w:ascii="仿宋" w:hAnsi="仿宋" w:eastAsia="仿宋" w:cs="仿宋"/>
          <w:szCs w:val="21"/>
          <w:u w:val="single"/>
        </w:rPr>
        <w:t xml:space="preserve">           元</w:t>
      </w:r>
      <w:r>
        <w:rPr>
          <w:rFonts w:hint="eastAsia" w:ascii="仿宋" w:hAnsi="仿宋" w:eastAsia="仿宋" w:cs="仿宋"/>
          <w:szCs w:val="21"/>
        </w:rPr>
        <w:t>，并向甲方开具合同全额发票，甲方收到履约金和全额发票后向乙方支付全额货款。</w:t>
      </w:r>
    </w:p>
    <w:p>
      <w:pPr>
        <w:adjustRightInd w:val="0"/>
        <w:snapToGrid w:val="0"/>
        <w:spacing w:line="360" w:lineRule="auto"/>
        <w:ind w:left="105" w:firstLine="420"/>
        <w:rPr>
          <w:rFonts w:ascii="仿宋" w:hAnsi="仿宋" w:eastAsia="仿宋" w:cs="仿宋"/>
          <w:szCs w:val="21"/>
        </w:rPr>
      </w:pPr>
      <w:r>
        <w:rPr>
          <w:rFonts w:hint="eastAsia" w:ascii="仿宋" w:hAnsi="仿宋" w:eastAsia="仿宋" w:cs="仿宋"/>
          <w:szCs w:val="21"/>
        </w:rPr>
        <w:t>乙方按照甲方需求分批次供货，待所有货物验收合格后，甲方向乙方无息退款</w:t>
      </w:r>
      <w:r>
        <w:rPr>
          <w:rFonts w:ascii="仿宋" w:hAnsi="仿宋" w:eastAsia="仿宋" w:cs="仿宋"/>
          <w:szCs w:val="21"/>
        </w:rPr>
        <w:t>5</w:t>
      </w:r>
      <w:r>
        <w:rPr>
          <w:rFonts w:hint="eastAsia" w:ascii="仿宋" w:hAnsi="仿宋" w:eastAsia="仿宋" w:cs="仿宋"/>
          <w:szCs w:val="21"/>
        </w:rPr>
        <w:t>%履约保证金</w:t>
      </w:r>
      <w:r>
        <w:rPr>
          <w:rFonts w:hint="eastAsia" w:ascii="仿宋" w:hAnsi="仿宋" w:eastAsia="仿宋" w:cs="仿宋"/>
          <w:szCs w:val="21"/>
          <w:u w:val="single"/>
        </w:rPr>
        <w:t xml:space="preserve">       元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（3）双方约定，合同签订后，乙方按照甲方需求一次性供货，所有货物验收合格后，乙方向甲方开具合同全额发票，甲方收到发票后向乙方支付货款</w:t>
      </w:r>
      <w:r>
        <w:rPr>
          <w:rFonts w:hint="eastAsia" w:ascii="仿宋" w:hAnsi="仿宋" w:eastAsia="仿宋" w:cs="仿宋"/>
          <w:szCs w:val="21"/>
          <w:u w:val="single"/>
        </w:rPr>
        <w:t xml:space="preserve">               </w:t>
      </w:r>
      <w:r>
        <w:rPr>
          <w:rFonts w:hint="eastAsia" w:ascii="仿宋" w:hAnsi="仿宋" w:eastAsia="仿宋" w:cs="仿宋"/>
          <w:szCs w:val="21"/>
        </w:rPr>
        <w:t>。</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（4）乙方按照甲方需求完成设备类供货，所有设备经甲方验收合格后，退还5%履约保证金</w:t>
      </w:r>
      <w:r>
        <w:rPr>
          <w:rFonts w:hint="eastAsia" w:ascii="仿宋" w:hAnsi="仿宋" w:eastAsia="仿宋" w:cs="仿宋"/>
          <w:szCs w:val="21"/>
          <w:u w:val="single"/>
        </w:rPr>
        <w:t xml:space="preserve">              元   ，</w:t>
      </w:r>
      <w:r>
        <w:rPr>
          <w:rFonts w:hint="eastAsia" w:ascii="仿宋" w:hAnsi="仿宋" w:eastAsia="仿宋" w:cs="仿宋"/>
          <w:szCs w:val="21"/>
        </w:rPr>
        <w:t xml:space="preserve">剩余5%履约保证金 </w:t>
      </w:r>
      <w:r>
        <w:rPr>
          <w:rFonts w:hint="eastAsia" w:ascii="仿宋" w:hAnsi="仿宋" w:eastAsia="仿宋" w:cs="仿宋"/>
          <w:szCs w:val="21"/>
          <w:u w:val="single"/>
        </w:rPr>
        <w:t xml:space="preserve">          </w:t>
      </w:r>
      <w:r>
        <w:rPr>
          <w:rFonts w:hint="eastAsia" w:ascii="仿宋" w:hAnsi="仿宋" w:eastAsia="仿宋" w:cs="仿宋"/>
          <w:szCs w:val="21"/>
        </w:rPr>
        <w:t xml:space="preserve"> 元，到质保期届满甲方无异议于</w:t>
      </w:r>
      <w:r>
        <w:rPr>
          <w:rFonts w:hint="eastAsia" w:ascii="仿宋" w:hAnsi="仿宋" w:eastAsia="仿宋" w:cs="仿宋"/>
          <w:szCs w:val="21"/>
          <w:u w:val="single"/>
        </w:rPr>
        <w:t xml:space="preserve">     </w:t>
      </w:r>
      <w:r>
        <w:rPr>
          <w:rFonts w:hint="eastAsia" w:ascii="仿宋" w:hAnsi="仿宋" w:eastAsia="仿宋" w:cs="仿宋"/>
          <w:szCs w:val="21"/>
        </w:rPr>
        <w:t>工作日返回。</w:t>
      </w:r>
    </w:p>
    <w:p>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szCs w:val="21"/>
        </w:rPr>
        <w:t>（5）</w:t>
      </w:r>
      <w:r>
        <w:rPr>
          <w:rFonts w:hint="eastAsia" w:ascii="仿宋" w:hAnsi="仿宋" w:eastAsia="仿宋" w:cs="仿宋"/>
          <w:kern w:val="0"/>
          <w:szCs w:val="21"/>
        </w:rPr>
        <w:t>付款要求：甲方财务凭下列单据支付货款（按甲乙各方的义务提交）：</w:t>
      </w:r>
    </w:p>
    <w:p>
      <w:pPr>
        <w:widowControl/>
        <w:shd w:val="clear" w:color="auto" w:fill="FFFFFF"/>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（a）全额发票（原件及复印件各1份）；（b）中标通知书复印件（1份）（c）自治区疾控中心采购验收单；（d）乙方供货清单（盖章） ； （e）自治区疾控中心物资采购廉洁合同（见附件1）；（f）自治区疾控中心使用科室付款说明  ；（g）供应商评价表（见附件2需由使用科室签字确认）；因乙方提交单据不全导致甲方财务未能付款的，甲方不承担逾期付款责任。</w:t>
      </w:r>
    </w:p>
    <w:p>
      <w:pPr>
        <w:widowControl/>
        <w:shd w:val="clear" w:color="auto" w:fill="FFFFFF"/>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（三）付款信息:</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kern w:val="0"/>
          <w:szCs w:val="21"/>
        </w:rPr>
        <w:t>甲方：</w:t>
      </w:r>
      <w:r>
        <w:rPr>
          <w:rFonts w:hint="eastAsia" w:ascii="仿宋" w:hAnsi="仿宋" w:eastAsia="仿宋" w:cs="仿宋"/>
          <w:szCs w:val="21"/>
        </w:rPr>
        <w:t xml:space="preserve">税号：1265000074224934XX                   乙方：税号：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开 户 行：招商银行乌鲁木齐新华北路支行      开 户 行：</w:t>
      </w:r>
    </w:p>
    <w:p>
      <w:pPr>
        <w:tabs>
          <w:tab w:val="center" w:pos="5070"/>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开户行号：308881029026                      开户行号：</w:t>
      </w:r>
    </w:p>
    <w:p>
      <w:pPr>
        <w:widowControl/>
        <w:shd w:val="clear" w:color="auto" w:fill="FFFFFF"/>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szCs w:val="21"/>
        </w:rPr>
        <w:t xml:space="preserve"> 帐   号: 991902334910906                   帐   号：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七、延期交货与核定损失额</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如果乙方未能按合同规定的时间按期交货(不可抗力除外)，在乙方同意支付核定损失额的条件下，甲方可适当延长交货期。核定损失额的支付将从未付款或从履约保证金中扣除。核定损失额计付比率为每迟交1天，按货物全额的</w:t>
      </w:r>
      <w:r>
        <w:rPr>
          <w:rFonts w:hint="eastAsia" w:ascii="仿宋" w:hAnsi="仿宋" w:eastAsia="仿宋" w:cs="仿宋"/>
          <w:szCs w:val="21"/>
          <w:u w:val="single"/>
        </w:rPr>
        <w:t xml:space="preserve"> 1 %</w:t>
      </w:r>
      <w:r>
        <w:rPr>
          <w:rFonts w:hint="eastAsia" w:ascii="仿宋" w:hAnsi="仿宋" w:eastAsia="仿宋" w:cs="仿宋"/>
          <w:szCs w:val="21"/>
        </w:rPr>
        <w:t xml:space="preserve">。如果乙方 </w:t>
      </w:r>
      <w:r>
        <w:rPr>
          <w:rFonts w:hint="eastAsia" w:ascii="仿宋" w:hAnsi="仿宋" w:eastAsia="仿宋" w:cs="仿宋"/>
          <w:szCs w:val="21"/>
          <w:u w:val="single"/>
        </w:rPr>
        <w:t>7</w:t>
      </w:r>
      <w:r>
        <w:rPr>
          <w:rFonts w:hint="eastAsia" w:ascii="仿宋" w:hAnsi="仿宋" w:eastAsia="仿宋" w:cs="仿宋"/>
          <w:szCs w:val="21"/>
        </w:rPr>
        <w:t>天后仍不能交货，甲方有权因乙方违约终止合同，而乙方仍有义务支付上述迟交核定损失金额。</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八、保密</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双方保证对从另一方取得且无法自公开渠道获得的商业秘密（技术信息、经济信息及其他商业秘密）予以保密。未经对方同意不得向任何第三方泄露该商业秘密。</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九、保修与售后服务</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（一）、质保期为</w:t>
      </w:r>
      <w:r>
        <w:rPr>
          <w:rFonts w:hint="eastAsia" w:ascii="仿宋" w:hAnsi="仿宋" w:eastAsia="仿宋" w:cs="仿宋"/>
          <w:szCs w:val="21"/>
          <w:u w:val="single"/>
        </w:rPr>
        <w:t xml:space="preserve">       </w:t>
      </w:r>
      <w:r>
        <w:rPr>
          <w:rFonts w:hint="eastAsia" w:ascii="仿宋" w:hAnsi="仿宋" w:eastAsia="仿宋" w:cs="仿宋"/>
          <w:szCs w:val="21"/>
        </w:rPr>
        <w:t>年， 自产品最终验收合格之日起至质保期届满且经甲方确认无任何质量问题时止。在质保期内因产品质量造成产品不能正常使用，影响不能正常工作时间从质保期扣除。</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（二）、接到甲方通知，乙方应在</w:t>
      </w:r>
      <w:r>
        <w:rPr>
          <w:rFonts w:hint="eastAsia" w:ascii="仿宋" w:hAnsi="仿宋" w:eastAsia="仿宋" w:cs="仿宋"/>
          <w:szCs w:val="21"/>
          <w:u w:val="single"/>
        </w:rPr>
        <w:t xml:space="preserve"> 24</w:t>
      </w:r>
      <w:r>
        <w:rPr>
          <w:rFonts w:hint="eastAsia" w:ascii="仿宋" w:hAnsi="仿宋" w:eastAsia="仿宋" w:cs="仿宋"/>
          <w:szCs w:val="21"/>
        </w:rPr>
        <w:t>小时内派遣相关人员到达现场</w:t>
      </w:r>
      <w:r>
        <w:rPr>
          <w:rFonts w:hint="eastAsia" w:ascii="仿宋" w:hAnsi="仿宋" w:eastAsia="仿宋" w:cs="仿宋"/>
          <w:szCs w:val="21"/>
          <w:u w:val="single"/>
        </w:rPr>
        <w:t xml:space="preserve">，12 </w:t>
      </w:r>
      <w:r>
        <w:rPr>
          <w:rFonts w:hint="eastAsia" w:ascii="仿宋" w:hAnsi="仿宋" w:eastAsia="仿宋" w:cs="仿宋"/>
          <w:szCs w:val="21"/>
        </w:rPr>
        <w:t>小时内维修完毕；发生紧急抢修事故的，乙方应在接到甲方通知后立即赶往现场排除故障。乙方未在约定时间到达现场，甲方可另选第三方修复，相关费用由乙方承担。乙方未在约定时间内修复的或同一产品经</w:t>
      </w:r>
      <w:r>
        <w:rPr>
          <w:rFonts w:hint="eastAsia" w:ascii="仿宋" w:hAnsi="仿宋" w:eastAsia="仿宋" w:cs="仿宋"/>
          <w:szCs w:val="21"/>
          <w:u w:val="single"/>
        </w:rPr>
        <w:t xml:space="preserve"> 3</w:t>
      </w:r>
      <w:r>
        <w:rPr>
          <w:rFonts w:hint="eastAsia" w:ascii="仿宋" w:hAnsi="仿宋" w:eastAsia="仿宋" w:cs="仿宋"/>
          <w:szCs w:val="21"/>
        </w:rPr>
        <w:t xml:space="preserve"> 次维修后仍不能稳定、可靠运行的，甲方有权要求乙方免费更换。</w:t>
      </w:r>
      <w:r>
        <w:rPr>
          <w:rStyle w:val="52"/>
          <w:rFonts w:hint="eastAsia" w:ascii="仿宋" w:hAnsi="仿宋" w:eastAsia="仿宋" w:cs="仿宋"/>
          <w:szCs w:val="21"/>
        </w:rPr>
        <w:t>返修或更换部件后的产品保修期应重新计算。</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（三）、在质保期内，乙方应对产品出现的质量及安全问题负责处理解决并承担一切费用。</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（四）、质保期届满后，乙方对本合同项下产品提供终身维修服务，且维修时只收取所需维修部件的成本费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十、不可抗力</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本合同所称不可抗力是指不能预见、不能克服、不能避免并对另一方造成重大影响的客观事件。包括但不限于自然灾害如洪水、地震、火灾和风暴等以及社会事件如战争、动乱、政府行为等。</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如遇不可抗力事件的一方导致合同无法履行时，应立即将事故情况书面告知另一方，并在</w:t>
      </w:r>
      <w:r>
        <w:rPr>
          <w:rFonts w:hint="eastAsia" w:ascii="仿宋" w:hAnsi="仿宋" w:eastAsia="仿宋" w:cs="仿宋"/>
          <w:szCs w:val="21"/>
          <w:u w:val="single"/>
        </w:rPr>
        <w:t>3</w:t>
      </w:r>
      <w:r>
        <w:rPr>
          <w:rFonts w:hint="eastAsia" w:ascii="仿宋" w:hAnsi="仿宋" w:eastAsia="仿宋" w:cs="仿宋"/>
          <w:szCs w:val="21"/>
        </w:rPr>
        <w:t>天内，提供事故详情。</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十一、违约责任</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（一）、在补救违约而采取的任何其他措施未能实现的情况下，即在乙方收到甲方发出的违约整改通知后</w:t>
      </w:r>
      <w:r>
        <w:rPr>
          <w:rFonts w:hint="eastAsia" w:ascii="仿宋" w:hAnsi="仿宋" w:eastAsia="仿宋" w:cs="仿宋"/>
          <w:szCs w:val="21"/>
          <w:u w:val="single"/>
        </w:rPr>
        <w:t xml:space="preserve"> 3</w:t>
      </w:r>
      <w:r>
        <w:rPr>
          <w:rFonts w:hint="eastAsia" w:ascii="仿宋" w:hAnsi="仿宋" w:eastAsia="仿宋" w:cs="仿宋"/>
          <w:szCs w:val="21"/>
        </w:rPr>
        <w:t>天内(或经甲方书面确认的更长时间内)仍未纠正其下述任何一种违约行为，甲方可向乙方发出书面解除通知，终止全部或部分合同条款：</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(1)如果乙方未能在合同规定的期限内或甲方准许的任何延期内交付部分或全部产品。</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   (2)乙方未能履行合同项下的其它义务。</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（二）、因乙方违约致使甲方终止合同时，乙方除退还甲方已付全部货款及资金占用费外，应无条件承担合同总价30%的违约金。</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（三）、严禁乙方转让合同，若乙方违约，则甲方有权终止合同，乙方承担合同总价30%的违约金。</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（四）：任何一方违约应承担守约方因主张权利而支付的所有费用，包含且不限于误工费、差旅费、住宿费、交通费、律师费等。</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十二、其它事项</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（一）、招投标文件均作为合同不可分割的部分。解释顺序为招标文件、投标文件、合同、合同附件。</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（二）、合同未尽事宜，由甲、乙双方协商，作为合同的补充与原合同具有同等法律效力。</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（三）、双方如对履行合同发生争执，应友好协商解决，如协商不成，任何一方均可向甲方所在地法院提起诉讼。</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十三、 通知和送达</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甲、乙双方因履行本合同而相互发出或者提供的所有通知、文件、材料等均以本合同所列明的地址、电子邮箱、传真送达。一方迁址或者变更邮箱、传真电话的，应当五日内书面通知对方。</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以当面交付文件方式送达的，交付之时视为送达；以电子邮件方式送达的，发出电子邮件时视为送达；以传真方式送达的，发出传真时视为送达；以邮寄方式送达的，邮件交邮当日视为送达。</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十四、本合同签订时间、地点、履行期限</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 xml:space="preserve">      （一）签订时间：</w:t>
      </w:r>
      <w:r>
        <w:rPr>
          <w:rFonts w:hint="eastAsia" w:ascii="仿宋" w:hAnsi="仿宋" w:eastAsia="仿宋" w:cs="仿宋"/>
          <w:szCs w:val="21"/>
          <w:u w:val="single"/>
        </w:rPr>
        <w:t xml:space="preserve">   2022年    月    日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      （二）签订地点：甲方所在地。</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十五、合同签订及生效：本合同一式四份，甲方执叁份、乙方执壹份，双方签字并盖章后生效。</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甲    方                                      乙    方</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单位名称：                                  单位名称： </w:t>
      </w:r>
    </w:p>
    <w:p>
      <w:pPr>
        <w:adjustRightInd w:val="0"/>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（盖章）                                （盖章）</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地    址：                                   地  址： </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法定代表人：                                  法定代表人（签字）：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代 理 人：                                    代 理 人（签字）：</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联系电话：                                   联系电话：            </w:t>
      </w:r>
    </w:p>
    <w:p>
      <w:pPr>
        <w:adjustRightInd w:val="0"/>
        <w:snapToGrid w:val="0"/>
        <w:spacing w:line="360" w:lineRule="auto"/>
        <w:ind w:left="-359" w:leftChars="-171" w:right="-506" w:rightChars="-241" w:firstLine="6090" w:firstLineChars="2900"/>
        <w:rPr>
          <w:rFonts w:ascii="仿宋" w:hAnsi="仿宋" w:eastAsia="仿宋" w:cs="仿宋"/>
          <w:szCs w:val="21"/>
        </w:rPr>
      </w:pPr>
      <w:r>
        <w:rPr>
          <w:rFonts w:hint="eastAsia" w:ascii="仿宋" w:hAnsi="仿宋" w:eastAsia="仿宋" w:cs="仿宋"/>
          <w:szCs w:val="21"/>
        </w:rPr>
        <w:t xml:space="preserve">                                                                        </w:t>
      </w:r>
    </w:p>
    <w:p>
      <w:pPr>
        <w:tabs>
          <w:tab w:val="left" w:pos="6720"/>
        </w:tabs>
        <w:adjustRightInd w:val="0"/>
        <w:snapToGrid w:val="0"/>
        <w:spacing w:line="360" w:lineRule="auto"/>
        <w:ind w:left="-359" w:leftChars="-171" w:right="-506" w:rightChars="-241" w:firstLine="2520" w:firstLineChars="1200"/>
        <w:rPr>
          <w:rFonts w:ascii="仿宋" w:hAnsi="仿宋" w:eastAsia="仿宋" w:cs="仿宋"/>
          <w:szCs w:val="21"/>
        </w:rPr>
      </w:pPr>
      <w:r>
        <w:rPr>
          <w:rFonts w:hint="eastAsia" w:ascii="仿宋" w:hAnsi="仿宋" w:eastAsia="仿宋" w:cs="仿宋"/>
          <w:szCs w:val="21"/>
        </w:rPr>
        <w:t xml:space="preserve">                                            </w:t>
      </w:r>
    </w:p>
    <w:p>
      <w:pPr>
        <w:widowControl/>
        <w:adjustRightInd w:val="0"/>
        <w:snapToGrid w:val="0"/>
        <w:spacing w:after="150" w:line="560" w:lineRule="exact"/>
        <w:jc w:val="left"/>
        <w:rPr>
          <w:rFonts w:ascii="仿宋" w:hAnsi="仿宋" w:eastAsia="仿宋" w:cs="仿宋"/>
          <w:kern w:val="0"/>
          <w:szCs w:val="21"/>
        </w:rPr>
      </w:pPr>
    </w:p>
    <w:p>
      <w:pPr>
        <w:widowControl/>
        <w:adjustRightInd w:val="0"/>
        <w:snapToGrid w:val="0"/>
        <w:spacing w:after="150" w:line="560" w:lineRule="exact"/>
        <w:jc w:val="left"/>
        <w:rPr>
          <w:rFonts w:ascii="仿宋" w:hAnsi="仿宋" w:eastAsia="仿宋" w:cs="仿宋"/>
          <w:kern w:val="0"/>
          <w:szCs w:val="21"/>
        </w:rPr>
      </w:pPr>
    </w:p>
    <w:p>
      <w:pPr>
        <w:widowControl/>
        <w:adjustRightInd w:val="0"/>
        <w:snapToGrid w:val="0"/>
        <w:spacing w:after="150" w:line="560" w:lineRule="exact"/>
        <w:jc w:val="left"/>
        <w:rPr>
          <w:rFonts w:ascii="仿宋" w:hAnsi="仿宋" w:eastAsia="仿宋" w:cs="仿宋"/>
          <w:kern w:val="0"/>
          <w:szCs w:val="21"/>
        </w:rPr>
      </w:pPr>
    </w:p>
    <w:p>
      <w:pPr>
        <w:widowControl/>
        <w:adjustRightInd w:val="0"/>
        <w:snapToGrid w:val="0"/>
        <w:spacing w:after="150" w:line="560" w:lineRule="exact"/>
        <w:jc w:val="left"/>
        <w:rPr>
          <w:rFonts w:ascii="仿宋" w:hAnsi="仿宋" w:eastAsia="仿宋" w:cs="仿宋"/>
          <w:kern w:val="0"/>
          <w:sz w:val="24"/>
        </w:rPr>
      </w:pPr>
    </w:p>
    <w:p>
      <w:pPr>
        <w:adjustRightInd w:val="0"/>
        <w:snapToGrid w:val="0"/>
        <w:spacing w:line="360" w:lineRule="auto"/>
        <w:rPr>
          <w:rFonts w:ascii="仿宋" w:hAnsi="仿宋" w:eastAsia="仿宋" w:cs="仿宋"/>
          <w:kern w:val="0"/>
          <w:sz w:val="24"/>
        </w:rPr>
      </w:pPr>
    </w:p>
    <w:p>
      <w:pPr>
        <w:adjustRightInd w:val="0"/>
        <w:snapToGrid w:val="0"/>
        <w:spacing w:line="360" w:lineRule="auto"/>
        <w:rPr>
          <w:rFonts w:ascii="仿宋" w:hAnsi="仿宋" w:eastAsia="仿宋" w:cs="仿宋"/>
          <w:kern w:val="0"/>
          <w:sz w:val="24"/>
        </w:rPr>
      </w:pPr>
    </w:p>
    <w:p>
      <w:pPr>
        <w:adjustRightInd w:val="0"/>
        <w:snapToGrid w:val="0"/>
        <w:spacing w:line="360" w:lineRule="auto"/>
        <w:rPr>
          <w:rFonts w:ascii="仿宋" w:hAnsi="仿宋" w:eastAsia="仿宋" w:cs="仿宋"/>
          <w:kern w:val="0"/>
          <w:sz w:val="24"/>
        </w:rPr>
      </w:pPr>
    </w:p>
    <w:p>
      <w:pPr>
        <w:adjustRightInd w:val="0"/>
        <w:snapToGrid w:val="0"/>
        <w:spacing w:line="360" w:lineRule="auto"/>
        <w:rPr>
          <w:rFonts w:ascii="仿宋" w:hAnsi="仿宋" w:eastAsia="仿宋" w:cs="仿宋"/>
          <w:kern w:val="0"/>
          <w:sz w:val="24"/>
        </w:rPr>
      </w:pPr>
      <w:r>
        <w:rPr>
          <w:rFonts w:hint="eastAsia" w:ascii="仿宋" w:hAnsi="仿宋" w:eastAsia="仿宋" w:cs="仿宋"/>
          <w:kern w:val="0"/>
          <w:sz w:val="24"/>
        </w:rPr>
        <w:t>附件2：</w:t>
      </w:r>
    </w:p>
    <w:p>
      <w:pPr>
        <w:adjustRightInd w:val="0"/>
        <w:snapToGrid w:val="0"/>
        <w:spacing w:line="360" w:lineRule="auto"/>
        <w:rPr>
          <w:rFonts w:ascii="仿宋" w:hAnsi="仿宋" w:eastAsia="仿宋" w:cs="仿宋"/>
          <w:bCs/>
          <w:szCs w:val="21"/>
        </w:rPr>
      </w:pPr>
      <w:r>
        <w:rPr>
          <w:rFonts w:hint="eastAsia" w:ascii="仿宋" w:hAnsi="仿宋" w:eastAsia="仿宋" w:cs="仿宋"/>
          <w:kern w:val="0"/>
          <w:sz w:val="24"/>
        </w:rPr>
        <w:t xml:space="preserve"> </w:t>
      </w:r>
      <w:r>
        <w:rPr>
          <w:rFonts w:hint="eastAsia" w:ascii="仿宋" w:hAnsi="仿宋" w:eastAsia="仿宋" w:cs="仿宋"/>
          <w:bCs/>
          <w:szCs w:val="21"/>
        </w:rPr>
        <w:t>技术参数和售后服务：</w:t>
      </w:r>
    </w:p>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一、乙方承诺</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鉴于国家</w:t>
      </w:r>
      <w:r>
        <w:rPr>
          <w:rFonts w:hint="eastAsia" w:ascii="仿宋" w:hAnsi="仿宋" w:eastAsia="仿宋" w:cs="仿宋"/>
          <w:bCs/>
          <w:szCs w:val="21"/>
        </w:rPr>
        <w:t>、</w:t>
      </w:r>
      <w:r>
        <w:rPr>
          <w:rFonts w:hint="eastAsia" w:ascii="仿宋" w:hAnsi="仿宋" w:eastAsia="仿宋" w:cs="仿宋"/>
          <w:szCs w:val="21"/>
        </w:rPr>
        <w:t>自治区、行业对</w:t>
      </w:r>
      <w:r>
        <w:rPr>
          <w:rFonts w:hint="eastAsia" w:ascii="仿宋" w:hAnsi="仿宋" w:eastAsia="仿宋" w:cs="仿宋"/>
          <w:szCs w:val="21"/>
          <w:u w:val="single"/>
        </w:rPr>
        <w:t xml:space="preserve">                   </w:t>
      </w:r>
      <w:r>
        <w:rPr>
          <w:rFonts w:hint="eastAsia" w:ascii="仿宋" w:hAnsi="仿宋" w:eastAsia="仿宋" w:cs="仿宋"/>
          <w:szCs w:val="21"/>
        </w:rPr>
        <w:t>产</w:t>
      </w:r>
      <w:r>
        <w:rPr>
          <w:rFonts w:hint="eastAsia" w:ascii="仿宋" w:hAnsi="仿宋" w:eastAsia="仿宋" w:cs="仿宋"/>
          <w:szCs w:val="21"/>
          <w:u w:val="single"/>
        </w:rPr>
        <w:t>品</w:t>
      </w:r>
      <w:r>
        <w:rPr>
          <w:rFonts w:hint="eastAsia" w:ascii="仿宋" w:hAnsi="仿宋" w:eastAsia="仿宋" w:cs="仿宋"/>
          <w:szCs w:val="21"/>
        </w:rPr>
        <w:t>的要求，乙方承诺按照要求标准组织供货，按时运到甲方指定的交货地点并确保所中标的产品各项指标符合招标技术要求；同时乙方根据产品的使用特性做好售后服务。</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numPr>
          <w:ilvl w:val="0"/>
          <w:numId w:val="15"/>
        </w:numPr>
        <w:adjustRightInd w:val="0"/>
        <w:snapToGrid w:val="0"/>
        <w:spacing w:line="360" w:lineRule="auto"/>
        <w:rPr>
          <w:rFonts w:ascii="仿宋" w:hAnsi="仿宋" w:eastAsia="仿宋" w:cs="仿宋"/>
          <w:szCs w:val="21"/>
        </w:rPr>
      </w:pPr>
      <w:r>
        <w:rPr>
          <w:rFonts w:hint="eastAsia" w:ascii="仿宋" w:hAnsi="仿宋" w:eastAsia="仿宋" w:cs="仿宋"/>
          <w:szCs w:val="21"/>
        </w:rPr>
        <w:t>详细技术参数（不仅限于投标文件中的技术参数和图片）</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numPr>
          <w:ilvl w:val="0"/>
          <w:numId w:val="15"/>
        </w:numPr>
        <w:adjustRightInd w:val="0"/>
        <w:snapToGrid w:val="0"/>
        <w:spacing w:line="360" w:lineRule="auto"/>
        <w:rPr>
          <w:rFonts w:ascii="仿宋" w:hAnsi="仿宋" w:eastAsia="仿宋" w:cs="仿宋"/>
          <w:szCs w:val="21"/>
        </w:rPr>
      </w:pPr>
      <w:r>
        <w:rPr>
          <w:rFonts w:hint="eastAsia" w:ascii="仿宋" w:hAnsi="仿宋" w:eastAsia="仿宋" w:cs="仿宋"/>
          <w:szCs w:val="21"/>
        </w:rPr>
        <w:t>售后服务（不仅限于投标文件中的售后服务）</w:t>
      </w:r>
    </w:p>
    <w:p>
      <w:pPr>
        <w:widowControl/>
        <w:adjustRightInd w:val="0"/>
        <w:snapToGrid w:val="0"/>
        <w:spacing w:after="150" w:line="560" w:lineRule="exact"/>
        <w:jc w:val="left"/>
        <w:rPr>
          <w:rFonts w:ascii="仿宋" w:hAnsi="仿宋" w:eastAsia="仿宋" w:cs="仿宋"/>
          <w:b/>
          <w:bCs/>
          <w:szCs w:val="21"/>
        </w:rPr>
      </w:pPr>
    </w:p>
    <w:p>
      <w:pPr>
        <w:spacing w:line="500" w:lineRule="exact"/>
        <w:jc w:val="center"/>
        <w:outlineLvl w:val="0"/>
        <w:rPr>
          <w:rFonts w:ascii="仿宋" w:hAnsi="仿宋" w:eastAsia="仿宋" w:cs="仿宋"/>
          <w:b/>
        </w:rPr>
      </w:pPr>
    </w:p>
    <w:p>
      <w:pPr>
        <w:pStyle w:val="18"/>
        <w:rPr>
          <w:rFonts w:ascii="仿宋" w:hAnsi="仿宋" w:eastAsia="仿宋" w:cs="仿宋"/>
        </w:rPr>
      </w:pPr>
    </w:p>
    <w:p>
      <w:pPr>
        <w:spacing w:line="480" w:lineRule="auto"/>
        <w:rPr>
          <w:rFonts w:ascii="仿宋" w:hAnsi="仿宋" w:eastAsia="仿宋" w:cs="仿宋"/>
          <w:bCs/>
          <w:szCs w:val="21"/>
        </w:rPr>
      </w:pPr>
    </w:p>
    <w:p>
      <w:pPr>
        <w:spacing w:line="480" w:lineRule="auto"/>
        <w:rPr>
          <w:rFonts w:ascii="仿宋" w:hAnsi="仿宋" w:eastAsia="仿宋" w:cs="仿宋"/>
          <w:bCs/>
          <w:szCs w:val="21"/>
        </w:rPr>
      </w:pPr>
    </w:p>
    <w:p>
      <w:pPr>
        <w:spacing w:line="480" w:lineRule="auto"/>
        <w:rPr>
          <w:rFonts w:ascii="仿宋" w:hAnsi="仿宋" w:eastAsia="仿宋" w:cs="仿宋"/>
          <w:bCs/>
          <w:szCs w:val="21"/>
        </w:rPr>
      </w:pPr>
    </w:p>
    <w:p>
      <w:pPr>
        <w:spacing w:line="480" w:lineRule="auto"/>
        <w:rPr>
          <w:rFonts w:ascii="仿宋" w:hAnsi="仿宋" w:eastAsia="仿宋" w:cs="仿宋"/>
          <w:bCs/>
          <w:szCs w:val="21"/>
        </w:rPr>
      </w:pPr>
    </w:p>
    <w:p>
      <w:pPr>
        <w:spacing w:line="480" w:lineRule="auto"/>
        <w:rPr>
          <w:rFonts w:ascii="仿宋" w:hAnsi="仿宋" w:eastAsia="仿宋" w:cs="仿宋"/>
          <w:bCs/>
          <w:szCs w:val="21"/>
        </w:rPr>
      </w:pPr>
    </w:p>
    <w:p>
      <w:pPr>
        <w:spacing w:line="480" w:lineRule="auto"/>
        <w:rPr>
          <w:rFonts w:ascii="仿宋" w:hAnsi="仿宋" w:eastAsia="仿宋" w:cs="仿宋"/>
          <w:bCs/>
          <w:szCs w:val="21"/>
        </w:rPr>
      </w:pPr>
    </w:p>
    <w:p>
      <w:pPr>
        <w:spacing w:line="480" w:lineRule="auto"/>
        <w:rPr>
          <w:rFonts w:ascii="仿宋" w:hAnsi="仿宋" w:eastAsia="仿宋" w:cs="仿宋"/>
          <w:bCs/>
          <w:szCs w:val="21"/>
        </w:rPr>
      </w:pPr>
    </w:p>
    <w:p>
      <w:pPr>
        <w:spacing w:line="480" w:lineRule="auto"/>
        <w:rPr>
          <w:rFonts w:ascii="仿宋" w:hAnsi="仿宋" w:eastAsia="仿宋" w:cs="仿宋"/>
          <w:bCs/>
          <w:szCs w:val="21"/>
        </w:rPr>
      </w:pPr>
    </w:p>
    <w:p>
      <w:pPr>
        <w:spacing w:line="480" w:lineRule="auto"/>
        <w:rPr>
          <w:rFonts w:ascii="仿宋" w:hAnsi="仿宋" w:eastAsia="仿宋" w:cs="仿宋"/>
          <w:bCs/>
          <w:szCs w:val="21"/>
        </w:rPr>
      </w:pPr>
    </w:p>
    <w:p>
      <w:pPr>
        <w:spacing w:line="480" w:lineRule="auto"/>
        <w:rPr>
          <w:rFonts w:ascii="仿宋" w:hAnsi="仿宋" w:eastAsia="仿宋" w:cs="仿宋"/>
          <w:bCs/>
          <w:szCs w:val="21"/>
        </w:rPr>
      </w:pPr>
    </w:p>
    <w:p>
      <w:pPr>
        <w:spacing w:line="480" w:lineRule="auto"/>
        <w:rPr>
          <w:rFonts w:ascii="仿宋" w:hAnsi="仿宋" w:eastAsia="仿宋" w:cs="仿宋"/>
          <w:bCs/>
          <w:szCs w:val="21"/>
        </w:rPr>
      </w:pPr>
    </w:p>
    <w:p>
      <w:pPr>
        <w:spacing w:line="480" w:lineRule="auto"/>
        <w:rPr>
          <w:rFonts w:ascii="仿宋" w:hAnsi="仿宋" w:eastAsia="仿宋" w:cs="仿宋"/>
          <w:b/>
          <w:bCs/>
          <w:szCs w:val="21"/>
        </w:rPr>
      </w:pPr>
      <w:r>
        <w:rPr>
          <w:rFonts w:hint="eastAsia" w:ascii="仿宋" w:hAnsi="仿宋" w:eastAsia="仿宋" w:cs="仿宋"/>
          <w:bCs/>
          <w:szCs w:val="21"/>
        </w:rPr>
        <w:t xml:space="preserve"> </w:t>
      </w:r>
      <w:r>
        <w:rPr>
          <w:rFonts w:hint="eastAsia" w:ascii="仿宋" w:hAnsi="仿宋" w:eastAsia="仿宋" w:cs="仿宋"/>
          <w:b/>
          <w:bCs/>
          <w:szCs w:val="21"/>
        </w:rPr>
        <w:t xml:space="preserve">JL/CX06-3               </w:t>
      </w:r>
    </w:p>
    <w:p>
      <w:pPr>
        <w:spacing w:line="480" w:lineRule="auto"/>
        <w:jc w:val="center"/>
        <w:rPr>
          <w:rFonts w:ascii="仿宋" w:hAnsi="仿宋" w:eastAsia="仿宋" w:cs="仿宋"/>
          <w:b/>
          <w:bCs/>
          <w:szCs w:val="21"/>
        </w:rPr>
      </w:pPr>
      <w:r>
        <w:rPr>
          <w:rFonts w:hint="eastAsia" w:ascii="仿宋" w:hAnsi="仿宋" w:eastAsia="仿宋" w:cs="仿宋"/>
          <w:b/>
          <w:spacing w:val="26"/>
          <w:sz w:val="30"/>
          <w:szCs w:val="30"/>
        </w:rPr>
        <w:t>新疆维吾尔自治区疾病预防控制中心</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供 应 商 评 价 表</w:t>
      </w:r>
    </w:p>
    <w:tbl>
      <w:tblPr>
        <w:tblStyle w:val="20"/>
        <w:tblW w:w="9918" w:type="dxa"/>
        <w:tblInd w:w="93" w:type="dxa"/>
        <w:tblLayout w:type="fixed"/>
        <w:tblCellMar>
          <w:top w:w="0" w:type="dxa"/>
          <w:left w:w="108" w:type="dxa"/>
          <w:bottom w:w="0" w:type="dxa"/>
          <w:right w:w="108" w:type="dxa"/>
        </w:tblCellMar>
      </w:tblPr>
      <w:tblGrid>
        <w:gridCol w:w="696"/>
        <w:gridCol w:w="665"/>
        <w:gridCol w:w="541"/>
        <w:gridCol w:w="811"/>
        <w:gridCol w:w="540"/>
        <w:gridCol w:w="631"/>
        <w:gridCol w:w="902"/>
        <w:gridCol w:w="835"/>
        <w:gridCol w:w="795"/>
        <w:gridCol w:w="1309"/>
        <w:gridCol w:w="1138"/>
        <w:gridCol w:w="1055"/>
      </w:tblGrid>
      <w:tr>
        <w:tblPrEx>
          <w:tblCellMar>
            <w:top w:w="0" w:type="dxa"/>
            <w:left w:w="108" w:type="dxa"/>
            <w:bottom w:w="0" w:type="dxa"/>
            <w:right w:w="108" w:type="dxa"/>
          </w:tblCellMar>
        </w:tblPrEx>
        <w:trPr>
          <w:trHeight w:val="1190" w:hRule="atLeast"/>
        </w:trPr>
        <w:tc>
          <w:tcPr>
            <w:tcW w:w="1902" w:type="dxa"/>
            <w:gridSpan w:val="3"/>
            <w:tcBorders>
              <w:top w:val="single" w:color="auto" w:sz="4" w:space="0"/>
              <w:left w:val="single" w:color="auto" w:sz="4" w:space="0"/>
              <w:bottom w:val="single" w:color="auto" w:sz="4" w:space="0"/>
              <w:right w:val="single" w:color="000000" w:sz="4" w:space="0"/>
            </w:tcBorders>
            <w:vAlign w:val="center"/>
          </w:tcPr>
          <w:p>
            <w:pPr>
              <w:widowControl/>
              <w:rPr>
                <w:rFonts w:ascii="仿宋" w:hAnsi="仿宋" w:eastAsia="仿宋" w:cs="仿宋"/>
                <w:bCs/>
                <w:kern w:val="0"/>
                <w:sz w:val="24"/>
              </w:rPr>
            </w:pPr>
            <w:r>
              <w:rPr>
                <w:rFonts w:hint="eastAsia" w:ascii="仿宋" w:hAnsi="仿宋" w:eastAsia="仿宋" w:cs="仿宋"/>
                <w:bCs/>
                <w:kern w:val="0"/>
                <w:sz w:val="24"/>
              </w:rPr>
              <w:t>中标单位名称</w:t>
            </w:r>
            <w:r>
              <w:rPr>
                <w:rFonts w:hint="eastAsia" w:ascii="仿宋" w:hAnsi="仿宋" w:eastAsia="仿宋" w:cs="仿宋"/>
                <w:bCs/>
                <w:kern w:val="0"/>
                <w:sz w:val="24"/>
              </w:rPr>
              <w:tab/>
            </w:r>
          </w:p>
        </w:tc>
        <w:tc>
          <w:tcPr>
            <w:tcW w:w="288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kern w:val="0"/>
                <w:sz w:val="24"/>
              </w:rPr>
            </w:pPr>
            <w:r>
              <w:rPr>
                <w:rFonts w:hint="eastAsia" w:ascii="仿宋" w:hAnsi="仿宋" w:eastAsia="仿宋" w:cs="仿宋"/>
                <w:bCs/>
                <w:kern w:val="0"/>
                <w:sz w:val="24"/>
              </w:rPr>
              <w:t xml:space="preserve"> </w:t>
            </w:r>
          </w:p>
        </w:tc>
        <w:tc>
          <w:tcPr>
            <w:tcW w:w="163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4"/>
              </w:rPr>
            </w:pPr>
            <w:r>
              <w:rPr>
                <w:rFonts w:hint="eastAsia" w:ascii="仿宋" w:hAnsi="仿宋" w:eastAsia="仿宋" w:cs="仿宋"/>
                <w:bCs/>
                <w:kern w:val="0"/>
                <w:sz w:val="24"/>
              </w:rPr>
              <w:t>中标单位联系人</w:t>
            </w:r>
          </w:p>
          <w:p>
            <w:pPr>
              <w:widowControl/>
              <w:jc w:val="center"/>
              <w:rPr>
                <w:rFonts w:ascii="仿宋" w:hAnsi="仿宋" w:eastAsia="仿宋" w:cs="仿宋"/>
                <w:bCs/>
                <w:kern w:val="0"/>
                <w:sz w:val="24"/>
              </w:rPr>
            </w:pPr>
            <w:r>
              <w:rPr>
                <w:rFonts w:hint="eastAsia" w:ascii="仿宋" w:hAnsi="仿宋" w:eastAsia="仿宋" w:cs="仿宋"/>
                <w:bCs/>
                <w:kern w:val="0"/>
                <w:sz w:val="24"/>
              </w:rPr>
              <w:t>及电话</w:t>
            </w:r>
          </w:p>
        </w:tc>
        <w:tc>
          <w:tcPr>
            <w:tcW w:w="3502"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4"/>
              </w:rPr>
            </w:pPr>
          </w:p>
        </w:tc>
      </w:tr>
      <w:tr>
        <w:tblPrEx>
          <w:tblCellMar>
            <w:top w:w="0" w:type="dxa"/>
            <w:left w:w="108" w:type="dxa"/>
            <w:bottom w:w="0" w:type="dxa"/>
            <w:right w:w="108" w:type="dxa"/>
          </w:tblCellMar>
        </w:tblPrEx>
        <w:trPr>
          <w:trHeight w:val="680" w:hRule="atLeast"/>
        </w:trPr>
        <w:tc>
          <w:tcPr>
            <w:tcW w:w="1902"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仿宋" w:eastAsia="仿宋" w:cs="仿宋"/>
                <w:bCs/>
                <w:kern w:val="0"/>
                <w:sz w:val="24"/>
              </w:rPr>
            </w:pPr>
            <w:r>
              <w:rPr>
                <w:rFonts w:hint="eastAsia" w:ascii="仿宋" w:hAnsi="仿宋" w:eastAsia="仿宋" w:cs="仿宋"/>
                <w:bCs/>
                <w:kern w:val="0"/>
                <w:sz w:val="24"/>
              </w:rPr>
              <w:tab/>
            </w:r>
            <w:r>
              <w:rPr>
                <w:rFonts w:hint="eastAsia" w:ascii="仿宋" w:hAnsi="仿宋" w:eastAsia="仿宋" w:cs="仿宋"/>
                <w:bCs/>
                <w:kern w:val="0"/>
                <w:sz w:val="24"/>
              </w:rPr>
              <w:t>中标金额　</w:t>
            </w:r>
          </w:p>
        </w:tc>
        <w:tc>
          <w:tcPr>
            <w:tcW w:w="2884"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4"/>
              </w:rPr>
            </w:pPr>
            <w:r>
              <w:rPr>
                <w:rFonts w:hint="eastAsia" w:ascii="仿宋" w:hAnsi="仿宋" w:eastAsia="仿宋" w:cs="仿宋"/>
                <w:bCs/>
                <w:kern w:val="0"/>
                <w:sz w:val="24"/>
              </w:rPr>
              <w:t xml:space="preserve"> </w:t>
            </w:r>
          </w:p>
        </w:tc>
        <w:tc>
          <w:tcPr>
            <w:tcW w:w="163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4"/>
              </w:rPr>
            </w:pPr>
            <w:r>
              <w:rPr>
                <w:rFonts w:hint="eastAsia" w:ascii="仿宋" w:hAnsi="仿宋" w:eastAsia="仿宋" w:cs="仿宋"/>
                <w:bCs/>
                <w:kern w:val="0"/>
                <w:sz w:val="24"/>
              </w:rPr>
              <w:t>合  同  号</w:t>
            </w:r>
          </w:p>
        </w:tc>
        <w:tc>
          <w:tcPr>
            <w:tcW w:w="3502"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4"/>
              </w:rPr>
            </w:pPr>
          </w:p>
        </w:tc>
      </w:tr>
      <w:tr>
        <w:tblPrEx>
          <w:tblCellMar>
            <w:top w:w="0" w:type="dxa"/>
            <w:left w:w="108" w:type="dxa"/>
            <w:bottom w:w="0" w:type="dxa"/>
            <w:right w:w="108" w:type="dxa"/>
          </w:tblCellMar>
        </w:tblPrEx>
        <w:trPr>
          <w:trHeight w:val="3118" w:hRule="atLeast"/>
        </w:trPr>
        <w:tc>
          <w:tcPr>
            <w:tcW w:w="69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申请/使用科室</w:t>
            </w:r>
          </w:p>
        </w:tc>
        <w:tc>
          <w:tcPr>
            <w:tcW w:w="66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供应货物名称</w:t>
            </w:r>
          </w:p>
        </w:tc>
        <w:tc>
          <w:tcPr>
            <w:tcW w:w="54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数量</w:t>
            </w:r>
          </w:p>
        </w:tc>
        <w:tc>
          <w:tcPr>
            <w:tcW w:w="81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合同签</w:t>
            </w:r>
          </w:p>
          <w:p>
            <w:pPr>
              <w:widowControl/>
              <w:jc w:val="center"/>
              <w:rPr>
                <w:rFonts w:ascii="仿宋" w:hAnsi="仿宋" w:eastAsia="仿宋" w:cs="仿宋"/>
                <w:bCs/>
                <w:kern w:val="0"/>
                <w:szCs w:val="21"/>
              </w:rPr>
            </w:pPr>
            <w:r>
              <w:rPr>
                <w:rFonts w:hint="eastAsia" w:ascii="仿宋" w:hAnsi="仿宋" w:eastAsia="仿宋" w:cs="仿宋"/>
                <w:bCs/>
                <w:kern w:val="0"/>
                <w:szCs w:val="21"/>
              </w:rPr>
              <w:t>订时间</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到 货 时 间</w:t>
            </w:r>
          </w:p>
        </w:tc>
        <w:tc>
          <w:tcPr>
            <w:tcW w:w="63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供货是否及时</w:t>
            </w:r>
          </w:p>
        </w:tc>
        <w:tc>
          <w:tcPr>
            <w:tcW w:w="902"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回执单是否及时反馈科室并办理固定资产相关手续</w:t>
            </w:r>
          </w:p>
        </w:tc>
        <w:tc>
          <w:tcPr>
            <w:tcW w:w="83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是否与合同/协议内容一致</w:t>
            </w:r>
          </w:p>
        </w:tc>
        <w:tc>
          <w:tcPr>
            <w:tcW w:w="79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培训时间</w:t>
            </w:r>
          </w:p>
        </w:tc>
        <w:tc>
          <w:tcPr>
            <w:tcW w:w="1309"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售后服务（是否按照合同条款完成售后服务</w:t>
            </w:r>
          </w:p>
        </w:tc>
        <w:tc>
          <w:tcPr>
            <w:tcW w:w="1138"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服务态度</w:t>
            </w:r>
          </w:p>
          <w:p>
            <w:pPr>
              <w:widowControl/>
              <w:jc w:val="center"/>
              <w:rPr>
                <w:rFonts w:ascii="仿宋" w:hAnsi="仿宋" w:eastAsia="仿宋" w:cs="仿宋"/>
                <w:bCs/>
                <w:kern w:val="0"/>
                <w:szCs w:val="21"/>
              </w:rPr>
            </w:pPr>
            <w:r>
              <w:rPr>
                <w:rFonts w:hint="eastAsia" w:ascii="仿宋" w:hAnsi="仿宋" w:eastAsia="仿宋" w:cs="仿宋"/>
                <w:bCs/>
                <w:kern w:val="0"/>
                <w:szCs w:val="21"/>
              </w:rPr>
              <w:t>（优、良、中、差）</w:t>
            </w:r>
          </w:p>
        </w:tc>
        <w:tc>
          <w:tcPr>
            <w:tcW w:w="1055" w:type="dxa"/>
            <w:tcBorders>
              <w:top w:val="single" w:color="auto" w:sz="4" w:space="0"/>
              <w:left w:val="nil"/>
              <w:bottom w:val="nil"/>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供货质量</w:t>
            </w:r>
          </w:p>
          <w:p>
            <w:pPr>
              <w:widowControl/>
              <w:jc w:val="center"/>
              <w:rPr>
                <w:rFonts w:ascii="仿宋" w:hAnsi="仿宋" w:eastAsia="仿宋" w:cs="仿宋"/>
                <w:bCs/>
                <w:kern w:val="0"/>
                <w:szCs w:val="21"/>
              </w:rPr>
            </w:pPr>
            <w:r>
              <w:rPr>
                <w:rFonts w:hint="eastAsia" w:ascii="仿宋" w:hAnsi="仿宋" w:eastAsia="仿宋" w:cs="仿宋"/>
                <w:bCs/>
                <w:kern w:val="0"/>
                <w:szCs w:val="21"/>
              </w:rPr>
              <w:t>（优、良、中、差）</w:t>
            </w:r>
          </w:p>
        </w:tc>
      </w:tr>
      <w:tr>
        <w:tblPrEx>
          <w:tblCellMar>
            <w:top w:w="0" w:type="dxa"/>
            <w:left w:w="108" w:type="dxa"/>
            <w:bottom w:w="0" w:type="dxa"/>
            <w:right w:w="108" w:type="dxa"/>
          </w:tblCellMar>
        </w:tblPrEx>
        <w:trPr>
          <w:trHeight w:val="745" w:hRule="atLeast"/>
        </w:trPr>
        <w:tc>
          <w:tcPr>
            <w:tcW w:w="69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6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1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3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902"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3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79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r>
              <w:rPr>
                <w:rFonts w:hint="eastAsia" w:ascii="仿宋" w:hAnsi="仿宋" w:eastAsia="仿宋" w:cs="仿宋"/>
                <w:bCs/>
                <w:kern w:val="0"/>
                <w:sz w:val="20"/>
                <w:szCs w:val="20"/>
              </w:rPr>
              <w:t>　</w:t>
            </w:r>
          </w:p>
        </w:tc>
        <w:tc>
          <w:tcPr>
            <w:tcW w:w="1309"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138"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r>
      <w:tr>
        <w:tblPrEx>
          <w:tblCellMar>
            <w:top w:w="0" w:type="dxa"/>
            <w:left w:w="108" w:type="dxa"/>
            <w:bottom w:w="0" w:type="dxa"/>
            <w:right w:w="108" w:type="dxa"/>
          </w:tblCellMar>
        </w:tblPrEx>
        <w:trPr>
          <w:trHeight w:val="745" w:hRule="atLeast"/>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1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3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3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13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r>
      <w:tr>
        <w:tblPrEx>
          <w:tblCellMar>
            <w:top w:w="0" w:type="dxa"/>
            <w:left w:w="108" w:type="dxa"/>
            <w:bottom w:w="0" w:type="dxa"/>
            <w:right w:w="108" w:type="dxa"/>
          </w:tblCellMar>
        </w:tblPrEx>
        <w:trPr>
          <w:trHeight w:val="745" w:hRule="atLeast"/>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1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3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3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13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r>
      <w:tr>
        <w:tblPrEx>
          <w:tblCellMar>
            <w:top w:w="0" w:type="dxa"/>
            <w:left w:w="108" w:type="dxa"/>
            <w:bottom w:w="0" w:type="dxa"/>
            <w:right w:w="108" w:type="dxa"/>
          </w:tblCellMar>
        </w:tblPrEx>
        <w:trPr>
          <w:trHeight w:val="2356" w:hRule="atLeast"/>
        </w:trPr>
        <w:tc>
          <w:tcPr>
            <w:tcW w:w="9918" w:type="dxa"/>
            <w:gridSpan w:val="12"/>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bCs/>
                <w:kern w:val="0"/>
                <w:sz w:val="20"/>
                <w:szCs w:val="20"/>
              </w:rPr>
            </w:pPr>
            <w:r>
              <w:rPr>
                <w:rFonts w:hint="eastAsia" w:ascii="仿宋" w:hAnsi="仿宋" w:eastAsia="仿宋" w:cs="仿宋"/>
                <w:bCs/>
                <w:kern w:val="0"/>
                <w:szCs w:val="21"/>
              </w:rPr>
              <w:t>科室意见</w:t>
            </w:r>
            <w:r>
              <w:rPr>
                <w:rFonts w:hint="eastAsia" w:ascii="仿宋" w:hAnsi="仿宋" w:eastAsia="仿宋" w:cs="仿宋"/>
                <w:bCs/>
                <w:kern w:val="0"/>
                <w:sz w:val="20"/>
                <w:szCs w:val="20"/>
              </w:rPr>
              <w:t>：</w:t>
            </w:r>
          </w:p>
          <w:p>
            <w:pPr>
              <w:widowControl/>
              <w:rPr>
                <w:rFonts w:ascii="仿宋" w:hAnsi="仿宋" w:eastAsia="仿宋" w:cs="仿宋"/>
                <w:bCs/>
                <w:kern w:val="0"/>
                <w:sz w:val="20"/>
                <w:szCs w:val="20"/>
              </w:rPr>
            </w:pPr>
          </w:p>
          <w:p>
            <w:pPr>
              <w:widowControl/>
              <w:rPr>
                <w:rFonts w:ascii="仿宋" w:hAnsi="仿宋" w:eastAsia="仿宋" w:cs="仿宋"/>
                <w:bCs/>
                <w:kern w:val="0"/>
                <w:sz w:val="20"/>
                <w:szCs w:val="20"/>
              </w:rPr>
            </w:pPr>
          </w:p>
          <w:p>
            <w:pPr>
              <w:widowControl/>
              <w:rPr>
                <w:rFonts w:ascii="仿宋" w:hAnsi="仿宋" w:eastAsia="仿宋" w:cs="仿宋"/>
                <w:bCs/>
                <w:kern w:val="0"/>
                <w:sz w:val="20"/>
                <w:szCs w:val="20"/>
              </w:rPr>
            </w:pPr>
            <w:r>
              <w:rPr>
                <w:rFonts w:hint="eastAsia" w:ascii="仿宋" w:hAnsi="仿宋" w:eastAsia="仿宋" w:cs="仿宋"/>
                <w:bCs/>
                <w:kern w:val="0"/>
                <w:sz w:val="20"/>
                <w:szCs w:val="20"/>
              </w:rPr>
              <w:t xml:space="preserve">                                                        </w:t>
            </w:r>
          </w:p>
          <w:p>
            <w:pPr>
              <w:widowControl/>
              <w:rPr>
                <w:rFonts w:ascii="仿宋" w:hAnsi="仿宋" w:eastAsia="仿宋" w:cs="仿宋"/>
                <w:bCs/>
                <w:kern w:val="0"/>
                <w:sz w:val="20"/>
                <w:szCs w:val="20"/>
              </w:rPr>
            </w:pPr>
            <w:r>
              <w:rPr>
                <w:rFonts w:hint="eastAsia" w:ascii="仿宋" w:hAnsi="仿宋" w:eastAsia="仿宋" w:cs="仿宋"/>
                <w:bCs/>
                <w:kern w:val="0"/>
                <w:sz w:val="20"/>
                <w:szCs w:val="20"/>
              </w:rPr>
              <w:t>是否同意支付货款：</w:t>
            </w:r>
            <w:r>
              <w:rPr>
                <w:rFonts w:hint="eastAsia" w:ascii="仿宋" w:hAnsi="仿宋" w:eastAsia="仿宋" w:cs="仿宋"/>
                <w:bCs/>
                <w:kern w:val="0"/>
                <w:szCs w:val="21"/>
              </w:rPr>
              <w:t xml:space="preserve">              </w:t>
            </w:r>
            <w:r>
              <w:rPr>
                <w:rFonts w:hint="eastAsia" w:ascii="仿宋" w:hAnsi="仿宋" w:eastAsia="仿宋" w:cs="仿宋"/>
                <w:bCs/>
                <w:kern w:val="0"/>
                <w:sz w:val="20"/>
                <w:szCs w:val="20"/>
              </w:rPr>
              <w:t>经办人：               科室主任：             日 期：</w:t>
            </w:r>
          </w:p>
        </w:tc>
      </w:tr>
    </w:tbl>
    <w:p>
      <w:pPr>
        <w:spacing w:line="500" w:lineRule="exact"/>
        <w:jc w:val="center"/>
        <w:outlineLvl w:val="0"/>
        <w:rPr>
          <w:rFonts w:ascii="仿宋" w:hAnsi="仿宋" w:eastAsia="仿宋" w:cs="仿宋"/>
          <w:sz w:val="48"/>
          <w:szCs w:val="48"/>
        </w:rPr>
      </w:pPr>
      <w:r>
        <w:rPr>
          <w:rFonts w:hint="eastAsia" w:ascii="仿宋" w:hAnsi="仿宋" w:eastAsia="仿宋" w:cs="仿宋"/>
        </w:rPr>
        <w:t>备注：请使用科室认真负责填写该表1、</w:t>
      </w:r>
      <w:r>
        <w:rPr>
          <w:rFonts w:hint="eastAsia" w:ascii="仿宋" w:hAnsi="仿宋" w:eastAsia="仿宋" w:cs="仿宋"/>
          <w:bCs/>
          <w:kern w:val="0"/>
          <w:sz w:val="20"/>
          <w:szCs w:val="20"/>
        </w:rPr>
        <w:t>培训时间：</w:t>
      </w:r>
      <w:r>
        <w:rPr>
          <w:rFonts w:hint="eastAsia" w:ascii="仿宋" w:hAnsi="仿宋" w:eastAsia="仿宋" w:cs="仿宋"/>
        </w:rPr>
        <w:t>合同中如有培训项目，请注明具体培训时间及次数；2、本表作为支付质量保证金及履约保证金的证明资料，同时作为供应商评价记录。</w:t>
      </w:r>
    </w:p>
    <w:p>
      <w:pPr>
        <w:rPr>
          <w:rFonts w:ascii="仿宋" w:hAnsi="仿宋" w:eastAsia="仿宋" w:cs="仿宋"/>
        </w:rPr>
      </w:pPr>
    </w:p>
    <w:p>
      <w:pPr>
        <w:adjustRightInd w:val="0"/>
        <w:snapToGrid w:val="0"/>
        <w:spacing w:line="360" w:lineRule="auto"/>
        <w:jc w:val="center"/>
        <w:rPr>
          <w:rFonts w:ascii="仿宋" w:hAnsi="仿宋" w:eastAsia="仿宋" w:cs="仿宋"/>
          <w:sz w:val="44"/>
          <w:szCs w:val="44"/>
        </w:rPr>
      </w:pPr>
    </w:p>
    <w:p>
      <w:pPr>
        <w:adjustRightInd w:val="0"/>
        <w:snapToGrid w:val="0"/>
        <w:spacing w:line="360" w:lineRule="auto"/>
        <w:jc w:val="center"/>
        <w:rPr>
          <w:rFonts w:ascii="仿宋" w:hAnsi="仿宋" w:eastAsia="仿宋" w:cs="仿宋"/>
          <w:sz w:val="44"/>
          <w:szCs w:val="44"/>
        </w:rPr>
      </w:pPr>
    </w:p>
    <w:p>
      <w:pPr>
        <w:adjustRightInd w:val="0"/>
        <w:snapToGrid w:val="0"/>
        <w:spacing w:line="360" w:lineRule="auto"/>
        <w:jc w:val="center"/>
        <w:rPr>
          <w:rFonts w:ascii="仿宋" w:hAnsi="仿宋" w:eastAsia="仿宋" w:cs="仿宋"/>
          <w:sz w:val="44"/>
          <w:szCs w:val="44"/>
        </w:rPr>
      </w:pPr>
    </w:p>
    <w:p>
      <w:pPr>
        <w:adjustRightInd w:val="0"/>
        <w:snapToGrid w:val="0"/>
        <w:spacing w:line="360" w:lineRule="auto"/>
        <w:jc w:val="center"/>
        <w:rPr>
          <w:rFonts w:ascii="仿宋" w:hAnsi="仿宋" w:eastAsia="仿宋" w:cs="仿宋"/>
          <w:sz w:val="44"/>
          <w:szCs w:val="44"/>
        </w:rPr>
      </w:pPr>
      <w:r>
        <w:rPr>
          <w:rFonts w:hint="eastAsia" w:ascii="仿宋" w:hAnsi="仿宋" w:eastAsia="仿宋" w:cs="仿宋"/>
          <w:sz w:val="44"/>
          <w:szCs w:val="44"/>
        </w:rPr>
        <w:t>新疆维吾尔自治区疾病预防控制中心</w:t>
      </w:r>
    </w:p>
    <w:p>
      <w:pPr>
        <w:tabs>
          <w:tab w:val="center" w:pos="4536"/>
          <w:tab w:val="left" w:pos="7560"/>
        </w:tabs>
        <w:adjustRightInd w:val="0"/>
        <w:snapToGrid w:val="0"/>
        <w:spacing w:line="360" w:lineRule="auto"/>
        <w:jc w:val="left"/>
        <w:rPr>
          <w:rFonts w:ascii="仿宋" w:hAnsi="仿宋" w:eastAsia="仿宋" w:cs="仿宋"/>
          <w:sz w:val="30"/>
          <w:szCs w:val="30"/>
        </w:rPr>
      </w:pPr>
      <w:r>
        <w:rPr>
          <w:rFonts w:hint="eastAsia" w:ascii="仿宋" w:hAnsi="仿宋" w:eastAsia="仿宋" w:cs="仿宋"/>
          <w:w w:val="110"/>
          <w:sz w:val="44"/>
          <w:szCs w:val="44"/>
        </w:rPr>
        <w:tab/>
      </w:r>
      <w:r>
        <w:rPr>
          <w:rFonts w:hint="eastAsia" w:ascii="仿宋" w:hAnsi="仿宋" w:eastAsia="仿宋" w:cs="仿宋"/>
          <w:w w:val="110"/>
          <w:sz w:val="44"/>
          <w:szCs w:val="44"/>
        </w:rPr>
        <w:t xml:space="preserve">采 购 </w:t>
      </w:r>
      <w:r>
        <w:rPr>
          <w:rFonts w:hint="eastAsia" w:ascii="仿宋" w:hAnsi="仿宋" w:eastAsia="仿宋" w:cs="仿宋"/>
          <w:sz w:val="44"/>
          <w:szCs w:val="44"/>
        </w:rPr>
        <w:t>合 同</w:t>
      </w:r>
      <w:r>
        <w:rPr>
          <w:rFonts w:hint="eastAsia" w:ascii="仿宋" w:hAnsi="仿宋" w:eastAsia="仿宋" w:cs="仿宋"/>
          <w:sz w:val="30"/>
          <w:szCs w:val="30"/>
        </w:rPr>
        <w:tab/>
      </w:r>
    </w:p>
    <w:p>
      <w:pPr>
        <w:adjustRightInd w:val="0"/>
        <w:snapToGrid w:val="0"/>
        <w:spacing w:line="360" w:lineRule="auto"/>
        <w:ind w:firstLine="1050" w:firstLineChars="500"/>
        <w:rPr>
          <w:rFonts w:ascii="仿宋" w:hAnsi="仿宋" w:eastAsia="仿宋" w:cs="仿宋"/>
          <w:szCs w:val="21"/>
        </w:rPr>
      </w:pPr>
    </w:p>
    <w:p>
      <w:pPr>
        <w:adjustRightInd w:val="0"/>
        <w:snapToGrid w:val="0"/>
        <w:spacing w:line="360" w:lineRule="auto"/>
        <w:ind w:firstLine="1500" w:firstLineChars="500"/>
        <w:rPr>
          <w:rFonts w:ascii="仿宋" w:hAnsi="仿宋" w:eastAsia="仿宋" w:cs="仿宋"/>
          <w:sz w:val="30"/>
          <w:szCs w:val="30"/>
        </w:rPr>
      </w:pPr>
      <w:r>
        <w:rPr>
          <w:rFonts w:hint="eastAsia" w:ascii="仿宋" w:hAnsi="仿宋" w:eastAsia="仿宋" w:cs="仿宋"/>
          <w:sz w:val="30"/>
          <w:szCs w:val="30"/>
        </w:rPr>
        <w:t>项目编号：</w:t>
      </w:r>
    </w:p>
    <w:p>
      <w:pPr>
        <w:adjustRightInd w:val="0"/>
        <w:snapToGrid w:val="0"/>
        <w:spacing w:line="360" w:lineRule="auto"/>
        <w:ind w:firstLine="1500" w:firstLineChars="500"/>
        <w:rPr>
          <w:rFonts w:ascii="仿宋" w:hAnsi="仿宋" w:eastAsia="仿宋" w:cs="仿宋"/>
          <w:sz w:val="30"/>
          <w:szCs w:val="30"/>
        </w:rPr>
      </w:pPr>
      <w:r>
        <w:rPr>
          <w:rFonts w:hint="eastAsia" w:ascii="仿宋" w:hAnsi="仿宋" w:eastAsia="仿宋" w:cs="仿宋"/>
          <w:sz w:val="30"/>
          <w:szCs w:val="30"/>
        </w:rPr>
        <w:t>合同编号：</w:t>
      </w:r>
    </w:p>
    <w:p>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      年度）</w:t>
      </w:r>
    </w:p>
    <w:p>
      <w:pPr>
        <w:widowControl/>
        <w:adjustRightInd w:val="0"/>
        <w:snapToGrid w:val="0"/>
        <w:spacing w:line="360" w:lineRule="auto"/>
        <w:jc w:val="center"/>
        <w:rPr>
          <w:rFonts w:ascii="仿宋" w:hAnsi="仿宋" w:eastAsia="仿宋" w:cs="仿宋"/>
          <w:kern w:val="0"/>
          <w:szCs w:val="21"/>
        </w:rPr>
      </w:pPr>
      <w:r>
        <w:rPr>
          <w:rFonts w:hint="eastAsia" w:ascii="仿宋" w:hAnsi="仿宋" w:eastAsia="仿宋" w:cs="仿宋"/>
          <w:szCs w:val="21"/>
        </w:rPr>
        <w:t xml:space="preserve">      </w:t>
      </w:r>
    </w:p>
    <w:p>
      <w:pPr>
        <w:adjustRightInd w:val="0"/>
        <w:snapToGrid w:val="0"/>
        <w:spacing w:line="360" w:lineRule="auto"/>
        <w:rPr>
          <w:rFonts w:ascii="仿宋" w:hAnsi="仿宋" w:eastAsia="仿宋" w:cs="仿宋"/>
          <w:szCs w:val="21"/>
        </w:rPr>
      </w:pPr>
      <w:r>
        <w:rPr>
          <w:rFonts w:hint="eastAsia" w:ascii="仿宋" w:hAnsi="仿宋" w:eastAsia="仿宋" w:cs="仿宋"/>
          <w:szCs w:val="21"/>
        </w:rPr>
        <w:t xml:space="preserve">          </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ind w:firstLine="966" w:firstLineChars="345"/>
        <w:rPr>
          <w:rFonts w:ascii="仿宋" w:hAnsi="仿宋" w:eastAsia="仿宋" w:cs="仿宋"/>
          <w:sz w:val="28"/>
          <w:szCs w:val="28"/>
        </w:rPr>
      </w:pPr>
      <w:r>
        <w:rPr>
          <w:rFonts w:hint="eastAsia" w:ascii="仿宋" w:hAnsi="仿宋" w:eastAsia="仿宋" w:cs="仿宋"/>
          <w:sz w:val="28"/>
          <w:szCs w:val="28"/>
        </w:rPr>
        <w:t>甲  方：新疆维吾尔自治区疾病预防控制中心</w:t>
      </w:r>
    </w:p>
    <w:p>
      <w:pPr>
        <w:adjustRightInd w:val="0"/>
        <w:snapToGrid w:val="0"/>
        <w:spacing w:line="360" w:lineRule="auto"/>
        <w:ind w:firstLine="966" w:firstLineChars="345"/>
        <w:rPr>
          <w:rFonts w:ascii="仿宋" w:hAnsi="仿宋" w:eastAsia="仿宋" w:cs="仿宋"/>
          <w:sz w:val="28"/>
          <w:szCs w:val="28"/>
        </w:rPr>
      </w:pPr>
      <w:r>
        <w:rPr>
          <w:rFonts w:hint="eastAsia" w:ascii="仿宋" w:hAnsi="仿宋" w:eastAsia="仿宋" w:cs="仿宋"/>
          <w:sz w:val="28"/>
          <w:szCs w:val="28"/>
        </w:rPr>
        <w:t xml:space="preserve">乙  方： </w:t>
      </w:r>
    </w:p>
    <w:p>
      <w:pPr>
        <w:adjustRightInd w:val="0"/>
        <w:snapToGrid w:val="0"/>
        <w:spacing w:line="360" w:lineRule="auto"/>
        <w:jc w:val="center"/>
        <w:rPr>
          <w:rFonts w:ascii="仿宋" w:hAnsi="仿宋" w:eastAsia="仿宋" w:cs="仿宋"/>
          <w:sz w:val="28"/>
          <w:szCs w:val="28"/>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ind w:firstLine="1120" w:firstLineChars="400"/>
        <w:rPr>
          <w:rFonts w:ascii="仿宋" w:hAnsi="仿宋" w:eastAsia="仿宋" w:cs="仿宋"/>
          <w:sz w:val="28"/>
          <w:szCs w:val="28"/>
        </w:rPr>
      </w:pPr>
      <w:r>
        <w:rPr>
          <w:rFonts w:hint="eastAsia" w:ascii="仿宋" w:hAnsi="仿宋" w:eastAsia="仿宋" w:cs="仿宋"/>
          <w:sz w:val="28"/>
          <w:szCs w:val="28"/>
        </w:rPr>
        <w:t xml:space="preserve">合同签订地点：                             </w:t>
      </w:r>
    </w:p>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二O二</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p>
    <w:p>
      <w:pPr>
        <w:adjustRightInd w:val="0"/>
        <w:snapToGrid w:val="0"/>
        <w:spacing w:line="360" w:lineRule="auto"/>
        <w:jc w:val="center"/>
        <w:rPr>
          <w:rFonts w:ascii="仿宋" w:hAnsi="仿宋" w:eastAsia="仿宋" w:cs="仿宋"/>
          <w:sz w:val="28"/>
          <w:szCs w:val="28"/>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jc w:val="center"/>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采 购 （专 用） 合 同（配发）</w:t>
      </w:r>
    </w:p>
    <w:p>
      <w:pPr>
        <w:adjustRightInd w:val="0"/>
        <w:snapToGrid w:val="0"/>
        <w:spacing w:line="360" w:lineRule="auto"/>
        <w:rPr>
          <w:rFonts w:ascii="仿宋" w:hAnsi="仿宋" w:eastAsia="仿宋" w:cs="仿宋"/>
          <w:szCs w:val="21"/>
        </w:rPr>
      </w:pPr>
      <w:r>
        <w:rPr>
          <w:rFonts w:hint="eastAsia" w:ascii="仿宋" w:hAnsi="仿宋" w:eastAsia="仿宋" w:cs="仿宋"/>
          <w:szCs w:val="21"/>
        </w:rPr>
        <w:t>甲方：新疆维吾尔自治区疾病预防控制中心</w:t>
      </w:r>
    </w:p>
    <w:p>
      <w:pPr>
        <w:adjustRightInd w:val="0"/>
        <w:snapToGrid w:val="0"/>
        <w:spacing w:line="360" w:lineRule="auto"/>
        <w:rPr>
          <w:rFonts w:ascii="仿宋" w:hAnsi="仿宋" w:eastAsia="仿宋" w:cs="仿宋"/>
          <w:szCs w:val="21"/>
        </w:rPr>
      </w:pPr>
      <w:r>
        <w:rPr>
          <w:rFonts w:hint="eastAsia" w:ascii="仿宋" w:hAnsi="仿宋" w:eastAsia="仿宋" w:cs="仿宋"/>
          <w:szCs w:val="21"/>
        </w:rPr>
        <w:t xml:space="preserve">乙方：                                </w:t>
      </w:r>
    </w:p>
    <w:p>
      <w:pPr>
        <w:widowControl/>
        <w:adjustRightInd w:val="0"/>
        <w:snapToGrid w:val="0"/>
        <w:spacing w:after="150" w:line="520" w:lineRule="exact"/>
        <w:ind w:firstLine="315" w:firstLineChars="150"/>
        <w:rPr>
          <w:rFonts w:ascii="仿宋" w:hAnsi="仿宋" w:eastAsia="仿宋" w:cs="仿宋"/>
          <w:szCs w:val="21"/>
        </w:rPr>
      </w:pPr>
      <w:r>
        <w:rPr>
          <w:rFonts w:hint="eastAsia" w:ascii="仿宋" w:hAnsi="仿宋" w:eastAsia="仿宋" w:cs="仿宋"/>
          <w:szCs w:val="21"/>
        </w:rPr>
        <w:t>新疆维吾尔自治区疾病预防控制中心（以下简称甲方）经</w:t>
      </w:r>
      <w:r>
        <w:rPr>
          <w:rFonts w:hint="eastAsia" w:ascii="仿宋" w:hAnsi="仿宋" w:eastAsia="仿宋" w:cs="仿宋"/>
          <w:szCs w:val="21"/>
          <w:u w:val="single"/>
        </w:rPr>
        <w:t xml:space="preserve">             </w:t>
      </w:r>
      <w:r>
        <w:rPr>
          <w:rFonts w:hint="eastAsia" w:ascii="仿宋" w:hAnsi="仿宋" w:eastAsia="仿宋" w:cs="仿宋"/>
          <w:szCs w:val="21"/>
        </w:rPr>
        <w:t>组织的招标采购，选定</w:t>
      </w:r>
      <w:r>
        <w:rPr>
          <w:rFonts w:hint="eastAsia" w:ascii="仿宋" w:hAnsi="仿宋" w:eastAsia="仿宋" w:cs="仿宋"/>
          <w:szCs w:val="21"/>
          <w:u w:val="single"/>
        </w:rPr>
        <w:t xml:space="preserve">                                                                                    （                  （</w:t>
      </w:r>
      <w:r>
        <w:rPr>
          <w:rFonts w:hint="eastAsia" w:ascii="仿宋" w:hAnsi="仿宋" w:eastAsia="仿宋" w:cs="仿宋"/>
          <w:szCs w:val="21"/>
        </w:rPr>
        <w:t>以下简称乙方</w:t>
      </w:r>
      <w:r>
        <w:rPr>
          <w:rFonts w:hint="eastAsia" w:ascii="仿宋" w:hAnsi="仿宋" w:eastAsia="仿宋" w:cs="仿宋"/>
          <w:szCs w:val="21"/>
          <w:u w:val="single"/>
        </w:rPr>
        <w:t>）</w:t>
      </w:r>
      <w:r>
        <w:rPr>
          <w:rFonts w:hint="eastAsia" w:ascii="仿宋" w:hAnsi="仿宋" w:eastAsia="仿宋" w:cs="仿宋"/>
          <w:szCs w:val="21"/>
        </w:rPr>
        <w:t>：为提供</w:t>
      </w:r>
      <w:r>
        <w:rPr>
          <w:rFonts w:hint="eastAsia" w:ascii="仿宋" w:hAnsi="仿宋" w:eastAsia="仿宋" w:cs="仿宋"/>
          <w:szCs w:val="21"/>
          <w:u w:val="single"/>
        </w:rPr>
        <w:t xml:space="preserve">                          </w:t>
      </w:r>
      <w:r>
        <w:rPr>
          <w:rFonts w:hint="eastAsia" w:ascii="仿宋" w:hAnsi="仿宋" w:eastAsia="仿宋" w:cs="仿宋"/>
          <w:szCs w:val="21"/>
        </w:rPr>
        <w:t>产品的</w:t>
      </w:r>
      <w:r>
        <w:rPr>
          <w:rFonts w:hint="eastAsia" w:ascii="仿宋" w:hAnsi="仿宋" w:eastAsia="仿宋" w:cs="仿宋"/>
          <w:szCs w:val="21"/>
          <w:u w:val="single"/>
        </w:rPr>
        <w:t>中标单位</w:t>
      </w:r>
      <w:r>
        <w:rPr>
          <w:rFonts w:hint="eastAsia" w:ascii="仿宋" w:hAnsi="仿宋" w:eastAsia="仿宋" w:cs="仿宋"/>
          <w:szCs w:val="21"/>
        </w:rPr>
        <w:t>。依据《中华人民共和国民法典》、《中华人民共和国政府采购法》及相关法律、法规，经甲、乙双方共同协商，按下述条款签署本合同。</w:t>
      </w:r>
    </w:p>
    <w:p>
      <w:pPr>
        <w:widowControl/>
        <w:adjustRightInd w:val="0"/>
        <w:snapToGrid w:val="0"/>
        <w:spacing w:after="150" w:line="520" w:lineRule="exact"/>
        <w:ind w:firstLine="315" w:firstLineChars="150"/>
        <w:rPr>
          <w:rFonts w:ascii="仿宋" w:hAnsi="仿宋" w:eastAsia="仿宋" w:cs="仿宋"/>
          <w:b/>
          <w:bCs/>
          <w:kern w:val="0"/>
          <w:szCs w:val="21"/>
        </w:rPr>
      </w:pPr>
      <w:r>
        <w:rPr>
          <w:rFonts w:hint="eastAsia" w:ascii="仿宋" w:hAnsi="仿宋" w:eastAsia="仿宋" w:cs="仿宋"/>
          <w:szCs w:val="21"/>
        </w:rPr>
        <w:t>本合同特别约定：本合同甲方所采购的货物（产品），最终目的地发往全疆各地州。乙方必须按甲方指定地点、时间、保质、保量送达各地（送达单见附件一）。对货物）（产品）的验收由目的地收货人行使甲方的权利，按本合同第二条、第三条、第四条、第五条执行，</w:t>
      </w:r>
      <w:r>
        <w:rPr>
          <w:rFonts w:hint="eastAsia" w:ascii="仿宋" w:hAnsi="仿宋" w:eastAsia="仿宋" w:cs="仿宋"/>
          <w:bCs/>
          <w:kern w:val="0"/>
          <w:szCs w:val="21"/>
        </w:rPr>
        <w:t>保修与售后服务按本合同第九条执行。</w:t>
      </w:r>
    </w:p>
    <w:p>
      <w:pPr>
        <w:widowControl/>
        <w:adjustRightInd w:val="0"/>
        <w:snapToGrid w:val="0"/>
        <w:spacing w:line="360" w:lineRule="auto"/>
        <w:ind w:left="181" w:leftChars="86" w:firstLine="359" w:firstLineChars="171"/>
        <w:rPr>
          <w:rFonts w:ascii="仿宋" w:hAnsi="仿宋" w:eastAsia="仿宋" w:cs="仿宋"/>
          <w:szCs w:val="21"/>
        </w:rPr>
      </w:pPr>
    </w:p>
    <w:p>
      <w:pPr>
        <w:widowControl/>
        <w:adjustRightInd w:val="0"/>
        <w:snapToGrid w:val="0"/>
        <w:spacing w:line="360" w:lineRule="auto"/>
        <w:rPr>
          <w:rFonts w:ascii="仿宋" w:hAnsi="仿宋" w:eastAsia="仿宋" w:cs="仿宋"/>
          <w:szCs w:val="21"/>
        </w:rPr>
      </w:pPr>
      <w:r>
        <w:rPr>
          <w:rFonts w:hint="eastAsia" w:ascii="仿宋" w:hAnsi="仿宋" w:eastAsia="仿宋" w:cs="仿宋"/>
          <w:szCs w:val="21"/>
        </w:rPr>
        <w:t xml:space="preserve">一、合同标的、规格、数量、单价 </w:t>
      </w:r>
    </w:p>
    <w:tbl>
      <w:tblPr>
        <w:tblStyle w:val="20"/>
        <w:tblW w:w="10419" w:type="dxa"/>
        <w:jc w:val="center"/>
        <w:tblLayout w:type="fixed"/>
        <w:tblCellMar>
          <w:top w:w="0" w:type="dxa"/>
          <w:left w:w="108" w:type="dxa"/>
          <w:bottom w:w="0" w:type="dxa"/>
          <w:right w:w="108" w:type="dxa"/>
        </w:tblCellMar>
      </w:tblPr>
      <w:tblGrid>
        <w:gridCol w:w="855"/>
        <w:gridCol w:w="1266"/>
        <w:gridCol w:w="851"/>
        <w:gridCol w:w="119"/>
        <w:gridCol w:w="609"/>
        <w:gridCol w:w="242"/>
        <w:gridCol w:w="732"/>
        <w:gridCol w:w="850"/>
        <w:gridCol w:w="1559"/>
        <w:gridCol w:w="1276"/>
        <w:gridCol w:w="996"/>
        <w:gridCol w:w="262"/>
        <w:gridCol w:w="543"/>
        <w:gridCol w:w="259"/>
      </w:tblGrid>
      <w:tr>
        <w:tblPrEx>
          <w:tblCellMar>
            <w:top w:w="0" w:type="dxa"/>
            <w:left w:w="108" w:type="dxa"/>
            <w:bottom w:w="0" w:type="dxa"/>
            <w:right w:w="108" w:type="dxa"/>
          </w:tblCellMar>
        </w:tblPrEx>
        <w:trPr>
          <w:cantSplit/>
          <w:trHeight w:val="453" w:hRule="exact"/>
          <w:jc w:val="center"/>
        </w:trPr>
        <w:tc>
          <w:tcPr>
            <w:tcW w:w="855"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项目序号</w:t>
            </w:r>
          </w:p>
        </w:tc>
        <w:tc>
          <w:tcPr>
            <w:tcW w:w="126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名   称</w:t>
            </w:r>
          </w:p>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（通用名）</w:t>
            </w:r>
          </w:p>
        </w:tc>
        <w:tc>
          <w:tcPr>
            <w:tcW w:w="851"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国产/进口</w:t>
            </w:r>
          </w:p>
        </w:tc>
        <w:tc>
          <w:tcPr>
            <w:tcW w:w="728" w:type="dxa"/>
            <w:gridSpan w:val="2"/>
            <w:tcBorders>
              <w:top w:val="single" w:color="auto" w:sz="4" w:space="0"/>
              <w:left w:val="single" w:color="auto" w:sz="4" w:space="0"/>
              <w:right w:val="single" w:color="auto" w:sz="4" w:space="0"/>
            </w:tcBorders>
          </w:tcPr>
          <w:p>
            <w:pPr>
              <w:adjustRightInd w:val="0"/>
              <w:snapToGrid w:val="0"/>
              <w:spacing w:line="360" w:lineRule="auto"/>
            </w:pPr>
          </w:p>
          <w:p>
            <w:pPr>
              <w:pStyle w:val="26"/>
            </w:pPr>
            <w:r>
              <w:rPr>
                <w:rFonts w:hint="eastAsia" w:ascii="仿宋" w:hAnsi="仿宋" w:eastAsia="仿宋" w:cs="仿宋"/>
                <w:szCs w:val="21"/>
              </w:rPr>
              <w:t>+</w:t>
            </w:r>
          </w:p>
        </w:tc>
        <w:tc>
          <w:tcPr>
            <w:tcW w:w="974" w:type="dxa"/>
            <w:gridSpan w:val="2"/>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技术参 数</w:t>
            </w:r>
          </w:p>
        </w:tc>
        <w:tc>
          <w:tcPr>
            <w:tcW w:w="850" w:type="dxa"/>
            <w:tcBorders>
              <w:top w:val="single" w:color="auto" w:sz="4" w:space="0"/>
              <w:left w:val="single" w:color="auto" w:sz="4" w:space="0"/>
              <w:right w:val="single" w:color="auto" w:sz="4" w:space="0"/>
            </w:tcBorders>
          </w:tcPr>
          <w:p>
            <w:pPr>
              <w:adjustRightInd w:val="0"/>
              <w:snapToGrid w:val="0"/>
              <w:spacing w:line="360" w:lineRule="auto"/>
              <w:jc w:val="center"/>
              <w:rPr>
                <w:rFonts w:ascii="仿宋" w:hAnsi="仿宋" w:eastAsia="仿宋" w:cs="仿宋"/>
                <w:szCs w:val="21"/>
              </w:rPr>
            </w:pPr>
          </w:p>
        </w:tc>
        <w:tc>
          <w:tcPr>
            <w:tcW w:w="1559"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投标方报价</w:t>
            </w:r>
          </w:p>
          <w:p>
            <w:pPr>
              <w:adjustRightInd w:val="0"/>
              <w:snapToGrid w:val="0"/>
              <w:spacing w:line="360" w:lineRule="auto"/>
              <w:ind w:left="165"/>
              <w:jc w:val="center"/>
              <w:rPr>
                <w:rFonts w:ascii="仿宋" w:hAnsi="仿宋" w:eastAsia="仿宋" w:cs="仿宋"/>
                <w:szCs w:val="21"/>
              </w:rPr>
            </w:pPr>
            <w:r>
              <w:rPr>
                <w:rFonts w:hint="eastAsia" w:ascii="仿宋" w:hAnsi="仿宋" w:eastAsia="仿宋" w:cs="仿宋"/>
                <w:szCs w:val="21"/>
              </w:rPr>
              <w:t>单价（元/</w:t>
            </w:r>
          </w:p>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支）</w:t>
            </w:r>
          </w:p>
        </w:tc>
        <w:tc>
          <w:tcPr>
            <w:tcW w:w="127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合同总价</w:t>
            </w:r>
          </w:p>
        </w:tc>
        <w:tc>
          <w:tcPr>
            <w:tcW w:w="99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金额大写</w:t>
            </w:r>
          </w:p>
        </w:tc>
        <w:tc>
          <w:tcPr>
            <w:tcW w:w="262" w:type="dxa"/>
            <w:tcBorders>
              <w:top w:val="single" w:color="auto" w:sz="4" w:space="0"/>
            </w:tcBorders>
          </w:tcPr>
          <w:p>
            <w:pPr>
              <w:widowControl/>
              <w:adjustRightInd w:val="0"/>
              <w:snapToGrid w:val="0"/>
              <w:jc w:val="left"/>
              <w:rPr>
                <w:rFonts w:ascii="仿宋" w:hAnsi="仿宋" w:eastAsia="仿宋" w:cs="仿宋"/>
                <w:szCs w:val="21"/>
              </w:rPr>
            </w:pPr>
          </w:p>
          <w:p>
            <w:pPr>
              <w:widowControl/>
              <w:adjustRightInd w:val="0"/>
              <w:snapToGrid w:val="0"/>
              <w:jc w:val="left"/>
              <w:rPr>
                <w:rFonts w:ascii="仿宋" w:hAnsi="仿宋" w:eastAsia="仿宋" w:cs="仿宋"/>
                <w:szCs w:val="21"/>
              </w:rPr>
            </w:pPr>
          </w:p>
        </w:tc>
        <w:tc>
          <w:tcPr>
            <w:tcW w:w="802" w:type="dxa"/>
            <w:gridSpan w:val="2"/>
            <w:vMerge w:val="restart"/>
            <w:tcBorders>
              <w:top w:val="single" w:color="auto" w:sz="4" w:space="0"/>
              <w:right w:val="single" w:color="auto" w:sz="4" w:space="0"/>
            </w:tcBorders>
            <w:vAlign w:val="center"/>
          </w:tcPr>
          <w:p>
            <w:pPr>
              <w:widowControl/>
              <w:adjustRightInd w:val="0"/>
              <w:snapToGrid w:val="0"/>
              <w:jc w:val="center"/>
              <w:rPr>
                <w:rFonts w:ascii="仿宋" w:hAnsi="仿宋" w:eastAsia="仿宋" w:cs="仿宋"/>
                <w:szCs w:val="21"/>
              </w:rPr>
            </w:pPr>
          </w:p>
          <w:p>
            <w:pPr>
              <w:widowControl/>
              <w:adjustRightInd w:val="0"/>
              <w:snapToGrid w:val="0"/>
              <w:jc w:val="center"/>
              <w:rPr>
                <w:rFonts w:ascii="仿宋" w:hAnsi="仿宋" w:eastAsia="仿宋" w:cs="仿宋"/>
                <w:szCs w:val="21"/>
              </w:rPr>
            </w:pPr>
            <w:r>
              <w:rPr>
                <w:rFonts w:hint="eastAsia" w:ascii="仿宋" w:hAnsi="仿宋" w:eastAsia="仿宋" w:cs="仿宋"/>
                <w:szCs w:val="21"/>
              </w:rPr>
              <w:t>收货人及电话</w:t>
            </w:r>
          </w:p>
        </w:tc>
      </w:tr>
      <w:tr>
        <w:tblPrEx>
          <w:tblCellMar>
            <w:top w:w="0" w:type="dxa"/>
            <w:left w:w="108" w:type="dxa"/>
            <w:bottom w:w="0" w:type="dxa"/>
            <w:right w:w="108" w:type="dxa"/>
          </w:tblCellMar>
        </w:tblPrEx>
        <w:trPr>
          <w:cantSplit/>
          <w:trHeight w:val="411" w:hRule="atLeast"/>
          <w:jc w:val="center"/>
        </w:trPr>
        <w:tc>
          <w:tcPr>
            <w:tcW w:w="855"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66" w:type="dxa"/>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851" w:type="dxa"/>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728" w:type="dxa"/>
            <w:gridSpan w:val="2"/>
            <w:tcBorders>
              <w:left w:val="single" w:color="auto" w:sz="4" w:space="0"/>
              <w:right w:val="single" w:color="auto" w:sz="4" w:space="0"/>
            </w:tcBorders>
          </w:tcPr>
          <w:p>
            <w:pPr>
              <w:adjustRightInd w:val="0"/>
              <w:snapToGrid w:val="0"/>
              <w:spacing w:line="360" w:lineRule="auto"/>
              <w:rPr>
                <w:rFonts w:ascii="仿宋" w:hAnsi="仿宋" w:eastAsia="仿宋" w:cs="仿宋"/>
                <w:szCs w:val="21"/>
              </w:rPr>
            </w:pPr>
            <w:r>
              <w:rPr>
                <w:rFonts w:hint="eastAsia" w:ascii="仿宋" w:hAnsi="仿宋" w:eastAsia="仿宋" w:cs="仿宋"/>
                <w:szCs w:val="21"/>
              </w:rPr>
              <w:t>品名型号</w:t>
            </w:r>
          </w:p>
        </w:tc>
        <w:tc>
          <w:tcPr>
            <w:tcW w:w="974" w:type="dxa"/>
            <w:gridSpan w:val="2"/>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850" w:type="dxa"/>
            <w:tcBorders>
              <w:left w:val="single" w:color="auto" w:sz="4" w:space="0"/>
              <w:right w:val="single" w:color="auto" w:sz="4" w:space="0"/>
            </w:tcBorders>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数量</w:t>
            </w:r>
          </w:p>
        </w:tc>
        <w:tc>
          <w:tcPr>
            <w:tcW w:w="1559" w:type="dxa"/>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76" w:type="dxa"/>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996"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262" w:type="dxa"/>
            <w:tcBorders>
              <w:bottom w:val="single" w:color="auto" w:sz="4" w:space="0"/>
            </w:tcBorders>
          </w:tcPr>
          <w:p>
            <w:pPr>
              <w:widowControl/>
              <w:adjustRightInd w:val="0"/>
              <w:snapToGrid w:val="0"/>
              <w:jc w:val="left"/>
              <w:rPr>
                <w:rFonts w:ascii="仿宋" w:hAnsi="仿宋" w:eastAsia="仿宋" w:cs="仿宋"/>
                <w:szCs w:val="21"/>
              </w:rPr>
            </w:pPr>
          </w:p>
        </w:tc>
        <w:tc>
          <w:tcPr>
            <w:tcW w:w="802" w:type="dxa"/>
            <w:gridSpan w:val="2"/>
            <w:vMerge w:val="continue"/>
            <w:tcBorders>
              <w:bottom w:val="single" w:color="auto" w:sz="4" w:space="0"/>
              <w:right w:val="single" w:color="auto" w:sz="4" w:space="0"/>
            </w:tcBorders>
          </w:tcPr>
          <w:p>
            <w:pPr>
              <w:widowControl/>
              <w:adjustRightInd w:val="0"/>
              <w:snapToGrid w:val="0"/>
              <w:jc w:val="left"/>
              <w:rPr>
                <w:rFonts w:ascii="仿宋" w:hAnsi="仿宋" w:eastAsia="仿宋" w:cs="仿宋"/>
                <w:szCs w:val="21"/>
              </w:rPr>
            </w:pPr>
          </w:p>
        </w:tc>
      </w:tr>
      <w:tr>
        <w:tblPrEx>
          <w:tblCellMar>
            <w:top w:w="0" w:type="dxa"/>
            <w:left w:w="108" w:type="dxa"/>
            <w:bottom w:w="0" w:type="dxa"/>
            <w:right w:w="108" w:type="dxa"/>
          </w:tblCellMar>
        </w:tblPrEx>
        <w:trPr>
          <w:cantSplit/>
          <w:trHeight w:val="803" w:hRule="atLeast"/>
          <w:jc w:val="center"/>
        </w:trPr>
        <w:tc>
          <w:tcPr>
            <w:tcW w:w="855"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6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851"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728" w:type="dxa"/>
            <w:gridSpan w:val="2"/>
            <w:tcBorders>
              <w:top w:val="single" w:color="auto" w:sz="4" w:space="0"/>
              <w:left w:val="single" w:color="auto" w:sz="6" w:space="0"/>
              <w:bottom w:val="single" w:color="auto" w:sz="4" w:space="0"/>
              <w:right w:val="single" w:color="auto" w:sz="6" w:space="0"/>
            </w:tcBorders>
          </w:tcPr>
          <w:p>
            <w:pPr>
              <w:adjustRightInd w:val="0"/>
              <w:snapToGrid w:val="0"/>
              <w:spacing w:line="360" w:lineRule="auto"/>
              <w:jc w:val="center"/>
              <w:rPr>
                <w:rFonts w:ascii="仿宋" w:hAnsi="仿宋" w:eastAsia="仿宋" w:cs="仿宋"/>
                <w:szCs w:val="21"/>
              </w:rPr>
            </w:pPr>
          </w:p>
        </w:tc>
        <w:tc>
          <w:tcPr>
            <w:tcW w:w="974" w:type="dxa"/>
            <w:gridSpan w:val="2"/>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996" w:type="dxa"/>
            <w:tcBorders>
              <w:top w:val="single" w:color="auto" w:sz="4" w:space="0"/>
              <w:left w:val="single" w:color="auto" w:sz="6"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262" w:type="dxa"/>
            <w:tcBorders>
              <w:top w:val="single" w:color="auto" w:sz="4" w:space="0"/>
              <w:left w:val="single" w:color="auto" w:sz="4" w:space="0"/>
            </w:tcBorders>
          </w:tcPr>
          <w:p>
            <w:pPr>
              <w:widowControl/>
              <w:adjustRightInd w:val="0"/>
              <w:snapToGrid w:val="0"/>
              <w:jc w:val="left"/>
              <w:rPr>
                <w:rFonts w:ascii="仿宋" w:hAnsi="仿宋" w:eastAsia="仿宋" w:cs="仿宋"/>
                <w:szCs w:val="21"/>
              </w:rPr>
            </w:pPr>
          </w:p>
        </w:tc>
        <w:tc>
          <w:tcPr>
            <w:tcW w:w="802" w:type="dxa"/>
            <w:gridSpan w:val="2"/>
            <w:tcBorders>
              <w:top w:val="single" w:color="auto" w:sz="4" w:space="0"/>
              <w:bottom w:val="single" w:color="auto" w:sz="4" w:space="0"/>
              <w:right w:val="single" w:color="auto" w:sz="4" w:space="0"/>
            </w:tcBorders>
          </w:tcPr>
          <w:p>
            <w:pPr>
              <w:widowControl/>
              <w:adjustRightInd w:val="0"/>
              <w:snapToGrid w:val="0"/>
              <w:jc w:val="left"/>
              <w:rPr>
                <w:rFonts w:ascii="仿宋" w:hAnsi="仿宋" w:eastAsia="仿宋" w:cs="仿宋"/>
                <w:szCs w:val="21"/>
              </w:rPr>
            </w:pPr>
          </w:p>
        </w:tc>
      </w:tr>
      <w:tr>
        <w:tblPrEx>
          <w:tblCellMar>
            <w:top w:w="0" w:type="dxa"/>
            <w:left w:w="108" w:type="dxa"/>
            <w:bottom w:w="0" w:type="dxa"/>
            <w:right w:w="108" w:type="dxa"/>
          </w:tblCellMar>
        </w:tblPrEx>
        <w:trPr>
          <w:cantSplit/>
          <w:trHeight w:val="551" w:hRule="atLeast"/>
          <w:jc w:val="center"/>
        </w:trPr>
        <w:tc>
          <w:tcPr>
            <w:tcW w:w="855"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6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851"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728" w:type="dxa"/>
            <w:gridSpan w:val="2"/>
            <w:tcBorders>
              <w:top w:val="single" w:color="auto" w:sz="4" w:space="0"/>
              <w:left w:val="single" w:color="auto" w:sz="6" w:space="0"/>
              <w:bottom w:val="single" w:color="auto" w:sz="4" w:space="0"/>
              <w:right w:val="single" w:color="auto" w:sz="6" w:space="0"/>
            </w:tcBorders>
          </w:tcPr>
          <w:p>
            <w:pPr>
              <w:adjustRightInd w:val="0"/>
              <w:snapToGrid w:val="0"/>
              <w:spacing w:line="360" w:lineRule="auto"/>
              <w:jc w:val="center"/>
              <w:rPr>
                <w:rFonts w:ascii="仿宋" w:hAnsi="仿宋" w:eastAsia="仿宋" w:cs="仿宋"/>
                <w:szCs w:val="21"/>
              </w:rPr>
            </w:pPr>
          </w:p>
        </w:tc>
        <w:tc>
          <w:tcPr>
            <w:tcW w:w="974" w:type="dxa"/>
            <w:gridSpan w:val="2"/>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p>
        </w:tc>
        <w:tc>
          <w:tcPr>
            <w:tcW w:w="996"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jc w:val="left"/>
              <w:rPr>
                <w:rFonts w:ascii="仿宋" w:hAnsi="仿宋" w:eastAsia="仿宋" w:cs="仿宋"/>
                <w:szCs w:val="21"/>
              </w:rPr>
            </w:pPr>
          </w:p>
        </w:tc>
        <w:tc>
          <w:tcPr>
            <w:tcW w:w="262" w:type="dxa"/>
            <w:tcBorders>
              <w:top w:val="single" w:color="auto" w:sz="4" w:space="0"/>
              <w:left w:val="single" w:color="auto" w:sz="4" w:space="0"/>
              <w:bottom w:val="single" w:color="auto" w:sz="4" w:space="0"/>
            </w:tcBorders>
            <w:vAlign w:val="center"/>
          </w:tcPr>
          <w:p>
            <w:pPr>
              <w:widowControl/>
              <w:adjustRightInd w:val="0"/>
              <w:snapToGrid w:val="0"/>
              <w:jc w:val="left"/>
              <w:rPr>
                <w:rFonts w:ascii="仿宋" w:hAnsi="仿宋" w:eastAsia="仿宋" w:cs="仿宋"/>
                <w:szCs w:val="21"/>
              </w:rPr>
            </w:pPr>
          </w:p>
        </w:tc>
        <w:tc>
          <w:tcPr>
            <w:tcW w:w="802" w:type="dxa"/>
            <w:gridSpan w:val="2"/>
            <w:tcBorders>
              <w:top w:val="single" w:color="auto" w:sz="4" w:space="0"/>
              <w:bottom w:val="single" w:color="auto" w:sz="4" w:space="0"/>
              <w:right w:val="single" w:color="auto" w:sz="4" w:space="0"/>
            </w:tcBorders>
          </w:tcPr>
          <w:p>
            <w:pPr>
              <w:widowControl/>
              <w:adjustRightInd w:val="0"/>
              <w:snapToGrid w:val="0"/>
              <w:jc w:val="left"/>
              <w:rPr>
                <w:rFonts w:ascii="仿宋" w:hAnsi="仿宋" w:eastAsia="仿宋" w:cs="仿宋"/>
                <w:szCs w:val="21"/>
              </w:rPr>
            </w:pPr>
          </w:p>
        </w:tc>
      </w:tr>
      <w:tr>
        <w:tblPrEx>
          <w:tblCellMar>
            <w:top w:w="0" w:type="dxa"/>
            <w:left w:w="108" w:type="dxa"/>
            <w:bottom w:w="0" w:type="dxa"/>
            <w:right w:w="108" w:type="dxa"/>
          </w:tblCellMar>
        </w:tblPrEx>
        <w:trPr>
          <w:cantSplit/>
          <w:trHeight w:val="755" w:hRule="atLeast"/>
          <w:jc w:val="center"/>
        </w:trPr>
        <w:tc>
          <w:tcPr>
            <w:tcW w:w="2121" w:type="dxa"/>
            <w:gridSpan w:val="2"/>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合同总价</w:t>
            </w:r>
          </w:p>
        </w:tc>
        <w:tc>
          <w:tcPr>
            <w:tcW w:w="851" w:type="dxa"/>
            <w:tcBorders>
              <w:top w:val="single" w:color="auto" w:sz="4" w:space="0"/>
              <w:left w:val="single" w:color="auto" w:sz="6" w:space="0"/>
              <w:bottom w:val="single" w:color="auto" w:sz="4" w:space="0"/>
              <w:right w:val="single" w:color="auto" w:sz="6" w:space="0"/>
            </w:tcBorders>
          </w:tcPr>
          <w:p>
            <w:pPr>
              <w:adjustRightInd w:val="0"/>
              <w:snapToGrid w:val="0"/>
              <w:spacing w:line="360" w:lineRule="auto"/>
              <w:rPr>
                <w:rFonts w:ascii="仿宋" w:hAnsi="仿宋" w:eastAsia="仿宋" w:cs="仿宋"/>
                <w:szCs w:val="21"/>
              </w:rPr>
            </w:pPr>
          </w:p>
        </w:tc>
        <w:tc>
          <w:tcPr>
            <w:tcW w:w="970" w:type="dxa"/>
            <w:gridSpan w:val="3"/>
            <w:tcBorders>
              <w:top w:val="single" w:color="auto" w:sz="4" w:space="0"/>
              <w:left w:val="single" w:color="auto" w:sz="6" w:space="0"/>
              <w:bottom w:val="single" w:color="auto" w:sz="4" w:space="0"/>
            </w:tcBorders>
          </w:tcPr>
          <w:p>
            <w:pPr>
              <w:adjustRightInd w:val="0"/>
              <w:snapToGrid w:val="0"/>
              <w:spacing w:line="360" w:lineRule="auto"/>
              <w:rPr>
                <w:rFonts w:ascii="仿宋" w:hAnsi="仿宋" w:eastAsia="仿宋" w:cs="仿宋"/>
                <w:szCs w:val="21"/>
              </w:rPr>
            </w:pPr>
          </w:p>
        </w:tc>
        <w:tc>
          <w:tcPr>
            <w:tcW w:w="6477" w:type="dxa"/>
            <w:gridSpan w:val="8"/>
            <w:tcBorders>
              <w:right w:val="single" w:color="auto" w:sz="4" w:space="0"/>
            </w:tcBorders>
          </w:tcPr>
          <w:p>
            <w:pPr>
              <w:adjustRightInd w:val="0"/>
              <w:snapToGrid w:val="0"/>
              <w:spacing w:line="360" w:lineRule="auto"/>
              <w:rPr>
                <w:rFonts w:ascii="仿宋" w:hAnsi="仿宋" w:eastAsia="仿宋" w:cs="仿宋"/>
                <w:kern w:val="0"/>
                <w:szCs w:val="21"/>
              </w:rPr>
            </w:pPr>
          </w:p>
          <w:p>
            <w:pPr>
              <w:adjustRightInd w:val="0"/>
              <w:snapToGrid w:val="0"/>
              <w:spacing w:line="360" w:lineRule="auto"/>
              <w:rPr>
                <w:rFonts w:ascii="仿宋" w:hAnsi="仿宋" w:eastAsia="仿宋" w:cs="仿宋"/>
                <w:kern w:val="0"/>
                <w:szCs w:val="21"/>
              </w:rPr>
            </w:pPr>
            <w:r>
              <w:rPr>
                <w:rFonts w:hint="eastAsia" w:ascii="仿宋" w:hAnsi="仿宋" w:eastAsia="仿宋" w:cs="仿宋"/>
                <w:kern w:val="0"/>
                <w:szCs w:val="21"/>
              </w:rPr>
              <w:t>人民币大写</w:t>
            </w:r>
            <w:r>
              <w:rPr>
                <w:rFonts w:hint="eastAsia" w:ascii="仿宋" w:hAnsi="仿宋" w:eastAsia="仿宋" w:cs="仿宋"/>
                <w:kern w:val="0"/>
                <w:szCs w:val="21"/>
                <w:u w:val="single"/>
              </w:rPr>
              <w:t xml:space="preserve">：                       </w:t>
            </w:r>
            <w:r>
              <w:rPr>
                <w:rFonts w:hint="eastAsia" w:ascii="仿宋" w:hAnsi="仿宋" w:eastAsia="仿宋" w:cs="仿宋"/>
                <w:szCs w:val="21"/>
              </w:rPr>
              <w:t xml:space="preserve"> </w:t>
            </w:r>
            <w:r>
              <w:rPr>
                <w:rFonts w:hint="eastAsia" w:ascii="仿宋" w:hAnsi="仿宋" w:eastAsia="仿宋" w:cs="仿宋"/>
                <w:kern w:val="0"/>
                <w:szCs w:val="21"/>
              </w:rPr>
              <w:t>（小写￥</w:t>
            </w:r>
            <w:r>
              <w:rPr>
                <w:rFonts w:hint="eastAsia" w:ascii="仿宋" w:hAnsi="仿宋" w:eastAsia="仿宋" w:cs="仿宋"/>
                <w:szCs w:val="21"/>
              </w:rPr>
              <w:t xml:space="preserve">      </w:t>
            </w:r>
            <w:r>
              <w:rPr>
                <w:rFonts w:hint="eastAsia" w:ascii="仿宋" w:hAnsi="仿宋" w:eastAsia="仿宋" w:cs="仿宋"/>
                <w:kern w:val="0"/>
                <w:szCs w:val="21"/>
              </w:rPr>
              <w:t>元）</w:t>
            </w:r>
          </w:p>
          <w:p>
            <w:pPr>
              <w:widowControl/>
              <w:adjustRightInd w:val="0"/>
              <w:snapToGrid w:val="0"/>
              <w:jc w:val="left"/>
              <w:rPr>
                <w:rFonts w:ascii="仿宋" w:hAnsi="仿宋" w:eastAsia="仿宋" w:cs="仿宋"/>
                <w:szCs w:val="21"/>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gridAfter w:val="1"/>
          <w:wBefore w:w="3091" w:type="dxa"/>
          <w:wAfter w:w="259" w:type="dxa"/>
          <w:trHeight w:val="100" w:hRule="atLeast"/>
          <w:jc w:val="center"/>
        </w:trPr>
        <w:tc>
          <w:tcPr>
            <w:tcW w:w="851" w:type="dxa"/>
            <w:gridSpan w:val="2"/>
            <w:tcBorders>
              <w:top w:val="single" w:color="auto" w:sz="4" w:space="0"/>
            </w:tcBorders>
          </w:tcPr>
          <w:p>
            <w:pPr>
              <w:tabs>
                <w:tab w:val="left" w:pos="540"/>
              </w:tabs>
              <w:adjustRightInd w:val="0"/>
              <w:snapToGrid w:val="0"/>
              <w:spacing w:line="360" w:lineRule="auto"/>
              <w:rPr>
                <w:rFonts w:ascii="仿宋" w:hAnsi="仿宋" w:eastAsia="仿宋" w:cs="仿宋"/>
                <w:szCs w:val="21"/>
              </w:rPr>
            </w:pPr>
          </w:p>
        </w:tc>
        <w:tc>
          <w:tcPr>
            <w:tcW w:w="6218" w:type="dxa"/>
            <w:gridSpan w:val="7"/>
            <w:tcBorders>
              <w:top w:val="single" w:color="auto" w:sz="4" w:space="0"/>
            </w:tcBorders>
          </w:tcPr>
          <w:p>
            <w:pPr>
              <w:tabs>
                <w:tab w:val="left" w:pos="540"/>
              </w:tabs>
              <w:adjustRightInd w:val="0"/>
              <w:snapToGrid w:val="0"/>
              <w:spacing w:line="360" w:lineRule="auto"/>
              <w:rPr>
                <w:rFonts w:ascii="仿宋" w:hAnsi="仿宋" w:eastAsia="仿宋" w:cs="仿宋"/>
                <w:szCs w:val="21"/>
              </w:rPr>
            </w:pPr>
          </w:p>
        </w:tc>
      </w:tr>
    </w:tbl>
    <w:p>
      <w:pPr>
        <w:adjustRightInd w:val="0"/>
        <w:snapToGrid w:val="0"/>
        <w:spacing w:line="360" w:lineRule="auto"/>
        <w:rPr>
          <w:rFonts w:ascii="仿宋" w:hAnsi="仿宋" w:eastAsia="仿宋" w:cs="仿宋"/>
          <w:spacing w:val="-20"/>
          <w:szCs w:val="21"/>
        </w:rPr>
      </w:pPr>
      <w:r>
        <w:rPr>
          <w:rFonts w:hint="eastAsia" w:ascii="仿宋" w:hAnsi="仿宋" w:eastAsia="仿宋" w:cs="仿宋"/>
          <w:spacing w:val="-20"/>
          <w:szCs w:val="21"/>
        </w:rPr>
        <w:t>说      明：</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 合同总价包含到达交货地点的运杂费、技术服务（相关技术指导）、运输费、保险费、培训及其他各项费用。</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（二）合同总价包括乙方销售本合同产品，国家根据现行税法向乙方征收的与履行合同有关的一切税费。</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 合同总价一次包死，不受市场价格变化的影响，并作为结算的唯一依据。</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二、产品质量要求</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（一） 国家标准：</w:t>
      </w:r>
      <w:r>
        <w:rPr>
          <w:rFonts w:hint="eastAsia" w:ascii="仿宋" w:hAnsi="仿宋" w:eastAsia="仿宋" w:cs="仿宋"/>
          <w:szCs w:val="21"/>
          <w:u w:val="single"/>
        </w:rPr>
        <w:t xml:space="preserve">  符合国家标准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（二）行业标准：</w:t>
      </w:r>
      <w:r>
        <w:rPr>
          <w:rFonts w:hint="eastAsia" w:ascii="仿宋" w:hAnsi="仿宋" w:eastAsia="仿宋" w:cs="仿宋"/>
          <w:szCs w:val="21"/>
          <w:u w:val="single"/>
        </w:rPr>
        <w:t xml:space="preserve">    符合行业标准         </w:t>
      </w:r>
      <w:r>
        <w:rPr>
          <w:rFonts w:hint="eastAsia" w:ascii="仿宋" w:hAnsi="仿宋" w:eastAsia="仿宋" w:cs="仿宋"/>
          <w:szCs w:val="21"/>
        </w:rPr>
        <w:t xml:space="preserve">                             </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（三） 样品标准：</w:t>
      </w:r>
      <w:r>
        <w:rPr>
          <w:rFonts w:hint="eastAsia" w:ascii="仿宋" w:hAnsi="仿宋" w:eastAsia="仿宋" w:cs="仿宋"/>
          <w:szCs w:val="21"/>
          <w:u w:val="single"/>
        </w:rPr>
        <w:t xml:space="preserve"> (有/无) 乙方按甲方要求制作样品，该样品由甲乙双方封样，由甲方保存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w:t>
      </w:r>
      <w:r>
        <w:rPr>
          <w:rFonts w:hint="eastAsia" w:ascii="仿宋" w:hAnsi="仿宋" w:eastAsia="仿宋" w:cs="仿宋"/>
          <w:szCs w:val="21"/>
          <w:u w:val="single"/>
        </w:rPr>
        <w:t>7</w:t>
      </w:r>
      <w:r>
        <w:rPr>
          <w:rFonts w:hint="eastAsia" w:ascii="仿宋" w:hAnsi="仿宋" w:eastAsia="仿宋" w:cs="仿宋"/>
          <w:szCs w:val="21"/>
        </w:rPr>
        <w:t>天内，免费负责更换新的产品。对造成的损失甲方保留索赔的权利。</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（五）因乙方产品发生知识产权纠纷、质量问题导致的产品被监管部门没收、罚款或召回及因第三方主张民事权利等造成的甲方经济损失和相关费用均由乙方承担。</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三、包装方式及包装品处理</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（一）包装方式：</w:t>
      </w:r>
      <w:r>
        <w:rPr>
          <w:rFonts w:hint="eastAsia" w:ascii="仿宋" w:hAnsi="仿宋" w:eastAsia="仿宋" w:cs="仿宋"/>
          <w:szCs w:val="21"/>
          <w:u w:val="single"/>
        </w:rPr>
        <w:t xml:space="preserve">     纸箱/木箱/泡沫                      </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（二）包装品处理：</w:t>
      </w:r>
      <w:r>
        <w:rPr>
          <w:rFonts w:hint="eastAsia" w:ascii="仿宋" w:hAnsi="仿宋" w:eastAsia="仿宋" w:cs="仿宋"/>
          <w:szCs w:val="21"/>
          <w:u w:val="single"/>
        </w:rPr>
        <w:t xml:space="preserve">   由甲方指定处理                      </w:t>
      </w:r>
    </w:p>
    <w:p>
      <w:pPr>
        <w:numPr>
          <w:ilvl w:val="0"/>
          <w:numId w:val="13"/>
        </w:num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交货方式</w:t>
      </w:r>
    </w:p>
    <w:p>
      <w:pPr>
        <w:numPr>
          <w:ilvl w:val="0"/>
          <w:numId w:val="14"/>
        </w:num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交货期限：</w:t>
      </w:r>
      <w:r>
        <w:rPr>
          <w:rFonts w:hint="eastAsia" w:ascii="仿宋" w:hAnsi="仿宋" w:eastAsia="仿宋" w:cs="仿宋"/>
          <w:szCs w:val="21"/>
          <w:u w:val="single"/>
        </w:rPr>
        <w:t xml:space="preserve">    国产物资自合同签订之日起   日完成交货，进口物资自合同签订之日起   日交货。  </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 xml:space="preserve">（二）交货地点： </w:t>
      </w:r>
      <w:r>
        <w:rPr>
          <w:rFonts w:hint="eastAsia" w:ascii="仿宋" w:hAnsi="仿宋" w:eastAsia="仿宋" w:cs="仿宋"/>
          <w:szCs w:val="21"/>
          <w:u w:val="single"/>
        </w:rPr>
        <w:t xml:space="preserve">  甲方指定地点。 </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（三）运输方式：</w:t>
      </w:r>
      <w:r>
        <w:rPr>
          <w:rFonts w:hint="eastAsia" w:ascii="仿宋" w:hAnsi="仿宋" w:eastAsia="仿宋" w:cs="仿宋"/>
          <w:szCs w:val="21"/>
          <w:u w:val="single"/>
        </w:rPr>
        <w:t xml:space="preserve">  乙方负责运输到甲方指定地点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w:t>
      </w:r>
    </w:p>
    <w:p>
      <w:pPr>
        <w:pStyle w:val="8"/>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pPr>
        <w:numPr>
          <w:ilvl w:val="0"/>
          <w:numId w:val="13"/>
        </w:num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验收</w:t>
      </w:r>
    </w:p>
    <w:p>
      <w:pPr>
        <w:adjustRightInd w:val="0"/>
        <w:snapToGrid w:val="0"/>
        <w:spacing w:line="360" w:lineRule="auto"/>
        <w:ind w:left="420" w:leftChars="200"/>
        <w:rPr>
          <w:rFonts w:ascii="仿宋" w:hAnsi="仿宋" w:eastAsia="仿宋" w:cs="仿宋"/>
          <w:szCs w:val="21"/>
          <w:u w:val="single"/>
        </w:rPr>
      </w:pPr>
      <w:r>
        <w:rPr>
          <w:rFonts w:hint="eastAsia" w:ascii="仿宋" w:hAnsi="仿宋" w:eastAsia="仿宋" w:cs="仿宋"/>
          <w:szCs w:val="21"/>
        </w:rPr>
        <w:t>（一）验收时间：</w:t>
      </w:r>
      <w:r>
        <w:rPr>
          <w:rFonts w:hint="eastAsia" w:ascii="仿宋" w:hAnsi="仿宋" w:eastAsia="仿宋" w:cs="仿宋"/>
          <w:szCs w:val="21"/>
          <w:u w:val="single"/>
        </w:rPr>
        <w:t xml:space="preserve"> 货到现场验收 。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（二）验收方式：</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验收按照下列要求验收，如一项不合格，视同产品不合格：</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 1 \* GB2 </w:instrText>
      </w:r>
      <w:r>
        <w:rPr>
          <w:rFonts w:hint="eastAsia" w:ascii="仿宋" w:hAnsi="仿宋" w:eastAsia="仿宋" w:cs="仿宋"/>
          <w:szCs w:val="21"/>
        </w:rPr>
        <w:fldChar w:fldCharType="separate"/>
      </w:r>
      <w:r>
        <w:rPr>
          <w:rFonts w:hint="eastAsia" w:ascii="仿宋" w:hAnsi="仿宋" w:eastAsia="仿宋" w:cs="仿宋"/>
          <w:szCs w:val="21"/>
        </w:rPr>
        <w:t>⑴</w:t>
      </w:r>
      <w:r>
        <w:rPr>
          <w:rFonts w:hint="eastAsia" w:ascii="仿宋" w:hAnsi="仿宋" w:eastAsia="仿宋" w:cs="仿宋"/>
          <w:szCs w:val="21"/>
        </w:rPr>
        <w:fldChar w:fldCharType="end"/>
      </w:r>
      <w:r>
        <w:rPr>
          <w:rFonts w:hint="eastAsia" w:ascii="仿宋" w:hAnsi="仿宋" w:eastAsia="仿宋" w:cs="仿宋"/>
          <w:szCs w:val="21"/>
        </w:rPr>
        <w:t>资料验收：供方交货时应按合同规定的要求，提供相关的技术资料。</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 2 \* GB2 </w:instrText>
      </w:r>
      <w:r>
        <w:rPr>
          <w:rFonts w:hint="eastAsia" w:ascii="仿宋" w:hAnsi="仿宋" w:eastAsia="仿宋" w:cs="仿宋"/>
          <w:szCs w:val="21"/>
        </w:rPr>
        <w:fldChar w:fldCharType="separate"/>
      </w:r>
      <w:r>
        <w:rPr>
          <w:rFonts w:hint="eastAsia" w:ascii="仿宋" w:hAnsi="仿宋" w:eastAsia="仿宋" w:cs="仿宋"/>
          <w:szCs w:val="21"/>
        </w:rPr>
        <w:t>⑵</w:t>
      </w:r>
      <w:r>
        <w:rPr>
          <w:rFonts w:hint="eastAsia" w:ascii="仿宋" w:hAnsi="仿宋" w:eastAsia="仿宋" w:cs="仿宋"/>
          <w:szCs w:val="21"/>
        </w:rPr>
        <w:fldChar w:fldCharType="end"/>
      </w:r>
      <w:r>
        <w:rPr>
          <w:rFonts w:hint="eastAsia" w:ascii="仿宋" w:hAnsi="仿宋" w:eastAsia="仿宋" w:cs="仿宋"/>
          <w:szCs w:val="21"/>
        </w:rPr>
        <w:t xml:space="preserve">实物验收：包括产品名称、数量、规格和包装等外观形态。质保期剩余期限不得低于该产品限定质保期的 </w:t>
      </w:r>
      <w:r>
        <w:rPr>
          <w:rFonts w:hint="eastAsia" w:ascii="仿宋" w:hAnsi="仿宋" w:eastAsia="仿宋" w:cs="仿宋"/>
          <w:szCs w:val="21"/>
          <w:u w:val="single"/>
        </w:rPr>
        <w:t xml:space="preserve">（按招标文件及中标文件约定执行） </w:t>
      </w:r>
      <w:r>
        <w:rPr>
          <w:rFonts w:hint="eastAsia" w:ascii="仿宋" w:hAnsi="仿宋" w:eastAsia="仿宋" w:cs="仿宋"/>
          <w:szCs w:val="21"/>
        </w:rPr>
        <w:t>。</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 3 \* GB2 </w:instrText>
      </w:r>
      <w:r>
        <w:rPr>
          <w:rFonts w:hint="eastAsia" w:ascii="仿宋" w:hAnsi="仿宋" w:eastAsia="仿宋" w:cs="仿宋"/>
          <w:szCs w:val="21"/>
        </w:rPr>
        <w:fldChar w:fldCharType="separate"/>
      </w:r>
      <w:r>
        <w:rPr>
          <w:rFonts w:hint="eastAsia" w:ascii="仿宋" w:hAnsi="仿宋" w:eastAsia="仿宋" w:cs="仿宋"/>
          <w:szCs w:val="21"/>
        </w:rPr>
        <w:t>⑶</w:t>
      </w:r>
      <w:r>
        <w:rPr>
          <w:rFonts w:hint="eastAsia" w:ascii="仿宋" w:hAnsi="仿宋" w:eastAsia="仿宋" w:cs="仿宋"/>
          <w:szCs w:val="21"/>
        </w:rPr>
        <w:fldChar w:fldCharType="end"/>
      </w:r>
      <w:r>
        <w:rPr>
          <w:rFonts w:hint="eastAsia" w:ascii="仿宋" w:hAnsi="仿宋" w:eastAsia="仿宋" w:cs="仿宋"/>
          <w:szCs w:val="21"/>
        </w:rPr>
        <w:t>产品质量抽检复核。</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(4)验收人员可以包括使用部门人员、财务部门人员、乙方人员、代理机构。</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（三）安装验收：</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产品如需安装验收，自设备正常运转</w:t>
      </w:r>
      <w:r>
        <w:rPr>
          <w:rFonts w:hint="eastAsia" w:ascii="仿宋" w:hAnsi="仿宋" w:eastAsia="仿宋" w:cs="仿宋"/>
          <w:szCs w:val="21"/>
          <w:u w:val="single"/>
        </w:rPr>
        <w:t xml:space="preserve"> 7 </w:t>
      </w:r>
      <w:r>
        <w:rPr>
          <w:rFonts w:hint="eastAsia" w:ascii="仿宋" w:hAnsi="仿宋" w:eastAsia="仿宋" w:cs="仿宋"/>
          <w:szCs w:val="21"/>
        </w:rPr>
        <w:t>天后，视为验收合格。</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四）特殊产品（指疫苗等生物产品）乙方交货时，同时应当提供该批产品由药品检验机构依法签发的生物制品每批检验合格或者审核批准证明复印件，并加盖企业印章。销售进口产品的，还应当提供进口药品通关单复印件，并加盖企业印章。甲方在产品质量保证期内有权进行抽检复核，如发现产品质量问题，乙方应按照甲方要求及时予以退换。</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（五）质量争议：对产品质量发生争议由</w:t>
      </w:r>
      <w:r>
        <w:rPr>
          <w:rFonts w:hint="eastAsia" w:ascii="仿宋" w:hAnsi="仿宋" w:eastAsia="仿宋" w:cs="仿宋"/>
          <w:szCs w:val="21"/>
          <w:u w:val="single"/>
        </w:rPr>
        <w:t xml:space="preserve"> 具有检验资质的第三方 </w:t>
      </w:r>
      <w:r>
        <w:rPr>
          <w:rFonts w:hint="eastAsia" w:ascii="仿宋" w:hAnsi="仿宋" w:eastAsia="仿宋" w:cs="仿宋"/>
          <w:szCs w:val="21"/>
        </w:rPr>
        <w:t>检验机构进行检验，检验费由</w:t>
      </w:r>
      <w:r>
        <w:rPr>
          <w:rFonts w:hint="eastAsia" w:ascii="仿宋" w:hAnsi="仿宋" w:eastAsia="仿宋" w:cs="仿宋"/>
          <w:szCs w:val="21"/>
          <w:u w:val="single"/>
        </w:rPr>
        <w:t>乙方</w:t>
      </w:r>
      <w:r>
        <w:rPr>
          <w:rFonts w:hint="eastAsia" w:ascii="仿宋" w:hAnsi="仿宋" w:eastAsia="仿宋" w:cs="仿宋"/>
          <w:szCs w:val="21"/>
        </w:rPr>
        <w:t xml:space="preserve">承担。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（六）  乙方接到甲方对产品质量提出异议的通知后，3天内负责处理并通知甲方处理情况，否则即视为默认甲方提出的异议和处理意见。</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（七）甲方因使用、保管、保养不善等造成产品质量下降的，不得提出异议。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（八）货物符合合同约定的技术规范要求和验收标准的，甲方签署验收合格证明 。                    </w:t>
      </w:r>
    </w:p>
    <w:p>
      <w:pPr>
        <w:adjustRightInd w:val="0"/>
        <w:snapToGrid w:val="0"/>
        <w:spacing w:line="360" w:lineRule="auto"/>
        <w:ind w:firstLine="420" w:firstLineChars="200"/>
        <w:outlineLvl w:val="0"/>
        <w:rPr>
          <w:rFonts w:ascii="仿宋" w:hAnsi="仿宋" w:eastAsia="仿宋" w:cs="仿宋"/>
          <w:kern w:val="0"/>
          <w:szCs w:val="21"/>
        </w:rPr>
      </w:pPr>
      <w:r>
        <w:rPr>
          <w:rFonts w:hint="eastAsia" w:ascii="仿宋" w:hAnsi="仿宋" w:eastAsia="仿宋" w:cs="仿宋"/>
          <w:kern w:val="0"/>
          <w:szCs w:val="21"/>
        </w:rPr>
        <w:t>六、款项支付</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（一）履约保证金</w:t>
      </w:r>
    </w:p>
    <w:p>
      <w:pPr>
        <w:adjustRightInd w:val="0"/>
        <w:snapToGrid w:val="0"/>
        <w:spacing w:line="360" w:lineRule="auto"/>
        <w:ind w:firstLine="315" w:firstLineChars="150"/>
        <w:rPr>
          <w:rFonts w:ascii="仿宋" w:hAnsi="仿宋" w:eastAsia="仿宋" w:cs="仿宋"/>
          <w:szCs w:val="21"/>
        </w:rPr>
      </w:pPr>
      <w:r>
        <w:rPr>
          <w:rFonts w:hint="eastAsia" w:ascii="仿宋" w:hAnsi="仿宋" w:eastAsia="仿宋" w:cs="仿宋"/>
          <w:szCs w:val="21"/>
        </w:rPr>
        <w:t>为保证乙方能够按合同履约，乙方应交付10%履约保证金</w:t>
      </w:r>
      <w:r>
        <w:rPr>
          <w:rFonts w:hint="eastAsia" w:ascii="仿宋" w:hAnsi="仿宋" w:eastAsia="仿宋" w:cs="仿宋"/>
          <w:szCs w:val="21"/>
          <w:u w:val="single"/>
        </w:rPr>
        <w:t xml:space="preserve">           元。</w:t>
      </w:r>
      <w:r>
        <w:rPr>
          <w:rFonts w:hint="eastAsia" w:ascii="仿宋" w:hAnsi="仿宋" w:eastAsia="仿宋" w:cs="仿宋"/>
          <w:szCs w:val="21"/>
        </w:rPr>
        <w:t>如物资为设备类，则该履约金自动转为质保金，保证金在质保期开始计算时，转为质保金，待质保期届满（无违约责任）后返还（无息）。如乙方有违约行为，甲方可用该保证金冲抵甲方的损失及乙方的违约金。</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（二）货款支付：</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合同总价包含到达交货地点的运杂费、技术服务（相关技术指导）、运输费、保险费、培训、税费及其他各项费用(本合同按</w:t>
      </w:r>
      <w:r>
        <w:rPr>
          <w:rFonts w:hint="eastAsia" w:ascii="仿宋" w:hAnsi="仿宋" w:eastAsia="仿宋" w:cs="仿宋"/>
          <w:szCs w:val="21"/>
          <w:u w:val="single"/>
        </w:rPr>
        <w:t xml:space="preserve">                执行</w:t>
      </w:r>
      <w:r>
        <w:rPr>
          <w:rFonts w:hint="eastAsia" w:ascii="仿宋" w:hAnsi="仿宋" w:eastAsia="仿宋" w:cs="仿宋"/>
          <w:szCs w:val="21"/>
        </w:rPr>
        <w:t>)。</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（1）双方约定，合同签订后，乙方向甲方交纳10%履约金</w:t>
      </w:r>
      <w:r>
        <w:rPr>
          <w:rFonts w:hint="eastAsia" w:ascii="仿宋" w:hAnsi="仿宋" w:eastAsia="仿宋" w:cs="仿宋"/>
          <w:szCs w:val="21"/>
          <w:u w:val="single"/>
        </w:rPr>
        <w:t xml:space="preserve">           元</w:t>
      </w:r>
      <w:r>
        <w:rPr>
          <w:rFonts w:hint="eastAsia" w:ascii="仿宋" w:hAnsi="仿宋" w:eastAsia="仿宋" w:cs="仿宋"/>
          <w:szCs w:val="21"/>
        </w:rPr>
        <w:t>，并向甲方开具合同全额发票，甲方收到履约金和全额发票后向乙方支付全额货款。</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（2）乙方按照甲方需求分批次供货，待所有货物验收合格后，甲方向乙方无息退款</w:t>
      </w:r>
      <w:r>
        <w:rPr>
          <w:rFonts w:ascii="仿宋" w:hAnsi="仿宋" w:eastAsia="仿宋" w:cs="仿宋"/>
          <w:szCs w:val="21"/>
        </w:rPr>
        <w:t>5</w:t>
      </w:r>
      <w:r>
        <w:rPr>
          <w:rFonts w:hint="eastAsia" w:ascii="仿宋" w:hAnsi="仿宋" w:eastAsia="仿宋" w:cs="仿宋"/>
          <w:szCs w:val="21"/>
        </w:rPr>
        <w:t>%履约保证金</w:t>
      </w:r>
      <w:r>
        <w:rPr>
          <w:rFonts w:hint="eastAsia" w:ascii="仿宋" w:hAnsi="仿宋" w:eastAsia="仿宋" w:cs="仿宋"/>
          <w:szCs w:val="21"/>
          <w:u w:val="single"/>
        </w:rPr>
        <w:t xml:space="preserve">       元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（3）双方约定，合同签订后，乙方按照甲方需求一次性供货，所有货物验收合格后，乙方向甲方开具合同全额发票，甲方收到发票后向乙方支付货款</w:t>
      </w:r>
      <w:r>
        <w:rPr>
          <w:rFonts w:hint="eastAsia" w:ascii="仿宋" w:hAnsi="仿宋" w:eastAsia="仿宋" w:cs="仿宋"/>
          <w:szCs w:val="21"/>
          <w:u w:val="single"/>
        </w:rPr>
        <w:t xml:space="preserve">               </w:t>
      </w:r>
      <w:r>
        <w:rPr>
          <w:rFonts w:hint="eastAsia" w:ascii="仿宋" w:hAnsi="仿宋" w:eastAsia="仿宋" w:cs="仿宋"/>
          <w:szCs w:val="21"/>
        </w:rPr>
        <w:t>。</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（4）乙方按照甲方需求完成设备类供货，所有设备经甲方验收合格后，退还5%履约保证金</w:t>
      </w:r>
      <w:r>
        <w:rPr>
          <w:rFonts w:hint="eastAsia" w:ascii="仿宋" w:hAnsi="仿宋" w:eastAsia="仿宋" w:cs="仿宋"/>
          <w:szCs w:val="21"/>
          <w:u w:val="single"/>
        </w:rPr>
        <w:t xml:space="preserve">              元   ，</w:t>
      </w:r>
      <w:r>
        <w:rPr>
          <w:rFonts w:hint="eastAsia" w:ascii="仿宋" w:hAnsi="仿宋" w:eastAsia="仿宋" w:cs="仿宋"/>
          <w:szCs w:val="21"/>
        </w:rPr>
        <w:t xml:space="preserve">剩余5%履约保证金 </w:t>
      </w:r>
      <w:r>
        <w:rPr>
          <w:rFonts w:hint="eastAsia" w:ascii="仿宋" w:hAnsi="仿宋" w:eastAsia="仿宋" w:cs="仿宋"/>
          <w:szCs w:val="21"/>
          <w:u w:val="single"/>
        </w:rPr>
        <w:t xml:space="preserve">          </w:t>
      </w:r>
      <w:r>
        <w:rPr>
          <w:rFonts w:hint="eastAsia" w:ascii="仿宋" w:hAnsi="仿宋" w:eastAsia="仿宋" w:cs="仿宋"/>
          <w:szCs w:val="21"/>
        </w:rPr>
        <w:t xml:space="preserve"> 元，到质保期届满甲方无异议于</w:t>
      </w:r>
      <w:r>
        <w:rPr>
          <w:rFonts w:hint="eastAsia" w:ascii="仿宋" w:hAnsi="仿宋" w:eastAsia="仿宋" w:cs="仿宋"/>
          <w:szCs w:val="21"/>
          <w:u w:val="single"/>
        </w:rPr>
        <w:t xml:space="preserve">     </w:t>
      </w:r>
      <w:r>
        <w:rPr>
          <w:rFonts w:hint="eastAsia" w:ascii="仿宋" w:hAnsi="仿宋" w:eastAsia="仿宋" w:cs="仿宋"/>
          <w:szCs w:val="21"/>
        </w:rPr>
        <w:t>工作日返回。</w:t>
      </w:r>
    </w:p>
    <w:p>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szCs w:val="21"/>
        </w:rPr>
        <w:t>（5）</w:t>
      </w:r>
      <w:r>
        <w:rPr>
          <w:rFonts w:hint="eastAsia" w:ascii="仿宋" w:hAnsi="仿宋" w:eastAsia="仿宋" w:cs="仿宋"/>
          <w:kern w:val="0"/>
          <w:szCs w:val="21"/>
        </w:rPr>
        <w:t>付款要求：甲方财务凭下列单据支付货款（按甲乙各方的义务提交）：</w:t>
      </w:r>
    </w:p>
    <w:p>
      <w:pPr>
        <w:widowControl/>
        <w:shd w:val="clear" w:color="auto" w:fill="FFFFFF"/>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（a）全额发票（原件及复印件各1份）；（b）中标通知书复印件（1份）（c）自治区疾控中心采购验收单；（d）乙方供货清单（盖章） ； （e）自治区疾控中心物资采购廉洁合同（见附件1）；（f）自治区疾控中心使用科室付款说明  ；（g）供应商评价表（见附件2需由使用科室签字确认）；因乙方提交单据不全导致甲方财务未能付款的，甲方不承担逾期付款责任。</w:t>
      </w:r>
    </w:p>
    <w:p>
      <w:pPr>
        <w:widowControl/>
        <w:shd w:val="clear" w:color="auto" w:fill="FFFFFF"/>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（三）付款信息:</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kern w:val="0"/>
          <w:szCs w:val="21"/>
        </w:rPr>
        <w:t>甲方：</w:t>
      </w:r>
      <w:r>
        <w:rPr>
          <w:rFonts w:hint="eastAsia" w:ascii="仿宋" w:hAnsi="仿宋" w:eastAsia="仿宋" w:cs="仿宋"/>
          <w:szCs w:val="21"/>
        </w:rPr>
        <w:t xml:space="preserve">税号：1265000074224934XX                   乙方：税号：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开 户 行：招商银行乌鲁木齐新华北路支行      开 户 行：</w:t>
      </w:r>
    </w:p>
    <w:p>
      <w:pPr>
        <w:tabs>
          <w:tab w:val="center" w:pos="5070"/>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开户行号：308881029026                      开户行号：</w:t>
      </w:r>
    </w:p>
    <w:p>
      <w:pPr>
        <w:widowControl/>
        <w:shd w:val="clear" w:color="auto" w:fill="FFFFFF"/>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szCs w:val="21"/>
        </w:rPr>
        <w:t xml:space="preserve"> 帐   号: 991902334910906                   帐   号：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七、延期交货与核定损失额</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如果乙方未能按合同规定的时间按期交货(不可抗力除外)，在乙方同意支付核定损失额的条件下，甲方可适当延长交货期。核定损失额的支付将从未付款或从履约保证金中扣除。核定损失额计付比率为每迟交1天，按货物全额的</w:t>
      </w:r>
      <w:r>
        <w:rPr>
          <w:rFonts w:hint="eastAsia" w:ascii="仿宋" w:hAnsi="仿宋" w:eastAsia="仿宋" w:cs="仿宋"/>
          <w:szCs w:val="21"/>
          <w:u w:val="single"/>
        </w:rPr>
        <w:t xml:space="preserve">    %</w:t>
      </w:r>
      <w:r>
        <w:rPr>
          <w:rFonts w:hint="eastAsia" w:ascii="仿宋" w:hAnsi="仿宋" w:eastAsia="仿宋" w:cs="仿宋"/>
          <w:szCs w:val="21"/>
        </w:rPr>
        <w:t xml:space="preserve">。如果乙方 </w:t>
      </w:r>
      <w:r>
        <w:rPr>
          <w:rFonts w:hint="eastAsia" w:ascii="仿宋" w:hAnsi="仿宋" w:eastAsia="仿宋" w:cs="仿宋"/>
          <w:szCs w:val="21"/>
          <w:u w:val="single"/>
        </w:rPr>
        <w:t>7</w:t>
      </w:r>
      <w:r>
        <w:rPr>
          <w:rFonts w:hint="eastAsia" w:ascii="仿宋" w:hAnsi="仿宋" w:eastAsia="仿宋" w:cs="仿宋"/>
          <w:szCs w:val="21"/>
        </w:rPr>
        <w:t>天后仍不能交货，甲方有权因乙方违约终止合同，而乙方仍有义务支付上述迟交核定损失金额。</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八、保密</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双方保证对从另一方取得且无法自公开渠道获得的商业秘密（技术信息、经济信息及其他商业秘密）予以保密。未经对方同意不得向任何第三方泄露该商业秘密。</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九、保修与售后服务</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（一）、质保期为</w:t>
      </w:r>
      <w:r>
        <w:rPr>
          <w:rFonts w:hint="eastAsia" w:ascii="仿宋" w:hAnsi="仿宋" w:eastAsia="仿宋" w:cs="仿宋"/>
          <w:szCs w:val="21"/>
          <w:u w:val="single"/>
        </w:rPr>
        <w:t xml:space="preserve">       </w:t>
      </w:r>
      <w:r>
        <w:rPr>
          <w:rFonts w:hint="eastAsia" w:ascii="仿宋" w:hAnsi="仿宋" w:eastAsia="仿宋" w:cs="仿宋"/>
          <w:szCs w:val="21"/>
        </w:rPr>
        <w:t>年， 自产品最终验收合格之日起至质保期届满且经甲方确认无任何质量问题时止。在质保期内因产品质量造成产品不能正常使用，影响不能正常工作时间从质保期扣除。</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（二）、接到甲方通知，乙方应在</w:t>
      </w:r>
      <w:r>
        <w:rPr>
          <w:rFonts w:hint="eastAsia" w:ascii="仿宋" w:hAnsi="仿宋" w:eastAsia="仿宋" w:cs="仿宋"/>
          <w:szCs w:val="21"/>
          <w:u w:val="single"/>
        </w:rPr>
        <w:t xml:space="preserve"> 24</w:t>
      </w:r>
      <w:r>
        <w:rPr>
          <w:rFonts w:hint="eastAsia" w:ascii="仿宋" w:hAnsi="仿宋" w:eastAsia="仿宋" w:cs="仿宋"/>
          <w:szCs w:val="21"/>
        </w:rPr>
        <w:t>小时内派遣相关人员到达现场</w:t>
      </w:r>
      <w:r>
        <w:rPr>
          <w:rFonts w:hint="eastAsia" w:ascii="仿宋" w:hAnsi="仿宋" w:eastAsia="仿宋" w:cs="仿宋"/>
          <w:szCs w:val="21"/>
          <w:u w:val="single"/>
        </w:rPr>
        <w:t xml:space="preserve">，12 </w:t>
      </w:r>
      <w:r>
        <w:rPr>
          <w:rFonts w:hint="eastAsia" w:ascii="仿宋" w:hAnsi="仿宋" w:eastAsia="仿宋" w:cs="仿宋"/>
          <w:szCs w:val="21"/>
        </w:rPr>
        <w:t>小时内维修完毕；发生紧急抢修事故的，乙方应在接到甲方通知后立即赶往现场排除故障。乙方未在约定时间到达现场，甲方可另选第三方修复，相关费用由乙方承担。乙方未在约定时间内修复的或同一产品经</w:t>
      </w:r>
      <w:r>
        <w:rPr>
          <w:rFonts w:hint="eastAsia" w:ascii="仿宋" w:hAnsi="仿宋" w:eastAsia="仿宋" w:cs="仿宋"/>
          <w:szCs w:val="21"/>
          <w:u w:val="single"/>
        </w:rPr>
        <w:t xml:space="preserve"> 3</w:t>
      </w:r>
      <w:r>
        <w:rPr>
          <w:rFonts w:hint="eastAsia" w:ascii="仿宋" w:hAnsi="仿宋" w:eastAsia="仿宋" w:cs="仿宋"/>
          <w:szCs w:val="21"/>
        </w:rPr>
        <w:t xml:space="preserve"> 次维修后仍不能稳定、可靠运行的，甲方有权要求乙方免费更换。</w:t>
      </w:r>
      <w:r>
        <w:rPr>
          <w:rStyle w:val="52"/>
          <w:rFonts w:hint="eastAsia" w:ascii="仿宋" w:hAnsi="仿宋" w:eastAsia="仿宋" w:cs="仿宋"/>
          <w:szCs w:val="21"/>
        </w:rPr>
        <w:t>返修或更换部件后的产品保修期应重新计算。</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（三）、在质保期内，乙方应对产品出现的质量及安全问题负责处理解决并承担一切费用。</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（四）、质保期届满后，乙方对本合同项下产品提供终身维修服务，且维修时只收取所需维修部件的成本费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十、不可抗力</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本合同所称不可抗力是指不能预见、不能克服、不能避免并对另一方造成重大影响的客观事件。包括但不限于自然灾害如洪水、地震、火灾和风暴等以及社会事件如战争、动乱、政府行为等。</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如遇不可抗力事件的一方导致合同无法履行时，应立即将事故情况书面告知另一方，并在</w:t>
      </w:r>
      <w:r>
        <w:rPr>
          <w:rFonts w:hint="eastAsia" w:ascii="仿宋" w:hAnsi="仿宋" w:eastAsia="仿宋" w:cs="仿宋"/>
          <w:szCs w:val="21"/>
          <w:u w:val="single"/>
        </w:rPr>
        <w:t>3</w:t>
      </w:r>
      <w:r>
        <w:rPr>
          <w:rFonts w:hint="eastAsia" w:ascii="仿宋" w:hAnsi="仿宋" w:eastAsia="仿宋" w:cs="仿宋"/>
          <w:szCs w:val="21"/>
        </w:rPr>
        <w:t>天内，提供事故详情。</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十一、违约责任</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（一）、在补救违约而采取的任何其他措施未能实现的情况下，即在乙方收到甲方发出的违约整改通知后</w:t>
      </w:r>
      <w:r>
        <w:rPr>
          <w:rFonts w:hint="eastAsia" w:ascii="仿宋" w:hAnsi="仿宋" w:eastAsia="仿宋" w:cs="仿宋"/>
          <w:szCs w:val="21"/>
          <w:u w:val="single"/>
        </w:rPr>
        <w:t xml:space="preserve"> 3</w:t>
      </w:r>
      <w:r>
        <w:rPr>
          <w:rFonts w:hint="eastAsia" w:ascii="仿宋" w:hAnsi="仿宋" w:eastAsia="仿宋" w:cs="仿宋"/>
          <w:szCs w:val="21"/>
        </w:rPr>
        <w:t>天内(或经甲方书面确认的更长时间内)仍未纠正其下述任何一种违约行为，甲方可向乙方发出书面解除通知，终止全部或部分合同条款：</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(1)如果乙方未能在合同规定的期限内或甲方准许的任何延期内交付部分或全部产品。</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(2)乙方未能履行合同项下的其它义务。</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（二）、因乙方违约致使甲方终止合同时，乙方除退还甲方已付全部货款及资金占用费外，应无条件承担合同总价30%的违约金。</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（三）、严禁乙方转让合同，若乙方违约，则甲方有权终止合同，乙方承担合同总价30%的违约金。</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（四）：任何一方违约应承担守约方因主张权利而支付的所有费用，包含且不限于误工费、差旅费、住宿费、交通费、律师费等。</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十二、其它事项</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（一）、招投标文件均作为合同不可分割的部分。解释顺序为招标文件、投标文件、合同、合同附件。</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（二）、合同未尽事宜，由甲、乙双方协商，作为合同的补充与原合同具有同等法律效力。</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（三）、双方如对履行合同发生争执，应友好协商解决，如协商不成，任何一方均可向甲方所在地法院提起诉讼。</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十三、 通知和送达</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甲、乙双方因履行本合同而相互发出或者提供的所有通知、文件、材料等均以本合同所列明的地址、电子邮箱、传真送达。一方迁址或者变更邮箱、传真电话的，应当五日内书面通知对方。</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以当面交付文件方式送达的，交付之时视为送达；以电子邮件方式送达的，发出电子邮件时视为送达；以传真方式送达的，发出传真时视为送达；以邮寄方式送达的，邮件交邮当日视为送达。</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十四、本合同签订时间、地点、履行期限</w:t>
      </w:r>
    </w:p>
    <w:p>
      <w:pPr>
        <w:adjustRightInd w:val="0"/>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 xml:space="preserve">      （一）签订时间：</w:t>
      </w:r>
      <w:r>
        <w:rPr>
          <w:rFonts w:hint="eastAsia" w:ascii="仿宋" w:hAnsi="仿宋" w:eastAsia="仿宋" w:cs="仿宋"/>
          <w:szCs w:val="21"/>
          <w:u w:val="single"/>
        </w:rPr>
        <w:t xml:space="preserve">   2022年    月    日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      （二）签订地点：甲方所在地。</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十四、合同签订及生效：本合同一式四份，甲方执叁份、乙方执壹份，双方签字并盖章后生效。</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甲    方                                      乙    方</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单位名称：                                  单位名称： </w:t>
      </w:r>
    </w:p>
    <w:p>
      <w:pPr>
        <w:adjustRightInd w:val="0"/>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（盖章）                                （盖章）</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地    址：                                   地  址： </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法定代表人：                                  法定代表人（签字）： </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代 理 人：                                    代 理 人（签字）：</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联系电话：                                   联系电话：            </w:t>
      </w:r>
    </w:p>
    <w:p>
      <w:pPr>
        <w:adjustRightInd w:val="0"/>
        <w:snapToGrid w:val="0"/>
        <w:spacing w:line="360" w:lineRule="auto"/>
        <w:ind w:left="-359" w:leftChars="-171" w:right="-506" w:rightChars="-241" w:firstLine="6090" w:firstLineChars="2900"/>
        <w:rPr>
          <w:rFonts w:ascii="仿宋" w:hAnsi="仿宋" w:eastAsia="仿宋" w:cs="仿宋"/>
          <w:szCs w:val="21"/>
        </w:rPr>
      </w:pPr>
      <w:r>
        <w:rPr>
          <w:rFonts w:hint="eastAsia" w:ascii="仿宋" w:hAnsi="仿宋" w:eastAsia="仿宋" w:cs="仿宋"/>
          <w:szCs w:val="21"/>
        </w:rPr>
        <w:t xml:space="preserve">                                                                        </w:t>
      </w:r>
    </w:p>
    <w:p>
      <w:pPr>
        <w:tabs>
          <w:tab w:val="left" w:pos="6720"/>
        </w:tabs>
        <w:adjustRightInd w:val="0"/>
        <w:snapToGrid w:val="0"/>
        <w:spacing w:line="360" w:lineRule="auto"/>
        <w:ind w:left="-359" w:leftChars="-171" w:right="-506" w:rightChars="-241" w:firstLine="2520" w:firstLineChars="1200"/>
        <w:rPr>
          <w:rFonts w:ascii="仿宋" w:hAnsi="仿宋" w:eastAsia="仿宋" w:cs="仿宋"/>
          <w:szCs w:val="21"/>
        </w:rPr>
      </w:pPr>
      <w:r>
        <w:rPr>
          <w:rFonts w:hint="eastAsia" w:ascii="仿宋" w:hAnsi="仿宋" w:eastAsia="仿宋" w:cs="仿宋"/>
          <w:szCs w:val="21"/>
        </w:rPr>
        <w:t xml:space="preserve">                                            </w:t>
      </w:r>
    </w:p>
    <w:p>
      <w:pPr>
        <w:widowControl/>
        <w:adjustRightInd w:val="0"/>
        <w:snapToGrid w:val="0"/>
        <w:spacing w:after="150" w:line="560" w:lineRule="exact"/>
        <w:jc w:val="left"/>
        <w:rPr>
          <w:rFonts w:ascii="仿宋" w:hAnsi="仿宋" w:eastAsia="仿宋" w:cs="仿宋"/>
          <w:kern w:val="0"/>
          <w:szCs w:val="21"/>
        </w:rPr>
      </w:pPr>
    </w:p>
    <w:p>
      <w:pPr>
        <w:widowControl/>
        <w:adjustRightInd w:val="0"/>
        <w:snapToGrid w:val="0"/>
        <w:spacing w:after="150" w:line="560" w:lineRule="exact"/>
        <w:jc w:val="left"/>
        <w:rPr>
          <w:rFonts w:ascii="仿宋" w:hAnsi="仿宋" w:eastAsia="仿宋" w:cs="仿宋"/>
          <w:kern w:val="0"/>
          <w:szCs w:val="21"/>
        </w:rPr>
      </w:pPr>
    </w:p>
    <w:p>
      <w:pPr>
        <w:widowControl/>
        <w:adjustRightInd w:val="0"/>
        <w:snapToGrid w:val="0"/>
        <w:spacing w:after="150" w:line="560" w:lineRule="exact"/>
        <w:jc w:val="left"/>
        <w:rPr>
          <w:rFonts w:ascii="仿宋" w:hAnsi="仿宋" w:eastAsia="仿宋" w:cs="仿宋"/>
          <w:kern w:val="0"/>
          <w:szCs w:val="21"/>
        </w:rPr>
      </w:pPr>
    </w:p>
    <w:p>
      <w:pPr>
        <w:widowControl/>
        <w:adjustRightInd w:val="0"/>
        <w:snapToGrid w:val="0"/>
        <w:spacing w:after="150" w:line="560" w:lineRule="exact"/>
        <w:jc w:val="left"/>
        <w:rPr>
          <w:rFonts w:ascii="仿宋" w:hAnsi="仿宋" w:eastAsia="仿宋" w:cs="仿宋"/>
          <w:kern w:val="0"/>
          <w:sz w:val="24"/>
        </w:rPr>
      </w:pPr>
    </w:p>
    <w:p>
      <w:pPr>
        <w:adjustRightInd w:val="0"/>
        <w:snapToGrid w:val="0"/>
        <w:spacing w:line="360" w:lineRule="auto"/>
        <w:rPr>
          <w:rFonts w:ascii="仿宋" w:hAnsi="仿宋" w:eastAsia="仿宋" w:cs="仿宋"/>
          <w:kern w:val="0"/>
          <w:sz w:val="24"/>
        </w:rPr>
      </w:pPr>
    </w:p>
    <w:p>
      <w:pPr>
        <w:adjustRightInd w:val="0"/>
        <w:snapToGrid w:val="0"/>
        <w:spacing w:line="360" w:lineRule="auto"/>
        <w:rPr>
          <w:rFonts w:ascii="仿宋" w:hAnsi="仿宋" w:eastAsia="仿宋" w:cs="仿宋"/>
          <w:kern w:val="0"/>
          <w:sz w:val="24"/>
        </w:rPr>
      </w:pPr>
      <w:r>
        <w:rPr>
          <w:rFonts w:hint="eastAsia" w:ascii="仿宋" w:hAnsi="仿宋" w:eastAsia="仿宋" w:cs="仿宋"/>
          <w:kern w:val="0"/>
          <w:sz w:val="24"/>
        </w:rPr>
        <w:t>附件2：</w:t>
      </w:r>
    </w:p>
    <w:p>
      <w:pPr>
        <w:adjustRightInd w:val="0"/>
        <w:snapToGrid w:val="0"/>
        <w:spacing w:line="360" w:lineRule="auto"/>
        <w:rPr>
          <w:rFonts w:ascii="仿宋" w:hAnsi="仿宋" w:eastAsia="仿宋" w:cs="仿宋"/>
          <w:bCs/>
          <w:szCs w:val="21"/>
        </w:rPr>
      </w:pPr>
      <w:r>
        <w:rPr>
          <w:rFonts w:hint="eastAsia" w:ascii="仿宋" w:hAnsi="仿宋" w:eastAsia="仿宋" w:cs="仿宋"/>
          <w:kern w:val="0"/>
          <w:sz w:val="24"/>
        </w:rPr>
        <w:t xml:space="preserve"> </w:t>
      </w:r>
      <w:r>
        <w:rPr>
          <w:rFonts w:hint="eastAsia" w:ascii="仿宋" w:hAnsi="仿宋" w:eastAsia="仿宋" w:cs="仿宋"/>
          <w:bCs/>
          <w:szCs w:val="21"/>
        </w:rPr>
        <w:t>技术参数和售后服务：</w:t>
      </w:r>
    </w:p>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一、乙方承诺</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鉴于国家</w:t>
      </w:r>
      <w:r>
        <w:rPr>
          <w:rFonts w:hint="eastAsia" w:ascii="仿宋" w:hAnsi="仿宋" w:eastAsia="仿宋" w:cs="仿宋"/>
          <w:bCs/>
          <w:szCs w:val="21"/>
        </w:rPr>
        <w:t>、</w:t>
      </w:r>
      <w:r>
        <w:rPr>
          <w:rFonts w:hint="eastAsia" w:ascii="仿宋" w:hAnsi="仿宋" w:eastAsia="仿宋" w:cs="仿宋"/>
          <w:szCs w:val="21"/>
        </w:rPr>
        <w:t>自治区、行业对</w:t>
      </w:r>
      <w:r>
        <w:rPr>
          <w:rFonts w:hint="eastAsia" w:ascii="仿宋" w:hAnsi="仿宋" w:eastAsia="仿宋" w:cs="仿宋"/>
          <w:szCs w:val="21"/>
          <w:u w:val="single"/>
        </w:rPr>
        <w:t xml:space="preserve">                   </w:t>
      </w:r>
      <w:r>
        <w:rPr>
          <w:rFonts w:hint="eastAsia" w:ascii="仿宋" w:hAnsi="仿宋" w:eastAsia="仿宋" w:cs="仿宋"/>
          <w:szCs w:val="21"/>
        </w:rPr>
        <w:t>产</w:t>
      </w:r>
      <w:r>
        <w:rPr>
          <w:rFonts w:hint="eastAsia" w:ascii="仿宋" w:hAnsi="仿宋" w:eastAsia="仿宋" w:cs="仿宋"/>
          <w:szCs w:val="21"/>
          <w:u w:val="single"/>
        </w:rPr>
        <w:t>品</w:t>
      </w:r>
      <w:r>
        <w:rPr>
          <w:rFonts w:hint="eastAsia" w:ascii="仿宋" w:hAnsi="仿宋" w:eastAsia="仿宋" w:cs="仿宋"/>
          <w:szCs w:val="21"/>
        </w:rPr>
        <w:t>的要求，乙方承诺按照要求标准组织供货，按时运到甲方指定的交货地点并确保所中标的产品各项指标符合招标技术要求；同时乙方根据产品的使用特性做好售后服务。</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numPr>
          <w:ilvl w:val="0"/>
          <w:numId w:val="15"/>
        </w:numPr>
        <w:adjustRightInd w:val="0"/>
        <w:snapToGrid w:val="0"/>
        <w:spacing w:line="360" w:lineRule="auto"/>
        <w:rPr>
          <w:rFonts w:ascii="仿宋" w:hAnsi="仿宋" w:eastAsia="仿宋" w:cs="仿宋"/>
          <w:szCs w:val="21"/>
        </w:rPr>
      </w:pPr>
      <w:r>
        <w:rPr>
          <w:rFonts w:hint="eastAsia" w:ascii="仿宋" w:hAnsi="仿宋" w:eastAsia="仿宋" w:cs="仿宋"/>
          <w:szCs w:val="21"/>
        </w:rPr>
        <w:t>详细技术参数（不仅限于投标文件中的技术参数和图片）</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numPr>
          <w:ilvl w:val="0"/>
          <w:numId w:val="15"/>
        </w:numPr>
        <w:adjustRightInd w:val="0"/>
        <w:snapToGrid w:val="0"/>
        <w:spacing w:line="360" w:lineRule="auto"/>
        <w:rPr>
          <w:rFonts w:ascii="仿宋" w:hAnsi="仿宋" w:eastAsia="仿宋" w:cs="仿宋"/>
          <w:szCs w:val="21"/>
        </w:rPr>
      </w:pPr>
      <w:r>
        <w:rPr>
          <w:rFonts w:hint="eastAsia" w:ascii="仿宋" w:hAnsi="仿宋" w:eastAsia="仿宋" w:cs="仿宋"/>
          <w:szCs w:val="21"/>
        </w:rPr>
        <w:t>售后服务（不仅限于投标文件中的售后服务）</w:t>
      </w:r>
    </w:p>
    <w:p>
      <w:pPr>
        <w:widowControl/>
        <w:adjustRightInd w:val="0"/>
        <w:snapToGrid w:val="0"/>
        <w:spacing w:after="150" w:line="560" w:lineRule="exact"/>
        <w:jc w:val="left"/>
        <w:rPr>
          <w:rFonts w:ascii="仿宋" w:hAnsi="仿宋" w:eastAsia="仿宋" w:cs="仿宋"/>
          <w:b/>
          <w:bCs/>
          <w:szCs w:val="21"/>
        </w:rPr>
      </w:pPr>
    </w:p>
    <w:p>
      <w:pPr>
        <w:spacing w:line="480" w:lineRule="auto"/>
        <w:rPr>
          <w:rFonts w:ascii="仿宋" w:hAnsi="仿宋" w:eastAsia="仿宋" w:cs="仿宋"/>
          <w:b/>
          <w:bCs/>
          <w:szCs w:val="21"/>
        </w:rPr>
      </w:pPr>
    </w:p>
    <w:p>
      <w:pPr>
        <w:spacing w:line="480" w:lineRule="auto"/>
        <w:rPr>
          <w:rFonts w:ascii="仿宋" w:hAnsi="仿宋" w:eastAsia="仿宋" w:cs="仿宋"/>
          <w:b/>
          <w:bCs/>
          <w:szCs w:val="21"/>
        </w:rPr>
      </w:pPr>
    </w:p>
    <w:p>
      <w:pPr>
        <w:spacing w:line="480" w:lineRule="auto"/>
        <w:rPr>
          <w:rFonts w:ascii="仿宋" w:hAnsi="仿宋" w:eastAsia="仿宋" w:cs="仿宋"/>
          <w:b/>
          <w:bCs/>
          <w:szCs w:val="21"/>
        </w:rPr>
      </w:pPr>
    </w:p>
    <w:p>
      <w:pPr>
        <w:spacing w:line="480" w:lineRule="auto"/>
        <w:rPr>
          <w:rFonts w:ascii="仿宋" w:hAnsi="仿宋" w:eastAsia="仿宋" w:cs="仿宋"/>
          <w:b/>
          <w:bCs/>
          <w:szCs w:val="21"/>
        </w:rPr>
      </w:pPr>
    </w:p>
    <w:p>
      <w:pPr>
        <w:spacing w:line="480" w:lineRule="auto"/>
        <w:rPr>
          <w:rFonts w:ascii="仿宋" w:hAnsi="仿宋" w:eastAsia="仿宋" w:cs="仿宋"/>
          <w:b/>
          <w:bCs/>
          <w:szCs w:val="21"/>
        </w:rPr>
      </w:pPr>
    </w:p>
    <w:p>
      <w:pPr>
        <w:spacing w:line="480" w:lineRule="auto"/>
        <w:rPr>
          <w:rFonts w:ascii="仿宋" w:hAnsi="仿宋" w:eastAsia="仿宋" w:cs="仿宋"/>
          <w:b/>
          <w:bCs/>
          <w:szCs w:val="21"/>
        </w:rPr>
      </w:pPr>
    </w:p>
    <w:p>
      <w:pPr>
        <w:spacing w:line="480" w:lineRule="auto"/>
        <w:rPr>
          <w:rFonts w:ascii="仿宋" w:hAnsi="仿宋" w:eastAsia="仿宋" w:cs="仿宋"/>
          <w:b/>
          <w:bCs/>
          <w:szCs w:val="21"/>
        </w:rPr>
      </w:pPr>
    </w:p>
    <w:p>
      <w:pPr>
        <w:pStyle w:val="26"/>
        <w:numPr>
          <w:ilvl w:val="0"/>
          <w:numId w:val="0"/>
        </w:numPr>
        <w:ind w:left="1134"/>
        <w:rPr>
          <w:rFonts w:ascii="仿宋" w:hAnsi="仿宋" w:eastAsia="仿宋" w:cs="仿宋"/>
        </w:rPr>
      </w:pPr>
    </w:p>
    <w:p>
      <w:pPr>
        <w:pStyle w:val="27"/>
        <w:rPr>
          <w:rFonts w:ascii="仿宋" w:hAnsi="仿宋" w:eastAsia="仿宋" w:cs="仿宋"/>
        </w:rPr>
      </w:pPr>
    </w:p>
    <w:p>
      <w:pPr>
        <w:pStyle w:val="27"/>
        <w:rPr>
          <w:rFonts w:ascii="仿宋" w:hAnsi="仿宋" w:eastAsia="仿宋" w:cs="仿宋"/>
        </w:rPr>
      </w:pPr>
    </w:p>
    <w:p>
      <w:pPr>
        <w:spacing w:line="480" w:lineRule="auto"/>
        <w:rPr>
          <w:rFonts w:ascii="仿宋" w:hAnsi="仿宋" w:eastAsia="仿宋" w:cs="仿宋"/>
          <w:b/>
          <w:bCs/>
          <w:szCs w:val="21"/>
        </w:rPr>
      </w:pPr>
      <w:r>
        <w:rPr>
          <w:rFonts w:hint="eastAsia" w:ascii="仿宋" w:hAnsi="仿宋" w:eastAsia="仿宋" w:cs="仿宋"/>
          <w:b/>
          <w:bCs/>
          <w:szCs w:val="21"/>
        </w:rPr>
        <w:t xml:space="preserve">JL/CX06-3               </w:t>
      </w:r>
    </w:p>
    <w:p>
      <w:pPr>
        <w:spacing w:line="480" w:lineRule="auto"/>
        <w:jc w:val="center"/>
        <w:rPr>
          <w:rFonts w:ascii="仿宋" w:hAnsi="仿宋" w:eastAsia="仿宋" w:cs="仿宋"/>
          <w:b/>
          <w:bCs/>
          <w:szCs w:val="21"/>
        </w:rPr>
      </w:pPr>
      <w:r>
        <w:rPr>
          <w:rFonts w:hint="eastAsia" w:ascii="仿宋" w:hAnsi="仿宋" w:eastAsia="仿宋" w:cs="仿宋"/>
          <w:b/>
          <w:spacing w:val="26"/>
          <w:sz w:val="30"/>
          <w:szCs w:val="30"/>
        </w:rPr>
        <w:t>新疆维吾尔自治区疾病预防控制中心</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供 应 商 评 价 表</w:t>
      </w:r>
    </w:p>
    <w:tbl>
      <w:tblPr>
        <w:tblStyle w:val="20"/>
        <w:tblW w:w="9918" w:type="dxa"/>
        <w:tblInd w:w="93" w:type="dxa"/>
        <w:tblLayout w:type="fixed"/>
        <w:tblCellMar>
          <w:top w:w="0" w:type="dxa"/>
          <w:left w:w="108" w:type="dxa"/>
          <w:bottom w:w="0" w:type="dxa"/>
          <w:right w:w="108" w:type="dxa"/>
        </w:tblCellMar>
      </w:tblPr>
      <w:tblGrid>
        <w:gridCol w:w="696"/>
        <w:gridCol w:w="665"/>
        <w:gridCol w:w="541"/>
        <w:gridCol w:w="811"/>
        <w:gridCol w:w="540"/>
        <w:gridCol w:w="631"/>
        <w:gridCol w:w="902"/>
        <w:gridCol w:w="835"/>
        <w:gridCol w:w="795"/>
        <w:gridCol w:w="1309"/>
        <w:gridCol w:w="1138"/>
        <w:gridCol w:w="1055"/>
      </w:tblGrid>
      <w:tr>
        <w:tblPrEx>
          <w:tblCellMar>
            <w:top w:w="0" w:type="dxa"/>
            <w:left w:w="108" w:type="dxa"/>
            <w:bottom w:w="0" w:type="dxa"/>
            <w:right w:w="108" w:type="dxa"/>
          </w:tblCellMar>
        </w:tblPrEx>
        <w:trPr>
          <w:trHeight w:val="1190" w:hRule="atLeast"/>
        </w:trPr>
        <w:tc>
          <w:tcPr>
            <w:tcW w:w="1902" w:type="dxa"/>
            <w:gridSpan w:val="3"/>
            <w:tcBorders>
              <w:top w:val="single" w:color="auto" w:sz="4" w:space="0"/>
              <w:left w:val="single" w:color="auto" w:sz="4" w:space="0"/>
              <w:bottom w:val="single" w:color="auto" w:sz="4" w:space="0"/>
              <w:right w:val="single" w:color="000000" w:sz="4" w:space="0"/>
            </w:tcBorders>
            <w:vAlign w:val="center"/>
          </w:tcPr>
          <w:p>
            <w:pPr>
              <w:widowControl/>
              <w:rPr>
                <w:rFonts w:ascii="仿宋" w:hAnsi="仿宋" w:eastAsia="仿宋" w:cs="仿宋"/>
                <w:bCs/>
                <w:kern w:val="0"/>
                <w:sz w:val="24"/>
              </w:rPr>
            </w:pPr>
            <w:r>
              <w:rPr>
                <w:rFonts w:hint="eastAsia" w:ascii="仿宋" w:hAnsi="仿宋" w:eastAsia="仿宋" w:cs="仿宋"/>
                <w:bCs/>
                <w:kern w:val="0"/>
                <w:sz w:val="24"/>
              </w:rPr>
              <w:t>中标单位名称</w:t>
            </w:r>
            <w:r>
              <w:rPr>
                <w:rFonts w:hint="eastAsia" w:ascii="仿宋" w:hAnsi="仿宋" w:eastAsia="仿宋" w:cs="仿宋"/>
                <w:bCs/>
                <w:kern w:val="0"/>
                <w:sz w:val="24"/>
              </w:rPr>
              <w:tab/>
            </w:r>
          </w:p>
        </w:tc>
        <w:tc>
          <w:tcPr>
            <w:tcW w:w="288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kern w:val="0"/>
                <w:sz w:val="24"/>
              </w:rPr>
            </w:pPr>
            <w:r>
              <w:rPr>
                <w:rFonts w:hint="eastAsia" w:ascii="仿宋" w:hAnsi="仿宋" w:eastAsia="仿宋" w:cs="仿宋"/>
                <w:bCs/>
                <w:kern w:val="0"/>
                <w:sz w:val="24"/>
              </w:rPr>
              <w:t xml:space="preserve"> </w:t>
            </w:r>
          </w:p>
        </w:tc>
        <w:tc>
          <w:tcPr>
            <w:tcW w:w="163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4"/>
              </w:rPr>
            </w:pPr>
            <w:r>
              <w:rPr>
                <w:rFonts w:hint="eastAsia" w:ascii="仿宋" w:hAnsi="仿宋" w:eastAsia="仿宋" w:cs="仿宋"/>
                <w:bCs/>
                <w:kern w:val="0"/>
                <w:sz w:val="24"/>
              </w:rPr>
              <w:t>中标单位联系人</w:t>
            </w:r>
          </w:p>
          <w:p>
            <w:pPr>
              <w:widowControl/>
              <w:jc w:val="center"/>
              <w:rPr>
                <w:rFonts w:ascii="仿宋" w:hAnsi="仿宋" w:eastAsia="仿宋" w:cs="仿宋"/>
                <w:bCs/>
                <w:kern w:val="0"/>
                <w:sz w:val="24"/>
              </w:rPr>
            </w:pPr>
            <w:r>
              <w:rPr>
                <w:rFonts w:hint="eastAsia" w:ascii="仿宋" w:hAnsi="仿宋" w:eastAsia="仿宋" w:cs="仿宋"/>
                <w:bCs/>
                <w:kern w:val="0"/>
                <w:sz w:val="24"/>
              </w:rPr>
              <w:t>及电话</w:t>
            </w:r>
          </w:p>
        </w:tc>
        <w:tc>
          <w:tcPr>
            <w:tcW w:w="3502"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4"/>
              </w:rPr>
            </w:pPr>
          </w:p>
        </w:tc>
      </w:tr>
      <w:tr>
        <w:tblPrEx>
          <w:tblCellMar>
            <w:top w:w="0" w:type="dxa"/>
            <w:left w:w="108" w:type="dxa"/>
            <w:bottom w:w="0" w:type="dxa"/>
            <w:right w:w="108" w:type="dxa"/>
          </w:tblCellMar>
        </w:tblPrEx>
        <w:trPr>
          <w:trHeight w:val="680" w:hRule="atLeast"/>
        </w:trPr>
        <w:tc>
          <w:tcPr>
            <w:tcW w:w="1902"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仿宋" w:eastAsia="仿宋" w:cs="仿宋"/>
                <w:bCs/>
                <w:kern w:val="0"/>
                <w:sz w:val="24"/>
              </w:rPr>
            </w:pPr>
            <w:r>
              <w:rPr>
                <w:rFonts w:hint="eastAsia" w:ascii="仿宋" w:hAnsi="仿宋" w:eastAsia="仿宋" w:cs="仿宋"/>
                <w:bCs/>
                <w:kern w:val="0"/>
                <w:sz w:val="24"/>
              </w:rPr>
              <w:tab/>
            </w:r>
            <w:r>
              <w:rPr>
                <w:rFonts w:hint="eastAsia" w:ascii="仿宋" w:hAnsi="仿宋" w:eastAsia="仿宋" w:cs="仿宋"/>
                <w:bCs/>
                <w:kern w:val="0"/>
                <w:sz w:val="24"/>
              </w:rPr>
              <w:t>中标金额　</w:t>
            </w:r>
          </w:p>
        </w:tc>
        <w:tc>
          <w:tcPr>
            <w:tcW w:w="2884"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4"/>
              </w:rPr>
            </w:pPr>
            <w:r>
              <w:rPr>
                <w:rFonts w:hint="eastAsia" w:ascii="仿宋" w:hAnsi="仿宋" w:eastAsia="仿宋" w:cs="仿宋"/>
                <w:bCs/>
                <w:kern w:val="0"/>
                <w:sz w:val="24"/>
              </w:rPr>
              <w:t xml:space="preserve"> </w:t>
            </w:r>
          </w:p>
        </w:tc>
        <w:tc>
          <w:tcPr>
            <w:tcW w:w="163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4"/>
              </w:rPr>
            </w:pPr>
            <w:r>
              <w:rPr>
                <w:rFonts w:hint="eastAsia" w:ascii="仿宋" w:hAnsi="仿宋" w:eastAsia="仿宋" w:cs="仿宋"/>
                <w:bCs/>
                <w:kern w:val="0"/>
                <w:sz w:val="24"/>
              </w:rPr>
              <w:t>合  同  号</w:t>
            </w:r>
          </w:p>
        </w:tc>
        <w:tc>
          <w:tcPr>
            <w:tcW w:w="3502"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4"/>
              </w:rPr>
            </w:pPr>
          </w:p>
        </w:tc>
      </w:tr>
      <w:tr>
        <w:tblPrEx>
          <w:tblCellMar>
            <w:top w:w="0" w:type="dxa"/>
            <w:left w:w="108" w:type="dxa"/>
            <w:bottom w:w="0" w:type="dxa"/>
            <w:right w:w="108" w:type="dxa"/>
          </w:tblCellMar>
        </w:tblPrEx>
        <w:trPr>
          <w:trHeight w:val="3118" w:hRule="atLeast"/>
        </w:trPr>
        <w:tc>
          <w:tcPr>
            <w:tcW w:w="69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申请/使用科室</w:t>
            </w:r>
          </w:p>
        </w:tc>
        <w:tc>
          <w:tcPr>
            <w:tcW w:w="66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供应货物名称</w:t>
            </w:r>
          </w:p>
        </w:tc>
        <w:tc>
          <w:tcPr>
            <w:tcW w:w="54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数量</w:t>
            </w:r>
          </w:p>
        </w:tc>
        <w:tc>
          <w:tcPr>
            <w:tcW w:w="81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合同签</w:t>
            </w:r>
          </w:p>
          <w:p>
            <w:pPr>
              <w:widowControl/>
              <w:jc w:val="center"/>
              <w:rPr>
                <w:rFonts w:ascii="仿宋" w:hAnsi="仿宋" w:eastAsia="仿宋" w:cs="仿宋"/>
                <w:bCs/>
                <w:kern w:val="0"/>
                <w:szCs w:val="21"/>
              </w:rPr>
            </w:pPr>
            <w:r>
              <w:rPr>
                <w:rFonts w:hint="eastAsia" w:ascii="仿宋" w:hAnsi="仿宋" w:eastAsia="仿宋" w:cs="仿宋"/>
                <w:bCs/>
                <w:kern w:val="0"/>
                <w:szCs w:val="21"/>
              </w:rPr>
              <w:t>订时间</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到 货 时 间</w:t>
            </w:r>
          </w:p>
        </w:tc>
        <w:tc>
          <w:tcPr>
            <w:tcW w:w="63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供货是否及时</w:t>
            </w:r>
          </w:p>
        </w:tc>
        <w:tc>
          <w:tcPr>
            <w:tcW w:w="902"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回执单是否及时反馈科室并办理固定资产相关手续</w:t>
            </w:r>
          </w:p>
        </w:tc>
        <w:tc>
          <w:tcPr>
            <w:tcW w:w="83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是否与合同/协议内容一致</w:t>
            </w:r>
          </w:p>
        </w:tc>
        <w:tc>
          <w:tcPr>
            <w:tcW w:w="79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培训时间</w:t>
            </w:r>
          </w:p>
        </w:tc>
        <w:tc>
          <w:tcPr>
            <w:tcW w:w="1309"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售后服务（是否按照合同条款完成售后服务</w:t>
            </w:r>
          </w:p>
        </w:tc>
        <w:tc>
          <w:tcPr>
            <w:tcW w:w="1138"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服务态度</w:t>
            </w:r>
          </w:p>
          <w:p>
            <w:pPr>
              <w:widowControl/>
              <w:jc w:val="center"/>
              <w:rPr>
                <w:rFonts w:ascii="仿宋" w:hAnsi="仿宋" w:eastAsia="仿宋" w:cs="仿宋"/>
                <w:bCs/>
                <w:kern w:val="0"/>
                <w:szCs w:val="21"/>
              </w:rPr>
            </w:pPr>
            <w:r>
              <w:rPr>
                <w:rFonts w:hint="eastAsia" w:ascii="仿宋" w:hAnsi="仿宋" w:eastAsia="仿宋" w:cs="仿宋"/>
                <w:bCs/>
                <w:kern w:val="0"/>
                <w:szCs w:val="21"/>
              </w:rPr>
              <w:t>（优、良、中、差）</w:t>
            </w:r>
          </w:p>
        </w:tc>
        <w:tc>
          <w:tcPr>
            <w:tcW w:w="1055" w:type="dxa"/>
            <w:tcBorders>
              <w:top w:val="single" w:color="auto" w:sz="4" w:space="0"/>
              <w:left w:val="nil"/>
              <w:bottom w:val="nil"/>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供货质量</w:t>
            </w:r>
          </w:p>
          <w:p>
            <w:pPr>
              <w:widowControl/>
              <w:jc w:val="center"/>
              <w:rPr>
                <w:rFonts w:ascii="仿宋" w:hAnsi="仿宋" w:eastAsia="仿宋" w:cs="仿宋"/>
                <w:bCs/>
                <w:kern w:val="0"/>
                <w:szCs w:val="21"/>
              </w:rPr>
            </w:pPr>
            <w:r>
              <w:rPr>
                <w:rFonts w:hint="eastAsia" w:ascii="仿宋" w:hAnsi="仿宋" w:eastAsia="仿宋" w:cs="仿宋"/>
                <w:bCs/>
                <w:kern w:val="0"/>
                <w:szCs w:val="21"/>
              </w:rPr>
              <w:t>（优、良、中、差）</w:t>
            </w:r>
          </w:p>
        </w:tc>
      </w:tr>
      <w:tr>
        <w:tblPrEx>
          <w:tblCellMar>
            <w:top w:w="0" w:type="dxa"/>
            <w:left w:w="108" w:type="dxa"/>
            <w:bottom w:w="0" w:type="dxa"/>
            <w:right w:w="108" w:type="dxa"/>
          </w:tblCellMar>
        </w:tblPrEx>
        <w:trPr>
          <w:trHeight w:val="745" w:hRule="atLeast"/>
        </w:trPr>
        <w:tc>
          <w:tcPr>
            <w:tcW w:w="69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6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1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31"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902"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3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795"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r>
              <w:rPr>
                <w:rFonts w:hint="eastAsia" w:ascii="仿宋" w:hAnsi="仿宋" w:eastAsia="仿宋" w:cs="仿宋"/>
                <w:bCs/>
                <w:kern w:val="0"/>
                <w:sz w:val="20"/>
                <w:szCs w:val="20"/>
              </w:rPr>
              <w:t>　</w:t>
            </w:r>
          </w:p>
        </w:tc>
        <w:tc>
          <w:tcPr>
            <w:tcW w:w="1309"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138"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r>
      <w:tr>
        <w:tblPrEx>
          <w:tblCellMar>
            <w:top w:w="0" w:type="dxa"/>
            <w:left w:w="108" w:type="dxa"/>
            <w:bottom w:w="0" w:type="dxa"/>
            <w:right w:w="108" w:type="dxa"/>
          </w:tblCellMar>
        </w:tblPrEx>
        <w:trPr>
          <w:trHeight w:val="745" w:hRule="atLeast"/>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1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3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3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13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r>
      <w:tr>
        <w:tblPrEx>
          <w:tblCellMar>
            <w:top w:w="0" w:type="dxa"/>
            <w:left w:w="108" w:type="dxa"/>
            <w:bottom w:w="0" w:type="dxa"/>
            <w:right w:w="108" w:type="dxa"/>
          </w:tblCellMar>
        </w:tblPrEx>
        <w:trPr>
          <w:trHeight w:val="745" w:hRule="atLeast"/>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1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6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83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3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13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kern w:val="0"/>
                <w:sz w:val="20"/>
                <w:szCs w:val="20"/>
              </w:rPr>
            </w:pPr>
          </w:p>
        </w:tc>
      </w:tr>
      <w:tr>
        <w:tblPrEx>
          <w:tblCellMar>
            <w:top w:w="0" w:type="dxa"/>
            <w:left w:w="108" w:type="dxa"/>
            <w:bottom w:w="0" w:type="dxa"/>
            <w:right w:w="108" w:type="dxa"/>
          </w:tblCellMar>
        </w:tblPrEx>
        <w:trPr>
          <w:trHeight w:val="2356" w:hRule="atLeast"/>
        </w:trPr>
        <w:tc>
          <w:tcPr>
            <w:tcW w:w="9918" w:type="dxa"/>
            <w:gridSpan w:val="12"/>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bCs/>
                <w:kern w:val="0"/>
                <w:sz w:val="20"/>
                <w:szCs w:val="20"/>
              </w:rPr>
            </w:pPr>
            <w:r>
              <w:rPr>
                <w:rFonts w:hint="eastAsia" w:ascii="仿宋" w:hAnsi="仿宋" w:eastAsia="仿宋" w:cs="仿宋"/>
                <w:bCs/>
                <w:kern w:val="0"/>
                <w:szCs w:val="21"/>
              </w:rPr>
              <w:t>科室意见</w:t>
            </w:r>
            <w:r>
              <w:rPr>
                <w:rFonts w:hint="eastAsia" w:ascii="仿宋" w:hAnsi="仿宋" w:eastAsia="仿宋" w:cs="仿宋"/>
                <w:bCs/>
                <w:kern w:val="0"/>
                <w:sz w:val="20"/>
                <w:szCs w:val="20"/>
              </w:rPr>
              <w:t>：</w:t>
            </w:r>
          </w:p>
          <w:p>
            <w:pPr>
              <w:widowControl/>
              <w:rPr>
                <w:rFonts w:ascii="仿宋" w:hAnsi="仿宋" w:eastAsia="仿宋" w:cs="仿宋"/>
                <w:bCs/>
                <w:kern w:val="0"/>
                <w:sz w:val="20"/>
                <w:szCs w:val="20"/>
              </w:rPr>
            </w:pPr>
          </w:p>
          <w:p>
            <w:pPr>
              <w:widowControl/>
              <w:rPr>
                <w:rFonts w:ascii="仿宋" w:hAnsi="仿宋" w:eastAsia="仿宋" w:cs="仿宋"/>
                <w:bCs/>
                <w:kern w:val="0"/>
                <w:sz w:val="20"/>
                <w:szCs w:val="20"/>
              </w:rPr>
            </w:pPr>
          </w:p>
          <w:p>
            <w:pPr>
              <w:widowControl/>
              <w:rPr>
                <w:rFonts w:ascii="仿宋" w:hAnsi="仿宋" w:eastAsia="仿宋" w:cs="仿宋"/>
                <w:bCs/>
                <w:kern w:val="0"/>
                <w:sz w:val="20"/>
                <w:szCs w:val="20"/>
              </w:rPr>
            </w:pPr>
            <w:r>
              <w:rPr>
                <w:rFonts w:hint="eastAsia" w:ascii="仿宋" w:hAnsi="仿宋" w:eastAsia="仿宋" w:cs="仿宋"/>
                <w:bCs/>
                <w:kern w:val="0"/>
                <w:sz w:val="20"/>
                <w:szCs w:val="20"/>
              </w:rPr>
              <w:t xml:space="preserve">                                                        </w:t>
            </w:r>
          </w:p>
          <w:p>
            <w:pPr>
              <w:widowControl/>
              <w:rPr>
                <w:rFonts w:ascii="仿宋" w:hAnsi="仿宋" w:eastAsia="仿宋" w:cs="仿宋"/>
                <w:bCs/>
                <w:kern w:val="0"/>
                <w:sz w:val="20"/>
                <w:szCs w:val="20"/>
              </w:rPr>
            </w:pPr>
            <w:r>
              <w:rPr>
                <w:rFonts w:hint="eastAsia" w:ascii="仿宋" w:hAnsi="仿宋" w:eastAsia="仿宋" w:cs="仿宋"/>
                <w:bCs/>
                <w:kern w:val="0"/>
                <w:sz w:val="20"/>
                <w:szCs w:val="20"/>
              </w:rPr>
              <w:t>是否同意支付货款：</w:t>
            </w:r>
            <w:r>
              <w:rPr>
                <w:rFonts w:hint="eastAsia" w:ascii="仿宋" w:hAnsi="仿宋" w:eastAsia="仿宋" w:cs="仿宋"/>
                <w:bCs/>
                <w:kern w:val="0"/>
                <w:szCs w:val="21"/>
              </w:rPr>
              <w:t xml:space="preserve">              </w:t>
            </w:r>
            <w:r>
              <w:rPr>
                <w:rFonts w:hint="eastAsia" w:ascii="仿宋" w:hAnsi="仿宋" w:eastAsia="仿宋" w:cs="仿宋"/>
                <w:bCs/>
                <w:kern w:val="0"/>
                <w:sz w:val="20"/>
                <w:szCs w:val="20"/>
              </w:rPr>
              <w:t>经办人：               科室主任：             日 期：</w:t>
            </w:r>
          </w:p>
        </w:tc>
      </w:tr>
    </w:tbl>
    <w:p>
      <w:pPr>
        <w:spacing w:line="500" w:lineRule="exact"/>
        <w:jc w:val="center"/>
        <w:outlineLvl w:val="0"/>
        <w:rPr>
          <w:rFonts w:ascii="仿宋" w:hAnsi="仿宋" w:eastAsia="仿宋" w:cs="仿宋"/>
          <w:sz w:val="48"/>
          <w:szCs w:val="48"/>
        </w:rPr>
      </w:pPr>
      <w:r>
        <w:rPr>
          <w:rFonts w:hint="eastAsia" w:ascii="仿宋" w:hAnsi="仿宋" w:eastAsia="仿宋" w:cs="仿宋"/>
        </w:rPr>
        <w:t>备注：请使用科室认真负责填写该表1、</w:t>
      </w:r>
      <w:r>
        <w:rPr>
          <w:rFonts w:hint="eastAsia" w:ascii="仿宋" w:hAnsi="仿宋" w:eastAsia="仿宋" w:cs="仿宋"/>
          <w:bCs/>
          <w:kern w:val="0"/>
          <w:sz w:val="20"/>
          <w:szCs w:val="20"/>
        </w:rPr>
        <w:t>培训时间：</w:t>
      </w:r>
      <w:r>
        <w:rPr>
          <w:rFonts w:hint="eastAsia" w:ascii="仿宋" w:hAnsi="仿宋" w:eastAsia="仿宋" w:cs="仿宋"/>
        </w:rPr>
        <w:t>合同中如有培训项目，请注明具体培训时间及次数；2、本表作为支付质量保证金及履约保证金的证明资料，同时作为供应商评价记录。</w:t>
      </w:r>
    </w:p>
    <w:p>
      <w:pPr>
        <w:rPr>
          <w:rFonts w:ascii="仿宋" w:hAnsi="仿宋" w:eastAsia="仿宋" w:cs="仿宋"/>
        </w:rPr>
      </w:pPr>
    </w:p>
    <w:p>
      <w:pPr>
        <w:widowControl/>
        <w:adjustRightInd w:val="0"/>
        <w:snapToGrid w:val="0"/>
        <w:spacing w:after="150" w:line="520" w:lineRule="exact"/>
        <w:jc w:val="left"/>
        <w:rPr>
          <w:rFonts w:ascii="仿宋" w:hAnsi="仿宋" w:eastAsia="仿宋" w:cs="仿宋"/>
          <w:b/>
          <w:bCs/>
          <w:szCs w:val="21"/>
        </w:rPr>
      </w:pPr>
    </w:p>
    <w:p>
      <w:pPr>
        <w:widowControl/>
        <w:adjustRightInd w:val="0"/>
        <w:snapToGrid w:val="0"/>
        <w:spacing w:after="150" w:line="520" w:lineRule="exact"/>
        <w:jc w:val="left"/>
        <w:rPr>
          <w:rFonts w:ascii="仿宋" w:hAnsi="仿宋" w:eastAsia="仿宋" w:cs="仿宋"/>
          <w:b/>
          <w:bCs/>
          <w:szCs w:val="21"/>
        </w:rPr>
      </w:pPr>
    </w:p>
    <w:p>
      <w:pPr>
        <w:widowControl/>
        <w:adjustRightInd w:val="0"/>
        <w:snapToGrid w:val="0"/>
        <w:spacing w:after="150" w:line="520" w:lineRule="exact"/>
        <w:jc w:val="left"/>
        <w:rPr>
          <w:rFonts w:ascii="仿宋" w:hAnsi="仿宋" w:eastAsia="仿宋" w:cs="仿宋"/>
          <w:b/>
          <w:bCs/>
          <w:szCs w:val="21"/>
        </w:rPr>
      </w:pPr>
      <w:r>
        <w:rPr>
          <w:rFonts w:hint="eastAsia" w:ascii="仿宋" w:hAnsi="仿宋" w:eastAsia="仿宋" w:cs="仿宋"/>
          <w:b/>
          <w:bCs/>
          <w:szCs w:val="21"/>
        </w:rPr>
        <w:t>附件3：</w:t>
      </w:r>
    </w:p>
    <w:p>
      <w:pPr>
        <w:widowControl/>
        <w:shd w:val="clear" w:color="auto" w:fill="FFFFFF"/>
        <w:adjustRightInd w:val="0"/>
        <w:snapToGrid w:val="0"/>
        <w:spacing w:line="520" w:lineRule="exact"/>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单位：</w:t>
      </w:r>
    </w:p>
    <w:p>
      <w:pPr>
        <w:adjustRightInd w:val="0"/>
        <w:snapToGrid w:val="0"/>
        <w:spacing w:line="360" w:lineRule="auto"/>
        <w:ind w:firstLine="420" w:firstLineChars="200"/>
        <w:outlineLvl w:val="0"/>
        <w:rPr>
          <w:rFonts w:ascii="仿宋" w:hAnsi="仿宋" w:eastAsia="仿宋" w:cs="仿宋"/>
          <w:szCs w:val="21"/>
        </w:rPr>
      </w:pPr>
      <w:r>
        <w:rPr>
          <w:rFonts w:hint="eastAsia" w:ascii="仿宋" w:hAnsi="仿宋" w:eastAsia="仿宋" w:cs="仿宋"/>
          <w:szCs w:val="21"/>
        </w:rPr>
        <w:t>根据工作需要，现将以下设备配发给你单位，请按照«政府会计制度»相关要求，做好固定资产入库或库存物资管理等相关工作，确保国有资产不流失，安全完整。</w:t>
      </w:r>
    </w:p>
    <w:p>
      <w:pPr>
        <w:adjustRightInd w:val="0"/>
        <w:snapToGrid w:val="0"/>
        <w:spacing w:line="360" w:lineRule="auto"/>
        <w:jc w:val="center"/>
        <w:outlineLvl w:val="0"/>
        <w:rPr>
          <w:rFonts w:ascii="仿宋" w:hAnsi="仿宋" w:eastAsia="仿宋" w:cs="仿宋"/>
          <w:szCs w:val="21"/>
        </w:rPr>
      </w:pPr>
    </w:p>
    <w:p>
      <w:pPr>
        <w:adjustRightInd w:val="0"/>
        <w:snapToGrid w:val="0"/>
        <w:spacing w:line="360" w:lineRule="auto"/>
        <w:jc w:val="center"/>
        <w:outlineLvl w:val="0"/>
        <w:rPr>
          <w:rFonts w:ascii="仿宋" w:hAnsi="仿宋" w:eastAsia="仿宋" w:cs="仿宋"/>
          <w:szCs w:val="21"/>
        </w:rPr>
      </w:pPr>
      <w:r>
        <w:rPr>
          <w:rFonts w:hint="eastAsia" w:ascii="仿宋" w:hAnsi="仿宋" w:eastAsia="仿宋" w:cs="仿宋"/>
          <w:szCs w:val="21"/>
        </w:rPr>
        <w:t>自治区疾控中心物资配发通知单</w:t>
      </w:r>
    </w:p>
    <w:tbl>
      <w:tblPr>
        <w:tblStyle w:val="20"/>
        <w:tblpPr w:leftFromText="180" w:rightFromText="180" w:vertAnchor="page" w:horzAnchor="margin" w:tblpXSpec="center" w:tblpY="4156"/>
        <w:tblW w:w="8774" w:type="dxa"/>
        <w:tblInd w:w="0" w:type="dxa"/>
        <w:tblLayout w:type="fixed"/>
        <w:tblCellMar>
          <w:top w:w="0" w:type="dxa"/>
          <w:left w:w="108" w:type="dxa"/>
          <w:bottom w:w="0" w:type="dxa"/>
          <w:right w:w="108" w:type="dxa"/>
        </w:tblCellMar>
      </w:tblPr>
      <w:tblGrid>
        <w:gridCol w:w="948"/>
        <w:gridCol w:w="1399"/>
        <w:gridCol w:w="1419"/>
        <w:gridCol w:w="599"/>
        <w:gridCol w:w="770"/>
        <w:gridCol w:w="1258"/>
        <w:gridCol w:w="946"/>
        <w:gridCol w:w="913"/>
        <w:gridCol w:w="522"/>
      </w:tblGrid>
      <w:tr>
        <w:tblPrEx>
          <w:tblCellMar>
            <w:top w:w="0" w:type="dxa"/>
            <w:left w:w="108" w:type="dxa"/>
            <w:bottom w:w="0" w:type="dxa"/>
            <w:right w:w="108" w:type="dxa"/>
          </w:tblCellMar>
        </w:tblPrEx>
        <w:trPr>
          <w:trHeight w:val="253" w:hRule="atLeast"/>
        </w:trPr>
        <w:tc>
          <w:tcPr>
            <w:tcW w:w="8252" w:type="dxa"/>
            <w:gridSpan w:val="8"/>
            <w:tcBorders>
              <w:top w:val="nil"/>
              <w:left w:val="nil"/>
              <w:bottom w:val="nil"/>
              <w:right w:val="nil"/>
            </w:tcBorders>
            <w:vAlign w:val="bottom"/>
          </w:tcPr>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 xml:space="preserve">                                                       年     月     日                                 </w:t>
            </w:r>
          </w:p>
        </w:tc>
        <w:tc>
          <w:tcPr>
            <w:tcW w:w="522" w:type="dxa"/>
            <w:tcBorders>
              <w:top w:val="nil"/>
              <w:left w:val="nil"/>
              <w:bottom w:val="nil"/>
              <w:right w:val="nil"/>
            </w:tcBorders>
          </w:tcPr>
          <w:p>
            <w:pPr>
              <w:adjustRightInd w:val="0"/>
              <w:snapToGrid w:val="0"/>
              <w:spacing w:line="360" w:lineRule="auto"/>
              <w:outlineLvl w:val="0"/>
              <w:rPr>
                <w:rFonts w:ascii="仿宋" w:hAnsi="仿宋" w:eastAsia="仿宋" w:cs="仿宋"/>
                <w:szCs w:val="21"/>
              </w:rPr>
            </w:pPr>
          </w:p>
        </w:tc>
      </w:tr>
      <w:tr>
        <w:tblPrEx>
          <w:tblCellMar>
            <w:top w:w="0" w:type="dxa"/>
            <w:left w:w="108" w:type="dxa"/>
            <w:bottom w:w="0" w:type="dxa"/>
            <w:right w:w="108" w:type="dxa"/>
          </w:tblCellMar>
        </w:tblPrEx>
        <w:trPr>
          <w:trHeight w:val="253" w:hRule="atLeast"/>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物 资 名 称</w:t>
            </w:r>
          </w:p>
        </w:tc>
        <w:tc>
          <w:tcPr>
            <w:tcW w:w="1399" w:type="dxa"/>
            <w:tcBorders>
              <w:top w:val="single" w:color="auto" w:sz="4" w:space="0"/>
              <w:left w:val="nil"/>
              <w:bottom w:val="single" w:color="auto" w:sz="4" w:space="0"/>
              <w:right w:val="single" w:color="auto" w:sz="4" w:space="0"/>
            </w:tcBorders>
            <w:vAlign w:val="center"/>
          </w:tcPr>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规格型号</w:t>
            </w:r>
          </w:p>
        </w:tc>
        <w:tc>
          <w:tcPr>
            <w:tcW w:w="1419" w:type="dxa"/>
            <w:tcBorders>
              <w:top w:val="single" w:color="auto" w:sz="4" w:space="0"/>
              <w:left w:val="nil"/>
              <w:bottom w:val="single" w:color="auto" w:sz="4" w:space="0"/>
              <w:right w:val="single" w:color="auto" w:sz="4" w:space="0"/>
            </w:tcBorders>
            <w:vAlign w:val="center"/>
          </w:tcPr>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外包装是否良好</w:t>
            </w:r>
          </w:p>
        </w:tc>
        <w:tc>
          <w:tcPr>
            <w:tcW w:w="599" w:type="dxa"/>
            <w:tcBorders>
              <w:top w:val="single" w:color="auto" w:sz="4" w:space="0"/>
              <w:left w:val="nil"/>
              <w:bottom w:val="single" w:color="auto" w:sz="4" w:space="0"/>
              <w:right w:val="single" w:color="auto" w:sz="4" w:space="0"/>
            </w:tcBorders>
            <w:vAlign w:val="center"/>
          </w:tcPr>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单位</w:t>
            </w:r>
          </w:p>
        </w:tc>
        <w:tc>
          <w:tcPr>
            <w:tcW w:w="770" w:type="dxa"/>
            <w:tcBorders>
              <w:top w:val="single" w:color="auto" w:sz="4" w:space="0"/>
              <w:left w:val="nil"/>
              <w:bottom w:val="single" w:color="auto" w:sz="4" w:space="0"/>
              <w:right w:val="single" w:color="auto" w:sz="4" w:space="0"/>
            </w:tcBorders>
            <w:vAlign w:val="center"/>
          </w:tcPr>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数 量</w:t>
            </w:r>
          </w:p>
        </w:tc>
        <w:tc>
          <w:tcPr>
            <w:tcW w:w="1258" w:type="dxa"/>
            <w:tcBorders>
              <w:top w:val="single" w:color="auto" w:sz="4" w:space="0"/>
              <w:left w:val="nil"/>
              <w:bottom w:val="single" w:color="auto" w:sz="4" w:space="0"/>
              <w:right w:val="single" w:color="auto" w:sz="4" w:space="0"/>
            </w:tcBorders>
            <w:vAlign w:val="center"/>
          </w:tcPr>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单价（元）</w:t>
            </w:r>
          </w:p>
        </w:tc>
        <w:tc>
          <w:tcPr>
            <w:tcW w:w="946" w:type="dxa"/>
            <w:tcBorders>
              <w:top w:val="single" w:color="auto" w:sz="4" w:space="0"/>
              <w:left w:val="nil"/>
              <w:bottom w:val="single" w:color="auto" w:sz="4" w:space="0"/>
              <w:right w:val="single" w:color="auto" w:sz="4" w:space="0"/>
            </w:tcBorders>
            <w:vAlign w:val="center"/>
          </w:tcPr>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金额（元）</w:t>
            </w:r>
          </w:p>
        </w:tc>
        <w:tc>
          <w:tcPr>
            <w:tcW w:w="913" w:type="dxa"/>
            <w:tcBorders>
              <w:top w:val="single" w:color="auto" w:sz="4" w:space="0"/>
              <w:left w:val="nil"/>
              <w:bottom w:val="single" w:color="auto" w:sz="4" w:space="0"/>
              <w:right w:val="single" w:color="auto" w:sz="4" w:space="0"/>
            </w:tcBorders>
            <w:vAlign w:val="center"/>
          </w:tcPr>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验收是否合格</w:t>
            </w:r>
          </w:p>
        </w:tc>
        <w:tc>
          <w:tcPr>
            <w:tcW w:w="522" w:type="dxa"/>
            <w:tcBorders>
              <w:top w:val="single" w:color="auto" w:sz="4" w:space="0"/>
              <w:left w:val="nil"/>
              <w:bottom w:val="single" w:color="auto" w:sz="4" w:space="0"/>
              <w:right w:val="single" w:color="auto" w:sz="4" w:space="0"/>
            </w:tcBorders>
            <w:vAlign w:val="center"/>
          </w:tcPr>
          <w:p>
            <w:pPr>
              <w:adjustRightInd w:val="0"/>
              <w:snapToGrid w:val="0"/>
              <w:spacing w:line="360" w:lineRule="auto"/>
              <w:outlineLvl w:val="0"/>
              <w:rPr>
                <w:rFonts w:ascii="仿宋" w:hAnsi="仿宋" w:eastAsia="仿宋" w:cs="仿宋"/>
                <w:szCs w:val="21"/>
              </w:rPr>
            </w:pPr>
            <w:r>
              <w:rPr>
                <w:rFonts w:hint="eastAsia" w:ascii="仿宋" w:hAnsi="仿宋" w:eastAsia="仿宋" w:cs="仿宋"/>
                <w:szCs w:val="21"/>
              </w:rPr>
              <w:t>备 注</w:t>
            </w:r>
          </w:p>
        </w:tc>
      </w:tr>
      <w:tr>
        <w:tblPrEx>
          <w:tblCellMar>
            <w:top w:w="0" w:type="dxa"/>
            <w:left w:w="108" w:type="dxa"/>
            <w:bottom w:w="0" w:type="dxa"/>
            <w:right w:w="108" w:type="dxa"/>
          </w:tblCellMar>
        </w:tblPrEx>
        <w:trPr>
          <w:trHeight w:val="253" w:hRule="atLeast"/>
        </w:trPr>
        <w:tc>
          <w:tcPr>
            <w:tcW w:w="948" w:type="dxa"/>
            <w:tcBorders>
              <w:top w:val="nil"/>
              <w:left w:val="single" w:color="auto" w:sz="4" w:space="0"/>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399"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419"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599"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770"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258"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946"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913"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522"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r>
      <w:tr>
        <w:tblPrEx>
          <w:tblCellMar>
            <w:top w:w="0" w:type="dxa"/>
            <w:left w:w="108" w:type="dxa"/>
            <w:bottom w:w="0" w:type="dxa"/>
            <w:right w:w="108" w:type="dxa"/>
          </w:tblCellMar>
        </w:tblPrEx>
        <w:trPr>
          <w:trHeight w:val="253" w:hRule="atLeast"/>
        </w:trPr>
        <w:tc>
          <w:tcPr>
            <w:tcW w:w="948" w:type="dxa"/>
            <w:tcBorders>
              <w:top w:val="nil"/>
              <w:left w:val="single" w:color="auto" w:sz="4" w:space="0"/>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399"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419"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599"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770"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258"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946"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913"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522"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r>
      <w:tr>
        <w:tblPrEx>
          <w:tblCellMar>
            <w:top w:w="0" w:type="dxa"/>
            <w:left w:w="108" w:type="dxa"/>
            <w:bottom w:w="0" w:type="dxa"/>
            <w:right w:w="108" w:type="dxa"/>
          </w:tblCellMar>
        </w:tblPrEx>
        <w:trPr>
          <w:trHeight w:val="253" w:hRule="atLeast"/>
        </w:trPr>
        <w:tc>
          <w:tcPr>
            <w:tcW w:w="948" w:type="dxa"/>
            <w:tcBorders>
              <w:top w:val="nil"/>
              <w:left w:val="single" w:color="auto" w:sz="4" w:space="0"/>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399"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419"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599"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770"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258"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946"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913"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522"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r>
      <w:tr>
        <w:tblPrEx>
          <w:tblCellMar>
            <w:top w:w="0" w:type="dxa"/>
            <w:left w:w="108" w:type="dxa"/>
            <w:bottom w:w="0" w:type="dxa"/>
            <w:right w:w="108" w:type="dxa"/>
          </w:tblCellMar>
        </w:tblPrEx>
        <w:trPr>
          <w:trHeight w:val="253" w:hRule="atLeast"/>
        </w:trPr>
        <w:tc>
          <w:tcPr>
            <w:tcW w:w="948" w:type="dxa"/>
            <w:tcBorders>
              <w:top w:val="nil"/>
              <w:left w:val="single" w:color="auto" w:sz="4" w:space="0"/>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399"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419"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599"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770"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258"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946"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913"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522"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r>
      <w:tr>
        <w:tblPrEx>
          <w:tblCellMar>
            <w:top w:w="0" w:type="dxa"/>
            <w:left w:w="108" w:type="dxa"/>
            <w:bottom w:w="0" w:type="dxa"/>
            <w:right w:w="108" w:type="dxa"/>
          </w:tblCellMar>
        </w:tblPrEx>
        <w:trPr>
          <w:trHeight w:val="253" w:hRule="atLeast"/>
        </w:trPr>
        <w:tc>
          <w:tcPr>
            <w:tcW w:w="948" w:type="dxa"/>
            <w:tcBorders>
              <w:top w:val="nil"/>
              <w:left w:val="single" w:color="auto" w:sz="4" w:space="0"/>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399"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419"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599"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770"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1258"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c>
          <w:tcPr>
            <w:tcW w:w="946"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913" w:type="dxa"/>
            <w:tcBorders>
              <w:top w:val="nil"/>
              <w:left w:val="nil"/>
              <w:bottom w:val="single" w:color="auto" w:sz="4" w:space="0"/>
              <w:right w:val="single" w:color="auto" w:sz="4" w:space="0"/>
            </w:tcBorders>
            <w:vAlign w:val="bottom"/>
          </w:tcPr>
          <w:p>
            <w:pPr>
              <w:adjustRightInd w:val="0"/>
              <w:snapToGrid w:val="0"/>
              <w:spacing w:line="360" w:lineRule="auto"/>
              <w:outlineLvl w:val="0"/>
              <w:rPr>
                <w:rFonts w:ascii="仿宋" w:hAnsi="仿宋" w:eastAsia="仿宋" w:cs="仿宋"/>
                <w:szCs w:val="21"/>
              </w:rPr>
            </w:pPr>
          </w:p>
        </w:tc>
        <w:tc>
          <w:tcPr>
            <w:tcW w:w="522" w:type="dxa"/>
            <w:tcBorders>
              <w:top w:val="nil"/>
              <w:left w:val="nil"/>
              <w:bottom w:val="single" w:color="auto" w:sz="4" w:space="0"/>
              <w:right w:val="single" w:color="auto" w:sz="4" w:space="0"/>
            </w:tcBorders>
          </w:tcPr>
          <w:p>
            <w:pPr>
              <w:adjustRightInd w:val="0"/>
              <w:snapToGrid w:val="0"/>
              <w:spacing w:line="360" w:lineRule="auto"/>
              <w:outlineLvl w:val="0"/>
              <w:rPr>
                <w:rFonts w:ascii="仿宋" w:hAnsi="仿宋" w:eastAsia="仿宋" w:cs="仿宋"/>
                <w:szCs w:val="21"/>
              </w:rPr>
            </w:pPr>
          </w:p>
        </w:tc>
      </w:tr>
    </w:tbl>
    <w:p>
      <w:pPr>
        <w:adjustRightInd w:val="0"/>
        <w:snapToGrid w:val="0"/>
        <w:spacing w:line="360" w:lineRule="auto"/>
        <w:outlineLvl w:val="0"/>
        <w:rPr>
          <w:rFonts w:ascii="仿宋" w:hAnsi="仿宋" w:eastAsia="仿宋" w:cs="仿宋"/>
          <w:szCs w:val="21"/>
        </w:rPr>
      </w:pPr>
    </w:p>
    <w:p>
      <w:pPr>
        <w:widowControl/>
        <w:shd w:val="clear" w:color="auto" w:fill="FFFFFF"/>
        <w:adjustRightInd w:val="0"/>
        <w:snapToGrid w:val="0"/>
        <w:spacing w:line="520" w:lineRule="exact"/>
        <w:ind w:firstLine="120" w:firstLineChars="50"/>
        <w:rPr>
          <w:rFonts w:ascii="仿宋" w:hAnsi="仿宋" w:eastAsia="仿宋" w:cs="仿宋"/>
          <w:kern w:val="0"/>
          <w:sz w:val="24"/>
        </w:rPr>
      </w:pPr>
      <w:r>
        <w:rPr>
          <w:rFonts w:hint="eastAsia" w:ascii="仿宋" w:hAnsi="仿宋" w:eastAsia="仿宋" w:cs="仿宋"/>
          <w:kern w:val="0"/>
          <w:sz w:val="24"/>
        </w:rPr>
        <w:t>移交人签字：              接交人签字：                  监交人签字：              接收单位（财务）盖章：</w:t>
      </w:r>
    </w:p>
    <w:p>
      <w:pPr>
        <w:widowControl/>
        <w:shd w:val="clear" w:color="auto" w:fill="FFFFFF"/>
        <w:adjustRightInd w:val="0"/>
        <w:snapToGrid w:val="0"/>
        <w:spacing w:line="520" w:lineRule="exact"/>
        <w:ind w:right="1440"/>
        <w:rPr>
          <w:rFonts w:ascii="仿宋" w:hAnsi="仿宋" w:eastAsia="仿宋" w:cs="仿宋"/>
          <w:kern w:val="0"/>
          <w:sz w:val="24"/>
        </w:rPr>
      </w:pPr>
    </w:p>
    <w:p>
      <w:pPr>
        <w:widowControl/>
        <w:shd w:val="clear" w:color="auto" w:fill="FFFFFF"/>
        <w:adjustRightInd w:val="0"/>
        <w:snapToGrid w:val="0"/>
        <w:spacing w:line="520" w:lineRule="exact"/>
        <w:ind w:right="1440"/>
        <w:jc w:val="right"/>
        <w:rPr>
          <w:rFonts w:ascii="仿宋" w:hAnsi="仿宋" w:eastAsia="仿宋" w:cs="仿宋"/>
          <w:kern w:val="0"/>
          <w:sz w:val="24"/>
        </w:rPr>
      </w:pPr>
    </w:p>
    <w:p>
      <w:pPr>
        <w:widowControl/>
        <w:shd w:val="clear" w:color="auto" w:fill="FFFFFF"/>
        <w:adjustRightInd w:val="0"/>
        <w:snapToGrid w:val="0"/>
        <w:spacing w:line="520" w:lineRule="exact"/>
        <w:ind w:right="1440"/>
        <w:jc w:val="right"/>
        <w:rPr>
          <w:rFonts w:ascii="仿宋" w:hAnsi="仿宋" w:eastAsia="仿宋" w:cs="仿宋"/>
          <w:kern w:val="0"/>
          <w:sz w:val="24"/>
        </w:rPr>
      </w:pPr>
    </w:p>
    <w:p>
      <w:pPr>
        <w:widowControl/>
        <w:shd w:val="clear" w:color="auto" w:fill="FFFFFF"/>
        <w:adjustRightInd w:val="0"/>
        <w:snapToGrid w:val="0"/>
        <w:spacing w:line="520" w:lineRule="exact"/>
        <w:ind w:right="1680"/>
        <w:jc w:val="right"/>
        <w:rPr>
          <w:rFonts w:ascii="仿宋" w:hAnsi="仿宋" w:eastAsia="仿宋" w:cs="仿宋"/>
          <w:kern w:val="0"/>
          <w:sz w:val="24"/>
        </w:rPr>
      </w:pPr>
      <w:r>
        <w:rPr>
          <w:rFonts w:hint="eastAsia" w:ascii="仿宋" w:hAnsi="仿宋" w:eastAsia="仿宋" w:cs="仿宋"/>
          <w:kern w:val="0"/>
          <w:sz w:val="24"/>
        </w:rPr>
        <w:t>自治区疾病预防控制中心</w:t>
      </w:r>
    </w:p>
    <w:p>
      <w:pPr>
        <w:widowControl/>
        <w:adjustRightInd w:val="0"/>
        <w:snapToGrid w:val="0"/>
        <w:spacing w:after="150" w:line="520" w:lineRule="exact"/>
        <w:ind w:left="5280" w:hanging="5280" w:hangingChars="2200"/>
        <w:jc w:val="left"/>
        <w:rPr>
          <w:rFonts w:ascii="仿宋" w:hAnsi="仿宋" w:eastAsia="仿宋" w:cs="仿宋"/>
          <w:kern w:val="0"/>
          <w:sz w:val="24"/>
        </w:rPr>
      </w:pPr>
      <w:r>
        <w:rPr>
          <w:rFonts w:hint="eastAsia" w:ascii="仿宋" w:hAnsi="仿宋" w:eastAsia="仿宋" w:cs="仿宋"/>
          <w:kern w:val="0"/>
          <w:sz w:val="24"/>
        </w:rPr>
        <w:t xml:space="preserve">                                                                                          20   年   月  日</w:t>
      </w:r>
    </w:p>
    <w:p>
      <w:pPr>
        <w:pStyle w:val="26"/>
        <w:numPr>
          <w:ilvl w:val="0"/>
          <w:numId w:val="0"/>
        </w:numPr>
        <w:rPr>
          <w:rFonts w:ascii="仿宋" w:hAnsi="仿宋" w:eastAsia="仿宋" w:cs="仿宋"/>
        </w:rPr>
      </w:pPr>
    </w:p>
    <w:p>
      <w:pPr>
        <w:pStyle w:val="3"/>
        <w:keepLines w:val="0"/>
        <w:spacing w:before="0" w:after="0" w:line="360" w:lineRule="auto"/>
        <w:ind w:right="-441" w:rightChars="-210"/>
        <w:jc w:val="center"/>
        <w:rPr>
          <w:rFonts w:ascii="仿宋" w:hAnsi="仿宋" w:eastAsia="仿宋" w:cs="仿宋"/>
          <w:kern w:val="2"/>
          <w:sz w:val="48"/>
          <w:szCs w:val="48"/>
        </w:rPr>
      </w:pPr>
    </w:p>
    <w:p>
      <w:pPr>
        <w:rPr>
          <w:rFonts w:ascii="仿宋" w:hAnsi="仿宋" w:eastAsia="仿宋" w:cs="仿宋"/>
        </w:rPr>
      </w:pPr>
    </w:p>
    <w:p>
      <w:pPr>
        <w:pStyle w:val="26"/>
        <w:numPr>
          <w:ilvl w:val="0"/>
          <w:numId w:val="0"/>
        </w:numPr>
        <w:ind w:left="1134"/>
        <w:rPr>
          <w:rFonts w:ascii="仿宋" w:hAnsi="仿宋" w:eastAsia="仿宋" w:cs="仿宋"/>
        </w:rPr>
      </w:pPr>
    </w:p>
    <w:p>
      <w:pPr>
        <w:pStyle w:val="27"/>
        <w:rPr>
          <w:rFonts w:ascii="仿宋" w:hAnsi="仿宋" w:eastAsia="仿宋" w:cs="仿宋"/>
        </w:rPr>
      </w:pPr>
    </w:p>
    <w:p>
      <w:pPr>
        <w:pStyle w:val="27"/>
        <w:rPr>
          <w:rFonts w:ascii="仿宋" w:hAnsi="仿宋" w:eastAsia="仿宋" w:cs="仿宋"/>
        </w:rPr>
      </w:pPr>
    </w:p>
    <w:p>
      <w:pPr>
        <w:pStyle w:val="27"/>
        <w:rPr>
          <w:rFonts w:ascii="仿宋" w:hAnsi="仿宋" w:eastAsia="仿宋" w:cs="仿宋"/>
        </w:rPr>
      </w:pPr>
    </w:p>
    <w:p>
      <w:pPr>
        <w:pStyle w:val="27"/>
        <w:rPr>
          <w:rFonts w:ascii="仿宋" w:hAnsi="仿宋" w:eastAsia="仿宋" w:cs="仿宋"/>
        </w:rPr>
      </w:pPr>
    </w:p>
    <w:p>
      <w:pPr>
        <w:pStyle w:val="27"/>
        <w:rPr>
          <w:rFonts w:ascii="仿宋" w:hAnsi="仿宋" w:eastAsia="仿宋" w:cs="仿宋"/>
        </w:rPr>
      </w:pPr>
    </w:p>
    <w:p>
      <w:pPr>
        <w:pStyle w:val="27"/>
        <w:rPr>
          <w:rFonts w:ascii="仿宋" w:hAnsi="仿宋" w:eastAsia="仿宋" w:cs="仿宋"/>
        </w:rPr>
      </w:pPr>
    </w:p>
    <w:p>
      <w:pPr>
        <w:pStyle w:val="27"/>
        <w:rPr>
          <w:rFonts w:ascii="仿宋" w:hAnsi="仿宋" w:eastAsia="仿宋" w:cs="仿宋"/>
        </w:rPr>
      </w:pPr>
    </w:p>
    <w:p>
      <w:pPr>
        <w:pStyle w:val="3"/>
        <w:keepLines w:val="0"/>
        <w:spacing w:before="0" w:after="0" w:line="360" w:lineRule="auto"/>
        <w:ind w:right="-441" w:rightChars="-210"/>
        <w:jc w:val="center"/>
        <w:rPr>
          <w:rFonts w:ascii="仿宋" w:hAnsi="仿宋" w:eastAsia="仿宋" w:cs="仿宋"/>
          <w:kern w:val="2"/>
          <w:sz w:val="48"/>
          <w:szCs w:val="48"/>
        </w:rPr>
      </w:pPr>
      <w:r>
        <w:rPr>
          <w:rFonts w:hint="eastAsia" w:ascii="仿宋" w:hAnsi="仿宋" w:eastAsia="仿宋" w:cs="仿宋"/>
          <w:kern w:val="2"/>
          <w:sz w:val="48"/>
          <w:szCs w:val="48"/>
        </w:rPr>
        <w:t>第五章  投标文件格式</w:t>
      </w:r>
      <w:bookmarkEnd w:id="121"/>
      <w:bookmarkEnd w:id="122"/>
      <w:bookmarkEnd w:id="123"/>
      <w:bookmarkEnd w:id="124"/>
    </w:p>
    <w:p>
      <w:pPr>
        <w:rPr>
          <w:rFonts w:ascii="仿宋" w:hAnsi="仿宋" w:eastAsia="仿宋" w:cs="仿宋"/>
        </w:rPr>
      </w:pPr>
      <w:bookmarkStart w:id="125" w:name="_Toc32597"/>
      <w:bookmarkStart w:id="126" w:name="_Toc243976061"/>
      <w:bookmarkStart w:id="127" w:name="_Toc226860618"/>
      <w:r>
        <w:rPr>
          <w:rFonts w:hint="eastAsia" w:ascii="仿宋" w:hAnsi="仿宋" w:eastAsia="仿宋" w:cs="仿宋"/>
        </w:rPr>
        <w:t>投标文件封面示例</w:t>
      </w:r>
    </w:p>
    <w:p>
      <w:pPr>
        <w:rPr>
          <w:rFonts w:ascii="仿宋" w:hAnsi="仿宋" w:eastAsia="仿宋" w:cs="仿宋"/>
          <w:b/>
        </w:rPr>
      </w:pPr>
    </w:p>
    <w:p>
      <w:pPr>
        <w:jc w:val="right"/>
        <w:rPr>
          <w:rFonts w:ascii="仿宋" w:hAnsi="仿宋" w:eastAsia="仿宋" w:cs="仿宋"/>
          <w:b/>
          <w:bdr w:val="single" w:color="auto" w:sz="4" w:space="0"/>
        </w:rPr>
      </w:pPr>
      <w:r>
        <w:rPr>
          <w:rFonts w:hint="eastAsia" w:ascii="仿宋" w:hAnsi="仿宋" w:eastAsia="仿宋" w:cs="仿宋"/>
          <w:b/>
          <w:bdr w:val="single" w:color="auto" w:sz="4" w:space="0"/>
        </w:rPr>
        <w:t>正本</w:t>
      </w:r>
    </w:p>
    <w:p>
      <w:pPr>
        <w:jc w:val="right"/>
        <w:rPr>
          <w:rFonts w:ascii="仿宋" w:hAnsi="仿宋" w:eastAsia="仿宋" w:cs="仿宋"/>
          <w:b/>
          <w:bdr w:val="single" w:color="auto" w:sz="4" w:space="0"/>
        </w:rPr>
      </w:pPr>
    </w:p>
    <w:p>
      <w:pPr>
        <w:rPr>
          <w:rFonts w:ascii="仿宋" w:hAnsi="仿宋" w:eastAsia="仿宋" w:cs="仿宋"/>
          <w:b/>
        </w:rPr>
      </w:pPr>
    </w:p>
    <w:p>
      <w:pPr>
        <w:rPr>
          <w:rFonts w:ascii="仿宋" w:hAnsi="仿宋" w:eastAsia="仿宋" w:cs="仿宋"/>
          <w:b/>
        </w:rPr>
      </w:pPr>
    </w:p>
    <w:p>
      <w:pPr>
        <w:rPr>
          <w:rFonts w:ascii="仿宋" w:hAnsi="仿宋" w:eastAsia="仿宋" w:cs="仿宋"/>
          <w:b/>
        </w:rPr>
      </w:pPr>
    </w:p>
    <w:p>
      <w:pPr>
        <w:rPr>
          <w:rFonts w:ascii="仿宋" w:hAnsi="仿宋" w:eastAsia="仿宋" w:cs="仿宋"/>
          <w:b/>
        </w:rPr>
      </w:pPr>
    </w:p>
    <w:p>
      <w:pPr>
        <w:rPr>
          <w:rFonts w:ascii="仿宋" w:hAnsi="仿宋" w:eastAsia="仿宋" w:cs="仿宋"/>
          <w:b/>
        </w:rPr>
      </w:pPr>
    </w:p>
    <w:p>
      <w:pPr>
        <w:rPr>
          <w:rFonts w:ascii="仿宋" w:hAnsi="仿宋" w:eastAsia="仿宋" w:cs="仿宋"/>
          <w:b/>
        </w:rPr>
      </w:pPr>
    </w:p>
    <w:p>
      <w:pPr>
        <w:jc w:val="center"/>
        <w:rPr>
          <w:rFonts w:ascii="仿宋" w:hAnsi="仿宋" w:eastAsia="仿宋" w:cs="仿宋"/>
          <w:b/>
        </w:rPr>
      </w:pPr>
      <w:r>
        <w:rPr>
          <w:rFonts w:hint="eastAsia" w:ascii="仿宋" w:hAnsi="仿宋" w:eastAsia="仿宋" w:cs="仿宋"/>
          <w:b/>
        </w:rPr>
        <w:t>投标文件</w:t>
      </w:r>
    </w:p>
    <w:p>
      <w:pPr>
        <w:rPr>
          <w:rFonts w:ascii="仿宋" w:hAnsi="仿宋" w:eastAsia="仿宋" w:cs="仿宋"/>
          <w:b/>
        </w:rPr>
      </w:pPr>
    </w:p>
    <w:p>
      <w:pPr>
        <w:rPr>
          <w:rFonts w:ascii="仿宋" w:hAnsi="仿宋" w:eastAsia="仿宋" w:cs="仿宋"/>
          <w:b/>
        </w:rPr>
      </w:pPr>
    </w:p>
    <w:p>
      <w:pPr>
        <w:rPr>
          <w:rFonts w:ascii="仿宋" w:hAnsi="仿宋" w:eastAsia="仿宋" w:cs="仿宋"/>
          <w:b/>
        </w:rPr>
      </w:pPr>
    </w:p>
    <w:p>
      <w:pPr>
        <w:rPr>
          <w:rFonts w:ascii="仿宋" w:hAnsi="仿宋" w:eastAsia="仿宋" w:cs="仿宋"/>
          <w:b/>
        </w:rPr>
      </w:pPr>
    </w:p>
    <w:p>
      <w:pPr>
        <w:rPr>
          <w:rFonts w:ascii="仿宋" w:hAnsi="仿宋" w:eastAsia="仿宋" w:cs="仿宋"/>
          <w:b/>
        </w:rPr>
      </w:pPr>
    </w:p>
    <w:p>
      <w:pPr>
        <w:rPr>
          <w:rFonts w:ascii="仿宋" w:hAnsi="仿宋" w:eastAsia="仿宋" w:cs="仿宋"/>
          <w:b/>
        </w:rPr>
      </w:pPr>
      <w:r>
        <w:rPr>
          <w:rFonts w:hint="eastAsia" w:ascii="仿宋" w:hAnsi="仿宋" w:eastAsia="仿宋" w:cs="仿宋"/>
          <w:b/>
        </w:rPr>
        <w:t xml:space="preserve">项目名称：××× </w:t>
      </w:r>
    </w:p>
    <w:p>
      <w:pPr>
        <w:rPr>
          <w:rFonts w:ascii="仿宋" w:hAnsi="仿宋" w:eastAsia="仿宋" w:cs="仿宋"/>
          <w:b/>
        </w:rPr>
      </w:pPr>
    </w:p>
    <w:p>
      <w:pPr>
        <w:rPr>
          <w:rFonts w:ascii="仿宋" w:hAnsi="仿宋" w:eastAsia="仿宋" w:cs="仿宋"/>
          <w:b/>
        </w:rPr>
      </w:pPr>
    </w:p>
    <w:p>
      <w:pPr>
        <w:rPr>
          <w:rFonts w:ascii="仿宋" w:hAnsi="仿宋" w:eastAsia="仿宋" w:cs="仿宋"/>
          <w:b/>
        </w:rPr>
      </w:pPr>
      <w:r>
        <w:rPr>
          <w:rFonts w:hint="eastAsia" w:ascii="仿宋" w:hAnsi="仿宋" w:eastAsia="仿宋" w:cs="仿宋"/>
          <w:b/>
        </w:rPr>
        <w:t>招标人名称：×××</w:t>
      </w:r>
    </w:p>
    <w:p>
      <w:pPr>
        <w:rPr>
          <w:rFonts w:ascii="仿宋" w:hAnsi="仿宋" w:eastAsia="仿宋" w:cs="仿宋"/>
          <w:b/>
        </w:rPr>
      </w:pPr>
    </w:p>
    <w:p>
      <w:pPr>
        <w:rPr>
          <w:rFonts w:ascii="仿宋" w:hAnsi="仿宋" w:eastAsia="仿宋" w:cs="仿宋"/>
          <w:b/>
        </w:rPr>
      </w:pPr>
    </w:p>
    <w:p>
      <w:pPr>
        <w:rPr>
          <w:rFonts w:ascii="仿宋" w:hAnsi="仿宋" w:eastAsia="仿宋" w:cs="仿宋"/>
          <w:b/>
        </w:rPr>
      </w:pPr>
      <w:r>
        <w:rPr>
          <w:rFonts w:hint="eastAsia" w:ascii="仿宋" w:hAnsi="仿宋" w:eastAsia="仿宋" w:cs="仿宋"/>
          <w:b/>
        </w:rPr>
        <w:t>投标人名称：×××</w:t>
      </w:r>
    </w:p>
    <w:p>
      <w:pPr>
        <w:rPr>
          <w:rFonts w:ascii="仿宋" w:hAnsi="仿宋" w:eastAsia="仿宋" w:cs="仿宋"/>
          <w:b/>
        </w:rPr>
      </w:pPr>
    </w:p>
    <w:p>
      <w:pPr>
        <w:rPr>
          <w:rFonts w:ascii="仿宋" w:hAnsi="仿宋" w:eastAsia="仿宋" w:cs="仿宋"/>
          <w:b/>
        </w:rPr>
      </w:pPr>
    </w:p>
    <w:p>
      <w:pPr>
        <w:rPr>
          <w:rFonts w:ascii="仿宋" w:hAnsi="仿宋" w:eastAsia="仿宋" w:cs="仿宋"/>
          <w:b/>
        </w:rPr>
      </w:pPr>
      <w:r>
        <w:rPr>
          <w:rFonts w:hint="eastAsia" w:ascii="仿宋" w:hAnsi="仿宋" w:eastAsia="仿宋" w:cs="仿宋"/>
          <w:b/>
        </w:rPr>
        <w:t xml:space="preserve">联系人：                   联系电话：                </w:t>
      </w:r>
    </w:p>
    <w:p>
      <w:pPr>
        <w:rPr>
          <w:rFonts w:ascii="仿宋" w:hAnsi="仿宋" w:eastAsia="仿宋" w:cs="仿宋"/>
          <w:b/>
        </w:rPr>
      </w:pPr>
    </w:p>
    <w:p>
      <w:pPr>
        <w:rPr>
          <w:rFonts w:ascii="仿宋" w:hAnsi="仿宋" w:eastAsia="仿宋" w:cs="仿宋"/>
          <w:b/>
        </w:rPr>
      </w:pPr>
    </w:p>
    <w:p>
      <w:pPr>
        <w:rPr>
          <w:rFonts w:ascii="仿宋" w:hAnsi="仿宋" w:eastAsia="仿宋" w:cs="仿宋"/>
          <w:b/>
        </w:rPr>
      </w:pPr>
      <w:r>
        <w:rPr>
          <w:rFonts w:hint="eastAsia" w:ascii="仿宋" w:hAnsi="仿宋" w:eastAsia="仿宋" w:cs="仿宋"/>
          <w:b/>
        </w:rPr>
        <w:t xml:space="preserve">投标人地址：                      </w:t>
      </w:r>
    </w:p>
    <w:p>
      <w:pPr>
        <w:rPr>
          <w:rFonts w:ascii="仿宋" w:hAnsi="仿宋" w:eastAsia="仿宋" w:cs="仿宋"/>
          <w:b/>
        </w:rPr>
      </w:pPr>
    </w:p>
    <w:p>
      <w:pPr>
        <w:jc w:val="center"/>
        <w:rPr>
          <w:rFonts w:ascii="仿宋" w:hAnsi="仿宋" w:eastAsia="仿宋" w:cs="仿宋"/>
          <w:b/>
        </w:rPr>
      </w:pPr>
      <w:r>
        <w:rPr>
          <w:rFonts w:hint="eastAsia" w:ascii="仿宋" w:hAnsi="仿宋" w:eastAsia="仿宋" w:cs="仿宋"/>
          <w:b/>
        </w:rPr>
        <w:br w:type="page"/>
      </w:r>
      <w:r>
        <w:rPr>
          <w:rFonts w:hint="eastAsia" w:ascii="仿宋" w:hAnsi="仿宋" w:eastAsia="仿宋" w:cs="仿宋"/>
          <w:b/>
        </w:rPr>
        <w:t>投标文件目录</w:t>
      </w:r>
    </w:p>
    <w:p>
      <w:pPr>
        <w:spacing w:line="280" w:lineRule="exact"/>
        <w:rPr>
          <w:rFonts w:ascii="仿宋" w:hAnsi="仿宋" w:eastAsia="仿宋" w:cs="仿宋"/>
        </w:rPr>
      </w:pPr>
      <w:r>
        <w:rPr>
          <w:rFonts w:hint="eastAsia" w:ascii="仿宋" w:hAnsi="仿宋" w:eastAsia="仿宋" w:cs="仿宋"/>
        </w:rPr>
        <w:t>1、投标承诺书</w:t>
      </w:r>
    </w:p>
    <w:p>
      <w:pPr>
        <w:spacing w:line="280" w:lineRule="exact"/>
        <w:rPr>
          <w:rFonts w:ascii="仿宋" w:hAnsi="仿宋" w:eastAsia="仿宋" w:cs="仿宋"/>
        </w:rPr>
      </w:pPr>
      <w:r>
        <w:rPr>
          <w:rFonts w:hint="eastAsia" w:ascii="仿宋" w:hAnsi="仿宋" w:eastAsia="仿宋" w:cs="仿宋"/>
        </w:rPr>
        <w:t>2、法定代表人身份证明书</w:t>
      </w:r>
    </w:p>
    <w:p>
      <w:pPr>
        <w:spacing w:line="280" w:lineRule="exact"/>
        <w:rPr>
          <w:rFonts w:ascii="仿宋" w:hAnsi="仿宋" w:eastAsia="仿宋" w:cs="仿宋"/>
        </w:rPr>
      </w:pPr>
      <w:r>
        <w:rPr>
          <w:rFonts w:hint="eastAsia" w:ascii="仿宋" w:hAnsi="仿宋" w:eastAsia="仿宋" w:cs="仿宋"/>
        </w:rPr>
        <w:t>3、法定代表人授权委托书</w:t>
      </w:r>
    </w:p>
    <w:p>
      <w:pPr>
        <w:spacing w:line="280" w:lineRule="exact"/>
        <w:rPr>
          <w:rFonts w:ascii="仿宋" w:hAnsi="仿宋" w:eastAsia="仿宋" w:cs="仿宋"/>
        </w:rPr>
      </w:pPr>
      <w:r>
        <w:rPr>
          <w:rFonts w:hint="eastAsia" w:ascii="仿宋" w:hAnsi="仿宋" w:eastAsia="仿宋" w:cs="仿宋"/>
        </w:rPr>
        <w:t>4、投标人概况</w:t>
      </w:r>
    </w:p>
    <w:p>
      <w:pPr>
        <w:spacing w:line="280" w:lineRule="exact"/>
        <w:rPr>
          <w:rFonts w:ascii="仿宋" w:hAnsi="仿宋" w:eastAsia="仿宋" w:cs="仿宋"/>
        </w:rPr>
      </w:pPr>
      <w:r>
        <w:rPr>
          <w:rFonts w:hint="eastAsia" w:ascii="仿宋" w:hAnsi="仿宋" w:eastAsia="仿宋" w:cs="仿宋"/>
        </w:rPr>
        <w:t>5、项目负责人</w:t>
      </w:r>
    </w:p>
    <w:p>
      <w:pPr>
        <w:spacing w:line="280" w:lineRule="exact"/>
        <w:rPr>
          <w:rFonts w:ascii="仿宋" w:hAnsi="仿宋" w:eastAsia="仿宋" w:cs="仿宋"/>
        </w:rPr>
      </w:pPr>
      <w:r>
        <w:rPr>
          <w:rFonts w:hint="eastAsia" w:ascii="仿宋" w:hAnsi="仿宋" w:eastAsia="仿宋" w:cs="仿宋"/>
        </w:rPr>
        <w:t>6、拟投入人员</w:t>
      </w:r>
    </w:p>
    <w:p>
      <w:pPr>
        <w:spacing w:line="280" w:lineRule="exact"/>
        <w:rPr>
          <w:rFonts w:ascii="仿宋" w:hAnsi="仿宋" w:eastAsia="仿宋" w:cs="仿宋"/>
        </w:rPr>
      </w:pPr>
      <w:r>
        <w:rPr>
          <w:rFonts w:hint="eastAsia" w:ascii="仿宋" w:hAnsi="仿宋" w:eastAsia="仿宋" w:cs="仿宋"/>
        </w:rPr>
        <w:t>7、投标人近3年来类似项目</w:t>
      </w:r>
    </w:p>
    <w:p>
      <w:pPr>
        <w:spacing w:line="280" w:lineRule="exact"/>
        <w:rPr>
          <w:rFonts w:ascii="仿宋" w:hAnsi="仿宋" w:eastAsia="仿宋" w:cs="仿宋"/>
        </w:rPr>
      </w:pPr>
      <w:r>
        <w:rPr>
          <w:rFonts w:hint="eastAsia" w:ascii="仿宋" w:hAnsi="仿宋" w:eastAsia="仿宋" w:cs="仿宋"/>
        </w:rPr>
        <w:t>8、拟投入设备</w:t>
      </w:r>
    </w:p>
    <w:p>
      <w:pPr>
        <w:spacing w:line="280" w:lineRule="exact"/>
        <w:rPr>
          <w:rFonts w:ascii="仿宋" w:hAnsi="仿宋" w:eastAsia="仿宋" w:cs="仿宋"/>
        </w:rPr>
      </w:pPr>
      <w:r>
        <w:rPr>
          <w:rFonts w:hint="eastAsia" w:ascii="仿宋" w:hAnsi="仿宋" w:eastAsia="仿宋" w:cs="仿宋"/>
        </w:rPr>
        <w:t>9、其他材料</w:t>
      </w:r>
    </w:p>
    <w:p>
      <w:pPr>
        <w:rPr>
          <w:rFonts w:ascii="仿宋" w:hAnsi="仿宋" w:eastAsia="仿宋" w:cs="仿宋"/>
        </w:rPr>
      </w:pPr>
      <w:r>
        <w:rPr>
          <w:rFonts w:hint="eastAsia" w:ascii="仿宋" w:hAnsi="仿宋" w:eastAsia="仿宋" w:cs="仿宋"/>
        </w:rPr>
        <w:t>注：为了便于查找，请按上述顺序编制投标文件内容，并在目录中标明每项内容的起始页码。</w:t>
      </w:r>
    </w:p>
    <w:p>
      <w:pPr>
        <w:jc w:val="center"/>
        <w:rPr>
          <w:rFonts w:ascii="仿宋" w:hAnsi="仿宋" w:eastAsia="仿宋" w:cs="仿宋"/>
          <w:b/>
        </w:rPr>
      </w:pPr>
      <w:r>
        <w:rPr>
          <w:rFonts w:hint="eastAsia" w:ascii="仿宋" w:hAnsi="仿宋" w:eastAsia="仿宋" w:cs="仿宋"/>
          <w:b/>
        </w:rPr>
        <w:br w:type="page"/>
      </w:r>
      <w:r>
        <w:rPr>
          <w:rFonts w:hint="eastAsia" w:ascii="仿宋" w:hAnsi="仿宋" w:eastAsia="仿宋" w:cs="仿宋"/>
          <w:b/>
        </w:rPr>
        <w:t>投标承诺书(一)</w:t>
      </w:r>
    </w:p>
    <w:p>
      <w:pPr>
        <w:spacing w:line="360" w:lineRule="auto"/>
        <w:jc w:val="center"/>
        <w:rPr>
          <w:rFonts w:ascii="仿宋" w:hAnsi="仿宋" w:eastAsia="仿宋" w:cs="仿宋"/>
          <w:b/>
        </w:rPr>
      </w:pPr>
    </w:p>
    <w:p>
      <w:pPr>
        <w:spacing w:line="360" w:lineRule="auto"/>
        <w:rPr>
          <w:rFonts w:ascii="仿宋" w:hAnsi="仿宋" w:eastAsia="仿宋" w:cs="仿宋"/>
        </w:rPr>
      </w:pPr>
      <w:r>
        <w:rPr>
          <w:rFonts w:hint="eastAsia" w:ascii="仿宋" w:hAnsi="仿宋" w:eastAsia="仿宋" w:cs="仿宋"/>
        </w:rPr>
        <w:t xml:space="preserve">招标人：                       </w:t>
      </w:r>
    </w:p>
    <w:p>
      <w:pPr>
        <w:spacing w:line="360" w:lineRule="auto"/>
        <w:rPr>
          <w:rFonts w:ascii="仿宋" w:hAnsi="仿宋" w:eastAsia="仿宋" w:cs="仿宋"/>
        </w:rPr>
      </w:pPr>
    </w:p>
    <w:p>
      <w:pPr>
        <w:spacing w:line="360" w:lineRule="auto"/>
        <w:ind w:firstLine="420"/>
        <w:rPr>
          <w:rFonts w:ascii="仿宋" w:hAnsi="仿宋" w:eastAsia="仿宋" w:cs="仿宋"/>
        </w:rPr>
      </w:pPr>
      <w:r>
        <w:rPr>
          <w:rFonts w:hint="eastAsia" w:ascii="仿宋" w:hAnsi="仿宋" w:eastAsia="仿宋" w:cs="仿宋"/>
        </w:rPr>
        <w:t>1、根据已收到的           的招标文件，遵照招标投标法律法规的规定，经考察现场和研究贵方的招标文件，投标报价为￥                 元（大写：              元），来承担本项目招标范围内的工作。</w:t>
      </w:r>
    </w:p>
    <w:p>
      <w:pPr>
        <w:spacing w:line="360" w:lineRule="auto"/>
        <w:ind w:firstLine="420" w:firstLineChars="200"/>
        <w:rPr>
          <w:rFonts w:ascii="仿宋" w:hAnsi="仿宋" w:eastAsia="仿宋" w:cs="仿宋"/>
        </w:rPr>
      </w:pPr>
      <w:r>
        <w:rPr>
          <w:rFonts w:hint="eastAsia" w:ascii="仿宋" w:hAnsi="仿宋" w:eastAsia="仿宋" w:cs="仿宋"/>
        </w:rPr>
        <w:t>2、一旦我方中标，我方保证在与招标人签订合同后立即开始工作，并将在    年    月    日内完成。</w:t>
      </w:r>
    </w:p>
    <w:p>
      <w:pPr>
        <w:spacing w:line="360" w:lineRule="auto"/>
        <w:ind w:firstLine="420"/>
        <w:rPr>
          <w:rFonts w:ascii="仿宋" w:hAnsi="仿宋" w:eastAsia="仿宋" w:cs="仿宋"/>
        </w:rPr>
      </w:pPr>
      <w:r>
        <w:rPr>
          <w:rFonts w:hint="eastAsia" w:ascii="仿宋" w:hAnsi="仿宋" w:eastAsia="仿宋" w:cs="仿宋"/>
        </w:rPr>
        <w:t>3、一旦我方中标，我方保证将按国家相关标准及质量要求完成相关工作。</w:t>
      </w:r>
    </w:p>
    <w:p>
      <w:pPr>
        <w:spacing w:line="360" w:lineRule="auto"/>
        <w:ind w:firstLine="420"/>
        <w:rPr>
          <w:rFonts w:ascii="仿宋" w:hAnsi="仿宋" w:eastAsia="仿宋" w:cs="仿宋"/>
        </w:rPr>
      </w:pPr>
      <w:r>
        <w:rPr>
          <w:rFonts w:hint="eastAsia" w:ascii="仿宋" w:hAnsi="仿宋" w:eastAsia="仿宋" w:cs="仿宋"/>
        </w:rPr>
        <w:t>4、如果我方中标，我方将在招标文件规定的时间内签订合同。如果我方违约，除没收投标保证金外，贵方有权终止我方中标并选择其它中标人。</w:t>
      </w:r>
    </w:p>
    <w:p>
      <w:pPr>
        <w:spacing w:line="360" w:lineRule="auto"/>
        <w:ind w:firstLine="420"/>
        <w:rPr>
          <w:rFonts w:ascii="仿宋" w:hAnsi="仿宋" w:eastAsia="仿宋" w:cs="仿宋"/>
        </w:rPr>
      </w:pPr>
      <w:r>
        <w:rPr>
          <w:rFonts w:hint="eastAsia" w:ascii="仿宋" w:hAnsi="仿宋" w:eastAsia="仿宋" w:cs="仿宋"/>
        </w:rPr>
        <w:t>5、贵方的中标通知书和本投标文件将构成约束双方的合同。</w:t>
      </w:r>
    </w:p>
    <w:p>
      <w:pPr>
        <w:spacing w:line="360" w:lineRule="auto"/>
        <w:ind w:firstLine="420"/>
        <w:rPr>
          <w:rFonts w:ascii="仿宋" w:hAnsi="仿宋" w:eastAsia="仿宋" w:cs="仿宋"/>
        </w:rPr>
      </w:pPr>
      <w:r>
        <w:rPr>
          <w:rFonts w:hint="eastAsia" w:ascii="仿宋" w:hAnsi="仿宋" w:eastAsia="仿宋" w:cs="仿宋"/>
        </w:rPr>
        <w:t>6、如果我方未中标，贵方没有必要对我方做出任何解释和说明，我方将充分尊重和理解贵方的选择。</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r>
        <w:rPr>
          <w:rFonts w:hint="eastAsia" w:ascii="仿宋" w:hAnsi="仿宋" w:eastAsia="仿宋" w:cs="仿宋"/>
        </w:rPr>
        <w:t>投标人：（盖章）</w:t>
      </w:r>
    </w:p>
    <w:p>
      <w:pPr>
        <w:spacing w:line="500" w:lineRule="exact"/>
        <w:rPr>
          <w:rFonts w:ascii="仿宋" w:hAnsi="仿宋" w:eastAsia="仿宋" w:cs="仿宋"/>
        </w:rPr>
      </w:pPr>
    </w:p>
    <w:p>
      <w:pPr>
        <w:spacing w:line="500" w:lineRule="exact"/>
        <w:rPr>
          <w:rFonts w:ascii="仿宋" w:hAnsi="仿宋" w:eastAsia="仿宋" w:cs="仿宋"/>
        </w:rPr>
      </w:pPr>
      <w:r>
        <w:rPr>
          <w:rFonts w:hint="eastAsia" w:ascii="仿宋" w:hAnsi="仿宋" w:eastAsia="仿宋" w:cs="仿宋"/>
        </w:rPr>
        <w:t>法定代表人或授权代理人：（签字）</w:t>
      </w:r>
    </w:p>
    <w:p>
      <w:pPr>
        <w:rPr>
          <w:rFonts w:ascii="仿宋" w:hAnsi="仿宋" w:eastAsia="仿宋" w:cs="仿宋"/>
        </w:rPr>
      </w:pPr>
    </w:p>
    <w:p>
      <w:pPr>
        <w:rPr>
          <w:rFonts w:ascii="仿宋" w:hAnsi="仿宋" w:eastAsia="仿宋" w:cs="仿宋"/>
        </w:rPr>
      </w:pPr>
    </w:p>
    <w:p>
      <w:pPr>
        <w:wordWrap w:val="0"/>
        <w:jc w:val="right"/>
        <w:rPr>
          <w:rFonts w:ascii="仿宋" w:hAnsi="仿宋" w:eastAsia="仿宋" w:cs="仿宋"/>
        </w:rPr>
      </w:pPr>
      <w:r>
        <w:rPr>
          <w:rFonts w:hint="eastAsia" w:ascii="仿宋" w:hAnsi="仿宋" w:eastAsia="仿宋" w:cs="仿宋"/>
        </w:rPr>
        <w:t>日期：        年    月    日</w:t>
      </w:r>
    </w:p>
    <w:p>
      <w:pPr>
        <w:jc w:val="center"/>
        <w:rPr>
          <w:rFonts w:ascii="仿宋" w:hAnsi="仿宋" w:eastAsia="仿宋" w:cs="仿宋"/>
        </w:rPr>
      </w:pPr>
      <w:r>
        <w:rPr>
          <w:rFonts w:hint="eastAsia" w:ascii="仿宋" w:hAnsi="仿宋" w:eastAsia="仿宋" w:cs="仿宋"/>
          <w:b/>
        </w:rPr>
        <w:br w:type="page"/>
      </w:r>
      <w:r>
        <w:rPr>
          <w:rFonts w:hint="eastAsia" w:ascii="仿宋" w:hAnsi="仿宋" w:eastAsia="仿宋" w:cs="仿宋"/>
        </w:rPr>
        <w:t>投标承诺书（二）</w:t>
      </w:r>
    </w:p>
    <w:p>
      <w:pPr>
        <w:ind w:left="424" w:leftChars="202"/>
        <w:rPr>
          <w:rFonts w:ascii="仿宋" w:hAnsi="仿宋" w:eastAsia="仿宋" w:cs="仿宋"/>
          <w:b/>
        </w:rPr>
      </w:pPr>
    </w:p>
    <w:p>
      <w:pPr>
        <w:spacing w:line="360" w:lineRule="auto"/>
        <w:ind w:left="424" w:leftChars="202"/>
        <w:jc w:val="center"/>
        <w:rPr>
          <w:rFonts w:ascii="仿宋" w:hAnsi="仿宋" w:eastAsia="仿宋" w:cs="仿宋"/>
          <w:b/>
        </w:rPr>
      </w:pPr>
    </w:p>
    <w:p>
      <w:pPr>
        <w:spacing w:line="360" w:lineRule="auto"/>
        <w:ind w:left="424" w:leftChars="202"/>
        <w:rPr>
          <w:rFonts w:ascii="仿宋" w:hAnsi="仿宋" w:eastAsia="仿宋" w:cs="仿宋"/>
        </w:rPr>
      </w:pPr>
      <w:r>
        <w:rPr>
          <w:rFonts w:hint="eastAsia" w:ascii="仿宋" w:hAnsi="仿宋" w:eastAsia="仿宋" w:cs="仿宋"/>
        </w:rPr>
        <w:t xml:space="preserve">招标人：                 </w:t>
      </w:r>
    </w:p>
    <w:p>
      <w:pPr>
        <w:spacing w:line="360" w:lineRule="auto"/>
        <w:ind w:left="424" w:leftChars="202"/>
        <w:rPr>
          <w:rFonts w:ascii="仿宋" w:hAnsi="仿宋" w:eastAsia="仿宋" w:cs="仿宋"/>
        </w:rPr>
      </w:pPr>
    </w:p>
    <w:p>
      <w:pPr>
        <w:spacing w:line="360" w:lineRule="auto"/>
        <w:ind w:left="424" w:leftChars="202"/>
        <w:rPr>
          <w:rFonts w:ascii="仿宋" w:hAnsi="仿宋" w:eastAsia="仿宋" w:cs="仿宋"/>
        </w:rPr>
      </w:pPr>
      <w:r>
        <w:rPr>
          <w:rFonts w:hint="eastAsia" w:ascii="仿宋" w:hAnsi="仿宋" w:eastAsia="仿宋" w:cs="仿宋"/>
        </w:rPr>
        <w:t>若我公司中标后，项目负责人为：</w:t>
      </w:r>
    </w:p>
    <w:p>
      <w:pPr>
        <w:spacing w:line="360" w:lineRule="auto"/>
        <w:ind w:left="424" w:leftChars="202"/>
        <w:rPr>
          <w:rFonts w:ascii="仿宋" w:hAnsi="仿宋" w:eastAsia="仿宋" w:cs="仿宋"/>
        </w:rPr>
      </w:pPr>
    </w:p>
    <w:tbl>
      <w:tblPr>
        <w:tblStyle w:val="20"/>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4"/>
        <w:gridCol w:w="2409"/>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rPr>
                <w:rFonts w:ascii="仿宋" w:hAnsi="仿宋" w:eastAsia="仿宋" w:cs="仿宋"/>
              </w:rPr>
            </w:pPr>
            <w:r>
              <w:rPr>
                <w:rFonts w:hint="eastAsia" w:ascii="仿宋" w:hAnsi="仿宋" w:eastAsia="仿宋" w:cs="仿宋"/>
              </w:rPr>
              <w:t>姓名</w:t>
            </w:r>
          </w:p>
        </w:tc>
        <w:tc>
          <w:tcPr>
            <w:tcW w:w="2404" w:type="dxa"/>
          </w:tcPr>
          <w:p>
            <w:pPr>
              <w:rPr>
                <w:rFonts w:ascii="仿宋" w:hAnsi="仿宋" w:eastAsia="仿宋" w:cs="仿宋"/>
              </w:rPr>
            </w:pPr>
          </w:p>
        </w:tc>
        <w:tc>
          <w:tcPr>
            <w:tcW w:w="2409" w:type="dxa"/>
          </w:tcPr>
          <w:p>
            <w:pPr>
              <w:rPr>
                <w:rFonts w:ascii="仿宋" w:hAnsi="仿宋" w:eastAsia="仿宋" w:cs="仿宋"/>
              </w:rPr>
            </w:pPr>
            <w:r>
              <w:rPr>
                <w:rFonts w:hint="eastAsia" w:ascii="仿宋" w:hAnsi="仿宋" w:eastAsia="仿宋" w:cs="仿宋"/>
              </w:rPr>
              <w:t>职称</w:t>
            </w:r>
          </w:p>
        </w:tc>
        <w:tc>
          <w:tcPr>
            <w:tcW w:w="2404"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rPr>
                <w:rFonts w:ascii="仿宋" w:hAnsi="仿宋" w:eastAsia="仿宋" w:cs="仿宋"/>
              </w:rPr>
            </w:pPr>
            <w:r>
              <w:rPr>
                <w:rFonts w:hint="eastAsia" w:ascii="仿宋" w:hAnsi="仿宋" w:eastAsia="仿宋" w:cs="仿宋"/>
              </w:rPr>
              <w:t>相关证件号</w:t>
            </w:r>
          </w:p>
        </w:tc>
        <w:tc>
          <w:tcPr>
            <w:tcW w:w="7217" w:type="dxa"/>
            <w:gridSpan w:val="3"/>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rPr>
                <w:rFonts w:ascii="仿宋" w:hAnsi="仿宋" w:eastAsia="仿宋" w:cs="仿宋"/>
              </w:rPr>
            </w:pPr>
            <w:r>
              <w:rPr>
                <w:rFonts w:hint="eastAsia" w:ascii="仿宋" w:hAnsi="仿宋" w:eastAsia="仿宋" w:cs="仿宋"/>
              </w:rPr>
              <w:t>身份证号码</w:t>
            </w:r>
          </w:p>
        </w:tc>
        <w:tc>
          <w:tcPr>
            <w:tcW w:w="7217" w:type="dxa"/>
            <w:gridSpan w:val="3"/>
          </w:tcPr>
          <w:p>
            <w:pPr>
              <w:rPr>
                <w:rFonts w:ascii="仿宋" w:hAnsi="仿宋" w:eastAsia="仿宋" w:cs="仿宋"/>
              </w:rPr>
            </w:pPr>
          </w:p>
        </w:tc>
      </w:tr>
    </w:tbl>
    <w:p>
      <w:pPr>
        <w:rPr>
          <w:rFonts w:ascii="仿宋" w:hAnsi="仿宋" w:eastAsia="仿宋" w:cs="仿宋"/>
        </w:rPr>
      </w:pPr>
    </w:p>
    <w:p>
      <w:pPr>
        <w:ind w:firstLine="420" w:firstLineChars="200"/>
        <w:rPr>
          <w:rFonts w:ascii="仿宋" w:hAnsi="仿宋" w:eastAsia="仿宋" w:cs="仿宋"/>
        </w:rPr>
      </w:pPr>
      <w:r>
        <w:rPr>
          <w:rFonts w:hint="eastAsia" w:ascii="仿宋" w:hAnsi="仿宋" w:eastAsia="仿宋" w:cs="仿宋"/>
        </w:rPr>
        <w:t>中标后，若由于特殊原因须更换时，我方将以不低于此项目负责人信誉的人员替换，并报业主审查。经审查通过后，方可更换。若未经业主批准，我方擅自更换，我方愿以合同价的  5  %作为赔偿金。</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r>
        <w:rPr>
          <w:rFonts w:hint="eastAsia" w:ascii="仿宋" w:hAnsi="仿宋" w:eastAsia="仿宋" w:cs="仿宋"/>
        </w:rPr>
        <w:t>投标人：（盖章）</w:t>
      </w:r>
    </w:p>
    <w:p>
      <w:pPr>
        <w:spacing w:line="500" w:lineRule="exact"/>
        <w:rPr>
          <w:rFonts w:ascii="仿宋" w:hAnsi="仿宋" w:eastAsia="仿宋" w:cs="仿宋"/>
        </w:rPr>
      </w:pPr>
    </w:p>
    <w:p>
      <w:pPr>
        <w:spacing w:line="500" w:lineRule="exact"/>
        <w:rPr>
          <w:rFonts w:ascii="仿宋" w:hAnsi="仿宋" w:eastAsia="仿宋" w:cs="仿宋"/>
        </w:rPr>
      </w:pPr>
      <w:r>
        <w:rPr>
          <w:rFonts w:hint="eastAsia" w:ascii="仿宋" w:hAnsi="仿宋" w:eastAsia="仿宋" w:cs="仿宋"/>
        </w:rPr>
        <w:t>法定代表人或授权代理人：（签字）</w:t>
      </w:r>
    </w:p>
    <w:p>
      <w:pPr>
        <w:rPr>
          <w:rFonts w:ascii="仿宋" w:hAnsi="仿宋" w:eastAsia="仿宋" w:cs="仿宋"/>
        </w:rPr>
      </w:pPr>
    </w:p>
    <w:p>
      <w:pPr>
        <w:rPr>
          <w:rFonts w:ascii="仿宋" w:hAnsi="仿宋" w:eastAsia="仿宋" w:cs="仿宋"/>
        </w:rPr>
      </w:pPr>
    </w:p>
    <w:p>
      <w:pPr>
        <w:rPr>
          <w:rFonts w:ascii="仿宋" w:hAnsi="仿宋" w:eastAsia="仿宋" w:cs="仿宋"/>
        </w:rPr>
      </w:pPr>
    </w:p>
    <w:p>
      <w:pPr>
        <w:wordWrap w:val="0"/>
        <w:jc w:val="right"/>
        <w:rPr>
          <w:rFonts w:ascii="仿宋" w:hAnsi="仿宋" w:eastAsia="仿宋" w:cs="仿宋"/>
        </w:rPr>
      </w:pPr>
      <w:r>
        <w:rPr>
          <w:rFonts w:hint="eastAsia" w:ascii="仿宋" w:hAnsi="仿宋" w:eastAsia="仿宋" w:cs="仿宋"/>
        </w:rPr>
        <w:t>日期：        年    月    日</w:t>
      </w:r>
    </w:p>
    <w:p>
      <w:pPr>
        <w:rPr>
          <w:rFonts w:ascii="仿宋" w:hAnsi="仿宋" w:eastAsia="仿宋" w:cs="仿宋"/>
        </w:rPr>
      </w:pPr>
      <w:r>
        <w:rPr>
          <w:rFonts w:hint="eastAsia" w:ascii="仿宋" w:hAnsi="仿宋" w:eastAsia="仿宋" w:cs="仿宋"/>
        </w:rPr>
        <w:t xml:space="preserve"> </w:t>
      </w:r>
    </w:p>
    <w:p>
      <w:pPr>
        <w:jc w:val="center"/>
        <w:rPr>
          <w:rFonts w:ascii="仿宋" w:hAnsi="仿宋" w:eastAsia="仿宋" w:cs="仿宋"/>
        </w:rPr>
      </w:pPr>
      <w:r>
        <w:rPr>
          <w:rFonts w:hint="eastAsia" w:ascii="仿宋" w:hAnsi="仿宋" w:eastAsia="仿宋" w:cs="仿宋"/>
          <w:b/>
        </w:rPr>
        <w:br w:type="page"/>
      </w:r>
      <w:r>
        <w:rPr>
          <w:rFonts w:hint="eastAsia" w:ascii="仿宋" w:hAnsi="仿宋" w:eastAsia="仿宋" w:cs="仿宋"/>
        </w:rPr>
        <w:t>法定代表人身份证明书</w:t>
      </w:r>
    </w:p>
    <w:p>
      <w:pPr>
        <w:jc w:val="center"/>
        <w:rPr>
          <w:rFonts w:ascii="仿宋" w:hAnsi="仿宋" w:eastAsia="仿宋" w:cs="仿宋"/>
        </w:rPr>
      </w:pPr>
    </w:p>
    <w:p>
      <w:pPr>
        <w:rPr>
          <w:rFonts w:ascii="仿宋" w:hAnsi="仿宋" w:eastAsia="仿宋" w:cs="仿宋"/>
        </w:rPr>
      </w:pPr>
      <w:r>
        <w:rPr>
          <w:rFonts w:hint="eastAsia" w:ascii="仿宋" w:hAnsi="仿宋" w:eastAsia="仿宋" w:cs="仿宋"/>
        </w:rPr>
        <w:t xml:space="preserve">单位名称：                                                   </w:t>
      </w:r>
    </w:p>
    <w:p>
      <w:pPr>
        <w:rPr>
          <w:rFonts w:ascii="仿宋" w:hAnsi="仿宋" w:eastAsia="仿宋" w:cs="仿宋"/>
        </w:rPr>
      </w:pPr>
    </w:p>
    <w:p>
      <w:pPr>
        <w:rPr>
          <w:rFonts w:ascii="仿宋" w:hAnsi="仿宋" w:eastAsia="仿宋" w:cs="仿宋"/>
        </w:rPr>
      </w:pPr>
      <w:r>
        <w:rPr>
          <w:rFonts w:hint="eastAsia" w:ascii="仿宋" w:hAnsi="仿宋" w:eastAsia="仿宋" w:cs="仿宋"/>
        </w:rPr>
        <w:t xml:space="preserve">企业类型：                                                   </w:t>
      </w:r>
    </w:p>
    <w:p>
      <w:pPr>
        <w:rPr>
          <w:rFonts w:ascii="仿宋" w:hAnsi="仿宋" w:eastAsia="仿宋" w:cs="仿宋"/>
        </w:rPr>
      </w:pPr>
    </w:p>
    <w:p>
      <w:pPr>
        <w:rPr>
          <w:rFonts w:ascii="仿宋" w:hAnsi="仿宋" w:eastAsia="仿宋" w:cs="仿宋"/>
        </w:rPr>
      </w:pPr>
      <w:r>
        <w:rPr>
          <w:rFonts w:hint="eastAsia" w:ascii="仿宋" w:hAnsi="仿宋" w:eastAsia="仿宋" w:cs="仿宋"/>
        </w:rPr>
        <w:t xml:space="preserve">地    址：                                                   </w:t>
      </w:r>
    </w:p>
    <w:p>
      <w:pPr>
        <w:rPr>
          <w:rFonts w:ascii="仿宋" w:hAnsi="仿宋" w:eastAsia="仿宋" w:cs="仿宋"/>
        </w:rPr>
      </w:pPr>
    </w:p>
    <w:p>
      <w:pPr>
        <w:rPr>
          <w:rFonts w:ascii="仿宋" w:hAnsi="仿宋" w:eastAsia="仿宋" w:cs="仿宋"/>
        </w:rPr>
      </w:pPr>
      <w:r>
        <w:rPr>
          <w:rFonts w:hint="eastAsia" w:ascii="仿宋" w:hAnsi="仿宋" w:eastAsia="仿宋" w:cs="仿宋"/>
        </w:rPr>
        <w:t xml:space="preserve">营业期限：                                                   </w:t>
      </w:r>
    </w:p>
    <w:p>
      <w:pPr>
        <w:rPr>
          <w:rFonts w:ascii="仿宋" w:hAnsi="仿宋" w:eastAsia="仿宋" w:cs="仿宋"/>
        </w:rPr>
      </w:pPr>
    </w:p>
    <w:p>
      <w:pPr>
        <w:rPr>
          <w:rFonts w:ascii="仿宋" w:hAnsi="仿宋" w:eastAsia="仿宋" w:cs="仿宋"/>
        </w:rPr>
      </w:pPr>
      <w:r>
        <w:rPr>
          <w:rFonts w:hint="eastAsia" w:ascii="仿宋" w:hAnsi="仿宋" w:eastAsia="仿宋" w:cs="仿宋"/>
        </w:rPr>
        <w:t xml:space="preserve">成立时间：                                                   </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r>
        <w:rPr>
          <w:rFonts w:hint="eastAsia" w:ascii="仿宋" w:hAnsi="仿宋" w:eastAsia="仿宋" w:cs="仿宋"/>
        </w:rPr>
        <w:t xml:space="preserve">姓名：                 性别：                 年龄：                职务：               </w:t>
      </w:r>
    </w:p>
    <w:p>
      <w:pPr>
        <w:rPr>
          <w:rFonts w:ascii="仿宋" w:hAnsi="仿宋" w:eastAsia="仿宋" w:cs="仿宋"/>
        </w:rPr>
      </w:pPr>
      <w:r>
        <w:rPr>
          <w:rFonts w:hint="eastAsia" w:ascii="仿宋" w:hAnsi="仿宋" w:eastAsia="仿宋" w:cs="仿宋"/>
        </w:rPr>
        <w:t>系          （投标人名称）               的法定代表人。</w:t>
      </w:r>
    </w:p>
    <w:p>
      <w:pPr>
        <w:rPr>
          <w:rFonts w:ascii="仿宋" w:hAnsi="仿宋" w:eastAsia="仿宋" w:cs="仿宋"/>
        </w:rPr>
      </w:pPr>
    </w:p>
    <w:tbl>
      <w:tblPr>
        <w:tblStyle w:val="2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8820" w:type="dxa"/>
          </w:tcPr>
          <w:p>
            <w:pPr>
              <w:rPr>
                <w:rFonts w:ascii="仿宋" w:hAnsi="仿宋" w:eastAsia="仿宋" w:cs="仿宋"/>
              </w:rPr>
            </w:pPr>
            <w:r>
              <w:rPr>
                <w:rFonts w:hint="eastAsia" w:ascii="仿宋" w:hAnsi="仿宋" w:eastAsia="仿宋" w:cs="仿宋"/>
              </w:rPr>
              <w:t>附身份证正反面</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tc>
      </w:tr>
    </w:tbl>
    <w:p>
      <w:pPr>
        <w:rPr>
          <w:rFonts w:ascii="仿宋" w:hAnsi="仿宋" w:eastAsia="仿宋" w:cs="仿宋"/>
        </w:rPr>
      </w:pPr>
    </w:p>
    <w:p>
      <w:pPr>
        <w:rPr>
          <w:rFonts w:ascii="仿宋" w:hAnsi="仿宋" w:eastAsia="仿宋" w:cs="仿宋"/>
        </w:rPr>
      </w:pPr>
      <w:r>
        <w:rPr>
          <w:rFonts w:hint="eastAsia" w:ascii="仿宋" w:hAnsi="仿宋" w:eastAsia="仿宋" w:cs="仿宋"/>
        </w:rPr>
        <w:t>特此证明。</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wordWrap w:val="0"/>
        <w:jc w:val="right"/>
        <w:rPr>
          <w:rFonts w:ascii="仿宋" w:hAnsi="仿宋" w:eastAsia="仿宋" w:cs="仿宋"/>
        </w:rPr>
      </w:pPr>
      <w:r>
        <w:rPr>
          <w:rFonts w:hint="eastAsia" w:ascii="仿宋" w:hAnsi="仿宋" w:eastAsia="仿宋" w:cs="仿宋"/>
        </w:rPr>
        <w:t>投标人：                      （盖章）</w:t>
      </w:r>
    </w:p>
    <w:p>
      <w:pPr>
        <w:jc w:val="right"/>
        <w:rPr>
          <w:rFonts w:ascii="仿宋" w:hAnsi="仿宋" w:eastAsia="仿宋" w:cs="仿宋"/>
        </w:rPr>
      </w:pPr>
      <w:r>
        <w:rPr>
          <w:rFonts w:hint="eastAsia" w:ascii="仿宋" w:hAnsi="仿宋" w:eastAsia="仿宋" w:cs="仿宋"/>
        </w:rPr>
        <w:t>日  期：        年        月        日</w:t>
      </w:r>
    </w:p>
    <w:p>
      <w:pPr>
        <w:rPr>
          <w:rFonts w:ascii="仿宋" w:hAnsi="仿宋" w:eastAsia="仿宋" w:cs="仿宋"/>
        </w:rPr>
      </w:pPr>
    </w:p>
    <w:p>
      <w:pPr>
        <w:jc w:val="center"/>
        <w:rPr>
          <w:rFonts w:ascii="仿宋" w:hAnsi="仿宋" w:eastAsia="仿宋" w:cs="仿宋"/>
          <w:b/>
        </w:rPr>
      </w:pPr>
      <w:r>
        <w:rPr>
          <w:rFonts w:hint="eastAsia" w:ascii="仿宋" w:hAnsi="仿宋" w:eastAsia="仿宋" w:cs="仿宋"/>
          <w:b/>
        </w:rPr>
        <w:br w:type="page"/>
      </w:r>
      <w:r>
        <w:rPr>
          <w:rFonts w:hint="eastAsia" w:ascii="仿宋" w:hAnsi="仿宋" w:eastAsia="仿宋" w:cs="仿宋"/>
          <w:b/>
        </w:rPr>
        <w:t>法定代表人授权委托书</w:t>
      </w:r>
    </w:p>
    <w:p>
      <w:pPr>
        <w:rPr>
          <w:rFonts w:ascii="仿宋" w:hAnsi="仿宋" w:eastAsia="仿宋" w:cs="仿宋"/>
        </w:rPr>
      </w:pPr>
    </w:p>
    <w:p>
      <w:pPr>
        <w:spacing w:line="360" w:lineRule="auto"/>
        <w:ind w:firstLine="630"/>
        <w:rPr>
          <w:rFonts w:ascii="仿宋" w:hAnsi="仿宋" w:eastAsia="仿宋" w:cs="仿宋"/>
        </w:rPr>
      </w:pPr>
      <w:r>
        <w:rPr>
          <w:rFonts w:hint="eastAsia" w:ascii="仿宋" w:hAnsi="仿宋" w:eastAsia="仿宋" w:cs="仿宋"/>
        </w:rPr>
        <w:t>本授权委托书声明：我         （姓名）系               （投标人名称）的法定代表人，现授权委托                                   （投标人名称）的            （姓名）为我的代理人，以本公司的名义参加          （招标人）的                 项目的投标活动。代理人在参加整个招标投标活动、合同谈判过程中所签署的一切文件和处理与之有关的一切事物，我均予以承认。</w:t>
      </w:r>
    </w:p>
    <w:p>
      <w:pPr>
        <w:spacing w:line="360" w:lineRule="auto"/>
        <w:rPr>
          <w:rFonts w:ascii="仿宋" w:hAnsi="仿宋" w:eastAsia="仿宋" w:cs="仿宋"/>
        </w:rPr>
      </w:pPr>
      <w:r>
        <w:rPr>
          <w:rFonts w:hint="eastAsia" w:ascii="仿宋" w:hAnsi="仿宋" w:eastAsia="仿宋" w:cs="仿宋"/>
        </w:rPr>
        <w:t xml:space="preserve">代理人：              性别：             年龄：             </w:t>
      </w:r>
    </w:p>
    <w:p>
      <w:pPr>
        <w:spacing w:line="360" w:lineRule="auto"/>
        <w:rPr>
          <w:rFonts w:ascii="仿宋" w:hAnsi="仿宋" w:eastAsia="仿宋" w:cs="仿宋"/>
        </w:rPr>
      </w:pPr>
      <w:r>
        <w:rPr>
          <w:rFonts w:hint="eastAsia" w:ascii="仿宋" w:hAnsi="仿宋" w:eastAsia="仿宋" w:cs="仿宋"/>
        </w:rPr>
        <w:t xml:space="preserve">单  位：              部门：             职务：             </w:t>
      </w:r>
    </w:p>
    <w:p>
      <w:pPr>
        <w:rPr>
          <w:rFonts w:ascii="仿宋" w:hAnsi="仿宋" w:eastAsia="仿宋" w:cs="仿宋"/>
        </w:rPr>
      </w:pPr>
      <w:r>
        <w:rPr>
          <w:rFonts w:hint="eastAsia" w:ascii="仿宋" w:hAnsi="仿宋" w:eastAsia="仿宋" w:cs="仿宋"/>
        </w:rPr>
        <w:t>代理人无转委权。特此委托。</w:t>
      </w:r>
    </w:p>
    <w:p>
      <w:pPr>
        <w:rPr>
          <w:rFonts w:ascii="仿宋" w:hAnsi="仿宋" w:eastAsia="仿宋" w:cs="仿宋"/>
        </w:rPr>
      </w:pPr>
    </w:p>
    <w:tbl>
      <w:tblPr>
        <w:tblStyle w:val="20"/>
        <w:tblW w:w="93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6" w:hRule="atLeast"/>
        </w:trPr>
        <w:tc>
          <w:tcPr>
            <w:tcW w:w="9391" w:type="dxa"/>
          </w:tcPr>
          <w:p>
            <w:pPr>
              <w:rPr>
                <w:rFonts w:ascii="仿宋" w:hAnsi="仿宋" w:eastAsia="仿宋" w:cs="仿宋"/>
              </w:rPr>
            </w:pPr>
            <w:r>
              <w:rPr>
                <w:rFonts w:hint="eastAsia" w:ascii="仿宋" w:hAnsi="仿宋" w:eastAsia="仿宋" w:cs="仿宋"/>
              </w:rPr>
              <w:t>附身份证正反面</w:t>
            </w:r>
          </w:p>
          <w:p>
            <w:pPr>
              <w:rPr>
                <w:rFonts w:ascii="仿宋" w:hAnsi="仿宋" w:eastAsia="仿宋" w:cs="仿宋"/>
              </w:rPr>
            </w:pP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r>
        <w:rPr>
          <w:rFonts w:hint="eastAsia" w:ascii="仿宋" w:hAnsi="仿宋" w:eastAsia="仿宋" w:cs="仿宋"/>
        </w:rPr>
        <w:t>投标人：（盖章）</w:t>
      </w:r>
    </w:p>
    <w:p>
      <w:pPr>
        <w:rPr>
          <w:rFonts w:ascii="仿宋" w:hAnsi="仿宋" w:eastAsia="仿宋" w:cs="仿宋"/>
        </w:rPr>
      </w:pPr>
    </w:p>
    <w:p>
      <w:pPr>
        <w:rPr>
          <w:rFonts w:ascii="仿宋" w:hAnsi="仿宋" w:eastAsia="仿宋" w:cs="仿宋"/>
        </w:rPr>
      </w:pPr>
    </w:p>
    <w:p>
      <w:pPr>
        <w:rPr>
          <w:rFonts w:ascii="仿宋" w:hAnsi="仿宋" w:eastAsia="仿宋" w:cs="仿宋"/>
        </w:rPr>
      </w:pPr>
      <w:r>
        <w:rPr>
          <w:rFonts w:hint="eastAsia" w:ascii="仿宋" w:hAnsi="仿宋" w:eastAsia="仿宋" w:cs="仿宋"/>
        </w:rPr>
        <w:t>法定代表人：（签字）</w:t>
      </w:r>
    </w:p>
    <w:p>
      <w:pPr>
        <w:rPr>
          <w:rFonts w:ascii="仿宋" w:hAnsi="仿宋" w:eastAsia="仿宋" w:cs="仿宋"/>
        </w:rPr>
      </w:pPr>
    </w:p>
    <w:p>
      <w:pPr>
        <w:jc w:val="center"/>
        <w:rPr>
          <w:rFonts w:ascii="仿宋" w:hAnsi="仿宋" w:eastAsia="仿宋" w:cs="仿宋"/>
        </w:rPr>
      </w:pPr>
    </w:p>
    <w:p>
      <w:pPr>
        <w:jc w:val="center"/>
        <w:rPr>
          <w:rFonts w:ascii="仿宋" w:hAnsi="仿宋" w:eastAsia="仿宋" w:cs="仿宋"/>
          <w:b/>
        </w:rPr>
      </w:pPr>
    </w:p>
    <w:p>
      <w:pPr>
        <w:jc w:val="right"/>
        <w:rPr>
          <w:rFonts w:ascii="仿宋" w:hAnsi="仿宋" w:eastAsia="仿宋" w:cs="仿宋"/>
          <w:b/>
        </w:rPr>
      </w:pPr>
      <w:r>
        <w:rPr>
          <w:rFonts w:hint="eastAsia" w:ascii="仿宋" w:hAnsi="仿宋" w:eastAsia="仿宋" w:cs="仿宋"/>
        </w:rPr>
        <w:t>日期：        年    月    日</w:t>
      </w:r>
    </w:p>
    <w:p>
      <w:pPr>
        <w:rPr>
          <w:rFonts w:ascii="仿宋" w:hAnsi="仿宋" w:eastAsia="仿宋" w:cs="仿宋"/>
        </w:rPr>
      </w:pPr>
    </w:p>
    <w:p>
      <w:pPr>
        <w:jc w:val="center"/>
        <w:rPr>
          <w:rFonts w:ascii="仿宋" w:hAnsi="仿宋" w:eastAsia="仿宋" w:cs="仿宋"/>
          <w:b/>
        </w:rPr>
      </w:pPr>
      <w:r>
        <w:rPr>
          <w:rFonts w:hint="eastAsia" w:ascii="仿宋" w:hAnsi="仿宋" w:eastAsia="仿宋" w:cs="仿宋"/>
          <w:b/>
        </w:rPr>
        <w:br w:type="page"/>
      </w:r>
      <w:r>
        <w:rPr>
          <w:rFonts w:hint="eastAsia" w:ascii="仿宋" w:hAnsi="仿宋" w:eastAsia="仿宋" w:cs="仿宋"/>
          <w:b/>
        </w:rPr>
        <w:t>投标人概况</w:t>
      </w:r>
    </w:p>
    <w:p>
      <w:pPr>
        <w:tabs>
          <w:tab w:val="left" w:pos="1660"/>
          <w:tab w:val="left" w:pos="9453"/>
        </w:tabs>
        <w:jc w:val="left"/>
        <w:rPr>
          <w:rFonts w:ascii="仿宋" w:hAnsi="仿宋" w:eastAsia="仿宋" w:cs="仿宋"/>
        </w:rPr>
      </w:pPr>
      <w:r>
        <w:rPr>
          <w:rFonts w:hint="eastAsia" w:ascii="仿宋" w:hAnsi="仿宋" w:eastAsia="仿宋" w:cs="仿宋"/>
        </w:rPr>
        <w:t>1、投标人名称：</w:t>
      </w:r>
      <w:r>
        <w:rPr>
          <w:rFonts w:hint="eastAsia" w:ascii="仿宋" w:hAnsi="仿宋" w:eastAsia="仿宋" w:cs="仿宋"/>
        </w:rPr>
        <w:tab/>
      </w:r>
    </w:p>
    <w:p>
      <w:pPr>
        <w:tabs>
          <w:tab w:val="left" w:pos="1660"/>
          <w:tab w:val="left" w:pos="9453"/>
        </w:tabs>
        <w:jc w:val="left"/>
        <w:rPr>
          <w:rFonts w:ascii="仿宋" w:hAnsi="仿宋" w:eastAsia="仿宋" w:cs="仿宋"/>
        </w:rPr>
      </w:pPr>
      <w:r>
        <w:rPr>
          <w:rFonts w:hint="eastAsia" w:ascii="仿宋" w:hAnsi="仿宋" w:eastAsia="仿宋" w:cs="仿宋"/>
        </w:rPr>
        <w:t>2、资质等级：</w:t>
      </w:r>
      <w:r>
        <w:rPr>
          <w:rFonts w:hint="eastAsia" w:ascii="仿宋" w:hAnsi="仿宋" w:eastAsia="仿宋" w:cs="仿宋"/>
        </w:rPr>
        <w:tab/>
      </w:r>
    </w:p>
    <w:p>
      <w:pPr>
        <w:tabs>
          <w:tab w:val="left" w:pos="1660"/>
          <w:tab w:val="left" w:pos="9453"/>
        </w:tabs>
        <w:jc w:val="left"/>
        <w:rPr>
          <w:rFonts w:ascii="仿宋" w:hAnsi="仿宋" w:eastAsia="仿宋" w:cs="仿宋"/>
        </w:rPr>
      </w:pPr>
      <w:r>
        <w:rPr>
          <w:rFonts w:hint="eastAsia" w:ascii="仿宋" w:hAnsi="仿宋" w:eastAsia="仿宋" w:cs="仿宋"/>
        </w:rPr>
        <w:t>3、投标人地址：</w:t>
      </w:r>
      <w:r>
        <w:rPr>
          <w:rFonts w:hint="eastAsia" w:ascii="仿宋" w:hAnsi="仿宋" w:eastAsia="仿宋" w:cs="仿宋"/>
        </w:rPr>
        <w:tab/>
      </w:r>
    </w:p>
    <w:p>
      <w:pPr>
        <w:tabs>
          <w:tab w:val="left" w:pos="1660"/>
          <w:tab w:val="left" w:pos="9453"/>
        </w:tabs>
        <w:jc w:val="left"/>
        <w:rPr>
          <w:rFonts w:ascii="仿宋" w:hAnsi="仿宋" w:eastAsia="仿宋" w:cs="仿宋"/>
        </w:rPr>
      </w:pPr>
      <w:r>
        <w:rPr>
          <w:rFonts w:hint="eastAsia" w:ascii="仿宋" w:hAnsi="仿宋" w:eastAsia="仿宋" w:cs="仿宋"/>
        </w:rPr>
        <w:t>4、经营范围：</w:t>
      </w:r>
      <w:r>
        <w:rPr>
          <w:rFonts w:hint="eastAsia" w:ascii="仿宋" w:hAnsi="仿宋" w:eastAsia="仿宋" w:cs="仿宋"/>
        </w:rPr>
        <w:tab/>
      </w:r>
    </w:p>
    <w:p>
      <w:pPr>
        <w:rPr>
          <w:rFonts w:ascii="仿宋" w:hAnsi="仿宋" w:eastAsia="仿宋" w:cs="仿宋"/>
          <w:b/>
        </w:rPr>
      </w:pPr>
      <w:r>
        <w:rPr>
          <w:rFonts w:hint="eastAsia" w:ascii="仿宋" w:hAnsi="仿宋" w:eastAsia="仿宋" w:cs="仿宋"/>
        </w:rPr>
        <w:t>5、投标人自我介绍：</w:t>
      </w:r>
    </w:p>
    <w:p>
      <w:pPr>
        <w:jc w:val="center"/>
        <w:rPr>
          <w:rFonts w:ascii="仿宋" w:hAnsi="仿宋" w:eastAsia="仿宋" w:cs="仿宋"/>
          <w:b/>
        </w:rPr>
      </w:pPr>
      <w:r>
        <w:rPr>
          <w:rFonts w:hint="eastAsia" w:ascii="仿宋" w:hAnsi="仿宋" w:eastAsia="仿宋" w:cs="仿宋"/>
          <w:b/>
        </w:rPr>
        <w:br w:type="page"/>
      </w:r>
      <w:r>
        <w:rPr>
          <w:rFonts w:hint="eastAsia" w:ascii="仿宋" w:hAnsi="仿宋" w:eastAsia="仿宋" w:cs="仿宋"/>
          <w:b/>
        </w:rPr>
        <w:t>项目负责人</w:t>
      </w:r>
    </w:p>
    <w:p>
      <w:pPr>
        <w:rPr>
          <w:rFonts w:ascii="仿宋" w:hAnsi="仿宋" w:eastAsia="仿宋" w:cs="仿宋"/>
        </w:rPr>
      </w:pPr>
    </w:p>
    <w:p>
      <w:pPr>
        <w:rPr>
          <w:rFonts w:ascii="仿宋" w:hAnsi="仿宋" w:eastAsia="仿宋" w:cs="仿宋"/>
        </w:rPr>
      </w:pPr>
      <w:r>
        <w:rPr>
          <w:rFonts w:hint="eastAsia" w:ascii="仿宋" w:hAnsi="仿宋" w:eastAsia="仿宋" w:cs="仿宋"/>
        </w:rPr>
        <w:t>1、项目负责人介绍应包括：姓名、性别、年龄、职称、学历、参加工作时间、从事项目负责人年限和能反映该项目负责人情况的其他内容。</w:t>
      </w:r>
    </w:p>
    <w:p>
      <w:pPr>
        <w:rPr>
          <w:rFonts w:ascii="仿宋" w:hAnsi="仿宋" w:eastAsia="仿宋" w:cs="仿宋"/>
        </w:rPr>
      </w:pPr>
      <w:r>
        <w:rPr>
          <w:rFonts w:hint="eastAsia" w:ascii="仿宋" w:hAnsi="仿宋" w:eastAsia="仿宋" w:cs="仿宋"/>
        </w:rPr>
        <w:t>2、项目负责人近3年内类似业绩应按下表提供</w:t>
      </w:r>
    </w:p>
    <w:p>
      <w:pPr>
        <w:rPr>
          <w:rFonts w:ascii="仿宋" w:hAnsi="仿宋" w:eastAsia="仿宋" w:cs="仿宋"/>
        </w:rPr>
      </w:pPr>
      <w:r>
        <w:rPr>
          <w:rFonts w:hint="eastAsia" w:ascii="仿宋" w:hAnsi="仿宋" w:eastAsia="仿宋" w:cs="仿宋"/>
        </w:rPr>
        <w:t>项目负责人近3年内类似业绩一览表</w:t>
      </w:r>
    </w:p>
    <w:tbl>
      <w:tblPr>
        <w:tblStyle w:val="20"/>
        <w:tblW w:w="987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2"/>
        <w:gridCol w:w="1574"/>
        <w:gridCol w:w="1470"/>
        <w:gridCol w:w="2099"/>
        <w:gridCol w:w="2106"/>
        <w:gridCol w:w="11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1" w:hRule="atLeast"/>
        </w:trPr>
        <w:tc>
          <w:tcPr>
            <w:tcW w:w="1472" w:type="dxa"/>
            <w:vAlign w:val="center"/>
          </w:tcPr>
          <w:p>
            <w:pPr>
              <w:jc w:val="center"/>
              <w:rPr>
                <w:rFonts w:ascii="仿宋" w:hAnsi="仿宋" w:eastAsia="仿宋" w:cs="仿宋"/>
              </w:rPr>
            </w:pPr>
            <w:r>
              <w:rPr>
                <w:rFonts w:hint="eastAsia" w:ascii="仿宋" w:hAnsi="仿宋" w:eastAsia="仿宋" w:cs="仿宋"/>
              </w:rPr>
              <w:t>业主单位</w:t>
            </w:r>
          </w:p>
        </w:tc>
        <w:tc>
          <w:tcPr>
            <w:tcW w:w="1574" w:type="dxa"/>
            <w:vAlign w:val="center"/>
          </w:tcPr>
          <w:p>
            <w:pPr>
              <w:jc w:val="center"/>
              <w:rPr>
                <w:rFonts w:ascii="仿宋" w:hAnsi="仿宋" w:eastAsia="仿宋" w:cs="仿宋"/>
              </w:rPr>
            </w:pPr>
            <w:r>
              <w:rPr>
                <w:rFonts w:hint="eastAsia" w:ascii="仿宋" w:hAnsi="仿宋" w:eastAsia="仿宋" w:cs="仿宋"/>
              </w:rPr>
              <w:t>项目名称</w:t>
            </w:r>
          </w:p>
        </w:tc>
        <w:tc>
          <w:tcPr>
            <w:tcW w:w="1470" w:type="dxa"/>
            <w:vAlign w:val="center"/>
          </w:tcPr>
          <w:p>
            <w:pPr>
              <w:jc w:val="center"/>
              <w:rPr>
                <w:rFonts w:ascii="仿宋" w:hAnsi="仿宋" w:eastAsia="仿宋" w:cs="仿宋"/>
              </w:rPr>
            </w:pPr>
            <w:r>
              <w:rPr>
                <w:rFonts w:hint="eastAsia" w:ascii="仿宋" w:hAnsi="仿宋" w:eastAsia="仿宋" w:cs="仿宋"/>
              </w:rPr>
              <w:t>项目内容</w:t>
            </w:r>
          </w:p>
        </w:tc>
        <w:tc>
          <w:tcPr>
            <w:tcW w:w="2099" w:type="dxa"/>
            <w:vAlign w:val="center"/>
          </w:tcPr>
          <w:p>
            <w:pPr>
              <w:jc w:val="center"/>
              <w:rPr>
                <w:rFonts w:hint="eastAsia" w:ascii="仿宋" w:hAnsi="仿宋" w:eastAsia="仿宋" w:cs="仿宋"/>
                <w:lang w:eastAsia="zh-CN"/>
              </w:rPr>
            </w:pPr>
            <w:r>
              <w:rPr>
                <w:rFonts w:hint="eastAsia" w:ascii="仿宋" w:hAnsi="仿宋" w:eastAsia="仿宋" w:cs="仿宋"/>
                <w:lang w:val="en-US" w:eastAsia="zh-CN"/>
              </w:rPr>
              <w:t>交货期</w:t>
            </w:r>
          </w:p>
        </w:tc>
        <w:tc>
          <w:tcPr>
            <w:tcW w:w="2106" w:type="dxa"/>
            <w:tcBorders>
              <w:right w:val="single" w:color="auto" w:sz="4" w:space="0"/>
            </w:tcBorders>
            <w:vAlign w:val="center"/>
          </w:tcPr>
          <w:p>
            <w:pPr>
              <w:jc w:val="center"/>
              <w:rPr>
                <w:rFonts w:ascii="仿宋" w:hAnsi="仿宋" w:eastAsia="仿宋" w:cs="仿宋"/>
              </w:rPr>
            </w:pPr>
            <w:r>
              <w:rPr>
                <w:rFonts w:hint="eastAsia" w:ascii="仿宋" w:hAnsi="仿宋" w:eastAsia="仿宋" w:cs="仿宋"/>
              </w:rPr>
              <w:t>质量</w:t>
            </w:r>
          </w:p>
        </w:tc>
        <w:tc>
          <w:tcPr>
            <w:tcW w:w="1152" w:type="dxa"/>
            <w:tcBorders>
              <w:left w:val="single" w:color="auto" w:sz="4" w:space="0"/>
            </w:tcBorders>
            <w:vAlign w:val="center"/>
          </w:tcPr>
          <w:p>
            <w:pPr>
              <w:jc w:val="center"/>
              <w:rPr>
                <w:rFonts w:ascii="仿宋" w:hAnsi="仿宋" w:eastAsia="仿宋" w:cs="仿宋"/>
              </w:rPr>
            </w:pPr>
            <w:r>
              <w:rPr>
                <w:rFonts w:hint="eastAsia" w:ascii="仿宋" w:hAnsi="仿宋" w:eastAsia="仿宋" w:cs="仿宋"/>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trPr>
        <w:tc>
          <w:tcPr>
            <w:tcW w:w="1472" w:type="dxa"/>
            <w:vAlign w:val="center"/>
          </w:tcPr>
          <w:p>
            <w:pPr>
              <w:rPr>
                <w:rFonts w:ascii="仿宋" w:hAnsi="仿宋" w:eastAsia="仿宋" w:cs="仿宋"/>
              </w:rPr>
            </w:pPr>
          </w:p>
        </w:tc>
        <w:tc>
          <w:tcPr>
            <w:tcW w:w="1574" w:type="dxa"/>
            <w:vAlign w:val="center"/>
          </w:tcPr>
          <w:p>
            <w:pPr>
              <w:rPr>
                <w:rFonts w:ascii="仿宋" w:hAnsi="仿宋" w:eastAsia="仿宋" w:cs="仿宋"/>
              </w:rPr>
            </w:pPr>
          </w:p>
        </w:tc>
        <w:tc>
          <w:tcPr>
            <w:tcW w:w="1470" w:type="dxa"/>
            <w:vAlign w:val="center"/>
          </w:tcPr>
          <w:p>
            <w:pPr>
              <w:rPr>
                <w:rFonts w:ascii="仿宋" w:hAnsi="仿宋" w:eastAsia="仿宋" w:cs="仿宋"/>
              </w:rPr>
            </w:pPr>
          </w:p>
        </w:tc>
        <w:tc>
          <w:tcPr>
            <w:tcW w:w="2099" w:type="dxa"/>
            <w:vAlign w:val="center"/>
          </w:tcPr>
          <w:p>
            <w:pPr>
              <w:rPr>
                <w:rFonts w:ascii="仿宋" w:hAnsi="仿宋" w:eastAsia="仿宋" w:cs="仿宋"/>
              </w:rPr>
            </w:pPr>
          </w:p>
        </w:tc>
        <w:tc>
          <w:tcPr>
            <w:tcW w:w="2106" w:type="dxa"/>
            <w:tcBorders>
              <w:right w:val="single" w:color="auto" w:sz="4" w:space="0"/>
            </w:tcBorders>
            <w:vAlign w:val="center"/>
          </w:tcPr>
          <w:p>
            <w:pPr>
              <w:rPr>
                <w:rFonts w:ascii="仿宋" w:hAnsi="仿宋" w:eastAsia="仿宋" w:cs="仿宋"/>
              </w:rPr>
            </w:pPr>
          </w:p>
        </w:tc>
        <w:tc>
          <w:tcPr>
            <w:tcW w:w="1152" w:type="dxa"/>
            <w:tcBorders>
              <w:left w:val="single" w:color="auto" w:sz="4" w:space="0"/>
            </w:tcBorders>
            <w:vAlign w:val="center"/>
          </w:tcPr>
          <w:p>
            <w:pPr>
              <w:rPr>
                <w:rFonts w:ascii="仿宋" w:hAnsi="仿宋" w:eastAsia="仿宋" w:cs="仿宋"/>
              </w:rPr>
            </w:pPr>
          </w:p>
        </w:tc>
      </w:tr>
    </w:tbl>
    <w:p>
      <w:pPr>
        <w:rPr>
          <w:rFonts w:ascii="仿宋" w:hAnsi="仿宋" w:eastAsia="仿宋" w:cs="仿宋"/>
          <w:b/>
        </w:rPr>
      </w:pPr>
    </w:p>
    <w:p>
      <w:pPr>
        <w:jc w:val="center"/>
        <w:rPr>
          <w:rFonts w:ascii="仿宋" w:hAnsi="仿宋" w:eastAsia="仿宋" w:cs="仿宋"/>
          <w:b/>
        </w:rPr>
      </w:pPr>
      <w:r>
        <w:rPr>
          <w:rFonts w:hint="eastAsia" w:ascii="仿宋" w:hAnsi="仿宋" w:eastAsia="仿宋" w:cs="仿宋"/>
          <w:b/>
        </w:rPr>
        <w:br w:type="page"/>
      </w:r>
    </w:p>
    <w:p>
      <w:pPr>
        <w:jc w:val="center"/>
        <w:rPr>
          <w:rFonts w:ascii="仿宋" w:hAnsi="仿宋" w:eastAsia="仿宋" w:cs="仿宋"/>
          <w:b/>
        </w:rPr>
      </w:pPr>
      <w:r>
        <w:rPr>
          <w:rFonts w:hint="eastAsia" w:ascii="仿宋" w:hAnsi="仿宋" w:eastAsia="仿宋" w:cs="仿宋"/>
          <w:b/>
        </w:rPr>
        <w:t>拟投入人员</w:t>
      </w:r>
    </w:p>
    <w:p>
      <w:pPr>
        <w:rPr>
          <w:rFonts w:ascii="仿宋" w:hAnsi="仿宋" w:eastAsia="仿宋" w:cs="仿宋"/>
        </w:rPr>
      </w:pPr>
      <w:r>
        <w:rPr>
          <w:rFonts w:hint="eastAsia" w:ascii="仿宋" w:hAnsi="仿宋" w:eastAsia="仿宋" w:cs="仿宋"/>
        </w:rPr>
        <w:t>1、拟投入应包括：项目负责人认为需要配备的其他人员。</w:t>
      </w:r>
    </w:p>
    <w:p>
      <w:pPr>
        <w:rPr>
          <w:rFonts w:ascii="仿宋" w:hAnsi="仿宋" w:eastAsia="仿宋" w:cs="仿宋"/>
        </w:rPr>
      </w:pPr>
      <w:r>
        <w:rPr>
          <w:rFonts w:hint="eastAsia" w:ascii="仿宋" w:hAnsi="仿宋" w:eastAsia="仿宋" w:cs="仿宋"/>
        </w:rPr>
        <w:t>2、上述人员介绍应包括姓名、职称、主要资历等基本信息。</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center"/>
        <w:rPr>
          <w:rFonts w:ascii="仿宋" w:hAnsi="仿宋" w:eastAsia="仿宋" w:cs="仿宋"/>
          <w:b/>
        </w:rPr>
      </w:pPr>
      <w:r>
        <w:rPr>
          <w:rFonts w:hint="eastAsia" w:ascii="仿宋" w:hAnsi="仿宋" w:eastAsia="仿宋" w:cs="仿宋"/>
          <w:b/>
        </w:rPr>
        <w:br w:type="page"/>
      </w:r>
      <w:r>
        <w:rPr>
          <w:rFonts w:hint="eastAsia" w:ascii="仿宋" w:hAnsi="仿宋" w:eastAsia="仿宋" w:cs="仿宋"/>
          <w:b/>
        </w:rPr>
        <w:t>投标人近3年来类似业绩</w:t>
      </w:r>
    </w:p>
    <w:p>
      <w:pPr>
        <w:rPr>
          <w:rFonts w:ascii="仿宋" w:hAnsi="仿宋" w:eastAsia="仿宋" w:cs="仿宋"/>
        </w:rPr>
      </w:pPr>
    </w:p>
    <w:tbl>
      <w:tblPr>
        <w:tblStyle w:val="20"/>
        <w:tblW w:w="90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7"/>
        <w:gridCol w:w="1276"/>
        <w:gridCol w:w="630"/>
        <w:gridCol w:w="1470"/>
        <w:gridCol w:w="1158"/>
        <w:gridCol w:w="840"/>
        <w:gridCol w:w="855"/>
        <w:gridCol w:w="18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1037" w:type="dxa"/>
            <w:vAlign w:val="center"/>
          </w:tcPr>
          <w:p>
            <w:pPr>
              <w:jc w:val="center"/>
              <w:rPr>
                <w:rFonts w:ascii="仿宋" w:hAnsi="仿宋" w:eastAsia="仿宋" w:cs="仿宋"/>
              </w:rPr>
            </w:pPr>
            <w:r>
              <w:rPr>
                <w:rFonts w:hint="eastAsia" w:ascii="仿宋" w:hAnsi="仿宋" w:eastAsia="仿宋" w:cs="仿宋"/>
              </w:rPr>
              <w:t>业主</w:t>
            </w:r>
          </w:p>
          <w:p>
            <w:pPr>
              <w:jc w:val="center"/>
              <w:rPr>
                <w:rFonts w:ascii="仿宋" w:hAnsi="仿宋" w:eastAsia="仿宋" w:cs="仿宋"/>
              </w:rPr>
            </w:pPr>
            <w:r>
              <w:rPr>
                <w:rFonts w:hint="eastAsia" w:ascii="仿宋" w:hAnsi="仿宋" w:eastAsia="仿宋" w:cs="仿宋"/>
              </w:rPr>
              <w:t>单位</w:t>
            </w:r>
          </w:p>
        </w:tc>
        <w:tc>
          <w:tcPr>
            <w:tcW w:w="1276" w:type="dxa"/>
            <w:vAlign w:val="center"/>
          </w:tcPr>
          <w:p>
            <w:pPr>
              <w:jc w:val="center"/>
              <w:rPr>
                <w:rFonts w:ascii="仿宋" w:hAnsi="仿宋" w:eastAsia="仿宋" w:cs="仿宋"/>
              </w:rPr>
            </w:pPr>
            <w:r>
              <w:rPr>
                <w:rFonts w:hint="eastAsia" w:ascii="仿宋" w:hAnsi="仿宋" w:eastAsia="仿宋" w:cs="仿宋"/>
              </w:rPr>
              <w:t>项目名称地点</w:t>
            </w:r>
          </w:p>
        </w:tc>
        <w:tc>
          <w:tcPr>
            <w:tcW w:w="630" w:type="dxa"/>
            <w:vAlign w:val="center"/>
          </w:tcPr>
          <w:p>
            <w:pPr>
              <w:jc w:val="center"/>
              <w:rPr>
                <w:rFonts w:ascii="仿宋" w:hAnsi="仿宋" w:eastAsia="仿宋" w:cs="仿宋"/>
              </w:rPr>
            </w:pPr>
            <w:r>
              <w:rPr>
                <w:rFonts w:hint="eastAsia" w:ascii="仿宋" w:hAnsi="仿宋" w:eastAsia="仿宋" w:cs="仿宋"/>
              </w:rPr>
              <w:t>时间</w:t>
            </w:r>
          </w:p>
        </w:tc>
        <w:tc>
          <w:tcPr>
            <w:tcW w:w="1470" w:type="dxa"/>
            <w:vAlign w:val="center"/>
          </w:tcPr>
          <w:p>
            <w:pPr>
              <w:jc w:val="center"/>
              <w:rPr>
                <w:rFonts w:ascii="仿宋" w:hAnsi="仿宋" w:eastAsia="仿宋" w:cs="仿宋"/>
              </w:rPr>
            </w:pPr>
            <w:r>
              <w:rPr>
                <w:rFonts w:hint="eastAsia" w:ascii="仿宋" w:hAnsi="仿宋" w:eastAsia="仿宋" w:cs="仿宋"/>
              </w:rPr>
              <w:t>项目内容</w:t>
            </w:r>
          </w:p>
        </w:tc>
        <w:tc>
          <w:tcPr>
            <w:tcW w:w="1158" w:type="dxa"/>
            <w:vAlign w:val="center"/>
          </w:tcPr>
          <w:p>
            <w:pPr>
              <w:jc w:val="center"/>
              <w:rPr>
                <w:rFonts w:hint="eastAsia" w:ascii="仿宋" w:hAnsi="仿宋" w:eastAsia="仿宋" w:cs="仿宋"/>
                <w:lang w:eastAsia="zh-CN"/>
              </w:rPr>
            </w:pPr>
            <w:r>
              <w:rPr>
                <w:rFonts w:hint="eastAsia" w:ascii="仿宋" w:hAnsi="仿宋" w:eastAsia="仿宋" w:cs="仿宋"/>
                <w:lang w:val="en-US" w:eastAsia="zh-CN"/>
              </w:rPr>
              <w:t>交货期</w:t>
            </w:r>
          </w:p>
        </w:tc>
        <w:tc>
          <w:tcPr>
            <w:tcW w:w="840" w:type="dxa"/>
            <w:vAlign w:val="center"/>
          </w:tcPr>
          <w:p>
            <w:pPr>
              <w:jc w:val="center"/>
              <w:rPr>
                <w:rFonts w:ascii="仿宋" w:hAnsi="仿宋" w:eastAsia="仿宋" w:cs="仿宋"/>
              </w:rPr>
            </w:pPr>
            <w:r>
              <w:rPr>
                <w:rFonts w:hint="eastAsia" w:ascii="仿宋" w:hAnsi="仿宋" w:eastAsia="仿宋" w:cs="仿宋"/>
              </w:rPr>
              <w:t>合同</w:t>
            </w:r>
          </w:p>
          <w:p>
            <w:pPr>
              <w:jc w:val="center"/>
              <w:rPr>
                <w:rFonts w:ascii="仿宋" w:hAnsi="仿宋" w:eastAsia="仿宋" w:cs="仿宋"/>
              </w:rPr>
            </w:pPr>
            <w:r>
              <w:rPr>
                <w:rFonts w:hint="eastAsia" w:ascii="仿宋" w:hAnsi="仿宋" w:eastAsia="仿宋" w:cs="仿宋"/>
              </w:rPr>
              <w:t>价款</w:t>
            </w:r>
          </w:p>
        </w:tc>
        <w:tc>
          <w:tcPr>
            <w:tcW w:w="855" w:type="dxa"/>
            <w:vAlign w:val="center"/>
          </w:tcPr>
          <w:p>
            <w:pPr>
              <w:jc w:val="center"/>
              <w:rPr>
                <w:rFonts w:ascii="仿宋" w:hAnsi="仿宋" w:eastAsia="仿宋" w:cs="仿宋"/>
              </w:rPr>
            </w:pPr>
            <w:r>
              <w:rPr>
                <w:rFonts w:hint="eastAsia" w:ascii="仿宋" w:hAnsi="仿宋" w:eastAsia="仿宋" w:cs="仿宋"/>
              </w:rPr>
              <w:t>质量达到标准</w:t>
            </w:r>
          </w:p>
        </w:tc>
        <w:tc>
          <w:tcPr>
            <w:tcW w:w="1833" w:type="dxa"/>
            <w:vAlign w:val="center"/>
          </w:tcPr>
          <w:p>
            <w:pPr>
              <w:jc w:val="center"/>
              <w:rPr>
                <w:rFonts w:ascii="仿宋" w:hAnsi="仿宋" w:eastAsia="仿宋" w:cs="仿宋"/>
              </w:rPr>
            </w:pPr>
            <w:r>
              <w:rPr>
                <w:rFonts w:hint="eastAsia" w:ascii="仿宋" w:hAnsi="仿宋" w:eastAsia="仿宋" w:cs="仿宋"/>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1037" w:type="dxa"/>
          </w:tcPr>
          <w:p>
            <w:pPr>
              <w:rPr>
                <w:rFonts w:ascii="仿宋" w:hAnsi="仿宋" w:eastAsia="仿宋" w:cs="仿宋"/>
              </w:rPr>
            </w:pPr>
          </w:p>
        </w:tc>
        <w:tc>
          <w:tcPr>
            <w:tcW w:w="1276" w:type="dxa"/>
          </w:tcPr>
          <w:p>
            <w:pPr>
              <w:rPr>
                <w:rFonts w:ascii="仿宋" w:hAnsi="仿宋" w:eastAsia="仿宋" w:cs="仿宋"/>
              </w:rPr>
            </w:pPr>
          </w:p>
        </w:tc>
        <w:tc>
          <w:tcPr>
            <w:tcW w:w="630" w:type="dxa"/>
          </w:tcPr>
          <w:p>
            <w:pPr>
              <w:rPr>
                <w:rFonts w:ascii="仿宋" w:hAnsi="仿宋" w:eastAsia="仿宋" w:cs="仿宋"/>
              </w:rPr>
            </w:pPr>
          </w:p>
        </w:tc>
        <w:tc>
          <w:tcPr>
            <w:tcW w:w="1470" w:type="dxa"/>
          </w:tcPr>
          <w:p>
            <w:pPr>
              <w:rPr>
                <w:rFonts w:ascii="仿宋" w:hAnsi="仿宋" w:eastAsia="仿宋" w:cs="仿宋"/>
              </w:rPr>
            </w:pPr>
          </w:p>
        </w:tc>
        <w:tc>
          <w:tcPr>
            <w:tcW w:w="1158" w:type="dxa"/>
          </w:tcPr>
          <w:p>
            <w:pPr>
              <w:rPr>
                <w:rFonts w:ascii="仿宋" w:hAnsi="仿宋" w:eastAsia="仿宋" w:cs="仿宋"/>
              </w:rPr>
            </w:pPr>
          </w:p>
        </w:tc>
        <w:tc>
          <w:tcPr>
            <w:tcW w:w="840" w:type="dxa"/>
          </w:tcPr>
          <w:p>
            <w:pPr>
              <w:rPr>
                <w:rFonts w:ascii="仿宋" w:hAnsi="仿宋" w:eastAsia="仿宋" w:cs="仿宋"/>
              </w:rPr>
            </w:pPr>
          </w:p>
        </w:tc>
        <w:tc>
          <w:tcPr>
            <w:tcW w:w="855" w:type="dxa"/>
          </w:tcPr>
          <w:p>
            <w:pPr>
              <w:rPr>
                <w:rFonts w:ascii="仿宋" w:hAnsi="仿宋" w:eastAsia="仿宋" w:cs="仿宋"/>
              </w:rPr>
            </w:pPr>
          </w:p>
        </w:tc>
        <w:tc>
          <w:tcPr>
            <w:tcW w:w="1833" w:type="dxa"/>
          </w:tcPr>
          <w:p>
            <w:pPr>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1037" w:type="dxa"/>
          </w:tcPr>
          <w:p>
            <w:pPr>
              <w:rPr>
                <w:rFonts w:ascii="仿宋" w:hAnsi="仿宋" w:eastAsia="仿宋" w:cs="仿宋"/>
              </w:rPr>
            </w:pPr>
          </w:p>
        </w:tc>
        <w:tc>
          <w:tcPr>
            <w:tcW w:w="1276" w:type="dxa"/>
          </w:tcPr>
          <w:p>
            <w:pPr>
              <w:rPr>
                <w:rFonts w:ascii="仿宋" w:hAnsi="仿宋" w:eastAsia="仿宋" w:cs="仿宋"/>
              </w:rPr>
            </w:pPr>
          </w:p>
        </w:tc>
        <w:tc>
          <w:tcPr>
            <w:tcW w:w="630" w:type="dxa"/>
          </w:tcPr>
          <w:p>
            <w:pPr>
              <w:rPr>
                <w:rFonts w:ascii="仿宋" w:hAnsi="仿宋" w:eastAsia="仿宋" w:cs="仿宋"/>
              </w:rPr>
            </w:pPr>
          </w:p>
        </w:tc>
        <w:tc>
          <w:tcPr>
            <w:tcW w:w="1470" w:type="dxa"/>
          </w:tcPr>
          <w:p>
            <w:pPr>
              <w:rPr>
                <w:rFonts w:ascii="仿宋" w:hAnsi="仿宋" w:eastAsia="仿宋" w:cs="仿宋"/>
              </w:rPr>
            </w:pPr>
          </w:p>
        </w:tc>
        <w:tc>
          <w:tcPr>
            <w:tcW w:w="1158" w:type="dxa"/>
          </w:tcPr>
          <w:p>
            <w:pPr>
              <w:rPr>
                <w:rFonts w:ascii="仿宋" w:hAnsi="仿宋" w:eastAsia="仿宋" w:cs="仿宋"/>
              </w:rPr>
            </w:pPr>
          </w:p>
        </w:tc>
        <w:tc>
          <w:tcPr>
            <w:tcW w:w="840" w:type="dxa"/>
          </w:tcPr>
          <w:p>
            <w:pPr>
              <w:rPr>
                <w:rFonts w:ascii="仿宋" w:hAnsi="仿宋" w:eastAsia="仿宋" w:cs="仿宋"/>
              </w:rPr>
            </w:pPr>
          </w:p>
        </w:tc>
        <w:tc>
          <w:tcPr>
            <w:tcW w:w="855" w:type="dxa"/>
          </w:tcPr>
          <w:p>
            <w:pPr>
              <w:rPr>
                <w:rFonts w:ascii="仿宋" w:hAnsi="仿宋" w:eastAsia="仿宋" w:cs="仿宋"/>
              </w:rPr>
            </w:pPr>
          </w:p>
        </w:tc>
        <w:tc>
          <w:tcPr>
            <w:tcW w:w="1833" w:type="dxa"/>
          </w:tcPr>
          <w:p>
            <w:pPr>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1037" w:type="dxa"/>
          </w:tcPr>
          <w:p>
            <w:pPr>
              <w:rPr>
                <w:rFonts w:ascii="仿宋" w:hAnsi="仿宋" w:eastAsia="仿宋" w:cs="仿宋"/>
              </w:rPr>
            </w:pPr>
          </w:p>
        </w:tc>
        <w:tc>
          <w:tcPr>
            <w:tcW w:w="1276" w:type="dxa"/>
          </w:tcPr>
          <w:p>
            <w:pPr>
              <w:rPr>
                <w:rFonts w:ascii="仿宋" w:hAnsi="仿宋" w:eastAsia="仿宋" w:cs="仿宋"/>
              </w:rPr>
            </w:pPr>
          </w:p>
        </w:tc>
        <w:tc>
          <w:tcPr>
            <w:tcW w:w="630" w:type="dxa"/>
          </w:tcPr>
          <w:p>
            <w:pPr>
              <w:rPr>
                <w:rFonts w:ascii="仿宋" w:hAnsi="仿宋" w:eastAsia="仿宋" w:cs="仿宋"/>
              </w:rPr>
            </w:pPr>
          </w:p>
        </w:tc>
        <w:tc>
          <w:tcPr>
            <w:tcW w:w="1470" w:type="dxa"/>
          </w:tcPr>
          <w:p>
            <w:pPr>
              <w:rPr>
                <w:rFonts w:ascii="仿宋" w:hAnsi="仿宋" w:eastAsia="仿宋" w:cs="仿宋"/>
              </w:rPr>
            </w:pPr>
          </w:p>
        </w:tc>
        <w:tc>
          <w:tcPr>
            <w:tcW w:w="1158" w:type="dxa"/>
          </w:tcPr>
          <w:p>
            <w:pPr>
              <w:rPr>
                <w:rFonts w:ascii="仿宋" w:hAnsi="仿宋" w:eastAsia="仿宋" w:cs="仿宋"/>
              </w:rPr>
            </w:pPr>
          </w:p>
        </w:tc>
        <w:tc>
          <w:tcPr>
            <w:tcW w:w="840" w:type="dxa"/>
          </w:tcPr>
          <w:p>
            <w:pPr>
              <w:rPr>
                <w:rFonts w:ascii="仿宋" w:hAnsi="仿宋" w:eastAsia="仿宋" w:cs="仿宋"/>
              </w:rPr>
            </w:pPr>
          </w:p>
        </w:tc>
        <w:tc>
          <w:tcPr>
            <w:tcW w:w="855" w:type="dxa"/>
          </w:tcPr>
          <w:p>
            <w:pPr>
              <w:rPr>
                <w:rFonts w:ascii="仿宋" w:hAnsi="仿宋" w:eastAsia="仿宋" w:cs="仿宋"/>
              </w:rPr>
            </w:pPr>
          </w:p>
        </w:tc>
        <w:tc>
          <w:tcPr>
            <w:tcW w:w="1833" w:type="dxa"/>
          </w:tcPr>
          <w:p>
            <w:pPr>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1037" w:type="dxa"/>
          </w:tcPr>
          <w:p>
            <w:pPr>
              <w:rPr>
                <w:rFonts w:ascii="仿宋" w:hAnsi="仿宋" w:eastAsia="仿宋" w:cs="仿宋"/>
              </w:rPr>
            </w:pPr>
          </w:p>
        </w:tc>
        <w:tc>
          <w:tcPr>
            <w:tcW w:w="1276" w:type="dxa"/>
          </w:tcPr>
          <w:p>
            <w:pPr>
              <w:rPr>
                <w:rFonts w:ascii="仿宋" w:hAnsi="仿宋" w:eastAsia="仿宋" w:cs="仿宋"/>
              </w:rPr>
            </w:pPr>
          </w:p>
        </w:tc>
        <w:tc>
          <w:tcPr>
            <w:tcW w:w="630" w:type="dxa"/>
          </w:tcPr>
          <w:p>
            <w:pPr>
              <w:rPr>
                <w:rFonts w:ascii="仿宋" w:hAnsi="仿宋" w:eastAsia="仿宋" w:cs="仿宋"/>
              </w:rPr>
            </w:pPr>
          </w:p>
        </w:tc>
        <w:tc>
          <w:tcPr>
            <w:tcW w:w="1470" w:type="dxa"/>
          </w:tcPr>
          <w:p>
            <w:pPr>
              <w:rPr>
                <w:rFonts w:ascii="仿宋" w:hAnsi="仿宋" w:eastAsia="仿宋" w:cs="仿宋"/>
              </w:rPr>
            </w:pPr>
          </w:p>
        </w:tc>
        <w:tc>
          <w:tcPr>
            <w:tcW w:w="1158" w:type="dxa"/>
          </w:tcPr>
          <w:p>
            <w:pPr>
              <w:rPr>
                <w:rFonts w:ascii="仿宋" w:hAnsi="仿宋" w:eastAsia="仿宋" w:cs="仿宋"/>
              </w:rPr>
            </w:pPr>
          </w:p>
        </w:tc>
        <w:tc>
          <w:tcPr>
            <w:tcW w:w="840" w:type="dxa"/>
          </w:tcPr>
          <w:p>
            <w:pPr>
              <w:rPr>
                <w:rFonts w:ascii="仿宋" w:hAnsi="仿宋" w:eastAsia="仿宋" w:cs="仿宋"/>
              </w:rPr>
            </w:pPr>
          </w:p>
        </w:tc>
        <w:tc>
          <w:tcPr>
            <w:tcW w:w="855" w:type="dxa"/>
          </w:tcPr>
          <w:p>
            <w:pPr>
              <w:rPr>
                <w:rFonts w:ascii="仿宋" w:hAnsi="仿宋" w:eastAsia="仿宋" w:cs="仿宋"/>
              </w:rPr>
            </w:pPr>
          </w:p>
        </w:tc>
        <w:tc>
          <w:tcPr>
            <w:tcW w:w="1833" w:type="dxa"/>
          </w:tcPr>
          <w:p>
            <w:pPr>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1037" w:type="dxa"/>
          </w:tcPr>
          <w:p>
            <w:pPr>
              <w:rPr>
                <w:rFonts w:ascii="仿宋" w:hAnsi="仿宋" w:eastAsia="仿宋" w:cs="仿宋"/>
              </w:rPr>
            </w:pPr>
          </w:p>
        </w:tc>
        <w:tc>
          <w:tcPr>
            <w:tcW w:w="1276" w:type="dxa"/>
          </w:tcPr>
          <w:p>
            <w:pPr>
              <w:rPr>
                <w:rFonts w:ascii="仿宋" w:hAnsi="仿宋" w:eastAsia="仿宋" w:cs="仿宋"/>
              </w:rPr>
            </w:pPr>
          </w:p>
        </w:tc>
        <w:tc>
          <w:tcPr>
            <w:tcW w:w="630" w:type="dxa"/>
          </w:tcPr>
          <w:p>
            <w:pPr>
              <w:rPr>
                <w:rFonts w:ascii="仿宋" w:hAnsi="仿宋" w:eastAsia="仿宋" w:cs="仿宋"/>
              </w:rPr>
            </w:pPr>
          </w:p>
        </w:tc>
        <w:tc>
          <w:tcPr>
            <w:tcW w:w="1470" w:type="dxa"/>
          </w:tcPr>
          <w:p>
            <w:pPr>
              <w:rPr>
                <w:rFonts w:ascii="仿宋" w:hAnsi="仿宋" w:eastAsia="仿宋" w:cs="仿宋"/>
              </w:rPr>
            </w:pPr>
          </w:p>
        </w:tc>
        <w:tc>
          <w:tcPr>
            <w:tcW w:w="1158" w:type="dxa"/>
          </w:tcPr>
          <w:p>
            <w:pPr>
              <w:rPr>
                <w:rFonts w:ascii="仿宋" w:hAnsi="仿宋" w:eastAsia="仿宋" w:cs="仿宋"/>
              </w:rPr>
            </w:pPr>
          </w:p>
        </w:tc>
        <w:tc>
          <w:tcPr>
            <w:tcW w:w="840" w:type="dxa"/>
          </w:tcPr>
          <w:p>
            <w:pPr>
              <w:rPr>
                <w:rFonts w:ascii="仿宋" w:hAnsi="仿宋" w:eastAsia="仿宋" w:cs="仿宋"/>
              </w:rPr>
            </w:pPr>
          </w:p>
        </w:tc>
        <w:tc>
          <w:tcPr>
            <w:tcW w:w="855" w:type="dxa"/>
          </w:tcPr>
          <w:p>
            <w:pPr>
              <w:rPr>
                <w:rFonts w:ascii="仿宋" w:hAnsi="仿宋" w:eastAsia="仿宋" w:cs="仿宋"/>
              </w:rPr>
            </w:pPr>
          </w:p>
        </w:tc>
        <w:tc>
          <w:tcPr>
            <w:tcW w:w="1833" w:type="dxa"/>
          </w:tcPr>
          <w:p>
            <w:pPr>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1037" w:type="dxa"/>
          </w:tcPr>
          <w:p>
            <w:pPr>
              <w:rPr>
                <w:rFonts w:ascii="仿宋" w:hAnsi="仿宋" w:eastAsia="仿宋" w:cs="仿宋"/>
              </w:rPr>
            </w:pPr>
          </w:p>
        </w:tc>
        <w:tc>
          <w:tcPr>
            <w:tcW w:w="1276" w:type="dxa"/>
          </w:tcPr>
          <w:p>
            <w:pPr>
              <w:rPr>
                <w:rFonts w:ascii="仿宋" w:hAnsi="仿宋" w:eastAsia="仿宋" w:cs="仿宋"/>
              </w:rPr>
            </w:pPr>
          </w:p>
        </w:tc>
        <w:tc>
          <w:tcPr>
            <w:tcW w:w="630" w:type="dxa"/>
          </w:tcPr>
          <w:p>
            <w:pPr>
              <w:rPr>
                <w:rFonts w:ascii="仿宋" w:hAnsi="仿宋" w:eastAsia="仿宋" w:cs="仿宋"/>
              </w:rPr>
            </w:pPr>
          </w:p>
        </w:tc>
        <w:tc>
          <w:tcPr>
            <w:tcW w:w="1470" w:type="dxa"/>
          </w:tcPr>
          <w:p>
            <w:pPr>
              <w:rPr>
                <w:rFonts w:ascii="仿宋" w:hAnsi="仿宋" w:eastAsia="仿宋" w:cs="仿宋"/>
              </w:rPr>
            </w:pPr>
          </w:p>
        </w:tc>
        <w:tc>
          <w:tcPr>
            <w:tcW w:w="1158" w:type="dxa"/>
          </w:tcPr>
          <w:p>
            <w:pPr>
              <w:rPr>
                <w:rFonts w:ascii="仿宋" w:hAnsi="仿宋" w:eastAsia="仿宋" w:cs="仿宋"/>
              </w:rPr>
            </w:pPr>
          </w:p>
        </w:tc>
        <w:tc>
          <w:tcPr>
            <w:tcW w:w="840" w:type="dxa"/>
          </w:tcPr>
          <w:p>
            <w:pPr>
              <w:rPr>
                <w:rFonts w:ascii="仿宋" w:hAnsi="仿宋" w:eastAsia="仿宋" w:cs="仿宋"/>
              </w:rPr>
            </w:pPr>
          </w:p>
        </w:tc>
        <w:tc>
          <w:tcPr>
            <w:tcW w:w="855" w:type="dxa"/>
          </w:tcPr>
          <w:p>
            <w:pPr>
              <w:rPr>
                <w:rFonts w:ascii="仿宋" w:hAnsi="仿宋" w:eastAsia="仿宋" w:cs="仿宋"/>
              </w:rPr>
            </w:pPr>
          </w:p>
        </w:tc>
        <w:tc>
          <w:tcPr>
            <w:tcW w:w="1833" w:type="dxa"/>
          </w:tcPr>
          <w:p>
            <w:pPr>
              <w:rPr>
                <w:rFonts w:ascii="仿宋" w:hAnsi="仿宋" w:eastAsia="仿宋" w:cs="仿宋"/>
              </w:rPr>
            </w:pPr>
          </w:p>
        </w:tc>
      </w:tr>
    </w:tbl>
    <w:p>
      <w:pPr>
        <w:rPr>
          <w:rFonts w:ascii="仿宋" w:hAnsi="仿宋" w:eastAsia="仿宋" w:cs="仿宋"/>
          <w:b/>
        </w:rPr>
      </w:pPr>
    </w:p>
    <w:p>
      <w:pPr>
        <w:rPr>
          <w:rFonts w:ascii="仿宋" w:hAnsi="仿宋" w:eastAsia="仿宋" w:cs="仿宋"/>
          <w:b/>
        </w:rPr>
      </w:pPr>
    </w:p>
    <w:p>
      <w:pPr>
        <w:spacing w:line="440" w:lineRule="exact"/>
        <w:ind w:firstLine="422" w:firstLineChars="200"/>
        <w:jc w:val="center"/>
        <w:rPr>
          <w:rFonts w:ascii="仿宋" w:hAnsi="仿宋" w:eastAsia="仿宋" w:cs="仿宋"/>
          <w:b/>
        </w:rPr>
      </w:pPr>
      <w:r>
        <w:rPr>
          <w:rFonts w:hint="eastAsia" w:ascii="仿宋" w:hAnsi="仿宋" w:eastAsia="仿宋" w:cs="仿宋"/>
          <w:b/>
        </w:rPr>
        <w:br w:type="page"/>
      </w:r>
      <w:r>
        <w:rPr>
          <w:rFonts w:hint="eastAsia" w:ascii="仿宋" w:hAnsi="仿宋" w:eastAsia="仿宋" w:cs="仿宋"/>
          <w:b/>
        </w:rPr>
        <w:t>拟投入设备</w:t>
      </w:r>
    </w:p>
    <w:p>
      <w:pPr>
        <w:spacing w:line="440" w:lineRule="exact"/>
        <w:ind w:firstLine="422" w:firstLineChars="200"/>
        <w:rPr>
          <w:rFonts w:ascii="仿宋" w:hAnsi="仿宋" w:eastAsia="仿宋" w:cs="仿宋"/>
          <w:b/>
        </w:rPr>
      </w:pPr>
    </w:p>
    <w:tbl>
      <w:tblPr>
        <w:tblStyle w:val="20"/>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59"/>
        <w:gridCol w:w="2160"/>
        <w:gridCol w:w="2159"/>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48" w:type="dxa"/>
          </w:tcPr>
          <w:p>
            <w:pPr>
              <w:spacing w:line="440" w:lineRule="exact"/>
              <w:rPr>
                <w:rFonts w:ascii="仿宋" w:hAnsi="仿宋" w:eastAsia="仿宋" w:cs="仿宋"/>
              </w:rPr>
            </w:pPr>
            <w:r>
              <w:rPr>
                <w:rFonts w:hint="eastAsia" w:ascii="仿宋" w:hAnsi="仿宋" w:eastAsia="仿宋" w:cs="仿宋"/>
              </w:rPr>
              <w:t>项号</w:t>
            </w:r>
          </w:p>
        </w:tc>
        <w:tc>
          <w:tcPr>
            <w:tcW w:w="2159" w:type="dxa"/>
          </w:tcPr>
          <w:p>
            <w:pPr>
              <w:spacing w:line="440" w:lineRule="exact"/>
              <w:rPr>
                <w:rFonts w:ascii="仿宋" w:hAnsi="仿宋" w:eastAsia="仿宋" w:cs="仿宋"/>
              </w:rPr>
            </w:pPr>
            <w:r>
              <w:rPr>
                <w:rFonts w:hint="eastAsia" w:ascii="仿宋" w:hAnsi="仿宋" w:eastAsia="仿宋" w:cs="仿宋"/>
              </w:rPr>
              <w:t>设备名称</w:t>
            </w:r>
          </w:p>
        </w:tc>
        <w:tc>
          <w:tcPr>
            <w:tcW w:w="2160" w:type="dxa"/>
          </w:tcPr>
          <w:p>
            <w:pPr>
              <w:spacing w:line="440" w:lineRule="exact"/>
              <w:rPr>
                <w:rFonts w:ascii="仿宋" w:hAnsi="仿宋" w:eastAsia="仿宋" w:cs="仿宋"/>
              </w:rPr>
            </w:pPr>
            <w:r>
              <w:rPr>
                <w:rFonts w:hint="eastAsia" w:ascii="仿宋" w:hAnsi="仿宋" w:eastAsia="仿宋" w:cs="仿宋"/>
              </w:rPr>
              <w:t>型号</w:t>
            </w:r>
          </w:p>
        </w:tc>
        <w:tc>
          <w:tcPr>
            <w:tcW w:w="2159" w:type="dxa"/>
          </w:tcPr>
          <w:p>
            <w:pPr>
              <w:spacing w:line="440" w:lineRule="exact"/>
              <w:rPr>
                <w:rFonts w:ascii="仿宋" w:hAnsi="仿宋" w:eastAsia="仿宋" w:cs="仿宋"/>
              </w:rPr>
            </w:pPr>
            <w:r>
              <w:rPr>
                <w:rFonts w:hint="eastAsia" w:ascii="仿宋" w:hAnsi="仿宋" w:eastAsia="仿宋" w:cs="仿宋"/>
              </w:rPr>
              <w:t>数量</w:t>
            </w:r>
          </w:p>
        </w:tc>
        <w:tc>
          <w:tcPr>
            <w:tcW w:w="2160" w:type="dxa"/>
          </w:tcPr>
          <w:p>
            <w:pPr>
              <w:spacing w:line="440" w:lineRule="exact"/>
              <w:rPr>
                <w:rFonts w:ascii="仿宋" w:hAnsi="仿宋" w:eastAsia="仿宋" w:cs="仿宋"/>
              </w:rPr>
            </w:pPr>
            <w:r>
              <w:rPr>
                <w:rFonts w:hint="eastAsia" w:ascii="仿宋" w:hAnsi="仿宋" w:eastAsia="仿宋" w:cs="仿宋"/>
              </w:rPr>
              <w:t>用途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48"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c>
          <w:tcPr>
            <w:tcW w:w="2159" w:type="dxa"/>
          </w:tcPr>
          <w:p>
            <w:pPr>
              <w:spacing w:line="440" w:lineRule="exact"/>
              <w:rPr>
                <w:rFonts w:ascii="仿宋" w:hAnsi="仿宋" w:eastAsia="仿宋" w:cs="仿宋"/>
              </w:rPr>
            </w:pPr>
          </w:p>
        </w:tc>
        <w:tc>
          <w:tcPr>
            <w:tcW w:w="2160" w:type="dxa"/>
          </w:tcPr>
          <w:p>
            <w:pPr>
              <w:spacing w:line="440" w:lineRule="exact"/>
              <w:rPr>
                <w:rFonts w:ascii="仿宋" w:hAnsi="仿宋" w:eastAsia="仿宋" w:cs="仿宋"/>
              </w:rPr>
            </w:pPr>
          </w:p>
        </w:tc>
      </w:tr>
    </w:tbl>
    <w:p>
      <w:pPr>
        <w:rPr>
          <w:rFonts w:ascii="仿宋" w:hAnsi="仿宋" w:eastAsia="仿宋" w:cs="仿宋"/>
          <w:b/>
        </w:rPr>
      </w:pPr>
    </w:p>
    <w:p>
      <w:pPr>
        <w:rPr>
          <w:rFonts w:ascii="仿宋" w:hAnsi="仿宋" w:eastAsia="仿宋" w:cs="仿宋"/>
          <w:b/>
        </w:rPr>
      </w:pPr>
    </w:p>
    <w:p>
      <w:pPr>
        <w:pStyle w:val="4"/>
        <w:spacing w:before="0" w:after="0" w:line="360" w:lineRule="auto"/>
        <w:rPr>
          <w:rFonts w:ascii="仿宋" w:hAnsi="仿宋" w:eastAsia="仿宋" w:cs="仿宋"/>
        </w:rPr>
      </w:pPr>
      <w:r>
        <w:rPr>
          <w:rFonts w:hint="eastAsia" w:ascii="仿宋" w:hAnsi="仿宋" w:eastAsia="仿宋" w:cs="仿宋"/>
          <w:b w:val="0"/>
        </w:rPr>
        <w:br w:type="page"/>
      </w:r>
      <w:r>
        <w:rPr>
          <w:rFonts w:hint="eastAsia" w:ascii="仿宋" w:hAnsi="仿宋" w:eastAsia="仿宋" w:cs="仿宋"/>
          <w:sz w:val="28"/>
          <w:szCs w:val="28"/>
        </w:rPr>
        <w:t>附件一、投标人资格声明函</w:t>
      </w:r>
      <w:bookmarkEnd w:id="125"/>
      <w:bookmarkEnd w:id="126"/>
    </w:p>
    <w:p>
      <w:pPr>
        <w:jc w:val="center"/>
        <w:rPr>
          <w:rFonts w:ascii="仿宋" w:hAnsi="仿宋" w:eastAsia="仿宋" w:cs="仿宋"/>
          <w:b/>
          <w:sz w:val="24"/>
        </w:rPr>
      </w:pPr>
    </w:p>
    <w:p>
      <w:pPr>
        <w:jc w:val="center"/>
        <w:rPr>
          <w:rFonts w:ascii="仿宋" w:hAnsi="仿宋" w:eastAsia="仿宋" w:cs="仿宋"/>
          <w:b/>
          <w:sz w:val="28"/>
          <w:szCs w:val="28"/>
        </w:rPr>
      </w:pPr>
      <w:r>
        <w:rPr>
          <w:rFonts w:hint="eastAsia" w:ascii="仿宋" w:hAnsi="仿宋" w:eastAsia="仿宋" w:cs="仿宋"/>
          <w:b/>
          <w:sz w:val="28"/>
          <w:szCs w:val="28"/>
        </w:rPr>
        <w:t>投标人资格声明函</w:t>
      </w:r>
      <w:bookmarkEnd w:id="127"/>
    </w:p>
    <w:p>
      <w:pPr>
        <w:jc w:val="center"/>
        <w:rPr>
          <w:rFonts w:ascii="仿宋" w:hAnsi="仿宋" w:eastAsia="仿宋" w:cs="仿宋"/>
        </w:rPr>
      </w:pPr>
    </w:p>
    <w:p>
      <w:pPr>
        <w:rPr>
          <w:rFonts w:ascii="仿宋" w:hAnsi="仿宋" w:eastAsia="仿宋" w:cs="仿宋"/>
          <w:sz w:val="24"/>
        </w:rPr>
      </w:pPr>
      <w:r>
        <w:rPr>
          <w:rFonts w:hint="eastAsia" w:ascii="仿宋" w:hAnsi="仿宋" w:eastAsia="仿宋" w:cs="仿宋"/>
          <w:sz w:val="24"/>
        </w:rPr>
        <w:t>新疆华域建设工程项目管理咨询有限公司 ：</w:t>
      </w:r>
    </w:p>
    <w:p>
      <w:pPr>
        <w:rPr>
          <w:rFonts w:ascii="仿宋" w:hAnsi="仿宋" w:eastAsia="仿宋" w:cs="仿宋"/>
          <w:sz w:val="24"/>
        </w:rPr>
      </w:pPr>
    </w:p>
    <w:p>
      <w:pPr>
        <w:snapToGrid w:val="0"/>
        <w:spacing w:before="120" w:beforeLines="50" w:line="360" w:lineRule="auto"/>
        <w:ind w:firstLine="600" w:firstLineChars="250"/>
        <w:rPr>
          <w:rFonts w:ascii="仿宋" w:hAnsi="仿宋" w:eastAsia="仿宋" w:cs="仿宋"/>
          <w:sz w:val="24"/>
        </w:rPr>
      </w:pPr>
      <w:r>
        <w:rPr>
          <w:rFonts w:hint="eastAsia" w:ascii="仿宋" w:hAnsi="仿宋" w:eastAsia="仿宋" w:cs="仿宋"/>
          <w:sz w:val="24"/>
        </w:rPr>
        <w:t>关于贵公司</w:t>
      </w:r>
      <w:r>
        <w:rPr>
          <w:rFonts w:hint="eastAsia" w:ascii="仿宋" w:hAnsi="仿宋" w:eastAsia="仿宋" w:cs="仿宋"/>
          <w:sz w:val="24"/>
          <w:u w:val="single"/>
        </w:rPr>
        <w:t>　　　</w:t>
      </w:r>
      <w:r>
        <w:rPr>
          <w:rFonts w:hint="eastAsia" w:ascii="仿宋" w:hAnsi="仿宋" w:eastAsia="仿宋" w:cs="仿宋"/>
          <w:sz w:val="24"/>
        </w:rPr>
        <w:t>年</w:t>
      </w:r>
      <w:r>
        <w:rPr>
          <w:rFonts w:hint="eastAsia" w:ascii="仿宋" w:hAnsi="仿宋" w:eastAsia="仿宋" w:cs="仿宋"/>
          <w:sz w:val="24"/>
          <w:u w:val="single"/>
        </w:rPr>
        <w:t>　　</w:t>
      </w:r>
      <w:r>
        <w:rPr>
          <w:rFonts w:hint="eastAsia" w:ascii="仿宋" w:hAnsi="仿宋" w:eastAsia="仿宋" w:cs="仿宋"/>
          <w:sz w:val="24"/>
        </w:rPr>
        <w:t>月</w:t>
      </w:r>
      <w:r>
        <w:rPr>
          <w:rFonts w:hint="eastAsia" w:ascii="仿宋" w:hAnsi="仿宋" w:eastAsia="仿宋" w:cs="仿宋"/>
          <w:sz w:val="24"/>
          <w:u w:val="single"/>
        </w:rPr>
        <w:t>　　</w:t>
      </w:r>
      <w:r>
        <w:rPr>
          <w:rFonts w:hint="eastAsia" w:ascii="仿宋" w:hAnsi="仿宋" w:eastAsia="仿宋" w:cs="仿宋"/>
          <w:sz w:val="24"/>
        </w:rPr>
        <w:t>日发布</w:t>
      </w:r>
      <w:r>
        <w:rPr>
          <w:rFonts w:hint="eastAsia" w:ascii="仿宋" w:hAnsi="仿宋" w:eastAsia="仿宋" w:cs="仿宋"/>
          <w:sz w:val="24"/>
          <w:u w:val="single"/>
        </w:rPr>
        <w:t>XXXX项目</w:t>
      </w:r>
      <w:r>
        <w:rPr>
          <w:rFonts w:hint="eastAsia" w:ascii="仿宋" w:hAnsi="仿宋" w:eastAsia="仿宋" w:cs="仿宋"/>
          <w:sz w:val="24"/>
        </w:rPr>
        <w:t>（招标编号：HYZB01-2022-XXX号）的采购公告，我公司愿意参加投标，并声明：本公司具有符合招标要求的良好商业信誉和健全的财务会计制度、参加政府采购活动前三年内，在经营活动中没有重大违法记录，三年内无因自身原因违约或不恰当履行合同引起的终止、纠纷、争议、仲裁和诉讼记录，无被责令停业或暂停投标记录，无经济方面的犯罪或严重违法记录，无发生过重大安全事故或责任事故。提交的相关证明文件是准确真实、完整有效的，并已清楚招标文件的要求及有关文件规定。并承诺在本次招标采购活动中，如有违法、违规、弄虚作假行为，所造成的损失、不良后果及法律责任，一律由我公司（企业）承担。</w:t>
      </w:r>
    </w:p>
    <w:p>
      <w:pPr>
        <w:spacing w:line="360" w:lineRule="auto"/>
        <w:ind w:firstLine="420"/>
        <w:rPr>
          <w:rFonts w:ascii="仿宋" w:hAnsi="仿宋" w:eastAsia="仿宋" w:cs="仿宋"/>
          <w:sz w:val="24"/>
        </w:rPr>
      </w:pPr>
    </w:p>
    <w:p>
      <w:pPr>
        <w:spacing w:line="360" w:lineRule="auto"/>
        <w:ind w:firstLine="420"/>
        <w:rPr>
          <w:rFonts w:ascii="仿宋" w:hAnsi="仿宋" w:eastAsia="仿宋" w:cs="仿宋"/>
          <w:sz w:val="24"/>
        </w:rPr>
      </w:pPr>
    </w:p>
    <w:p>
      <w:pPr>
        <w:spacing w:line="360" w:lineRule="auto"/>
        <w:ind w:firstLine="420"/>
        <w:rPr>
          <w:rFonts w:ascii="仿宋" w:hAnsi="仿宋" w:eastAsia="仿宋" w:cs="仿宋"/>
          <w:sz w:val="24"/>
        </w:rPr>
      </w:pPr>
      <w:r>
        <w:rPr>
          <w:rFonts w:hint="eastAsia" w:ascii="仿宋" w:hAnsi="仿宋" w:eastAsia="仿宋" w:cs="仿宋"/>
          <w:sz w:val="24"/>
        </w:rPr>
        <w:t>特此声明！</w:t>
      </w:r>
    </w:p>
    <w:p>
      <w:pPr>
        <w:spacing w:line="360" w:lineRule="auto"/>
        <w:ind w:firstLine="420"/>
        <w:rPr>
          <w:rFonts w:ascii="仿宋" w:hAnsi="仿宋" w:eastAsia="仿宋" w:cs="仿宋"/>
          <w:sz w:val="24"/>
        </w:rPr>
      </w:pPr>
    </w:p>
    <w:p>
      <w:pPr>
        <w:spacing w:line="360" w:lineRule="auto"/>
        <w:ind w:firstLine="420"/>
        <w:rPr>
          <w:rFonts w:ascii="仿宋" w:hAnsi="仿宋" w:eastAsia="仿宋" w:cs="仿宋"/>
          <w:sz w:val="24"/>
        </w:rPr>
      </w:pPr>
    </w:p>
    <w:p>
      <w:pPr>
        <w:spacing w:line="480" w:lineRule="auto"/>
        <w:ind w:firstLine="420"/>
        <w:rPr>
          <w:rFonts w:ascii="仿宋" w:hAnsi="仿宋" w:eastAsia="仿宋" w:cs="仿宋"/>
          <w:sz w:val="24"/>
        </w:rPr>
      </w:pPr>
      <w:r>
        <w:rPr>
          <w:rFonts w:hint="eastAsia" w:ascii="仿宋" w:hAnsi="仿宋" w:eastAsia="仿宋" w:cs="仿宋"/>
          <w:sz w:val="24"/>
        </w:rPr>
        <w:t>单位名称：　　　　　　　　　　　　　　　　　　公司（企业）法定代表人签字：</w:t>
      </w:r>
    </w:p>
    <w:p>
      <w:pPr>
        <w:spacing w:line="480" w:lineRule="auto"/>
        <w:ind w:firstLine="420"/>
        <w:rPr>
          <w:rFonts w:ascii="仿宋" w:hAnsi="仿宋" w:eastAsia="仿宋" w:cs="仿宋"/>
          <w:sz w:val="24"/>
        </w:rPr>
      </w:pPr>
      <w:r>
        <w:rPr>
          <w:rFonts w:hint="eastAsia" w:ascii="仿宋" w:hAnsi="仿宋" w:eastAsia="仿宋" w:cs="仿宋"/>
          <w:sz w:val="24"/>
        </w:rPr>
        <w:t>单位地址：　　　　　　　　　　　　　　　　　　单位公章：</w:t>
      </w:r>
    </w:p>
    <w:p>
      <w:pPr>
        <w:spacing w:line="480" w:lineRule="auto"/>
        <w:ind w:firstLine="420"/>
        <w:rPr>
          <w:rFonts w:ascii="仿宋" w:hAnsi="仿宋" w:eastAsia="仿宋" w:cs="仿宋"/>
          <w:sz w:val="24"/>
        </w:rPr>
      </w:pPr>
      <w:r>
        <w:rPr>
          <w:rFonts w:hint="eastAsia" w:ascii="仿宋" w:hAnsi="仿宋" w:eastAsia="仿宋" w:cs="仿宋"/>
          <w:sz w:val="24"/>
        </w:rPr>
        <w:t>邮政编码：　　　　　　　　　　　　　　　　　　日期：</w:t>
      </w:r>
    </w:p>
    <w:p>
      <w:pPr>
        <w:spacing w:line="480" w:lineRule="auto"/>
        <w:ind w:firstLine="420" w:firstLineChars="175"/>
        <w:rPr>
          <w:rFonts w:ascii="仿宋" w:hAnsi="仿宋" w:eastAsia="仿宋" w:cs="仿宋"/>
          <w:sz w:val="24"/>
        </w:rPr>
      </w:pPr>
      <w:r>
        <w:rPr>
          <w:rFonts w:hint="eastAsia" w:ascii="仿宋" w:hAnsi="仿宋" w:eastAsia="仿宋" w:cs="仿宋"/>
          <w:sz w:val="24"/>
        </w:rPr>
        <w:t>联系电话：</w:t>
      </w:r>
    </w:p>
    <w:p>
      <w:pPr>
        <w:pStyle w:val="4"/>
        <w:spacing w:before="0" w:after="0" w:line="360" w:lineRule="auto"/>
        <w:rPr>
          <w:rFonts w:ascii="仿宋" w:hAnsi="仿宋" w:eastAsia="仿宋" w:cs="仿宋"/>
          <w:sz w:val="28"/>
          <w:szCs w:val="28"/>
        </w:rPr>
      </w:pPr>
      <w:r>
        <w:rPr>
          <w:rFonts w:hint="eastAsia" w:ascii="仿宋" w:hAnsi="仿宋" w:eastAsia="仿宋" w:cs="仿宋"/>
        </w:rPr>
        <w:br w:type="page"/>
      </w:r>
      <w:bookmarkStart w:id="128" w:name="_Toc6977"/>
      <w:bookmarkStart w:id="129" w:name="_Toc130139098"/>
      <w:r>
        <w:rPr>
          <w:rFonts w:hint="eastAsia" w:ascii="仿宋" w:hAnsi="仿宋" w:eastAsia="仿宋" w:cs="仿宋"/>
        </w:rPr>
        <w:t>附件二、</w:t>
      </w:r>
      <w:r>
        <w:rPr>
          <w:rFonts w:hint="eastAsia" w:ascii="仿宋" w:hAnsi="仿宋" w:eastAsia="仿宋" w:cs="仿宋"/>
          <w:sz w:val="28"/>
          <w:szCs w:val="28"/>
        </w:rPr>
        <w:t>资格文件</w:t>
      </w:r>
      <w:bookmarkEnd w:id="128"/>
      <w:bookmarkEnd w:id="129"/>
    </w:p>
    <w:p>
      <w:pPr>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投标人必须按下列要求提交资格文件：</w:t>
      </w:r>
    </w:p>
    <w:p>
      <w:pPr>
        <w:spacing w:line="420" w:lineRule="exact"/>
        <w:rPr>
          <w:rFonts w:ascii="仿宋" w:hAnsi="仿宋" w:eastAsia="仿宋" w:cs="仿宋"/>
          <w:sz w:val="24"/>
        </w:rPr>
      </w:pPr>
      <w:r>
        <w:rPr>
          <w:rFonts w:hint="eastAsia" w:ascii="仿宋" w:hAnsi="仿宋" w:eastAsia="仿宋" w:cs="仿宋"/>
          <w:sz w:val="24"/>
        </w:rPr>
        <w:t>1、企业营业执照副本；</w:t>
      </w:r>
    </w:p>
    <w:p>
      <w:pPr>
        <w:spacing w:line="420" w:lineRule="exact"/>
        <w:rPr>
          <w:rFonts w:ascii="仿宋" w:hAnsi="仿宋" w:eastAsia="仿宋" w:cs="仿宋"/>
          <w:sz w:val="24"/>
        </w:rPr>
      </w:pPr>
      <w:r>
        <w:rPr>
          <w:rFonts w:hint="eastAsia" w:ascii="仿宋" w:hAnsi="仿宋" w:eastAsia="仿宋" w:cs="仿宋"/>
          <w:sz w:val="24"/>
        </w:rPr>
        <w:t>2、“信用中国”（www.creditchina.gov.cn）和“中国政府采购网”（www.ccgp.gov.cn）网站上未被列入失信被执行人、重大税收违法案件当事人名单以及政府采购严重违法失信行为记录名单的网页打印件（网页打印件须自招标文件发布之日起至投标截止时间从上述网站中打印）（加盖公章）；</w:t>
      </w:r>
    </w:p>
    <w:p>
      <w:pPr>
        <w:spacing w:line="420" w:lineRule="exact"/>
        <w:rPr>
          <w:rFonts w:ascii="仿宋" w:hAnsi="仿宋" w:eastAsia="仿宋" w:cs="仿宋"/>
          <w:sz w:val="24"/>
        </w:rPr>
      </w:pPr>
      <w:r>
        <w:rPr>
          <w:rFonts w:hint="eastAsia" w:ascii="仿宋" w:hAnsi="仿宋" w:eastAsia="仿宋" w:cs="仿宋"/>
          <w:sz w:val="24"/>
        </w:rPr>
        <w:t>3、法定代表人参加时提供：身份证原件，或委托代理人参加时提供：身份证原件、法定代表人身份证明、授权委托书；</w:t>
      </w:r>
    </w:p>
    <w:p>
      <w:pPr>
        <w:spacing w:line="420" w:lineRule="exact"/>
        <w:rPr>
          <w:rFonts w:ascii="仿宋" w:hAnsi="仿宋" w:eastAsia="仿宋" w:cs="仿宋"/>
          <w:sz w:val="24"/>
        </w:rPr>
      </w:pPr>
      <w:r>
        <w:rPr>
          <w:rFonts w:hint="eastAsia" w:ascii="仿宋" w:hAnsi="仿宋" w:eastAsia="仿宋" w:cs="仿宋"/>
          <w:sz w:val="24"/>
        </w:rPr>
        <w:t>4、投标保证金汇款凭证。</w:t>
      </w:r>
    </w:p>
    <w:p>
      <w:pPr>
        <w:spacing w:line="420" w:lineRule="exact"/>
        <w:rPr>
          <w:rFonts w:ascii="仿宋" w:hAnsi="仿宋" w:eastAsia="仿宋" w:cs="仿宋"/>
          <w:sz w:val="24"/>
        </w:rPr>
      </w:pPr>
      <w:r>
        <w:rPr>
          <w:rFonts w:hint="eastAsia" w:ascii="仿宋" w:hAnsi="仿宋" w:eastAsia="仿宋" w:cs="仿宋"/>
          <w:sz w:val="24"/>
        </w:rPr>
        <w:t>6、其他投标人认为有必要的资质文件。</w:t>
      </w:r>
    </w:p>
    <w:p>
      <w:pPr>
        <w:spacing w:line="360" w:lineRule="auto"/>
        <w:ind w:firstLine="525" w:firstLineChars="219"/>
        <w:rPr>
          <w:rFonts w:ascii="仿宋" w:hAnsi="仿宋" w:eastAsia="仿宋" w:cs="仿宋"/>
          <w:sz w:val="24"/>
        </w:rPr>
      </w:pPr>
    </w:p>
    <w:p>
      <w:pPr>
        <w:spacing w:line="360" w:lineRule="auto"/>
        <w:rPr>
          <w:rFonts w:ascii="仿宋" w:hAnsi="仿宋" w:eastAsia="仿宋" w:cs="仿宋"/>
          <w:b/>
          <w:bCs/>
          <w:sz w:val="22"/>
          <w:szCs w:val="28"/>
        </w:rPr>
      </w:pPr>
      <w:r>
        <w:rPr>
          <w:rFonts w:hint="eastAsia" w:ascii="仿宋" w:hAnsi="仿宋" w:eastAsia="仿宋" w:cs="仿宋"/>
          <w:b/>
          <w:bCs/>
          <w:sz w:val="22"/>
          <w:szCs w:val="28"/>
        </w:rPr>
        <w:t>注：投标人应自行承担所提供上述资料任何错漏而导致的一切后果。</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left"/>
        <w:rPr>
          <w:rFonts w:ascii="宋体" w:hAnsi="宋体"/>
          <w:sz w:val="24"/>
        </w:rPr>
      </w:pPr>
      <w:r>
        <w:rPr>
          <w:rFonts w:hint="eastAsia" w:ascii="宋体" w:hAnsi="宋体"/>
          <w:sz w:val="24"/>
        </w:rPr>
        <w:t>附件三：</w:t>
      </w:r>
    </w:p>
    <w:p>
      <w:pPr>
        <w:spacing w:line="360" w:lineRule="auto"/>
        <w:jc w:val="center"/>
        <w:rPr>
          <w:rFonts w:ascii="宋体" w:hAnsi="宋体"/>
          <w:sz w:val="24"/>
        </w:rPr>
      </w:pPr>
    </w:p>
    <w:p>
      <w:pPr>
        <w:spacing w:line="360" w:lineRule="auto"/>
        <w:jc w:val="center"/>
        <w:rPr>
          <w:rFonts w:ascii="宋体" w:hAnsi="宋体"/>
          <w:sz w:val="24"/>
        </w:rPr>
      </w:pPr>
      <w:r>
        <w:rPr>
          <w:rFonts w:ascii="宋体" w:hAnsi="宋体"/>
          <w:sz w:val="24"/>
        </w:rPr>
        <w:t>承诺书</w:t>
      </w:r>
    </w:p>
    <w:p>
      <w:pPr>
        <w:spacing w:line="360" w:lineRule="auto"/>
        <w:jc w:val="left"/>
        <w:rPr>
          <w:rFonts w:ascii="宋体" w:hAnsi="宋体"/>
          <w:sz w:val="24"/>
        </w:rPr>
      </w:pPr>
      <w:r>
        <w:rPr>
          <w:rFonts w:hint="eastAsia" w:ascii="宋体" w:hAnsi="宋体"/>
          <w:sz w:val="24"/>
        </w:rPr>
        <w:t>致采购人、招标代理机构：</w:t>
      </w:r>
    </w:p>
    <w:p>
      <w:pPr>
        <w:spacing w:line="360" w:lineRule="auto"/>
        <w:ind w:firstLine="480" w:firstLineChars="200"/>
        <w:jc w:val="left"/>
        <w:rPr>
          <w:rFonts w:ascii="宋体" w:hAnsi="宋体"/>
          <w:sz w:val="24"/>
          <w:u w:val="single"/>
        </w:rPr>
      </w:pPr>
      <w:r>
        <w:rPr>
          <w:rFonts w:hint="eastAsia" w:ascii="宋体" w:hAnsi="宋体"/>
          <w:sz w:val="24"/>
        </w:rPr>
        <w:t>我公司</w:t>
      </w:r>
      <w:r>
        <w:rPr>
          <w:rFonts w:hint="eastAsia" w:ascii="宋体" w:hAnsi="宋体"/>
          <w:sz w:val="24"/>
          <w:u w:val="single"/>
        </w:rPr>
        <w:t xml:space="preserve">                      ，</w:t>
      </w:r>
      <w:r>
        <w:rPr>
          <w:rFonts w:hint="eastAsia" w:ascii="宋体" w:hAnsi="宋体"/>
          <w:sz w:val="24"/>
        </w:rPr>
        <w:t>注册地址为</w:t>
      </w:r>
      <w:r>
        <w:rPr>
          <w:rFonts w:hint="eastAsia" w:ascii="宋体" w:hAnsi="宋体"/>
          <w:sz w:val="24"/>
          <w:u w:val="single"/>
        </w:rPr>
        <w:t>：                 ；参与贵单位组织的项目名称： （项目编号： ），现自愿郑重做出以下承诺：</w:t>
      </w:r>
    </w:p>
    <w:p>
      <w:pPr>
        <w:pStyle w:val="32"/>
        <w:numPr>
          <w:ilvl w:val="0"/>
          <w:numId w:val="16"/>
        </w:numPr>
        <w:spacing w:line="360" w:lineRule="auto"/>
        <w:ind w:firstLineChars="0"/>
        <w:jc w:val="left"/>
        <w:rPr>
          <w:rFonts w:ascii="宋体" w:hAnsi="宋体"/>
          <w:sz w:val="24"/>
        </w:rPr>
      </w:pPr>
      <w:r>
        <w:rPr>
          <w:rFonts w:hint="eastAsia" w:ascii="宋体" w:hAnsi="宋体"/>
          <w:sz w:val="24"/>
        </w:rPr>
        <w:t>公平参与本次招标活动，提供投标资料均真实有效，不以他人名义投标或者其他方式弄虚作假，骗取中标。</w:t>
      </w:r>
    </w:p>
    <w:p>
      <w:pPr>
        <w:pStyle w:val="32"/>
        <w:numPr>
          <w:ilvl w:val="0"/>
          <w:numId w:val="16"/>
        </w:numPr>
        <w:spacing w:line="360" w:lineRule="auto"/>
        <w:ind w:firstLineChars="0"/>
        <w:jc w:val="left"/>
        <w:rPr>
          <w:rFonts w:ascii="宋体" w:hAnsi="宋体"/>
          <w:sz w:val="24"/>
        </w:rPr>
      </w:pPr>
      <w:r>
        <w:rPr>
          <w:rFonts w:hint="eastAsia" w:ascii="宋体" w:hAnsi="宋体"/>
          <w:sz w:val="24"/>
        </w:rPr>
        <w:t>所投产品均为合法、正规的全新合格产品。</w:t>
      </w:r>
    </w:p>
    <w:p>
      <w:pPr>
        <w:pStyle w:val="32"/>
        <w:numPr>
          <w:ilvl w:val="0"/>
          <w:numId w:val="16"/>
        </w:numPr>
        <w:spacing w:line="360" w:lineRule="auto"/>
        <w:ind w:firstLineChars="0"/>
        <w:jc w:val="left"/>
        <w:rPr>
          <w:rFonts w:ascii="宋体" w:hAnsi="宋体"/>
          <w:sz w:val="24"/>
        </w:rPr>
      </w:pPr>
      <w:r>
        <w:rPr>
          <w:rFonts w:hint="eastAsia" w:ascii="宋体" w:hAnsi="宋体"/>
          <w:sz w:val="24"/>
        </w:rPr>
        <w:t>所投产品价格合理，投标价格不高于全国同产品的投标均价，同时保证所投产品价格不超过全国其他地区近两年（2021年和2022）同产品最低中标价格的     % （不超过</w:t>
      </w:r>
      <w:r>
        <w:rPr>
          <w:rFonts w:hint="eastAsia" w:ascii="宋体" w:hAnsi="宋体"/>
          <w:sz w:val="24"/>
          <w:lang w:val="en-US" w:eastAsia="zh-CN"/>
        </w:rPr>
        <w:t>15</w:t>
      </w:r>
      <w:r>
        <w:rPr>
          <w:rFonts w:hint="eastAsia" w:ascii="宋体" w:hAnsi="宋体"/>
          <w:sz w:val="24"/>
        </w:rPr>
        <w:t>0%）。</w:t>
      </w:r>
    </w:p>
    <w:p>
      <w:pPr>
        <w:pStyle w:val="32"/>
        <w:numPr>
          <w:ilvl w:val="0"/>
          <w:numId w:val="16"/>
        </w:numPr>
        <w:spacing w:line="360" w:lineRule="auto"/>
        <w:ind w:firstLineChars="0"/>
        <w:jc w:val="left"/>
        <w:rPr>
          <w:rFonts w:ascii="宋体" w:hAnsi="宋体"/>
          <w:sz w:val="24"/>
        </w:rPr>
      </w:pPr>
      <w:r>
        <w:rPr>
          <w:rFonts w:hint="eastAsia" w:ascii="宋体" w:hAnsi="宋体"/>
          <w:sz w:val="24"/>
        </w:rPr>
        <w:t>杜绝任何形式的商业贿赂。不给予工作人员，评审专家及其亲属各种形式的商业贿赂(包括送礼金礼品、有价证券、购物卷、回扣、佣金、咨询费、劳务费、赞助费、宣传费、支付旅游费用、报销各种消费凭证、宴请、娱乐等)。</w:t>
      </w:r>
    </w:p>
    <w:p>
      <w:pPr>
        <w:spacing w:line="360" w:lineRule="auto"/>
        <w:ind w:firstLine="480" w:firstLineChars="200"/>
        <w:jc w:val="left"/>
        <w:rPr>
          <w:rFonts w:ascii="宋体" w:hAnsi="宋体"/>
          <w:sz w:val="24"/>
        </w:rPr>
      </w:pPr>
      <w:r>
        <w:rPr>
          <w:rFonts w:hint="eastAsia" w:ascii="宋体" w:hAnsi="宋体"/>
          <w:sz w:val="24"/>
        </w:rPr>
        <w:t>我单位如违反上述承诺行为，贵方有权终止合同、追究我单位违约责任并将我单位纳入黑名单供应商，由此引发的相关纠纷，由本单位独立承担。</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r>
        <w:rPr>
          <w:rFonts w:hint="eastAsia" w:ascii="宋体" w:hAnsi="宋体"/>
          <w:sz w:val="24"/>
        </w:rPr>
        <w:t>特此承诺!</w:t>
      </w:r>
    </w:p>
    <w:p>
      <w:pPr>
        <w:spacing w:line="360" w:lineRule="auto"/>
        <w:ind w:firstLine="480" w:firstLineChars="200"/>
        <w:jc w:val="left"/>
        <w:rPr>
          <w:rFonts w:ascii="宋体" w:hAnsi="宋体"/>
          <w:sz w:val="24"/>
        </w:rPr>
      </w:pPr>
      <w:r>
        <w:rPr>
          <w:rFonts w:hint="eastAsia" w:ascii="宋体" w:hAnsi="宋体"/>
          <w:sz w:val="24"/>
        </w:rPr>
        <w:t>投标单位名称（盖章）：</w:t>
      </w:r>
    </w:p>
    <w:p>
      <w:pPr>
        <w:spacing w:line="360" w:lineRule="auto"/>
        <w:ind w:firstLine="480" w:firstLineChars="200"/>
        <w:jc w:val="left"/>
        <w:rPr>
          <w:rFonts w:ascii="宋体" w:hAnsi="宋体"/>
          <w:sz w:val="24"/>
        </w:rPr>
      </w:pPr>
      <w:r>
        <w:rPr>
          <w:rFonts w:hint="eastAsia" w:ascii="宋体" w:hAnsi="宋体"/>
          <w:sz w:val="24"/>
        </w:rPr>
        <w:t>法人或其授权代表（签字或盖章）：</w:t>
      </w:r>
    </w:p>
    <w:p>
      <w:pPr>
        <w:spacing w:line="360" w:lineRule="auto"/>
        <w:ind w:firstLine="480" w:firstLineChars="200"/>
        <w:jc w:val="left"/>
        <w:rPr>
          <w:rFonts w:hint="eastAsia" w:ascii="宋体" w:hAnsi="宋体"/>
          <w:sz w:val="24"/>
        </w:rPr>
      </w:pPr>
      <w:r>
        <w:rPr>
          <w:rFonts w:hint="eastAsia" w:ascii="宋体" w:hAnsi="宋体"/>
          <w:sz w:val="24"/>
        </w:rPr>
        <w:t>日期：</w:t>
      </w:r>
    </w:p>
    <w:p>
      <w:pPr>
        <w:rPr>
          <w:rFonts w:hint="eastAsia" w:ascii="宋体" w:hAnsi="宋体"/>
          <w:sz w:val="24"/>
        </w:rPr>
      </w:pPr>
      <w:r>
        <w:rPr>
          <w:rFonts w:hint="eastAsia" w:ascii="宋体" w:hAnsi="宋体"/>
          <w:sz w:val="24"/>
        </w:rPr>
        <w:br w:type="page"/>
      </w:r>
    </w:p>
    <w:p>
      <w:pPr>
        <w:pStyle w:val="2"/>
        <w:jc w:val="center"/>
        <w:rPr>
          <w:rFonts w:hint="eastAsia" w:ascii="宋体" w:hAnsi="宋体" w:eastAsia="宋体" w:cs="宋体"/>
          <w:color w:val="auto"/>
          <w:szCs w:val="32"/>
          <w:highlight w:val="none"/>
        </w:rPr>
      </w:pPr>
      <w:r>
        <w:rPr>
          <w:rFonts w:hint="eastAsia" w:cs="宋体"/>
          <w:color w:val="auto"/>
          <w:szCs w:val="32"/>
          <w:highlight w:val="none"/>
          <w:lang w:val="en-US" w:eastAsia="zh-CN"/>
        </w:rPr>
        <w:t>商务</w:t>
      </w:r>
      <w:r>
        <w:rPr>
          <w:rFonts w:hint="eastAsia" w:ascii="宋体" w:hAnsi="宋体" w:eastAsia="宋体" w:cs="宋体"/>
          <w:color w:val="auto"/>
          <w:szCs w:val="32"/>
          <w:highlight w:val="none"/>
        </w:rPr>
        <w:t>条款偏离表</w:t>
      </w:r>
    </w:p>
    <w:p>
      <w:pPr>
        <w:spacing w:line="440" w:lineRule="exact"/>
        <w:ind w:firstLine="120" w:firstLineChars="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xml:space="preserve">　　　　           </w:t>
      </w:r>
    </w:p>
    <w:p>
      <w:pPr>
        <w:spacing w:line="440" w:lineRule="exact"/>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标项序号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tbl>
      <w:tblPr>
        <w:tblStyle w:val="20"/>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470"/>
        <w:gridCol w:w="3544"/>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91" w:type="dxa"/>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70" w:type="dxa"/>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招标文件的商务条款</w:t>
            </w:r>
          </w:p>
        </w:tc>
        <w:tc>
          <w:tcPr>
            <w:tcW w:w="3544" w:type="dxa"/>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投标文件的商务条款</w:t>
            </w:r>
          </w:p>
        </w:tc>
        <w:tc>
          <w:tcPr>
            <w:tcW w:w="2018" w:type="dxa"/>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70" w:type="dxa"/>
            <w:noWrap w:val="0"/>
            <w:vAlign w:val="top"/>
          </w:tcPr>
          <w:p>
            <w:pPr>
              <w:spacing w:line="440" w:lineRule="exact"/>
              <w:rPr>
                <w:rFonts w:hint="eastAsia" w:ascii="宋体" w:hAnsi="宋体" w:eastAsia="宋体" w:cs="宋体"/>
                <w:color w:val="auto"/>
                <w:sz w:val="24"/>
                <w:szCs w:val="24"/>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470" w:type="dxa"/>
            <w:noWrap w:val="0"/>
            <w:vAlign w:val="top"/>
          </w:tcPr>
          <w:p>
            <w:pPr>
              <w:spacing w:line="440" w:lineRule="exact"/>
              <w:rPr>
                <w:rFonts w:hint="eastAsia" w:ascii="宋体" w:hAnsi="宋体" w:eastAsia="宋体" w:cs="宋体"/>
                <w:color w:val="auto"/>
                <w:sz w:val="24"/>
                <w:szCs w:val="24"/>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470" w:type="dxa"/>
            <w:noWrap w:val="0"/>
            <w:vAlign w:val="center"/>
          </w:tcPr>
          <w:p>
            <w:pPr>
              <w:spacing w:line="440" w:lineRule="exact"/>
              <w:rPr>
                <w:rFonts w:hint="eastAsia" w:ascii="宋体" w:hAnsi="宋体" w:eastAsia="宋体" w:cs="宋体"/>
                <w:color w:val="auto"/>
                <w:sz w:val="24"/>
                <w:szCs w:val="24"/>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470" w:type="dxa"/>
            <w:noWrap w:val="0"/>
            <w:vAlign w:val="center"/>
          </w:tcPr>
          <w:p>
            <w:pPr>
              <w:pStyle w:val="64"/>
              <w:spacing w:line="440" w:lineRule="exact"/>
              <w:rPr>
                <w:rFonts w:hint="eastAsia" w:ascii="宋体" w:hAnsi="宋体" w:eastAsia="宋体" w:cs="宋体"/>
                <w:color w:val="auto"/>
                <w:kern w:val="2"/>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470" w:type="dxa"/>
            <w:noWrap w:val="0"/>
            <w:vAlign w:val="top"/>
          </w:tcPr>
          <w:p>
            <w:pPr>
              <w:spacing w:line="440" w:lineRule="exact"/>
              <w:rPr>
                <w:rFonts w:hint="eastAsia" w:ascii="宋体" w:hAnsi="宋体" w:eastAsia="宋体" w:cs="宋体"/>
                <w:color w:val="auto"/>
                <w:sz w:val="24"/>
                <w:szCs w:val="24"/>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470" w:type="dxa"/>
            <w:noWrap w:val="0"/>
            <w:vAlign w:val="top"/>
          </w:tcPr>
          <w:p>
            <w:pPr>
              <w:snapToGrid w:val="0"/>
              <w:spacing w:line="440" w:lineRule="exact"/>
              <w:rPr>
                <w:rFonts w:hint="eastAsia" w:ascii="宋体" w:hAnsi="宋体" w:eastAsia="宋体" w:cs="宋体"/>
                <w:color w:val="auto"/>
                <w:sz w:val="24"/>
                <w:szCs w:val="24"/>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470" w:type="dxa"/>
            <w:noWrap w:val="0"/>
            <w:vAlign w:val="top"/>
          </w:tcPr>
          <w:p>
            <w:pPr>
              <w:snapToGrid w:val="0"/>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470" w:type="dxa"/>
            <w:noWrap w:val="0"/>
            <w:vAlign w:val="top"/>
          </w:tcPr>
          <w:p>
            <w:pPr>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470" w:type="dxa"/>
            <w:noWrap w:val="0"/>
            <w:vAlign w:val="top"/>
          </w:tcPr>
          <w:p>
            <w:pPr>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470" w:type="dxa"/>
            <w:noWrap w:val="0"/>
            <w:vAlign w:val="top"/>
          </w:tcPr>
          <w:p>
            <w:pPr>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3470" w:type="dxa"/>
            <w:noWrap w:val="0"/>
            <w:vAlign w:val="top"/>
          </w:tcPr>
          <w:p>
            <w:pPr>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70" w:type="dxa"/>
            <w:noWrap w:val="0"/>
            <w:vAlign w:val="top"/>
          </w:tcPr>
          <w:p>
            <w:pPr>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bl>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日期：20年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
        <w:jc w:val="center"/>
        <w:rPr>
          <w:rFonts w:hint="eastAsia" w:ascii="宋体" w:hAnsi="宋体" w:eastAsia="宋体" w:cs="宋体"/>
          <w:color w:val="auto"/>
          <w:szCs w:val="32"/>
          <w:highlight w:val="none"/>
        </w:rPr>
      </w:pPr>
      <w:r>
        <w:rPr>
          <w:rFonts w:hint="eastAsia" w:cs="宋体"/>
          <w:color w:val="auto"/>
          <w:szCs w:val="32"/>
          <w:highlight w:val="none"/>
          <w:lang w:val="en-US" w:eastAsia="zh-CN"/>
        </w:rPr>
        <w:t>技术</w:t>
      </w:r>
      <w:r>
        <w:rPr>
          <w:rFonts w:hint="eastAsia" w:ascii="宋体" w:hAnsi="宋体" w:eastAsia="宋体" w:cs="宋体"/>
          <w:color w:val="auto"/>
          <w:szCs w:val="32"/>
          <w:highlight w:val="none"/>
        </w:rPr>
        <w:t>偏离表</w:t>
      </w:r>
    </w:p>
    <w:p>
      <w:pPr>
        <w:spacing w:line="440" w:lineRule="exact"/>
        <w:ind w:firstLine="120" w:firstLineChars="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xml:space="preserve">　　　　           </w:t>
      </w:r>
    </w:p>
    <w:p>
      <w:pPr>
        <w:spacing w:line="440" w:lineRule="exact"/>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标项序号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tbl>
      <w:tblPr>
        <w:tblStyle w:val="20"/>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470"/>
        <w:gridCol w:w="3544"/>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91" w:type="dxa"/>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70" w:type="dxa"/>
            <w:noWrap w:val="0"/>
            <w:vAlign w:val="center"/>
          </w:tcPr>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招标文件的</w:t>
            </w:r>
            <w:r>
              <w:rPr>
                <w:rFonts w:hint="eastAsia" w:ascii="宋体" w:hAnsi="宋体" w:cs="宋体"/>
                <w:color w:val="auto"/>
                <w:sz w:val="24"/>
                <w:szCs w:val="24"/>
                <w:highlight w:val="none"/>
                <w:lang w:val="en-US" w:eastAsia="zh-CN"/>
              </w:rPr>
              <w:t>技术参数</w:t>
            </w:r>
          </w:p>
        </w:tc>
        <w:tc>
          <w:tcPr>
            <w:tcW w:w="3544" w:type="dxa"/>
            <w:noWrap w:val="0"/>
            <w:vAlign w:val="center"/>
          </w:tcPr>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投标文件的</w:t>
            </w:r>
            <w:r>
              <w:rPr>
                <w:rFonts w:hint="eastAsia" w:ascii="宋体" w:hAnsi="宋体" w:cs="宋体"/>
                <w:color w:val="auto"/>
                <w:sz w:val="24"/>
                <w:szCs w:val="24"/>
                <w:highlight w:val="none"/>
                <w:lang w:val="en-US" w:eastAsia="zh-CN"/>
              </w:rPr>
              <w:t>技术参数</w:t>
            </w:r>
          </w:p>
        </w:tc>
        <w:tc>
          <w:tcPr>
            <w:tcW w:w="2018" w:type="dxa"/>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70" w:type="dxa"/>
            <w:noWrap w:val="0"/>
            <w:vAlign w:val="top"/>
          </w:tcPr>
          <w:p>
            <w:pPr>
              <w:spacing w:line="440" w:lineRule="exact"/>
              <w:rPr>
                <w:rFonts w:hint="eastAsia" w:ascii="宋体" w:hAnsi="宋体" w:eastAsia="宋体" w:cs="宋体"/>
                <w:color w:val="auto"/>
                <w:sz w:val="24"/>
                <w:szCs w:val="24"/>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470" w:type="dxa"/>
            <w:noWrap w:val="0"/>
            <w:vAlign w:val="top"/>
          </w:tcPr>
          <w:p>
            <w:pPr>
              <w:spacing w:line="440" w:lineRule="exact"/>
              <w:rPr>
                <w:rFonts w:hint="eastAsia" w:ascii="宋体" w:hAnsi="宋体" w:eastAsia="宋体" w:cs="宋体"/>
                <w:color w:val="auto"/>
                <w:sz w:val="24"/>
                <w:szCs w:val="24"/>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470" w:type="dxa"/>
            <w:noWrap w:val="0"/>
            <w:vAlign w:val="center"/>
          </w:tcPr>
          <w:p>
            <w:pPr>
              <w:spacing w:line="440" w:lineRule="exact"/>
              <w:rPr>
                <w:rFonts w:hint="eastAsia" w:ascii="宋体" w:hAnsi="宋体" w:eastAsia="宋体" w:cs="宋体"/>
                <w:color w:val="auto"/>
                <w:sz w:val="24"/>
                <w:szCs w:val="24"/>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470" w:type="dxa"/>
            <w:noWrap w:val="0"/>
            <w:vAlign w:val="center"/>
          </w:tcPr>
          <w:p>
            <w:pPr>
              <w:pStyle w:val="64"/>
              <w:spacing w:line="440" w:lineRule="exact"/>
              <w:rPr>
                <w:rFonts w:hint="eastAsia" w:ascii="宋体" w:hAnsi="宋体" w:eastAsia="宋体" w:cs="宋体"/>
                <w:color w:val="auto"/>
                <w:kern w:val="2"/>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470" w:type="dxa"/>
            <w:noWrap w:val="0"/>
            <w:vAlign w:val="top"/>
          </w:tcPr>
          <w:p>
            <w:pPr>
              <w:spacing w:line="440" w:lineRule="exact"/>
              <w:rPr>
                <w:rFonts w:hint="eastAsia" w:ascii="宋体" w:hAnsi="宋体" w:eastAsia="宋体" w:cs="宋体"/>
                <w:color w:val="auto"/>
                <w:sz w:val="24"/>
                <w:szCs w:val="24"/>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470" w:type="dxa"/>
            <w:noWrap w:val="0"/>
            <w:vAlign w:val="top"/>
          </w:tcPr>
          <w:p>
            <w:pPr>
              <w:snapToGrid w:val="0"/>
              <w:spacing w:line="440" w:lineRule="exact"/>
              <w:rPr>
                <w:rFonts w:hint="eastAsia" w:ascii="宋体" w:hAnsi="宋体" w:eastAsia="宋体" w:cs="宋体"/>
                <w:color w:val="auto"/>
                <w:sz w:val="24"/>
                <w:szCs w:val="24"/>
                <w:highlight w:val="none"/>
                <w:lang w:val="en-US" w:eastAsia="zh-CN"/>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470" w:type="dxa"/>
            <w:noWrap w:val="0"/>
            <w:vAlign w:val="top"/>
          </w:tcPr>
          <w:p>
            <w:pPr>
              <w:snapToGrid w:val="0"/>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470" w:type="dxa"/>
            <w:noWrap w:val="0"/>
            <w:vAlign w:val="top"/>
          </w:tcPr>
          <w:p>
            <w:pPr>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470" w:type="dxa"/>
            <w:noWrap w:val="0"/>
            <w:vAlign w:val="top"/>
          </w:tcPr>
          <w:p>
            <w:pPr>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470" w:type="dxa"/>
            <w:noWrap w:val="0"/>
            <w:vAlign w:val="top"/>
          </w:tcPr>
          <w:p>
            <w:pPr>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3470" w:type="dxa"/>
            <w:noWrap w:val="0"/>
            <w:vAlign w:val="top"/>
          </w:tcPr>
          <w:p>
            <w:pPr>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70" w:type="dxa"/>
            <w:noWrap w:val="0"/>
            <w:vAlign w:val="top"/>
          </w:tcPr>
          <w:p>
            <w:pPr>
              <w:spacing w:line="440" w:lineRule="exact"/>
              <w:rPr>
                <w:rFonts w:hint="eastAsia" w:ascii="宋体" w:hAnsi="宋体" w:eastAsia="宋体" w:cs="宋体"/>
                <w:color w:val="auto"/>
                <w:sz w:val="24"/>
                <w:szCs w:val="24"/>
                <w:highlight w:val="none"/>
              </w:rPr>
            </w:pPr>
          </w:p>
        </w:tc>
        <w:tc>
          <w:tcPr>
            <w:tcW w:w="3544" w:type="dxa"/>
            <w:noWrap w:val="0"/>
            <w:vAlign w:val="top"/>
          </w:tcPr>
          <w:p>
            <w:pPr>
              <w:spacing w:line="440" w:lineRule="exact"/>
              <w:rPr>
                <w:rFonts w:hint="eastAsia" w:ascii="宋体" w:hAnsi="宋体" w:eastAsia="宋体" w:cs="宋体"/>
                <w:color w:val="auto"/>
                <w:sz w:val="24"/>
                <w:szCs w:val="24"/>
                <w:highlight w:val="none"/>
              </w:rPr>
            </w:pPr>
          </w:p>
        </w:tc>
        <w:tc>
          <w:tcPr>
            <w:tcW w:w="2018" w:type="dxa"/>
            <w:noWrap w:val="0"/>
            <w:vAlign w:val="top"/>
          </w:tcPr>
          <w:p>
            <w:pPr>
              <w:spacing w:line="440" w:lineRule="exact"/>
              <w:rPr>
                <w:rFonts w:hint="eastAsia" w:ascii="宋体" w:hAnsi="宋体" w:eastAsia="宋体" w:cs="宋体"/>
                <w:color w:val="auto"/>
                <w:sz w:val="24"/>
                <w:szCs w:val="24"/>
                <w:highlight w:val="none"/>
              </w:rPr>
            </w:pPr>
          </w:p>
        </w:tc>
      </w:tr>
    </w:tbl>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日期：20年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　</w:t>
      </w:r>
    </w:p>
    <w:p>
      <w:pPr>
        <w:pStyle w:val="9"/>
        <w:rPr>
          <w:rFonts w:hint="eastAsia"/>
        </w:rPr>
      </w:pPr>
    </w:p>
    <w:p>
      <w:r>
        <w:br w:type="page"/>
      </w:r>
    </w:p>
    <w:p>
      <w:pPr>
        <w:spacing w:line="460" w:lineRule="atLeast"/>
        <w:jc w:val="center"/>
        <w:rPr>
          <w:b/>
          <w:color w:val="auto"/>
          <w:sz w:val="30"/>
          <w:highlight w:val="none"/>
        </w:rPr>
      </w:pPr>
      <w:r>
        <w:rPr>
          <w:rFonts w:hint="eastAsia"/>
          <w:b/>
          <w:bCs/>
          <w:color w:val="auto"/>
          <w:sz w:val="30"/>
          <w:szCs w:val="30"/>
          <w:highlight w:val="none"/>
        </w:rPr>
        <w:t>开标一览表</w:t>
      </w:r>
    </w:p>
    <w:p>
      <w:pPr>
        <w:pStyle w:val="65"/>
        <w:spacing w:line="440" w:lineRule="exact"/>
        <w:ind w:left="210" w:leftChars="-86" w:hanging="391" w:hangingChars="163"/>
        <w:jc w:val="both"/>
        <w:rPr>
          <w:rFonts w:ascii="宋体" w:hAnsi="宋体"/>
          <w:color w:val="auto"/>
          <w:highlight w:val="none"/>
        </w:rPr>
      </w:pPr>
      <w:r>
        <w:rPr>
          <w:rFonts w:hint="eastAsia" w:ascii="宋体" w:hAnsi="宋体"/>
          <w:color w:val="auto"/>
          <w:highlight w:val="none"/>
        </w:rPr>
        <w:t>招标项目名称：</w:t>
      </w:r>
      <w:r>
        <w:rPr>
          <w:rFonts w:ascii="宋体" w:hAnsi="宋体"/>
          <w:color w:val="auto"/>
          <w:highlight w:val="none"/>
        </w:rPr>
        <w:t xml:space="preserve">                          </w:t>
      </w:r>
      <w:r>
        <w:rPr>
          <w:rFonts w:hint="eastAsia" w:ascii="宋体" w:hAnsi="宋体"/>
          <w:color w:val="auto"/>
          <w:highlight w:val="none"/>
        </w:rPr>
        <w:t>投标单位名称：</w:t>
      </w:r>
      <w:r>
        <w:rPr>
          <w:rFonts w:ascii="宋体" w:hAnsi="宋体"/>
          <w:color w:val="auto"/>
          <w:highlight w:val="none"/>
        </w:rPr>
        <w:t xml:space="preserve">                            </w:t>
      </w:r>
    </w:p>
    <w:p>
      <w:pPr>
        <w:pStyle w:val="65"/>
        <w:spacing w:line="440" w:lineRule="exact"/>
        <w:ind w:left="210" w:leftChars="-86" w:hanging="391" w:hangingChars="163"/>
        <w:jc w:val="both"/>
        <w:rPr>
          <w:rFonts w:hint="default" w:ascii="宋体" w:hAnsi="宋体" w:eastAsia="宋体"/>
          <w:color w:val="auto"/>
          <w:highlight w:val="none"/>
          <w:lang w:val="en-US" w:eastAsia="zh-CN"/>
        </w:rPr>
      </w:pPr>
      <w:r>
        <w:rPr>
          <w:rFonts w:hint="eastAsia" w:ascii="宋体" w:hAnsi="宋体"/>
          <w:color w:val="auto"/>
          <w:highlight w:val="none"/>
        </w:rPr>
        <w:t>项目编号：</w:t>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color w:val="auto"/>
          <w:highlight w:val="none"/>
          <w:lang w:val="en-US" w:eastAsia="zh-CN"/>
        </w:rPr>
        <w:t>所投分包/</w:t>
      </w:r>
      <w:r>
        <w:rPr>
          <w:rFonts w:hint="eastAsia"/>
          <w:color w:val="auto"/>
          <w:highlight w:val="none"/>
        </w:rPr>
        <w:t>内容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7" w:type="dxa"/>
            <w:noWrap w:val="0"/>
            <w:vAlign w:val="center"/>
          </w:tcPr>
          <w:p>
            <w:pPr>
              <w:widowControl/>
              <w:spacing w:line="44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投标内容</w:t>
            </w:r>
          </w:p>
        </w:tc>
        <w:tc>
          <w:tcPr>
            <w:tcW w:w="6687" w:type="dxa"/>
            <w:noWrap w:val="0"/>
            <w:vAlign w:val="center"/>
          </w:tcPr>
          <w:p>
            <w:pPr>
              <w:widowControl/>
              <w:spacing w:line="44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67" w:type="dxa"/>
            <w:vMerge w:val="restart"/>
            <w:noWrap w:val="0"/>
            <w:vAlign w:val="center"/>
          </w:tcPr>
          <w:p>
            <w:pPr>
              <w:widowControl/>
              <w:spacing w:line="440" w:lineRule="exact"/>
              <w:jc w:val="center"/>
              <w:rPr>
                <w:rFonts w:hint="eastAsia" w:ascii="宋体" w:hAnsi="宋体" w:cs="宋体"/>
                <w:color w:val="auto"/>
                <w:kern w:val="0"/>
                <w:sz w:val="24"/>
                <w:szCs w:val="24"/>
                <w:highlight w:val="none"/>
              </w:rPr>
            </w:pPr>
          </w:p>
        </w:tc>
        <w:tc>
          <w:tcPr>
            <w:tcW w:w="6687" w:type="dxa"/>
            <w:noWrap w:val="0"/>
            <w:vAlign w:val="center"/>
          </w:tcPr>
          <w:p>
            <w:pPr>
              <w:widowControl/>
              <w:spacing w:line="44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小写：￥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Merge w:val="continue"/>
            <w:noWrap w:val="0"/>
            <w:vAlign w:val="center"/>
          </w:tcPr>
          <w:p>
            <w:pPr>
              <w:widowControl/>
              <w:spacing w:line="440" w:lineRule="exact"/>
              <w:jc w:val="center"/>
              <w:rPr>
                <w:rFonts w:hint="eastAsia" w:ascii="宋体" w:hAnsi="宋体" w:cs="宋体"/>
                <w:color w:val="auto"/>
                <w:kern w:val="0"/>
                <w:sz w:val="24"/>
                <w:szCs w:val="24"/>
                <w:highlight w:val="none"/>
              </w:rPr>
            </w:pPr>
          </w:p>
        </w:tc>
        <w:tc>
          <w:tcPr>
            <w:tcW w:w="6687" w:type="dxa"/>
            <w:noWrap w:val="0"/>
            <w:vAlign w:val="center"/>
          </w:tcPr>
          <w:p>
            <w:pPr>
              <w:spacing w:line="44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noWrap w:val="0"/>
            <w:vAlign w:val="center"/>
          </w:tcPr>
          <w:p>
            <w:pPr>
              <w:spacing w:line="440" w:lineRule="exact"/>
              <w:jc w:val="center"/>
              <w:rPr>
                <w:rFonts w:hint="eastAsia" w:ascii="宋体" w:hAnsi="宋体" w:eastAsia="宋体" w:cs="宋体"/>
                <w:color w:val="auto"/>
                <w:kern w:val="0"/>
                <w:sz w:val="24"/>
                <w:szCs w:val="24"/>
                <w:highlight w:val="none"/>
                <w:lang w:eastAsia="zh-CN"/>
              </w:rPr>
            </w:pPr>
            <w:r>
              <w:rPr>
                <w:rFonts w:hint="eastAsia" w:ascii="宋体" w:hAnsi="宋体"/>
                <w:color w:val="auto"/>
                <w:sz w:val="24"/>
                <w:szCs w:val="24"/>
                <w:highlight w:val="none"/>
              </w:rPr>
              <w:t>供货日期</w:t>
            </w:r>
          </w:p>
        </w:tc>
        <w:tc>
          <w:tcPr>
            <w:tcW w:w="6687" w:type="dxa"/>
            <w:noWrap w:val="0"/>
            <w:vAlign w:val="center"/>
          </w:tcPr>
          <w:p>
            <w:pPr>
              <w:spacing w:line="440" w:lineRule="exact"/>
              <w:jc w:val="center"/>
              <w:rPr>
                <w:rFonts w:ascii="宋体" w:hAnsi="宋体" w:cs="宋体"/>
                <w:color w:val="auto"/>
                <w:kern w:val="0"/>
                <w:sz w:val="24"/>
                <w:szCs w:val="24"/>
                <w:highlight w:val="none"/>
              </w:rPr>
            </w:pPr>
          </w:p>
        </w:tc>
      </w:tr>
    </w:tbl>
    <w:p>
      <w:pPr>
        <w:pStyle w:val="65"/>
        <w:spacing w:line="440" w:lineRule="exact"/>
        <w:rPr>
          <w:rFonts w:ascii="宋体" w:hAnsi="宋体"/>
          <w:color w:val="auto"/>
          <w:highlight w:val="none"/>
        </w:rPr>
      </w:pPr>
      <w:r>
        <w:rPr>
          <w:rFonts w:hint="eastAsia" w:ascii="宋体" w:hAnsi="宋体"/>
          <w:color w:val="auto"/>
          <w:highlight w:val="none"/>
        </w:rPr>
        <w:t>兹声明：以上投标报价在投标有效期内一直有效。</w:t>
      </w:r>
    </w:p>
    <w:p>
      <w:pPr>
        <w:spacing w:line="440" w:lineRule="exact"/>
        <w:rPr>
          <w:color w:val="auto"/>
          <w:highlight w:val="none"/>
        </w:rPr>
      </w:pPr>
      <w:r>
        <w:rPr>
          <w:rFonts w:hint="eastAsia"/>
          <w:color w:val="auto"/>
          <w:highlight w:val="none"/>
        </w:rPr>
        <w:t>投标人名称（加盖公章）：</w:t>
      </w:r>
      <w:r>
        <w:rPr>
          <w:color w:val="auto"/>
          <w:highlight w:val="none"/>
          <w:u w:val="single"/>
        </w:rPr>
        <w:t xml:space="preserve">                               </w:t>
      </w:r>
    </w:p>
    <w:p>
      <w:pPr>
        <w:pStyle w:val="66"/>
        <w:keepNext w:val="0"/>
        <w:keepLines w:val="0"/>
        <w:adjustRightInd/>
        <w:spacing w:before="0" w:line="440" w:lineRule="exact"/>
        <w:textAlignment w:val="auto"/>
        <w:outlineLvl w:val="9"/>
        <w:rPr>
          <w:b w:val="0"/>
          <w:color w:val="auto"/>
          <w:kern w:val="2"/>
          <w:highlight w:val="none"/>
        </w:rPr>
      </w:pPr>
      <w:bookmarkStart w:id="130" w:name="_Toc53317980"/>
      <w:bookmarkStart w:id="131" w:name="_Toc53318128"/>
      <w:r>
        <w:rPr>
          <w:rFonts w:hint="eastAsia"/>
          <w:b w:val="0"/>
          <w:color w:val="auto"/>
          <w:highlight w:val="none"/>
        </w:rPr>
        <w:t>投标人代表签字：</w:t>
      </w:r>
      <w:bookmarkEnd w:id="130"/>
      <w:bookmarkEnd w:id="131"/>
      <w:r>
        <w:rPr>
          <w:b w:val="0"/>
          <w:color w:val="auto"/>
          <w:highlight w:val="none"/>
          <w:u w:val="single"/>
        </w:rPr>
        <w:t xml:space="preserve">                  </w:t>
      </w:r>
    </w:p>
    <w:p>
      <w:pPr>
        <w:pStyle w:val="66"/>
        <w:keepNext w:val="0"/>
        <w:keepLines w:val="0"/>
        <w:adjustRightInd/>
        <w:spacing w:before="0" w:line="440" w:lineRule="exact"/>
        <w:textAlignment w:val="auto"/>
        <w:outlineLvl w:val="9"/>
        <w:rPr>
          <w:b w:val="0"/>
          <w:color w:val="auto"/>
          <w:kern w:val="2"/>
          <w:highlight w:val="none"/>
        </w:rPr>
      </w:pPr>
      <w:bookmarkStart w:id="132" w:name="_Toc53317981"/>
      <w:bookmarkStart w:id="133" w:name="_Toc53318129"/>
      <w:r>
        <w:rPr>
          <w:rFonts w:hint="eastAsia"/>
          <w:b w:val="0"/>
          <w:color w:val="auto"/>
          <w:spacing w:val="36"/>
          <w:kern w:val="2"/>
          <w:highlight w:val="none"/>
        </w:rPr>
        <w:t>日期</w:t>
      </w:r>
      <w:r>
        <w:rPr>
          <w:rFonts w:hint="eastAsia"/>
          <w:b w:val="0"/>
          <w:color w:val="auto"/>
          <w:kern w:val="2"/>
          <w:highlight w:val="none"/>
        </w:rPr>
        <w:t>：</w:t>
      </w:r>
      <w:r>
        <w:rPr>
          <w:b w:val="0"/>
          <w:color w:val="auto"/>
          <w:kern w:val="2"/>
          <w:highlight w:val="none"/>
          <w:u w:val="single"/>
        </w:rPr>
        <w:t xml:space="preserve">       </w:t>
      </w:r>
      <w:r>
        <w:rPr>
          <w:rFonts w:hint="eastAsia"/>
          <w:b w:val="0"/>
          <w:color w:val="auto"/>
          <w:kern w:val="2"/>
          <w:highlight w:val="none"/>
        </w:rPr>
        <w:t>年</w:t>
      </w:r>
      <w:r>
        <w:rPr>
          <w:b w:val="0"/>
          <w:color w:val="auto"/>
          <w:kern w:val="2"/>
          <w:highlight w:val="none"/>
          <w:u w:val="single"/>
        </w:rPr>
        <w:t xml:space="preserve">     </w:t>
      </w:r>
      <w:r>
        <w:rPr>
          <w:rFonts w:hint="eastAsia"/>
          <w:b w:val="0"/>
          <w:color w:val="auto"/>
          <w:kern w:val="2"/>
          <w:highlight w:val="none"/>
        </w:rPr>
        <w:t>月</w:t>
      </w:r>
      <w:r>
        <w:rPr>
          <w:b w:val="0"/>
          <w:color w:val="auto"/>
          <w:kern w:val="2"/>
          <w:highlight w:val="none"/>
          <w:u w:val="single"/>
        </w:rPr>
        <w:t xml:space="preserve">    </w:t>
      </w:r>
      <w:r>
        <w:rPr>
          <w:rFonts w:hint="eastAsia"/>
          <w:b w:val="0"/>
          <w:color w:val="auto"/>
          <w:kern w:val="2"/>
          <w:highlight w:val="none"/>
        </w:rPr>
        <w:t>日</w:t>
      </w:r>
      <w:bookmarkEnd w:id="132"/>
      <w:bookmarkEnd w:id="133"/>
    </w:p>
    <w:p>
      <w:pPr>
        <w:pStyle w:val="66"/>
        <w:keepNext w:val="0"/>
        <w:keepLines w:val="0"/>
        <w:adjustRightInd/>
        <w:spacing w:before="0" w:line="440" w:lineRule="exact"/>
        <w:textAlignment w:val="auto"/>
        <w:outlineLvl w:val="9"/>
        <w:rPr>
          <w:rFonts w:hint="eastAsia"/>
          <w:b w:val="0"/>
          <w:color w:val="auto"/>
          <w:highlight w:val="none"/>
        </w:rPr>
      </w:pPr>
      <w:bookmarkStart w:id="134" w:name="_Toc53317982"/>
      <w:bookmarkStart w:id="135" w:name="_Toc53318130"/>
      <w:r>
        <w:rPr>
          <w:rFonts w:hint="eastAsia"/>
          <w:color w:val="auto"/>
          <w:highlight w:val="none"/>
        </w:rPr>
        <w:t>注：</w:t>
      </w:r>
      <w:r>
        <w:rPr>
          <w:b w:val="0"/>
          <w:color w:val="auto"/>
          <w:highlight w:val="none"/>
        </w:rPr>
        <w:t>1</w:t>
      </w:r>
      <w:r>
        <w:rPr>
          <w:rFonts w:hint="eastAsia"/>
          <w:b w:val="0"/>
          <w:color w:val="auto"/>
          <w:highlight w:val="none"/>
        </w:rPr>
        <w:t>、此表需密封后单独提交。</w:t>
      </w:r>
      <w:bookmarkEnd w:id="134"/>
      <w:bookmarkEnd w:id="135"/>
    </w:p>
    <w:p>
      <w:pPr>
        <w:pStyle w:val="66"/>
        <w:keepNext w:val="0"/>
        <w:keepLines w:val="0"/>
        <w:adjustRightInd/>
        <w:spacing w:before="0" w:line="440" w:lineRule="exact"/>
        <w:ind w:firstLine="420" w:firstLineChars="200"/>
        <w:textAlignment w:val="auto"/>
        <w:outlineLvl w:val="9"/>
        <w:rPr>
          <w:rFonts w:hint="eastAsia" w:ascii="宋体" w:hAnsi="宋体" w:eastAsia="宋体" w:cs="Times New Roman"/>
          <w:b w:val="0"/>
          <w:bCs w:val="0"/>
          <w:color w:val="auto"/>
          <w:highlight w:val="none"/>
        </w:rPr>
      </w:pPr>
      <w:r>
        <w:rPr>
          <w:rFonts w:hint="eastAsia" w:ascii="宋体" w:hAnsi="宋体" w:eastAsia="宋体" w:cs="Times New Roman"/>
          <w:b w:val="0"/>
          <w:bCs w:val="0"/>
          <w:color w:val="auto"/>
          <w:highlight w:val="none"/>
        </w:rPr>
        <w:t>2、本表格式不得更改，投标人只能按要求填报。</w:t>
      </w:r>
    </w:p>
    <w:p>
      <w:pPr>
        <w:pStyle w:val="2"/>
        <w:jc w:val="center"/>
        <w:rPr>
          <w:rFonts w:hint="eastAsia"/>
          <w:color w:val="auto"/>
          <w:kern w:val="2"/>
          <w:sz w:val="30"/>
          <w:szCs w:val="30"/>
          <w:highlight w:val="none"/>
          <w:lang w:val="en-US" w:eastAsia="zh-CN"/>
        </w:rPr>
      </w:pPr>
      <w:r>
        <w:rPr>
          <w:rFonts w:ascii="宋体" w:hAnsi="宋体"/>
          <w:b w:val="0"/>
          <w:color w:val="auto"/>
          <w:sz w:val="30"/>
          <w:szCs w:val="30"/>
          <w:highlight w:val="none"/>
        </w:rPr>
        <w:br w:type="page"/>
      </w:r>
      <w:r>
        <w:rPr>
          <w:rFonts w:hint="eastAsia"/>
          <w:color w:val="auto"/>
          <w:kern w:val="2"/>
          <w:sz w:val="30"/>
          <w:szCs w:val="30"/>
          <w:highlight w:val="none"/>
          <w:lang w:val="en-US" w:eastAsia="zh-CN"/>
        </w:rPr>
        <w:t>明细报价表</w:t>
      </w:r>
    </w:p>
    <w:p>
      <w:pPr>
        <w:tabs>
          <w:tab w:val="left" w:pos="5100"/>
        </w:tabs>
        <w:spacing w:line="440" w:lineRule="exact"/>
        <w:ind w:firstLine="352" w:firstLineChars="147"/>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项目名称：                              </w:t>
      </w:r>
      <w:r>
        <w:rPr>
          <w:rFonts w:hint="eastAsia" w:ascii="宋体" w:hAnsi="宋体" w:cs="宋体"/>
          <w:color w:val="auto"/>
          <w:sz w:val="24"/>
          <w:szCs w:val="24"/>
          <w:highlight w:val="none"/>
        </w:rPr>
        <w:t>投标单位名称：</w:t>
      </w:r>
      <w:r>
        <w:rPr>
          <w:rFonts w:hint="eastAsia" w:ascii="宋体" w:hAnsi="宋体" w:cs="宋体"/>
          <w:color w:val="auto"/>
          <w:highlight w:val="none"/>
        </w:rPr>
        <w:t xml:space="preserve">  </w:t>
      </w:r>
    </w:p>
    <w:p>
      <w:pPr>
        <w:pStyle w:val="65"/>
        <w:spacing w:line="440" w:lineRule="exact"/>
        <w:ind w:left="208" w:leftChars="99" w:firstLine="120" w:firstLineChars="50"/>
        <w:jc w:val="both"/>
        <w:rPr>
          <w:rFonts w:hint="eastAsia" w:ascii="宋体" w:hAnsi="宋体" w:cs="宋体"/>
          <w:bCs/>
          <w:color w:val="auto"/>
          <w:kern w:val="2"/>
          <w:highlight w:val="none"/>
        </w:rPr>
      </w:pPr>
      <w:r>
        <w:rPr>
          <w:rFonts w:hint="eastAsia" w:ascii="宋体" w:hAnsi="宋体" w:cs="宋体"/>
          <w:bCs/>
          <w:color w:val="auto"/>
          <w:kern w:val="2"/>
          <w:highlight w:val="none"/>
        </w:rPr>
        <w:t xml:space="preserve">招标编号：                              </w:t>
      </w:r>
      <w:r>
        <w:rPr>
          <w:rFonts w:hint="eastAsia"/>
          <w:color w:val="auto"/>
          <w:highlight w:val="none"/>
          <w:lang w:val="en-US" w:eastAsia="zh-CN"/>
        </w:rPr>
        <w:t>所投分包/</w:t>
      </w:r>
      <w:r>
        <w:rPr>
          <w:rFonts w:hint="eastAsia"/>
          <w:color w:val="auto"/>
          <w:highlight w:val="none"/>
        </w:rPr>
        <w:t>内容</w:t>
      </w:r>
      <w:r>
        <w:rPr>
          <w:rFonts w:hint="eastAsia" w:ascii="宋体" w:hAnsi="宋体" w:cs="宋体"/>
          <w:color w:val="auto"/>
          <w:highlight w:val="none"/>
        </w:rPr>
        <w:t xml:space="preserve"> ：</w:t>
      </w:r>
    </w:p>
    <w:tbl>
      <w:tblPr>
        <w:tblStyle w:val="20"/>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926"/>
        <w:gridCol w:w="975"/>
        <w:gridCol w:w="960"/>
        <w:gridCol w:w="960"/>
        <w:gridCol w:w="960"/>
        <w:gridCol w:w="1129"/>
        <w:gridCol w:w="1265"/>
        <w:gridCol w:w="991"/>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926" w:type="dxa"/>
            <w:noWrap w:val="0"/>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名称</w:t>
            </w:r>
          </w:p>
        </w:tc>
        <w:tc>
          <w:tcPr>
            <w:tcW w:w="975" w:type="dxa"/>
            <w:noWrap w:val="0"/>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规格</w:t>
            </w:r>
          </w:p>
        </w:tc>
        <w:tc>
          <w:tcPr>
            <w:tcW w:w="960" w:type="dxa"/>
            <w:noWrap w:val="0"/>
            <w:vAlign w:val="center"/>
          </w:tcPr>
          <w:p>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品牌</w:t>
            </w:r>
          </w:p>
        </w:tc>
        <w:tc>
          <w:tcPr>
            <w:tcW w:w="960" w:type="dxa"/>
            <w:noWrap w:val="0"/>
            <w:vAlign w:val="center"/>
          </w:tcPr>
          <w:p>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产地</w:t>
            </w:r>
          </w:p>
        </w:tc>
        <w:tc>
          <w:tcPr>
            <w:tcW w:w="960" w:type="dxa"/>
            <w:noWrap w:val="0"/>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w:t>
            </w:r>
          </w:p>
        </w:tc>
        <w:tc>
          <w:tcPr>
            <w:tcW w:w="1129" w:type="dxa"/>
            <w:noWrap w:val="0"/>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1265" w:type="dxa"/>
            <w:noWrap w:val="0"/>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综合单价</w:t>
            </w:r>
          </w:p>
        </w:tc>
        <w:tc>
          <w:tcPr>
            <w:tcW w:w="991" w:type="dxa"/>
            <w:noWrap w:val="0"/>
            <w:vAlign w:val="center"/>
          </w:tcPr>
          <w:p>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总价</w:t>
            </w:r>
          </w:p>
        </w:tc>
        <w:tc>
          <w:tcPr>
            <w:tcW w:w="1127" w:type="dxa"/>
            <w:noWrap w:val="0"/>
            <w:vAlign w:val="center"/>
          </w:tcPr>
          <w:p>
            <w:pPr>
              <w:spacing w:line="440" w:lineRule="exact"/>
              <w:jc w:val="center"/>
              <w:rPr>
                <w:rFonts w:hint="eastAsia" w:ascii="宋体" w:hAnsi="宋体" w:cs="宋体"/>
                <w:color w:val="auto"/>
                <w:sz w:val="24"/>
                <w:szCs w:val="24"/>
                <w:highlight w:val="none"/>
              </w:rPr>
            </w:pPr>
            <w:r>
              <w:rPr>
                <w:rFonts w:hint="eastAsia" w:ascii="宋体" w:hAnsi="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pPr>
              <w:spacing w:line="440" w:lineRule="exact"/>
              <w:rPr>
                <w:rFonts w:hint="eastAsia" w:ascii="宋体" w:hAnsi="宋体" w:cs="宋体"/>
                <w:color w:val="auto"/>
                <w:sz w:val="24"/>
                <w:szCs w:val="24"/>
                <w:highlight w:val="none"/>
              </w:rPr>
            </w:pPr>
          </w:p>
        </w:tc>
        <w:tc>
          <w:tcPr>
            <w:tcW w:w="926" w:type="dxa"/>
            <w:noWrap w:val="0"/>
            <w:vAlign w:val="center"/>
          </w:tcPr>
          <w:p>
            <w:pPr>
              <w:spacing w:line="440" w:lineRule="exact"/>
              <w:rPr>
                <w:rFonts w:hint="eastAsia" w:ascii="宋体" w:hAnsi="宋体" w:cs="宋体"/>
                <w:color w:val="auto"/>
                <w:sz w:val="24"/>
                <w:szCs w:val="24"/>
                <w:highlight w:val="none"/>
              </w:rPr>
            </w:pPr>
          </w:p>
        </w:tc>
        <w:tc>
          <w:tcPr>
            <w:tcW w:w="975"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1129" w:type="dxa"/>
            <w:noWrap w:val="0"/>
            <w:vAlign w:val="center"/>
          </w:tcPr>
          <w:p>
            <w:pPr>
              <w:spacing w:line="440" w:lineRule="exact"/>
              <w:rPr>
                <w:rFonts w:hint="eastAsia" w:ascii="宋体" w:hAnsi="宋体" w:cs="宋体"/>
                <w:color w:val="auto"/>
                <w:sz w:val="24"/>
                <w:szCs w:val="24"/>
                <w:highlight w:val="none"/>
              </w:rPr>
            </w:pPr>
          </w:p>
        </w:tc>
        <w:tc>
          <w:tcPr>
            <w:tcW w:w="1265" w:type="dxa"/>
            <w:noWrap w:val="0"/>
            <w:vAlign w:val="center"/>
          </w:tcPr>
          <w:p>
            <w:pPr>
              <w:spacing w:line="440" w:lineRule="exact"/>
              <w:rPr>
                <w:rFonts w:hint="eastAsia" w:ascii="宋体" w:hAnsi="宋体" w:cs="宋体"/>
                <w:color w:val="auto"/>
                <w:sz w:val="24"/>
                <w:szCs w:val="24"/>
                <w:highlight w:val="none"/>
              </w:rPr>
            </w:pPr>
          </w:p>
        </w:tc>
        <w:tc>
          <w:tcPr>
            <w:tcW w:w="991" w:type="dxa"/>
            <w:noWrap w:val="0"/>
            <w:vAlign w:val="center"/>
          </w:tcPr>
          <w:p>
            <w:pPr>
              <w:spacing w:line="440" w:lineRule="exact"/>
              <w:rPr>
                <w:rFonts w:hint="eastAsia" w:ascii="宋体" w:hAnsi="宋体" w:cs="宋体"/>
                <w:color w:val="auto"/>
                <w:sz w:val="24"/>
                <w:szCs w:val="24"/>
                <w:highlight w:val="none"/>
              </w:rPr>
            </w:pPr>
          </w:p>
        </w:tc>
        <w:tc>
          <w:tcPr>
            <w:tcW w:w="1127" w:type="dxa"/>
            <w:noWrap w:val="0"/>
            <w:vAlign w:val="center"/>
          </w:tcPr>
          <w:p>
            <w:pPr>
              <w:spacing w:line="44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pPr>
              <w:spacing w:line="440" w:lineRule="exact"/>
              <w:rPr>
                <w:rFonts w:hint="eastAsia" w:ascii="宋体" w:hAnsi="宋体" w:cs="宋体"/>
                <w:color w:val="auto"/>
                <w:sz w:val="24"/>
                <w:szCs w:val="24"/>
                <w:highlight w:val="none"/>
              </w:rPr>
            </w:pPr>
          </w:p>
        </w:tc>
        <w:tc>
          <w:tcPr>
            <w:tcW w:w="926" w:type="dxa"/>
            <w:noWrap w:val="0"/>
            <w:vAlign w:val="center"/>
          </w:tcPr>
          <w:p>
            <w:pPr>
              <w:spacing w:line="440" w:lineRule="exact"/>
              <w:rPr>
                <w:rFonts w:hint="eastAsia" w:ascii="宋体" w:hAnsi="宋体" w:cs="宋体"/>
                <w:color w:val="auto"/>
                <w:sz w:val="24"/>
                <w:szCs w:val="24"/>
                <w:highlight w:val="none"/>
              </w:rPr>
            </w:pPr>
          </w:p>
        </w:tc>
        <w:tc>
          <w:tcPr>
            <w:tcW w:w="975"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1129" w:type="dxa"/>
            <w:noWrap w:val="0"/>
            <w:vAlign w:val="center"/>
          </w:tcPr>
          <w:p>
            <w:pPr>
              <w:spacing w:line="440" w:lineRule="exact"/>
              <w:rPr>
                <w:rFonts w:hint="eastAsia" w:ascii="宋体" w:hAnsi="宋体" w:cs="宋体"/>
                <w:color w:val="auto"/>
                <w:sz w:val="24"/>
                <w:szCs w:val="24"/>
                <w:highlight w:val="none"/>
              </w:rPr>
            </w:pPr>
          </w:p>
        </w:tc>
        <w:tc>
          <w:tcPr>
            <w:tcW w:w="1265" w:type="dxa"/>
            <w:noWrap w:val="0"/>
            <w:vAlign w:val="center"/>
          </w:tcPr>
          <w:p>
            <w:pPr>
              <w:spacing w:line="440" w:lineRule="exact"/>
              <w:rPr>
                <w:rFonts w:hint="eastAsia" w:ascii="宋体" w:hAnsi="宋体" w:cs="宋体"/>
                <w:color w:val="auto"/>
                <w:sz w:val="24"/>
                <w:szCs w:val="24"/>
                <w:highlight w:val="none"/>
              </w:rPr>
            </w:pPr>
          </w:p>
        </w:tc>
        <w:tc>
          <w:tcPr>
            <w:tcW w:w="991" w:type="dxa"/>
            <w:noWrap w:val="0"/>
            <w:vAlign w:val="center"/>
          </w:tcPr>
          <w:p>
            <w:pPr>
              <w:spacing w:line="440" w:lineRule="exact"/>
              <w:rPr>
                <w:rFonts w:hint="eastAsia" w:ascii="宋体" w:hAnsi="宋体" w:cs="宋体"/>
                <w:color w:val="auto"/>
                <w:sz w:val="24"/>
                <w:szCs w:val="24"/>
                <w:highlight w:val="none"/>
              </w:rPr>
            </w:pPr>
          </w:p>
        </w:tc>
        <w:tc>
          <w:tcPr>
            <w:tcW w:w="1127" w:type="dxa"/>
            <w:noWrap w:val="0"/>
            <w:vAlign w:val="center"/>
          </w:tcPr>
          <w:p>
            <w:pPr>
              <w:spacing w:line="44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pPr>
              <w:spacing w:line="440" w:lineRule="exact"/>
              <w:rPr>
                <w:rFonts w:hint="eastAsia" w:ascii="宋体" w:hAnsi="宋体" w:cs="宋体"/>
                <w:color w:val="auto"/>
                <w:sz w:val="24"/>
                <w:szCs w:val="24"/>
                <w:highlight w:val="none"/>
              </w:rPr>
            </w:pPr>
          </w:p>
        </w:tc>
        <w:tc>
          <w:tcPr>
            <w:tcW w:w="926" w:type="dxa"/>
            <w:noWrap w:val="0"/>
            <w:vAlign w:val="center"/>
          </w:tcPr>
          <w:p>
            <w:pPr>
              <w:spacing w:line="440" w:lineRule="exact"/>
              <w:rPr>
                <w:rFonts w:hint="eastAsia" w:ascii="宋体" w:hAnsi="宋体" w:cs="宋体"/>
                <w:color w:val="auto"/>
                <w:sz w:val="24"/>
                <w:szCs w:val="24"/>
                <w:highlight w:val="none"/>
              </w:rPr>
            </w:pPr>
          </w:p>
        </w:tc>
        <w:tc>
          <w:tcPr>
            <w:tcW w:w="975"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1129" w:type="dxa"/>
            <w:noWrap w:val="0"/>
            <w:vAlign w:val="center"/>
          </w:tcPr>
          <w:p>
            <w:pPr>
              <w:spacing w:line="440" w:lineRule="exact"/>
              <w:rPr>
                <w:rFonts w:hint="eastAsia" w:ascii="宋体" w:hAnsi="宋体" w:cs="宋体"/>
                <w:color w:val="auto"/>
                <w:sz w:val="24"/>
                <w:szCs w:val="24"/>
                <w:highlight w:val="none"/>
              </w:rPr>
            </w:pPr>
          </w:p>
        </w:tc>
        <w:tc>
          <w:tcPr>
            <w:tcW w:w="1265" w:type="dxa"/>
            <w:noWrap w:val="0"/>
            <w:vAlign w:val="center"/>
          </w:tcPr>
          <w:p>
            <w:pPr>
              <w:spacing w:line="440" w:lineRule="exact"/>
              <w:rPr>
                <w:rFonts w:hint="eastAsia" w:ascii="宋体" w:hAnsi="宋体" w:cs="宋体"/>
                <w:color w:val="auto"/>
                <w:sz w:val="24"/>
                <w:szCs w:val="24"/>
                <w:highlight w:val="none"/>
              </w:rPr>
            </w:pPr>
          </w:p>
        </w:tc>
        <w:tc>
          <w:tcPr>
            <w:tcW w:w="991" w:type="dxa"/>
            <w:noWrap w:val="0"/>
            <w:vAlign w:val="center"/>
          </w:tcPr>
          <w:p>
            <w:pPr>
              <w:spacing w:line="440" w:lineRule="exact"/>
              <w:rPr>
                <w:rFonts w:hint="eastAsia" w:ascii="宋体" w:hAnsi="宋体" w:cs="宋体"/>
                <w:color w:val="auto"/>
                <w:sz w:val="24"/>
                <w:szCs w:val="24"/>
                <w:highlight w:val="none"/>
              </w:rPr>
            </w:pPr>
          </w:p>
        </w:tc>
        <w:tc>
          <w:tcPr>
            <w:tcW w:w="1127" w:type="dxa"/>
            <w:noWrap w:val="0"/>
            <w:vAlign w:val="center"/>
          </w:tcPr>
          <w:p>
            <w:pPr>
              <w:spacing w:line="44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pPr>
              <w:spacing w:line="440" w:lineRule="exact"/>
              <w:rPr>
                <w:rFonts w:hint="eastAsia" w:ascii="宋体" w:hAnsi="宋体" w:cs="宋体"/>
                <w:color w:val="auto"/>
                <w:sz w:val="24"/>
                <w:szCs w:val="24"/>
                <w:highlight w:val="none"/>
              </w:rPr>
            </w:pPr>
          </w:p>
        </w:tc>
        <w:tc>
          <w:tcPr>
            <w:tcW w:w="926" w:type="dxa"/>
            <w:noWrap w:val="0"/>
            <w:vAlign w:val="center"/>
          </w:tcPr>
          <w:p>
            <w:pPr>
              <w:spacing w:line="440" w:lineRule="exact"/>
              <w:rPr>
                <w:rFonts w:hint="eastAsia" w:ascii="宋体" w:hAnsi="宋体" w:cs="宋体"/>
                <w:color w:val="auto"/>
                <w:sz w:val="24"/>
                <w:szCs w:val="24"/>
                <w:highlight w:val="none"/>
              </w:rPr>
            </w:pPr>
          </w:p>
        </w:tc>
        <w:tc>
          <w:tcPr>
            <w:tcW w:w="975"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1129" w:type="dxa"/>
            <w:noWrap w:val="0"/>
            <w:vAlign w:val="center"/>
          </w:tcPr>
          <w:p>
            <w:pPr>
              <w:spacing w:line="440" w:lineRule="exact"/>
              <w:rPr>
                <w:rFonts w:hint="eastAsia" w:ascii="宋体" w:hAnsi="宋体" w:cs="宋体"/>
                <w:color w:val="auto"/>
                <w:sz w:val="24"/>
                <w:szCs w:val="24"/>
                <w:highlight w:val="none"/>
              </w:rPr>
            </w:pPr>
          </w:p>
        </w:tc>
        <w:tc>
          <w:tcPr>
            <w:tcW w:w="1265" w:type="dxa"/>
            <w:noWrap w:val="0"/>
            <w:vAlign w:val="center"/>
          </w:tcPr>
          <w:p>
            <w:pPr>
              <w:spacing w:line="440" w:lineRule="exact"/>
              <w:rPr>
                <w:rFonts w:hint="eastAsia" w:ascii="宋体" w:hAnsi="宋体" w:cs="宋体"/>
                <w:color w:val="auto"/>
                <w:sz w:val="24"/>
                <w:szCs w:val="24"/>
                <w:highlight w:val="none"/>
              </w:rPr>
            </w:pPr>
          </w:p>
        </w:tc>
        <w:tc>
          <w:tcPr>
            <w:tcW w:w="991" w:type="dxa"/>
            <w:noWrap w:val="0"/>
            <w:vAlign w:val="center"/>
          </w:tcPr>
          <w:p>
            <w:pPr>
              <w:spacing w:line="440" w:lineRule="exact"/>
              <w:rPr>
                <w:rFonts w:hint="eastAsia" w:ascii="宋体" w:hAnsi="宋体" w:cs="宋体"/>
                <w:color w:val="auto"/>
                <w:sz w:val="24"/>
                <w:szCs w:val="24"/>
                <w:highlight w:val="none"/>
              </w:rPr>
            </w:pPr>
          </w:p>
        </w:tc>
        <w:tc>
          <w:tcPr>
            <w:tcW w:w="1127" w:type="dxa"/>
            <w:noWrap w:val="0"/>
            <w:vAlign w:val="center"/>
          </w:tcPr>
          <w:p>
            <w:pPr>
              <w:spacing w:line="44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pPr>
              <w:spacing w:line="440" w:lineRule="exact"/>
              <w:rPr>
                <w:rFonts w:hint="eastAsia" w:ascii="宋体" w:hAnsi="宋体" w:cs="宋体"/>
                <w:color w:val="auto"/>
                <w:sz w:val="24"/>
                <w:szCs w:val="24"/>
                <w:highlight w:val="none"/>
              </w:rPr>
            </w:pPr>
          </w:p>
        </w:tc>
        <w:tc>
          <w:tcPr>
            <w:tcW w:w="926" w:type="dxa"/>
            <w:noWrap w:val="0"/>
            <w:vAlign w:val="center"/>
          </w:tcPr>
          <w:p>
            <w:pPr>
              <w:spacing w:line="440" w:lineRule="exact"/>
              <w:rPr>
                <w:rFonts w:hint="eastAsia" w:ascii="宋体" w:hAnsi="宋体" w:cs="宋体"/>
                <w:color w:val="auto"/>
                <w:sz w:val="24"/>
                <w:szCs w:val="24"/>
                <w:highlight w:val="none"/>
              </w:rPr>
            </w:pPr>
          </w:p>
        </w:tc>
        <w:tc>
          <w:tcPr>
            <w:tcW w:w="975"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1129" w:type="dxa"/>
            <w:noWrap w:val="0"/>
            <w:vAlign w:val="center"/>
          </w:tcPr>
          <w:p>
            <w:pPr>
              <w:spacing w:line="440" w:lineRule="exact"/>
              <w:rPr>
                <w:rFonts w:hint="eastAsia" w:ascii="宋体" w:hAnsi="宋体" w:cs="宋体"/>
                <w:color w:val="auto"/>
                <w:sz w:val="24"/>
                <w:szCs w:val="24"/>
                <w:highlight w:val="none"/>
              </w:rPr>
            </w:pPr>
          </w:p>
        </w:tc>
        <w:tc>
          <w:tcPr>
            <w:tcW w:w="1265" w:type="dxa"/>
            <w:noWrap w:val="0"/>
            <w:vAlign w:val="center"/>
          </w:tcPr>
          <w:p>
            <w:pPr>
              <w:spacing w:line="440" w:lineRule="exact"/>
              <w:rPr>
                <w:rFonts w:hint="eastAsia" w:ascii="宋体" w:hAnsi="宋体" w:cs="宋体"/>
                <w:color w:val="auto"/>
                <w:sz w:val="24"/>
                <w:szCs w:val="24"/>
                <w:highlight w:val="none"/>
              </w:rPr>
            </w:pPr>
          </w:p>
        </w:tc>
        <w:tc>
          <w:tcPr>
            <w:tcW w:w="991" w:type="dxa"/>
            <w:noWrap w:val="0"/>
            <w:vAlign w:val="center"/>
          </w:tcPr>
          <w:p>
            <w:pPr>
              <w:spacing w:line="440" w:lineRule="exact"/>
              <w:rPr>
                <w:rFonts w:hint="eastAsia" w:ascii="宋体" w:hAnsi="宋体" w:cs="宋体"/>
                <w:color w:val="auto"/>
                <w:sz w:val="24"/>
                <w:szCs w:val="24"/>
                <w:highlight w:val="none"/>
              </w:rPr>
            </w:pPr>
          </w:p>
        </w:tc>
        <w:tc>
          <w:tcPr>
            <w:tcW w:w="1127" w:type="dxa"/>
            <w:noWrap w:val="0"/>
            <w:vAlign w:val="center"/>
          </w:tcPr>
          <w:p>
            <w:pPr>
              <w:spacing w:line="44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2" w:type="dxa"/>
            <w:noWrap w:val="0"/>
            <w:vAlign w:val="center"/>
          </w:tcPr>
          <w:p>
            <w:pPr>
              <w:spacing w:line="440" w:lineRule="exact"/>
              <w:rPr>
                <w:rFonts w:hint="eastAsia" w:ascii="宋体" w:hAnsi="宋体" w:cs="宋体"/>
                <w:color w:val="auto"/>
                <w:sz w:val="24"/>
                <w:szCs w:val="24"/>
                <w:highlight w:val="none"/>
              </w:rPr>
            </w:pPr>
          </w:p>
        </w:tc>
        <w:tc>
          <w:tcPr>
            <w:tcW w:w="926" w:type="dxa"/>
            <w:noWrap w:val="0"/>
            <w:vAlign w:val="center"/>
          </w:tcPr>
          <w:p>
            <w:pPr>
              <w:spacing w:line="440" w:lineRule="exact"/>
              <w:rPr>
                <w:rFonts w:hint="eastAsia" w:ascii="宋体" w:hAnsi="宋体" w:cs="宋体"/>
                <w:color w:val="auto"/>
                <w:sz w:val="24"/>
                <w:szCs w:val="24"/>
                <w:highlight w:val="none"/>
              </w:rPr>
            </w:pPr>
          </w:p>
        </w:tc>
        <w:tc>
          <w:tcPr>
            <w:tcW w:w="975"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1129" w:type="dxa"/>
            <w:noWrap w:val="0"/>
            <w:vAlign w:val="center"/>
          </w:tcPr>
          <w:p>
            <w:pPr>
              <w:spacing w:line="440" w:lineRule="exact"/>
              <w:rPr>
                <w:rFonts w:hint="eastAsia" w:ascii="宋体" w:hAnsi="宋体" w:cs="宋体"/>
                <w:color w:val="auto"/>
                <w:sz w:val="24"/>
                <w:szCs w:val="24"/>
                <w:highlight w:val="none"/>
              </w:rPr>
            </w:pPr>
          </w:p>
        </w:tc>
        <w:tc>
          <w:tcPr>
            <w:tcW w:w="1265" w:type="dxa"/>
            <w:noWrap w:val="0"/>
            <w:vAlign w:val="center"/>
          </w:tcPr>
          <w:p>
            <w:pPr>
              <w:spacing w:line="440" w:lineRule="exact"/>
              <w:rPr>
                <w:rFonts w:hint="eastAsia" w:ascii="宋体" w:hAnsi="宋体" w:cs="宋体"/>
                <w:color w:val="auto"/>
                <w:sz w:val="24"/>
                <w:szCs w:val="24"/>
                <w:highlight w:val="none"/>
              </w:rPr>
            </w:pPr>
          </w:p>
        </w:tc>
        <w:tc>
          <w:tcPr>
            <w:tcW w:w="991" w:type="dxa"/>
            <w:noWrap w:val="0"/>
            <w:vAlign w:val="center"/>
          </w:tcPr>
          <w:p>
            <w:pPr>
              <w:spacing w:line="440" w:lineRule="exact"/>
              <w:rPr>
                <w:rFonts w:hint="eastAsia" w:ascii="宋体" w:hAnsi="宋体" w:cs="宋体"/>
                <w:color w:val="auto"/>
                <w:sz w:val="24"/>
                <w:szCs w:val="24"/>
                <w:highlight w:val="none"/>
              </w:rPr>
            </w:pPr>
          </w:p>
        </w:tc>
        <w:tc>
          <w:tcPr>
            <w:tcW w:w="1127" w:type="dxa"/>
            <w:noWrap w:val="0"/>
            <w:vAlign w:val="center"/>
          </w:tcPr>
          <w:p>
            <w:pPr>
              <w:spacing w:line="44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2" w:type="dxa"/>
            <w:noWrap w:val="0"/>
            <w:vAlign w:val="center"/>
          </w:tcPr>
          <w:p>
            <w:pPr>
              <w:spacing w:line="440" w:lineRule="exact"/>
              <w:rPr>
                <w:rFonts w:hint="eastAsia" w:ascii="宋体" w:hAnsi="宋体" w:cs="宋体"/>
                <w:color w:val="auto"/>
                <w:sz w:val="24"/>
                <w:szCs w:val="24"/>
                <w:highlight w:val="none"/>
              </w:rPr>
            </w:pPr>
          </w:p>
        </w:tc>
        <w:tc>
          <w:tcPr>
            <w:tcW w:w="926" w:type="dxa"/>
            <w:noWrap w:val="0"/>
            <w:vAlign w:val="center"/>
          </w:tcPr>
          <w:p>
            <w:pPr>
              <w:spacing w:line="440" w:lineRule="exact"/>
              <w:rPr>
                <w:rFonts w:hint="eastAsia" w:ascii="宋体" w:hAnsi="宋体" w:cs="宋体"/>
                <w:color w:val="auto"/>
                <w:sz w:val="24"/>
                <w:szCs w:val="24"/>
                <w:highlight w:val="none"/>
              </w:rPr>
            </w:pPr>
          </w:p>
        </w:tc>
        <w:tc>
          <w:tcPr>
            <w:tcW w:w="975"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1129" w:type="dxa"/>
            <w:noWrap w:val="0"/>
            <w:vAlign w:val="center"/>
          </w:tcPr>
          <w:p>
            <w:pPr>
              <w:spacing w:line="440" w:lineRule="exact"/>
              <w:rPr>
                <w:rFonts w:hint="eastAsia" w:ascii="宋体" w:hAnsi="宋体" w:cs="宋体"/>
                <w:color w:val="auto"/>
                <w:sz w:val="24"/>
                <w:szCs w:val="24"/>
                <w:highlight w:val="none"/>
              </w:rPr>
            </w:pPr>
          </w:p>
        </w:tc>
        <w:tc>
          <w:tcPr>
            <w:tcW w:w="1265" w:type="dxa"/>
            <w:noWrap w:val="0"/>
            <w:vAlign w:val="center"/>
          </w:tcPr>
          <w:p>
            <w:pPr>
              <w:spacing w:line="440" w:lineRule="exact"/>
              <w:rPr>
                <w:rFonts w:hint="eastAsia" w:ascii="宋体" w:hAnsi="宋体" w:cs="宋体"/>
                <w:color w:val="auto"/>
                <w:sz w:val="24"/>
                <w:szCs w:val="24"/>
                <w:highlight w:val="none"/>
              </w:rPr>
            </w:pPr>
          </w:p>
        </w:tc>
        <w:tc>
          <w:tcPr>
            <w:tcW w:w="991" w:type="dxa"/>
            <w:noWrap w:val="0"/>
            <w:vAlign w:val="center"/>
          </w:tcPr>
          <w:p>
            <w:pPr>
              <w:spacing w:line="440" w:lineRule="exact"/>
              <w:rPr>
                <w:rFonts w:hint="eastAsia" w:ascii="宋体" w:hAnsi="宋体" w:cs="宋体"/>
                <w:color w:val="auto"/>
                <w:sz w:val="24"/>
                <w:szCs w:val="24"/>
                <w:highlight w:val="none"/>
              </w:rPr>
            </w:pPr>
          </w:p>
        </w:tc>
        <w:tc>
          <w:tcPr>
            <w:tcW w:w="1127" w:type="dxa"/>
            <w:noWrap w:val="0"/>
            <w:vAlign w:val="center"/>
          </w:tcPr>
          <w:p>
            <w:pPr>
              <w:spacing w:line="44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2" w:type="dxa"/>
            <w:noWrap w:val="0"/>
            <w:vAlign w:val="center"/>
          </w:tcPr>
          <w:p>
            <w:pPr>
              <w:spacing w:line="440" w:lineRule="exact"/>
              <w:rPr>
                <w:rFonts w:hint="eastAsia" w:ascii="宋体" w:hAnsi="宋体" w:cs="宋体"/>
                <w:color w:val="auto"/>
                <w:sz w:val="24"/>
                <w:szCs w:val="24"/>
                <w:highlight w:val="none"/>
              </w:rPr>
            </w:pPr>
          </w:p>
        </w:tc>
        <w:tc>
          <w:tcPr>
            <w:tcW w:w="926" w:type="dxa"/>
            <w:noWrap w:val="0"/>
            <w:vAlign w:val="center"/>
          </w:tcPr>
          <w:p>
            <w:pPr>
              <w:spacing w:line="440" w:lineRule="exact"/>
              <w:rPr>
                <w:rFonts w:hint="eastAsia" w:ascii="宋体" w:hAnsi="宋体" w:cs="宋体"/>
                <w:color w:val="auto"/>
                <w:sz w:val="24"/>
                <w:szCs w:val="24"/>
                <w:highlight w:val="none"/>
              </w:rPr>
            </w:pPr>
          </w:p>
        </w:tc>
        <w:tc>
          <w:tcPr>
            <w:tcW w:w="975"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1129" w:type="dxa"/>
            <w:noWrap w:val="0"/>
            <w:vAlign w:val="center"/>
          </w:tcPr>
          <w:p>
            <w:pPr>
              <w:spacing w:line="440" w:lineRule="exact"/>
              <w:rPr>
                <w:rFonts w:hint="eastAsia" w:ascii="宋体" w:hAnsi="宋体" w:cs="宋体"/>
                <w:color w:val="auto"/>
                <w:sz w:val="24"/>
                <w:szCs w:val="24"/>
                <w:highlight w:val="none"/>
              </w:rPr>
            </w:pPr>
          </w:p>
        </w:tc>
        <w:tc>
          <w:tcPr>
            <w:tcW w:w="1265" w:type="dxa"/>
            <w:noWrap w:val="0"/>
            <w:vAlign w:val="center"/>
          </w:tcPr>
          <w:p>
            <w:pPr>
              <w:spacing w:line="440" w:lineRule="exact"/>
              <w:rPr>
                <w:rFonts w:hint="eastAsia" w:ascii="宋体" w:hAnsi="宋体" w:cs="宋体"/>
                <w:color w:val="auto"/>
                <w:sz w:val="24"/>
                <w:szCs w:val="24"/>
                <w:highlight w:val="none"/>
              </w:rPr>
            </w:pPr>
          </w:p>
        </w:tc>
        <w:tc>
          <w:tcPr>
            <w:tcW w:w="991" w:type="dxa"/>
            <w:noWrap w:val="0"/>
            <w:vAlign w:val="center"/>
          </w:tcPr>
          <w:p>
            <w:pPr>
              <w:spacing w:line="440" w:lineRule="exact"/>
              <w:rPr>
                <w:rFonts w:hint="eastAsia" w:ascii="宋体" w:hAnsi="宋体" w:cs="宋体"/>
                <w:color w:val="auto"/>
                <w:sz w:val="24"/>
                <w:szCs w:val="24"/>
                <w:highlight w:val="none"/>
              </w:rPr>
            </w:pPr>
          </w:p>
        </w:tc>
        <w:tc>
          <w:tcPr>
            <w:tcW w:w="1127" w:type="dxa"/>
            <w:noWrap w:val="0"/>
            <w:vAlign w:val="center"/>
          </w:tcPr>
          <w:p>
            <w:pPr>
              <w:spacing w:line="44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2" w:type="dxa"/>
            <w:noWrap w:val="0"/>
            <w:vAlign w:val="center"/>
          </w:tcPr>
          <w:p>
            <w:pPr>
              <w:spacing w:line="440" w:lineRule="exact"/>
              <w:rPr>
                <w:rFonts w:hint="eastAsia" w:ascii="宋体" w:hAnsi="宋体" w:cs="宋体"/>
                <w:color w:val="auto"/>
                <w:sz w:val="24"/>
                <w:szCs w:val="24"/>
                <w:highlight w:val="none"/>
              </w:rPr>
            </w:pPr>
          </w:p>
        </w:tc>
        <w:tc>
          <w:tcPr>
            <w:tcW w:w="926" w:type="dxa"/>
            <w:noWrap w:val="0"/>
            <w:vAlign w:val="center"/>
          </w:tcPr>
          <w:p>
            <w:pPr>
              <w:spacing w:line="440" w:lineRule="exact"/>
              <w:rPr>
                <w:rFonts w:hint="eastAsia" w:ascii="宋体" w:hAnsi="宋体" w:cs="宋体"/>
                <w:color w:val="auto"/>
                <w:sz w:val="24"/>
                <w:szCs w:val="24"/>
                <w:highlight w:val="none"/>
              </w:rPr>
            </w:pPr>
          </w:p>
        </w:tc>
        <w:tc>
          <w:tcPr>
            <w:tcW w:w="975"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960" w:type="dxa"/>
            <w:noWrap w:val="0"/>
            <w:vAlign w:val="center"/>
          </w:tcPr>
          <w:p>
            <w:pPr>
              <w:spacing w:line="440" w:lineRule="exact"/>
              <w:rPr>
                <w:rFonts w:hint="eastAsia" w:ascii="宋体" w:hAnsi="宋体" w:cs="宋体"/>
                <w:color w:val="auto"/>
                <w:sz w:val="24"/>
                <w:szCs w:val="24"/>
                <w:highlight w:val="none"/>
              </w:rPr>
            </w:pPr>
          </w:p>
        </w:tc>
        <w:tc>
          <w:tcPr>
            <w:tcW w:w="1129" w:type="dxa"/>
            <w:noWrap w:val="0"/>
            <w:vAlign w:val="center"/>
          </w:tcPr>
          <w:p>
            <w:pPr>
              <w:spacing w:line="440" w:lineRule="exact"/>
              <w:rPr>
                <w:rFonts w:hint="eastAsia" w:ascii="宋体" w:hAnsi="宋体" w:cs="宋体"/>
                <w:color w:val="auto"/>
                <w:sz w:val="24"/>
                <w:szCs w:val="24"/>
                <w:highlight w:val="none"/>
              </w:rPr>
            </w:pPr>
          </w:p>
        </w:tc>
        <w:tc>
          <w:tcPr>
            <w:tcW w:w="1265" w:type="dxa"/>
            <w:noWrap w:val="0"/>
            <w:vAlign w:val="center"/>
          </w:tcPr>
          <w:p>
            <w:pPr>
              <w:spacing w:line="440" w:lineRule="exact"/>
              <w:rPr>
                <w:rFonts w:hint="eastAsia" w:ascii="宋体" w:hAnsi="宋体" w:cs="宋体"/>
                <w:color w:val="auto"/>
                <w:sz w:val="24"/>
                <w:szCs w:val="24"/>
                <w:highlight w:val="none"/>
              </w:rPr>
            </w:pPr>
          </w:p>
        </w:tc>
        <w:tc>
          <w:tcPr>
            <w:tcW w:w="991" w:type="dxa"/>
            <w:noWrap w:val="0"/>
            <w:vAlign w:val="center"/>
          </w:tcPr>
          <w:p>
            <w:pPr>
              <w:spacing w:line="440" w:lineRule="exact"/>
              <w:rPr>
                <w:rFonts w:hint="eastAsia" w:ascii="宋体" w:hAnsi="宋体" w:cs="宋体"/>
                <w:color w:val="auto"/>
                <w:sz w:val="24"/>
                <w:szCs w:val="24"/>
                <w:highlight w:val="none"/>
              </w:rPr>
            </w:pPr>
          </w:p>
        </w:tc>
        <w:tc>
          <w:tcPr>
            <w:tcW w:w="1127" w:type="dxa"/>
            <w:noWrap w:val="0"/>
            <w:vAlign w:val="center"/>
          </w:tcPr>
          <w:p>
            <w:pPr>
              <w:spacing w:line="44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3" w:type="dxa"/>
            <w:gridSpan w:val="3"/>
            <w:noWrap w:val="0"/>
            <w:vAlign w:val="center"/>
          </w:tcPr>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合计金额（小写）</w:t>
            </w:r>
          </w:p>
        </w:tc>
        <w:tc>
          <w:tcPr>
            <w:tcW w:w="7392" w:type="dxa"/>
            <w:gridSpan w:val="7"/>
            <w:noWrap w:val="0"/>
            <w:vAlign w:val="center"/>
          </w:tcPr>
          <w:p>
            <w:pPr>
              <w:spacing w:line="44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3" w:type="dxa"/>
            <w:gridSpan w:val="3"/>
            <w:noWrap w:val="0"/>
            <w:vAlign w:val="center"/>
          </w:tcPr>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合计金额（大写）：</w:t>
            </w:r>
          </w:p>
        </w:tc>
        <w:tc>
          <w:tcPr>
            <w:tcW w:w="7392" w:type="dxa"/>
            <w:gridSpan w:val="7"/>
            <w:noWrap w:val="0"/>
            <w:vAlign w:val="center"/>
          </w:tcPr>
          <w:p>
            <w:pPr>
              <w:spacing w:line="440" w:lineRule="exact"/>
              <w:rPr>
                <w:rFonts w:hint="eastAsia" w:ascii="宋体" w:hAnsi="宋体" w:cs="宋体"/>
                <w:color w:val="auto"/>
                <w:sz w:val="24"/>
                <w:szCs w:val="24"/>
                <w:highlight w:val="none"/>
              </w:rPr>
            </w:pPr>
          </w:p>
        </w:tc>
      </w:tr>
    </w:tbl>
    <w:p>
      <w:pPr>
        <w:spacing w:line="460" w:lineRule="atLeast"/>
        <w:rPr>
          <w:rFonts w:hint="eastAsia" w:ascii="宋体" w:hAnsi="宋体" w:cs="宋体"/>
          <w:b/>
          <w:color w:val="auto"/>
          <w:sz w:val="24"/>
          <w:szCs w:val="24"/>
          <w:highlight w:val="none"/>
        </w:rPr>
      </w:pPr>
    </w:p>
    <w:p>
      <w:pPr>
        <w:spacing w:line="460" w:lineRule="atLeast"/>
        <w:rPr>
          <w:rFonts w:hint="eastAsia" w:ascii="宋体" w:hAnsi="宋体" w:cs="宋体"/>
          <w:color w:val="auto"/>
          <w:sz w:val="24"/>
          <w:highlight w:val="none"/>
        </w:rPr>
      </w:pPr>
      <w:r>
        <w:rPr>
          <w:rFonts w:hint="eastAsia" w:ascii="宋体" w:hAnsi="宋体" w:cs="宋体"/>
          <w:color w:val="auto"/>
          <w:sz w:val="24"/>
          <w:highlight w:val="none"/>
        </w:rPr>
        <w:t>投标人签字：日期：</w:t>
      </w:r>
    </w:p>
    <w:p>
      <w:pPr>
        <w:spacing w:line="440" w:lineRule="exact"/>
        <w:rPr>
          <w:rFonts w:hint="eastAsia" w:ascii="宋体" w:hAnsi="宋体" w:cs="宋体"/>
          <w:b/>
          <w:color w:val="auto"/>
          <w:sz w:val="24"/>
          <w:szCs w:val="24"/>
          <w:highlight w:val="none"/>
        </w:rPr>
      </w:pPr>
    </w:p>
    <w:p>
      <w:pPr>
        <w:spacing w:line="44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注：1、合计金额应为各分项价格之和。</w:t>
      </w:r>
    </w:p>
    <w:p>
      <w:pPr>
        <w:spacing w:line="44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2、上述报价包含一切由供方承担的费用。</w:t>
      </w:r>
    </w:p>
    <w:p>
      <w:pPr>
        <w:spacing w:line="44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3、请各投标人根据投标方案，在本表中详细写明所有产品型号规格、主要技术参数、数量、综合单价、总价及品牌和产地。</w:t>
      </w:r>
    </w:p>
    <w:p>
      <w:pPr>
        <w:spacing w:line="44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4、综合单价必须包括货物、安装、调试、技术支持、运输、保险、售后服务、培训及其它必需服务的报价。</w:t>
      </w:r>
    </w:p>
    <w:p>
      <w:pPr>
        <w:pStyle w:val="27"/>
      </w:pPr>
    </w:p>
    <w:p>
      <w:pPr>
        <w:pStyle w:val="26"/>
        <w:numPr>
          <w:ilvl w:val="0"/>
          <w:numId w:val="0"/>
        </w:numPr>
        <w:ind w:left="1134"/>
      </w:pPr>
    </w:p>
    <w:p>
      <w:pPr>
        <w:spacing w:line="500" w:lineRule="exact"/>
        <w:ind w:firstLine="960"/>
        <w:rPr>
          <w:rFonts w:ascii="仿宋" w:hAnsi="仿宋" w:eastAsia="仿宋" w:cs="仿宋"/>
          <w:sz w:val="24"/>
        </w:rPr>
      </w:pPr>
    </w:p>
    <w:p>
      <w:pPr>
        <w:tabs>
          <w:tab w:val="left" w:pos="1260"/>
        </w:tabs>
        <w:spacing w:before="40" w:after="40"/>
        <w:rPr>
          <w:rFonts w:ascii="仿宋" w:hAnsi="仿宋" w:eastAsia="仿宋" w:cs="仿宋"/>
          <w:sz w:val="22"/>
        </w:rPr>
        <w:sectPr>
          <w:footerReference r:id="rId7" w:type="first"/>
          <w:footerReference r:id="rId6" w:type="default"/>
          <w:type w:val="nextColumn"/>
          <w:pgSz w:w="11906" w:h="16838"/>
          <w:pgMar w:top="1191" w:right="1418" w:bottom="1191" w:left="1418" w:header="737" w:footer="737" w:gutter="0"/>
          <w:cols w:space="720" w:num="1"/>
          <w:docGrid w:linePitch="312" w:charSpace="0"/>
        </w:sectPr>
      </w:pPr>
    </w:p>
    <w:p>
      <w:pPr>
        <w:spacing w:line="360" w:lineRule="auto"/>
        <w:jc w:val="center"/>
        <w:rPr>
          <w:rFonts w:ascii="仿宋" w:hAnsi="仿宋" w:eastAsia="仿宋" w:cs="仿宋"/>
          <w:b/>
          <w:sz w:val="36"/>
          <w:szCs w:val="36"/>
        </w:rPr>
      </w:pPr>
      <w:r>
        <w:rPr>
          <w:rFonts w:hint="eastAsia" w:ascii="仿宋" w:hAnsi="仿宋" w:eastAsia="仿宋" w:cs="仿宋"/>
          <w:b/>
          <w:sz w:val="36"/>
          <w:szCs w:val="36"/>
        </w:rPr>
        <w:t>招标编号：HYZB01-2022-000</w:t>
      </w:r>
      <w:r>
        <w:rPr>
          <w:rFonts w:ascii="仿宋" w:hAnsi="仿宋" w:eastAsia="仿宋" w:cs="仿宋"/>
          <w:b/>
          <w:sz w:val="36"/>
          <w:szCs w:val="36"/>
        </w:rPr>
        <w:t>4</w:t>
      </w:r>
    </w:p>
    <w:p>
      <w:pPr>
        <w:spacing w:line="360" w:lineRule="auto"/>
        <w:jc w:val="center"/>
        <w:rPr>
          <w:rFonts w:ascii="仿宋" w:hAnsi="仿宋" w:eastAsia="仿宋" w:cs="仿宋"/>
          <w:b/>
          <w:w w:val="150"/>
          <w:sz w:val="96"/>
        </w:rPr>
      </w:pPr>
    </w:p>
    <w:p>
      <w:pPr>
        <w:spacing w:line="360" w:lineRule="auto"/>
        <w:jc w:val="center"/>
        <w:rPr>
          <w:rFonts w:ascii="仿宋" w:hAnsi="仿宋" w:eastAsia="仿宋" w:cs="仿宋"/>
          <w:b/>
          <w:w w:val="150"/>
          <w:sz w:val="96"/>
        </w:rPr>
      </w:pPr>
    </w:p>
    <w:p>
      <w:pPr>
        <w:spacing w:line="360" w:lineRule="auto"/>
        <w:jc w:val="center"/>
        <w:rPr>
          <w:rFonts w:ascii="仿宋" w:hAnsi="仿宋" w:eastAsia="仿宋" w:cs="仿宋"/>
          <w:b/>
          <w:w w:val="150"/>
          <w:sz w:val="96"/>
        </w:rPr>
      </w:pPr>
      <w:r>
        <w:rPr>
          <w:rFonts w:hint="eastAsia" w:ascii="仿宋" w:hAnsi="仿宋" w:eastAsia="仿宋" w:cs="仿宋"/>
          <w:b/>
          <w:w w:val="150"/>
          <w:sz w:val="96"/>
        </w:rPr>
        <w:t>评</w:t>
      </w:r>
    </w:p>
    <w:p>
      <w:pPr>
        <w:spacing w:line="360" w:lineRule="auto"/>
        <w:jc w:val="center"/>
        <w:rPr>
          <w:rFonts w:ascii="仿宋" w:hAnsi="仿宋" w:eastAsia="仿宋" w:cs="仿宋"/>
          <w:b/>
          <w:w w:val="150"/>
          <w:sz w:val="96"/>
        </w:rPr>
      </w:pPr>
      <w:r>
        <w:rPr>
          <w:rFonts w:hint="eastAsia" w:ascii="仿宋" w:hAnsi="仿宋" w:eastAsia="仿宋" w:cs="仿宋"/>
          <w:b/>
          <w:w w:val="150"/>
          <w:sz w:val="96"/>
        </w:rPr>
        <w:t>标</w:t>
      </w:r>
    </w:p>
    <w:p>
      <w:pPr>
        <w:spacing w:line="360" w:lineRule="auto"/>
        <w:jc w:val="center"/>
        <w:rPr>
          <w:rFonts w:ascii="仿宋" w:hAnsi="仿宋" w:eastAsia="仿宋" w:cs="仿宋"/>
          <w:b/>
          <w:w w:val="150"/>
          <w:sz w:val="96"/>
        </w:rPr>
      </w:pPr>
      <w:r>
        <w:rPr>
          <w:rFonts w:hint="eastAsia" w:ascii="仿宋" w:hAnsi="仿宋" w:eastAsia="仿宋" w:cs="仿宋"/>
          <w:b/>
          <w:w w:val="150"/>
          <w:sz w:val="96"/>
        </w:rPr>
        <w:t>文</w:t>
      </w:r>
    </w:p>
    <w:p>
      <w:pPr>
        <w:spacing w:line="360" w:lineRule="auto"/>
        <w:jc w:val="center"/>
        <w:rPr>
          <w:rFonts w:ascii="仿宋" w:hAnsi="仿宋" w:eastAsia="仿宋" w:cs="仿宋"/>
          <w:b/>
          <w:w w:val="150"/>
          <w:sz w:val="96"/>
        </w:rPr>
      </w:pPr>
      <w:r>
        <w:rPr>
          <w:rFonts w:hint="eastAsia" w:ascii="仿宋" w:hAnsi="仿宋" w:eastAsia="仿宋" w:cs="仿宋"/>
          <w:b/>
          <w:w w:val="150"/>
          <w:sz w:val="96"/>
        </w:rPr>
        <w:t>件</w:t>
      </w:r>
    </w:p>
    <w:p>
      <w:pPr>
        <w:spacing w:line="360" w:lineRule="auto"/>
        <w:jc w:val="center"/>
        <w:rPr>
          <w:rFonts w:ascii="仿宋" w:hAnsi="仿宋" w:eastAsia="仿宋" w:cs="仿宋"/>
          <w:b/>
          <w:w w:val="150"/>
          <w:sz w:val="24"/>
        </w:rPr>
      </w:pPr>
      <w:r>
        <w:rPr>
          <w:rFonts w:hint="eastAsia" w:ascii="仿宋" w:hAnsi="仿宋" w:eastAsia="仿宋" w:cs="仿宋"/>
          <w:b/>
          <w:w w:val="150"/>
          <w:sz w:val="24"/>
        </w:rPr>
        <w:t>新疆维吾尔自治区疾病预防控制中心</w:t>
      </w:r>
    </w:p>
    <w:p>
      <w:pPr>
        <w:spacing w:line="360" w:lineRule="auto"/>
        <w:jc w:val="center"/>
        <w:rPr>
          <w:rFonts w:ascii="仿宋" w:hAnsi="仿宋" w:eastAsia="仿宋" w:cs="仿宋"/>
          <w:b/>
          <w:sz w:val="36"/>
          <w:szCs w:val="36"/>
        </w:rPr>
      </w:pPr>
      <w:r>
        <w:rPr>
          <w:rFonts w:hint="eastAsia" w:ascii="仿宋" w:hAnsi="仿宋" w:eastAsia="仿宋" w:cs="仿宋"/>
          <w:b/>
          <w:sz w:val="36"/>
          <w:szCs w:val="36"/>
        </w:rPr>
        <w:t>新疆华域建设工程项目管理咨询有限公司 编制</w:t>
      </w:r>
    </w:p>
    <w:p>
      <w:pPr>
        <w:spacing w:line="360" w:lineRule="auto"/>
        <w:jc w:val="center"/>
        <w:rPr>
          <w:rFonts w:ascii="仿宋" w:hAnsi="仿宋" w:eastAsia="仿宋" w:cs="仿宋"/>
          <w:b/>
          <w:sz w:val="44"/>
        </w:rPr>
      </w:pPr>
      <w:r>
        <w:rPr>
          <w:rFonts w:hint="eastAsia" w:ascii="仿宋" w:hAnsi="仿宋" w:eastAsia="仿宋" w:cs="仿宋"/>
          <w:b/>
          <w:sz w:val="36"/>
          <w:szCs w:val="36"/>
        </w:rPr>
        <w:t>二〇二二年四月</w:t>
      </w:r>
    </w:p>
    <w:p>
      <w:pPr>
        <w:spacing w:line="360" w:lineRule="auto"/>
        <w:rPr>
          <w:rFonts w:ascii="仿宋" w:hAnsi="仿宋" w:eastAsia="仿宋" w:cs="仿宋"/>
          <w:sz w:val="24"/>
        </w:rPr>
      </w:pPr>
    </w:p>
    <w:p>
      <w:pPr>
        <w:pStyle w:val="4"/>
        <w:numPr>
          <w:ilvl w:val="0"/>
          <w:numId w:val="17"/>
        </w:numPr>
        <w:spacing w:before="0" w:after="0" w:line="360" w:lineRule="auto"/>
        <w:rPr>
          <w:rFonts w:ascii="仿宋" w:hAnsi="仿宋" w:eastAsia="仿宋" w:cs="仿宋"/>
          <w:sz w:val="28"/>
          <w:szCs w:val="28"/>
        </w:rPr>
      </w:pPr>
      <w:bookmarkStart w:id="136" w:name="_Toc130695636"/>
      <w:bookmarkStart w:id="137" w:name="_Toc271105728"/>
      <w:bookmarkStart w:id="138" w:name="_Toc130697228"/>
      <w:bookmarkStart w:id="139" w:name="_Toc245203933"/>
      <w:bookmarkStart w:id="140" w:name="_Toc272350660"/>
      <w:bookmarkStart w:id="141" w:name="_Toc279046915"/>
      <w:bookmarkStart w:id="142" w:name="_Toc191353064"/>
      <w:bookmarkStart w:id="143" w:name="_Toc130180745"/>
      <w:bookmarkStart w:id="144" w:name="_Toc2499"/>
      <w:bookmarkStart w:id="145" w:name="_Toc243923419"/>
      <w:bookmarkStart w:id="146" w:name="_Toc226966736"/>
      <w:bookmarkStart w:id="147" w:name="_Toc209258324"/>
      <w:bookmarkStart w:id="148" w:name="_Toc130180850"/>
      <w:bookmarkStart w:id="149" w:name="_Toc130180931"/>
      <w:bookmarkStart w:id="150" w:name="_Toc243743405"/>
      <w:r>
        <w:rPr>
          <w:rFonts w:hint="eastAsia" w:ascii="仿宋" w:hAnsi="仿宋" w:eastAsia="仿宋" w:cs="仿宋"/>
          <w:sz w:val="28"/>
          <w:szCs w:val="28"/>
        </w:rPr>
        <w:t>说明</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pStyle w:val="2"/>
        <w:numPr>
          <w:ilvl w:val="0"/>
          <w:numId w:val="18"/>
        </w:numPr>
        <w:spacing w:before="120" w:beforeLines="50" w:line="360" w:lineRule="auto"/>
        <w:rPr>
          <w:rFonts w:ascii="仿宋" w:hAnsi="仿宋" w:eastAsia="仿宋" w:cs="仿宋"/>
          <w:bCs w:val="0"/>
          <w:sz w:val="24"/>
        </w:rPr>
      </w:pPr>
      <w:bookmarkStart w:id="151" w:name="_Toc185747627"/>
      <w:bookmarkStart w:id="152" w:name="_Toc243923420"/>
      <w:bookmarkStart w:id="153" w:name="_Toc226966737"/>
      <w:bookmarkStart w:id="154" w:name="_Toc245203934"/>
      <w:bookmarkStart w:id="155" w:name="_Toc153615335"/>
      <w:bookmarkStart w:id="156" w:name="_Toc191353065"/>
      <w:bookmarkStart w:id="157" w:name="_Toc271105729"/>
      <w:bookmarkStart w:id="158" w:name="_Toc277758545"/>
      <w:bookmarkStart w:id="159" w:name="_Toc226521749"/>
      <w:bookmarkStart w:id="160" w:name="_Toc130697229"/>
      <w:bookmarkStart w:id="161" w:name="_Toc243743406"/>
      <w:bookmarkStart w:id="162" w:name="_Toc272350661"/>
      <w:bookmarkStart w:id="163" w:name="_Toc279046916"/>
      <w:bookmarkStart w:id="164" w:name="_Toc209258325"/>
      <w:bookmarkStart w:id="165" w:name="_Toc16983"/>
      <w:bookmarkStart w:id="166" w:name="_Toc278958209"/>
      <w:bookmarkStart w:id="167" w:name="_Toc130695637"/>
      <w:r>
        <w:rPr>
          <w:rFonts w:hint="eastAsia" w:ascii="仿宋" w:hAnsi="仿宋" w:eastAsia="仿宋" w:cs="仿宋"/>
          <w:bCs w:val="0"/>
          <w:sz w:val="24"/>
        </w:rPr>
        <w:t>概述</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spacing w:line="360" w:lineRule="auto"/>
        <w:ind w:firstLine="480" w:firstLineChars="200"/>
        <w:rPr>
          <w:rFonts w:ascii="仿宋" w:hAnsi="仿宋" w:eastAsia="仿宋" w:cs="仿宋"/>
          <w:bCs/>
          <w:sz w:val="24"/>
        </w:rPr>
      </w:pPr>
      <w:r>
        <w:rPr>
          <w:rFonts w:hint="eastAsia" w:ascii="仿宋" w:hAnsi="仿宋" w:eastAsia="仿宋" w:cs="仿宋"/>
          <w:bCs/>
          <w:sz w:val="24"/>
        </w:rPr>
        <w:t>评标工作应依据《中华人民共和国政府采购法》以及《评标委员会和评标方法暂行规定》和地方政府关于政府采购的有关规定，遵循“公平、公正、科学、择优”的原则。结合本项目的技术和商务需求，由新疆华域建设工程项目管理咨询有限公司 制定本评标文件，并经评标委员会确认。内容包括本次评标的评审过程和方法。</w:t>
      </w:r>
    </w:p>
    <w:p>
      <w:pPr>
        <w:pStyle w:val="2"/>
        <w:numPr>
          <w:ilvl w:val="0"/>
          <w:numId w:val="18"/>
        </w:numPr>
        <w:spacing w:before="120" w:beforeLines="50" w:line="360" w:lineRule="auto"/>
        <w:rPr>
          <w:rFonts w:ascii="仿宋" w:hAnsi="仿宋" w:eastAsia="仿宋" w:cs="仿宋"/>
          <w:bCs w:val="0"/>
          <w:sz w:val="24"/>
        </w:rPr>
      </w:pPr>
      <w:bookmarkStart w:id="168" w:name="_Toc226521750"/>
      <w:bookmarkStart w:id="169" w:name="_Toc243743407"/>
      <w:bookmarkStart w:id="170" w:name="_Toc245203935"/>
      <w:bookmarkStart w:id="171" w:name="_Toc153615336"/>
      <w:bookmarkStart w:id="172" w:name="_Toc226966738"/>
      <w:bookmarkStart w:id="173" w:name="_Toc23918"/>
      <w:bookmarkStart w:id="174" w:name="_Toc277758546"/>
      <w:bookmarkStart w:id="175" w:name="_Toc130695638"/>
      <w:bookmarkStart w:id="176" w:name="_Toc271105730"/>
      <w:bookmarkStart w:id="177" w:name="_Toc209258326"/>
      <w:bookmarkStart w:id="178" w:name="_Toc191353066"/>
      <w:bookmarkStart w:id="179" w:name="_Toc272350662"/>
      <w:bookmarkStart w:id="180" w:name="_Toc243923421"/>
      <w:bookmarkStart w:id="181" w:name="_Toc279046917"/>
      <w:bookmarkStart w:id="182" w:name="_Toc130697230"/>
      <w:bookmarkStart w:id="183" w:name="_Toc278958210"/>
      <w:bookmarkStart w:id="184" w:name="_Toc185747628"/>
      <w:r>
        <w:rPr>
          <w:rFonts w:hint="eastAsia" w:ascii="仿宋" w:hAnsi="仿宋" w:eastAsia="仿宋" w:cs="仿宋"/>
          <w:bCs w:val="0"/>
          <w:sz w:val="24"/>
        </w:rPr>
        <w:t>定义</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numPr>
          <w:ilvl w:val="0"/>
          <w:numId w:val="19"/>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“采购人”系指依法进行政府采购的国家机关、事业单位、团体组织，本项目的采购人是新疆维吾尔自治区疾病预防控制中心。</w:t>
      </w:r>
    </w:p>
    <w:p>
      <w:pPr>
        <w:numPr>
          <w:ilvl w:val="0"/>
          <w:numId w:val="19"/>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“业主/用户”系指本采购项目的最终使用单位，本项目的业主/用户是新疆维吾尔自治区疾病预防控制中心。</w:t>
      </w:r>
    </w:p>
    <w:p>
      <w:pPr>
        <w:numPr>
          <w:ilvl w:val="0"/>
          <w:numId w:val="19"/>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“招标代理机构”系指新疆华域建设工程项目管理咨询有限公司 。</w:t>
      </w:r>
    </w:p>
    <w:p>
      <w:pPr>
        <w:numPr>
          <w:ilvl w:val="0"/>
          <w:numId w:val="19"/>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“投标人”系指向招标代理机构提交投标文件的合格供应商。</w:t>
      </w:r>
    </w:p>
    <w:p>
      <w:pPr>
        <w:numPr>
          <w:ilvl w:val="0"/>
          <w:numId w:val="19"/>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“中标人”系指经评标委员会评审推荐、采购人确认的获得本项目中标资格的投标人。</w:t>
      </w:r>
    </w:p>
    <w:p>
      <w:pPr>
        <w:numPr>
          <w:ilvl w:val="0"/>
          <w:numId w:val="19"/>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“实质性响应”系指符合招标文件的所有要求、条款、条件和规定，且没有不利于项目实施质量效果和服务保障的重大偏离或保留。</w:t>
      </w:r>
    </w:p>
    <w:p>
      <w:pPr>
        <w:numPr>
          <w:ilvl w:val="0"/>
          <w:numId w:val="19"/>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“重大偏离或保留”系指影响到招标文件规定的范围、质量和性能或限制了采购人的权力和投标人义务的规定，而纠正这些偏离将影响到其它投标人的公平竞争地位。</w:t>
      </w:r>
    </w:p>
    <w:p>
      <w:pPr>
        <w:pStyle w:val="2"/>
        <w:numPr>
          <w:ilvl w:val="0"/>
          <w:numId w:val="18"/>
        </w:numPr>
        <w:spacing w:before="120" w:beforeLines="50" w:line="360" w:lineRule="auto"/>
        <w:rPr>
          <w:rFonts w:ascii="仿宋" w:hAnsi="仿宋" w:eastAsia="仿宋" w:cs="仿宋"/>
          <w:bCs w:val="0"/>
          <w:sz w:val="24"/>
        </w:rPr>
      </w:pPr>
      <w:bookmarkStart w:id="185" w:name="_Toc191353067"/>
      <w:bookmarkStart w:id="186" w:name="_Toc271105731"/>
      <w:bookmarkStart w:id="187" w:name="_Toc245203936"/>
      <w:bookmarkStart w:id="188" w:name="_Toc185747629"/>
      <w:bookmarkStart w:id="189" w:name="_Toc226966739"/>
      <w:bookmarkStart w:id="190" w:name="_Toc243743408"/>
      <w:bookmarkStart w:id="191" w:name="_Toc153615337"/>
      <w:bookmarkStart w:id="192" w:name="_Toc226521751"/>
      <w:bookmarkStart w:id="193" w:name="_Toc209258327"/>
      <w:bookmarkStart w:id="194" w:name="_Toc277758547"/>
      <w:bookmarkStart w:id="195" w:name="_Toc22182"/>
      <w:bookmarkStart w:id="196" w:name="_Toc279046918"/>
      <w:bookmarkStart w:id="197" w:name="_Toc130697231"/>
      <w:bookmarkStart w:id="198" w:name="_Toc130695639"/>
      <w:bookmarkStart w:id="199" w:name="_Toc278958211"/>
      <w:bookmarkStart w:id="200" w:name="_Toc272350663"/>
      <w:bookmarkStart w:id="201" w:name="_Toc243923422"/>
      <w:r>
        <w:rPr>
          <w:rFonts w:hint="eastAsia" w:ascii="仿宋" w:hAnsi="仿宋" w:eastAsia="仿宋" w:cs="仿宋"/>
          <w:bCs w:val="0"/>
          <w:sz w:val="24"/>
        </w:rPr>
        <w:t>评标委员会组成</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pStyle w:val="11"/>
        <w:spacing w:line="360" w:lineRule="auto"/>
        <w:rPr>
          <w:rFonts w:ascii="仿宋" w:hAnsi="仿宋" w:eastAsia="仿宋" w:cs="仿宋"/>
          <w:sz w:val="24"/>
        </w:rPr>
      </w:pPr>
      <w:r>
        <w:rPr>
          <w:rFonts w:hint="eastAsia" w:ascii="仿宋" w:hAnsi="仿宋" w:eastAsia="仿宋" w:cs="仿宋"/>
          <w:sz w:val="24"/>
        </w:rPr>
        <w:t>全部评标过程由依法组建的评标委员会负责完成，</w:t>
      </w:r>
      <w:r>
        <w:rPr>
          <w:rFonts w:hint="eastAsia" w:ascii="仿宋" w:hAnsi="仿宋" w:eastAsia="仿宋" w:cs="仿宋"/>
          <w:bCs/>
          <w:sz w:val="24"/>
        </w:rPr>
        <w:t>评标委员会由5</w:t>
      </w:r>
      <w:r>
        <w:rPr>
          <w:rFonts w:hint="eastAsia" w:ascii="仿宋" w:hAnsi="仿宋" w:eastAsia="仿宋" w:cs="仿宋"/>
          <w:b/>
          <w:bCs/>
          <w:sz w:val="24"/>
          <w:u w:val="single"/>
        </w:rPr>
        <w:t>人</w:t>
      </w:r>
      <w:r>
        <w:rPr>
          <w:rFonts w:hint="eastAsia" w:ascii="仿宋" w:hAnsi="仿宋" w:eastAsia="仿宋" w:cs="仿宋"/>
          <w:bCs/>
          <w:sz w:val="24"/>
        </w:rPr>
        <w:t>组成，其中采购人代表</w:t>
      </w:r>
      <w:r>
        <w:rPr>
          <w:rFonts w:hint="eastAsia" w:ascii="仿宋" w:hAnsi="仿宋" w:eastAsia="仿宋" w:cs="仿宋"/>
          <w:b/>
          <w:bCs/>
          <w:sz w:val="24"/>
          <w:u w:val="single"/>
        </w:rPr>
        <w:t>1名</w:t>
      </w:r>
      <w:r>
        <w:rPr>
          <w:rFonts w:hint="eastAsia" w:ascii="仿宋" w:hAnsi="仿宋" w:eastAsia="仿宋" w:cs="仿宋"/>
          <w:bCs/>
          <w:sz w:val="24"/>
        </w:rPr>
        <w:t>，其余</w:t>
      </w:r>
      <w:r>
        <w:rPr>
          <w:rFonts w:hint="eastAsia" w:ascii="仿宋" w:hAnsi="仿宋" w:eastAsia="仿宋" w:cs="仿宋"/>
          <w:b/>
          <w:bCs/>
          <w:sz w:val="24"/>
          <w:u w:val="single"/>
        </w:rPr>
        <w:t>4名</w:t>
      </w:r>
      <w:r>
        <w:rPr>
          <w:rFonts w:hint="eastAsia" w:ascii="仿宋" w:hAnsi="仿宋" w:eastAsia="仿宋" w:cs="仿宋"/>
          <w:bCs/>
          <w:sz w:val="24"/>
        </w:rPr>
        <w:t>均从</w:t>
      </w:r>
      <w:r>
        <w:rPr>
          <w:rFonts w:hint="eastAsia" w:ascii="仿宋" w:hAnsi="仿宋" w:eastAsia="仿宋" w:cs="仿宋"/>
          <w:b/>
          <w:sz w:val="24"/>
        </w:rPr>
        <w:t>政府采购专家库</w:t>
      </w:r>
      <w:r>
        <w:rPr>
          <w:rFonts w:hint="eastAsia" w:ascii="仿宋" w:hAnsi="仿宋" w:eastAsia="仿宋" w:cs="仿宋"/>
          <w:bCs/>
          <w:sz w:val="24"/>
        </w:rPr>
        <w:t>中随机抽取产生。</w:t>
      </w:r>
      <w:r>
        <w:rPr>
          <w:rFonts w:hint="eastAsia" w:ascii="仿宋" w:hAnsi="仿宋" w:eastAsia="仿宋" w:cs="仿宋"/>
          <w:sz w:val="24"/>
        </w:rPr>
        <w:t>评标委员会下设评标工作小组，主要由招标代理机构工作人员组成，负责整理投标文件、统计评分等工作。</w:t>
      </w:r>
    </w:p>
    <w:p>
      <w:pPr>
        <w:pStyle w:val="4"/>
        <w:numPr>
          <w:ilvl w:val="0"/>
          <w:numId w:val="17"/>
        </w:numPr>
        <w:spacing w:before="0" w:after="0" w:line="360" w:lineRule="auto"/>
        <w:rPr>
          <w:rFonts w:ascii="仿宋" w:hAnsi="仿宋" w:eastAsia="仿宋" w:cs="仿宋"/>
          <w:sz w:val="28"/>
          <w:szCs w:val="28"/>
        </w:rPr>
      </w:pPr>
      <w:bookmarkStart w:id="202" w:name="_Toc130180932"/>
      <w:bookmarkStart w:id="203" w:name="_Toc130697232"/>
      <w:bookmarkStart w:id="204" w:name="_Toc130180746"/>
      <w:bookmarkStart w:id="205" w:name="_Toc245203937"/>
      <w:bookmarkStart w:id="206" w:name="_Toc272350664"/>
      <w:bookmarkStart w:id="207" w:name="_Toc186"/>
      <w:bookmarkStart w:id="208" w:name="_Toc243743409"/>
      <w:bookmarkStart w:id="209" w:name="_Toc271105732"/>
      <w:bookmarkStart w:id="210" w:name="_Toc191353068"/>
      <w:bookmarkStart w:id="211" w:name="_Toc209258328"/>
      <w:bookmarkStart w:id="212" w:name="_Toc226966740"/>
      <w:bookmarkStart w:id="213" w:name="_Toc130180851"/>
      <w:bookmarkStart w:id="214" w:name="_Toc243923423"/>
      <w:bookmarkStart w:id="215" w:name="_Toc279046919"/>
      <w:bookmarkStart w:id="216" w:name="_Toc130695640"/>
      <w:r>
        <w:rPr>
          <w:rFonts w:hint="eastAsia" w:ascii="仿宋" w:hAnsi="仿宋" w:eastAsia="仿宋" w:cs="仿宋"/>
          <w:sz w:val="28"/>
          <w:szCs w:val="28"/>
        </w:rPr>
        <w:t>评标须知</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pStyle w:val="2"/>
        <w:numPr>
          <w:ilvl w:val="0"/>
          <w:numId w:val="20"/>
        </w:numPr>
        <w:spacing w:before="120" w:beforeLines="50" w:line="360" w:lineRule="auto"/>
        <w:ind w:left="357" w:hanging="357"/>
        <w:rPr>
          <w:rFonts w:ascii="仿宋" w:hAnsi="仿宋" w:eastAsia="仿宋" w:cs="仿宋"/>
          <w:bCs w:val="0"/>
          <w:sz w:val="24"/>
        </w:rPr>
      </w:pPr>
      <w:bookmarkStart w:id="217" w:name="_Toc271105733"/>
      <w:bookmarkStart w:id="218" w:name="_Toc153615339"/>
      <w:bookmarkStart w:id="219" w:name="_Toc245203938"/>
      <w:bookmarkStart w:id="220" w:name="_Toc278958213"/>
      <w:bookmarkStart w:id="221" w:name="_Toc226966741"/>
      <w:bookmarkStart w:id="222" w:name="_Toc243923424"/>
      <w:bookmarkStart w:id="223" w:name="_Toc8628"/>
      <w:bookmarkStart w:id="224" w:name="_Toc209258329"/>
      <w:bookmarkStart w:id="225" w:name="_Toc191353069"/>
      <w:bookmarkStart w:id="226" w:name="_Toc130697233"/>
      <w:bookmarkStart w:id="227" w:name="_Toc277758549"/>
      <w:bookmarkStart w:id="228" w:name="_Toc226521753"/>
      <w:bookmarkStart w:id="229" w:name="_Toc243743410"/>
      <w:bookmarkStart w:id="230" w:name="_Toc130695641"/>
      <w:bookmarkStart w:id="231" w:name="_Toc279046920"/>
      <w:bookmarkStart w:id="232" w:name="_Toc185747631"/>
      <w:bookmarkStart w:id="233" w:name="_Toc272350665"/>
      <w:r>
        <w:rPr>
          <w:rFonts w:hint="eastAsia" w:ascii="仿宋" w:hAnsi="仿宋" w:eastAsia="仿宋" w:cs="仿宋"/>
          <w:bCs w:val="0"/>
          <w:sz w:val="24"/>
        </w:rPr>
        <w:t>关于评标方案</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numPr>
          <w:ilvl w:val="0"/>
          <w:numId w:val="21"/>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评标委员会的每位成员（简称评委，下同）应认真地阅读并确认已经正确理解了评标方案；</w:t>
      </w:r>
    </w:p>
    <w:p>
      <w:pPr>
        <w:numPr>
          <w:ilvl w:val="0"/>
          <w:numId w:val="21"/>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评委如对评标方案有异议，应在评标开始前提出。</w:t>
      </w:r>
    </w:p>
    <w:p>
      <w:pPr>
        <w:pStyle w:val="2"/>
        <w:numPr>
          <w:ilvl w:val="0"/>
          <w:numId w:val="20"/>
        </w:numPr>
        <w:spacing w:before="120" w:beforeLines="50" w:line="360" w:lineRule="auto"/>
        <w:ind w:left="357" w:hanging="357"/>
        <w:rPr>
          <w:rFonts w:ascii="仿宋" w:hAnsi="仿宋" w:eastAsia="仿宋" w:cs="仿宋"/>
          <w:bCs w:val="0"/>
          <w:sz w:val="24"/>
        </w:rPr>
      </w:pPr>
      <w:bookmarkStart w:id="234" w:name="_Toc245203939"/>
      <w:bookmarkStart w:id="235" w:name="_Toc243923425"/>
      <w:bookmarkStart w:id="236" w:name="_Toc226966742"/>
      <w:bookmarkStart w:id="237" w:name="_Toc191353070"/>
      <w:bookmarkStart w:id="238" w:name="_Toc185747632"/>
      <w:bookmarkStart w:id="239" w:name="_Toc272350666"/>
      <w:bookmarkStart w:id="240" w:name="_Toc243743411"/>
      <w:bookmarkStart w:id="241" w:name="_Toc277758550"/>
      <w:bookmarkStart w:id="242" w:name="_Toc279046921"/>
      <w:bookmarkStart w:id="243" w:name="_Toc271105734"/>
      <w:bookmarkStart w:id="244" w:name="_Toc278958214"/>
      <w:bookmarkStart w:id="245" w:name="_Toc130697234"/>
      <w:bookmarkStart w:id="246" w:name="_Toc226521754"/>
      <w:bookmarkStart w:id="247" w:name="_Toc130695642"/>
      <w:bookmarkStart w:id="248" w:name="_Toc32719"/>
      <w:bookmarkStart w:id="249" w:name="_Toc209258330"/>
      <w:bookmarkStart w:id="250" w:name="_Toc153615340"/>
      <w:r>
        <w:rPr>
          <w:rFonts w:hint="eastAsia" w:ascii="仿宋" w:hAnsi="仿宋" w:eastAsia="仿宋" w:cs="仿宋"/>
          <w:bCs w:val="0"/>
          <w:sz w:val="24"/>
        </w:rPr>
        <w:t>关于评标纪律</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pPr>
        <w:numPr>
          <w:ilvl w:val="0"/>
          <w:numId w:val="22"/>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评标委员会成员不得与任何投标人或者与招标结果有利害关系的人进行私下接触，不得收受投标人、中介人、其他利害关系人的财物或者其他好处；</w:t>
      </w:r>
    </w:p>
    <w:p>
      <w:pPr>
        <w:numPr>
          <w:ilvl w:val="0"/>
          <w:numId w:val="22"/>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评委应本着客观、公正的原则独立给出评价意见；</w:t>
      </w:r>
    </w:p>
    <w:p>
      <w:pPr>
        <w:numPr>
          <w:ilvl w:val="0"/>
          <w:numId w:val="22"/>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评委之间不得相互串通进行评分；</w:t>
      </w:r>
    </w:p>
    <w:p>
      <w:pPr>
        <w:numPr>
          <w:ilvl w:val="0"/>
          <w:numId w:val="22"/>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评委不得试图影响其他评委的评价意见；</w:t>
      </w:r>
    </w:p>
    <w:p>
      <w:pPr>
        <w:numPr>
          <w:ilvl w:val="0"/>
          <w:numId w:val="22"/>
        </w:numPr>
        <w:tabs>
          <w:tab w:val="left" w:pos="1050"/>
        </w:tabs>
        <w:spacing w:line="360" w:lineRule="auto"/>
        <w:ind w:left="1050" w:hanging="630"/>
        <w:rPr>
          <w:rFonts w:ascii="仿宋" w:hAnsi="仿宋" w:eastAsia="仿宋" w:cs="仿宋"/>
          <w:bCs/>
          <w:sz w:val="24"/>
        </w:rPr>
      </w:pPr>
      <w:r>
        <w:rPr>
          <w:rFonts w:hint="eastAsia" w:ascii="仿宋" w:hAnsi="仿宋" w:eastAsia="仿宋" w:cs="仿宋"/>
          <w:bCs/>
          <w:sz w:val="24"/>
        </w:rPr>
        <w:t>评委应关闭通讯工具或设置为振动状态，并统一交由工作人员保管。</w:t>
      </w:r>
    </w:p>
    <w:p>
      <w:pPr>
        <w:pStyle w:val="2"/>
        <w:numPr>
          <w:ilvl w:val="0"/>
          <w:numId w:val="20"/>
        </w:numPr>
        <w:spacing w:before="120" w:beforeLines="50" w:line="360" w:lineRule="auto"/>
        <w:ind w:left="357" w:hanging="357"/>
        <w:rPr>
          <w:rFonts w:ascii="仿宋" w:hAnsi="仿宋" w:eastAsia="仿宋" w:cs="仿宋"/>
          <w:bCs w:val="0"/>
          <w:sz w:val="24"/>
        </w:rPr>
      </w:pPr>
      <w:bookmarkStart w:id="251" w:name="_Toc153615341"/>
      <w:bookmarkStart w:id="252" w:name="_Toc226966743"/>
      <w:bookmarkStart w:id="253" w:name="_Toc277758551"/>
      <w:bookmarkStart w:id="254" w:name="_Toc130695643"/>
      <w:bookmarkStart w:id="255" w:name="_Toc272350667"/>
      <w:bookmarkStart w:id="256" w:name="_Toc245203940"/>
      <w:bookmarkStart w:id="257" w:name="_Toc185747633"/>
      <w:bookmarkStart w:id="258" w:name="_Toc243743412"/>
      <w:bookmarkStart w:id="259" w:name="_Toc279046922"/>
      <w:bookmarkStart w:id="260" w:name="_Toc209258331"/>
      <w:bookmarkStart w:id="261" w:name="_Toc243923426"/>
      <w:bookmarkStart w:id="262" w:name="_Toc130697235"/>
      <w:bookmarkStart w:id="263" w:name="_Toc278958215"/>
      <w:bookmarkStart w:id="264" w:name="_Toc271105735"/>
      <w:bookmarkStart w:id="265" w:name="_Toc191353071"/>
      <w:bookmarkStart w:id="266" w:name="_Toc1622"/>
      <w:bookmarkStart w:id="267" w:name="_Toc226521755"/>
      <w:r>
        <w:rPr>
          <w:rFonts w:hint="eastAsia" w:ascii="仿宋" w:hAnsi="仿宋" w:eastAsia="仿宋" w:cs="仿宋"/>
          <w:bCs w:val="0"/>
          <w:sz w:val="24"/>
        </w:rPr>
        <w:t>关于评标责任</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numPr>
          <w:ilvl w:val="0"/>
          <w:numId w:val="23"/>
        </w:numPr>
        <w:tabs>
          <w:tab w:val="left" w:pos="1050"/>
        </w:tabs>
        <w:spacing w:line="360" w:lineRule="auto"/>
        <w:ind w:hanging="300"/>
        <w:rPr>
          <w:rFonts w:ascii="仿宋" w:hAnsi="仿宋" w:eastAsia="仿宋" w:cs="仿宋"/>
          <w:bCs/>
          <w:sz w:val="24"/>
        </w:rPr>
      </w:pPr>
      <w:r>
        <w:rPr>
          <w:rFonts w:hint="eastAsia" w:ascii="仿宋" w:hAnsi="仿宋" w:eastAsia="仿宋" w:cs="仿宋"/>
          <w:bCs/>
          <w:sz w:val="24"/>
        </w:rPr>
        <w:t>评委应在其书面评审意见上签字确认；</w:t>
      </w:r>
    </w:p>
    <w:p>
      <w:pPr>
        <w:numPr>
          <w:ilvl w:val="0"/>
          <w:numId w:val="23"/>
        </w:numPr>
        <w:tabs>
          <w:tab w:val="left" w:pos="1050"/>
        </w:tabs>
        <w:spacing w:line="360" w:lineRule="auto"/>
        <w:ind w:hanging="300"/>
        <w:rPr>
          <w:rFonts w:ascii="仿宋" w:hAnsi="仿宋" w:eastAsia="仿宋" w:cs="仿宋"/>
          <w:bCs/>
          <w:sz w:val="24"/>
        </w:rPr>
      </w:pPr>
      <w:r>
        <w:rPr>
          <w:rFonts w:hint="eastAsia" w:ascii="仿宋" w:hAnsi="仿宋" w:eastAsia="仿宋" w:cs="仿宋"/>
          <w:bCs/>
          <w:sz w:val="24"/>
        </w:rPr>
        <w:t>评委对其所提出的评审意见承担个人责任。</w:t>
      </w:r>
    </w:p>
    <w:p>
      <w:pPr>
        <w:pStyle w:val="2"/>
        <w:numPr>
          <w:ilvl w:val="0"/>
          <w:numId w:val="20"/>
        </w:numPr>
        <w:spacing w:before="120" w:beforeLines="50" w:line="360" w:lineRule="auto"/>
        <w:ind w:left="357" w:hanging="357"/>
        <w:rPr>
          <w:rFonts w:ascii="仿宋" w:hAnsi="仿宋" w:eastAsia="仿宋" w:cs="仿宋"/>
          <w:bCs w:val="0"/>
          <w:sz w:val="24"/>
        </w:rPr>
      </w:pPr>
      <w:bookmarkStart w:id="268" w:name="_Toc130697236"/>
      <w:bookmarkStart w:id="269" w:name="_Toc185747634"/>
      <w:bookmarkStart w:id="270" w:name="_Toc272350668"/>
      <w:bookmarkStart w:id="271" w:name="_Toc153615342"/>
      <w:bookmarkStart w:id="272" w:name="_Toc9324"/>
      <w:bookmarkStart w:id="273" w:name="_Toc277758552"/>
      <w:bookmarkStart w:id="274" w:name="_Toc278958216"/>
      <w:bookmarkStart w:id="275" w:name="_Toc271105736"/>
      <w:bookmarkStart w:id="276" w:name="_Toc245203941"/>
      <w:bookmarkStart w:id="277" w:name="_Toc243743413"/>
      <w:bookmarkStart w:id="278" w:name="_Toc279046923"/>
      <w:bookmarkStart w:id="279" w:name="_Toc243923427"/>
      <w:bookmarkStart w:id="280" w:name="_Toc191353072"/>
      <w:bookmarkStart w:id="281" w:name="_Toc209258332"/>
      <w:bookmarkStart w:id="282" w:name="_Toc130695644"/>
      <w:bookmarkStart w:id="283" w:name="_Toc226521756"/>
      <w:bookmarkStart w:id="284" w:name="_Toc226966744"/>
      <w:r>
        <w:rPr>
          <w:rFonts w:hint="eastAsia" w:ascii="仿宋" w:hAnsi="仿宋" w:eastAsia="仿宋" w:cs="仿宋"/>
          <w:bCs w:val="0"/>
          <w:sz w:val="24"/>
        </w:rPr>
        <w:t>关于回避</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spacing w:line="360" w:lineRule="auto"/>
        <w:ind w:firstLine="480" w:firstLineChars="200"/>
        <w:rPr>
          <w:rFonts w:ascii="仿宋" w:hAnsi="仿宋" w:eastAsia="仿宋" w:cs="仿宋"/>
          <w:bCs/>
          <w:sz w:val="24"/>
        </w:rPr>
      </w:pPr>
      <w:r>
        <w:rPr>
          <w:rFonts w:hint="eastAsia" w:ascii="仿宋" w:hAnsi="仿宋" w:eastAsia="仿宋" w:cs="仿宋"/>
          <w:bCs/>
          <w:sz w:val="24"/>
        </w:rPr>
        <w:t>有下列情形之一的，不得担任评标委员会成员，如事先不知情的，应在宣读投标人名单及评标纪律后主动提出回避：</w:t>
      </w:r>
    </w:p>
    <w:p>
      <w:pPr>
        <w:numPr>
          <w:ilvl w:val="0"/>
          <w:numId w:val="24"/>
        </w:numPr>
        <w:tabs>
          <w:tab w:val="left" w:pos="945"/>
          <w:tab w:val="clear" w:pos="720"/>
        </w:tabs>
        <w:spacing w:line="360" w:lineRule="auto"/>
        <w:ind w:left="1050" w:hanging="630"/>
        <w:rPr>
          <w:rFonts w:ascii="仿宋" w:hAnsi="仿宋" w:eastAsia="仿宋" w:cs="仿宋"/>
          <w:bCs/>
          <w:sz w:val="24"/>
        </w:rPr>
      </w:pPr>
      <w:r>
        <w:rPr>
          <w:rFonts w:hint="eastAsia" w:ascii="仿宋" w:hAnsi="仿宋" w:eastAsia="仿宋" w:cs="仿宋"/>
          <w:bCs/>
          <w:sz w:val="24"/>
        </w:rPr>
        <w:t>是投标人或者投标人主要负责人的近亲属；</w:t>
      </w:r>
    </w:p>
    <w:p>
      <w:pPr>
        <w:numPr>
          <w:ilvl w:val="0"/>
          <w:numId w:val="24"/>
        </w:numPr>
        <w:tabs>
          <w:tab w:val="left" w:pos="945"/>
          <w:tab w:val="left" w:pos="1050"/>
          <w:tab w:val="clear" w:pos="720"/>
        </w:tabs>
        <w:spacing w:line="360" w:lineRule="auto"/>
        <w:ind w:left="1050" w:hanging="630"/>
        <w:rPr>
          <w:rFonts w:ascii="仿宋" w:hAnsi="仿宋" w:eastAsia="仿宋" w:cs="仿宋"/>
          <w:bCs/>
          <w:sz w:val="24"/>
        </w:rPr>
      </w:pPr>
      <w:r>
        <w:rPr>
          <w:rFonts w:hint="eastAsia" w:ascii="仿宋" w:hAnsi="仿宋" w:eastAsia="仿宋" w:cs="仿宋"/>
          <w:bCs/>
          <w:sz w:val="24"/>
        </w:rPr>
        <w:t>是投标项目的上级单位人员；</w:t>
      </w:r>
    </w:p>
    <w:p>
      <w:pPr>
        <w:numPr>
          <w:ilvl w:val="0"/>
          <w:numId w:val="24"/>
        </w:numPr>
        <w:tabs>
          <w:tab w:val="left" w:pos="945"/>
          <w:tab w:val="left" w:pos="1050"/>
          <w:tab w:val="clear" w:pos="720"/>
        </w:tabs>
        <w:spacing w:line="360" w:lineRule="auto"/>
        <w:ind w:left="1050" w:hanging="630"/>
        <w:rPr>
          <w:rFonts w:ascii="仿宋" w:hAnsi="仿宋" w:eastAsia="仿宋" w:cs="仿宋"/>
          <w:bCs/>
          <w:sz w:val="24"/>
        </w:rPr>
      </w:pPr>
      <w:r>
        <w:rPr>
          <w:rFonts w:hint="eastAsia" w:ascii="仿宋" w:hAnsi="仿宋" w:eastAsia="仿宋" w:cs="仿宋"/>
          <w:bCs/>
          <w:sz w:val="24"/>
        </w:rPr>
        <w:t>是某投标人的项目主管部门或是某投标人的行政监督部门的人员；</w:t>
      </w:r>
    </w:p>
    <w:p>
      <w:pPr>
        <w:numPr>
          <w:ilvl w:val="0"/>
          <w:numId w:val="24"/>
        </w:numPr>
        <w:tabs>
          <w:tab w:val="left" w:pos="945"/>
          <w:tab w:val="left" w:pos="1050"/>
          <w:tab w:val="clear" w:pos="720"/>
        </w:tabs>
        <w:spacing w:line="360" w:lineRule="auto"/>
        <w:ind w:left="1050" w:hanging="630"/>
        <w:rPr>
          <w:rFonts w:ascii="仿宋" w:hAnsi="仿宋" w:eastAsia="仿宋" w:cs="仿宋"/>
          <w:bCs/>
          <w:sz w:val="24"/>
        </w:rPr>
      </w:pPr>
      <w:r>
        <w:rPr>
          <w:rFonts w:hint="eastAsia" w:ascii="仿宋" w:hAnsi="仿宋" w:eastAsia="仿宋" w:cs="仿宋"/>
          <w:bCs/>
          <w:sz w:val="24"/>
        </w:rPr>
        <w:t>与投标人有经济利益关系，可能影响对投标公正评审的；</w:t>
      </w:r>
    </w:p>
    <w:p>
      <w:pPr>
        <w:numPr>
          <w:ilvl w:val="0"/>
          <w:numId w:val="24"/>
        </w:numPr>
        <w:tabs>
          <w:tab w:val="left" w:pos="945"/>
          <w:tab w:val="left" w:pos="1050"/>
          <w:tab w:val="clear" w:pos="720"/>
        </w:tabs>
        <w:spacing w:line="360" w:lineRule="auto"/>
        <w:ind w:left="1050" w:hanging="630"/>
        <w:rPr>
          <w:rFonts w:ascii="仿宋" w:hAnsi="仿宋" w:eastAsia="仿宋" w:cs="仿宋"/>
          <w:bCs/>
          <w:sz w:val="24"/>
        </w:rPr>
      </w:pPr>
      <w:r>
        <w:rPr>
          <w:rFonts w:hint="eastAsia" w:ascii="仿宋" w:hAnsi="仿宋" w:eastAsia="仿宋" w:cs="仿宋"/>
          <w:bCs/>
          <w:sz w:val="24"/>
        </w:rPr>
        <w:t>曾因在招标、评标以及其他与招标投标有关活动中从事违法行为而受过行政处罚或刑事处罚的。</w:t>
      </w:r>
    </w:p>
    <w:p>
      <w:pPr>
        <w:pStyle w:val="2"/>
        <w:numPr>
          <w:ilvl w:val="0"/>
          <w:numId w:val="20"/>
        </w:numPr>
        <w:spacing w:before="120" w:beforeLines="50" w:line="360" w:lineRule="auto"/>
        <w:ind w:left="357" w:hanging="357"/>
        <w:rPr>
          <w:rFonts w:ascii="仿宋" w:hAnsi="仿宋" w:eastAsia="仿宋" w:cs="仿宋"/>
          <w:bCs w:val="0"/>
          <w:sz w:val="24"/>
        </w:rPr>
      </w:pPr>
      <w:bookmarkStart w:id="285" w:name="_Toc226521757"/>
      <w:bookmarkStart w:id="286" w:name="_Toc14492"/>
      <w:bookmarkStart w:id="287" w:name="_Toc272350669"/>
      <w:bookmarkStart w:id="288" w:name="_Toc209258333"/>
      <w:bookmarkStart w:id="289" w:name="_Toc191353073"/>
      <w:bookmarkStart w:id="290" w:name="_Toc245203942"/>
      <w:bookmarkStart w:id="291" w:name="_Toc279046924"/>
      <w:bookmarkStart w:id="292" w:name="_Toc243743414"/>
      <w:bookmarkStart w:id="293" w:name="_Toc226966745"/>
      <w:bookmarkStart w:id="294" w:name="_Toc277758553"/>
      <w:bookmarkStart w:id="295" w:name="_Toc185747635"/>
      <w:bookmarkStart w:id="296" w:name="_Toc130695645"/>
      <w:bookmarkStart w:id="297" w:name="_Toc278958217"/>
      <w:bookmarkStart w:id="298" w:name="_Toc130697237"/>
      <w:bookmarkStart w:id="299" w:name="_Toc271105737"/>
      <w:bookmarkStart w:id="300" w:name="_Toc243923428"/>
      <w:bookmarkStart w:id="301" w:name="_Toc153615343"/>
      <w:r>
        <w:rPr>
          <w:rFonts w:hint="eastAsia" w:ascii="仿宋" w:hAnsi="仿宋" w:eastAsia="仿宋" w:cs="仿宋"/>
          <w:bCs w:val="0"/>
          <w:sz w:val="24"/>
        </w:rPr>
        <w:t>关于保密</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pPr>
        <w:spacing w:line="360" w:lineRule="auto"/>
        <w:ind w:firstLine="480" w:firstLineChars="200"/>
        <w:rPr>
          <w:rFonts w:ascii="仿宋" w:hAnsi="仿宋" w:eastAsia="仿宋" w:cs="仿宋"/>
          <w:bCs/>
          <w:sz w:val="24"/>
        </w:rPr>
      </w:pPr>
      <w:r>
        <w:rPr>
          <w:rFonts w:hint="eastAsia" w:ascii="仿宋" w:hAnsi="仿宋" w:eastAsia="仿宋" w:cs="仿宋"/>
          <w:bCs/>
          <w:sz w:val="24"/>
        </w:rPr>
        <w:t>评标委员会成员和与评标活动有关的工作人员不得透露对投标文件的评审和比较、中标候选人的推荐情况以及评标有关的其他情况。</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前款所称与评标活动有关的工作人员，是指评标委员会成员以外的因参与评标监督工作或者事务性工作而知悉有关评标情况的所有人员。</w:t>
      </w:r>
    </w:p>
    <w:p>
      <w:pPr>
        <w:pStyle w:val="4"/>
        <w:numPr>
          <w:ilvl w:val="0"/>
          <w:numId w:val="17"/>
        </w:numPr>
        <w:spacing w:before="0" w:after="0" w:line="360" w:lineRule="auto"/>
        <w:rPr>
          <w:rFonts w:ascii="仿宋" w:hAnsi="仿宋" w:eastAsia="仿宋" w:cs="仿宋"/>
          <w:sz w:val="28"/>
          <w:szCs w:val="28"/>
        </w:rPr>
      </w:pPr>
      <w:bookmarkStart w:id="302" w:name="_Toc191353074"/>
      <w:bookmarkStart w:id="303" w:name="_Toc243923429"/>
      <w:bookmarkStart w:id="304" w:name="_Toc271105738"/>
      <w:bookmarkStart w:id="305" w:name="_Toc130180933"/>
      <w:bookmarkStart w:id="306" w:name="_Toc245203943"/>
      <w:bookmarkStart w:id="307" w:name="_Toc209258334"/>
      <w:bookmarkStart w:id="308" w:name="_Toc226966746"/>
      <w:bookmarkStart w:id="309" w:name="_Toc243743415"/>
      <w:bookmarkStart w:id="310" w:name="_Toc130180852"/>
      <w:bookmarkStart w:id="311" w:name="_Toc130697238"/>
      <w:bookmarkStart w:id="312" w:name="_Toc272350670"/>
      <w:bookmarkStart w:id="313" w:name="_Toc279046925"/>
      <w:bookmarkStart w:id="314" w:name="_Toc26214"/>
      <w:bookmarkStart w:id="315" w:name="_Toc130180747"/>
      <w:bookmarkStart w:id="316" w:name="_Toc130695646"/>
      <w:r>
        <w:rPr>
          <w:rFonts w:hint="eastAsia" w:ascii="仿宋" w:hAnsi="仿宋" w:eastAsia="仿宋" w:cs="仿宋"/>
          <w:sz w:val="28"/>
          <w:szCs w:val="28"/>
        </w:rPr>
        <w:t>评标原则</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pPr>
        <w:spacing w:line="360" w:lineRule="auto"/>
        <w:ind w:firstLine="480" w:firstLineChars="200"/>
        <w:rPr>
          <w:rFonts w:ascii="仿宋" w:hAnsi="仿宋" w:eastAsia="仿宋" w:cs="仿宋"/>
          <w:bCs/>
          <w:sz w:val="24"/>
        </w:rPr>
      </w:pPr>
      <w:r>
        <w:rPr>
          <w:rFonts w:hint="eastAsia" w:ascii="仿宋" w:hAnsi="仿宋" w:eastAsia="仿宋" w:cs="仿宋"/>
          <w:bCs/>
          <w:sz w:val="24"/>
        </w:rPr>
        <w:t>评标工作应依据《中华人民共和国政府采购法》以及《评标委员会和评标方法暂行规定》和地方政府关于政府采购的有关规定，遵循“公平、公正、科学、择优”的原则。评标委员会将按照规定只对通过符合性检查的投标文件进行评价和比较。</w:t>
      </w:r>
    </w:p>
    <w:p>
      <w:pPr>
        <w:pStyle w:val="4"/>
        <w:numPr>
          <w:ilvl w:val="0"/>
          <w:numId w:val="17"/>
        </w:numPr>
        <w:spacing w:before="0" w:after="0" w:line="360" w:lineRule="auto"/>
        <w:rPr>
          <w:rFonts w:ascii="仿宋" w:hAnsi="仿宋" w:eastAsia="仿宋" w:cs="仿宋"/>
          <w:sz w:val="28"/>
          <w:szCs w:val="28"/>
        </w:rPr>
      </w:pPr>
      <w:bookmarkStart w:id="317" w:name="_Toc15592"/>
      <w:bookmarkStart w:id="318" w:name="_Toc191353075"/>
      <w:bookmarkStart w:id="319" w:name="_Toc271105739"/>
      <w:bookmarkStart w:id="320" w:name="_Toc130697239"/>
      <w:bookmarkStart w:id="321" w:name="_Toc209258335"/>
      <w:bookmarkStart w:id="322" w:name="_Toc279046926"/>
      <w:bookmarkStart w:id="323" w:name="_Toc245203944"/>
      <w:bookmarkStart w:id="324" w:name="_Toc130180934"/>
      <w:bookmarkStart w:id="325" w:name="_Toc130180853"/>
      <w:bookmarkStart w:id="326" w:name="_Toc243743416"/>
      <w:bookmarkStart w:id="327" w:name="_Toc130695647"/>
      <w:bookmarkStart w:id="328" w:name="_Toc130180748"/>
      <w:bookmarkStart w:id="329" w:name="_Toc226966747"/>
      <w:bookmarkStart w:id="330" w:name="_Toc243923430"/>
      <w:bookmarkStart w:id="331" w:name="_Toc272350671"/>
      <w:r>
        <w:rPr>
          <w:rFonts w:hint="eastAsia" w:ascii="仿宋" w:hAnsi="仿宋" w:eastAsia="仿宋" w:cs="仿宋"/>
          <w:sz w:val="28"/>
          <w:szCs w:val="28"/>
        </w:rPr>
        <w:t>评标方法及流程</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pStyle w:val="2"/>
        <w:numPr>
          <w:ilvl w:val="0"/>
          <w:numId w:val="25"/>
        </w:numPr>
        <w:spacing w:before="120" w:beforeLines="50" w:line="360" w:lineRule="auto"/>
        <w:ind w:left="357" w:hanging="357"/>
        <w:rPr>
          <w:rFonts w:ascii="仿宋" w:hAnsi="仿宋" w:eastAsia="仿宋" w:cs="仿宋"/>
          <w:bCs w:val="0"/>
          <w:sz w:val="24"/>
        </w:rPr>
      </w:pPr>
      <w:bookmarkStart w:id="332" w:name="_Toc278958220"/>
      <w:bookmarkStart w:id="333" w:name="_Toc277758556"/>
      <w:bookmarkStart w:id="334" w:name="_Toc130697240"/>
      <w:bookmarkStart w:id="335" w:name="_Toc243743417"/>
      <w:bookmarkStart w:id="336" w:name="_Toc130695648"/>
      <w:bookmarkStart w:id="337" w:name="_Toc226521760"/>
      <w:bookmarkStart w:id="338" w:name="_Toc243923431"/>
      <w:bookmarkStart w:id="339" w:name="_Toc209258336"/>
      <w:bookmarkStart w:id="340" w:name="_Toc245203945"/>
      <w:bookmarkStart w:id="341" w:name="_Toc153615346"/>
      <w:bookmarkStart w:id="342" w:name="_Toc226966748"/>
      <w:bookmarkStart w:id="343" w:name="_Toc271105740"/>
      <w:bookmarkStart w:id="344" w:name="_Toc191353076"/>
      <w:bookmarkStart w:id="345" w:name="_Toc272350672"/>
      <w:bookmarkStart w:id="346" w:name="_Toc279046927"/>
      <w:bookmarkStart w:id="347" w:name="_Toc185747638"/>
      <w:bookmarkStart w:id="348" w:name="_Toc31987"/>
      <w:r>
        <w:rPr>
          <w:rFonts w:hint="eastAsia" w:ascii="仿宋" w:hAnsi="仿宋" w:eastAsia="仿宋" w:cs="仿宋"/>
          <w:bCs w:val="0"/>
          <w:sz w:val="24"/>
        </w:rPr>
        <w:t>评标方法</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spacing w:line="360" w:lineRule="auto"/>
        <w:ind w:firstLine="480" w:firstLineChars="200"/>
        <w:rPr>
          <w:rFonts w:ascii="仿宋" w:hAnsi="仿宋" w:eastAsia="仿宋" w:cs="仿宋"/>
          <w:bCs/>
          <w:sz w:val="24"/>
        </w:rPr>
      </w:pPr>
      <w:r>
        <w:rPr>
          <w:rFonts w:hint="eastAsia" w:ascii="仿宋" w:hAnsi="仿宋" w:eastAsia="仿宋" w:cs="仿宋"/>
          <w:bCs/>
          <w:sz w:val="24"/>
        </w:rPr>
        <w:t>本次招标的评标方法采用综合评分方法。</w:t>
      </w:r>
    </w:p>
    <w:p>
      <w:pPr>
        <w:pStyle w:val="2"/>
        <w:numPr>
          <w:ilvl w:val="0"/>
          <w:numId w:val="25"/>
        </w:numPr>
        <w:spacing w:before="120" w:beforeLines="50" w:line="360" w:lineRule="auto"/>
        <w:ind w:left="357" w:hanging="357"/>
        <w:rPr>
          <w:rFonts w:ascii="仿宋" w:hAnsi="仿宋" w:eastAsia="仿宋" w:cs="仿宋"/>
          <w:bCs w:val="0"/>
          <w:sz w:val="24"/>
        </w:rPr>
      </w:pPr>
      <w:bookmarkStart w:id="349" w:name="_Toc226966749"/>
      <w:bookmarkStart w:id="350" w:name="_Toc278958221"/>
      <w:bookmarkStart w:id="351" w:name="_Toc185747639"/>
      <w:bookmarkStart w:id="352" w:name="_Toc2186"/>
      <w:bookmarkStart w:id="353" w:name="_Toc243923432"/>
      <w:bookmarkStart w:id="354" w:name="_Toc277758557"/>
      <w:bookmarkStart w:id="355" w:name="_Toc271105741"/>
      <w:bookmarkStart w:id="356" w:name="_Toc279046928"/>
      <w:bookmarkStart w:id="357" w:name="_Toc245203946"/>
      <w:bookmarkStart w:id="358" w:name="_Toc243743418"/>
      <w:bookmarkStart w:id="359" w:name="_Toc226521761"/>
      <w:bookmarkStart w:id="360" w:name="_Toc191353077"/>
      <w:bookmarkStart w:id="361" w:name="_Toc153615347"/>
      <w:bookmarkStart w:id="362" w:name="_Toc209258337"/>
      <w:bookmarkStart w:id="363" w:name="_Toc130697241"/>
      <w:bookmarkStart w:id="364" w:name="_Toc130695649"/>
      <w:bookmarkStart w:id="365" w:name="_Toc272350673"/>
      <w:r>
        <w:rPr>
          <w:rFonts w:hint="eastAsia" w:ascii="仿宋" w:hAnsi="仿宋" w:eastAsia="仿宋" w:cs="仿宋"/>
          <w:bCs w:val="0"/>
          <w:sz w:val="24"/>
        </w:rPr>
        <w:t>评标流程</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pPr>
        <w:spacing w:line="360" w:lineRule="auto"/>
        <w:ind w:firstLine="480" w:firstLineChars="200"/>
        <w:rPr>
          <w:rFonts w:ascii="仿宋" w:hAnsi="仿宋" w:eastAsia="仿宋" w:cs="仿宋"/>
          <w:bCs/>
          <w:sz w:val="24"/>
        </w:rPr>
      </w:pPr>
      <w:r>
        <w:rPr>
          <w:rFonts w:hint="eastAsia" w:ascii="仿宋" w:hAnsi="仿宋" w:eastAsia="仿宋" w:cs="仿宋"/>
          <w:bCs/>
          <w:sz w:val="24"/>
        </w:rPr>
        <w:t>评标分两个阶段进行：投标文件符合性审查和投标文件详细评审。具体方法及流程如下：</w:t>
      </w:r>
    </w:p>
    <w:p>
      <w:pPr>
        <w:spacing w:line="360" w:lineRule="auto"/>
        <w:rPr>
          <w:rFonts w:ascii="仿宋" w:hAnsi="仿宋" w:eastAsia="仿宋" w:cs="仿宋"/>
          <w:bCs/>
          <w:sz w:val="24"/>
        </w:rPr>
      </w:pPr>
      <w:r>
        <w:rPr>
          <w:rFonts w:hint="eastAsia" w:ascii="仿宋" w:hAnsi="仿宋" w:eastAsia="仿宋" w:cs="仿宋"/>
          <w:bCs/>
          <w:sz w:val="24"/>
        </w:rPr>
        <w:t>（1）投标文件符合性审查</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各评委对各投标文件按照招标文件要求的响应情况进行符合性审查。符合性审查必须根据招标文件中对投标人的要求和投标文件中的响应进行。</w:t>
      </w:r>
    </w:p>
    <w:p>
      <w:pPr>
        <w:spacing w:line="360" w:lineRule="auto"/>
        <w:ind w:left="-2" w:leftChars="-1" w:firstLine="480" w:firstLineChars="200"/>
        <w:jc w:val="left"/>
        <w:rPr>
          <w:rFonts w:ascii="仿宋" w:hAnsi="仿宋" w:eastAsia="仿宋" w:cs="仿宋"/>
          <w:bCs/>
          <w:sz w:val="24"/>
        </w:rPr>
      </w:pPr>
      <w:r>
        <w:rPr>
          <w:rFonts w:hint="eastAsia" w:ascii="仿宋" w:hAnsi="仿宋" w:eastAsia="仿宋" w:cs="仿宋"/>
          <w:bCs/>
          <w:sz w:val="24"/>
        </w:rPr>
        <w:t>评标委员会可以书面方式要求投标人对投标文件中含义不明确、对同类问题表述不一致或者有明显文字和计算错误的内容作必要的澄清与说明。澄清与说明应以书面方式进行并不得超出投标文件的范围或者改变投标文件的实质性内容。</w:t>
      </w:r>
    </w:p>
    <w:p>
      <w:pPr>
        <w:spacing w:line="360" w:lineRule="auto"/>
        <w:ind w:left="-2" w:leftChars="-1" w:firstLine="480" w:firstLineChars="200"/>
        <w:jc w:val="left"/>
        <w:rPr>
          <w:rFonts w:ascii="仿宋" w:hAnsi="仿宋" w:eastAsia="仿宋" w:cs="仿宋"/>
          <w:bCs/>
          <w:sz w:val="24"/>
        </w:rPr>
      </w:pPr>
      <w:r>
        <w:rPr>
          <w:rFonts w:hint="eastAsia" w:ascii="仿宋" w:hAnsi="仿宋" w:eastAsia="仿宋" w:cs="仿宋"/>
          <w:bCs/>
          <w:sz w:val="24"/>
        </w:rPr>
        <w:t>在评审中发现关键指标/参数/货物/功能等未能达到招标文件中的规定或有虚假情况时，评标委员会有权取消其投标资格。</w:t>
      </w:r>
    </w:p>
    <w:p>
      <w:pPr>
        <w:spacing w:line="500" w:lineRule="exact"/>
        <w:ind w:firstLine="240" w:firstLineChars="100"/>
        <w:rPr>
          <w:rFonts w:ascii="仿宋" w:hAnsi="仿宋" w:eastAsia="仿宋" w:cs="仿宋"/>
          <w:kern w:val="0"/>
          <w:sz w:val="24"/>
        </w:rPr>
      </w:pPr>
      <w:r>
        <w:rPr>
          <w:rFonts w:hint="eastAsia" w:ascii="仿宋" w:hAnsi="仿宋" w:eastAsia="仿宋" w:cs="仿宋"/>
          <w:bCs/>
          <w:sz w:val="24"/>
        </w:rPr>
        <w:t>投标人只有完全通过符合性审查，才能进入下一阶段的详细评审，否则视为无效投标。</w:t>
      </w:r>
      <w:r>
        <w:rPr>
          <w:rFonts w:hint="eastAsia" w:ascii="仿宋" w:hAnsi="仿宋" w:eastAsia="仿宋" w:cs="仿宋"/>
          <w:kern w:val="0"/>
          <w:sz w:val="24"/>
        </w:rPr>
        <w:t xml:space="preserve"> </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(一)未按照招标文件的规定提交投标保证金的;</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(二)投标文件未按招标文件要求签署、盖章的;</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(三)不具备招标文件中规定的资格要求的;</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(四)报价超过招标文件中规定的预算金额或者最高限价的;</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(五)投标文件含有采购人不能接受的附加条件的;</w:t>
      </w:r>
    </w:p>
    <w:p>
      <w:pPr>
        <w:spacing w:line="500" w:lineRule="exact"/>
        <w:ind w:firstLine="480" w:firstLineChars="200"/>
        <w:rPr>
          <w:rFonts w:ascii="仿宋" w:hAnsi="仿宋" w:eastAsia="仿宋" w:cs="仿宋"/>
          <w:bCs/>
          <w:sz w:val="24"/>
        </w:rPr>
      </w:pPr>
      <w:r>
        <w:rPr>
          <w:rFonts w:hint="eastAsia" w:ascii="仿宋" w:hAnsi="仿宋" w:eastAsia="仿宋" w:cs="仿宋"/>
          <w:kern w:val="0"/>
          <w:sz w:val="24"/>
        </w:rPr>
        <w:t>(六)法律、法规和招标文件规定的其他无效情形。</w:t>
      </w:r>
    </w:p>
    <w:p>
      <w:pPr>
        <w:spacing w:line="360" w:lineRule="auto"/>
        <w:rPr>
          <w:rFonts w:ascii="仿宋" w:hAnsi="仿宋" w:eastAsia="仿宋" w:cs="仿宋"/>
          <w:bCs/>
          <w:sz w:val="24"/>
        </w:rPr>
      </w:pPr>
      <w:r>
        <w:rPr>
          <w:rFonts w:hint="eastAsia" w:ascii="仿宋" w:hAnsi="仿宋" w:eastAsia="仿宋" w:cs="仿宋"/>
          <w:bCs/>
          <w:sz w:val="24"/>
        </w:rPr>
        <w:t>（2）投标文件详细评审</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当通过符合性审查的投标人多于或等于三家时，按照评标程序的规定和依据评分标准以及各项权重、符合性审查结果，各位评委单独就每个投标人的技术状况、商务状况进行评审，并对其技术、商务和经济分别评分。将技术得分、商务得分和经济得分相加得出总分，并按总分高低排出名次（出现并列得分时，价格低者排名在前）。评标委员会依据得分情况推荐出第一中标侯选单位一名，第二中标候选单位一名，第三中标候选单位一名。</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当通过符合性审查的投标人少于三家时，评标委员会否决所有投标文件，提请依法重新招标。</w:t>
      </w:r>
    </w:p>
    <w:p>
      <w:pPr>
        <w:pStyle w:val="2"/>
        <w:numPr>
          <w:ilvl w:val="0"/>
          <w:numId w:val="25"/>
        </w:numPr>
        <w:spacing w:before="120" w:beforeLines="50" w:line="360" w:lineRule="auto"/>
        <w:ind w:left="357" w:hanging="357"/>
        <w:rPr>
          <w:rFonts w:ascii="仿宋" w:hAnsi="仿宋" w:eastAsia="仿宋" w:cs="仿宋"/>
          <w:bCs w:val="0"/>
          <w:sz w:val="24"/>
        </w:rPr>
      </w:pPr>
      <w:bookmarkStart w:id="366" w:name="_Toc209258338"/>
      <w:bookmarkStart w:id="367" w:name="_Toc153615348"/>
      <w:bookmarkStart w:id="368" w:name="_Toc130695650"/>
      <w:bookmarkStart w:id="369" w:name="_Toc277758558"/>
      <w:bookmarkStart w:id="370" w:name="_Toc130697242"/>
      <w:bookmarkStart w:id="371" w:name="_Toc243923433"/>
      <w:bookmarkStart w:id="372" w:name="_Toc271105742"/>
      <w:bookmarkStart w:id="373" w:name="_Toc278958222"/>
      <w:bookmarkStart w:id="374" w:name="_Toc191353078"/>
      <w:bookmarkStart w:id="375" w:name="_Toc226521762"/>
      <w:bookmarkStart w:id="376" w:name="_Toc279046929"/>
      <w:bookmarkStart w:id="377" w:name="_Toc226966750"/>
      <w:bookmarkStart w:id="378" w:name="_Toc243743419"/>
      <w:bookmarkStart w:id="379" w:name="_Toc185747640"/>
      <w:bookmarkStart w:id="380" w:name="_Toc272350674"/>
      <w:bookmarkStart w:id="381" w:name="_Toc32591"/>
      <w:bookmarkStart w:id="382" w:name="_Toc245203947"/>
      <w:r>
        <w:rPr>
          <w:rFonts w:hint="eastAsia" w:ascii="仿宋" w:hAnsi="仿宋" w:eastAsia="仿宋" w:cs="仿宋"/>
          <w:bCs w:val="0"/>
          <w:sz w:val="24"/>
        </w:rPr>
        <w:t>投标文件的澄清</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numPr>
          <w:ilvl w:val="0"/>
          <w:numId w:val="26"/>
        </w:numPr>
        <w:tabs>
          <w:tab w:val="left" w:pos="1155"/>
        </w:tabs>
        <w:spacing w:line="360" w:lineRule="auto"/>
        <w:ind w:left="0" w:firstLine="525"/>
        <w:rPr>
          <w:rFonts w:ascii="仿宋" w:hAnsi="仿宋" w:eastAsia="仿宋" w:cs="仿宋"/>
          <w:sz w:val="24"/>
        </w:rPr>
      </w:pPr>
      <w:r>
        <w:rPr>
          <w:rFonts w:hint="eastAsia" w:ascii="仿宋" w:hAnsi="仿宋" w:eastAsia="仿宋" w:cs="仿宋"/>
          <w:sz w:val="24"/>
        </w:rPr>
        <w:t>对投标文件中含义不明确、同类问题表述不一致或者有明显文字和计算错误的内容，评标委员会可以书面形式要求投标人作出必要的澄清和说明。</w:t>
      </w:r>
    </w:p>
    <w:p>
      <w:pPr>
        <w:numPr>
          <w:ilvl w:val="0"/>
          <w:numId w:val="26"/>
        </w:numPr>
        <w:tabs>
          <w:tab w:val="left" w:pos="1155"/>
        </w:tabs>
        <w:spacing w:line="360" w:lineRule="auto"/>
        <w:ind w:left="0" w:firstLine="525"/>
        <w:rPr>
          <w:rFonts w:ascii="仿宋" w:hAnsi="仿宋" w:eastAsia="仿宋" w:cs="仿宋"/>
          <w:sz w:val="24"/>
        </w:rPr>
      </w:pPr>
      <w:r>
        <w:rPr>
          <w:rFonts w:hint="eastAsia" w:ascii="仿宋" w:hAnsi="仿宋" w:eastAsia="仿宋" w:cs="仿宋"/>
          <w:sz w:val="24"/>
        </w:rPr>
        <w:t>投标人的澄清和说明应当采用书面形式，由其授权的代表签字，并不得超出投标文件的范围或者改变投标文件的实质性内容。</w:t>
      </w:r>
    </w:p>
    <w:p>
      <w:pPr>
        <w:numPr>
          <w:ilvl w:val="0"/>
          <w:numId w:val="26"/>
        </w:numPr>
        <w:tabs>
          <w:tab w:val="left" w:pos="1155"/>
        </w:tabs>
        <w:spacing w:line="360" w:lineRule="auto"/>
        <w:ind w:left="0" w:firstLine="525"/>
        <w:rPr>
          <w:rFonts w:ascii="仿宋" w:hAnsi="仿宋" w:eastAsia="仿宋" w:cs="仿宋"/>
          <w:sz w:val="24"/>
        </w:rPr>
      </w:pPr>
      <w:r>
        <w:rPr>
          <w:rFonts w:hint="eastAsia" w:ascii="仿宋" w:hAnsi="仿宋" w:eastAsia="仿宋" w:cs="仿宋"/>
          <w:sz w:val="24"/>
        </w:rPr>
        <w:t>除上述规定的情形之外，评标委员会在评审过程中，不得接收来自评审现场以外的任何形式的文件资料。</w:t>
      </w:r>
    </w:p>
    <w:p>
      <w:pPr>
        <w:pStyle w:val="4"/>
        <w:numPr>
          <w:ilvl w:val="0"/>
          <w:numId w:val="17"/>
        </w:numPr>
        <w:spacing w:before="0" w:after="0" w:line="360" w:lineRule="auto"/>
        <w:rPr>
          <w:rFonts w:ascii="仿宋" w:hAnsi="仿宋" w:eastAsia="仿宋" w:cs="仿宋"/>
          <w:sz w:val="28"/>
          <w:szCs w:val="28"/>
        </w:rPr>
      </w:pPr>
      <w:bookmarkStart w:id="383" w:name="_Toc6227"/>
      <w:bookmarkStart w:id="384" w:name="_Toc130180854"/>
      <w:bookmarkStart w:id="385" w:name="_Toc243743420"/>
      <w:bookmarkStart w:id="386" w:name="_Toc272350675"/>
      <w:bookmarkStart w:id="387" w:name="_Toc271105743"/>
      <w:bookmarkStart w:id="388" w:name="_Toc130695651"/>
      <w:bookmarkStart w:id="389" w:name="_Toc191353079"/>
      <w:bookmarkStart w:id="390" w:name="_Toc130180749"/>
      <w:bookmarkStart w:id="391" w:name="_Toc130180935"/>
      <w:bookmarkStart w:id="392" w:name="_Toc243923434"/>
      <w:bookmarkStart w:id="393" w:name="_Toc209258339"/>
      <w:bookmarkStart w:id="394" w:name="_Toc245203948"/>
      <w:bookmarkStart w:id="395" w:name="_Toc226966751"/>
      <w:bookmarkStart w:id="396" w:name="_Toc130697243"/>
      <w:bookmarkStart w:id="397" w:name="_Toc279046930"/>
      <w:r>
        <w:rPr>
          <w:rFonts w:hint="eastAsia" w:ascii="仿宋" w:hAnsi="仿宋" w:eastAsia="仿宋" w:cs="仿宋"/>
          <w:sz w:val="28"/>
          <w:szCs w:val="28"/>
        </w:rPr>
        <w:t>废标处理</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pPr>
        <w:spacing w:line="360" w:lineRule="auto"/>
        <w:ind w:firstLine="480" w:firstLineChars="200"/>
        <w:rPr>
          <w:rFonts w:ascii="仿宋" w:hAnsi="仿宋" w:eastAsia="仿宋" w:cs="仿宋"/>
          <w:sz w:val="24"/>
        </w:rPr>
      </w:pPr>
      <w:r>
        <w:rPr>
          <w:rFonts w:hint="eastAsia" w:ascii="仿宋" w:hAnsi="仿宋" w:eastAsia="仿宋" w:cs="仿宋"/>
          <w:sz w:val="24"/>
        </w:rPr>
        <w:t>下列情况出现将视为招标失败，即废标：</w:t>
      </w:r>
    </w:p>
    <w:p>
      <w:pPr>
        <w:pStyle w:val="13"/>
        <w:numPr>
          <w:ilvl w:val="0"/>
          <w:numId w:val="27"/>
        </w:numPr>
        <w:rPr>
          <w:rFonts w:ascii="仿宋" w:hAnsi="仿宋" w:eastAsia="仿宋" w:cs="仿宋"/>
        </w:rPr>
      </w:pPr>
      <w:r>
        <w:rPr>
          <w:rFonts w:hint="eastAsia" w:ascii="仿宋" w:hAnsi="仿宋" w:eastAsia="仿宋" w:cs="仿宋"/>
        </w:rPr>
        <w:t>符合专业条件的投标人或者对招标文件作实质响应的投标人不足三家的；</w:t>
      </w:r>
    </w:p>
    <w:p>
      <w:pPr>
        <w:spacing w:line="360" w:lineRule="auto"/>
        <w:ind w:left="840" w:leftChars="400" w:firstLine="480" w:firstLineChars="200"/>
        <w:rPr>
          <w:rFonts w:ascii="仿宋" w:hAnsi="仿宋" w:eastAsia="仿宋" w:cs="仿宋"/>
          <w:sz w:val="24"/>
          <w:u w:val="single"/>
        </w:rPr>
      </w:pPr>
      <w:r>
        <w:rPr>
          <w:rFonts w:hint="eastAsia" w:ascii="仿宋" w:hAnsi="仿宋" w:eastAsia="仿宋" w:cs="仿宋"/>
          <w:sz w:val="24"/>
        </w:rPr>
        <w:t>特别说明：</w:t>
      </w:r>
      <w:r>
        <w:rPr>
          <w:rFonts w:hint="eastAsia" w:ascii="仿宋" w:hAnsi="仿宋" w:eastAsia="仿宋" w:cs="仿宋"/>
          <w:sz w:val="24"/>
          <w:u w:val="single"/>
        </w:rPr>
        <w:t>①采购货物类项目，符合采购人需求的品牌至少应当达到三家以上，同一品牌的产品可由多家代理商参加竞争，但只作为一家供应商计算；采购工程、服务类项目，符合资格条件的供应商至少应达到三家以上。②因有效投标不足三家投标人，使得投标明显缺乏竞争的，评标委员会可以否决全部投标，并按规定书面说明原因。</w:t>
      </w:r>
    </w:p>
    <w:p>
      <w:pPr>
        <w:pStyle w:val="13"/>
        <w:numPr>
          <w:ilvl w:val="0"/>
          <w:numId w:val="27"/>
        </w:numPr>
        <w:rPr>
          <w:rFonts w:ascii="仿宋" w:hAnsi="仿宋" w:eastAsia="仿宋" w:cs="仿宋"/>
        </w:rPr>
      </w:pPr>
      <w:r>
        <w:rPr>
          <w:rFonts w:hint="eastAsia" w:ascii="仿宋" w:hAnsi="仿宋" w:eastAsia="仿宋" w:cs="仿宋"/>
        </w:rPr>
        <w:t>出现影响采购公正的违法、违规行为的；</w:t>
      </w:r>
    </w:p>
    <w:p>
      <w:pPr>
        <w:pStyle w:val="13"/>
        <w:numPr>
          <w:ilvl w:val="0"/>
          <w:numId w:val="27"/>
        </w:numPr>
        <w:rPr>
          <w:rFonts w:ascii="仿宋" w:hAnsi="仿宋" w:eastAsia="仿宋" w:cs="仿宋"/>
        </w:rPr>
      </w:pPr>
      <w:r>
        <w:rPr>
          <w:rFonts w:hint="eastAsia" w:ascii="仿宋" w:hAnsi="仿宋" w:eastAsia="仿宋" w:cs="仿宋"/>
        </w:rPr>
        <w:t>投标人的报价均超过了采购预算，采购人不能支付的；</w:t>
      </w:r>
    </w:p>
    <w:p>
      <w:pPr>
        <w:pStyle w:val="13"/>
        <w:numPr>
          <w:ilvl w:val="0"/>
          <w:numId w:val="27"/>
        </w:numPr>
        <w:rPr>
          <w:rFonts w:ascii="仿宋" w:hAnsi="仿宋" w:eastAsia="仿宋" w:cs="仿宋"/>
        </w:rPr>
      </w:pPr>
      <w:r>
        <w:rPr>
          <w:rFonts w:hint="eastAsia" w:ascii="仿宋" w:hAnsi="仿宋" w:eastAsia="仿宋" w:cs="仿宋"/>
        </w:rPr>
        <w:t>因重大变故，采购任务取消的。</w:t>
      </w:r>
    </w:p>
    <w:p>
      <w:pPr>
        <w:tabs>
          <w:tab w:val="left" w:pos="0"/>
        </w:tabs>
        <w:adjustRightInd w:val="0"/>
        <w:snapToGrid w:val="0"/>
        <w:spacing w:before="120" w:beforeLines="50" w:line="360" w:lineRule="auto"/>
        <w:rPr>
          <w:rFonts w:ascii="仿宋" w:hAnsi="仿宋" w:eastAsia="仿宋" w:cs="仿宋"/>
          <w:sz w:val="28"/>
          <w:szCs w:val="28"/>
        </w:rPr>
      </w:pPr>
      <w:bookmarkStart w:id="398" w:name="附表1"/>
      <w:bookmarkEnd w:id="398"/>
    </w:p>
    <w:p>
      <w:pPr>
        <w:pStyle w:val="4"/>
        <w:tabs>
          <w:tab w:val="left" w:pos="425"/>
        </w:tabs>
        <w:spacing w:before="0" w:after="0" w:line="360" w:lineRule="auto"/>
        <w:rPr>
          <w:rFonts w:ascii="仿宋" w:hAnsi="仿宋" w:eastAsia="仿宋" w:cs="仿宋"/>
          <w:sz w:val="28"/>
          <w:szCs w:val="28"/>
        </w:rPr>
      </w:pPr>
    </w:p>
    <w:sectPr>
      <w:headerReference r:id="rId9" w:type="first"/>
      <w:headerReference r:id="rId8" w:type="default"/>
      <w:footerReference r:id="rId10" w:type="default"/>
      <w:type w:val="nextColumn"/>
      <w:pgSz w:w="11906" w:h="16838"/>
      <w:pgMar w:top="1418" w:right="1191" w:bottom="1418" w:left="1191" w:header="468" w:footer="59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wordWrap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17780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Bdr>
                              <w:top w:val="none" w:color="auto" w:sz="0" w:space="0"/>
                            </w:pBdr>
                            <w:rPr>
                              <w:rStyle w:val="24"/>
                              <w:rFonts w:eastAsia="宋体"/>
                            </w:rPr>
                          </w:pPr>
                          <w:r>
                            <w:fldChar w:fldCharType="begin"/>
                          </w:r>
                          <w:r>
                            <w:rPr>
                              <w:rStyle w:val="24"/>
                              <w:rFonts w:eastAsia="宋体"/>
                            </w:rPr>
                            <w:instrText xml:space="preserve">PAGE  </w:instrText>
                          </w:r>
                          <w:r>
                            <w:fldChar w:fldCharType="separate"/>
                          </w:r>
                          <w:r>
                            <w:rPr>
                              <w:rStyle w:val="24"/>
                              <w:rFonts w:eastAsia="宋体"/>
                            </w:rPr>
                            <w:t>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1.4pt;height:144pt;width:144pt;mso-position-horizontal:center;mso-position-horizontal-relative:margin;mso-wrap-style:none;z-index:251659264;mso-width-relative:page;mso-height-relative:page;" filled="f" stroked="f" coordsize="21600,21600" o:gfxdata="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a5uUt0QAAAAYBAAAPAAAAAAAAAAEAIAAAACIAAABkcnMvZG93bnJldi54bWxQSwEC&#10;FAAUAAAACACHTuJAm7rXEMIBAACNAwAADgAAAAAAAAABACAAAAAgAQAAZHJzL2Uyb0RvYy54bWxQ&#10;SwUGAAAAAAYABgBZAQAAVAUAAAAA&#10;">
              <v:fill on="f" focussize="0,0"/>
              <v:stroke on="f"/>
              <v:imagedata o:title=""/>
              <o:lock v:ext="edit" aspectratio="f"/>
              <v:textbox inset="0mm,0mm,0mm,0mm" style="mso-fit-shape-to-text:t;">
                <w:txbxContent>
                  <w:p>
                    <w:pPr>
                      <w:pStyle w:val="14"/>
                      <w:pBdr>
                        <w:top w:val="none" w:color="auto" w:sz="0" w:space="0"/>
                      </w:pBdr>
                      <w:rPr>
                        <w:rStyle w:val="24"/>
                        <w:rFonts w:eastAsia="宋体"/>
                      </w:rPr>
                    </w:pPr>
                    <w:r>
                      <w:fldChar w:fldCharType="begin"/>
                    </w:r>
                    <w:r>
                      <w:rPr>
                        <w:rStyle w:val="24"/>
                        <w:rFonts w:eastAsia="宋体"/>
                      </w:rPr>
                      <w:instrText xml:space="preserve">PAGE  </w:instrText>
                    </w:r>
                    <w:r>
                      <w:fldChar w:fldCharType="separate"/>
                    </w:r>
                    <w:r>
                      <w:rPr>
                        <w:rStyle w:val="24"/>
                        <w:rFonts w:eastAsia="宋体"/>
                      </w:rPr>
                      <w:t>7</w:t>
                    </w:r>
                    <w:r>
                      <w:fldChar w:fldCharType="end"/>
                    </w:r>
                  </w:p>
                </w:txbxContent>
              </v:textbox>
            </v:shape>
          </w:pict>
        </mc:Fallback>
      </mc:AlternateContent>
    </w:r>
    <w:r>
      <w:t xml:space="preserve">        </w:t>
    </w:r>
    <w:r>
      <w:rPr>
        <w:rStyle w:val="39"/>
      </w:rPr>
      <w:t xml:space="preserve">                      </w:t>
    </w:r>
    <w:r>
      <w:rPr>
        <w:rFonts w:hint="eastAsia" w:ascii="Times New Roman" w:hAnsi="Times New Roman"/>
      </w:rPr>
      <w:t xml:space="preserve">   </w:t>
    </w:r>
    <w:r>
      <w:rPr>
        <w:rStyle w:val="39"/>
      </w:rPr>
      <w:t xml:space="preserve"> </w:t>
    </w:r>
    <w:r>
      <w:rPr>
        <w:rStyle w:val="39"/>
        <w:rFonts w:hint="eastAsia"/>
      </w:rPr>
      <w:t xml:space="preserve"> </w:t>
    </w:r>
    <w:r>
      <w:rPr>
        <w:rStyle w:val="39"/>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 xml:space="preserve">第二章 投标人须知           </w:t>
    </w:r>
    <w:r>
      <w:rPr>
        <w:rStyle w:val="39"/>
      </w:rPr>
      <w:t xml:space="preserve">                      </w:t>
    </w:r>
    <w:r>
      <w:rPr>
        <w:rFonts w:hint="eastAsia"/>
      </w:rPr>
      <w:t>2-</w:t>
    </w:r>
    <w:r>
      <w:fldChar w:fldCharType="begin"/>
    </w:r>
    <w:r>
      <w:rPr>
        <w:rStyle w:val="24"/>
        <w:rFonts w:eastAsia="宋体"/>
      </w:rPr>
      <w:instrText xml:space="preserve"> PAGE </w:instrText>
    </w:r>
    <w:r>
      <w:fldChar w:fldCharType="separate"/>
    </w:r>
    <w:r>
      <w:rPr>
        <w:rStyle w:val="24"/>
        <w:rFonts w:eastAsia="宋体"/>
      </w:rPr>
      <w:t>1</w:t>
    </w:r>
    <w:r>
      <w:fldChar w:fldCharType="end"/>
    </w:r>
    <w:r>
      <w:rPr>
        <w:rStyle w:val="39"/>
      </w:rPr>
      <w:t xml:space="preserve">                          </w:t>
    </w:r>
    <w:r>
      <w:rPr>
        <w:rFonts w:hint="eastAsia"/>
      </w:rPr>
      <w:t xml:space="preserve">新疆华域建设工程项目管理咨询有限公司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17780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Bdr>
                              <w:top w:val="none" w:color="auto" w:sz="0" w:space="0"/>
                            </w:pBdr>
                            <w:rPr>
                              <w:rStyle w:val="24"/>
                              <w:rFonts w:eastAsia="宋体"/>
                            </w:rPr>
                          </w:pPr>
                          <w:r>
                            <w:fldChar w:fldCharType="begin"/>
                          </w:r>
                          <w:r>
                            <w:rPr>
                              <w:rStyle w:val="24"/>
                              <w:rFonts w:eastAsia="宋体"/>
                            </w:rPr>
                            <w:instrText xml:space="preserve">PAGE  </w:instrText>
                          </w:r>
                          <w:r>
                            <w:fldChar w:fldCharType="separate"/>
                          </w:r>
                          <w:r>
                            <w:rPr>
                              <w:rStyle w:val="24"/>
                              <w:rFonts w:eastAsia="宋体"/>
                            </w:rPr>
                            <w:t>54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1.4pt;height:144pt;width:144pt;mso-position-horizontal:center;mso-position-horizontal-relative:margin;mso-wrap-style:none;z-index:251660288;mso-width-relative:page;mso-height-relative:page;" filled="f" stroked="f" coordsize="21600,21600" o:gfxdata="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a5uUt0QAAAAYBAAAPAAAAAAAAAAEAIAAAACIAAABkcnMvZG93bnJldi54bWxQSwEC&#10;FAAUAAAACACHTuJA5QHJYcIBAACNAwAADgAAAAAAAAABACAAAAAgAQAAZHJzL2Uyb0RvYy54bWxQ&#10;SwUGAAAAAAYABgBZAQAAVAUAAAAA&#10;">
              <v:fill on="f" focussize="0,0"/>
              <v:stroke on="f"/>
              <v:imagedata o:title=""/>
              <o:lock v:ext="edit" aspectratio="f"/>
              <v:textbox inset="0mm,0mm,0mm,0mm" style="mso-fit-shape-to-text:t;">
                <w:txbxContent>
                  <w:p>
                    <w:pPr>
                      <w:pStyle w:val="14"/>
                      <w:pBdr>
                        <w:top w:val="none" w:color="auto" w:sz="0" w:space="0"/>
                      </w:pBdr>
                      <w:rPr>
                        <w:rStyle w:val="24"/>
                        <w:rFonts w:eastAsia="宋体"/>
                      </w:rPr>
                    </w:pPr>
                    <w:r>
                      <w:fldChar w:fldCharType="begin"/>
                    </w:r>
                    <w:r>
                      <w:rPr>
                        <w:rStyle w:val="24"/>
                        <w:rFonts w:eastAsia="宋体"/>
                      </w:rPr>
                      <w:instrText xml:space="preserve">PAGE  </w:instrText>
                    </w:r>
                    <w:r>
                      <w:fldChar w:fldCharType="separate"/>
                    </w:r>
                    <w:r>
                      <w:rPr>
                        <w:rStyle w:val="24"/>
                        <w:rFonts w:eastAsia="宋体"/>
                      </w:rPr>
                      <w:t>54</w:t>
                    </w:r>
                    <w:r>
                      <w:fldChar w:fldCharType="end"/>
                    </w:r>
                  </w:p>
                </w:txbxContent>
              </v:textbox>
            </v:shape>
          </w:pict>
        </mc:Fallback>
      </mc:AlternateConten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新疆华域建设工程项目管理咨询有限公司                                                                            5-</w:t>
    </w:r>
    <w:r>
      <w:fldChar w:fldCharType="begin"/>
    </w:r>
    <w:r>
      <w:rPr>
        <w:rStyle w:val="24"/>
        <w:rFonts w:ascii="Times New Roman" w:hAnsi="Times New Roman" w:eastAsia="宋体"/>
      </w:rPr>
      <w:instrText xml:space="preserve"> PAGE </w:instrText>
    </w:r>
    <w:r>
      <w:fldChar w:fldCharType="separate"/>
    </w:r>
    <w:r>
      <w:rPr>
        <w:rStyle w:val="24"/>
        <w:rFonts w:ascii="Times New Roman" w:hAnsi="Times New Roman" w:eastAsia="宋体"/>
      </w:rPr>
      <w:t>31</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wordWrap w:val="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17780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Bdr>
                              <w:top w:val="none" w:color="auto" w:sz="0" w:space="0"/>
                            </w:pBdr>
                            <w:tabs>
                              <w:tab w:val="left" w:pos="1785"/>
                            </w:tabs>
                            <w:rPr>
                              <w:rStyle w:val="24"/>
                              <w:rFonts w:eastAsia="宋体"/>
                            </w:rPr>
                          </w:pPr>
                          <w:r>
                            <w:fldChar w:fldCharType="begin"/>
                          </w:r>
                          <w:r>
                            <w:rPr>
                              <w:rStyle w:val="24"/>
                              <w:rFonts w:eastAsia="宋体"/>
                            </w:rPr>
                            <w:instrText xml:space="preserve">PAGE  </w:instrText>
                          </w:r>
                          <w:r>
                            <w:fldChar w:fldCharType="separate"/>
                          </w:r>
                          <w:r>
                            <w:rPr>
                              <w:rStyle w:val="24"/>
                              <w:rFonts w:eastAsia="宋体"/>
                            </w:rPr>
                            <w:t>60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1.4pt;height:144pt;width:144pt;mso-position-horizontal:center;mso-position-horizontal-relative:margin;mso-wrap-style:none;z-index:251660288;mso-width-relative:page;mso-height-relative:page;" filled="f" stroked="f" coordsize="21600,21600" o:gfxdata="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rm5S3RAAAABgEAAA8AAAAAAAAAAQAgAAAAIgAAAGRycy9kb3ducmV2LnhtbFBLAQIU&#10;ABQAAAAIAIdO4kCmKnu7wQEAAI0DAAAOAAAAAAAAAAEAIAAAACABAABkcnMvZTJvRG9jLnhtbFBL&#10;BQYAAAAABgAGAFkBAABTBQAAAAA=&#10;">
              <v:fill on="f" focussize="0,0"/>
              <v:stroke on="f"/>
              <v:imagedata o:title=""/>
              <o:lock v:ext="edit" aspectratio="f"/>
              <v:textbox inset="0mm,0mm,0mm,0mm" style="mso-fit-shape-to-text:t;">
                <w:txbxContent>
                  <w:p>
                    <w:pPr>
                      <w:pStyle w:val="14"/>
                      <w:pBdr>
                        <w:top w:val="none" w:color="auto" w:sz="0" w:space="0"/>
                      </w:pBdr>
                      <w:tabs>
                        <w:tab w:val="left" w:pos="1785"/>
                      </w:tabs>
                      <w:rPr>
                        <w:rStyle w:val="24"/>
                        <w:rFonts w:eastAsia="宋体"/>
                      </w:rPr>
                    </w:pPr>
                    <w:r>
                      <w:fldChar w:fldCharType="begin"/>
                    </w:r>
                    <w:r>
                      <w:rPr>
                        <w:rStyle w:val="24"/>
                        <w:rFonts w:eastAsia="宋体"/>
                      </w:rPr>
                      <w:instrText xml:space="preserve">PAGE  </w:instrText>
                    </w:r>
                    <w:r>
                      <w:fldChar w:fldCharType="separate"/>
                    </w:r>
                    <w:r>
                      <w:rPr>
                        <w:rStyle w:val="24"/>
                        <w:rFonts w:eastAsia="宋体"/>
                      </w:rPr>
                      <w:t>60</w:t>
                    </w:r>
                    <w:r>
                      <w:fldChar w:fldCharType="end"/>
                    </w:r>
                  </w:p>
                </w:txbxContent>
              </v:textbox>
            </v:shape>
          </w:pict>
        </mc:Fallback>
      </mc:AlternateContent>
    </w:r>
    <w:r>
      <w:t xml:space="preserve">            </w:t>
    </w:r>
    <w:r>
      <w:rPr>
        <w:rFonts w:hint="eastAsia"/>
      </w:rPr>
      <w:t xml:space="preserve">                         </w:t>
    </w:r>
    <w:r>
      <w:t xml:space="preserve">                                                           </w:t>
    </w: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宋体" w:hAnsi="宋体"/>
      </w:rPr>
    </w:pPr>
    <w:r>
      <w:rPr>
        <w:rFonts w:hint="eastAsia" w:ascii="宋体" w:hAnsi="宋体"/>
      </w:rPr>
      <w:t>项目名称：</w:t>
    </w:r>
    <w:r>
      <w:rPr>
        <w:rFonts w:ascii="宋体" w:hAnsi="宋体"/>
        <w:bCs/>
        <w:color w:val="FF0000"/>
      </w:rPr>
      <w:t>项目名称名</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color w:val="FF0000"/>
      </w:rPr>
      <w:t>招标编号名</w:t>
    </w: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12EB4"/>
    <w:multiLevelType w:val="singleLevel"/>
    <w:tmpl w:val="BAB12EB4"/>
    <w:lvl w:ilvl="0" w:tentative="0">
      <w:start w:val="2"/>
      <w:numFmt w:val="chineseCounting"/>
      <w:suff w:val="nothing"/>
      <w:lvlText w:val="%1、"/>
      <w:lvlJc w:val="left"/>
      <w:rPr>
        <w:rFonts w:hint="eastAsia"/>
      </w:rPr>
    </w:lvl>
  </w:abstractNum>
  <w:abstractNum w:abstractNumId="1">
    <w:nsid w:val="BD2442D7"/>
    <w:multiLevelType w:val="singleLevel"/>
    <w:tmpl w:val="BD2442D7"/>
    <w:lvl w:ilvl="0" w:tentative="0">
      <w:start w:val="1"/>
      <w:numFmt w:val="chineseCounting"/>
      <w:suff w:val="space"/>
      <w:lvlText w:val="第%1章"/>
      <w:lvlJc w:val="left"/>
      <w:rPr>
        <w:rFonts w:hint="eastAsia"/>
      </w:rPr>
    </w:lvl>
  </w:abstractNum>
  <w:abstractNum w:abstractNumId="2">
    <w:nsid w:val="C371B8C9"/>
    <w:multiLevelType w:val="singleLevel"/>
    <w:tmpl w:val="C371B8C9"/>
    <w:lvl w:ilvl="0" w:tentative="0">
      <w:start w:val="1"/>
      <w:numFmt w:val="chineseCounting"/>
      <w:suff w:val="nothing"/>
      <w:lvlText w:val="（%1）"/>
      <w:lvlJc w:val="left"/>
      <w:rPr>
        <w:rFonts w:hint="eastAsia"/>
      </w:rPr>
    </w:lvl>
  </w:abstractNum>
  <w:abstractNum w:abstractNumId="3">
    <w:nsid w:val="E38A0821"/>
    <w:multiLevelType w:val="singleLevel"/>
    <w:tmpl w:val="E38A0821"/>
    <w:lvl w:ilvl="0" w:tentative="0">
      <w:start w:val="4"/>
      <w:numFmt w:val="chineseCounting"/>
      <w:suff w:val="nothing"/>
      <w:lvlText w:val="%1、"/>
      <w:lvlJc w:val="left"/>
      <w:rPr>
        <w:rFonts w:hint="eastAsia"/>
      </w:rPr>
    </w:lvl>
  </w:abstractNum>
  <w:abstractNum w:abstractNumId="4">
    <w:nsid w:val="00000004"/>
    <w:multiLevelType w:val="multilevel"/>
    <w:tmpl w:val="00000004"/>
    <w:lvl w:ilvl="0" w:tentative="0">
      <w:start w:val="1"/>
      <w:numFmt w:val="decimal"/>
      <w:lvlText w:val="（%1）"/>
      <w:lvlJc w:val="left"/>
      <w:pPr>
        <w:tabs>
          <w:tab w:val="left" w:pos="718"/>
        </w:tabs>
        <w:ind w:left="718" w:hanging="720"/>
      </w:pPr>
      <w:rPr>
        <w:rFonts w:hint="eastAsia"/>
      </w:rPr>
    </w:lvl>
    <w:lvl w:ilvl="1" w:tentative="0">
      <w:start w:val="6"/>
      <w:numFmt w:val="japaneseCounting"/>
      <w:lvlText w:val="%2、"/>
      <w:lvlJc w:val="left"/>
      <w:pPr>
        <w:tabs>
          <w:tab w:val="left" w:pos="1138"/>
        </w:tabs>
        <w:ind w:left="1138" w:hanging="720"/>
      </w:pPr>
      <w:rPr>
        <w:rFonts w:hint="eastAsia"/>
      </w:rPr>
    </w:lvl>
    <w:lvl w:ilvl="2" w:tentative="0">
      <w:start w:val="3"/>
      <w:numFmt w:val="decimal"/>
      <w:lvlText w:val="%3．"/>
      <w:lvlJc w:val="left"/>
      <w:pPr>
        <w:tabs>
          <w:tab w:val="left" w:pos="1558"/>
        </w:tabs>
        <w:ind w:left="1558" w:hanging="720"/>
      </w:pPr>
      <w:rPr>
        <w:rFonts w:hint="eastAsia"/>
      </w:rPr>
    </w:lvl>
    <w:lvl w:ilvl="3" w:tentative="0">
      <w:start w:val="12"/>
      <w:numFmt w:val="decimal"/>
      <w:lvlText w:val="%4、"/>
      <w:lvlJc w:val="left"/>
      <w:pPr>
        <w:tabs>
          <w:tab w:val="left" w:pos="1738"/>
        </w:tabs>
        <w:ind w:left="1738" w:hanging="480"/>
      </w:pPr>
      <w:rPr>
        <w:rFonts w:hint="eastAsia"/>
      </w:rPr>
    </w:lvl>
    <w:lvl w:ilvl="4" w:tentative="0">
      <w:start w:val="1"/>
      <w:numFmt w:val="japaneseCounting"/>
      <w:lvlText w:val="（%5）"/>
      <w:lvlJc w:val="left"/>
      <w:pPr>
        <w:tabs>
          <w:tab w:val="left" w:pos="2398"/>
        </w:tabs>
        <w:ind w:left="2398" w:hanging="720"/>
      </w:pPr>
      <w:rPr>
        <w:rFonts w:hint="eastAsia"/>
      </w:r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5">
    <w:nsid w:val="00000009"/>
    <w:multiLevelType w:val="multilevel"/>
    <w:tmpl w:val="00000009"/>
    <w:lvl w:ilvl="0" w:tentative="0">
      <w:start w:val="1"/>
      <w:numFmt w:val="decimal"/>
      <w:lvlText w:val="（%1）"/>
      <w:lvlJc w:val="left"/>
      <w:pPr>
        <w:tabs>
          <w:tab w:val="left" w:pos="720"/>
        </w:tabs>
        <w:ind w:left="720" w:hanging="720"/>
      </w:pPr>
      <w:rPr>
        <w:rFonts w:hint="eastAsia"/>
        <w:lang w:val="en-US"/>
      </w:rPr>
    </w:lvl>
    <w:lvl w:ilvl="1" w:tentative="0">
      <w:start w:val="1"/>
      <w:numFmt w:val="decimal"/>
      <w:lvlText w:val="%2、"/>
      <w:lvlJc w:val="left"/>
      <w:pPr>
        <w:tabs>
          <w:tab w:val="left" w:pos="360"/>
        </w:tabs>
        <w:ind w:left="357" w:hanging="357"/>
      </w:pPr>
      <w:rPr>
        <w:rFonts w:hint="eastAsia"/>
      </w:rPr>
    </w:lvl>
    <w:lvl w:ilvl="2" w:tentative="0">
      <w:start w:val="1"/>
      <w:numFmt w:val="lowerRoman"/>
      <w:lvlText w:val="%3."/>
      <w:lvlJc w:val="right"/>
      <w:pPr>
        <w:tabs>
          <w:tab w:val="left" w:pos="1260"/>
        </w:tabs>
        <w:ind w:left="1260" w:hanging="420"/>
      </w:pPr>
    </w:lvl>
    <w:lvl w:ilvl="3" w:tentative="0">
      <w:start w:val="1"/>
      <w:numFmt w:val="japaneseCounting"/>
      <w:lvlText w:val="%4、"/>
      <w:lvlJc w:val="left"/>
      <w:pPr>
        <w:tabs>
          <w:tab w:val="left" w:pos="1740"/>
        </w:tabs>
        <w:ind w:left="1740" w:hanging="48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multilevel"/>
    <w:tmpl w:val="0000000A"/>
    <w:lvl w:ilvl="0" w:tentative="0">
      <w:start w:val="1"/>
      <w:numFmt w:val="decimal"/>
      <w:lvlText w:val="（%1）"/>
      <w:lvlJc w:val="left"/>
      <w:pPr>
        <w:tabs>
          <w:tab w:val="left" w:pos="1182"/>
        </w:tabs>
        <w:ind w:left="1182" w:hanging="720"/>
      </w:pPr>
      <w:rPr>
        <w:rFonts w:hint="default"/>
        <w:b w:val="0"/>
        <w:bCs w:val="0"/>
      </w:rPr>
    </w:lvl>
    <w:lvl w:ilvl="1" w:tentative="0">
      <w:start w:val="1"/>
      <w:numFmt w:val="lowerLetter"/>
      <w:lvlText w:val="%2)"/>
      <w:lvlJc w:val="left"/>
      <w:pPr>
        <w:tabs>
          <w:tab w:val="left" w:pos="1302"/>
        </w:tabs>
        <w:ind w:left="1302" w:hanging="420"/>
      </w:pPr>
    </w:lvl>
    <w:lvl w:ilvl="2" w:tentative="0">
      <w:start w:val="1"/>
      <w:numFmt w:val="lowerRoman"/>
      <w:lvlText w:val="%3."/>
      <w:lvlJc w:val="right"/>
      <w:pPr>
        <w:tabs>
          <w:tab w:val="left" w:pos="1722"/>
        </w:tabs>
        <w:ind w:left="1722" w:hanging="420"/>
      </w:pPr>
    </w:lvl>
    <w:lvl w:ilvl="3" w:tentative="0">
      <w:start w:val="1"/>
      <w:numFmt w:val="decimal"/>
      <w:lvlText w:val="%4."/>
      <w:lvlJc w:val="left"/>
      <w:pPr>
        <w:tabs>
          <w:tab w:val="left" w:pos="2142"/>
        </w:tabs>
        <w:ind w:left="2142" w:hanging="420"/>
      </w:pPr>
    </w:lvl>
    <w:lvl w:ilvl="4" w:tentative="0">
      <w:start w:val="1"/>
      <w:numFmt w:val="lowerLetter"/>
      <w:lvlText w:val="%5)"/>
      <w:lvlJc w:val="left"/>
      <w:pPr>
        <w:tabs>
          <w:tab w:val="left" w:pos="2562"/>
        </w:tabs>
        <w:ind w:left="2562" w:hanging="420"/>
      </w:pPr>
    </w:lvl>
    <w:lvl w:ilvl="5" w:tentative="0">
      <w:start w:val="1"/>
      <w:numFmt w:val="lowerRoman"/>
      <w:lvlText w:val="%6."/>
      <w:lvlJc w:val="right"/>
      <w:pPr>
        <w:tabs>
          <w:tab w:val="left" w:pos="2982"/>
        </w:tabs>
        <w:ind w:left="2982" w:hanging="420"/>
      </w:pPr>
    </w:lvl>
    <w:lvl w:ilvl="6" w:tentative="0">
      <w:start w:val="1"/>
      <w:numFmt w:val="decimal"/>
      <w:lvlText w:val="%7."/>
      <w:lvlJc w:val="left"/>
      <w:pPr>
        <w:tabs>
          <w:tab w:val="left" w:pos="3402"/>
        </w:tabs>
        <w:ind w:left="3402" w:hanging="420"/>
      </w:pPr>
    </w:lvl>
    <w:lvl w:ilvl="7" w:tentative="0">
      <w:start w:val="1"/>
      <w:numFmt w:val="lowerLetter"/>
      <w:lvlText w:val="%8)"/>
      <w:lvlJc w:val="left"/>
      <w:pPr>
        <w:tabs>
          <w:tab w:val="left" w:pos="3822"/>
        </w:tabs>
        <w:ind w:left="3822" w:hanging="420"/>
      </w:pPr>
    </w:lvl>
    <w:lvl w:ilvl="8" w:tentative="0">
      <w:start w:val="1"/>
      <w:numFmt w:val="lowerRoman"/>
      <w:lvlText w:val="%9."/>
      <w:lvlJc w:val="right"/>
      <w:pPr>
        <w:tabs>
          <w:tab w:val="left" w:pos="4242"/>
        </w:tabs>
        <w:ind w:left="4242" w:hanging="420"/>
      </w:pPr>
    </w:lvl>
  </w:abstractNum>
  <w:abstractNum w:abstractNumId="7">
    <w:nsid w:val="00000016"/>
    <w:multiLevelType w:val="multilevel"/>
    <w:tmpl w:val="00000016"/>
    <w:lvl w:ilvl="0" w:tentative="0">
      <w:start w:val="1"/>
      <w:numFmt w:val="decimal"/>
      <w:lvlText w:val="（%1）"/>
      <w:lvlJc w:val="left"/>
      <w:pPr>
        <w:tabs>
          <w:tab w:val="left" w:pos="1080"/>
        </w:tabs>
        <w:ind w:left="1080" w:hanging="84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000017"/>
    <w:multiLevelType w:val="multilevel"/>
    <w:tmpl w:val="00000017"/>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0000018"/>
    <w:multiLevelType w:val="multilevel"/>
    <w:tmpl w:val="00000018"/>
    <w:lvl w:ilvl="0" w:tentative="0">
      <w:start w:val="1"/>
      <w:numFmt w:val="decimal"/>
      <w:lvlText w:val="%1."/>
      <w:lvlJc w:val="left"/>
      <w:pPr>
        <w:tabs>
          <w:tab w:val="left" w:pos="425"/>
        </w:tabs>
        <w:ind w:left="425" w:hanging="425"/>
      </w:pPr>
      <w:rPr>
        <w:rFonts w:hint="eastAsia"/>
      </w:rPr>
    </w:lvl>
    <w:lvl w:ilvl="1" w:tentative="0">
      <w:start w:val="1"/>
      <w:numFmt w:val="decimal"/>
      <w:lvlText w:val="%2."/>
      <w:lvlJc w:val="left"/>
      <w:pPr>
        <w:tabs>
          <w:tab w:val="left" w:pos="851"/>
        </w:tabs>
        <w:ind w:left="851" w:hanging="426"/>
      </w:pPr>
      <w:rPr>
        <w:rFonts w:hint="eastAsia"/>
      </w:rPr>
    </w:lvl>
    <w:lvl w:ilvl="2" w:tentative="0">
      <w:start w:val="1"/>
      <w:numFmt w:val="decimal"/>
      <w:lvlText w:val="%3."/>
      <w:lvlJc w:val="left"/>
      <w:pPr>
        <w:tabs>
          <w:tab w:val="left" w:pos="1276"/>
        </w:tabs>
        <w:ind w:left="1276" w:hanging="425"/>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0">
    <w:nsid w:val="0000001B"/>
    <w:multiLevelType w:val="multilevel"/>
    <w:tmpl w:val="0000001B"/>
    <w:lvl w:ilvl="0" w:tentative="0">
      <w:start w:val="1"/>
      <w:numFmt w:val="decimal"/>
      <w:lvlText w:val="（%1）"/>
      <w:lvlJc w:val="left"/>
      <w:pPr>
        <w:tabs>
          <w:tab w:val="left" w:pos="718"/>
        </w:tabs>
        <w:ind w:left="718"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5"/>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E"/>
    <w:multiLevelType w:val="multilevel"/>
    <w:tmpl w:val="0000001E"/>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0"/>
    <w:multiLevelType w:val="multilevel"/>
    <w:tmpl w:val="00000020"/>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80"/>
        </w:tabs>
        <w:ind w:left="180" w:hanging="420"/>
      </w:pPr>
    </w:lvl>
    <w:lvl w:ilvl="2" w:tentative="0">
      <w:start w:val="1"/>
      <w:numFmt w:val="lowerRoman"/>
      <w:lvlText w:val="%3."/>
      <w:lvlJc w:val="right"/>
      <w:pPr>
        <w:tabs>
          <w:tab w:val="left" w:pos="600"/>
        </w:tabs>
        <w:ind w:left="600" w:hanging="420"/>
      </w:pPr>
    </w:lvl>
    <w:lvl w:ilvl="3" w:tentative="0">
      <w:start w:val="1"/>
      <w:numFmt w:val="decimal"/>
      <w:lvlText w:val="%4."/>
      <w:lvlJc w:val="left"/>
      <w:pPr>
        <w:tabs>
          <w:tab w:val="left" w:pos="1020"/>
        </w:tabs>
        <w:ind w:left="1020" w:hanging="420"/>
      </w:pPr>
    </w:lvl>
    <w:lvl w:ilvl="4" w:tentative="0">
      <w:start w:val="1"/>
      <w:numFmt w:val="lowerLetter"/>
      <w:lvlText w:val="%5)"/>
      <w:lvlJc w:val="left"/>
      <w:pPr>
        <w:tabs>
          <w:tab w:val="left" w:pos="1440"/>
        </w:tabs>
        <w:ind w:left="1440" w:hanging="420"/>
      </w:pPr>
    </w:lvl>
    <w:lvl w:ilvl="5" w:tentative="0">
      <w:start w:val="1"/>
      <w:numFmt w:val="lowerRoman"/>
      <w:lvlText w:val="%6."/>
      <w:lvlJc w:val="right"/>
      <w:pPr>
        <w:tabs>
          <w:tab w:val="left" w:pos="1860"/>
        </w:tabs>
        <w:ind w:left="1860" w:hanging="420"/>
      </w:pPr>
    </w:lvl>
    <w:lvl w:ilvl="6" w:tentative="0">
      <w:start w:val="1"/>
      <w:numFmt w:val="decimal"/>
      <w:lvlText w:val="%7."/>
      <w:lvlJc w:val="left"/>
      <w:pPr>
        <w:tabs>
          <w:tab w:val="left" w:pos="2280"/>
        </w:tabs>
        <w:ind w:left="2280" w:hanging="420"/>
      </w:pPr>
    </w:lvl>
    <w:lvl w:ilvl="7" w:tentative="0">
      <w:start w:val="1"/>
      <w:numFmt w:val="lowerLetter"/>
      <w:lvlText w:val="%8)"/>
      <w:lvlJc w:val="left"/>
      <w:pPr>
        <w:tabs>
          <w:tab w:val="left" w:pos="2700"/>
        </w:tabs>
        <w:ind w:left="2700" w:hanging="420"/>
      </w:pPr>
    </w:lvl>
    <w:lvl w:ilvl="8" w:tentative="0">
      <w:start w:val="1"/>
      <w:numFmt w:val="lowerRoman"/>
      <w:lvlText w:val="%9."/>
      <w:lvlJc w:val="right"/>
      <w:pPr>
        <w:tabs>
          <w:tab w:val="left" w:pos="3120"/>
        </w:tabs>
        <w:ind w:left="3120" w:hanging="420"/>
      </w:pPr>
    </w:lvl>
  </w:abstractNum>
  <w:abstractNum w:abstractNumId="13">
    <w:nsid w:val="00000024"/>
    <w:multiLevelType w:val="multilevel"/>
    <w:tmpl w:val="00000024"/>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00000028"/>
    <w:multiLevelType w:val="multilevel"/>
    <w:tmpl w:val="00000028"/>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180"/>
        </w:tabs>
        <w:ind w:left="180" w:hanging="420"/>
      </w:p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1020"/>
        </w:tabs>
        <w:ind w:left="1020" w:hanging="420"/>
      </w:pPr>
    </w:lvl>
    <w:lvl w:ilvl="5" w:tentative="0">
      <w:start w:val="1"/>
      <w:numFmt w:val="lowerRoman"/>
      <w:lvlText w:val="%6."/>
      <w:lvlJc w:val="right"/>
      <w:pPr>
        <w:tabs>
          <w:tab w:val="left" w:pos="1440"/>
        </w:tabs>
        <w:ind w:left="1440" w:hanging="420"/>
      </w:pPr>
    </w:lvl>
    <w:lvl w:ilvl="6" w:tentative="0">
      <w:start w:val="1"/>
      <w:numFmt w:val="decimal"/>
      <w:lvlText w:val="%7."/>
      <w:lvlJc w:val="left"/>
      <w:pPr>
        <w:tabs>
          <w:tab w:val="left" w:pos="1860"/>
        </w:tabs>
        <w:ind w:left="1860" w:hanging="420"/>
      </w:pPr>
    </w:lvl>
    <w:lvl w:ilvl="7" w:tentative="0">
      <w:start w:val="1"/>
      <w:numFmt w:val="lowerLetter"/>
      <w:lvlText w:val="%8)"/>
      <w:lvlJc w:val="left"/>
      <w:pPr>
        <w:tabs>
          <w:tab w:val="left" w:pos="2280"/>
        </w:tabs>
        <w:ind w:left="2280" w:hanging="420"/>
      </w:pPr>
    </w:lvl>
    <w:lvl w:ilvl="8" w:tentative="0">
      <w:start w:val="1"/>
      <w:numFmt w:val="lowerRoman"/>
      <w:lvlText w:val="%9."/>
      <w:lvlJc w:val="right"/>
      <w:pPr>
        <w:tabs>
          <w:tab w:val="left" w:pos="2700"/>
        </w:tabs>
        <w:ind w:left="2700" w:hanging="420"/>
      </w:pPr>
    </w:lvl>
  </w:abstractNum>
  <w:abstractNum w:abstractNumId="15">
    <w:nsid w:val="0000002A"/>
    <w:multiLevelType w:val="multilevel"/>
    <w:tmpl w:val="0000002A"/>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851"/>
        </w:tabs>
        <w:ind w:left="851" w:hanging="426"/>
      </w:pPr>
      <w:rPr>
        <w:rFonts w:hint="eastAsia"/>
      </w:rPr>
    </w:lvl>
    <w:lvl w:ilvl="2" w:tentative="0">
      <w:start w:val="1"/>
      <w:numFmt w:val="decimal"/>
      <w:lvlText w:val="%3."/>
      <w:lvlJc w:val="left"/>
      <w:pPr>
        <w:tabs>
          <w:tab w:val="left" w:pos="1276"/>
        </w:tabs>
        <w:ind w:left="1276" w:hanging="425"/>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6">
    <w:nsid w:val="0000002D"/>
    <w:multiLevelType w:val="multilevel"/>
    <w:tmpl w:val="0000002D"/>
    <w:lvl w:ilvl="0" w:tentative="0">
      <w:start w:val="1"/>
      <w:numFmt w:val="decimal"/>
      <w:lvlText w:val="%1."/>
      <w:lvlJc w:val="left"/>
      <w:pPr>
        <w:tabs>
          <w:tab w:val="left" w:pos="992"/>
        </w:tabs>
        <w:ind w:left="992" w:hanging="425"/>
      </w:pPr>
      <w:rPr>
        <w:rFonts w:hint="eastAsia"/>
        <w:b/>
        <w:i w:val="0"/>
        <w:sz w:val="28"/>
        <w:szCs w:val="28"/>
      </w:rPr>
    </w:lvl>
    <w:lvl w:ilvl="1" w:tentative="0">
      <w:start w:val="1"/>
      <w:numFmt w:val="decimal"/>
      <w:lvlText w:val="%1.%2."/>
      <w:lvlJc w:val="left"/>
      <w:pPr>
        <w:tabs>
          <w:tab w:val="left" w:pos="567"/>
        </w:tabs>
        <w:ind w:left="567" w:hanging="567"/>
      </w:pPr>
      <w:rPr>
        <w:rFonts w:hint="eastAsia" w:ascii="宋体" w:hAnsi="宋体" w:eastAsia="宋体"/>
        <w:b/>
        <w:i w:val="0"/>
        <w:sz w:val="24"/>
        <w:szCs w:val="24"/>
      </w:rPr>
    </w:lvl>
    <w:lvl w:ilvl="2" w:tentative="0">
      <w:start w:val="1"/>
      <w:numFmt w:val="decimal"/>
      <w:lvlText w:val="%1.%2.%3."/>
      <w:lvlJc w:val="left"/>
      <w:pPr>
        <w:tabs>
          <w:tab w:val="left" w:pos="624"/>
        </w:tabs>
        <w:ind w:left="624" w:hanging="624"/>
      </w:pPr>
      <w:rPr>
        <w:rFonts w:hint="eastAsia" w:ascii="宋体" w:eastAsia="宋体"/>
        <w:b w:val="0"/>
        <w:i w:val="0"/>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0000002E"/>
    <w:multiLevelType w:val="multilevel"/>
    <w:tmpl w:val="0000002E"/>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39"/>
    <w:multiLevelType w:val="multilevel"/>
    <w:tmpl w:val="00000039"/>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180"/>
        </w:tabs>
        <w:ind w:left="180" w:hanging="420"/>
      </w:p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1020"/>
        </w:tabs>
        <w:ind w:left="1020" w:hanging="420"/>
      </w:pPr>
    </w:lvl>
    <w:lvl w:ilvl="5" w:tentative="0">
      <w:start w:val="1"/>
      <w:numFmt w:val="lowerRoman"/>
      <w:lvlText w:val="%6."/>
      <w:lvlJc w:val="right"/>
      <w:pPr>
        <w:tabs>
          <w:tab w:val="left" w:pos="1440"/>
        </w:tabs>
        <w:ind w:left="1440" w:hanging="420"/>
      </w:pPr>
    </w:lvl>
    <w:lvl w:ilvl="6" w:tentative="0">
      <w:start w:val="1"/>
      <w:numFmt w:val="decimal"/>
      <w:lvlText w:val="%7."/>
      <w:lvlJc w:val="left"/>
      <w:pPr>
        <w:tabs>
          <w:tab w:val="left" w:pos="1860"/>
        </w:tabs>
        <w:ind w:left="1860" w:hanging="420"/>
      </w:pPr>
    </w:lvl>
    <w:lvl w:ilvl="7" w:tentative="0">
      <w:start w:val="1"/>
      <w:numFmt w:val="lowerLetter"/>
      <w:lvlText w:val="%8)"/>
      <w:lvlJc w:val="left"/>
      <w:pPr>
        <w:tabs>
          <w:tab w:val="left" w:pos="2280"/>
        </w:tabs>
        <w:ind w:left="2280" w:hanging="420"/>
      </w:pPr>
    </w:lvl>
    <w:lvl w:ilvl="8" w:tentative="0">
      <w:start w:val="1"/>
      <w:numFmt w:val="lowerRoman"/>
      <w:lvlText w:val="%9."/>
      <w:lvlJc w:val="right"/>
      <w:pPr>
        <w:tabs>
          <w:tab w:val="left" w:pos="2700"/>
        </w:tabs>
        <w:ind w:left="2700" w:hanging="420"/>
      </w:pPr>
    </w:lvl>
  </w:abstractNum>
  <w:abstractNum w:abstractNumId="19">
    <w:nsid w:val="0000003B"/>
    <w:multiLevelType w:val="multilevel"/>
    <w:tmpl w:val="0000003B"/>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0000003C"/>
    <w:multiLevelType w:val="multilevel"/>
    <w:tmpl w:val="0000003C"/>
    <w:lvl w:ilvl="0" w:tentative="0">
      <w:start w:val="1"/>
      <w:numFmt w:val="decimal"/>
      <w:lvlText w:val="（%1）"/>
      <w:lvlJc w:val="left"/>
      <w:pPr>
        <w:tabs>
          <w:tab w:val="left" w:pos="1003"/>
        </w:tabs>
        <w:ind w:left="1003" w:hanging="720"/>
      </w:pPr>
      <w:rPr>
        <w:rFonts w:hint="eastAsia"/>
      </w:rPr>
    </w:lvl>
    <w:lvl w:ilvl="1" w:tentative="0">
      <w:start w:val="1"/>
      <w:numFmt w:val="lowerLetter"/>
      <w:lvlText w:val="%2）"/>
      <w:lvlJc w:val="left"/>
      <w:pPr>
        <w:tabs>
          <w:tab w:val="left" w:pos="1138"/>
        </w:tabs>
        <w:ind w:left="1138" w:hanging="571"/>
      </w:pPr>
      <w:rPr>
        <w:rFonts w:hint="default"/>
      </w:r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21">
    <w:nsid w:val="00000044"/>
    <w:multiLevelType w:val="multilevel"/>
    <w:tmpl w:val="00000044"/>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24E409BB"/>
    <w:multiLevelType w:val="multilevel"/>
    <w:tmpl w:val="24E409BB"/>
    <w:lvl w:ilvl="0" w:tentative="0">
      <w:start w:val="1"/>
      <w:numFmt w:val="decimal"/>
      <w:pStyle w:val="30"/>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276F7EC7"/>
    <w:multiLevelType w:val="multilevel"/>
    <w:tmpl w:val="276F7EC7"/>
    <w:lvl w:ilvl="0" w:tentative="0">
      <w:start w:val="1"/>
      <w:numFmt w:val="decimal"/>
      <w:lvlText w:val="%1、"/>
      <w:lvlJc w:val="left"/>
      <w:pPr>
        <w:ind w:left="1540" w:hanging="98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1"/>
      <w:numFmt w:val="decimal"/>
      <w:isLgl/>
      <w:suff w:val="space"/>
      <w:lvlText w:val="%1.%2.%3 "/>
      <w:lvlJc w:val="left"/>
      <w:pPr>
        <w:ind w:left="907" w:hanging="907"/>
      </w:pPr>
      <w:rPr>
        <w:rFonts w:hint="eastAsia"/>
      </w:rPr>
    </w:lvl>
    <w:lvl w:ilvl="3" w:tentative="0">
      <w:start w:val="1"/>
      <w:numFmt w:val="decimal"/>
      <w:isLgl/>
      <w:suff w:val="space"/>
      <w:lvlText w:val="%1.%2.%3.%4 "/>
      <w:lvlJc w:val="left"/>
      <w:pPr>
        <w:ind w:left="1021" w:hanging="1021"/>
      </w:pPr>
      <w:rPr>
        <w:rFonts w:hint="eastAsia"/>
      </w:rPr>
    </w:lvl>
    <w:lvl w:ilvl="4" w:tentative="0">
      <w:start w:val="1"/>
      <w:numFmt w:val="decimal"/>
      <w:pStyle w:val="26"/>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5">
    <w:nsid w:val="6B500E89"/>
    <w:multiLevelType w:val="singleLevel"/>
    <w:tmpl w:val="6B500E89"/>
    <w:lvl w:ilvl="0" w:tentative="0">
      <w:start w:val="1"/>
      <w:numFmt w:val="decimal"/>
      <w:suff w:val="nothing"/>
      <w:lvlText w:val="%1、"/>
      <w:lvlJc w:val="left"/>
    </w:lvl>
  </w:abstractNum>
  <w:abstractNum w:abstractNumId="26">
    <w:nsid w:val="75FD2BA9"/>
    <w:multiLevelType w:val="multilevel"/>
    <w:tmpl w:val="75FD2BA9"/>
    <w:lvl w:ilvl="0" w:tentative="0">
      <w:start w:val="1"/>
      <w:numFmt w:val="decimal"/>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24"/>
  </w:num>
  <w:num w:numId="2">
    <w:abstractNumId w:val="22"/>
  </w:num>
  <w:num w:numId="3">
    <w:abstractNumId w:val="1"/>
  </w:num>
  <w:num w:numId="4">
    <w:abstractNumId w:val="25"/>
  </w:num>
  <w:num w:numId="5">
    <w:abstractNumId w:val="16"/>
  </w:num>
  <w:num w:numId="6">
    <w:abstractNumId w:val="17"/>
  </w:num>
  <w:num w:numId="7">
    <w:abstractNumId w:val="10"/>
  </w:num>
  <w:num w:numId="8">
    <w:abstractNumId w:val="5"/>
  </w:num>
  <w:num w:numId="9">
    <w:abstractNumId w:val="4"/>
  </w:num>
  <w:num w:numId="10">
    <w:abstractNumId w:val="20"/>
  </w:num>
  <w:num w:numId="11">
    <w:abstractNumId w:val="26"/>
  </w:num>
  <w:num w:numId="12">
    <w:abstractNumId w:val="6"/>
  </w:num>
  <w:num w:numId="13">
    <w:abstractNumId w:val="3"/>
  </w:num>
  <w:num w:numId="14">
    <w:abstractNumId w:val="2"/>
  </w:num>
  <w:num w:numId="15">
    <w:abstractNumId w:val="0"/>
  </w:num>
  <w:num w:numId="16">
    <w:abstractNumId w:val="23"/>
  </w:num>
  <w:num w:numId="17">
    <w:abstractNumId w:val="15"/>
  </w:num>
  <w:num w:numId="18">
    <w:abstractNumId w:val="9"/>
  </w:num>
  <w:num w:numId="19">
    <w:abstractNumId w:val="8"/>
    <w:lvlOverride w:ilvl="0">
      <w:startOverride w:val="1"/>
    </w:lvlOverride>
  </w:num>
  <w:num w:numId="20">
    <w:abstractNumId w:val="14"/>
  </w:num>
  <w:num w:numId="21">
    <w:abstractNumId w:val="13"/>
    <w:lvlOverride w:ilvl="0">
      <w:startOverride w:val="1"/>
    </w:lvlOverride>
  </w:num>
  <w:num w:numId="22">
    <w:abstractNumId w:val="21"/>
    <w:lvlOverride w:ilvl="0">
      <w:startOverride w:val="1"/>
    </w:lvlOverride>
  </w:num>
  <w:num w:numId="23">
    <w:abstractNumId w:val="19"/>
    <w:lvlOverride w:ilvl="0">
      <w:startOverride w:val="1"/>
    </w:lvlOverride>
  </w:num>
  <w:num w:numId="24">
    <w:abstractNumId w:val="11"/>
  </w:num>
  <w:num w:numId="25">
    <w:abstractNumId w:val="18"/>
  </w:num>
  <w:num w:numId="26">
    <w:abstractNumId w:val="7"/>
    <w:lvlOverride w:ilvl="0">
      <w:startOverride w:val="1"/>
    </w:lvlOverride>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Yjc2OWJjZTE5YTA5YTRjYTg4ZDRlM2MwZGVlMjIifQ=="/>
  </w:docVars>
  <w:rsids>
    <w:rsidRoot w:val="14E80064"/>
    <w:rsid w:val="00003513"/>
    <w:rsid w:val="000114F2"/>
    <w:rsid w:val="000119F0"/>
    <w:rsid w:val="00025FDE"/>
    <w:rsid w:val="00027C92"/>
    <w:rsid w:val="00035CD4"/>
    <w:rsid w:val="000521A1"/>
    <w:rsid w:val="000807D1"/>
    <w:rsid w:val="000A3A05"/>
    <w:rsid w:val="000B0B6D"/>
    <w:rsid w:val="000B2BDF"/>
    <w:rsid w:val="000C5982"/>
    <w:rsid w:val="000D7C95"/>
    <w:rsid w:val="000E312F"/>
    <w:rsid w:val="00101559"/>
    <w:rsid w:val="001311E2"/>
    <w:rsid w:val="001318E3"/>
    <w:rsid w:val="00174C4D"/>
    <w:rsid w:val="00180739"/>
    <w:rsid w:val="001A0D70"/>
    <w:rsid w:val="001C5656"/>
    <w:rsid w:val="001E1F68"/>
    <w:rsid w:val="00212530"/>
    <w:rsid w:val="002165CA"/>
    <w:rsid w:val="002236E3"/>
    <w:rsid w:val="00250069"/>
    <w:rsid w:val="00254125"/>
    <w:rsid w:val="00261B1F"/>
    <w:rsid w:val="00273E9B"/>
    <w:rsid w:val="002A3FE0"/>
    <w:rsid w:val="002C4C93"/>
    <w:rsid w:val="002C5588"/>
    <w:rsid w:val="002C7278"/>
    <w:rsid w:val="002D3FB5"/>
    <w:rsid w:val="002F0E96"/>
    <w:rsid w:val="002F5F6D"/>
    <w:rsid w:val="0031482F"/>
    <w:rsid w:val="0031495F"/>
    <w:rsid w:val="00336E08"/>
    <w:rsid w:val="003414AF"/>
    <w:rsid w:val="00353F7C"/>
    <w:rsid w:val="003671F6"/>
    <w:rsid w:val="0037390F"/>
    <w:rsid w:val="003878A9"/>
    <w:rsid w:val="00387F5B"/>
    <w:rsid w:val="00392DAA"/>
    <w:rsid w:val="00394276"/>
    <w:rsid w:val="003A2D6E"/>
    <w:rsid w:val="003A35FE"/>
    <w:rsid w:val="003A51B4"/>
    <w:rsid w:val="003B254A"/>
    <w:rsid w:val="003B7C33"/>
    <w:rsid w:val="003D2FD9"/>
    <w:rsid w:val="003E41E3"/>
    <w:rsid w:val="003E6679"/>
    <w:rsid w:val="00455A2C"/>
    <w:rsid w:val="00472F60"/>
    <w:rsid w:val="00485F47"/>
    <w:rsid w:val="004A0523"/>
    <w:rsid w:val="004A27AC"/>
    <w:rsid w:val="004A4365"/>
    <w:rsid w:val="004D19D3"/>
    <w:rsid w:val="004F6361"/>
    <w:rsid w:val="0051180F"/>
    <w:rsid w:val="0051365D"/>
    <w:rsid w:val="00522F95"/>
    <w:rsid w:val="00540010"/>
    <w:rsid w:val="005A1BAF"/>
    <w:rsid w:val="005B12D8"/>
    <w:rsid w:val="005B2C85"/>
    <w:rsid w:val="005E5C0C"/>
    <w:rsid w:val="005F2A4E"/>
    <w:rsid w:val="005F406C"/>
    <w:rsid w:val="00615A18"/>
    <w:rsid w:val="006304C5"/>
    <w:rsid w:val="00630DB3"/>
    <w:rsid w:val="00632B3C"/>
    <w:rsid w:val="00635BA7"/>
    <w:rsid w:val="00636C9F"/>
    <w:rsid w:val="00642B39"/>
    <w:rsid w:val="00651F39"/>
    <w:rsid w:val="00660FE6"/>
    <w:rsid w:val="006B6ED9"/>
    <w:rsid w:val="006C2CBC"/>
    <w:rsid w:val="006F0E9F"/>
    <w:rsid w:val="006F14F7"/>
    <w:rsid w:val="0070163C"/>
    <w:rsid w:val="00704480"/>
    <w:rsid w:val="00706E64"/>
    <w:rsid w:val="0074623B"/>
    <w:rsid w:val="00765F52"/>
    <w:rsid w:val="00771148"/>
    <w:rsid w:val="00775975"/>
    <w:rsid w:val="007777A9"/>
    <w:rsid w:val="00782C5D"/>
    <w:rsid w:val="00785F17"/>
    <w:rsid w:val="00793E13"/>
    <w:rsid w:val="007B61AB"/>
    <w:rsid w:val="007D67AD"/>
    <w:rsid w:val="007E54C6"/>
    <w:rsid w:val="007E64B7"/>
    <w:rsid w:val="0081079A"/>
    <w:rsid w:val="00811953"/>
    <w:rsid w:val="00815C38"/>
    <w:rsid w:val="008250AA"/>
    <w:rsid w:val="008271EC"/>
    <w:rsid w:val="008350FC"/>
    <w:rsid w:val="00847B93"/>
    <w:rsid w:val="00896E32"/>
    <w:rsid w:val="008C6594"/>
    <w:rsid w:val="008D439B"/>
    <w:rsid w:val="008E33A5"/>
    <w:rsid w:val="008F063B"/>
    <w:rsid w:val="008F17F1"/>
    <w:rsid w:val="00915148"/>
    <w:rsid w:val="009155F5"/>
    <w:rsid w:val="00926AB7"/>
    <w:rsid w:val="00946466"/>
    <w:rsid w:val="00954302"/>
    <w:rsid w:val="009632AD"/>
    <w:rsid w:val="00967801"/>
    <w:rsid w:val="009841A5"/>
    <w:rsid w:val="009970FE"/>
    <w:rsid w:val="009B1D58"/>
    <w:rsid w:val="009B37F9"/>
    <w:rsid w:val="009F0E35"/>
    <w:rsid w:val="00A02AC0"/>
    <w:rsid w:val="00A13E10"/>
    <w:rsid w:val="00A359D8"/>
    <w:rsid w:val="00A46E74"/>
    <w:rsid w:val="00A92AB0"/>
    <w:rsid w:val="00AA42B9"/>
    <w:rsid w:val="00AB5FA8"/>
    <w:rsid w:val="00AB612E"/>
    <w:rsid w:val="00AC184D"/>
    <w:rsid w:val="00AD2FEC"/>
    <w:rsid w:val="00AE34C2"/>
    <w:rsid w:val="00B06D52"/>
    <w:rsid w:val="00B148D9"/>
    <w:rsid w:val="00B17836"/>
    <w:rsid w:val="00B5145D"/>
    <w:rsid w:val="00B54A78"/>
    <w:rsid w:val="00B558C6"/>
    <w:rsid w:val="00B711AA"/>
    <w:rsid w:val="00B80064"/>
    <w:rsid w:val="00B83699"/>
    <w:rsid w:val="00BA4023"/>
    <w:rsid w:val="00BB1DDA"/>
    <w:rsid w:val="00BB5EFB"/>
    <w:rsid w:val="00BB7DE1"/>
    <w:rsid w:val="00C2021D"/>
    <w:rsid w:val="00C401F9"/>
    <w:rsid w:val="00C44864"/>
    <w:rsid w:val="00C548C2"/>
    <w:rsid w:val="00C63C1C"/>
    <w:rsid w:val="00C9414C"/>
    <w:rsid w:val="00CB29FE"/>
    <w:rsid w:val="00CB60EA"/>
    <w:rsid w:val="00CC4E94"/>
    <w:rsid w:val="00D23983"/>
    <w:rsid w:val="00D30981"/>
    <w:rsid w:val="00D538F3"/>
    <w:rsid w:val="00D54C5B"/>
    <w:rsid w:val="00D72D7D"/>
    <w:rsid w:val="00D80F4C"/>
    <w:rsid w:val="00DB0769"/>
    <w:rsid w:val="00DC5E37"/>
    <w:rsid w:val="00DD584F"/>
    <w:rsid w:val="00DE5743"/>
    <w:rsid w:val="00E00794"/>
    <w:rsid w:val="00E10316"/>
    <w:rsid w:val="00E115D2"/>
    <w:rsid w:val="00E42735"/>
    <w:rsid w:val="00E56AC2"/>
    <w:rsid w:val="00E574F9"/>
    <w:rsid w:val="00E70EDF"/>
    <w:rsid w:val="00E80870"/>
    <w:rsid w:val="00E92FB3"/>
    <w:rsid w:val="00EA2C73"/>
    <w:rsid w:val="00EA341D"/>
    <w:rsid w:val="00ED3E2A"/>
    <w:rsid w:val="00F14623"/>
    <w:rsid w:val="00F76BB5"/>
    <w:rsid w:val="00F841D8"/>
    <w:rsid w:val="00FB1F41"/>
    <w:rsid w:val="00FC02F1"/>
    <w:rsid w:val="00FC213B"/>
    <w:rsid w:val="00FE06B2"/>
    <w:rsid w:val="00FE3A27"/>
    <w:rsid w:val="0149387F"/>
    <w:rsid w:val="015B1711"/>
    <w:rsid w:val="016C2D4F"/>
    <w:rsid w:val="01913F2E"/>
    <w:rsid w:val="01BD35AB"/>
    <w:rsid w:val="01E01396"/>
    <w:rsid w:val="01EA15AE"/>
    <w:rsid w:val="0201024B"/>
    <w:rsid w:val="020A582B"/>
    <w:rsid w:val="02116F8E"/>
    <w:rsid w:val="02307626"/>
    <w:rsid w:val="02353A89"/>
    <w:rsid w:val="02424C63"/>
    <w:rsid w:val="0253501B"/>
    <w:rsid w:val="02711675"/>
    <w:rsid w:val="03051614"/>
    <w:rsid w:val="03583042"/>
    <w:rsid w:val="04180F6C"/>
    <w:rsid w:val="043F6B5C"/>
    <w:rsid w:val="04642403"/>
    <w:rsid w:val="04925AA8"/>
    <w:rsid w:val="04B56119"/>
    <w:rsid w:val="04D255BF"/>
    <w:rsid w:val="04D97739"/>
    <w:rsid w:val="04E470A0"/>
    <w:rsid w:val="04F80D9E"/>
    <w:rsid w:val="051D4ABC"/>
    <w:rsid w:val="053C1725"/>
    <w:rsid w:val="055C7DBF"/>
    <w:rsid w:val="05A236EF"/>
    <w:rsid w:val="05AD2A4A"/>
    <w:rsid w:val="05BC4C88"/>
    <w:rsid w:val="05BE5B43"/>
    <w:rsid w:val="05D2498E"/>
    <w:rsid w:val="05E8024A"/>
    <w:rsid w:val="0612604E"/>
    <w:rsid w:val="06194C1F"/>
    <w:rsid w:val="06233BF8"/>
    <w:rsid w:val="06AB256C"/>
    <w:rsid w:val="070944A2"/>
    <w:rsid w:val="073B085A"/>
    <w:rsid w:val="07DD405D"/>
    <w:rsid w:val="07E86EA8"/>
    <w:rsid w:val="08080B38"/>
    <w:rsid w:val="0824537E"/>
    <w:rsid w:val="08862889"/>
    <w:rsid w:val="08C761C3"/>
    <w:rsid w:val="08EB6363"/>
    <w:rsid w:val="09005079"/>
    <w:rsid w:val="09083CDF"/>
    <w:rsid w:val="09491769"/>
    <w:rsid w:val="096D5ED4"/>
    <w:rsid w:val="0974577D"/>
    <w:rsid w:val="099472E7"/>
    <w:rsid w:val="09B57722"/>
    <w:rsid w:val="09DC5D64"/>
    <w:rsid w:val="0A2419F4"/>
    <w:rsid w:val="0A3E7253"/>
    <w:rsid w:val="0A544707"/>
    <w:rsid w:val="0AA572D2"/>
    <w:rsid w:val="0AB21872"/>
    <w:rsid w:val="0AF27D49"/>
    <w:rsid w:val="0B024724"/>
    <w:rsid w:val="0B095AB3"/>
    <w:rsid w:val="0B2823DD"/>
    <w:rsid w:val="0B2B1E84"/>
    <w:rsid w:val="0B463A69"/>
    <w:rsid w:val="0B5D2C83"/>
    <w:rsid w:val="0B645BD8"/>
    <w:rsid w:val="0B674587"/>
    <w:rsid w:val="0B8C1A60"/>
    <w:rsid w:val="0BA51CE9"/>
    <w:rsid w:val="0BAE7D0D"/>
    <w:rsid w:val="0BD554C3"/>
    <w:rsid w:val="0BEF25E8"/>
    <w:rsid w:val="0C071593"/>
    <w:rsid w:val="0C0D5BDF"/>
    <w:rsid w:val="0C2D5C0E"/>
    <w:rsid w:val="0C61058B"/>
    <w:rsid w:val="0C9615C8"/>
    <w:rsid w:val="0C986E0F"/>
    <w:rsid w:val="0CDB6FDB"/>
    <w:rsid w:val="0CEF778A"/>
    <w:rsid w:val="0CF602B9"/>
    <w:rsid w:val="0D4265B5"/>
    <w:rsid w:val="0D5F633D"/>
    <w:rsid w:val="0DB372EB"/>
    <w:rsid w:val="0DBE0BAB"/>
    <w:rsid w:val="0DBF4B4E"/>
    <w:rsid w:val="0DEF7F97"/>
    <w:rsid w:val="0E0444F7"/>
    <w:rsid w:val="0EC153FD"/>
    <w:rsid w:val="0EC817E1"/>
    <w:rsid w:val="0EEA34ED"/>
    <w:rsid w:val="0EEC00F8"/>
    <w:rsid w:val="0F40038E"/>
    <w:rsid w:val="0F7F00F1"/>
    <w:rsid w:val="0F8B4CE8"/>
    <w:rsid w:val="0FA83572"/>
    <w:rsid w:val="0FBD6FAC"/>
    <w:rsid w:val="0FD20DE3"/>
    <w:rsid w:val="0FD33393"/>
    <w:rsid w:val="10004C14"/>
    <w:rsid w:val="101200E7"/>
    <w:rsid w:val="10294227"/>
    <w:rsid w:val="10825F80"/>
    <w:rsid w:val="10950C40"/>
    <w:rsid w:val="10E05EE0"/>
    <w:rsid w:val="10FB41BF"/>
    <w:rsid w:val="11086FF2"/>
    <w:rsid w:val="11261D15"/>
    <w:rsid w:val="113969C6"/>
    <w:rsid w:val="115A63CB"/>
    <w:rsid w:val="11844658"/>
    <w:rsid w:val="11BA18B5"/>
    <w:rsid w:val="11BC70DF"/>
    <w:rsid w:val="11D32976"/>
    <w:rsid w:val="11D66BD3"/>
    <w:rsid w:val="11E3705D"/>
    <w:rsid w:val="11E50EBA"/>
    <w:rsid w:val="122116AA"/>
    <w:rsid w:val="12215409"/>
    <w:rsid w:val="12897F91"/>
    <w:rsid w:val="12BE5C3A"/>
    <w:rsid w:val="13005E30"/>
    <w:rsid w:val="130415A7"/>
    <w:rsid w:val="13342BBC"/>
    <w:rsid w:val="13776035"/>
    <w:rsid w:val="13935F69"/>
    <w:rsid w:val="13D36C5E"/>
    <w:rsid w:val="13DE32F5"/>
    <w:rsid w:val="13E35169"/>
    <w:rsid w:val="14214D47"/>
    <w:rsid w:val="14221993"/>
    <w:rsid w:val="1460693B"/>
    <w:rsid w:val="14686C08"/>
    <w:rsid w:val="148C5CE3"/>
    <w:rsid w:val="149D556B"/>
    <w:rsid w:val="14D24E98"/>
    <w:rsid w:val="14D7710F"/>
    <w:rsid w:val="14DC1B42"/>
    <w:rsid w:val="14E80064"/>
    <w:rsid w:val="14E84005"/>
    <w:rsid w:val="15442DA1"/>
    <w:rsid w:val="15757437"/>
    <w:rsid w:val="15DB116D"/>
    <w:rsid w:val="15E62ABE"/>
    <w:rsid w:val="15E67FC7"/>
    <w:rsid w:val="15FC1289"/>
    <w:rsid w:val="16697C3F"/>
    <w:rsid w:val="167124B1"/>
    <w:rsid w:val="17312619"/>
    <w:rsid w:val="174302A6"/>
    <w:rsid w:val="175B58E8"/>
    <w:rsid w:val="17A9609E"/>
    <w:rsid w:val="17C16375"/>
    <w:rsid w:val="17DB4333"/>
    <w:rsid w:val="17DE6FE5"/>
    <w:rsid w:val="17E0107E"/>
    <w:rsid w:val="18182FC2"/>
    <w:rsid w:val="18361B90"/>
    <w:rsid w:val="18457DC0"/>
    <w:rsid w:val="18566322"/>
    <w:rsid w:val="18585984"/>
    <w:rsid w:val="186F18DD"/>
    <w:rsid w:val="188E3A9B"/>
    <w:rsid w:val="1891222E"/>
    <w:rsid w:val="18E522DC"/>
    <w:rsid w:val="19334981"/>
    <w:rsid w:val="194F12DF"/>
    <w:rsid w:val="19614D0C"/>
    <w:rsid w:val="197C1B46"/>
    <w:rsid w:val="199D69EC"/>
    <w:rsid w:val="19BD250E"/>
    <w:rsid w:val="19DD25B8"/>
    <w:rsid w:val="1A023DF9"/>
    <w:rsid w:val="1A181FF9"/>
    <w:rsid w:val="1AEB51C6"/>
    <w:rsid w:val="1AFA5418"/>
    <w:rsid w:val="1B3D192B"/>
    <w:rsid w:val="1B4B018A"/>
    <w:rsid w:val="1B707FFD"/>
    <w:rsid w:val="1B974A15"/>
    <w:rsid w:val="1C3D0B31"/>
    <w:rsid w:val="1C6E7E6B"/>
    <w:rsid w:val="1CA03045"/>
    <w:rsid w:val="1CCB791D"/>
    <w:rsid w:val="1CCF5801"/>
    <w:rsid w:val="1D097B94"/>
    <w:rsid w:val="1D571E93"/>
    <w:rsid w:val="1D8D2573"/>
    <w:rsid w:val="1DAB72A4"/>
    <w:rsid w:val="1DCC3099"/>
    <w:rsid w:val="1DD5539C"/>
    <w:rsid w:val="1DF95513"/>
    <w:rsid w:val="1E01438A"/>
    <w:rsid w:val="1E085B47"/>
    <w:rsid w:val="1EA15AAE"/>
    <w:rsid w:val="1EA943EC"/>
    <w:rsid w:val="1ED61694"/>
    <w:rsid w:val="1EDF295B"/>
    <w:rsid w:val="1EEB5EDD"/>
    <w:rsid w:val="1EFF2FFD"/>
    <w:rsid w:val="1F152835"/>
    <w:rsid w:val="1F182311"/>
    <w:rsid w:val="1F2D6B9F"/>
    <w:rsid w:val="1F841754"/>
    <w:rsid w:val="1F8E278C"/>
    <w:rsid w:val="1FA0658E"/>
    <w:rsid w:val="1FF97A7C"/>
    <w:rsid w:val="200B3CEB"/>
    <w:rsid w:val="20786A36"/>
    <w:rsid w:val="2096173F"/>
    <w:rsid w:val="20E61817"/>
    <w:rsid w:val="20ED401B"/>
    <w:rsid w:val="210963B5"/>
    <w:rsid w:val="21253DCE"/>
    <w:rsid w:val="21257669"/>
    <w:rsid w:val="212C14C6"/>
    <w:rsid w:val="215C64E4"/>
    <w:rsid w:val="221C7F7A"/>
    <w:rsid w:val="225B1A18"/>
    <w:rsid w:val="22743D02"/>
    <w:rsid w:val="22A86407"/>
    <w:rsid w:val="22DE0141"/>
    <w:rsid w:val="230E1A60"/>
    <w:rsid w:val="233069EB"/>
    <w:rsid w:val="234D77E6"/>
    <w:rsid w:val="2358370B"/>
    <w:rsid w:val="23705A35"/>
    <w:rsid w:val="238064DA"/>
    <w:rsid w:val="23B07D9F"/>
    <w:rsid w:val="2409047A"/>
    <w:rsid w:val="2412563A"/>
    <w:rsid w:val="24137AEC"/>
    <w:rsid w:val="248166DC"/>
    <w:rsid w:val="24B471FC"/>
    <w:rsid w:val="24D85482"/>
    <w:rsid w:val="24F63006"/>
    <w:rsid w:val="24FA6CB4"/>
    <w:rsid w:val="252B2B76"/>
    <w:rsid w:val="254A7B63"/>
    <w:rsid w:val="25735382"/>
    <w:rsid w:val="258B7677"/>
    <w:rsid w:val="25977383"/>
    <w:rsid w:val="25BA1451"/>
    <w:rsid w:val="25C96BD9"/>
    <w:rsid w:val="25CC18FD"/>
    <w:rsid w:val="25D02FFD"/>
    <w:rsid w:val="25E133B0"/>
    <w:rsid w:val="25EF7EB4"/>
    <w:rsid w:val="26AA1AA0"/>
    <w:rsid w:val="26AD333E"/>
    <w:rsid w:val="26C2317A"/>
    <w:rsid w:val="26EC048E"/>
    <w:rsid w:val="270A253F"/>
    <w:rsid w:val="274365E7"/>
    <w:rsid w:val="277037E3"/>
    <w:rsid w:val="27816401"/>
    <w:rsid w:val="27A07B52"/>
    <w:rsid w:val="27AB7F0C"/>
    <w:rsid w:val="27CB7F20"/>
    <w:rsid w:val="28370609"/>
    <w:rsid w:val="286F7934"/>
    <w:rsid w:val="28915073"/>
    <w:rsid w:val="28915A91"/>
    <w:rsid w:val="28D430FD"/>
    <w:rsid w:val="28E10DCA"/>
    <w:rsid w:val="298D3A93"/>
    <w:rsid w:val="29A75D96"/>
    <w:rsid w:val="29C25B43"/>
    <w:rsid w:val="29EC44EC"/>
    <w:rsid w:val="29FE1114"/>
    <w:rsid w:val="2A085940"/>
    <w:rsid w:val="2A0B4A72"/>
    <w:rsid w:val="2A211240"/>
    <w:rsid w:val="2A235F6B"/>
    <w:rsid w:val="2A866EFF"/>
    <w:rsid w:val="2A93214D"/>
    <w:rsid w:val="2AB12710"/>
    <w:rsid w:val="2ABA1ABD"/>
    <w:rsid w:val="2ABC0600"/>
    <w:rsid w:val="2B144FF9"/>
    <w:rsid w:val="2B256D67"/>
    <w:rsid w:val="2B6F05C0"/>
    <w:rsid w:val="2B717030"/>
    <w:rsid w:val="2B775256"/>
    <w:rsid w:val="2B8D1764"/>
    <w:rsid w:val="2BC82CD1"/>
    <w:rsid w:val="2BD11129"/>
    <w:rsid w:val="2C077995"/>
    <w:rsid w:val="2C0954BB"/>
    <w:rsid w:val="2C17087E"/>
    <w:rsid w:val="2C1A544E"/>
    <w:rsid w:val="2C634FD8"/>
    <w:rsid w:val="2C901738"/>
    <w:rsid w:val="2CAA1F3D"/>
    <w:rsid w:val="2CB87278"/>
    <w:rsid w:val="2CFE48F4"/>
    <w:rsid w:val="2CFF48FC"/>
    <w:rsid w:val="2D4F798C"/>
    <w:rsid w:val="2D650C74"/>
    <w:rsid w:val="2D73689F"/>
    <w:rsid w:val="2D8D4316"/>
    <w:rsid w:val="2D8F7C42"/>
    <w:rsid w:val="2E047BD9"/>
    <w:rsid w:val="2E073604"/>
    <w:rsid w:val="2E181B83"/>
    <w:rsid w:val="2E2E745B"/>
    <w:rsid w:val="2E6C3ADF"/>
    <w:rsid w:val="2E727C09"/>
    <w:rsid w:val="2E8207CF"/>
    <w:rsid w:val="2EA032F5"/>
    <w:rsid w:val="2EC6256C"/>
    <w:rsid w:val="2ED74269"/>
    <w:rsid w:val="2EDF69E9"/>
    <w:rsid w:val="2EEC383E"/>
    <w:rsid w:val="2F3F343D"/>
    <w:rsid w:val="2F45568A"/>
    <w:rsid w:val="2F797675"/>
    <w:rsid w:val="2F847F27"/>
    <w:rsid w:val="2F8F217B"/>
    <w:rsid w:val="2FD565C8"/>
    <w:rsid w:val="2FD72582"/>
    <w:rsid w:val="2FDE3462"/>
    <w:rsid w:val="2FE72824"/>
    <w:rsid w:val="30754171"/>
    <w:rsid w:val="309061AB"/>
    <w:rsid w:val="309970A5"/>
    <w:rsid w:val="30BF439A"/>
    <w:rsid w:val="31094153"/>
    <w:rsid w:val="314912FA"/>
    <w:rsid w:val="3152227B"/>
    <w:rsid w:val="315B1113"/>
    <w:rsid w:val="318F1FBE"/>
    <w:rsid w:val="31A6555A"/>
    <w:rsid w:val="31B44746"/>
    <w:rsid w:val="31B509DA"/>
    <w:rsid w:val="31DE6E9B"/>
    <w:rsid w:val="31EF65C4"/>
    <w:rsid w:val="31F864CD"/>
    <w:rsid w:val="32224CF4"/>
    <w:rsid w:val="322E3AE0"/>
    <w:rsid w:val="32384B7E"/>
    <w:rsid w:val="325925CC"/>
    <w:rsid w:val="325D50EF"/>
    <w:rsid w:val="325E7BE3"/>
    <w:rsid w:val="32B211FA"/>
    <w:rsid w:val="32FE389F"/>
    <w:rsid w:val="337F7260"/>
    <w:rsid w:val="33884F17"/>
    <w:rsid w:val="3392223A"/>
    <w:rsid w:val="33941D8B"/>
    <w:rsid w:val="33B26438"/>
    <w:rsid w:val="33C87A09"/>
    <w:rsid w:val="33DE0EF4"/>
    <w:rsid w:val="33E25A21"/>
    <w:rsid w:val="33F71CB6"/>
    <w:rsid w:val="34333C43"/>
    <w:rsid w:val="34382E6A"/>
    <w:rsid w:val="347708B6"/>
    <w:rsid w:val="34785228"/>
    <w:rsid w:val="348558FB"/>
    <w:rsid w:val="34AF5BBF"/>
    <w:rsid w:val="350B01B2"/>
    <w:rsid w:val="35152562"/>
    <w:rsid w:val="355E0625"/>
    <w:rsid w:val="35634DCD"/>
    <w:rsid w:val="357B6FFD"/>
    <w:rsid w:val="35891FE6"/>
    <w:rsid w:val="35DC5D64"/>
    <w:rsid w:val="35F42D38"/>
    <w:rsid w:val="3607238A"/>
    <w:rsid w:val="364D1BC2"/>
    <w:rsid w:val="365B5D30"/>
    <w:rsid w:val="365F4A1C"/>
    <w:rsid w:val="36794FEB"/>
    <w:rsid w:val="369330CC"/>
    <w:rsid w:val="36BD7183"/>
    <w:rsid w:val="36CF005F"/>
    <w:rsid w:val="36D6243D"/>
    <w:rsid w:val="36FB3175"/>
    <w:rsid w:val="37004430"/>
    <w:rsid w:val="37490E61"/>
    <w:rsid w:val="37690328"/>
    <w:rsid w:val="3770184A"/>
    <w:rsid w:val="37823E0A"/>
    <w:rsid w:val="378C298F"/>
    <w:rsid w:val="37A93C63"/>
    <w:rsid w:val="38874A6D"/>
    <w:rsid w:val="38892B0F"/>
    <w:rsid w:val="38B53FE5"/>
    <w:rsid w:val="38BE0AC7"/>
    <w:rsid w:val="38CA31D2"/>
    <w:rsid w:val="39167469"/>
    <w:rsid w:val="394C157B"/>
    <w:rsid w:val="39D00CAB"/>
    <w:rsid w:val="39D97827"/>
    <w:rsid w:val="39E6090E"/>
    <w:rsid w:val="3A1B045D"/>
    <w:rsid w:val="3A500759"/>
    <w:rsid w:val="3A8A5A19"/>
    <w:rsid w:val="3A8B353F"/>
    <w:rsid w:val="3AAB3C48"/>
    <w:rsid w:val="3AC0768C"/>
    <w:rsid w:val="3AD3639A"/>
    <w:rsid w:val="3AE04793"/>
    <w:rsid w:val="3AF64E5C"/>
    <w:rsid w:val="3B2732F2"/>
    <w:rsid w:val="3B47390A"/>
    <w:rsid w:val="3B6C0E00"/>
    <w:rsid w:val="3B73443D"/>
    <w:rsid w:val="3C0417FB"/>
    <w:rsid w:val="3C1934F8"/>
    <w:rsid w:val="3C1C326E"/>
    <w:rsid w:val="3C9B34CE"/>
    <w:rsid w:val="3CAF5C0A"/>
    <w:rsid w:val="3D1037AC"/>
    <w:rsid w:val="3D164E1A"/>
    <w:rsid w:val="3D2441A7"/>
    <w:rsid w:val="3D2F3321"/>
    <w:rsid w:val="3D5578FF"/>
    <w:rsid w:val="3D734E8A"/>
    <w:rsid w:val="3DD73F69"/>
    <w:rsid w:val="3E0529A7"/>
    <w:rsid w:val="3E194289"/>
    <w:rsid w:val="3E44789A"/>
    <w:rsid w:val="3E6912FB"/>
    <w:rsid w:val="3E702C2C"/>
    <w:rsid w:val="3E772758"/>
    <w:rsid w:val="3EBE3373"/>
    <w:rsid w:val="3ECE7A25"/>
    <w:rsid w:val="3F0B5CB4"/>
    <w:rsid w:val="3F11379C"/>
    <w:rsid w:val="3FAE03FB"/>
    <w:rsid w:val="3FB63989"/>
    <w:rsid w:val="400A22B3"/>
    <w:rsid w:val="407F58F4"/>
    <w:rsid w:val="40BB2DD0"/>
    <w:rsid w:val="40FE02CD"/>
    <w:rsid w:val="410455F8"/>
    <w:rsid w:val="411E2A95"/>
    <w:rsid w:val="412913B3"/>
    <w:rsid w:val="413F2208"/>
    <w:rsid w:val="419155BA"/>
    <w:rsid w:val="41B25855"/>
    <w:rsid w:val="41C71D7F"/>
    <w:rsid w:val="420B6DA3"/>
    <w:rsid w:val="42145A0F"/>
    <w:rsid w:val="42196DDF"/>
    <w:rsid w:val="42470697"/>
    <w:rsid w:val="42486FCB"/>
    <w:rsid w:val="424D246F"/>
    <w:rsid w:val="4254039B"/>
    <w:rsid w:val="425644C6"/>
    <w:rsid w:val="42582607"/>
    <w:rsid w:val="42DC236B"/>
    <w:rsid w:val="438F117D"/>
    <w:rsid w:val="43A14668"/>
    <w:rsid w:val="43A242EA"/>
    <w:rsid w:val="43B361C0"/>
    <w:rsid w:val="43EF4B3E"/>
    <w:rsid w:val="44153F75"/>
    <w:rsid w:val="442422ED"/>
    <w:rsid w:val="44315D0E"/>
    <w:rsid w:val="445175A7"/>
    <w:rsid w:val="44692B43"/>
    <w:rsid w:val="44B518E4"/>
    <w:rsid w:val="44DA35C7"/>
    <w:rsid w:val="44F850B6"/>
    <w:rsid w:val="45331274"/>
    <w:rsid w:val="453D5985"/>
    <w:rsid w:val="455E5972"/>
    <w:rsid w:val="458911AC"/>
    <w:rsid w:val="458A4B1F"/>
    <w:rsid w:val="458C71F1"/>
    <w:rsid w:val="4595695A"/>
    <w:rsid w:val="45E02D1E"/>
    <w:rsid w:val="45E532CF"/>
    <w:rsid w:val="45EE38F9"/>
    <w:rsid w:val="461D0077"/>
    <w:rsid w:val="46241386"/>
    <w:rsid w:val="463C0071"/>
    <w:rsid w:val="46573CAF"/>
    <w:rsid w:val="465C0855"/>
    <w:rsid w:val="46625A9C"/>
    <w:rsid w:val="46A31ED0"/>
    <w:rsid w:val="46BB6628"/>
    <w:rsid w:val="46C04776"/>
    <w:rsid w:val="46CE1383"/>
    <w:rsid w:val="46D52711"/>
    <w:rsid w:val="46E87790"/>
    <w:rsid w:val="47063F49"/>
    <w:rsid w:val="476D3550"/>
    <w:rsid w:val="478C3746"/>
    <w:rsid w:val="47B24801"/>
    <w:rsid w:val="47EA7AF7"/>
    <w:rsid w:val="47F73673"/>
    <w:rsid w:val="480601DB"/>
    <w:rsid w:val="489E3D34"/>
    <w:rsid w:val="48E64762"/>
    <w:rsid w:val="48F0738F"/>
    <w:rsid w:val="492406B9"/>
    <w:rsid w:val="492928A1"/>
    <w:rsid w:val="49422E32"/>
    <w:rsid w:val="49596F78"/>
    <w:rsid w:val="49730F71"/>
    <w:rsid w:val="497C164E"/>
    <w:rsid w:val="498F36CA"/>
    <w:rsid w:val="49B550C8"/>
    <w:rsid w:val="49F11DE2"/>
    <w:rsid w:val="4A111CB3"/>
    <w:rsid w:val="4A235BFF"/>
    <w:rsid w:val="4A6E0EB3"/>
    <w:rsid w:val="4A71274F"/>
    <w:rsid w:val="4A812AB9"/>
    <w:rsid w:val="4A977748"/>
    <w:rsid w:val="4A9E2E1A"/>
    <w:rsid w:val="4AB83EDC"/>
    <w:rsid w:val="4AC76C4F"/>
    <w:rsid w:val="4AD433F8"/>
    <w:rsid w:val="4B470C19"/>
    <w:rsid w:val="4B5D6199"/>
    <w:rsid w:val="4B6107AF"/>
    <w:rsid w:val="4B6B0F4E"/>
    <w:rsid w:val="4B8D5369"/>
    <w:rsid w:val="4B907299"/>
    <w:rsid w:val="4C4B65A9"/>
    <w:rsid w:val="4C582E1C"/>
    <w:rsid w:val="4C696B2F"/>
    <w:rsid w:val="4CC17DB9"/>
    <w:rsid w:val="4CE64697"/>
    <w:rsid w:val="4D3F1614"/>
    <w:rsid w:val="4D7847DB"/>
    <w:rsid w:val="4D7978CB"/>
    <w:rsid w:val="4D8545D5"/>
    <w:rsid w:val="4D917728"/>
    <w:rsid w:val="4DA42E3E"/>
    <w:rsid w:val="4DA5785B"/>
    <w:rsid w:val="4E21448E"/>
    <w:rsid w:val="4E2C1C98"/>
    <w:rsid w:val="4E705801"/>
    <w:rsid w:val="4E857A95"/>
    <w:rsid w:val="4E955B0A"/>
    <w:rsid w:val="4E9D1D67"/>
    <w:rsid w:val="4EB32FAB"/>
    <w:rsid w:val="4F5B752C"/>
    <w:rsid w:val="4F636712"/>
    <w:rsid w:val="4F712DB5"/>
    <w:rsid w:val="4F865541"/>
    <w:rsid w:val="4F9A28B3"/>
    <w:rsid w:val="4FB20036"/>
    <w:rsid w:val="50146059"/>
    <w:rsid w:val="502D1505"/>
    <w:rsid w:val="50501542"/>
    <w:rsid w:val="50556BD9"/>
    <w:rsid w:val="5076286F"/>
    <w:rsid w:val="507A71C3"/>
    <w:rsid w:val="50E83041"/>
    <w:rsid w:val="51316887"/>
    <w:rsid w:val="51B82697"/>
    <w:rsid w:val="52233BB7"/>
    <w:rsid w:val="52291B63"/>
    <w:rsid w:val="522C7020"/>
    <w:rsid w:val="52447115"/>
    <w:rsid w:val="524647DD"/>
    <w:rsid w:val="52D57040"/>
    <w:rsid w:val="52DE3784"/>
    <w:rsid w:val="52F23789"/>
    <w:rsid w:val="52FA7B7D"/>
    <w:rsid w:val="5306304F"/>
    <w:rsid w:val="531E277F"/>
    <w:rsid w:val="5374613B"/>
    <w:rsid w:val="537617D2"/>
    <w:rsid w:val="537A5F69"/>
    <w:rsid w:val="53A54913"/>
    <w:rsid w:val="53C01368"/>
    <w:rsid w:val="53E43AF4"/>
    <w:rsid w:val="53EC4BF7"/>
    <w:rsid w:val="54037803"/>
    <w:rsid w:val="546772D8"/>
    <w:rsid w:val="546876C3"/>
    <w:rsid w:val="5495796A"/>
    <w:rsid w:val="54DF470C"/>
    <w:rsid w:val="551A3848"/>
    <w:rsid w:val="553E76D4"/>
    <w:rsid w:val="556C2528"/>
    <w:rsid w:val="556E0DAD"/>
    <w:rsid w:val="557F2C14"/>
    <w:rsid w:val="558E4CFF"/>
    <w:rsid w:val="55B94A9A"/>
    <w:rsid w:val="55BF4163"/>
    <w:rsid w:val="55FF50B5"/>
    <w:rsid w:val="563E0835"/>
    <w:rsid w:val="564938B9"/>
    <w:rsid w:val="567C4300"/>
    <w:rsid w:val="56B7472F"/>
    <w:rsid w:val="56C907A9"/>
    <w:rsid w:val="572D17FA"/>
    <w:rsid w:val="57BD5228"/>
    <w:rsid w:val="581A42F7"/>
    <w:rsid w:val="58262DCD"/>
    <w:rsid w:val="58612945"/>
    <w:rsid w:val="58886B28"/>
    <w:rsid w:val="58C07D7B"/>
    <w:rsid w:val="58F44C79"/>
    <w:rsid w:val="59254EBA"/>
    <w:rsid w:val="59870090"/>
    <w:rsid w:val="5992781E"/>
    <w:rsid w:val="59B47F65"/>
    <w:rsid w:val="5A294DD1"/>
    <w:rsid w:val="5A8E1704"/>
    <w:rsid w:val="5AA03AB8"/>
    <w:rsid w:val="5B0F69FF"/>
    <w:rsid w:val="5B4104F6"/>
    <w:rsid w:val="5B6B0AF7"/>
    <w:rsid w:val="5BA5289C"/>
    <w:rsid w:val="5BB00A38"/>
    <w:rsid w:val="5BD13460"/>
    <w:rsid w:val="5C341831"/>
    <w:rsid w:val="5C460F86"/>
    <w:rsid w:val="5CA51B97"/>
    <w:rsid w:val="5CB9024A"/>
    <w:rsid w:val="5CBD1F45"/>
    <w:rsid w:val="5CD079AF"/>
    <w:rsid w:val="5CE14FD6"/>
    <w:rsid w:val="5D094A6B"/>
    <w:rsid w:val="5D1E73F6"/>
    <w:rsid w:val="5D2B228A"/>
    <w:rsid w:val="5D6D4C8C"/>
    <w:rsid w:val="5D941B94"/>
    <w:rsid w:val="5D9B14E3"/>
    <w:rsid w:val="5DA1700F"/>
    <w:rsid w:val="5E1B2CA8"/>
    <w:rsid w:val="5E272CAB"/>
    <w:rsid w:val="5E404B80"/>
    <w:rsid w:val="5E431BF9"/>
    <w:rsid w:val="5E8369F8"/>
    <w:rsid w:val="5E9C3392"/>
    <w:rsid w:val="5EB01642"/>
    <w:rsid w:val="5F3F6522"/>
    <w:rsid w:val="5F4A7286"/>
    <w:rsid w:val="5F55078D"/>
    <w:rsid w:val="5F9B3732"/>
    <w:rsid w:val="5FA95889"/>
    <w:rsid w:val="5FB23D44"/>
    <w:rsid w:val="609D0D91"/>
    <w:rsid w:val="60A71AB0"/>
    <w:rsid w:val="60B979CF"/>
    <w:rsid w:val="60C226D6"/>
    <w:rsid w:val="60D360FA"/>
    <w:rsid w:val="610C4CFA"/>
    <w:rsid w:val="613025C6"/>
    <w:rsid w:val="617C19B7"/>
    <w:rsid w:val="618C769B"/>
    <w:rsid w:val="61A92A12"/>
    <w:rsid w:val="61AD3C17"/>
    <w:rsid w:val="61E40951"/>
    <w:rsid w:val="62943D5E"/>
    <w:rsid w:val="62C43E0A"/>
    <w:rsid w:val="62E76825"/>
    <w:rsid w:val="6308085A"/>
    <w:rsid w:val="630D1F5A"/>
    <w:rsid w:val="631D29BD"/>
    <w:rsid w:val="633657AF"/>
    <w:rsid w:val="63545317"/>
    <w:rsid w:val="63B15515"/>
    <w:rsid w:val="63C35974"/>
    <w:rsid w:val="641727BB"/>
    <w:rsid w:val="645061F4"/>
    <w:rsid w:val="64742092"/>
    <w:rsid w:val="64AE324D"/>
    <w:rsid w:val="64B33C3A"/>
    <w:rsid w:val="64C659AD"/>
    <w:rsid w:val="64D21BE7"/>
    <w:rsid w:val="656A5E0D"/>
    <w:rsid w:val="657B11CD"/>
    <w:rsid w:val="658406C7"/>
    <w:rsid w:val="65E25E59"/>
    <w:rsid w:val="65E9543A"/>
    <w:rsid w:val="66405755"/>
    <w:rsid w:val="664B6297"/>
    <w:rsid w:val="66AA2EA6"/>
    <w:rsid w:val="66B23126"/>
    <w:rsid w:val="6711345A"/>
    <w:rsid w:val="6712237C"/>
    <w:rsid w:val="679A69EC"/>
    <w:rsid w:val="6802621D"/>
    <w:rsid w:val="681D586D"/>
    <w:rsid w:val="68580655"/>
    <w:rsid w:val="687E1CE8"/>
    <w:rsid w:val="68A33FC6"/>
    <w:rsid w:val="68CF45AF"/>
    <w:rsid w:val="694B21B9"/>
    <w:rsid w:val="694C640B"/>
    <w:rsid w:val="696516E3"/>
    <w:rsid w:val="69A03790"/>
    <w:rsid w:val="69C96AEC"/>
    <w:rsid w:val="69D515D6"/>
    <w:rsid w:val="6A031450"/>
    <w:rsid w:val="6A044069"/>
    <w:rsid w:val="6A2C1D99"/>
    <w:rsid w:val="6A374C7D"/>
    <w:rsid w:val="6A4946F9"/>
    <w:rsid w:val="6ABC2401"/>
    <w:rsid w:val="6AFC79BD"/>
    <w:rsid w:val="6B0579DE"/>
    <w:rsid w:val="6B2C180E"/>
    <w:rsid w:val="6B513865"/>
    <w:rsid w:val="6B87435E"/>
    <w:rsid w:val="6BC6036C"/>
    <w:rsid w:val="6BD81F61"/>
    <w:rsid w:val="6BE31224"/>
    <w:rsid w:val="6C325783"/>
    <w:rsid w:val="6C4877AE"/>
    <w:rsid w:val="6CD206FF"/>
    <w:rsid w:val="6CDE737B"/>
    <w:rsid w:val="6D317DF2"/>
    <w:rsid w:val="6D34343E"/>
    <w:rsid w:val="6D58035D"/>
    <w:rsid w:val="6D623B4B"/>
    <w:rsid w:val="6E173DBA"/>
    <w:rsid w:val="6E1D75A0"/>
    <w:rsid w:val="6EB14973"/>
    <w:rsid w:val="6EE848B2"/>
    <w:rsid w:val="6EF16FA6"/>
    <w:rsid w:val="6F35373C"/>
    <w:rsid w:val="6F495F5D"/>
    <w:rsid w:val="6F700FB0"/>
    <w:rsid w:val="6F7B35A7"/>
    <w:rsid w:val="6F8E6027"/>
    <w:rsid w:val="6F9C351D"/>
    <w:rsid w:val="6FCE7B7A"/>
    <w:rsid w:val="703B19BD"/>
    <w:rsid w:val="704B1EF7"/>
    <w:rsid w:val="70536956"/>
    <w:rsid w:val="705D3AD4"/>
    <w:rsid w:val="70A27C61"/>
    <w:rsid w:val="70DD3DED"/>
    <w:rsid w:val="70E64F62"/>
    <w:rsid w:val="71247CD8"/>
    <w:rsid w:val="712F200C"/>
    <w:rsid w:val="7139308E"/>
    <w:rsid w:val="713A123F"/>
    <w:rsid w:val="71851022"/>
    <w:rsid w:val="71AE518F"/>
    <w:rsid w:val="71BB1243"/>
    <w:rsid w:val="71C33F7F"/>
    <w:rsid w:val="71CF2E7C"/>
    <w:rsid w:val="724063E2"/>
    <w:rsid w:val="7249798C"/>
    <w:rsid w:val="725833BF"/>
    <w:rsid w:val="726F7452"/>
    <w:rsid w:val="7271087F"/>
    <w:rsid w:val="729D2F29"/>
    <w:rsid w:val="73203DF6"/>
    <w:rsid w:val="73502676"/>
    <w:rsid w:val="739B6425"/>
    <w:rsid w:val="73D634A1"/>
    <w:rsid w:val="73EF1E6D"/>
    <w:rsid w:val="73F0360B"/>
    <w:rsid w:val="73F04D4C"/>
    <w:rsid w:val="73F2766C"/>
    <w:rsid w:val="73F6597E"/>
    <w:rsid w:val="74013BB9"/>
    <w:rsid w:val="745C7348"/>
    <w:rsid w:val="746B346A"/>
    <w:rsid w:val="746C2597"/>
    <w:rsid w:val="74BA14F0"/>
    <w:rsid w:val="74C54EC2"/>
    <w:rsid w:val="74ED6863"/>
    <w:rsid w:val="74FB761D"/>
    <w:rsid w:val="750A7951"/>
    <w:rsid w:val="753A7BC5"/>
    <w:rsid w:val="7548026C"/>
    <w:rsid w:val="754A7064"/>
    <w:rsid w:val="75583A48"/>
    <w:rsid w:val="757C3BD5"/>
    <w:rsid w:val="75D24941"/>
    <w:rsid w:val="76056631"/>
    <w:rsid w:val="76191423"/>
    <w:rsid w:val="761A17D3"/>
    <w:rsid w:val="76223555"/>
    <w:rsid w:val="764A3CD3"/>
    <w:rsid w:val="76581FBC"/>
    <w:rsid w:val="76597F55"/>
    <w:rsid w:val="76900D15"/>
    <w:rsid w:val="76BD6F5B"/>
    <w:rsid w:val="770E47C2"/>
    <w:rsid w:val="774122F4"/>
    <w:rsid w:val="7753216C"/>
    <w:rsid w:val="775D17E4"/>
    <w:rsid w:val="77684BC7"/>
    <w:rsid w:val="779D2FE5"/>
    <w:rsid w:val="77A25449"/>
    <w:rsid w:val="77BA22C2"/>
    <w:rsid w:val="77DF1FFC"/>
    <w:rsid w:val="783C484E"/>
    <w:rsid w:val="784B19A6"/>
    <w:rsid w:val="785D4155"/>
    <w:rsid w:val="78730EE9"/>
    <w:rsid w:val="789C56AB"/>
    <w:rsid w:val="789F19A6"/>
    <w:rsid w:val="78D5378B"/>
    <w:rsid w:val="78DD0E2E"/>
    <w:rsid w:val="78F63C9E"/>
    <w:rsid w:val="79075E27"/>
    <w:rsid w:val="7966477A"/>
    <w:rsid w:val="7A17211E"/>
    <w:rsid w:val="7A1E083B"/>
    <w:rsid w:val="7A276FAC"/>
    <w:rsid w:val="7A49604F"/>
    <w:rsid w:val="7A6B08D1"/>
    <w:rsid w:val="7A963E48"/>
    <w:rsid w:val="7AAF0F69"/>
    <w:rsid w:val="7AAF505E"/>
    <w:rsid w:val="7AB8735B"/>
    <w:rsid w:val="7AFA20E6"/>
    <w:rsid w:val="7B073F40"/>
    <w:rsid w:val="7B116B6D"/>
    <w:rsid w:val="7B205FFE"/>
    <w:rsid w:val="7B3F50EB"/>
    <w:rsid w:val="7B703ADE"/>
    <w:rsid w:val="7B8316C0"/>
    <w:rsid w:val="7B963516"/>
    <w:rsid w:val="7BA55DC6"/>
    <w:rsid w:val="7BDB36D3"/>
    <w:rsid w:val="7C05223E"/>
    <w:rsid w:val="7C0802BC"/>
    <w:rsid w:val="7C207A72"/>
    <w:rsid w:val="7C2D75A3"/>
    <w:rsid w:val="7C374CF9"/>
    <w:rsid w:val="7C731488"/>
    <w:rsid w:val="7CAA4D9F"/>
    <w:rsid w:val="7CE85360"/>
    <w:rsid w:val="7CF10A8B"/>
    <w:rsid w:val="7D106983"/>
    <w:rsid w:val="7D4B48DE"/>
    <w:rsid w:val="7D68703F"/>
    <w:rsid w:val="7D7E289A"/>
    <w:rsid w:val="7D890ABE"/>
    <w:rsid w:val="7D957F29"/>
    <w:rsid w:val="7DAC2CCF"/>
    <w:rsid w:val="7DC169BF"/>
    <w:rsid w:val="7DD633BF"/>
    <w:rsid w:val="7DD71BA7"/>
    <w:rsid w:val="7DEF235B"/>
    <w:rsid w:val="7E0429B9"/>
    <w:rsid w:val="7E0B20A3"/>
    <w:rsid w:val="7E2B2C36"/>
    <w:rsid w:val="7E3E5DFF"/>
    <w:rsid w:val="7E56290C"/>
    <w:rsid w:val="7E5C0A47"/>
    <w:rsid w:val="7E6D5049"/>
    <w:rsid w:val="7EB73E9A"/>
    <w:rsid w:val="7EBD1C74"/>
    <w:rsid w:val="7EC56B4A"/>
    <w:rsid w:val="7EE66563"/>
    <w:rsid w:val="7F0B3A8B"/>
    <w:rsid w:val="7F0B44E9"/>
    <w:rsid w:val="7F1255AA"/>
    <w:rsid w:val="7F2A28D2"/>
    <w:rsid w:val="7F7132D2"/>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2">
    <w:name w:val="heading 3"/>
    <w:basedOn w:val="1"/>
    <w:next w:val="1"/>
    <w:qFormat/>
    <w:uiPriority w:val="0"/>
    <w:pPr>
      <w:keepNext/>
      <w:spacing w:line="460" w:lineRule="exact"/>
      <w:outlineLvl w:val="2"/>
    </w:pPr>
    <w:rPr>
      <w:rFonts w:ascii="宋体" w:hAnsi="宋体"/>
      <w:b/>
      <w:bCs/>
      <w:sz w:val="30"/>
    </w:rPr>
  </w:style>
  <w:style w:type="paragraph" w:styleId="5">
    <w:name w:val="heading 4"/>
    <w:basedOn w:val="1"/>
    <w:next w:val="1"/>
    <w:qFormat/>
    <w:uiPriority w:val="0"/>
    <w:pPr>
      <w:keepNext/>
      <w:tabs>
        <w:tab w:val="left" w:pos="435"/>
      </w:tabs>
      <w:ind w:left="435" w:hanging="435"/>
      <w:outlineLvl w:val="3"/>
    </w:pPr>
    <w:rPr>
      <w:b/>
      <w:color w:val="000000"/>
      <w:sz w:val="28"/>
      <w:u w:val="single"/>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spacing w:line="360" w:lineRule="auto"/>
      <w:ind w:firstLine="420"/>
      <w:jc w:val="left"/>
    </w:pPr>
    <w:rPr>
      <w:rFonts w:ascii="宋体"/>
    </w:rPr>
  </w:style>
  <w:style w:type="paragraph" w:styleId="7">
    <w:name w:val="toa heading"/>
    <w:basedOn w:val="1"/>
    <w:next w:val="1"/>
    <w:qFormat/>
    <w:uiPriority w:val="0"/>
    <w:pPr>
      <w:widowControl/>
      <w:spacing w:before="120"/>
      <w:ind w:firstLine="3584"/>
    </w:pPr>
  </w:style>
  <w:style w:type="paragraph" w:styleId="8">
    <w:name w:val="annotation text"/>
    <w:basedOn w:val="1"/>
    <w:qFormat/>
    <w:uiPriority w:val="0"/>
    <w:pPr>
      <w:jc w:val="left"/>
    </w:pPr>
  </w:style>
  <w:style w:type="paragraph" w:styleId="9">
    <w:name w:val="Body Text"/>
    <w:basedOn w:val="1"/>
    <w:next w:val="10"/>
    <w:unhideWhenUsed/>
    <w:qFormat/>
    <w:uiPriority w:val="99"/>
    <w:pPr>
      <w:spacing w:before="100" w:beforeAutospacing="1" w:after="100" w:afterAutospacing="1"/>
      <w:ind w:left="102"/>
    </w:pPr>
    <w:rPr>
      <w:rFonts w:ascii="宋体" w:hAnsi="宋体" w:cs="宋体"/>
      <w:szCs w:val="21"/>
    </w:rPr>
  </w:style>
  <w:style w:type="paragraph" w:styleId="10">
    <w:name w:val="Date"/>
    <w:basedOn w:val="1"/>
    <w:next w:val="1"/>
    <w:qFormat/>
    <w:uiPriority w:val="0"/>
    <w:rPr>
      <w:color w:val="000000"/>
      <w:kern w:val="0"/>
      <w:sz w:val="30"/>
    </w:rPr>
  </w:style>
  <w:style w:type="paragraph" w:styleId="11">
    <w:name w:val="Body Text Indent"/>
    <w:basedOn w:val="1"/>
    <w:next w:val="5"/>
    <w:qFormat/>
    <w:uiPriority w:val="0"/>
    <w:pPr>
      <w:ind w:firstLine="570"/>
    </w:pPr>
    <w:rPr>
      <w:rFonts w:ascii="宋体" w:hAnsi="宋体"/>
      <w:sz w:val="28"/>
      <w:szCs w:val="20"/>
    </w:rPr>
  </w:style>
  <w:style w:type="paragraph" w:styleId="12">
    <w:name w:val="toc 3"/>
    <w:basedOn w:val="1"/>
    <w:next w:val="1"/>
    <w:qFormat/>
    <w:uiPriority w:val="39"/>
    <w:pPr>
      <w:ind w:left="420"/>
      <w:jc w:val="left"/>
    </w:pPr>
    <w:rPr>
      <w:i/>
      <w:iCs/>
    </w:rPr>
  </w:style>
  <w:style w:type="paragraph" w:styleId="13">
    <w:name w:val="Plain Text"/>
    <w:basedOn w:val="1"/>
    <w:link w:val="56"/>
    <w:qFormat/>
    <w:uiPriority w:val="99"/>
    <w:pPr>
      <w:spacing w:line="360" w:lineRule="auto"/>
      <w:ind w:firstLine="510"/>
    </w:pPr>
    <w:rPr>
      <w:rFonts w:ascii="宋体" w:hAnsi="Courier New"/>
      <w:sz w:val="24"/>
    </w:rPr>
  </w:style>
  <w:style w:type="paragraph" w:styleId="14">
    <w:name w:val="footer"/>
    <w:basedOn w:val="1"/>
    <w:next w:val="1"/>
    <w:qFormat/>
    <w:uiPriority w:val="0"/>
    <w:pPr>
      <w:pBdr>
        <w:top w:val="single" w:color="auto" w:sz="4" w:space="1"/>
      </w:pBdr>
      <w:tabs>
        <w:tab w:val="center" w:pos="4153"/>
        <w:tab w:val="right" w:pos="8306"/>
      </w:tabs>
      <w:snapToGrid w:val="0"/>
      <w:jc w:val="left"/>
    </w:pPr>
    <w:rPr>
      <w:sz w:val="18"/>
      <w:szCs w:val="18"/>
    </w:rPr>
  </w:style>
  <w:style w:type="paragraph" w:styleId="15">
    <w:name w:val="header"/>
    <w:basedOn w:val="1"/>
    <w:qFormat/>
    <w:uiPriority w:val="0"/>
    <w:pPr>
      <w:pBdr>
        <w:bottom w:val="thinThickLargeGap" w:color="auto" w:sz="6" w:space="1"/>
      </w:pBdr>
      <w:tabs>
        <w:tab w:val="center" w:pos="4153"/>
        <w:tab w:val="right" w:pos="8306"/>
      </w:tabs>
      <w:snapToGrid w:val="0"/>
      <w:jc w:val="center"/>
    </w:pPr>
    <w:rPr>
      <w:sz w:val="18"/>
      <w:szCs w:val="18"/>
    </w:rPr>
  </w:style>
  <w:style w:type="paragraph" w:styleId="16">
    <w:name w:val="footnote text"/>
    <w:basedOn w:val="1"/>
    <w:qFormat/>
    <w:uiPriority w:val="0"/>
    <w:pPr>
      <w:snapToGrid w:val="0"/>
      <w:jc w:val="left"/>
    </w:pPr>
    <w:rPr>
      <w:sz w:val="18"/>
    </w:rPr>
  </w:style>
  <w:style w:type="paragraph" w:styleId="17">
    <w:name w:val="Normal (Web)"/>
    <w:basedOn w:val="1"/>
    <w:qFormat/>
    <w:uiPriority w:val="99"/>
    <w:pPr>
      <w:spacing w:before="75" w:after="75"/>
      <w:jc w:val="left"/>
    </w:pPr>
    <w:rPr>
      <w:kern w:val="0"/>
      <w:sz w:val="24"/>
    </w:rPr>
  </w:style>
  <w:style w:type="paragraph" w:styleId="18">
    <w:name w:val="Body Text First Indent"/>
    <w:basedOn w:val="9"/>
    <w:qFormat/>
    <w:uiPriority w:val="0"/>
    <w:pPr>
      <w:autoSpaceDE w:val="0"/>
      <w:autoSpaceDN w:val="0"/>
      <w:adjustRightInd w:val="0"/>
      <w:spacing w:after="120" w:line="312" w:lineRule="atLeast"/>
      <w:ind w:firstLine="420"/>
    </w:pPr>
    <w:rPr>
      <w:kern w:val="0"/>
    </w:rPr>
  </w:style>
  <w:style w:type="paragraph" w:styleId="19">
    <w:name w:val="Body Text First Indent 2"/>
    <w:basedOn w:val="11"/>
    <w:next w:val="1"/>
    <w:qFormat/>
    <w:uiPriority w:val="99"/>
    <w:pPr>
      <w:spacing w:after="120" w:line="312" w:lineRule="auto"/>
      <w:ind w:left="420" w:leftChars="200" w:firstLine="420"/>
    </w:pPr>
    <w:rPr>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宋体" w:hAnsi="宋体" w:eastAsia="Times New Roman"/>
      <w:spacing w:val="0"/>
      <w:kern w:val="18"/>
      <w:position w:val="0"/>
      <w:sz w:val="18"/>
      <w:szCs w:val="18"/>
    </w:rPr>
  </w:style>
  <w:style w:type="character" w:styleId="25">
    <w:name w:val="Hyperlink"/>
    <w:basedOn w:val="22"/>
    <w:qFormat/>
    <w:uiPriority w:val="0"/>
    <w:rPr>
      <w:color w:val="0000FF"/>
      <w:u w:val="single"/>
    </w:rPr>
  </w:style>
  <w:style w:type="paragraph" w:customStyle="1" w:styleId="26">
    <w:name w:val="标题 5（有编号）（绿盟科技）"/>
    <w:basedOn w:val="1"/>
    <w:next w:val="27"/>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27">
    <w:name w:val="正文（绿盟科技）"/>
    <w:qFormat/>
    <w:uiPriority w:val="0"/>
    <w:pPr>
      <w:spacing w:line="300" w:lineRule="auto"/>
    </w:pPr>
    <w:rPr>
      <w:rFonts w:ascii="Arial" w:hAnsi="Arial" w:eastAsia="微软雅黑" w:cs="黑体"/>
      <w:sz w:val="21"/>
      <w:szCs w:val="21"/>
      <w:lang w:val="en-US" w:eastAsia="zh-CN" w:bidi="ar-SA"/>
    </w:rPr>
  </w:style>
  <w:style w:type="paragraph" w:customStyle="1" w:styleId="28">
    <w:name w:val="Char"/>
    <w:basedOn w:val="1"/>
    <w:qFormat/>
    <w:uiPriority w:val="0"/>
    <w:rPr>
      <w:rFonts w:ascii="Tahoma" w:hAnsi="Tahoma" w:cs="仿宋_GB2312"/>
      <w:sz w:val="24"/>
      <w:szCs w:val="28"/>
    </w:rPr>
  </w:style>
  <w:style w:type="paragraph" w:customStyle="1" w:styleId="2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0">
    <w:name w:val="表名称"/>
    <w:basedOn w:val="6"/>
    <w:qFormat/>
    <w:uiPriority w:val="0"/>
    <w:pPr>
      <w:numPr>
        <w:ilvl w:val="0"/>
        <w:numId w:val="2"/>
      </w:numPr>
      <w:ind w:firstLine="0"/>
      <w:jc w:val="center"/>
    </w:pPr>
  </w:style>
  <w:style w:type="character" w:customStyle="1" w:styleId="31">
    <w:name w:val="font131"/>
    <w:basedOn w:val="22"/>
    <w:qFormat/>
    <w:uiPriority w:val="99"/>
    <w:rPr>
      <w:rFonts w:ascii="宋体" w:hAnsi="宋体" w:eastAsia="宋体" w:cs="宋体"/>
      <w:color w:val="000000"/>
      <w:sz w:val="20"/>
      <w:szCs w:val="20"/>
      <w:u w:val="none"/>
    </w:rPr>
  </w:style>
  <w:style w:type="paragraph" w:styleId="32">
    <w:name w:val="List Paragraph"/>
    <w:basedOn w:val="1"/>
    <w:qFormat/>
    <w:uiPriority w:val="34"/>
    <w:pPr>
      <w:ind w:firstLine="420" w:firstLineChars="200"/>
    </w:pPr>
  </w:style>
  <w:style w:type="character" w:customStyle="1" w:styleId="33">
    <w:name w:val="font181"/>
    <w:basedOn w:val="22"/>
    <w:qFormat/>
    <w:uiPriority w:val="99"/>
    <w:rPr>
      <w:rFonts w:ascii="宋体" w:hAnsi="宋体" w:eastAsia="宋体" w:cs="宋体"/>
      <w:color w:val="000000"/>
      <w:sz w:val="18"/>
      <w:szCs w:val="18"/>
      <w:u w:val="none"/>
    </w:rPr>
  </w:style>
  <w:style w:type="paragraph" w:customStyle="1" w:styleId="3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5">
    <w:name w:val="样式 小四 段前: 5 磅 段后: 5 磅 首行缩进:  2 字符"/>
    <w:basedOn w:val="1"/>
    <w:qFormat/>
    <w:uiPriority w:val="0"/>
    <w:pPr>
      <w:spacing w:line="400" w:lineRule="exact"/>
    </w:pPr>
    <w:rPr>
      <w:rFonts w:ascii="宋体" w:hAnsi="宋体"/>
      <w:sz w:val="24"/>
    </w:rPr>
  </w:style>
  <w:style w:type="paragraph" w:customStyle="1" w:styleId="36">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8">
    <w:name w:val="页脚2"/>
    <w:basedOn w:val="1"/>
    <w:qFormat/>
    <w:uiPriority w:val="0"/>
    <w:pPr>
      <w:widowControl/>
      <w:pBdr>
        <w:top w:val="single" w:color="auto" w:sz="6" w:space="0"/>
      </w:pBdr>
      <w:jc w:val="right"/>
      <w:textAlignment w:val="center"/>
    </w:pPr>
    <w:rPr>
      <w:rFonts w:ascii="宋体" w:hAnsi="宋体"/>
      <w:sz w:val="18"/>
      <w:szCs w:val="18"/>
    </w:rPr>
  </w:style>
  <w:style w:type="character" w:customStyle="1" w:styleId="39">
    <w:name w:val="页脚2 Char"/>
    <w:basedOn w:val="22"/>
    <w:qFormat/>
    <w:uiPriority w:val="0"/>
    <w:rPr>
      <w:rFonts w:ascii="宋体" w:hAnsi="宋体" w:eastAsia="宋体"/>
      <w:sz w:val="18"/>
      <w:szCs w:val="18"/>
      <w:lang w:val="en-US" w:eastAsia="zh-CN" w:bidi="ar-SA"/>
    </w:rPr>
  </w:style>
  <w:style w:type="paragraph" w:customStyle="1" w:styleId="40">
    <w:name w:val="列表段落2"/>
    <w:basedOn w:val="1"/>
    <w:qFormat/>
    <w:uiPriority w:val="99"/>
    <w:pPr>
      <w:ind w:firstLine="420" w:firstLineChars="200"/>
    </w:pPr>
  </w:style>
  <w:style w:type="character" w:customStyle="1" w:styleId="41">
    <w:name w:val="font41"/>
    <w:qFormat/>
    <w:uiPriority w:val="0"/>
    <w:rPr>
      <w:rFonts w:hint="eastAsia" w:ascii="宋体" w:hAnsi="宋体" w:eastAsia="宋体" w:cs="宋体"/>
      <w:color w:val="000000"/>
      <w:sz w:val="22"/>
      <w:szCs w:val="22"/>
      <w:u w:val="none"/>
    </w:rPr>
  </w:style>
  <w:style w:type="paragraph" w:customStyle="1" w:styleId="42">
    <w:name w:val="Style1"/>
    <w:basedOn w:val="1"/>
    <w:qFormat/>
    <w:uiPriority w:val="0"/>
    <w:pPr>
      <w:widowControl/>
      <w:tabs>
        <w:tab w:val="left" w:pos="-720"/>
      </w:tabs>
      <w:spacing w:after="120"/>
    </w:pPr>
    <w:rPr>
      <w:spacing w:val="-3"/>
      <w:kern w:val="0"/>
      <w:sz w:val="24"/>
      <w:szCs w:val="20"/>
      <w:lang w:val="en-AU" w:eastAsia="en-US"/>
    </w:rPr>
  </w:style>
  <w:style w:type="paragraph" w:customStyle="1" w:styleId="43">
    <w:name w:val="列表段落1"/>
    <w:basedOn w:val="1"/>
    <w:qFormat/>
    <w:uiPriority w:val="34"/>
    <w:pPr>
      <w:ind w:firstLine="420" w:firstLineChars="200"/>
    </w:pPr>
  </w:style>
  <w:style w:type="paragraph" w:customStyle="1" w:styleId="44">
    <w:name w:val="Table Paragraph"/>
    <w:basedOn w:val="1"/>
    <w:qFormat/>
    <w:uiPriority w:val="1"/>
    <w:pPr>
      <w:autoSpaceDE w:val="0"/>
      <w:autoSpaceDN w:val="0"/>
      <w:adjustRightInd w:val="0"/>
      <w:jc w:val="left"/>
    </w:pPr>
    <w:rPr>
      <w:kern w:val="0"/>
      <w:sz w:val="24"/>
    </w:rPr>
  </w:style>
  <w:style w:type="paragraph" w:customStyle="1" w:styleId="45">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首行缩进"/>
    <w:basedOn w:val="1"/>
    <w:qFormat/>
    <w:uiPriority w:val="0"/>
    <w:pPr>
      <w:ind w:firstLine="480" w:firstLineChars="200"/>
    </w:pPr>
    <w:rPr>
      <w:lang w:val="zh-CN"/>
    </w:rPr>
  </w:style>
  <w:style w:type="paragraph" w:customStyle="1" w:styleId="47">
    <w:name w:val="È±Ê¡ÎÄ±¾"/>
    <w:basedOn w:val="1"/>
    <w:qFormat/>
    <w:uiPriority w:val="0"/>
    <w:pPr>
      <w:widowControl/>
      <w:overflowPunct w:val="0"/>
      <w:autoSpaceDE w:val="0"/>
      <w:autoSpaceDN w:val="0"/>
      <w:adjustRightInd w:val="0"/>
      <w:jc w:val="left"/>
    </w:pPr>
    <w:rPr>
      <w:kern w:val="0"/>
      <w:sz w:val="24"/>
    </w:rPr>
  </w:style>
  <w:style w:type="character" w:customStyle="1" w:styleId="48">
    <w:name w:val="font51"/>
    <w:basedOn w:val="22"/>
    <w:qFormat/>
    <w:uiPriority w:val="0"/>
    <w:rPr>
      <w:rFonts w:hint="eastAsia" w:ascii="宋体" w:hAnsi="宋体" w:eastAsia="宋体" w:cs="宋体"/>
      <w:color w:val="000000"/>
      <w:sz w:val="20"/>
      <w:szCs w:val="20"/>
      <w:u w:val="none"/>
    </w:rPr>
  </w:style>
  <w:style w:type="character" w:customStyle="1" w:styleId="49">
    <w:name w:val="font21"/>
    <w:basedOn w:val="22"/>
    <w:qFormat/>
    <w:uiPriority w:val="0"/>
    <w:rPr>
      <w:rFonts w:hint="default" w:ascii="Times New Roman" w:hAnsi="Times New Roman" w:cs="Times New Roman"/>
      <w:color w:val="000000"/>
      <w:sz w:val="20"/>
      <w:szCs w:val="20"/>
      <w:u w:val="none"/>
    </w:rPr>
  </w:style>
  <w:style w:type="character" w:customStyle="1" w:styleId="50">
    <w:name w:val="font11"/>
    <w:basedOn w:val="22"/>
    <w:qFormat/>
    <w:uiPriority w:val="0"/>
    <w:rPr>
      <w:rFonts w:hint="eastAsia" w:ascii="宋体" w:hAnsi="宋体" w:eastAsia="宋体" w:cs="宋体"/>
      <w:color w:val="000000"/>
      <w:sz w:val="20"/>
      <w:szCs w:val="20"/>
      <w:u w:val="none"/>
    </w:rPr>
  </w:style>
  <w:style w:type="character" w:customStyle="1" w:styleId="51">
    <w:name w:val="font71"/>
    <w:basedOn w:val="22"/>
    <w:qFormat/>
    <w:uiPriority w:val="0"/>
    <w:rPr>
      <w:rFonts w:ascii="Arial" w:hAnsi="Arial" w:cs="Arial"/>
      <w:color w:val="000000"/>
      <w:sz w:val="20"/>
      <w:szCs w:val="20"/>
      <w:u w:val="none"/>
    </w:rPr>
  </w:style>
  <w:style w:type="character" w:customStyle="1" w:styleId="52">
    <w:name w:val="NormalCharacter"/>
    <w:semiHidden/>
    <w:qFormat/>
    <w:uiPriority w:val="0"/>
  </w:style>
  <w:style w:type="character" w:customStyle="1" w:styleId="53">
    <w:name w:val="font61"/>
    <w:basedOn w:val="22"/>
    <w:qFormat/>
    <w:uiPriority w:val="0"/>
    <w:rPr>
      <w:rFonts w:hint="eastAsia" w:ascii="宋体" w:hAnsi="宋体" w:eastAsia="宋体" w:cs="宋体"/>
      <w:color w:val="000000"/>
      <w:sz w:val="20"/>
      <w:szCs w:val="20"/>
      <w:u w:val="none"/>
    </w:rPr>
  </w:style>
  <w:style w:type="character" w:customStyle="1" w:styleId="54">
    <w:name w:val="font31"/>
    <w:basedOn w:val="22"/>
    <w:qFormat/>
    <w:uiPriority w:val="0"/>
    <w:rPr>
      <w:rFonts w:hint="default" w:ascii="Times New Roman" w:hAnsi="Times New Roman" w:cs="Times New Roman"/>
      <w:color w:val="000000"/>
      <w:sz w:val="20"/>
      <w:szCs w:val="20"/>
      <w:u w:val="none"/>
    </w:rPr>
  </w:style>
  <w:style w:type="character" w:customStyle="1" w:styleId="55">
    <w:name w:val="font01"/>
    <w:basedOn w:val="22"/>
    <w:qFormat/>
    <w:uiPriority w:val="0"/>
    <w:rPr>
      <w:rFonts w:hint="eastAsia" w:ascii="宋体" w:hAnsi="宋体" w:eastAsia="宋体" w:cs="宋体"/>
      <w:color w:val="000000"/>
      <w:sz w:val="20"/>
      <w:szCs w:val="20"/>
      <w:u w:val="none"/>
    </w:rPr>
  </w:style>
  <w:style w:type="character" w:customStyle="1" w:styleId="56">
    <w:name w:val="纯文本 字符"/>
    <w:link w:val="13"/>
    <w:qFormat/>
    <w:uiPriority w:val="99"/>
    <w:rPr>
      <w:rFonts w:ascii="宋体" w:hAnsi="Courier New"/>
      <w:kern w:val="2"/>
      <w:sz w:val="24"/>
      <w:szCs w:val="24"/>
    </w:rPr>
  </w:style>
  <w:style w:type="character" w:customStyle="1" w:styleId="57">
    <w:name w:val="text4"/>
    <w:basedOn w:val="22"/>
    <w:qFormat/>
    <w:uiPriority w:val="0"/>
    <w:rPr>
      <w:color w:val="333333"/>
    </w:rPr>
  </w:style>
  <w:style w:type="paragraph" w:customStyle="1" w:styleId="58">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59">
    <w:name w:val="font81"/>
    <w:basedOn w:val="22"/>
    <w:qFormat/>
    <w:uiPriority w:val="0"/>
    <w:rPr>
      <w:rFonts w:hint="default" w:ascii="Times New Roman" w:hAnsi="Times New Roman" w:cs="Times New Roman"/>
      <w:color w:val="000000"/>
      <w:sz w:val="28"/>
      <w:szCs w:val="28"/>
      <w:u w:val="none"/>
    </w:rPr>
  </w:style>
  <w:style w:type="character" w:customStyle="1" w:styleId="60">
    <w:name w:val="font91"/>
    <w:basedOn w:val="22"/>
    <w:qFormat/>
    <w:uiPriority w:val="0"/>
    <w:rPr>
      <w:rFonts w:hint="default" w:ascii="Times New Roman" w:hAnsi="Times New Roman" w:cs="Times New Roman"/>
      <w:color w:val="000000"/>
      <w:sz w:val="20"/>
      <w:szCs w:val="20"/>
      <w:u w:val="none"/>
    </w:rPr>
  </w:style>
  <w:style w:type="character" w:customStyle="1" w:styleId="61">
    <w:name w:val="font101"/>
    <w:basedOn w:val="22"/>
    <w:qFormat/>
    <w:uiPriority w:val="0"/>
    <w:rPr>
      <w:rFonts w:hint="eastAsia" w:ascii="宋体" w:hAnsi="宋体" w:eastAsia="宋体" w:cs="宋体"/>
      <w:color w:val="000000"/>
      <w:sz w:val="20"/>
      <w:szCs w:val="20"/>
      <w:u w:val="none"/>
    </w:rPr>
  </w:style>
  <w:style w:type="character" w:customStyle="1" w:styleId="62">
    <w:name w:val="font112"/>
    <w:basedOn w:val="22"/>
    <w:qFormat/>
    <w:uiPriority w:val="0"/>
    <w:rPr>
      <w:rFonts w:ascii="Arial" w:hAnsi="Arial" w:cs="Arial"/>
      <w:color w:val="000000"/>
      <w:sz w:val="18"/>
      <w:szCs w:val="18"/>
      <w:u w:val="none"/>
    </w:rPr>
  </w:style>
  <w:style w:type="character" w:customStyle="1" w:styleId="63">
    <w:name w:val="font121"/>
    <w:basedOn w:val="22"/>
    <w:qFormat/>
    <w:uiPriority w:val="0"/>
    <w:rPr>
      <w:rFonts w:hint="eastAsia" w:ascii="宋体" w:hAnsi="宋体" w:eastAsia="宋体" w:cs="宋体"/>
      <w:color w:val="000000"/>
      <w:sz w:val="18"/>
      <w:szCs w:val="18"/>
      <w:u w:val="none"/>
    </w:rPr>
  </w:style>
  <w:style w:type="paragraph" w:customStyle="1" w:styleId="6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5">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6">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62</Pages>
  <Words>27828</Words>
  <Characters>29306</Characters>
  <Lines>242</Lines>
  <Paragraphs>68</Paragraphs>
  <TotalTime>14</TotalTime>
  <ScaleCrop>false</ScaleCrop>
  <LinksUpToDate>false</LinksUpToDate>
  <CharactersWithSpaces>33553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2019-07-30T05:52:00Z</dcterms:created>
  <dc:creator>黄明旺</dc:creator>
  <cp:lastModifiedBy>晨曦</cp:lastModifiedBy>
  <cp:lastPrinted>2019-10-31T02:12:00Z</cp:lastPrinted>
  <dcterms:modified xsi:type="dcterms:W3CDTF">2022-06-02T11:23:59Z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DEB2C363A1DE4895A5C22D73F52BE56A</vt:lpwstr>
  </property>
  <property fmtid="{D5CDD505-2E9C-101B-9397-08002B2CF9AE}" pid="4" name="commondata">
    <vt:lpwstr>eyJoZGlkIjoiYzNkYjc2OWJjZTE5YTA5YTRjYTg4ZDRlM2MwZGVlMjIifQ==</vt:lpwstr>
  </property>
</Properties>
</file>