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60"/>
          <w:tab w:val="left" w:pos="3480"/>
          <w:tab w:val="left" w:pos="4980"/>
        </w:tabs>
        <w:spacing w:line="0" w:lineRule="atLeast"/>
        <w:jc w:val="center"/>
        <w:rPr>
          <w:rFonts w:ascii="宋体" w:hAnsi="宋体"/>
          <w:b/>
          <w:color w:val="auto"/>
          <w:sz w:val="72"/>
          <w:szCs w:val="18"/>
        </w:rPr>
      </w:pPr>
      <w:r>
        <w:rPr>
          <w:rFonts w:hint="eastAsia" w:ascii="宋体" w:hAnsi="宋体"/>
          <w:b/>
          <w:color w:val="auto"/>
          <w:sz w:val="52"/>
          <w:szCs w:val="22"/>
          <w:lang w:eastAsia="zh-CN"/>
        </w:rPr>
        <w:t>霍城县中医医院医疗诊断设备采购项目</w:t>
      </w:r>
    </w:p>
    <w:p>
      <w:pPr>
        <w:tabs>
          <w:tab w:val="left" w:pos="1960"/>
          <w:tab w:val="left" w:pos="3480"/>
          <w:tab w:val="left" w:pos="4980"/>
        </w:tabs>
        <w:spacing w:line="0" w:lineRule="atLeast"/>
        <w:jc w:val="center"/>
        <w:rPr>
          <w:rFonts w:hint="eastAsia" w:ascii="宋体" w:hAnsi="宋体"/>
          <w:b/>
          <w:color w:val="auto"/>
          <w:sz w:val="72"/>
          <w:szCs w:val="18"/>
        </w:rPr>
      </w:pPr>
    </w:p>
    <w:p>
      <w:pPr>
        <w:tabs>
          <w:tab w:val="left" w:pos="1960"/>
          <w:tab w:val="left" w:pos="3480"/>
          <w:tab w:val="left" w:pos="4980"/>
        </w:tabs>
        <w:spacing w:line="0" w:lineRule="atLeast"/>
        <w:jc w:val="center"/>
        <w:rPr>
          <w:rFonts w:hint="eastAsia" w:ascii="宋体" w:hAnsi="宋体"/>
          <w:b/>
          <w:color w:val="auto"/>
          <w:sz w:val="48"/>
          <w:szCs w:val="13"/>
          <w:lang w:eastAsia="zh-CN"/>
        </w:rPr>
      </w:pPr>
      <w:r>
        <w:rPr>
          <w:rFonts w:hint="eastAsia" w:ascii="宋体" w:hAnsi="宋体"/>
          <w:b/>
          <w:color w:val="auto"/>
          <w:sz w:val="48"/>
          <w:szCs w:val="13"/>
          <w:lang w:eastAsia="zh-CN"/>
        </w:rPr>
        <w:t>标项一</w:t>
      </w:r>
    </w:p>
    <w:p>
      <w:pPr>
        <w:tabs>
          <w:tab w:val="left" w:pos="1960"/>
          <w:tab w:val="left" w:pos="3480"/>
          <w:tab w:val="left" w:pos="4980"/>
        </w:tabs>
        <w:spacing w:line="0" w:lineRule="atLeast"/>
        <w:jc w:val="center"/>
        <w:rPr>
          <w:rFonts w:hint="eastAsia" w:ascii="宋体" w:hAnsi="宋体"/>
          <w:b/>
          <w:color w:val="auto"/>
          <w:sz w:val="72"/>
          <w:szCs w:val="18"/>
          <w:lang w:eastAsia="zh-CN"/>
        </w:rPr>
      </w:pPr>
    </w:p>
    <w:p>
      <w:pPr>
        <w:tabs>
          <w:tab w:val="left" w:pos="1960"/>
          <w:tab w:val="left" w:pos="3480"/>
          <w:tab w:val="left" w:pos="4980"/>
        </w:tabs>
        <w:spacing w:line="0" w:lineRule="atLeast"/>
        <w:jc w:val="center"/>
        <w:rPr>
          <w:rFonts w:ascii="宋体" w:hAnsi="宋体"/>
          <w:b/>
          <w:color w:val="auto"/>
          <w:sz w:val="72"/>
          <w:szCs w:val="18"/>
        </w:rPr>
      </w:pPr>
      <w:r>
        <w:rPr>
          <w:rFonts w:hint="eastAsia" w:ascii="宋体" w:hAnsi="宋体"/>
          <w:b/>
          <w:color w:val="auto"/>
          <w:sz w:val="72"/>
          <w:szCs w:val="18"/>
        </w:rPr>
        <w:t>招标</w:t>
      </w:r>
      <w:r>
        <w:rPr>
          <w:rFonts w:ascii="宋体" w:hAnsi="宋体"/>
          <w:b/>
          <w:color w:val="auto"/>
          <w:sz w:val="72"/>
          <w:szCs w:val="18"/>
        </w:rPr>
        <w:t>文件</w:t>
      </w:r>
    </w:p>
    <w:p>
      <w:pPr>
        <w:spacing w:line="200" w:lineRule="exact"/>
        <w:rPr>
          <w:color w:val="auto"/>
          <w:sz w:val="24"/>
        </w:rPr>
      </w:pPr>
    </w:p>
    <w:p>
      <w:pPr>
        <w:spacing w:line="200" w:lineRule="exact"/>
        <w:rPr>
          <w:color w:val="auto"/>
          <w:sz w:val="24"/>
        </w:rPr>
      </w:pPr>
    </w:p>
    <w:p>
      <w:pPr>
        <w:spacing w:line="200" w:lineRule="exact"/>
        <w:rPr>
          <w:color w:val="auto"/>
          <w:sz w:val="24"/>
        </w:rPr>
      </w:pPr>
    </w:p>
    <w:p>
      <w:pPr>
        <w:spacing w:line="200" w:lineRule="exact"/>
        <w:rPr>
          <w:color w:val="auto"/>
          <w:sz w:val="24"/>
        </w:rPr>
      </w:pPr>
    </w:p>
    <w:p>
      <w:pPr>
        <w:spacing w:line="200" w:lineRule="exact"/>
        <w:rPr>
          <w:color w:val="auto"/>
          <w:sz w:val="24"/>
        </w:rPr>
      </w:pPr>
    </w:p>
    <w:p>
      <w:pPr>
        <w:spacing w:line="273" w:lineRule="exact"/>
        <w:rPr>
          <w:rFonts w:eastAsia="Times New Roman"/>
          <w:color w:val="auto"/>
          <w:sz w:val="24"/>
        </w:rPr>
      </w:pPr>
    </w:p>
    <w:p>
      <w:pPr>
        <w:spacing w:line="720" w:lineRule="exact"/>
        <w:ind w:firstLine="2560" w:firstLineChars="800"/>
        <w:rPr>
          <w:rFonts w:ascii="宋体" w:hAnsi="宋体"/>
          <w:b/>
          <w:bCs/>
          <w:color w:val="auto"/>
          <w:sz w:val="32"/>
          <w:szCs w:val="32"/>
        </w:rPr>
      </w:pPr>
      <w:r>
        <w:rPr>
          <w:rFonts w:ascii="宋体" w:hAnsi="宋体"/>
          <w:b/>
          <w:bCs/>
          <w:color w:val="auto"/>
          <w:sz w:val="32"/>
          <w:szCs w:val="32"/>
        </w:rPr>
        <w:t>项目编号：</w:t>
      </w:r>
      <w:r>
        <w:rPr>
          <w:rFonts w:hint="eastAsia" w:ascii="宋体" w:hAnsi="宋体"/>
          <w:b/>
          <w:bCs/>
          <w:color w:val="auto"/>
          <w:sz w:val="32"/>
          <w:szCs w:val="32"/>
          <w:lang w:eastAsia="zh-CN"/>
        </w:rPr>
        <w:t>HYYL-2021-088</w:t>
      </w:r>
      <w:r>
        <w:rPr>
          <w:rFonts w:hint="eastAsia" w:ascii="宋体" w:hAnsi="宋体"/>
          <w:b/>
          <w:bCs/>
          <w:color w:val="auto"/>
          <w:sz w:val="32"/>
          <w:szCs w:val="32"/>
        </w:rPr>
        <w:br w:type="textWrapping"/>
      </w:r>
    </w:p>
    <w:p>
      <w:pPr>
        <w:spacing w:line="720" w:lineRule="exact"/>
        <w:rPr>
          <w:rFonts w:ascii="宋体" w:hAnsi="宋体"/>
          <w:color w:val="auto"/>
          <w:sz w:val="28"/>
          <w:szCs w:val="28"/>
        </w:rPr>
      </w:pPr>
    </w:p>
    <w:p>
      <w:pPr>
        <w:pStyle w:val="159"/>
        <w:keepNext w:val="0"/>
        <w:keepLines w:val="0"/>
        <w:pageBreakBefore w:val="0"/>
        <w:widowControl w:val="0"/>
        <w:kinsoku/>
        <w:wordWrap/>
        <w:overflowPunct/>
        <w:topLinePunct w:val="0"/>
        <w:bidi w:val="0"/>
        <w:snapToGrid/>
        <w:spacing w:line="600" w:lineRule="exact"/>
        <w:ind w:left="0" w:leftChars="0" w:firstLine="838" w:firstLineChars="262"/>
        <w:jc w:val="left"/>
        <w:textAlignment w:val="auto"/>
        <w:outlineLvl w:val="9"/>
        <w:rPr>
          <w:rFonts w:hint="eastAsia" w:ascii="宋体" w:hAnsi="宋体"/>
          <w:b/>
          <w:color w:val="auto"/>
          <w:kern w:val="2"/>
          <w:sz w:val="32"/>
          <w:szCs w:val="32"/>
          <w:highlight w:val="none"/>
          <w:lang w:eastAsia="zh-CN"/>
        </w:rPr>
      </w:pPr>
      <w:r>
        <w:rPr>
          <w:rFonts w:hint="eastAsia" w:ascii="宋体" w:hAnsi="宋体"/>
          <w:b/>
          <w:color w:val="auto"/>
          <w:kern w:val="2"/>
          <w:sz w:val="32"/>
          <w:szCs w:val="32"/>
          <w:highlight w:val="none"/>
        </w:rPr>
        <w:t>采</w:t>
      </w:r>
      <w:r>
        <w:rPr>
          <w:rFonts w:hint="eastAsia" w:ascii="宋体" w:hAnsi="宋体"/>
          <w:b/>
          <w:color w:val="auto"/>
          <w:kern w:val="2"/>
          <w:sz w:val="32"/>
          <w:szCs w:val="32"/>
          <w:highlight w:val="none"/>
          <w:lang w:val="en-US" w:eastAsia="zh-CN"/>
        </w:rPr>
        <w:t xml:space="preserve">   </w:t>
      </w:r>
      <w:r>
        <w:rPr>
          <w:rFonts w:hint="eastAsia" w:ascii="宋体" w:hAnsi="宋体"/>
          <w:b/>
          <w:color w:val="auto"/>
          <w:kern w:val="2"/>
          <w:sz w:val="32"/>
          <w:szCs w:val="32"/>
          <w:highlight w:val="none"/>
        </w:rPr>
        <w:t>购</w:t>
      </w:r>
      <w:r>
        <w:rPr>
          <w:rFonts w:hint="eastAsia" w:ascii="宋体" w:hAnsi="宋体"/>
          <w:b/>
          <w:color w:val="auto"/>
          <w:kern w:val="2"/>
          <w:sz w:val="32"/>
          <w:szCs w:val="32"/>
          <w:highlight w:val="none"/>
          <w:lang w:val="en-US" w:eastAsia="zh-CN"/>
        </w:rPr>
        <w:t xml:space="preserve">   </w:t>
      </w:r>
      <w:r>
        <w:rPr>
          <w:rFonts w:hint="eastAsia" w:ascii="宋体" w:hAnsi="宋体"/>
          <w:b/>
          <w:color w:val="auto"/>
          <w:kern w:val="2"/>
          <w:sz w:val="32"/>
          <w:szCs w:val="32"/>
          <w:highlight w:val="none"/>
        </w:rPr>
        <w:t>人：</w:t>
      </w:r>
      <w:r>
        <w:rPr>
          <w:rFonts w:hint="eastAsia" w:ascii="宋体" w:hAnsi="宋体"/>
          <w:b/>
          <w:color w:val="auto"/>
          <w:kern w:val="2"/>
          <w:sz w:val="32"/>
          <w:szCs w:val="32"/>
          <w:highlight w:val="none"/>
          <w:lang w:eastAsia="zh-CN"/>
        </w:rPr>
        <w:t>霍城县中医医院</w:t>
      </w:r>
    </w:p>
    <w:p>
      <w:pPr>
        <w:pStyle w:val="159"/>
        <w:keepNext w:val="0"/>
        <w:keepLines w:val="0"/>
        <w:pageBreakBefore w:val="0"/>
        <w:widowControl w:val="0"/>
        <w:kinsoku/>
        <w:wordWrap/>
        <w:overflowPunct/>
        <w:topLinePunct w:val="0"/>
        <w:bidi w:val="0"/>
        <w:snapToGrid/>
        <w:spacing w:line="600" w:lineRule="exact"/>
        <w:ind w:left="0" w:leftChars="0" w:firstLine="838" w:firstLineChars="262"/>
        <w:jc w:val="left"/>
        <w:textAlignment w:val="auto"/>
        <w:outlineLvl w:val="9"/>
        <w:rPr>
          <w:rFonts w:hint="eastAsia" w:ascii="宋体" w:hAnsi="宋体"/>
          <w:b/>
          <w:color w:val="auto"/>
          <w:kern w:val="2"/>
          <w:sz w:val="32"/>
          <w:szCs w:val="32"/>
          <w:highlight w:val="none"/>
          <w:lang w:eastAsia="zh-CN"/>
        </w:rPr>
      </w:pPr>
    </w:p>
    <w:p>
      <w:pPr>
        <w:pStyle w:val="159"/>
        <w:keepNext w:val="0"/>
        <w:keepLines w:val="0"/>
        <w:pageBreakBefore w:val="0"/>
        <w:widowControl w:val="0"/>
        <w:kinsoku/>
        <w:wordWrap/>
        <w:overflowPunct/>
        <w:topLinePunct w:val="0"/>
        <w:bidi w:val="0"/>
        <w:snapToGrid/>
        <w:spacing w:line="600" w:lineRule="exact"/>
        <w:ind w:left="0" w:leftChars="0" w:firstLine="838" w:firstLineChars="262"/>
        <w:jc w:val="left"/>
        <w:textAlignment w:val="auto"/>
        <w:outlineLvl w:val="9"/>
        <w:rPr>
          <w:rFonts w:hint="eastAsia" w:ascii="宋体" w:hAnsi="宋体"/>
          <w:b/>
          <w:color w:val="auto"/>
          <w:kern w:val="2"/>
          <w:sz w:val="32"/>
          <w:szCs w:val="32"/>
          <w:highlight w:val="none"/>
          <w:lang w:eastAsia="zh-CN"/>
        </w:rPr>
      </w:pPr>
    </w:p>
    <w:p>
      <w:pPr>
        <w:pStyle w:val="159"/>
        <w:keepNext w:val="0"/>
        <w:keepLines w:val="0"/>
        <w:pageBreakBefore w:val="0"/>
        <w:widowControl w:val="0"/>
        <w:kinsoku/>
        <w:wordWrap/>
        <w:overflowPunct/>
        <w:topLinePunct w:val="0"/>
        <w:bidi w:val="0"/>
        <w:snapToGrid/>
        <w:spacing w:line="600" w:lineRule="exact"/>
        <w:ind w:left="0" w:leftChars="0" w:firstLine="838" w:firstLineChars="262"/>
        <w:jc w:val="left"/>
        <w:textAlignment w:val="auto"/>
        <w:outlineLvl w:val="9"/>
        <w:rPr>
          <w:rFonts w:hint="eastAsia" w:ascii="宋体" w:hAnsi="宋体" w:eastAsia="宋体"/>
          <w:b/>
          <w:color w:val="auto"/>
          <w:kern w:val="2"/>
          <w:sz w:val="36"/>
          <w:szCs w:val="36"/>
          <w:highlight w:val="none"/>
          <w:lang w:eastAsia="zh-CN"/>
        </w:rPr>
      </w:pPr>
      <w:r>
        <w:rPr>
          <w:rFonts w:hint="eastAsia" w:ascii="宋体" w:hAnsi="宋体"/>
          <w:b/>
          <w:color w:val="auto"/>
          <w:kern w:val="2"/>
          <w:sz w:val="32"/>
          <w:szCs w:val="32"/>
          <w:highlight w:val="none"/>
        </w:rPr>
        <w:t>招标代理机构：</w:t>
      </w:r>
      <w:r>
        <w:rPr>
          <w:rFonts w:hint="eastAsia" w:ascii="宋体" w:hAnsi="宋体"/>
          <w:b/>
          <w:color w:val="auto"/>
          <w:kern w:val="2"/>
          <w:sz w:val="32"/>
          <w:szCs w:val="32"/>
          <w:highlight w:val="none"/>
          <w:lang w:eastAsia="zh-CN"/>
        </w:rPr>
        <w:t>新疆华域建设工程项目管理咨询有限公司</w:t>
      </w:r>
    </w:p>
    <w:p>
      <w:pPr>
        <w:spacing w:line="800" w:lineRule="exact"/>
        <w:jc w:val="center"/>
        <w:rPr>
          <w:rFonts w:ascii="宋体" w:hAnsi="宋体"/>
          <w:color w:val="auto"/>
          <w:sz w:val="27"/>
        </w:rPr>
      </w:pPr>
    </w:p>
    <w:p>
      <w:pPr>
        <w:spacing w:line="800" w:lineRule="exact"/>
        <w:jc w:val="center"/>
        <w:rPr>
          <w:rFonts w:ascii="宋体" w:hAnsi="宋体"/>
          <w:color w:val="auto"/>
          <w:sz w:val="32"/>
          <w:szCs w:val="32"/>
        </w:rPr>
      </w:pPr>
    </w:p>
    <w:p>
      <w:pPr>
        <w:spacing w:line="800" w:lineRule="exact"/>
        <w:jc w:val="center"/>
        <w:rPr>
          <w:rFonts w:ascii="宋体" w:hAnsi="宋体"/>
          <w:color w:val="auto"/>
          <w:sz w:val="32"/>
          <w:szCs w:val="32"/>
        </w:rPr>
      </w:pPr>
    </w:p>
    <w:p>
      <w:pPr>
        <w:spacing w:line="0" w:lineRule="atLeast"/>
        <w:jc w:val="center"/>
        <w:rPr>
          <w:rFonts w:ascii="宋体" w:hAnsi="宋体"/>
          <w:color w:val="auto"/>
          <w:sz w:val="32"/>
          <w:szCs w:val="32"/>
        </w:rPr>
      </w:pPr>
      <w:r>
        <w:rPr>
          <w:rFonts w:ascii="宋体" w:hAnsi="宋体"/>
          <w:color w:val="auto"/>
          <w:sz w:val="32"/>
          <w:szCs w:val="32"/>
        </w:rPr>
        <w:t>二〇</w:t>
      </w:r>
      <w:r>
        <w:rPr>
          <w:rFonts w:hint="eastAsia" w:ascii="宋体" w:hAnsi="宋体"/>
          <w:color w:val="auto"/>
          <w:sz w:val="32"/>
          <w:szCs w:val="32"/>
        </w:rPr>
        <w:t>二一</w:t>
      </w:r>
      <w:r>
        <w:rPr>
          <w:rFonts w:ascii="宋体" w:hAnsi="宋体"/>
          <w:color w:val="auto"/>
          <w:sz w:val="32"/>
          <w:szCs w:val="32"/>
        </w:rPr>
        <w:t>年</w:t>
      </w:r>
      <w:r>
        <w:rPr>
          <w:rFonts w:hint="eastAsia" w:ascii="宋体" w:hAnsi="宋体"/>
          <w:color w:val="auto"/>
          <w:sz w:val="32"/>
          <w:szCs w:val="32"/>
          <w:lang w:eastAsia="zh-CN"/>
        </w:rPr>
        <w:t>八</w:t>
      </w:r>
      <w:r>
        <w:rPr>
          <w:rFonts w:ascii="宋体" w:hAnsi="宋体"/>
          <w:color w:val="auto"/>
          <w:sz w:val="32"/>
          <w:szCs w:val="32"/>
        </w:rPr>
        <w:t>月</w:t>
      </w:r>
    </w:p>
    <w:p>
      <w:pPr>
        <w:pStyle w:val="83"/>
        <w:spacing w:line="360" w:lineRule="auto"/>
        <w:jc w:val="center"/>
        <w:rPr>
          <w:rFonts w:ascii="宋体" w:hAnsi="宋体"/>
          <w:b/>
          <w:color w:val="auto"/>
          <w:sz w:val="36"/>
        </w:rPr>
        <w:sectPr>
          <w:footerReference r:id="rId3" w:type="first"/>
          <w:pgSz w:w="11906" w:h="16838"/>
          <w:pgMar w:top="1418" w:right="1134" w:bottom="1418" w:left="1418" w:header="851" w:footer="851" w:gutter="0"/>
          <w:pgNumType w:start="0"/>
          <w:cols w:space="720" w:num="1"/>
          <w:docGrid w:type="linesAndChars" w:linePitch="312" w:charSpace="0"/>
        </w:sectPr>
      </w:pPr>
    </w:p>
    <w:p>
      <w:pPr>
        <w:pStyle w:val="83"/>
        <w:spacing w:line="360" w:lineRule="auto"/>
        <w:jc w:val="center"/>
        <w:rPr>
          <w:rFonts w:ascii="宋体" w:hAnsi="宋体"/>
          <w:b/>
          <w:color w:val="auto"/>
          <w:sz w:val="36"/>
        </w:rPr>
      </w:pPr>
      <w:r>
        <w:rPr>
          <w:rFonts w:hint="eastAsia" w:ascii="宋体" w:hAnsi="宋体"/>
          <w:b/>
          <w:color w:val="auto"/>
          <w:sz w:val="36"/>
        </w:rPr>
        <w:t>目    录</w:t>
      </w:r>
    </w:p>
    <w:p>
      <w:pPr>
        <w:pStyle w:val="30"/>
        <w:tabs>
          <w:tab w:val="right" w:leader="dot" w:pos="9354"/>
        </w:tabs>
        <w:spacing w:line="500" w:lineRule="exact"/>
        <w:rPr>
          <w:rFonts w:asciiTheme="minorEastAsia" w:hAnsiTheme="minorEastAsia" w:eastAsiaTheme="minorEastAsia" w:cstheme="minorEastAsia"/>
          <w:color w:val="auto"/>
          <w:sz w:val="24"/>
          <w:szCs w:val="24"/>
        </w:rPr>
      </w:pPr>
      <w:r>
        <w:rPr>
          <w:rFonts w:ascii="宋体" w:hAnsi="宋体"/>
          <w:b w:val="0"/>
          <w:color w:val="auto"/>
          <w:sz w:val="28"/>
          <w:szCs w:val="28"/>
        </w:rPr>
        <w:fldChar w:fldCharType="begin"/>
      </w:r>
      <w:r>
        <w:rPr>
          <w:rFonts w:ascii="宋体" w:hAnsi="宋体"/>
          <w:b w:val="0"/>
          <w:color w:val="auto"/>
          <w:sz w:val="28"/>
          <w:szCs w:val="28"/>
        </w:rPr>
        <w:instrText xml:space="preserve"> </w:instrText>
      </w:r>
      <w:r>
        <w:rPr>
          <w:rFonts w:hint="eastAsia" w:ascii="宋体" w:hAnsi="宋体"/>
          <w:b w:val="0"/>
          <w:color w:val="auto"/>
          <w:sz w:val="28"/>
          <w:szCs w:val="28"/>
        </w:rPr>
        <w:instrText xml:space="preserve">TOC \o "1-3" \h \z \u</w:instrText>
      </w:r>
      <w:r>
        <w:rPr>
          <w:rFonts w:ascii="宋体" w:hAnsi="宋体"/>
          <w:b w:val="0"/>
          <w:color w:val="auto"/>
          <w:sz w:val="28"/>
          <w:szCs w:val="28"/>
        </w:rPr>
        <w:instrText xml:space="preserve"> </w:instrText>
      </w:r>
      <w:r>
        <w:rPr>
          <w:rFonts w:ascii="宋体" w:hAnsi="宋体"/>
          <w:b w:val="0"/>
          <w:color w:val="auto"/>
          <w:sz w:val="28"/>
          <w:szCs w:val="28"/>
        </w:rPr>
        <w:fldChar w:fldCharType="separate"/>
      </w:r>
      <w:r>
        <w:rPr>
          <w:color w:val="auto"/>
        </w:rPr>
        <w:fldChar w:fldCharType="begin"/>
      </w:r>
      <w:r>
        <w:rPr>
          <w:color w:val="auto"/>
        </w:rPr>
        <w:instrText xml:space="preserve"> HYPERLINK \l "_Toc28438" </w:instrText>
      </w:r>
      <w:r>
        <w:rPr>
          <w:color w:val="auto"/>
        </w:rPr>
        <w:fldChar w:fldCharType="separate"/>
      </w:r>
      <w:r>
        <w:rPr>
          <w:rFonts w:hint="eastAsia" w:asciiTheme="minorEastAsia" w:hAnsiTheme="minorEastAsia" w:eastAsiaTheme="minorEastAsia" w:cstheme="minorEastAsia"/>
          <w:color w:val="auto"/>
          <w:sz w:val="24"/>
          <w:szCs w:val="24"/>
        </w:rPr>
        <w:t>投标供应商须知前附表</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_Toc28438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30"/>
        <w:tabs>
          <w:tab w:val="right" w:leader="dot" w:pos="9354"/>
        </w:tabs>
        <w:spacing w:line="500" w:lineRule="exact"/>
        <w:rPr>
          <w:rFonts w:asciiTheme="minorEastAsia" w:hAnsiTheme="minorEastAsia" w:eastAsiaTheme="minorEastAsia" w:cstheme="minorEastAsia"/>
          <w:color w:val="auto"/>
          <w:sz w:val="24"/>
          <w:szCs w:val="24"/>
        </w:rPr>
      </w:pPr>
      <w:r>
        <w:rPr>
          <w:color w:val="auto"/>
        </w:rPr>
        <w:fldChar w:fldCharType="begin"/>
      </w:r>
      <w:r>
        <w:rPr>
          <w:color w:val="auto"/>
        </w:rPr>
        <w:instrText xml:space="preserve"> HYPERLINK \l "_Toc2189" </w:instrText>
      </w:r>
      <w:r>
        <w:rPr>
          <w:color w:val="auto"/>
        </w:rPr>
        <w:fldChar w:fldCharType="separate"/>
      </w:r>
      <w:r>
        <w:rPr>
          <w:rFonts w:hint="eastAsia" w:asciiTheme="minorEastAsia" w:hAnsiTheme="minorEastAsia" w:eastAsiaTheme="minorEastAsia" w:cstheme="minorEastAsia"/>
          <w:color w:val="auto"/>
          <w:sz w:val="24"/>
          <w:szCs w:val="24"/>
        </w:rPr>
        <w:t>第一章 招标公告</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_Toc2189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30"/>
        <w:tabs>
          <w:tab w:val="right" w:leader="dot" w:pos="9354"/>
        </w:tabs>
        <w:spacing w:line="500" w:lineRule="exact"/>
        <w:rPr>
          <w:rFonts w:asciiTheme="minorEastAsia" w:hAnsiTheme="minorEastAsia" w:eastAsiaTheme="minorEastAsia" w:cstheme="minorEastAsia"/>
          <w:color w:val="auto"/>
          <w:sz w:val="24"/>
          <w:szCs w:val="24"/>
        </w:rPr>
      </w:pPr>
      <w:r>
        <w:rPr>
          <w:color w:val="auto"/>
        </w:rPr>
        <w:fldChar w:fldCharType="begin"/>
      </w:r>
      <w:r>
        <w:rPr>
          <w:color w:val="auto"/>
        </w:rPr>
        <w:instrText xml:space="preserve"> HYPERLINK \l "_Toc6564" </w:instrText>
      </w:r>
      <w:r>
        <w:rPr>
          <w:color w:val="auto"/>
        </w:rPr>
        <w:fldChar w:fldCharType="separate"/>
      </w:r>
      <w:r>
        <w:rPr>
          <w:rFonts w:hint="eastAsia" w:asciiTheme="minorEastAsia" w:hAnsiTheme="minorEastAsia" w:eastAsiaTheme="minorEastAsia" w:cstheme="minorEastAsia"/>
          <w:color w:val="auto"/>
          <w:sz w:val="24"/>
          <w:szCs w:val="24"/>
        </w:rPr>
        <w:t>第二章 投标须知</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_Toc6564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9</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34"/>
        <w:tabs>
          <w:tab w:val="right" w:leader="dot" w:pos="9354"/>
        </w:tabs>
        <w:spacing w:line="500" w:lineRule="exact"/>
        <w:rPr>
          <w:rFonts w:asciiTheme="minorEastAsia" w:hAnsiTheme="minorEastAsia" w:eastAsiaTheme="minorEastAsia" w:cstheme="minorEastAsia"/>
          <w:color w:val="auto"/>
          <w:sz w:val="24"/>
          <w:szCs w:val="24"/>
        </w:rPr>
      </w:pPr>
      <w:r>
        <w:rPr>
          <w:color w:val="auto"/>
        </w:rPr>
        <w:fldChar w:fldCharType="begin"/>
      </w:r>
      <w:r>
        <w:rPr>
          <w:color w:val="auto"/>
        </w:rPr>
        <w:instrText xml:space="preserve"> HYPERLINK \l "_Toc8533" </w:instrText>
      </w:r>
      <w:r>
        <w:rPr>
          <w:color w:val="auto"/>
        </w:rPr>
        <w:fldChar w:fldCharType="separate"/>
      </w:r>
      <w:r>
        <w:rPr>
          <w:rFonts w:hint="eastAsia" w:asciiTheme="minorEastAsia" w:hAnsiTheme="minorEastAsia" w:eastAsiaTheme="minorEastAsia" w:cstheme="minorEastAsia"/>
          <w:color w:val="auto"/>
          <w:sz w:val="24"/>
          <w:szCs w:val="24"/>
        </w:rPr>
        <w:t>一、总则</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_Toc8533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9</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34"/>
        <w:tabs>
          <w:tab w:val="right" w:leader="dot" w:pos="9354"/>
        </w:tabs>
        <w:spacing w:line="500" w:lineRule="exact"/>
        <w:rPr>
          <w:rFonts w:asciiTheme="minorEastAsia" w:hAnsiTheme="minorEastAsia" w:eastAsiaTheme="minorEastAsia" w:cstheme="minorEastAsia"/>
          <w:color w:val="auto"/>
          <w:sz w:val="24"/>
          <w:szCs w:val="24"/>
        </w:rPr>
      </w:pPr>
      <w:r>
        <w:rPr>
          <w:color w:val="auto"/>
        </w:rPr>
        <w:fldChar w:fldCharType="begin"/>
      </w:r>
      <w:r>
        <w:rPr>
          <w:color w:val="auto"/>
        </w:rPr>
        <w:instrText xml:space="preserve"> HYPERLINK \l "_Toc7954" </w:instrText>
      </w:r>
      <w:r>
        <w:rPr>
          <w:color w:val="auto"/>
        </w:rPr>
        <w:fldChar w:fldCharType="separate"/>
      </w:r>
      <w:r>
        <w:rPr>
          <w:rFonts w:hint="eastAsia" w:asciiTheme="minorEastAsia" w:hAnsiTheme="minorEastAsia" w:eastAsiaTheme="minorEastAsia" w:cstheme="minorEastAsia"/>
          <w:color w:val="auto"/>
          <w:sz w:val="24"/>
          <w:szCs w:val="24"/>
        </w:rPr>
        <w:t>二、招标文件</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_Toc7954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9</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34"/>
        <w:tabs>
          <w:tab w:val="right" w:leader="dot" w:pos="9354"/>
        </w:tabs>
        <w:spacing w:line="500" w:lineRule="exact"/>
        <w:rPr>
          <w:rFonts w:asciiTheme="minorEastAsia" w:hAnsiTheme="minorEastAsia" w:eastAsiaTheme="minorEastAsia" w:cstheme="minorEastAsia"/>
          <w:color w:val="auto"/>
          <w:sz w:val="24"/>
          <w:szCs w:val="24"/>
        </w:rPr>
      </w:pPr>
      <w:r>
        <w:rPr>
          <w:color w:val="auto"/>
        </w:rPr>
        <w:fldChar w:fldCharType="begin"/>
      </w:r>
      <w:r>
        <w:rPr>
          <w:color w:val="auto"/>
        </w:rPr>
        <w:instrText xml:space="preserve"> HYPERLINK \l "_Toc22109" </w:instrText>
      </w:r>
      <w:r>
        <w:rPr>
          <w:color w:val="auto"/>
        </w:rPr>
        <w:fldChar w:fldCharType="separate"/>
      </w:r>
      <w:r>
        <w:rPr>
          <w:rFonts w:hint="eastAsia" w:asciiTheme="minorEastAsia" w:hAnsiTheme="minorEastAsia" w:eastAsiaTheme="minorEastAsia" w:cstheme="minorEastAsia"/>
          <w:color w:val="auto"/>
          <w:sz w:val="24"/>
          <w:szCs w:val="24"/>
        </w:rPr>
        <w:t>三、投标文件的编制</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_Toc22109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11</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34"/>
        <w:tabs>
          <w:tab w:val="right" w:leader="dot" w:pos="9354"/>
        </w:tabs>
        <w:spacing w:line="500" w:lineRule="exact"/>
        <w:rPr>
          <w:rFonts w:asciiTheme="minorEastAsia" w:hAnsiTheme="minorEastAsia" w:eastAsiaTheme="minorEastAsia" w:cstheme="minorEastAsia"/>
          <w:color w:val="auto"/>
          <w:sz w:val="24"/>
          <w:szCs w:val="24"/>
        </w:rPr>
      </w:pPr>
      <w:r>
        <w:rPr>
          <w:color w:val="auto"/>
        </w:rPr>
        <w:fldChar w:fldCharType="begin"/>
      </w:r>
      <w:r>
        <w:rPr>
          <w:color w:val="auto"/>
        </w:rPr>
        <w:instrText xml:space="preserve"> HYPERLINK \l "_Toc4643" </w:instrText>
      </w:r>
      <w:r>
        <w:rPr>
          <w:color w:val="auto"/>
        </w:rPr>
        <w:fldChar w:fldCharType="separate"/>
      </w:r>
      <w:r>
        <w:rPr>
          <w:rFonts w:hint="eastAsia" w:asciiTheme="minorEastAsia" w:hAnsiTheme="minorEastAsia" w:eastAsiaTheme="minorEastAsia" w:cstheme="minorEastAsia"/>
          <w:color w:val="auto"/>
          <w:sz w:val="24"/>
          <w:szCs w:val="24"/>
        </w:rPr>
        <w:t>四、投标文件的递交</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_Toc4643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34"/>
        <w:tabs>
          <w:tab w:val="right" w:leader="dot" w:pos="9354"/>
        </w:tabs>
        <w:spacing w:line="500" w:lineRule="exact"/>
        <w:rPr>
          <w:rFonts w:asciiTheme="minorEastAsia" w:hAnsiTheme="minorEastAsia" w:eastAsiaTheme="minorEastAsia" w:cstheme="minorEastAsia"/>
          <w:color w:val="auto"/>
          <w:sz w:val="24"/>
          <w:szCs w:val="24"/>
        </w:rPr>
      </w:pPr>
      <w:r>
        <w:rPr>
          <w:color w:val="auto"/>
        </w:rPr>
        <w:fldChar w:fldCharType="begin"/>
      </w:r>
      <w:r>
        <w:rPr>
          <w:color w:val="auto"/>
        </w:rPr>
        <w:instrText xml:space="preserve"> HYPERLINK \l "_Toc8270" </w:instrText>
      </w:r>
      <w:r>
        <w:rPr>
          <w:color w:val="auto"/>
        </w:rPr>
        <w:fldChar w:fldCharType="separate"/>
      </w:r>
      <w:r>
        <w:rPr>
          <w:rFonts w:hint="eastAsia" w:asciiTheme="minorEastAsia" w:hAnsiTheme="minorEastAsia" w:eastAsiaTheme="minorEastAsia" w:cstheme="minorEastAsia"/>
          <w:color w:val="auto"/>
          <w:sz w:val="24"/>
          <w:szCs w:val="24"/>
        </w:rPr>
        <w:t>五、开标</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_Toc8270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34"/>
        <w:tabs>
          <w:tab w:val="right" w:leader="dot" w:pos="9354"/>
        </w:tabs>
        <w:spacing w:line="500" w:lineRule="exact"/>
        <w:rPr>
          <w:rFonts w:asciiTheme="minorEastAsia" w:hAnsiTheme="minorEastAsia" w:eastAsiaTheme="minorEastAsia" w:cstheme="minorEastAsia"/>
          <w:color w:val="auto"/>
          <w:sz w:val="24"/>
          <w:szCs w:val="24"/>
        </w:rPr>
      </w:pPr>
      <w:r>
        <w:rPr>
          <w:color w:val="auto"/>
        </w:rPr>
        <w:fldChar w:fldCharType="begin"/>
      </w:r>
      <w:r>
        <w:rPr>
          <w:color w:val="auto"/>
        </w:rPr>
        <w:instrText xml:space="preserve"> HYPERLINK \l "_Toc15882" </w:instrText>
      </w:r>
      <w:r>
        <w:rPr>
          <w:color w:val="auto"/>
        </w:rPr>
        <w:fldChar w:fldCharType="separate"/>
      </w:r>
      <w:r>
        <w:rPr>
          <w:rFonts w:hint="eastAsia" w:asciiTheme="minorEastAsia" w:hAnsiTheme="minorEastAsia" w:eastAsiaTheme="minorEastAsia" w:cstheme="minorEastAsia"/>
          <w:color w:val="auto"/>
          <w:sz w:val="24"/>
          <w:szCs w:val="24"/>
        </w:rPr>
        <w:t>六、评标、定标</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_Toc15882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16</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34"/>
        <w:tabs>
          <w:tab w:val="right" w:leader="dot" w:pos="9354"/>
        </w:tabs>
        <w:spacing w:line="500" w:lineRule="exact"/>
        <w:rPr>
          <w:rFonts w:asciiTheme="minorEastAsia" w:hAnsiTheme="minorEastAsia" w:eastAsiaTheme="minorEastAsia" w:cstheme="minorEastAsia"/>
          <w:color w:val="auto"/>
          <w:sz w:val="24"/>
          <w:szCs w:val="24"/>
        </w:rPr>
      </w:pPr>
      <w:r>
        <w:rPr>
          <w:color w:val="auto"/>
        </w:rPr>
        <w:fldChar w:fldCharType="begin"/>
      </w:r>
      <w:r>
        <w:rPr>
          <w:color w:val="auto"/>
        </w:rPr>
        <w:instrText xml:space="preserve"> HYPERLINK \l "_Toc9740" </w:instrText>
      </w:r>
      <w:r>
        <w:rPr>
          <w:color w:val="auto"/>
        </w:rPr>
        <w:fldChar w:fldCharType="separate"/>
      </w:r>
      <w:r>
        <w:rPr>
          <w:rFonts w:hint="eastAsia" w:asciiTheme="minorEastAsia" w:hAnsiTheme="minorEastAsia" w:eastAsiaTheme="minorEastAsia" w:cstheme="minorEastAsia"/>
          <w:color w:val="auto"/>
          <w:sz w:val="24"/>
          <w:szCs w:val="24"/>
        </w:rPr>
        <w:t>七、授予合同</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_Toc9740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34"/>
        <w:tabs>
          <w:tab w:val="right" w:leader="dot" w:pos="9354"/>
        </w:tabs>
        <w:spacing w:line="500" w:lineRule="exact"/>
        <w:rPr>
          <w:rFonts w:asciiTheme="minorEastAsia" w:hAnsiTheme="minorEastAsia" w:eastAsiaTheme="minorEastAsia" w:cstheme="minorEastAsia"/>
          <w:color w:val="auto"/>
          <w:sz w:val="24"/>
          <w:szCs w:val="24"/>
        </w:rPr>
      </w:pPr>
      <w:r>
        <w:rPr>
          <w:color w:val="auto"/>
        </w:rPr>
        <w:fldChar w:fldCharType="begin"/>
      </w:r>
      <w:r>
        <w:rPr>
          <w:color w:val="auto"/>
        </w:rPr>
        <w:instrText xml:space="preserve"> HYPERLINK \l "_Toc7315" </w:instrText>
      </w:r>
      <w:r>
        <w:rPr>
          <w:color w:val="auto"/>
        </w:rPr>
        <w:fldChar w:fldCharType="separate"/>
      </w:r>
      <w:r>
        <w:rPr>
          <w:rFonts w:hint="eastAsia" w:asciiTheme="minorEastAsia" w:hAnsiTheme="minorEastAsia" w:eastAsiaTheme="minorEastAsia" w:cstheme="minorEastAsia"/>
          <w:color w:val="auto"/>
          <w:sz w:val="24"/>
          <w:szCs w:val="24"/>
        </w:rPr>
        <w:t>八、买方授标时更改采购货物数量的权利</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_Toc7315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34"/>
        <w:tabs>
          <w:tab w:val="right" w:leader="dot" w:pos="9354"/>
        </w:tabs>
        <w:spacing w:line="500" w:lineRule="exact"/>
        <w:rPr>
          <w:rFonts w:asciiTheme="minorEastAsia" w:hAnsiTheme="minorEastAsia" w:eastAsiaTheme="minorEastAsia" w:cstheme="minorEastAsia"/>
          <w:color w:val="auto"/>
          <w:sz w:val="24"/>
          <w:szCs w:val="24"/>
        </w:rPr>
      </w:pPr>
      <w:r>
        <w:rPr>
          <w:color w:val="auto"/>
        </w:rPr>
        <w:fldChar w:fldCharType="begin"/>
      </w:r>
      <w:r>
        <w:rPr>
          <w:color w:val="auto"/>
        </w:rPr>
        <w:instrText xml:space="preserve"> HYPERLINK \l "_Toc5835" </w:instrText>
      </w:r>
      <w:r>
        <w:rPr>
          <w:color w:val="auto"/>
        </w:rPr>
        <w:fldChar w:fldCharType="separate"/>
      </w:r>
      <w:r>
        <w:rPr>
          <w:rFonts w:hint="eastAsia" w:asciiTheme="minorEastAsia" w:hAnsiTheme="minorEastAsia" w:eastAsiaTheme="minorEastAsia" w:cstheme="minorEastAsia"/>
          <w:color w:val="auto"/>
          <w:sz w:val="24"/>
          <w:szCs w:val="24"/>
        </w:rPr>
        <w:t>九、其他事项</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_Toc5835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30"/>
        <w:tabs>
          <w:tab w:val="right" w:leader="dot" w:pos="9354"/>
        </w:tabs>
        <w:spacing w:line="500" w:lineRule="exact"/>
        <w:rPr>
          <w:rFonts w:asciiTheme="minorEastAsia" w:hAnsiTheme="minorEastAsia" w:eastAsiaTheme="minorEastAsia" w:cstheme="minorEastAsia"/>
          <w:color w:val="auto"/>
          <w:sz w:val="24"/>
          <w:szCs w:val="24"/>
        </w:rPr>
      </w:pPr>
      <w:r>
        <w:rPr>
          <w:color w:val="auto"/>
        </w:rPr>
        <w:fldChar w:fldCharType="begin"/>
      </w:r>
      <w:r>
        <w:rPr>
          <w:color w:val="auto"/>
        </w:rPr>
        <w:instrText xml:space="preserve"> HYPERLINK \l "_Toc4714" </w:instrText>
      </w:r>
      <w:r>
        <w:rPr>
          <w:color w:val="auto"/>
        </w:rPr>
        <w:fldChar w:fldCharType="separate"/>
      </w:r>
      <w:r>
        <w:rPr>
          <w:rFonts w:hint="eastAsia" w:asciiTheme="minorEastAsia" w:hAnsiTheme="minorEastAsia" w:eastAsiaTheme="minorEastAsia" w:cstheme="minorEastAsia"/>
          <w:color w:val="auto"/>
          <w:sz w:val="24"/>
          <w:szCs w:val="24"/>
        </w:rPr>
        <w:t>第三章 货物需求一览表及技术规格要求</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_Toc4714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26</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30"/>
        <w:tabs>
          <w:tab w:val="right" w:leader="dot" w:pos="9354"/>
        </w:tabs>
        <w:spacing w:line="500" w:lineRule="exact"/>
        <w:rPr>
          <w:rFonts w:hint="eastAsia" w:asciiTheme="minorEastAsia" w:hAnsiTheme="minorEastAsia" w:eastAsiaTheme="minorEastAsia" w:cstheme="minorEastAsia"/>
          <w:color w:val="auto"/>
          <w:sz w:val="24"/>
          <w:szCs w:val="24"/>
          <w:lang w:val="en-US" w:eastAsia="zh-CN"/>
        </w:rPr>
      </w:pPr>
      <w:r>
        <w:rPr>
          <w:color w:val="auto"/>
        </w:rPr>
        <w:fldChar w:fldCharType="begin"/>
      </w:r>
      <w:r>
        <w:rPr>
          <w:color w:val="auto"/>
        </w:rPr>
        <w:instrText xml:space="preserve"> HYPERLINK \l "_Toc5541" </w:instrText>
      </w:r>
      <w:r>
        <w:rPr>
          <w:color w:val="auto"/>
        </w:rPr>
        <w:fldChar w:fldCharType="separate"/>
      </w:r>
      <w:r>
        <w:rPr>
          <w:rFonts w:hint="eastAsia" w:asciiTheme="minorEastAsia" w:hAnsiTheme="minorEastAsia" w:eastAsiaTheme="minorEastAsia" w:cstheme="minorEastAsia"/>
          <w:color w:val="auto"/>
          <w:sz w:val="24"/>
          <w:szCs w:val="24"/>
        </w:rPr>
        <w:t>第四章 合同条款</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6</w:t>
      </w:r>
    </w:p>
    <w:p>
      <w:pPr>
        <w:pStyle w:val="30"/>
        <w:tabs>
          <w:tab w:val="right" w:leader="dot" w:pos="9354"/>
        </w:tabs>
        <w:spacing w:line="500" w:lineRule="exact"/>
        <w:rPr>
          <w:rFonts w:hint="eastAsia" w:asciiTheme="minorEastAsia" w:hAnsiTheme="minorEastAsia" w:eastAsiaTheme="minorEastAsia" w:cstheme="minorEastAsia"/>
          <w:color w:val="auto"/>
          <w:sz w:val="24"/>
          <w:szCs w:val="24"/>
          <w:lang w:val="en-US" w:eastAsia="zh-CN"/>
        </w:rPr>
      </w:pPr>
      <w:r>
        <w:rPr>
          <w:color w:val="auto"/>
        </w:rPr>
        <w:fldChar w:fldCharType="begin"/>
      </w:r>
      <w:r>
        <w:rPr>
          <w:color w:val="auto"/>
        </w:rPr>
        <w:instrText xml:space="preserve"> HYPERLINK \l "_Toc19169" </w:instrText>
      </w:r>
      <w:r>
        <w:rPr>
          <w:color w:val="auto"/>
        </w:rPr>
        <w:fldChar w:fldCharType="separate"/>
      </w:r>
      <w:r>
        <w:rPr>
          <w:rFonts w:hint="eastAsia" w:asciiTheme="minorEastAsia" w:hAnsiTheme="minorEastAsia" w:eastAsiaTheme="minorEastAsia" w:cstheme="minorEastAsia"/>
          <w:color w:val="auto"/>
          <w:sz w:val="24"/>
          <w:szCs w:val="24"/>
        </w:rPr>
        <w:t>第五章 投标文件格式</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6</w:t>
      </w:r>
    </w:p>
    <w:p>
      <w:pPr>
        <w:pStyle w:val="30"/>
        <w:tabs>
          <w:tab w:val="right" w:leader="dot" w:pos="9354"/>
        </w:tabs>
        <w:spacing w:line="500" w:lineRule="exact"/>
        <w:rPr>
          <w:color w:val="auto"/>
        </w:rPr>
      </w:pPr>
    </w:p>
    <w:p>
      <w:pPr>
        <w:pStyle w:val="30"/>
        <w:tabs>
          <w:tab w:val="left" w:pos="5410"/>
        </w:tabs>
        <w:spacing w:line="500" w:lineRule="exact"/>
        <w:rPr>
          <w:rFonts w:ascii="宋体" w:hAnsi="宋体"/>
          <w:color w:val="auto"/>
          <w:sz w:val="28"/>
          <w:szCs w:val="28"/>
        </w:rPr>
      </w:pPr>
      <w:r>
        <w:rPr>
          <w:rFonts w:ascii="宋体" w:hAnsi="宋体"/>
          <w:color w:val="auto"/>
          <w:szCs w:val="28"/>
        </w:rPr>
        <w:fldChar w:fldCharType="end"/>
      </w:r>
      <w:r>
        <w:rPr>
          <w:rFonts w:hint="eastAsia" w:ascii="宋体" w:hAnsi="宋体"/>
          <w:color w:val="auto"/>
          <w:szCs w:val="28"/>
        </w:rPr>
        <w:tab/>
      </w:r>
    </w:p>
    <w:p>
      <w:pPr>
        <w:spacing w:line="360" w:lineRule="auto"/>
        <w:jc w:val="center"/>
        <w:rPr>
          <w:rFonts w:ascii="宋体" w:hAnsi="宋体"/>
          <w:b/>
          <w:color w:val="auto"/>
          <w:sz w:val="36"/>
        </w:rPr>
      </w:pPr>
    </w:p>
    <w:p>
      <w:pPr>
        <w:spacing w:line="360" w:lineRule="auto"/>
        <w:jc w:val="center"/>
        <w:rPr>
          <w:rFonts w:ascii="宋体" w:hAnsi="宋体"/>
          <w:b/>
          <w:color w:val="auto"/>
          <w:sz w:val="36"/>
        </w:rPr>
        <w:sectPr>
          <w:footerReference r:id="rId4" w:type="default"/>
          <w:pgSz w:w="11906" w:h="16838"/>
          <w:pgMar w:top="1418" w:right="1134" w:bottom="1418" w:left="1418" w:header="851" w:footer="851" w:gutter="0"/>
          <w:pgNumType w:start="1"/>
          <w:cols w:space="720" w:num="1"/>
          <w:docGrid w:type="linesAndChars" w:linePitch="312" w:charSpace="0"/>
        </w:sectPr>
      </w:pPr>
      <w:r>
        <w:rPr>
          <w:rFonts w:hint="eastAsia" w:ascii="宋体" w:hAnsi="宋体"/>
          <w:b/>
          <w:color w:val="auto"/>
          <w:sz w:val="36"/>
        </w:rPr>
        <w:t xml:space="preserve">                                                     </w:t>
      </w:r>
    </w:p>
    <w:p>
      <w:pPr>
        <w:spacing w:line="500" w:lineRule="exact"/>
        <w:jc w:val="center"/>
        <w:outlineLvl w:val="0"/>
        <w:rPr>
          <w:rFonts w:ascii="宋体" w:hAnsi="宋体"/>
          <w:b/>
          <w:color w:val="auto"/>
          <w:sz w:val="24"/>
          <w:szCs w:val="24"/>
        </w:rPr>
      </w:pPr>
      <w:bookmarkStart w:id="0" w:name="_Toc28438"/>
      <w:r>
        <w:rPr>
          <w:rFonts w:hint="eastAsia" w:ascii="宋体" w:hAnsi="宋体"/>
          <w:b/>
          <w:color w:val="auto"/>
          <w:sz w:val="36"/>
        </w:rPr>
        <w:t>投标供应商须知前附表</w:t>
      </w:r>
      <w:bookmarkEnd w:id="0"/>
    </w:p>
    <w:tbl>
      <w:tblPr>
        <w:tblStyle w:val="41"/>
        <w:tblW w:w="10320" w:type="dxa"/>
        <w:jc w:val="center"/>
        <w:tblLayout w:type="fixed"/>
        <w:tblCellMar>
          <w:top w:w="0" w:type="dxa"/>
          <w:left w:w="108" w:type="dxa"/>
          <w:bottom w:w="0" w:type="dxa"/>
          <w:right w:w="108" w:type="dxa"/>
        </w:tblCellMar>
      </w:tblPr>
      <w:tblGrid>
        <w:gridCol w:w="767"/>
        <w:gridCol w:w="9553"/>
      </w:tblGrid>
      <w:tr>
        <w:tblPrEx>
          <w:tblCellMar>
            <w:top w:w="0" w:type="dxa"/>
            <w:left w:w="108" w:type="dxa"/>
            <w:bottom w:w="0" w:type="dxa"/>
            <w:right w:w="108" w:type="dxa"/>
          </w:tblCellMar>
        </w:tblPrEx>
        <w:trPr>
          <w:trHeight w:val="467" w:hRule="exact"/>
          <w:jc w:val="center"/>
        </w:trPr>
        <w:tc>
          <w:tcPr>
            <w:tcW w:w="767" w:type="dxa"/>
            <w:tcBorders>
              <w:top w:val="single" w:color="auto" w:sz="12" w:space="0"/>
              <w:left w:val="single" w:color="auto" w:sz="12" w:space="0"/>
              <w:bottom w:val="single" w:color="auto" w:sz="12" w:space="0"/>
              <w:right w:val="single" w:color="auto" w:sz="12" w:space="0"/>
            </w:tcBorders>
            <w:vAlign w:val="center"/>
          </w:tcPr>
          <w:p>
            <w:pPr>
              <w:pStyle w:val="83"/>
              <w:spacing w:line="500" w:lineRule="exact"/>
              <w:jc w:val="center"/>
              <w:rPr>
                <w:rFonts w:ascii="宋体" w:hAnsi="宋体"/>
                <w:color w:val="auto"/>
              </w:rPr>
            </w:pPr>
            <w:r>
              <w:rPr>
                <w:rFonts w:hint="eastAsia" w:ascii="宋体" w:hAnsi="宋体"/>
                <w:color w:val="auto"/>
              </w:rPr>
              <w:t>序号</w:t>
            </w:r>
          </w:p>
        </w:tc>
        <w:tc>
          <w:tcPr>
            <w:tcW w:w="9553" w:type="dxa"/>
            <w:tcBorders>
              <w:top w:val="single" w:color="auto" w:sz="12" w:space="0"/>
              <w:left w:val="single" w:color="auto" w:sz="12" w:space="0"/>
              <w:bottom w:val="single" w:color="auto" w:sz="12" w:space="0"/>
              <w:right w:val="single" w:color="auto" w:sz="12" w:space="0"/>
            </w:tcBorders>
            <w:vAlign w:val="center"/>
          </w:tcPr>
          <w:p>
            <w:pPr>
              <w:pStyle w:val="83"/>
              <w:spacing w:line="500" w:lineRule="exact"/>
              <w:jc w:val="center"/>
              <w:rPr>
                <w:rFonts w:ascii="宋体" w:hAnsi="宋体"/>
                <w:color w:val="auto"/>
              </w:rPr>
            </w:pPr>
            <w:r>
              <w:rPr>
                <w:rFonts w:hint="eastAsia" w:ascii="宋体" w:hAnsi="宋体"/>
                <w:color w:val="auto"/>
              </w:rPr>
              <w:t>内     容</w:t>
            </w:r>
          </w:p>
        </w:tc>
      </w:tr>
      <w:tr>
        <w:tblPrEx>
          <w:tblCellMar>
            <w:top w:w="0" w:type="dxa"/>
            <w:left w:w="108" w:type="dxa"/>
            <w:bottom w:w="0" w:type="dxa"/>
            <w:right w:w="108" w:type="dxa"/>
          </w:tblCellMar>
        </w:tblPrEx>
        <w:trPr>
          <w:trHeight w:val="2074" w:hRule="exact"/>
          <w:jc w:val="center"/>
        </w:trPr>
        <w:tc>
          <w:tcPr>
            <w:tcW w:w="767" w:type="dxa"/>
            <w:tcBorders>
              <w:top w:val="single" w:color="auto" w:sz="12" w:space="0"/>
              <w:left w:val="single" w:color="auto" w:sz="12" w:space="0"/>
              <w:bottom w:val="single" w:color="auto" w:sz="12" w:space="0"/>
              <w:right w:val="single" w:color="auto" w:sz="12" w:space="0"/>
            </w:tcBorders>
            <w:vAlign w:val="center"/>
          </w:tcPr>
          <w:p>
            <w:pPr>
              <w:pStyle w:val="83"/>
              <w:spacing w:line="500" w:lineRule="exact"/>
              <w:jc w:val="center"/>
              <w:rPr>
                <w:rFonts w:ascii="宋体" w:hAnsi="宋体"/>
                <w:color w:val="auto"/>
              </w:rPr>
            </w:pPr>
            <w:r>
              <w:rPr>
                <w:rFonts w:hint="eastAsia" w:ascii="宋体" w:hAnsi="宋体"/>
                <w:color w:val="auto"/>
              </w:rPr>
              <w:t>1</w:t>
            </w:r>
          </w:p>
        </w:tc>
        <w:tc>
          <w:tcPr>
            <w:tcW w:w="9553" w:type="dxa"/>
            <w:tcBorders>
              <w:top w:val="single" w:color="auto" w:sz="12" w:space="0"/>
              <w:left w:val="single" w:color="auto" w:sz="12" w:space="0"/>
              <w:bottom w:val="single" w:color="auto" w:sz="12" w:space="0"/>
              <w:right w:val="single" w:color="auto" w:sz="12" w:space="0"/>
            </w:tcBorders>
            <w:vAlign w:val="center"/>
          </w:tcPr>
          <w:p>
            <w:pPr>
              <w:widowControl/>
              <w:spacing w:line="440" w:lineRule="exact"/>
              <w:ind w:left="1200" w:hanging="1200" w:hangingChars="500"/>
              <w:jc w:val="left"/>
              <w:rPr>
                <w:rFonts w:hint="eastAsia" w:ascii="宋体" w:hAnsi="宋体"/>
                <w:color w:val="auto"/>
                <w:kern w:val="0"/>
                <w:sz w:val="24"/>
                <w:szCs w:val="24"/>
                <w:lang w:eastAsia="zh-CN"/>
              </w:rPr>
            </w:pPr>
            <w:r>
              <w:rPr>
                <w:rFonts w:hint="eastAsia" w:ascii="宋体" w:hAnsi="宋体"/>
                <w:color w:val="auto"/>
                <w:kern w:val="0"/>
                <w:sz w:val="24"/>
                <w:szCs w:val="24"/>
              </w:rPr>
              <w:t>项目名称：</w:t>
            </w:r>
            <w:r>
              <w:rPr>
                <w:rFonts w:hint="eastAsia" w:ascii="宋体" w:hAnsi="宋体"/>
                <w:color w:val="auto"/>
                <w:kern w:val="0"/>
                <w:sz w:val="24"/>
                <w:szCs w:val="24"/>
                <w:lang w:eastAsia="zh-CN"/>
              </w:rPr>
              <w:t>霍城县中医医院医疗诊断设备采购项目</w:t>
            </w:r>
          </w:p>
          <w:p>
            <w:pPr>
              <w:widowControl/>
              <w:spacing w:line="440" w:lineRule="exact"/>
              <w:ind w:left="1200" w:hanging="1200" w:hangingChars="500"/>
              <w:jc w:val="left"/>
              <w:rPr>
                <w:rFonts w:hint="eastAsia" w:ascii="宋体" w:hAnsi="宋体" w:eastAsia="宋体"/>
                <w:color w:val="auto"/>
                <w:kern w:val="0"/>
                <w:sz w:val="24"/>
                <w:szCs w:val="24"/>
                <w:lang w:eastAsia="zh-CN"/>
              </w:rPr>
            </w:pPr>
            <w:r>
              <w:rPr>
                <w:rFonts w:hint="eastAsia" w:ascii="宋体" w:hAnsi="宋体"/>
                <w:color w:val="auto"/>
                <w:kern w:val="0"/>
                <w:sz w:val="24"/>
                <w:szCs w:val="24"/>
                <w:lang w:eastAsia="zh-CN"/>
              </w:rPr>
              <w:t>项目</w:t>
            </w:r>
            <w:r>
              <w:rPr>
                <w:rFonts w:hint="eastAsia" w:ascii="宋体" w:hAnsi="宋体"/>
                <w:color w:val="auto"/>
                <w:kern w:val="0"/>
                <w:sz w:val="24"/>
                <w:szCs w:val="24"/>
              </w:rPr>
              <w:t>项目编号：</w:t>
            </w:r>
            <w:r>
              <w:rPr>
                <w:rFonts w:hint="eastAsia" w:ascii="宋体" w:hAnsi="宋体"/>
                <w:color w:val="auto"/>
                <w:kern w:val="0"/>
                <w:sz w:val="24"/>
                <w:szCs w:val="24"/>
                <w:lang w:eastAsia="zh-CN"/>
              </w:rPr>
              <w:t>HYYL-2021-088</w:t>
            </w:r>
          </w:p>
          <w:p>
            <w:pPr>
              <w:widowControl/>
              <w:spacing w:line="440" w:lineRule="exact"/>
              <w:ind w:left="1200" w:hanging="1200" w:hangingChars="500"/>
              <w:jc w:val="left"/>
              <w:rPr>
                <w:rFonts w:hint="eastAsia" w:ascii="宋体" w:hAnsi="宋体" w:eastAsia="宋体"/>
                <w:color w:val="auto"/>
                <w:kern w:val="0"/>
                <w:sz w:val="24"/>
                <w:szCs w:val="24"/>
                <w:lang w:val="en-US" w:eastAsia="zh-CN"/>
              </w:rPr>
            </w:pPr>
            <w:r>
              <w:rPr>
                <w:rFonts w:hint="eastAsia" w:ascii="宋体" w:hAnsi="宋体"/>
                <w:color w:val="auto"/>
                <w:kern w:val="0"/>
                <w:sz w:val="24"/>
                <w:szCs w:val="24"/>
              </w:rPr>
              <w:t>计划投资额</w:t>
            </w:r>
            <w:r>
              <w:rPr>
                <w:rFonts w:hint="eastAsia" w:ascii="宋体" w:hAnsi="宋体"/>
                <w:color w:val="auto"/>
                <w:kern w:val="0"/>
                <w:sz w:val="24"/>
                <w:szCs w:val="24"/>
                <w:lang w:eastAsia="zh-CN"/>
              </w:rPr>
              <w:t>（元）</w:t>
            </w:r>
            <w:r>
              <w:rPr>
                <w:rFonts w:hint="eastAsia" w:ascii="宋体" w:hAnsi="宋体"/>
                <w:color w:val="auto"/>
                <w:kern w:val="0"/>
                <w:sz w:val="24"/>
                <w:szCs w:val="24"/>
              </w:rPr>
              <w:t>:232400</w:t>
            </w:r>
            <w:r>
              <w:rPr>
                <w:rFonts w:hint="eastAsia" w:ascii="宋体" w:hAnsi="宋体"/>
                <w:color w:val="auto"/>
                <w:kern w:val="0"/>
                <w:sz w:val="24"/>
                <w:szCs w:val="24"/>
                <w:lang w:val="en-US" w:eastAsia="zh-CN"/>
              </w:rPr>
              <w:t>0</w:t>
            </w:r>
          </w:p>
          <w:p>
            <w:pPr>
              <w:widowControl/>
              <w:spacing w:line="440" w:lineRule="exact"/>
              <w:jc w:val="left"/>
              <w:rPr>
                <w:rFonts w:ascii="宋体" w:hAnsi="宋体"/>
                <w:color w:val="auto"/>
                <w:kern w:val="0"/>
                <w:sz w:val="24"/>
                <w:szCs w:val="24"/>
              </w:rPr>
            </w:pPr>
            <w:r>
              <w:rPr>
                <w:rFonts w:hint="eastAsia" w:ascii="宋体" w:hAnsi="宋体"/>
                <w:color w:val="auto"/>
                <w:kern w:val="0"/>
                <w:sz w:val="24"/>
                <w:szCs w:val="24"/>
              </w:rPr>
              <w:t>招标方式：公开招标</w:t>
            </w:r>
          </w:p>
        </w:tc>
      </w:tr>
      <w:tr>
        <w:tblPrEx>
          <w:tblCellMar>
            <w:top w:w="0" w:type="dxa"/>
            <w:left w:w="108" w:type="dxa"/>
            <w:bottom w:w="0" w:type="dxa"/>
            <w:right w:w="108" w:type="dxa"/>
          </w:tblCellMar>
        </w:tblPrEx>
        <w:trPr>
          <w:trHeight w:val="643" w:hRule="exact"/>
          <w:jc w:val="center"/>
        </w:trPr>
        <w:tc>
          <w:tcPr>
            <w:tcW w:w="767" w:type="dxa"/>
            <w:tcBorders>
              <w:top w:val="single" w:color="auto" w:sz="12" w:space="0"/>
              <w:left w:val="single" w:color="auto" w:sz="12" w:space="0"/>
              <w:bottom w:val="single" w:color="auto" w:sz="12" w:space="0"/>
              <w:right w:val="single" w:color="auto" w:sz="12" w:space="0"/>
            </w:tcBorders>
            <w:vAlign w:val="center"/>
          </w:tcPr>
          <w:p>
            <w:pPr>
              <w:pStyle w:val="83"/>
              <w:spacing w:line="500" w:lineRule="exact"/>
              <w:jc w:val="center"/>
              <w:rPr>
                <w:rFonts w:ascii="宋体" w:hAnsi="宋体"/>
                <w:color w:val="auto"/>
              </w:rPr>
            </w:pPr>
            <w:r>
              <w:rPr>
                <w:rFonts w:hint="eastAsia" w:ascii="宋体" w:hAnsi="宋体"/>
                <w:color w:val="auto"/>
              </w:rPr>
              <w:t>2</w:t>
            </w:r>
          </w:p>
        </w:tc>
        <w:tc>
          <w:tcPr>
            <w:tcW w:w="9553" w:type="dxa"/>
            <w:tcBorders>
              <w:top w:val="single" w:color="auto" w:sz="12" w:space="0"/>
              <w:left w:val="single" w:color="auto" w:sz="12" w:space="0"/>
              <w:bottom w:val="single" w:color="auto" w:sz="12" w:space="0"/>
              <w:right w:val="single" w:color="auto" w:sz="12" w:space="0"/>
            </w:tcBorders>
            <w:vAlign w:val="center"/>
          </w:tcPr>
          <w:p>
            <w:pPr>
              <w:pStyle w:val="83"/>
              <w:spacing w:line="440" w:lineRule="exact"/>
              <w:jc w:val="both"/>
              <w:rPr>
                <w:rFonts w:ascii="宋体" w:hAnsi="宋体"/>
                <w:color w:val="auto"/>
              </w:rPr>
            </w:pPr>
            <w:r>
              <w:rPr>
                <w:rFonts w:hint="eastAsia" w:ascii="宋体" w:hAnsi="宋体"/>
                <w:color w:val="auto"/>
              </w:rPr>
              <w:t>招标代理机构：新疆华域建设工程项目管理咨询有限公司</w:t>
            </w:r>
          </w:p>
        </w:tc>
      </w:tr>
      <w:tr>
        <w:tblPrEx>
          <w:tblCellMar>
            <w:top w:w="0" w:type="dxa"/>
            <w:left w:w="108" w:type="dxa"/>
            <w:bottom w:w="0" w:type="dxa"/>
            <w:right w:w="108" w:type="dxa"/>
          </w:tblCellMar>
        </w:tblPrEx>
        <w:trPr>
          <w:trHeight w:val="4106" w:hRule="exact"/>
          <w:jc w:val="center"/>
        </w:trPr>
        <w:tc>
          <w:tcPr>
            <w:tcW w:w="767" w:type="dxa"/>
            <w:tcBorders>
              <w:top w:val="single" w:color="auto" w:sz="12" w:space="0"/>
              <w:left w:val="single" w:color="auto" w:sz="12" w:space="0"/>
              <w:bottom w:val="single" w:color="auto" w:sz="12" w:space="0"/>
              <w:right w:val="single" w:color="auto" w:sz="12" w:space="0"/>
            </w:tcBorders>
            <w:vAlign w:val="center"/>
          </w:tcPr>
          <w:p>
            <w:pPr>
              <w:pStyle w:val="83"/>
              <w:spacing w:line="500" w:lineRule="exact"/>
              <w:jc w:val="center"/>
              <w:rPr>
                <w:rFonts w:ascii="宋体" w:hAnsi="宋体"/>
                <w:color w:val="auto"/>
              </w:rPr>
            </w:pPr>
            <w:r>
              <w:rPr>
                <w:rFonts w:hint="eastAsia" w:ascii="宋体" w:hAnsi="宋体"/>
                <w:color w:val="auto"/>
              </w:rPr>
              <w:t>3</w:t>
            </w:r>
          </w:p>
        </w:tc>
        <w:tc>
          <w:tcPr>
            <w:tcW w:w="9553" w:type="dxa"/>
            <w:tcBorders>
              <w:top w:val="single" w:color="auto" w:sz="12" w:space="0"/>
              <w:left w:val="single" w:color="auto" w:sz="12" w:space="0"/>
              <w:bottom w:val="single" w:color="auto" w:sz="12" w:space="0"/>
              <w:right w:val="single" w:color="auto" w:sz="12" w:space="0"/>
            </w:tcBorders>
            <w:vAlign w:val="center"/>
          </w:tcPr>
          <w:p>
            <w:pPr>
              <w:pStyle w:val="24"/>
              <w:spacing w:line="440" w:lineRule="exact"/>
              <w:jc w:val="left"/>
              <w:rPr>
                <w:rFonts w:cs="宋体"/>
                <w:color w:val="auto"/>
                <w:sz w:val="24"/>
                <w:szCs w:val="24"/>
              </w:rPr>
            </w:pPr>
            <w:r>
              <w:rPr>
                <w:rFonts w:hint="eastAsia" w:cs="宋体"/>
                <w:color w:val="auto"/>
                <w:sz w:val="24"/>
                <w:szCs w:val="24"/>
              </w:rPr>
              <w:t>保证金要求提供，数额不得超过采购项目预算金额的2%</w:t>
            </w:r>
            <w:r>
              <w:rPr>
                <w:rFonts w:hint="eastAsia" w:cs="宋体"/>
                <w:color w:val="auto"/>
                <w:sz w:val="24"/>
                <w:szCs w:val="24"/>
                <w:u w:val="single"/>
                <w:lang w:eastAsia="zh-CN"/>
              </w:rPr>
              <w:t>（</w:t>
            </w:r>
            <w:r>
              <w:rPr>
                <w:rFonts w:hint="eastAsia" w:cs="宋体"/>
                <w:color w:val="auto"/>
                <w:sz w:val="24"/>
                <w:szCs w:val="24"/>
                <w:u w:val="single"/>
                <w:lang w:val="en-US" w:eastAsia="zh-CN"/>
              </w:rPr>
              <w:t>35000元</w:t>
            </w:r>
            <w:r>
              <w:rPr>
                <w:rFonts w:hint="eastAsia" w:cs="宋体"/>
                <w:color w:val="auto"/>
                <w:sz w:val="24"/>
                <w:szCs w:val="24"/>
                <w:u w:val="single"/>
                <w:lang w:eastAsia="zh-CN"/>
              </w:rPr>
              <w:t>）</w:t>
            </w:r>
            <w:r>
              <w:rPr>
                <w:rFonts w:hint="eastAsia" w:cs="宋体"/>
                <w:color w:val="auto"/>
                <w:sz w:val="24"/>
                <w:szCs w:val="24"/>
              </w:rPr>
              <w:t>，提交方式为</w:t>
            </w:r>
            <w:r>
              <w:rPr>
                <w:rFonts w:hint="eastAsia" w:cs="宋体"/>
                <w:color w:val="auto"/>
                <w:sz w:val="24"/>
                <w:szCs w:val="24"/>
                <w:u w:val="single"/>
              </w:rPr>
              <w:t>投标人基本账户以网银或银行电汇形式</w:t>
            </w:r>
            <w:r>
              <w:rPr>
                <w:rFonts w:hint="eastAsia" w:cs="宋体"/>
                <w:color w:val="auto"/>
                <w:sz w:val="24"/>
                <w:szCs w:val="24"/>
              </w:rPr>
              <w:t>，在投标截止时间之前汇至本公司账户，否则其响应文件将被拒绝评审，投标人提交投标保证金应充分考虑资金在途时间。</w:t>
            </w:r>
          </w:p>
          <w:p>
            <w:pPr>
              <w:pStyle w:val="24"/>
              <w:spacing w:line="440" w:lineRule="exact"/>
              <w:jc w:val="left"/>
              <w:rPr>
                <w:rFonts w:cs="宋体"/>
                <w:color w:val="auto"/>
                <w:sz w:val="24"/>
                <w:szCs w:val="24"/>
              </w:rPr>
            </w:pPr>
            <w:r>
              <w:rPr>
                <w:rFonts w:hint="eastAsia" w:cs="宋体"/>
                <w:color w:val="auto"/>
                <w:sz w:val="24"/>
                <w:szCs w:val="24"/>
              </w:rPr>
              <w:t xml:space="preserve">账户信息：新疆华域建设工程项目管理咨询有限公司伊犁分公司  </w:t>
            </w:r>
          </w:p>
          <w:p>
            <w:pPr>
              <w:pStyle w:val="24"/>
              <w:spacing w:line="440" w:lineRule="exact"/>
              <w:jc w:val="left"/>
              <w:rPr>
                <w:rFonts w:cs="宋体"/>
                <w:color w:val="auto"/>
                <w:sz w:val="24"/>
                <w:szCs w:val="24"/>
              </w:rPr>
            </w:pPr>
            <w:r>
              <w:rPr>
                <w:rFonts w:hint="eastAsia" w:cs="宋体"/>
                <w:color w:val="auto"/>
                <w:sz w:val="24"/>
                <w:szCs w:val="24"/>
              </w:rPr>
              <w:t>开户行：中国工商银行股份有限公司伊宁阿和买提江街支行</w:t>
            </w:r>
          </w:p>
          <w:p>
            <w:pPr>
              <w:spacing w:line="400" w:lineRule="exact"/>
              <w:jc w:val="left"/>
              <w:rPr>
                <w:rFonts w:ascii="宋体" w:hAnsi="宋体" w:cs="宋体"/>
                <w:color w:val="auto"/>
                <w:sz w:val="24"/>
                <w:szCs w:val="24"/>
              </w:rPr>
            </w:pPr>
            <w:r>
              <w:rPr>
                <w:rFonts w:hint="eastAsia" w:ascii="宋体" w:hAnsi="宋体" w:cs="宋体"/>
                <w:color w:val="auto"/>
                <w:sz w:val="24"/>
                <w:szCs w:val="24"/>
              </w:rPr>
              <w:t>银行账号：3006023109200131786</w:t>
            </w:r>
          </w:p>
          <w:p>
            <w:pPr>
              <w:spacing w:line="440" w:lineRule="exact"/>
              <w:jc w:val="left"/>
              <w:rPr>
                <w:rFonts w:ascii="宋体" w:hAnsi="宋体"/>
                <w:color w:val="auto"/>
                <w:sz w:val="24"/>
                <w:szCs w:val="24"/>
              </w:rPr>
            </w:pPr>
            <w:r>
              <w:rPr>
                <w:rFonts w:hint="eastAsia" w:hAnsi="宋体" w:cs="宋体"/>
                <w:color w:val="auto"/>
                <w:sz w:val="24"/>
                <w:szCs w:val="24"/>
              </w:rPr>
              <w:t>注：以电汇方式递交投标保证金须在电汇凭据附言栏中写明项目编号、</w:t>
            </w:r>
            <w:r>
              <w:rPr>
                <w:rFonts w:hint="eastAsia" w:hAnsi="宋体" w:cs="宋体"/>
                <w:color w:val="auto"/>
                <w:sz w:val="24"/>
                <w:szCs w:val="24"/>
                <w:lang w:val="en-US" w:eastAsia="zh-CN"/>
              </w:rPr>
              <w:t>标项</w:t>
            </w:r>
            <w:r>
              <w:rPr>
                <w:rFonts w:hint="eastAsia" w:hAnsi="宋体" w:cs="宋体"/>
                <w:color w:val="auto"/>
                <w:sz w:val="24"/>
                <w:szCs w:val="24"/>
              </w:rPr>
              <w:t>号及用途(</w:t>
            </w:r>
            <w:r>
              <w:rPr>
                <w:rFonts w:hint="eastAsia" w:hAnsi="宋体" w:cs="宋体"/>
                <w:color w:val="auto"/>
                <w:sz w:val="24"/>
                <w:szCs w:val="24"/>
                <w:lang w:eastAsia="zh-CN"/>
              </w:rPr>
              <w:t>投标</w:t>
            </w:r>
            <w:r>
              <w:rPr>
                <w:rFonts w:hint="eastAsia" w:hAnsi="宋体" w:cs="宋体"/>
                <w:color w:val="auto"/>
                <w:sz w:val="24"/>
                <w:szCs w:val="24"/>
              </w:rPr>
              <w:t>保证金)，由于未按要求注明信息而导致的一切后果由投标人承担。</w:t>
            </w:r>
          </w:p>
        </w:tc>
      </w:tr>
      <w:tr>
        <w:tblPrEx>
          <w:tblCellMar>
            <w:top w:w="0" w:type="dxa"/>
            <w:left w:w="108" w:type="dxa"/>
            <w:bottom w:w="0" w:type="dxa"/>
            <w:right w:w="108" w:type="dxa"/>
          </w:tblCellMar>
        </w:tblPrEx>
        <w:trPr>
          <w:trHeight w:val="551" w:hRule="exact"/>
          <w:jc w:val="center"/>
        </w:trPr>
        <w:tc>
          <w:tcPr>
            <w:tcW w:w="767" w:type="dxa"/>
            <w:tcBorders>
              <w:top w:val="single" w:color="auto" w:sz="12" w:space="0"/>
              <w:left w:val="single" w:color="auto" w:sz="12" w:space="0"/>
              <w:bottom w:val="single" w:color="auto" w:sz="12" w:space="0"/>
              <w:right w:val="single" w:color="auto" w:sz="12" w:space="0"/>
            </w:tcBorders>
            <w:vAlign w:val="center"/>
          </w:tcPr>
          <w:p>
            <w:pPr>
              <w:pStyle w:val="83"/>
              <w:spacing w:line="500" w:lineRule="exact"/>
              <w:jc w:val="center"/>
              <w:rPr>
                <w:rFonts w:ascii="宋体" w:hAnsi="宋体"/>
                <w:color w:val="auto"/>
              </w:rPr>
            </w:pPr>
            <w:r>
              <w:rPr>
                <w:rFonts w:hint="eastAsia" w:ascii="宋体" w:hAnsi="宋体"/>
                <w:color w:val="auto"/>
              </w:rPr>
              <w:t>4</w:t>
            </w:r>
          </w:p>
        </w:tc>
        <w:tc>
          <w:tcPr>
            <w:tcW w:w="9553" w:type="dxa"/>
            <w:tcBorders>
              <w:top w:val="single" w:color="auto" w:sz="12" w:space="0"/>
              <w:left w:val="single" w:color="auto" w:sz="12" w:space="0"/>
              <w:bottom w:val="single" w:color="auto" w:sz="12" w:space="0"/>
              <w:right w:val="single" w:color="auto" w:sz="12" w:space="0"/>
            </w:tcBorders>
            <w:vAlign w:val="center"/>
          </w:tcPr>
          <w:p>
            <w:pPr>
              <w:pStyle w:val="83"/>
              <w:spacing w:line="440" w:lineRule="exact"/>
              <w:jc w:val="both"/>
              <w:rPr>
                <w:rFonts w:ascii="宋体" w:hAnsi="宋体"/>
                <w:color w:val="auto"/>
              </w:rPr>
            </w:pPr>
            <w:r>
              <w:rPr>
                <w:rFonts w:hint="eastAsia" w:ascii="宋体" w:hAnsi="宋体"/>
                <w:color w:val="auto"/>
              </w:rPr>
              <w:t>投标有效期：</w:t>
            </w:r>
            <w:r>
              <w:rPr>
                <w:rFonts w:hint="eastAsia" w:ascii="宋体" w:hAnsi="宋体"/>
                <w:color w:val="auto"/>
                <w:u w:val="single"/>
              </w:rPr>
              <w:t>60</w:t>
            </w:r>
            <w:r>
              <w:rPr>
                <w:rFonts w:hint="eastAsia" w:ascii="宋体" w:hAnsi="宋体"/>
                <w:color w:val="auto"/>
              </w:rPr>
              <w:t>天</w:t>
            </w:r>
          </w:p>
        </w:tc>
      </w:tr>
      <w:tr>
        <w:tblPrEx>
          <w:tblCellMar>
            <w:top w:w="0" w:type="dxa"/>
            <w:left w:w="108" w:type="dxa"/>
            <w:bottom w:w="0" w:type="dxa"/>
            <w:right w:w="108" w:type="dxa"/>
          </w:tblCellMar>
        </w:tblPrEx>
        <w:trPr>
          <w:trHeight w:val="575" w:hRule="exact"/>
          <w:jc w:val="center"/>
        </w:trPr>
        <w:tc>
          <w:tcPr>
            <w:tcW w:w="767" w:type="dxa"/>
            <w:tcBorders>
              <w:top w:val="single" w:color="auto" w:sz="12" w:space="0"/>
              <w:left w:val="single" w:color="auto" w:sz="12" w:space="0"/>
              <w:bottom w:val="single" w:color="auto" w:sz="12" w:space="0"/>
              <w:right w:val="single" w:color="auto" w:sz="12" w:space="0"/>
            </w:tcBorders>
            <w:vAlign w:val="center"/>
          </w:tcPr>
          <w:p>
            <w:pPr>
              <w:pStyle w:val="83"/>
              <w:spacing w:line="500" w:lineRule="exact"/>
              <w:jc w:val="center"/>
              <w:rPr>
                <w:rFonts w:ascii="宋体" w:hAnsi="宋体"/>
                <w:color w:val="auto"/>
              </w:rPr>
            </w:pPr>
            <w:r>
              <w:rPr>
                <w:rFonts w:hint="eastAsia" w:ascii="宋体" w:hAnsi="宋体"/>
                <w:color w:val="auto"/>
              </w:rPr>
              <w:t>5</w:t>
            </w:r>
          </w:p>
        </w:tc>
        <w:tc>
          <w:tcPr>
            <w:tcW w:w="9553" w:type="dxa"/>
            <w:tcBorders>
              <w:top w:val="single" w:color="auto" w:sz="12" w:space="0"/>
              <w:left w:val="single" w:color="auto" w:sz="12" w:space="0"/>
              <w:bottom w:val="single" w:color="auto" w:sz="12" w:space="0"/>
              <w:right w:val="single" w:color="auto" w:sz="12" w:space="0"/>
            </w:tcBorders>
            <w:vAlign w:val="center"/>
          </w:tcPr>
          <w:p>
            <w:pPr>
              <w:pStyle w:val="83"/>
              <w:spacing w:line="440" w:lineRule="exact"/>
              <w:jc w:val="both"/>
              <w:rPr>
                <w:rFonts w:ascii="宋体" w:hAnsi="宋体"/>
                <w:color w:val="auto"/>
              </w:rPr>
            </w:pPr>
            <w:r>
              <w:rPr>
                <w:rFonts w:hint="eastAsia" w:ascii="宋体" w:hAnsi="宋体"/>
                <w:color w:val="auto"/>
              </w:rPr>
              <w:t>投标截止时间：2021-0</w:t>
            </w:r>
            <w:r>
              <w:rPr>
                <w:rFonts w:hint="eastAsia" w:ascii="宋体" w:hAnsi="宋体"/>
                <w:color w:val="auto"/>
                <w:lang w:val="en-US" w:eastAsia="zh-CN"/>
              </w:rPr>
              <w:t>9</w:t>
            </w:r>
            <w:r>
              <w:rPr>
                <w:rFonts w:hint="eastAsia" w:ascii="宋体" w:hAnsi="宋体"/>
                <w:color w:val="auto"/>
              </w:rPr>
              <w:t>-</w:t>
            </w:r>
            <w:r>
              <w:rPr>
                <w:rFonts w:hint="eastAsia" w:ascii="宋体" w:hAnsi="宋体"/>
                <w:color w:val="auto"/>
                <w:lang w:val="en-US" w:eastAsia="zh-CN"/>
              </w:rPr>
              <w:t>22</w:t>
            </w:r>
            <w:r>
              <w:rPr>
                <w:rFonts w:hint="eastAsia" w:ascii="宋体" w:hAnsi="宋体"/>
                <w:color w:val="auto"/>
              </w:rPr>
              <w:t xml:space="preserve"> 1</w:t>
            </w:r>
            <w:r>
              <w:rPr>
                <w:rFonts w:hint="eastAsia" w:ascii="宋体" w:hAnsi="宋体"/>
                <w:color w:val="auto"/>
                <w:lang w:val="en-US" w:eastAsia="zh-CN"/>
              </w:rPr>
              <w:t>4</w:t>
            </w:r>
            <w:r>
              <w:rPr>
                <w:rFonts w:hint="eastAsia" w:ascii="宋体" w:hAnsi="宋体"/>
                <w:color w:val="auto"/>
              </w:rPr>
              <w:t>:00:00（北京时间） </w:t>
            </w:r>
          </w:p>
        </w:tc>
      </w:tr>
      <w:tr>
        <w:tblPrEx>
          <w:tblCellMar>
            <w:top w:w="0" w:type="dxa"/>
            <w:left w:w="108" w:type="dxa"/>
            <w:bottom w:w="0" w:type="dxa"/>
            <w:right w:w="108" w:type="dxa"/>
          </w:tblCellMar>
        </w:tblPrEx>
        <w:trPr>
          <w:trHeight w:val="1982" w:hRule="exact"/>
          <w:jc w:val="center"/>
        </w:trPr>
        <w:tc>
          <w:tcPr>
            <w:tcW w:w="767" w:type="dxa"/>
            <w:tcBorders>
              <w:top w:val="single" w:color="auto" w:sz="12" w:space="0"/>
              <w:left w:val="single" w:color="auto" w:sz="12" w:space="0"/>
              <w:bottom w:val="single" w:color="auto" w:sz="12" w:space="0"/>
              <w:right w:val="single" w:color="auto" w:sz="12" w:space="0"/>
            </w:tcBorders>
            <w:vAlign w:val="center"/>
          </w:tcPr>
          <w:p>
            <w:pPr>
              <w:pStyle w:val="83"/>
              <w:spacing w:line="500" w:lineRule="exact"/>
              <w:jc w:val="center"/>
              <w:rPr>
                <w:rFonts w:ascii="宋体" w:hAnsi="宋体"/>
                <w:color w:val="auto"/>
              </w:rPr>
            </w:pPr>
            <w:r>
              <w:rPr>
                <w:rFonts w:hint="eastAsia" w:ascii="宋体" w:hAnsi="宋体"/>
                <w:color w:val="auto"/>
              </w:rPr>
              <w:t>6</w:t>
            </w:r>
          </w:p>
        </w:tc>
        <w:tc>
          <w:tcPr>
            <w:tcW w:w="9553" w:type="dxa"/>
            <w:tcBorders>
              <w:top w:val="single" w:color="auto" w:sz="12" w:space="0"/>
              <w:left w:val="single" w:color="auto" w:sz="12" w:space="0"/>
              <w:bottom w:val="single" w:color="auto" w:sz="12" w:space="0"/>
              <w:right w:val="single" w:color="auto" w:sz="12" w:space="0"/>
            </w:tcBorders>
            <w:vAlign w:val="center"/>
          </w:tcPr>
          <w:p>
            <w:pPr>
              <w:pStyle w:val="83"/>
              <w:spacing w:line="440" w:lineRule="exact"/>
              <w:jc w:val="both"/>
              <w:rPr>
                <w:rFonts w:ascii="宋体" w:hAnsi="宋体"/>
                <w:color w:val="auto"/>
              </w:rPr>
            </w:pPr>
            <w:r>
              <w:rPr>
                <w:rFonts w:hint="eastAsia" w:ascii="宋体" w:hAnsi="宋体"/>
                <w:color w:val="auto"/>
              </w:rPr>
              <w:t>投标文件的数量：正本1份、副本4份</w:t>
            </w:r>
          </w:p>
          <w:p>
            <w:pPr>
              <w:pStyle w:val="83"/>
              <w:spacing w:line="440" w:lineRule="exact"/>
              <w:jc w:val="both"/>
              <w:rPr>
                <w:rFonts w:ascii="宋体" w:hAnsi="宋体"/>
                <w:color w:val="auto"/>
              </w:rPr>
            </w:pPr>
            <w:r>
              <w:rPr>
                <w:rFonts w:hint="eastAsia" w:ascii="宋体" w:hAnsi="宋体"/>
                <w:color w:val="auto"/>
              </w:rPr>
              <w:t>投标报价单的数量：1份（单独密封）</w:t>
            </w:r>
          </w:p>
          <w:p>
            <w:pPr>
              <w:pStyle w:val="83"/>
              <w:spacing w:line="440" w:lineRule="exact"/>
              <w:jc w:val="both"/>
              <w:rPr>
                <w:rFonts w:ascii="宋体" w:hAnsi="宋体"/>
                <w:color w:val="auto"/>
              </w:rPr>
            </w:pPr>
            <w:r>
              <w:rPr>
                <w:rFonts w:hint="eastAsia" w:ascii="宋体" w:hAnsi="宋体"/>
                <w:color w:val="auto"/>
              </w:rPr>
              <w:t>电子版投标文件：1份(□扫描件，☑ Word，可多选，以U盘形式提交，单独密封)</w:t>
            </w:r>
          </w:p>
          <w:p>
            <w:pPr>
              <w:pStyle w:val="83"/>
              <w:spacing w:line="440" w:lineRule="exact"/>
              <w:jc w:val="both"/>
              <w:rPr>
                <w:rFonts w:ascii="宋体" w:hAnsi="宋体"/>
                <w:color w:val="auto"/>
              </w:rPr>
            </w:pPr>
            <w:r>
              <w:rPr>
                <w:rFonts w:hint="eastAsia" w:ascii="宋体" w:hAnsi="宋体"/>
                <w:b/>
                <w:color w:val="auto"/>
              </w:rPr>
              <w:t>（注：装订形式：不得采用活页、拉杆等方式，必须采用胶装，否则按废标处理）</w:t>
            </w:r>
          </w:p>
        </w:tc>
      </w:tr>
      <w:tr>
        <w:tblPrEx>
          <w:tblCellMar>
            <w:top w:w="0" w:type="dxa"/>
            <w:left w:w="108" w:type="dxa"/>
            <w:bottom w:w="0" w:type="dxa"/>
            <w:right w:w="108" w:type="dxa"/>
          </w:tblCellMar>
        </w:tblPrEx>
        <w:trPr>
          <w:trHeight w:val="1275" w:hRule="exact"/>
          <w:jc w:val="center"/>
        </w:trPr>
        <w:tc>
          <w:tcPr>
            <w:tcW w:w="767" w:type="dxa"/>
            <w:tcBorders>
              <w:top w:val="single" w:color="auto" w:sz="12" w:space="0"/>
              <w:left w:val="single" w:color="auto" w:sz="12" w:space="0"/>
              <w:bottom w:val="single" w:color="auto" w:sz="12" w:space="0"/>
              <w:right w:val="single" w:color="auto" w:sz="12" w:space="0"/>
            </w:tcBorders>
            <w:vAlign w:val="center"/>
          </w:tcPr>
          <w:p>
            <w:pPr>
              <w:pStyle w:val="83"/>
              <w:spacing w:line="500" w:lineRule="exact"/>
              <w:jc w:val="center"/>
              <w:rPr>
                <w:rFonts w:ascii="宋体" w:hAnsi="宋体"/>
                <w:color w:val="auto"/>
              </w:rPr>
            </w:pPr>
            <w:r>
              <w:rPr>
                <w:rFonts w:hint="eastAsia" w:ascii="宋体" w:hAnsi="宋体"/>
                <w:color w:val="auto"/>
              </w:rPr>
              <w:t>7</w:t>
            </w:r>
          </w:p>
        </w:tc>
        <w:tc>
          <w:tcPr>
            <w:tcW w:w="9553" w:type="dxa"/>
            <w:tcBorders>
              <w:top w:val="single" w:color="auto" w:sz="12" w:space="0"/>
              <w:left w:val="single" w:color="auto" w:sz="12" w:space="0"/>
              <w:bottom w:val="single" w:color="auto" w:sz="12" w:space="0"/>
              <w:right w:val="single" w:color="auto" w:sz="12" w:space="0"/>
            </w:tcBorders>
            <w:vAlign w:val="center"/>
          </w:tcPr>
          <w:p>
            <w:pPr>
              <w:widowControl w:val="0"/>
              <w:spacing w:before="15"/>
              <w:ind w:right="-20"/>
              <w:rPr>
                <w:rFonts w:hint="default" w:ascii="宋体" w:hAnsi="宋体" w:eastAsia="宋体" w:cs="Times New Roman"/>
                <w:color w:val="FF0000"/>
                <w:kern w:val="0"/>
                <w:sz w:val="24"/>
                <w:szCs w:val="24"/>
                <w:lang w:val="en-US" w:eastAsia="zh-CN" w:bidi="ar-SA"/>
              </w:rPr>
            </w:pPr>
            <w:r>
              <w:rPr>
                <w:rFonts w:hint="eastAsia" w:ascii="宋体" w:hAnsi="宋体" w:cs="Times New Roman"/>
                <w:color w:val="FF0000"/>
                <w:kern w:val="0"/>
                <w:sz w:val="24"/>
                <w:szCs w:val="24"/>
                <w:lang w:val="en-US" w:eastAsia="zh-CN" w:bidi="ar-SA"/>
              </w:rPr>
              <w:t>合同履约期限</w:t>
            </w:r>
            <w:r>
              <w:rPr>
                <w:rFonts w:hint="eastAsia" w:ascii="宋体" w:hAnsi="宋体" w:eastAsia="宋体" w:cs="Times New Roman"/>
                <w:color w:val="FF0000"/>
                <w:kern w:val="0"/>
                <w:sz w:val="24"/>
                <w:szCs w:val="24"/>
                <w:lang w:val="en-US" w:eastAsia="zh-CN" w:bidi="ar-SA"/>
              </w:rPr>
              <w:t>：</w:t>
            </w:r>
            <w:r>
              <w:rPr>
                <w:rFonts w:hint="eastAsia" w:ascii="宋体" w:hAnsi="宋体" w:cs="Times New Roman"/>
                <w:color w:val="FF0000"/>
                <w:kern w:val="0"/>
                <w:sz w:val="24"/>
                <w:szCs w:val="24"/>
                <w:lang w:val="en-US" w:eastAsia="zh-CN" w:bidi="ar-SA"/>
              </w:rPr>
              <w:t>60天</w:t>
            </w:r>
          </w:p>
          <w:p>
            <w:pPr>
              <w:widowControl w:val="0"/>
              <w:spacing w:before="15"/>
              <w:ind w:right="-20"/>
              <w:rPr>
                <w:rFonts w:hint="default" w:ascii="宋体" w:hAnsi="宋体" w:eastAsia="宋体" w:cs="Times New Roman"/>
                <w:color w:val="FF0000"/>
                <w:kern w:val="0"/>
                <w:sz w:val="24"/>
                <w:szCs w:val="24"/>
                <w:lang w:val="en-US" w:eastAsia="zh-CN" w:bidi="ar-SA"/>
              </w:rPr>
            </w:pPr>
            <w:r>
              <w:rPr>
                <w:rFonts w:hint="eastAsia" w:ascii="宋体" w:hAnsi="宋体" w:eastAsia="宋体" w:cs="Times New Roman"/>
                <w:color w:val="FF0000"/>
                <w:kern w:val="0"/>
                <w:sz w:val="24"/>
                <w:szCs w:val="24"/>
                <w:lang w:val="en-US" w:eastAsia="zh-CN" w:bidi="ar-SA"/>
              </w:rPr>
              <w:t>质保期</w:t>
            </w:r>
            <w:r>
              <w:rPr>
                <w:rFonts w:hint="eastAsia" w:ascii="宋体" w:hAnsi="宋体" w:cs="Times New Roman"/>
                <w:color w:val="FF0000"/>
                <w:kern w:val="0"/>
                <w:sz w:val="24"/>
                <w:szCs w:val="24"/>
                <w:lang w:val="en-US" w:eastAsia="zh-CN" w:bidi="ar-SA"/>
              </w:rPr>
              <w:t>：一年</w:t>
            </w:r>
          </w:p>
          <w:p>
            <w:pPr>
              <w:widowControl w:val="0"/>
              <w:spacing w:before="15"/>
              <w:ind w:right="-20"/>
              <w:rPr>
                <w:rFonts w:hint="default" w:ascii="宋体" w:hAnsi="宋体" w:eastAsia="宋体"/>
                <w:color w:val="auto"/>
                <w:lang w:val="en-US" w:eastAsia="zh-CN"/>
              </w:rPr>
            </w:pPr>
            <w:r>
              <w:rPr>
                <w:rFonts w:hint="eastAsia" w:ascii="宋体" w:hAnsi="宋体" w:eastAsia="宋体" w:cs="Times New Roman"/>
                <w:color w:val="FF0000"/>
                <w:kern w:val="0"/>
                <w:sz w:val="24"/>
                <w:szCs w:val="24"/>
                <w:lang w:val="en-US" w:eastAsia="zh-CN" w:bidi="ar-SA"/>
              </w:rPr>
              <w:t>付款方式：后期与甲方签订合同为准。</w:t>
            </w:r>
          </w:p>
        </w:tc>
      </w:tr>
      <w:tr>
        <w:tblPrEx>
          <w:tblCellMar>
            <w:top w:w="0" w:type="dxa"/>
            <w:left w:w="108" w:type="dxa"/>
            <w:bottom w:w="0" w:type="dxa"/>
            <w:right w:w="108" w:type="dxa"/>
          </w:tblCellMar>
        </w:tblPrEx>
        <w:trPr>
          <w:trHeight w:val="2718" w:hRule="exact"/>
          <w:jc w:val="center"/>
        </w:trPr>
        <w:tc>
          <w:tcPr>
            <w:tcW w:w="767" w:type="dxa"/>
            <w:tcBorders>
              <w:top w:val="single" w:color="auto" w:sz="12" w:space="0"/>
              <w:left w:val="single" w:color="auto" w:sz="12" w:space="0"/>
              <w:bottom w:val="single" w:color="auto" w:sz="12" w:space="0"/>
              <w:right w:val="single" w:color="auto" w:sz="12" w:space="0"/>
            </w:tcBorders>
            <w:vAlign w:val="center"/>
          </w:tcPr>
          <w:p>
            <w:pPr>
              <w:pStyle w:val="83"/>
              <w:spacing w:line="500" w:lineRule="exact"/>
              <w:jc w:val="center"/>
              <w:rPr>
                <w:rFonts w:ascii="宋体" w:hAnsi="宋体"/>
                <w:color w:val="auto"/>
              </w:rPr>
            </w:pPr>
            <w:r>
              <w:rPr>
                <w:rFonts w:hint="eastAsia" w:ascii="宋体" w:hAnsi="宋体"/>
                <w:color w:val="auto"/>
              </w:rPr>
              <w:t>8</w:t>
            </w:r>
          </w:p>
        </w:tc>
        <w:tc>
          <w:tcPr>
            <w:tcW w:w="9553" w:type="dxa"/>
            <w:tcBorders>
              <w:top w:val="single" w:color="auto" w:sz="12" w:space="0"/>
              <w:left w:val="single" w:color="auto" w:sz="12" w:space="0"/>
              <w:bottom w:val="single" w:color="auto" w:sz="12" w:space="0"/>
              <w:right w:val="single" w:color="auto" w:sz="12" w:space="0"/>
            </w:tcBorders>
            <w:vAlign w:val="center"/>
          </w:tcPr>
          <w:p>
            <w:pPr>
              <w:tabs>
                <w:tab w:val="center" w:pos="4422"/>
                <w:tab w:val="left" w:pos="7920"/>
              </w:tabs>
              <w:spacing w:line="440" w:lineRule="exact"/>
              <w:rPr>
                <w:rFonts w:ascii="宋体" w:hAnsi="宋体"/>
                <w:color w:val="auto"/>
                <w:kern w:val="0"/>
                <w:sz w:val="24"/>
                <w:szCs w:val="24"/>
              </w:rPr>
            </w:pPr>
            <w:r>
              <w:rPr>
                <w:rFonts w:hint="eastAsia" w:ascii="宋体" w:hAnsi="宋体"/>
                <w:color w:val="auto"/>
                <w:kern w:val="0"/>
                <w:sz w:val="24"/>
                <w:szCs w:val="24"/>
              </w:rPr>
              <w:t>采购产品为最新《节能产品政府采购清单》内非标记★符号的节能产品及《环境标志产品政府采购清单》的产品：</w:t>
            </w:r>
          </w:p>
          <w:p>
            <w:pPr>
              <w:tabs>
                <w:tab w:val="center" w:pos="4422"/>
                <w:tab w:val="left" w:pos="7920"/>
              </w:tabs>
              <w:spacing w:line="440" w:lineRule="exact"/>
              <w:rPr>
                <w:rFonts w:ascii="宋体" w:hAnsi="宋体"/>
                <w:color w:val="auto"/>
              </w:rPr>
            </w:pPr>
            <w:r>
              <w:rPr>
                <w:rFonts w:hint="eastAsia" w:ascii="宋体" w:hAnsi="宋体"/>
                <w:color w:val="auto"/>
                <w:kern w:val="0"/>
                <w:sz w:val="24"/>
                <w:szCs w:val="24"/>
              </w:rPr>
              <w:t>1、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CellMar>
            <w:top w:w="0" w:type="dxa"/>
            <w:left w:w="108" w:type="dxa"/>
            <w:bottom w:w="0" w:type="dxa"/>
            <w:right w:w="108" w:type="dxa"/>
          </w:tblCellMar>
        </w:tblPrEx>
        <w:trPr>
          <w:trHeight w:val="932" w:hRule="exact"/>
          <w:jc w:val="center"/>
        </w:trPr>
        <w:tc>
          <w:tcPr>
            <w:tcW w:w="767" w:type="dxa"/>
            <w:vMerge w:val="restart"/>
            <w:tcBorders>
              <w:top w:val="single" w:color="auto" w:sz="12" w:space="0"/>
              <w:left w:val="single" w:color="auto" w:sz="12" w:space="0"/>
              <w:right w:val="single" w:color="auto" w:sz="12" w:space="0"/>
            </w:tcBorders>
            <w:vAlign w:val="center"/>
          </w:tcPr>
          <w:p>
            <w:pPr>
              <w:pStyle w:val="83"/>
              <w:spacing w:line="500" w:lineRule="exact"/>
              <w:jc w:val="center"/>
              <w:rPr>
                <w:rFonts w:ascii="宋体" w:hAnsi="宋体"/>
                <w:color w:val="auto"/>
              </w:rPr>
            </w:pPr>
            <w:r>
              <w:rPr>
                <w:rFonts w:hint="eastAsia" w:ascii="宋体" w:hAnsi="宋体"/>
                <w:color w:val="auto"/>
              </w:rPr>
              <w:t>9</w:t>
            </w:r>
          </w:p>
        </w:tc>
        <w:tc>
          <w:tcPr>
            <w:tcW w:w="9553" w:type="dxa"/>
            <w:tcBorders>
              <w:top w:val="single" w:color="auto" w:sz="12" w:space="0"/>
              <w:left w:val="single" w:color="auto" w:sz="12" w:space="0"/>
              <w:bottom w:val="single" w:color="auto" w:sz="4" w:space="0"/>
              <w:right w:val="single" w:color="auto" w:sz="12" w:space="0"/>
            </w:tcBorders>
            <w:vAlign w:val="center"/>
          </w:tcPr>
          <w:p>
            <w:pPr>
              <w:tabs>
                <w:tab w:val="center" w:pos="4422"/>
                <w:tab w:val="left" w:pos="7920"/>
              </w:tabs>
              <w:spacing w:line="440" w:lineRule="exact"/>
              <w:rPr>
                <w:rFonts w:ascii="宋体" w:hAnsi="宋体"/>
                <w:color w:val="auto"/>
                <w:kern w:val="0"/>
                <w:sz w:val="24"/>
                <w:szCs w:val="24"/>
              </w:rPr>
            </w:pPr>
            <w:r>
              <w:rPr>
                <w:rFonts w:hint="eastAsia" w:ascii="宋体" w:hAnsi="宋体"/>
                <w:color w:val="auto"/>
                <w:kern w:val="0"/>
                <w:sz w:val="24"/>
                <w:szCs w:val="24"/>
              </w:rPr>
              <w:t>1、给予小型和微型企业产品的价格给予6%-10%的扣除，用扣除后的价格参与评审，本项目具体扣除比例为6%。</w:t>
            </w:r>
          </w:p>
        </w:tc>
      </w:tr>
      <w:tr>
        <w:tblPrEx>
          <w:tblCellMar>
            <w:top w:w="0" w:type="dxa"/>
            <w:left w:w="108" w:type="dxa"/>
            <w:bottom w:w="0" w:type="dxa"/>
            <w:right w:w="108" w:type="dxa"/>
          </w:tblCellMar>
        </w:tblPrEx>
        <w:trPr>
          <w:trHeight w:val="932" w:hRule="exact"/>
          <w:jc w:val="center"/>
        </w:trPr>
        <w:tc>
          <w:tcPr>
            <w:tcW w:w="767" w:type="dxa"/>
            <w:vMerge w:val="continue"/>
            <w:tcBorders>
              <w:left w:val="single" w:color="auto" w:sz="12" w:space="0"/>
              <w:right w:val="single" w:color="auto" w:sz="12" w:space="0"/>
            </w:tcBorders>
            <w:vAlign w:val="center"/>
          </w:tcPr>
          <w:p>
            <w:pPr>
              <w:pStyle w:val="83"/>
              <w:spacing w:line="500" w:lineRule="exact"/>
              <w:jc w:val="center"/>
              <w:rPr>
                <w:rFonts w:ascii="宋体" w:hAnsi="宋体"/>
                <w:color w:val="auto"/>
              </w:rPr>
            </w:pPr>
          </w:p>
        </w:tc>
        <w:tc>
          <w:tcPr>
            <w:tcW w:w="9553" w:type="dxa"/>
            <w:tcBorders>
              <w:top w:val="single" w:color="auto" w:sz="4" w:space="0"/>
              <w:left w:val="single" w:color="auto" w:sz="12" w:space="0"/>
              <w:bottom w:val="single" w:color="auto" w:sz="12" w:space="0"/>
              <w:right w:val="single" w:color="auto" w:sz="12" w:space="0"/>
            </w:tcBorders>
            <w:vAlign w:val="center"/>
          </w:tcPr>
          <w:p>
            <w:pPr>
              <w:tabs>
                <w:tab w:val="center" w:pos="4422"/>
                <w:tab w:val="left" w:pos="7920"/>
              </w:tabs>
              <w:spacing w:line="440" w:lineRule="exact"/>
              <w:rPr>
                <w:rFonts w:ascii="宋体" w:hAnsi="宋体"/>
                <w:color w:val="auto"/>
                <w:kern w:val="0"/>
                <w:sz w:val="24"/>
                <w:szCs w:val="24"/>
              </w:rPr>
            </w:pPr>
            <w:r>
              <w:rPr>
                <w:rFonts w:hint="eastAsia" w:ascii="宋体" w:hAnsi="宋体"/>
                <w:color w:val="auto"/>
                <w:kern w:val="0"/>
                <w:sz w:val="24"/>
                <w:szCs w:val="24"/>
              </w:rPr>
              <w:t>2、中小企业在融资、投标保证、履约保证等方面有需求的，可查询当地政府采购管理部门相关政策，通过专业化的担保途径解决。</w:t>
            </w:r>
          </w:p>
        </w:tc>
      </w:tr>
      <w:tr>
        <w:tblPrEx>
          <w:tblCellMar>
            <w:top w:w="0" w:type="dxa"/>
            <w:left w:w="108" w:type="dxa"/>
            <w:bottom w:w="0" w:type="dxa"/>
            <w:right w:w="108" w:type="dxa"/>
          </w:tblCellMar>
        </w:tblPrEx>
        <w:trPr>
          <w:trHeight w:val="1690" w:hRule="exact"/>
          <w:jc w:val="center"/>
        </w:trPr>
        <w:tc>
          <w:tcPr>
            <w:tcW w:w="767" w:type="dxa"/>
            <w:vMerge w:val="continue"/>
            <w:tcBorders>
              <w:left w:val="single" w:color="auto" w:sz="12" w:space="0"/>
              <w:right w:val="single" w:color="auto" w:sz="12" w:space="0"/>
            </w:tcBorders>
            <w:vAlign w:val="center"/>
          </w:tcPr>
          <w:p>
            <w:pPr>
              <w:pStyle w:val="83"/>
              <w:spacing w:line="500" w:lineRule="exact"/>
              <w:jc w:val="center"/>
              <w:rPr>
                <w:rFonts w:ascii="宋体" w:hAnsi="宋体"/>
                <w:color w:val="auto"/>
              </w:rPr>
            </w:pPr>
          </w:p>
        </w:tc>
        <w:tc>
          <w:tcPr>
            <w:tcW w:w="9553" w:type="dxa"/>
            <w:tcBorders>
              <w:top w:val="single" w:color="auto" w:sz="4" w:space="0"/>
              <w:left w:val="single" w:color="auto" w:sz="12" w:space="0"/>
              <w:bottom w:val="single" w:color="auto" w:sz="12" w:space="0"/>
              <w:right w:val="single" w:color="auto" w:sz="12" w:space="0"/>
            </w:tcBorders>
            <w:vAlign w:val="center"/>
          </w:tcPr>
          <w:p>
            <w:pPr>
              <w:tabs>
                <w:tab w:val="center" w:pos="4422"/>
                <w:tab w:val="left" w:pos="7920"/>
              </w:tabs>
              <w:spacing w:line="440" w:lineRule="exact"/>
              <w:rPr>
                <w:rFonts w:ascii="宋体" w:hAnsi="宋体"/>
                <w:color w:val="auto"/>
                <w:kern w:val="0"/>
                <w:sz w:val="24"/>
                <w:szCs w:val="24"/>
              </w:rPr>
            </w:pPr>
            <w:r>
              <w:rPr>
                <w:rFonts w:hint="eastAsia" w:ascii="宋体" w:hAnsi="宋体"/>
                <w:color w:val="auto"/>
                <w:kern w:val="0"/>
                <w:sz w:val="24"/>
                <w:szCs w:val="24"/>
              </w:rPr>
              <w:t>3、根据财政部、司法部《关于政府采购支持监狱企业发展有关问题》的通知(财库[2014]168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1131" w:hRule="exact"/>
          <w:jc w:val="center"/>
        </w:trPr>
        <w:tc>
          <w:tcPr>
            <w:tcW w:w="767" w:type="dxa"/>
            <w:vMerge w:val="continue"/>
            <w:tcBorders>
              <w:left w:val="single" w:color="auto" w:sz="12" w:space="0"/>
              <w:bottom w:val="single" w:color="auto" w:sz="12" w:space="0"/>
              <w:right w:val="single" w:color="auto" w:sz="12" w:space="0"/>
            </w:tcBorders>
            <w:vAlign w:val="center"/>
          </w:tcPr>
          <w:p>
            <w:pPr>
              <w:pStyle w:val="83"/>
              <w:spacing w:line="500" w:lineRule="exact"/>
              <w:jc w:val="center"/>
              <w:rPr>
                <w:rFonts w:ascii="宋体" w:hAnsi="宋体"/>
                <w:color w:val="auto"/>
              </w:rPr>
            </w:pPr>
          </w:p>
        </w:tc>
        <w:tc>
          <w:tcPr>
            <w:tcW w:w="9553" w:type="dxa"/>
            <w:tcBorders>
              <w:top w:val="single" w:color="auto" w:sz="4" w:space="0"/>
              <w:left w:val="single" w:color="auto" w:sz="12" w:space="0"/>
              <w:bottom w:val="single" w:color="auto" w:sz="12" w:space="0"/>
              <w:right w:val="single" w:color="auto" w:sz="12" w:space="0"/>
            </w:tcBorders>
            <w:vAlign w:val="center"/>
          </w:tcPr>
          <w:p>
            <w:pPr>
              <w:tabs>
                <w:tab w:val="center" w:pos="4422"/>
                <w:tab w:val="left" w:pos="7920"/>
              </w:tabs>
              <w:spacing w:line="440" w:lineRule="exact"/>
              <w:rPr>
                <w:rFonts w:ascii="宋体" w:hAnsi="宋体"/>
                <w:color w:val="auto"/>
                <w:kern w:val="0"/>
                <w:sz w:val="24"/>
                <w:szCs w:val="24"/>
              </w:rPr>
            </w:pPr>
            <w:r>
              <w:rPr>
                <w:rFonts w:hint="eastAsia" w:ascii="宋体" w:hAnsi="宋体"/>
                <w:color w:val="auto"/>
                <w:kern w:val="0"/>
                <w:sz w:val="24"/>
                <w:szCs w:val="24"/>
              </w:rPr>
              <w:t>4、根据财政部、民政部、中国残疾人联合会《关于促进残疾人就业政府采购政策的通知》(财库[2017]141号)，在政府采购活动中,残疾人福利性单位视同小型、微型企业。</w:t>
            </w:r>
          </w:p>
        </w:tc>
      </w:tr>
      <w:tr>
        <w:tblPrEx>
          <w:tblCellMar>
            <w:top w:w="0" w:type="dxa"/>
            <w:left w:w="108" w:type="dxa"/>
            <w:bottom w:w="0" w:type="dxa"/>
            <w:right w:w="108" w:type="dxa"/>
          </w:tblCellMar>
        </w:tblPrEx>
        <w:trPr>
          <w:trHeight w:val="989" w:hRule="exact"/>
          <w:jc w:val="center"/>
        </w:trPr>
        <w:tc>
          <w:tcPr>
            <w:tcW w:w="767" w:type="dxa"/>
            <w:tcBorders>
              <w:top w:val="single" w:color="auto" w:sz="12" w:space="0"/>
              <w:left w:val="single" w:color="auto" w:sz="12" w:space="0"/>
              <w:bottom w:val="single" w:color="auto" w:sz="12" w:space="0"/>
              <w:right w:val="single" w:color="auto" w:sz="12" w:space="0"/>
            </w:tcBorders>
            <w:vAlign w:val="center"/>
          </w:tcPr>
          <w:p>
            <w:pPr>
              <w:pStyle w:val="83"/>
              <w:spacing w:line="500" w:lineRule="exact"/>
              <w:jc w:val="center"/>
              <w:rPr>
                <w:rFonts w:ascii="宋体" w:hAnsi="宋体"/>
                <w:color w:val="auto"/>
              </w:rPr>
            </w:pPr>
            <w:r>
              <w:rPr>
                <w:rFonts w:hint="eastAsia" w:ascii="宋体" w:hAnsi="宋体"/>
                <w:color w:val="auto"/>
              </w:rPr>
              <w:t>10</w:t>
            </w:r>
          </w:p>
        </w:tc>
        <w:tc>
          <w:tcPr>
            <w:tcW w:w="9553" w:type="dxa"/>
            <w:tcBorders>
              <w:top w:val="single" w:color="auto" w:sz="12" w:space="0"/>
              <w:left w:val="single" w:color="auto" w:sz="12" w:space="0"/>
              <w:bottom w:val="single" w:color="auto" w:sz="12" w:space="0"/>
              <w:right w:val="single" w:color="auto" w:sz="12" w:space="0"/>
            </w:tcBorders>
            <w:vAlign w:val="center"/>
          </w:tcPr>
          <w:p>
            <w:pPr>
              <w:pStyle w:val="83"/>
              <w:spacing w:line="440" w:lineRule="exact"/>
              <w:ind w:left="1920" w:hanging="1920" w:hangingChars="800"/>
              <w:jc w:val="both"/>
              <w:rPr>
                <w:rFonts w:ascii="宋体" w:hAnsi="宋体"/>
                <w:color w:val="auto"/>
              </w:rPr>
            </w:pPr>
            <w:r>
              <w:rPr>
                <w:rFonts w:hint="eastAsia" w:ascii="宋体" w:hAnsi="宋体"/>
                <w:color w:val="auto"/>
              </w:rPr>
              <w:t>投标文件递交至：伊宁市经济合作区北京路一品墅新房大厦10楼1004号。</w:t>
            </w:r>
          </w:p>
        </w:tc>
      </w:tr>
      <w:tr>
        <w:tblPrEx>
          <w:tblCellMar>
            <w:top w:w="0" w:type="dxa"/>
            <w:left w:w="108" w:type="dxa"/>
            <w:bottom w:w="0" w:type="dxa"/>
            <w:right w:w="108" w:type="dxa"/>
          </w:tblCellMar>
        </w:tblPrEx>
        <w:trPr>
          <w:trHeight w:val="483" w:hRule="exact"/>
          <w:jc w:val="center"/>
        </w:trPr>
        <w:tc>
          <w:tcPr>
            <w:tcW w:w="767" w:type="dxa"/>
            <w:tcBorders>
              <w:top w:val="single" w:color="auto" w:sz="12" w:space="0"/>
              <w:left w:val="single" w:color="auto" w:sz="12" w:space="0"/>
              <w:bottom w:val="single" w:color="auto" w:sz="12" w:space="0"/>
              <w:right w:val="single" w:color="auto" w:sz="12" w:space="0"/>
            </w:tcBorders>
            <w:vAlign w:val="center"/>
          </w:tcPr>
          <w:p>
            <w:pPr>
              <w:pStyle w:val="83"/>
              <w:spacing w:line="500" w:lineRule="exact"/>
              <w:jc w:val="center"/>
              <w:rPr>
                <w:rFonts w:ascii="宋体" w:hAnsi="宋体"/>
                <w:color w:val="auto"/>
              </w:rPr>
            </w:pPr>
            <w:r>
              <w:rPr>
                <w:rFonts w:hint="eastAsia" w:ascii="宋体" w:hAnsi="宋体"/>
                <w:color w:val="auto"/>
              </w:rPr>
              <w:t>11</w:t>
            </w:r>
          </w:p>
        </w:tc>
        <w:tc>
          <w:tcPr>
            <w:tcW w:w="9553" w:type="dxa"/>
            <w:tcBorders>
              <w:top w:val="single" w:color="auto" w:sz="12" w:space="0"/>
              <w:left w:val="single" w:color="auto" w:sz="12" w:space="0"/>
              <w:bottom w:val="single" w:color="auto" w:sz="12" w:space="0"/>
              <w:right w:val="single" w:color="auto" w:sz="12" w:space="0"/>
            </w:tcBorders>
            <w:vAlign w:val="center"/>
          </w:tcPr>
          <w:p>
            <w:pPr>
              <w:pStyle w:val="83"/>
              <w:spacing w:line="440" w:lineRule="exact"/>
              <w:jc w:val="both"/>
              <w:rPr>
                <w:rFonts w:ascii="宋体" w:hAnsi="宋体"/>
                <w:color w:val="auto"/>
              </w:rPr>
            </w:pPr>
            <w:r>
              <w:rPr>
                <w:rFonts w:hint="eastAsia" w:ascii="宋体" w:hAnsi="宋体"/>
                <w:color w:val="auto"/>
              </w:rPr>
              <w:t>开标时间:2021-0</w:t>
            </w:r>
            <w:r>
              <w:rPr>
                <w:rFonts w:hint="eastAsia" w:ascii="宋体" w:hAnsi="宋体"/>
                <w:color w:val="auto"/>
                <w:lang w:val="en-US" w:eastAsia="zh-CN"/>
              </w:rPr>
              <w:t>9</w:t>
            </w:r>
            <w:r>
              <w:rPr>
                <w:rFonts w:hint="eastAsia" w:ascii="宋体" w:hAnsi="宋体"/>
                <w:color w:val="auto"/>
              </w:rPr>
              <w:t>-</w:t>
            </w:r>
            <w:r>
              <w:rPr>
                <w:rFonts w:hint="eastAsia" w:ascii="宋体" w:hAnsi="宋体"/>
                <w:color w:val="auto"/>
                <w:lang w:val="en-US" w:eastAsia="zh-CN"/>
              </w:rPr>
              <w:t>22</w:t>
            </w:r>
            <w:r>
              <w:rPr>
                <w:rFonts w:hint="eastAsia" w:ascii="宋体" w:hAnsi="宋体"/>
                <w:color w:val="auto"/>
              </w:rPr>
              <w:t xml:space="preserve">  1</w:t>
            </w:r>
            <w:r>
              <w:rPr>
                <w:rFonts w:hint="eastAsia" w:ascii="宋体" w:hAnsi="宋体"/>
                <w:color w:val="auto"/>
                <w:lang w:val="en-US" w:eastAsia="zh-CN"/>
              </w:rPr>
              <w:t>6</w:t>
            </w:r>
            <w:r>
              <w:rPr>
                <w:rFonts w:hint="eastAsia" w:ascii="宋体" w:hAnsi="宋体"/>
                <w:color w:val="auto"/>
              </w:rPr>
              <w:t>：00:00（北京时间）</w:t>
            </w:r>
          </w:p>
        </w:tc>
      </w:tr>
      <w:tr>
        <w:tblPrEx>
          <w:tblCellMar>
            <w:top w:w="0" w:type="dxa"/>
            <w:left w:w="108" w:type="dxa"/>
            <w:bottom w:w="0" w:type="dxa"/>
            <w:right w:w="108" w:type="dxa"/>
          </w:tblCellMar>
        </w:tblPrEx>
        <w:trPr>
          <w:trHeight w:val="1153" w:hRule="exact"/>
          <w:jc w:val="center"/>
        </w:trPr>
        <w:tc>
          <w:tcPr>
            <w:tcW w:w="767" w:type="dxa"/>
            <w:tcBorders>
              <w:top w:val="single" w:color="auto" w:sz="12" w:space="0"/>
              <w:left w:val="single" w:color="auto" w:sz="12" w:space="0"/>
              <w:bottom w:val="single" w:color="auto" w:sz="12" w:space="0"/>
              <w:right w:val="single" w:color="auto" w:sz="12" w:space="0"/>
            </w:tcBorders>
            <w:vAlign w:val="center"/>
          </w:tcPr>
          <w:p>
            <w:pPr>
              <w:pStyle w:val="83"/>
              <w:spacing w:line="500" w:lineRule="exact"/>
              <w:jc w:val="center"/>
              <w:rPr>
                <w:rFonts w:ascii="宋体" w:hAnsi="宋体"/>
                <w:color w:val="auto"/>
              </w:rPr>
            </w:pPr>
            <w:r>
              <w:rPr>
                <w:rFonts w:hint="eastAsia" w:ascii="宋体" w:hAnsi="宋体"/>
                <w:color w:val="auto"/>
              </w:rPr>
              <w:t>12</w:t>
            </w:r>
          </w:p>
        </w:tc>
        <w:tc>
          <w:tcPr>
            <w:tcW w:w="9553" w:type="dxa"/>
            <w:tcBorders>
              <w:top w:val="single" w:color="auto" w:sz="12" w:space="0"/>
              <w:left w:val="single" w:color="auto" w:sz="12" w:space="0"/>
              <w:bottom w:val="single" w:color="auto" w:sz="12" w:space="0"/>
              <w:right w:val="single" w:color="auto" w:sz="12" w:space="0"/>
            </w:tcBorders>
            <w:vAlign w:val="center"/>
          </w:tcPr>
          <w:p>
            <w:pPr>
              <w:pStyle w:val="83"/>
              <w:spacing w:line="440" w:lineRule="exact"/>
              <w:ind w:left="1200" w:hanging="1200" w:hangingChars="500"/>
              <w:jc w:val="both"/>
              <w:rPr>
                <w:rFonts w:ascii="宋体" w:hAnsi="宋体"/>
                <w:color w:val="auto"/>
              </w:rPr>
            </w:pPr>
            <w:r>
              <w:rPr>
                <w:rFonts w:hint="eastAsia" w:ascii="宋体" w:hAnsi="宋体"/>
                <w:color w:val="auto"/>
              </w:rPr>
              <w:t>开标地点：伊宁市经济合作区北京路一品墅新房大厦10楼1004号</w:t>
            </w:r>
            <w:r>
              <w:rPr>
                <w:rFonts w:hint="eastAsia" w:cs="宋体"/>
                <w:color w:val="auto"/>
              </w:rPr>
              <w:t>。</w:t>
            </w:r>
          </w:p>
        </w:tc>
      </w:tr>
      <w:tr>
        <w:tblPrEx>
          <w:tblCellMar>
            <w:top w:w="0" w:type="dxa"/>
            <w:left w:w="108" w:type="dxa"/>
            <w:bottom w:w="0" w:type="dxa"/>
            <w:right w:w="108" w:type="dxa"/>
          </w:tblCellMar>
        </w:tblPrEx>
        <w:trPr>
          <w:trHeight w:val="1031" w:hRule="exact"/>
          <w:jc w:val="center"/>
        </w:trPr>
        <w:tc>
          <w:tcPr>
            <w:tcW w:w="767" w:type="dxa"/>
            <w:tcBorders>
              <w:top w:val="single" w:color="auto" w:sz="12" w:space="0"/>
              <w:left w:val="single" w:color="auto" w:sz="12" w:space="0"/>
              <w:bottom w:val="single" w:color="auto" w:sz="12" w:space="0"/>
              <w:right w:val="single" w:color="auto" w:sz="12" w:space="0"/>
            </w:tcBorders>
            <w:vAlign w:val="center"/>
          </w:tcPr>
          <w:p>
            <w:pPr>
              <w:pStyle w:val="83"/>
              <w:spacing w:line="500" w:lineRule="exact"/>
              <w:jc w:val="center"/>
              <w:rPr>
                <w:rFonts w:ascii="宋体" w:hAnsi="宋体"/>
                <w:color w:val="auto"/>
              </w:rPr>
            </w:pPr>
            <w:r>
              <w:rPr>
                <w:rFonts w:hint="eastAsia" w:ascii="宋体" w:hAnsi="宋体"/>
                <w:color w:val="auto"/>
              </w:rPr>
              <w:t>13</w:t>
            </w:r>
          </w:p>
        </w:tc>
        <w:tc>
          <w:tcPr>
            <w:tcW w:w="9553" w:type="dxa"/>
            <w:tcBorders>
              <w:top w:val="single" w:color="auto" w:sz="12" w:space="0"/>
              <w:left w:val="single" w:color="auto" w:sz="12" w:space="0"/>
              <w:bottom w:val="single" w:color="auto" w:sz="12" w:space="0"/>
              <w:right w:val="single" w:color="auto" w:sz="12" w:space="0"/>
            </w:tcBorders>
            <w:vAlign w:val="center"/>
          </w:tcPr>
          <w:p>
            <w:pPr>
              <w:pStyle w:val="83"/>
              <w:spacing w:line="440" w:lineRule="exact"/>
              <w:ind w:left="1920" w:hanging="1920" w:hangingChars="800"/>
              <w:jc w:val="both"/>
              <w:rPr>
                <w:rFonts w:ascii="宋体" w:hAnsi="宋体"/>
                <w:color w:val="auto"/>
              </w:rPr>
            </w:pPr>
            <w:r>
              <w:rPr>
                <w:rFonts w:hint="eastAsia" w:ascii="宋体" w:hAnsi="宋体"/>
                <w:color w:val="auto"/>
              </w:rPr>
              <w:t>招标代理服务费：</w:t>
            </w:r>
            <w:r>
              <w:rPr>
                <w:rFonts w:hint="eastAsia" w:ascii="宋体" w:hAnsi="宋体" w:cs="宋体"/>
                <w:color w:val="auto"/>
              </w:rPr>
              <w:t>按照国家发改价格（2011）534号文及发改办价格[2015]299号文计算，项目招标代理服务费由中标人支付。</w:t>
            </w:r>
          </w:p>
        </w:tc>
      </w:tr>
      <w:tr>
        <w:tblPrEx>
          <w:tblCellMar>
            <w:top w:w="0" w:type="dxa"/>
            <w:left w:w="108" w:type="dxa"/>
            <w:bottom w:w="0" w:type="dxa"/>
            <w:right w:w="108" w:type="dxa"/>
          </w:tblCellMar>
        </w:tblPrEx>
        <w:trPr>
          <w:trHeight w:val="5602" w:hRule="exact"/>
          <w:jc w:val="center"/>
        </w:trPr>
        <w:tc>
          <w:tcPr>
            <w:tcW w:w="767" w:type="dxa"/>
            <w:tcBorders>
              <w:top w:val="single" w:color="auto" w:sz="12" w:space="0"/>
              <w:left w:val="single" w:color="auto" w:sz="12" w:space="0"/>
              <w:bottom w:val="single" w:color="auto" w:sz="12" w:space="0"/>
              <w:right w:val="single" w:color="auto" w:sz="12" w:space="0"/>
            </w:tcBorders>
            <w:vAlign w:val="center"/>
          </w:tcPr>
          <w:p>
            <w:pPr>
              <w:pStyle w:val="83"/>
              <w:spacing w:line="500" w:lineRule="exact"/>
              <w:ind w:firstLine="120" w:firstLineChars="50"/>
              <w:rPr>
                <w:rFonts w:ascii="宋体" w:hAnsi="宋体" w:cs="宋体"/>
                <w:b/>
                <w:color w:val="auto"/>
                <w:kern w:val="2"/>
              </w:rPr>
            </w:pPr>
            <w:r>
              <w:rPr>
                <w:rFonts w:hint="eastAsia" w:ascii="宋体" w:hAnsi="宋体" w:cs="宋体"/>
                <w:b/>
                <w:color w:val="auto"/>
                <w:kern w:val="2"/>
              </w:rPr>
              <w:t xml:space="preserve"> 14</w:t>
            </w:r>
          </w:p>
        </w:tc>
        <w:tc>
          <w:tcPr>
            <w:tcW w:w="9553" w:type="dxa"/>
            <w:tcBorders>
              <w:top w:val="single" w:color="auto" w:sz="12" w:space="0"/>
              <w:left w:val="single" w:color="auto" w:sz="12" w:space="0"/>
              <w:bottom w:val="single" w:color="auto" w:sz="12" w:space="0"/>
              <w:right w:val="single" w:color="auto" w:sz="12" w:space="0"/>
            </w:tcBorders>
            <w:vAlign w:val="center"/>
          </w:tcPr>
          <w:p>
            <w:pPr>
              <w:widowControl/>
              <w:spacing w:line="440" w:lineRule="exact"/>
              <w:jc w:val="left"/>
              <w:rPr>
                <w:rFonts w:ascii="宋体" w:hAnsi="宋体" w:cs="宋体"/>
                <w:b/>
                <w:color w:val="auto"/>
                <w:sz w:val="24"/>
                <w:szCs w:val="24"/>
              </w:rPr>
            </w:pPr>
            <w:r>
              <w:rPr>
                <w:rFonts w:hint="eastAsia" w:ascii="宋体" w:hAnsi="宋体" w:cs="宋体"/>
                <w:b/>
                <w:color w:val="auto"/>
                <w:sz w:val="24"/>
                <w:szCs w:val="24"/>
              </w:rPr>
              <w:t>开标时须携带：</w:t>
            </w:r>
          </w:p>
          <w:p>
            <w:pPr>
              <w:widowControl/>
              <w:spacing w:line="440" w:lineRule="exact"/>
              <w:jc w:val="left"/>
              <w:rPr>
                <w:rFonts w:ascii="宋体" w:hAnsi="宋体" w:cs="宋体"/>
                <w:b/>
                <w:color w:val="auto"/>
                <w:sz w:val="24"/>
                <w:szCs w:val="24"/>
              </w:rPr>
            </w:pPr>
            <w:r>
              <w:rPr>
                <w:rFonts w:hint="eastAsia" w:ascii="宋体" w:hAnsi="宋体" w:cs="宋体"/>
                <w:b/>
                <w:color w:val="auto"/>
                <w:sz w:val="24"/>
                <w:szCs w:val="24"/>
              </w:rPr>
              <w:t>1、企业营业执照副本原件；</w:t>
            </w:r>
          </w:p>
          <w:p>
            <w:pPr>
              <w:widowControl/>
              <w:spacing w:line="440" w:lineRule="exact"/>
              <w:jc w:val="left"/>
              <w:rPr>
                <w:rFonts w:ascii="宋体" w:hAnsi="宋体" w:cs="宋体"/>
                <w:b/>
                <w:color w:val="auto"/>
                <w:sz w:val="24"/>
                <w:szCs w:val="24"/>
              </w:rPr>
            </w:pPr>
            <w:r>
              <w:rPr>
                <w:rFonts w:hint="eastAsia" w:ascii="宋体" w:hAnsi="宋体" w:cs="宋体"/>
                <w:b/>
                <w:color w:val="auto"/>
                <w:sz w:val="24"/>
                <w:szCs w:val="24"/>
              </w:rPr>
              <w:t>2、“信用中国”（www.creditchina.gov.cn）和“中国政府采购网”（www.ccgp.gov.cn）网站上未被列入失信被执行人、重大税收违法案件当事人名单以及政府采购严重违法失信行为记录名单的网页打印件（网页打印件须自招标文件发布之日起至投标截止时间从上述网站中打印）（加盖公章）；</w:t>
            </w:r>
          </w:p>
          <w:p>
            <w:pPr>
              <w:widowControl/>
              <w:spacing w:line="440" w:lineRule="exact"/>
              <w:jc w:val="left"/>
              <w:rPr>
                <w:rFonts w:ascii="宋体" w:hAnsi="宋体" w:cs="宋体"/>
                <w:b/>
                <w:color w:val="auto"/>
                <w:sz w:val="24"/>
                <w:szCs w:val="24"/>
              </w:rPr>
            </w:pPr>
            <w:r>
              <w:rPr>
                <w:rFonts w:hint="eastAsia" w:ascii="宋体" w:hAnsi="宋体" w:cs="宋体"/>
                <w:b/>
                <w:color w:val="auto"/>
                <w:sz w:val="24"/>
                <w:szCs w:val="24"/>
              </w:rPr>
              <w:t>3、法定代表人参加时提供：身份证原件，或委托代理人参加时提供：身份证原件、法定代表人身份证明、授权委托书原件；</w:t>
            </w:r>
          </w:p>
          <w:p>
            <w:pPr>
              <w:widowControl/>
              <w:spacing w:line="440" w:lineRule="exact"/>
              <w:jc w:val="left"/>
              <w:rPr>
                <w:rFonts w:ascii="宋体" w:hAnsi="宋体" w:cs="宋体"/>
                <w:b/>
                <w:color w:val="auto"/>
                <w:sz w:val="24"/>
                <w:szCs w:val="24"/>
              </w:rPr>
            </w:pPr>
            <w:r>
              <w:rPr>
                <w:rFonts w:hint="eastAsia" w:ascii="宋体" w:hAnsi="宋体" w:cs="宋体"/>
                <w:b/>
                <w:color w:val="auto"/>
                <w:sz w:val="24"/>
                <w:szCs w:val="24"/>
              </w:rPr>
              <w:t>4、投标保证金汇款凭证；</w:t>
            </w:r>
          </w:p>
          <w:p>
            <w:pPr>
              <w:pStyle w:val="3"/>
              <w:rPr>
                <w:rFonts w:hint="eastAsia" w:ascii="宋体" w:hAnsi="宋体" w:cs="宋体"/>
                <w:b/>
                <w:color w:val="auto"/>
                <w:sz w:val="24"/>
                <w:szCs w:val="24"/>
                <w:lang w:eastAsia="zh-CN"/>
              </w:rPr>
            </w:pPr>
            <w:r>
              <w:rPr>
                <w:rFonts w:hint="eastAsia" w:ascii="宋体" w:hAnsi="宋体" w:cs="宋体"/>
                <w:b/>
                <w:color w:val="auto"/>
                <w:sz w:val="24"/>
                <w:szCs w:val="24"/>
                <w:lang w:val="en-US" w:eastAsia="zh-CN"/>
              </w:rPr>
              <w:t>5</w:t>
            </w:r>
            <w:r>
              <w:rPr>
                <w:rFonts w:hint="eastAsia" w:ascii="宋体" w:hAnsi="宋体" w:cs="宋体"/>
                <w:b/>
                <w:color w:val="auto"/>
                <w:sz w:val="24"/>
                <w:szCs w:val="24"/>
              </w:rPr>
              <w:t>、医疗器械生产许可证或医疗器械经营许可证原件</w:t>
            </w:r>
            <w:r>
              <w:rPr>
                <w:rFonts w:hint="eastAsia" w:ascii="宋体" w:hAnsi="宋体" w:cs="宋体"/>
                <w:b/>
                <w:color w:val="auto"/>
                <w:sz w:val="24"/>
                <w:szCs w:val="24"/>
                <w:lang w:eastAsia="zh-CN"/>
              </w:rPr>
              <w:t>；</w:t>
            </w:r>
          </w:p>
          <w:p>
            <w:pPr>
              <w:rPr>
                <w:rFonts w:hint="eastAsia" w:ascii="宋体" w:hAnsi="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6、提供近三个月投标单位及被授权人的社保缴纳证明</w:t>
            </w:r>
            <w:r>
              <w:rPr>
                <w:rFonts w:hint="eastAsia" w:ascii="宋体" w:hAnsi="宋体" w:cs="宋体"/>
                <w:b/>
                <w:color w:val="auto"/>
                <w:kern w:val="0"/>
                <w:sz w:val="24"/>
                <w:szCs w:val="24"/>
                <w:lang w:val="en-US" w:eastAsia="zh-CN" w:bidi="ar-SA"/>
              </w:rPr>
              <w:t>；</w:t>
            </w:r>
          </w:p>
          <w:p>
            <w:pPr>
              <w:pStyle w:val="39"/>
              <w:ind w:left="0" w:leftChars="0" w:firstLine="0" w:firstLineChars="0"/>
              <w:rPr>
                <w:rFonts w:hint="default"/>
                <w:lang w:val="en-US" w:eastAsia="zh-CN"/>
              </w:rPr>
            </w:pPr>
            <w:r>
              <w:rPr>
                <w:rFonts w:hint="eastAsia" w:hAnsi="宋体" w:cs="宋体"/>
                <w:b/>
                <w:color w:val="auto"/>
                <w:kern w:val="0"/>
                <w:sz w:val="24"/>
                <w:szCs w:val="24"/>
                <w:lang w:val="en-US" w:eastAsia="zh-CN" w:bidi="ar-SA"/>
              </w:rPr>
              <w:t>7、生产厂家针对本项目的授权书原件。</w:t>
            </w:r>
          </w:p>
          <w:p>
            <w:pPr>
              <w:widowControl/>
              <w:spacing w:line="440" w:lineRule="exact"/>
              <w:jc w:val="left"/>
              <w:rPr>
                <w:rFonts w:ascii="宋体" w:hAnsi="宋体" w:cs="宋体"/>
                <w:b/>
                <w:color w:val="auto"/>
                <w:sz w:val="24"/>
                <w:szCs w:val="24"/>
              </w:rPr>
            </w:pPr>
            <w:r>
              <w:rPr>
                <w:rFonts w:hint="eastAsia" w:ascii="宋体" w:hAnsi="宋体" w:cs="宋体"/>
                <w:b/>
                <w:color w:val="auto"/>
                <w:sz w:val="24"/>
                <w:szCs w:val="24"/>
              </w:rPr>
              <w:t>注：无法提供以上资料的投标人为无效投标人，其投标文件不予开封并退回投标人。</w:t>
            </w:r>
          </w:p>
        </w:tc>
      </w:tr>
      <w:tr>
        <w:tblPrEx>
          <w:tblCellMar>
            <w:top w:w="0" w:type="dxa"/>
            <w:left w:w="108" w:type="dxa"/>
            <w:bottom w:w="0" w:type="dxa"/>
            <w:right w:w="108" w:type="dxa"/>
          </w:tblCellMar>
        </w:tblPrEx>
        <w:trPr>
          <w:trHeight w:val="5167" w:hRule="exact"/>
          <w:jc w:val="center"/>
        </w:trPr>
        <w:tc>
          <w:tcPr>
            <w:tcW w:w="767" w:type="dxa"/>
            <w:tcBorders>
              <w:top w:val="single" w:color="auto" w:sz="12" w:space="0"/>
              <w:left w:val="single" w:color="auto" w:sz="12" w:space="0"/>
              <w:bottom w:val="single" w:color="auto" w:sz="12" w:space="0"/>
              <w:right w:val="single" w:color="auto" w:sz="12" w:space="0"/>
            </w:tcBorders>
            <w:vAlign w:val="center"/>
          </w:tcPr>
          <w:p>
            <w:pPr>
              <w:overflowPunct w:val="0"/>
              <w:jc w:val="center"/>
              <w:rPr>
                <w:rFonts w:ascii="宋体" w:hAnsi="宋体"/>
                <w:color w:val="auto"/>
                <w:kern w:val="0"/>
                <w:sz w:val="24"/>
                <w:szCs w:val="24"/>
              </w:rPr>
            </w:pPr>
            <w:r>
              <w:rPr>
                <w:rFonts w:hint="eastAsia" w:ascii="宋体" w:hAnsi="宋体"/>
                <w:color w:val="auto"/>
                <w:kern w:val="0"/>
                <w:sz w:val="24"/>
                <w:szCs w:val="24"/>
              </w:rPr>
              <w:t>15</w:t>
            </w:r>
          </w:p>
        </w:tc>
        <w:tc>
          <w:tcPr>
            <w:tcW w:w="9553" w:type="dxa"/>
            <w:tcBorders>
              <w:top w:val="single" w:color="auto" w:sz="12" w:space="0"/>
              <w:left w:val="single" w:color="auto" w:sz="12" w:space="0"/>
              <w:bottom w:val="single" w:color="auto" w:sz="12" w:space="0"/>
              <w:right w:val="single" w:color="auto" w:sz="12" w:space="0"/>
            </w:tcBorders>
            <w:vAlign w:val="center"/>
          </w:tcPr>
          <w:p>
            <w:pPr>
              <w:overflowPunct w:val="0"/>
              <w:rPr>
                <w:rFonts w:ascii="宋体" w:hAnsi="宋体"/>
                <w:b/>
                <w:bCs/>
                <w:color w:val="auto"/>
                <w:kern w:val="0"/>
                <w:sz w:val="24"/>
                <w:szCs w:val="24"/>
              </w:rPr>
            </w:pPr>
            <w:r>
              <w:rPr>
                <w:rFonts w:hint="eastAsia" w:ascii="宋体" w:hAnsi="宋体"/>
                <w:b/>
                <w:bCs/>
                <w:color w:val="auto"/>
                <w:kern w:val="0"/>
                <w:sz w:val="24"/>
                <w:szCs w:val="24"/>
              </w:rPr>
              <w:t>低于成本价不正当竞争预防措施：</w:t>
            </w:r>
          </w:p>
          <w:p>
            <w:pPr>
              <w:overflowPunct w:val="0"/>
              <w:ind w:firstLine="480" w:firstLineChars="200"/>
              <w:rPr>
                <w:rFonts w:ascii="宋体" w:hAnsi="宋体"/>
                <w:color w:val="auto"/>
                <w:kern w:val="0"/>
                <w:sz w:val="24"/>
                <w:szCs w:val="24"/>
              </w:rPr>
            </w:pPr>
            <w:r>
              <w:rPr>
                <w:rFonts w:hint="eastAsia" w:ascii="宋体" w:hAnsi="宋体"/>
                <w:color w:val="auto"/>
                <w:kern w:val="0"/>
                <w:sz w:val="24"/>
                <w:szCs w:val="24"/>
              </w:rPr>
              <w:t>在评标过程中，评标委员会认为投标人报价明显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440" w:lineRule="exact"/>
              <w:ind w:firstLine="480" w:firstLineChars="200"/>
              <w:rPr>
                <w:rFonts w:ascii="宋体" w:hAnsi="宋体"/>
                <w:color w:val="auto"/>
                <w:kern w:val="0"/>
                <w:sz w:val="24"/>
                <w:szCs w:val="24"/>
              </w:rPr>
            </w:pPr>
            <w:r>
              <w:rPr>
                <w:rFonts w:hint="eastAsia" w:ascii="宋体" w:hAnsi="宋体"/>
                <w:color w:val="auto"/>
                <w:kern w:val="0"/>
                <w:sz w:val="24"/>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440" w:lineRule="exact"/>
              <w:ind w:firstLine="480" w:firstLineChars="200"/>
              <w:rPr>
                <w:rFonts w:ascii="宋体" w:hAnsi="宋体"/>
                <w:color w:val="auto"/>
                <w:kern w:val="0"/>
                <w:sz w:val="24"/>
                <w:szCs w:val="24"/>
              </w:rPr>
            </w:pPr>
            <w:r>
              <w:rPr>
                <w:rFonts w:hint="eastAsia" w:ascii="宋体" w:hAnsi="宋体"/>
                <w:color w:val="auto"/>
                <w:kern w:val="0"/>
                <w:sz w:val="24"/>
                <w:szCs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bl>
    <w:p>
      <w:pPr>
        <w:pStyle w:val="83"/>
        <w:spacing w:line="500" w:lineRule="exact"/>
        <w:jc w:val="both"/>
        <w:outlineLvl w:val="0"/>
        <w:rPr>
          <w:rFonts w:ascii="宋体" w:hAnsi="宋体"/>
          <w:b/>
          <w:color w:val="auto"/>
          <w:sz w:val="30"/>
          <w:szCs w:val="30"/>
        </w:rPr>
      </w:pPr>
      <w:bookmarkStart w:id="1" w:name="_Toc2189"/>
    </w:p>
    <w:p>
      <w:pPr>
        <w:pStyle w:val="83"/>
        <w:spacing w:line="500" w:lineRule="exact"/>
        <w:jc w:val="center"/>
        <w:outlineLvl w:val="0"/>
        <w:rPr>
          <w:rFonts w:hint="eastAsia" w:ascii="宋体" w:hAnsi="宋体"/>
          <w:b/>
          <w:color w:val="auto"/>
          <w:sz w:val="30"/>
          <w:szCs w:val="30"/>
        </w:rPr>
      </w:pPr>
    </w:p>
    <w:p>
      <w:pPr>
        <w:pStyle w:val="83"/>
        <w:spacing w:line="500" w:lineRule="exact"/>
        <w:jc w:val="center"/>
        <w:outlineLvl w:val="0"/>
        <w:rPr>
          <w:rFonts w:hint="eastAsia" w:ascii="宋体" w:hAnsi="宋体"/>
          <w:b/>
          <w:color w:val="auto"/>
          <w:sz w:val="30"/>
          <w:szCs w:val="30"/>
        </w:rPr>
      </w:pPr>
    </w:p>
    <w:p>
      <w:pPr>
        <w:pStyle w:val="83"/>
        <w:spacing w:line="500" w:lineRule="exact"/>
        <w:jc w:val="center"/>
        <w:outlineLvl w:val="0"/>
        <w:rPr>
          <w:rFonts w:hint="eastAsia" w:ascii="宋体" w:hAnsi="宋体"/>
          <w:b/>
          <w:color w:val="auto"/>
          <w:sz w:val="30"/>
          <w:szCs w:val="30"/>
        </w:rPr>
      </w:pPr>
    </w:p>
    <w:p>
      <w:pPr>
        <w:pStyle w:val="83"/>
        <w:spacing w:line="500" w:lineRule="exact"/>
        <w:jc w:val="center"/>
        <w:outlineLvl w:val="0"/>
        <w:rPr>
          <w:rFonts w:hint="eastAsia" w:ascii="宋体" w:hAnsi="宋体"/>
          <w:b/>
          <w:color w:val="auto"/>
          <w:sz w:val="30"/>
          <w:szCs w:val="30"/>
        </w:rPr>
      </w:pPr>
    </w:p>
    <w:p>
      <w:pPr>
        <w:pStyle w:val="83"/>
        <w:spacing w:line="500" w:lineRule="exact"/>
        <w:jc w:val="center"/>
        <w:outlineLvl w:val="0"/>
        <w:rPr>
          <w:rFonts w:hint="eastAsia" w:ascii="宋体" w:hAnsi="宋体"/>
          <w:b/>
          <w:color w:val="auto"/>
          <w:sz w:val="30"/>
          <w:szCs w:val="30"/>
        </w:rPr>
      </w:pPr>
    </w:p>
    <w:p>
      <w:pPr>
        <w:pStyle w:val="83"/>
        <w:spacing w:line="500" w:lineRule="exact"/>
        <w:jc w:val="center"/>
        <w:outlineLvl w:val="0"/>
        <w:rPr>
          <w:rFonts w:ascii="宋体" w:hAnsi="宋体"/>
          <w:b/>
          <w:color w:val="auto"/>
          <w:sz w:val="30"/>
          <w:szCs w:val="30"/>
        </w:rPr>
      </w:pPr>
      <w:r>
        <w:rPr>
          <w:rFonts w:hint="eastAsia" w:ascii="宋体" w:hAnsi="宋体"/>
          <w:b/>
          <w:color w:val="auto"/>
          <w:sz w:val="30"/>
          <w:szCs w:val="30"/>
        </w:rPr>
        <w:t>第一章 招标公告</w:t>
      </w:r>
    </w:p>
    <w:bookmarkEnd w:id="1"/>
    <w:p>
      <w:pPr>
        <w:jc w:val="center"/>
        <w:rPr>
          <w:rStyle w:val="44"/>
          <w:rFonts w:ascii="仿宋" w:hAnsi="仿宋" w:eastAsia="仿宋" w:cs="仿宋"/>
          <w:sz w:val="32"/>
          <w:szCs w:val="32"/>
        </w:rPr>
      </w:pPr>
      <w:bookmarkStart w:id="2" w:name="_Toc6564"/>
      <w:r>
        <w:rPr>
          <w:rFonts w:hint="eastAsia" w:ascii="仿宋" w:hAnsi="仿宋" w:eastAsia="仿宋" w:cs="仿宋"/>
          <w:sz w:val="32"/>
          <w:szCs w:val="32"/>
          <w:lang w:eastAsia="zh-CN"/>
        </w:rPr>
        <w:t>霍城县中医医院医疗诊断设备</w:t>
      </w:r>
      <w:r>
        <w:rPr>
          <w:rFonts w:hint="eastAsia" w:ascii="仿宋" w:hAnsi="仿宋" w:eastAsia="仿宋" w:cs="仿宋"/>
          <w:sz w:val="32"/>
          <w:szCs w:val="32"/>
        </w:rPr>
        <w:t>采购项目</w:t>
      </w:r>
    </w:p>
    <w:p>
      <w:pPr>
        <w:pStyle w:val="37"/>
        <w:spacing w:before="255" w:beforeAutospacing="0" w:after="255" w:afterAutospacing="0" w:line="360" w:lineRule="exact"/>
        <w:jc w:val="both"/>
        <w:rPr>
          <w:rFonts w:ascii="黑体" w:eastAsia="黑体" w:cs="黑体"/>
          <w:sz w:val="27"/>
          <w:szCs w:val="27"/>
        </w:rPr>
      </w:pPr>
      <w:r>
        <w:rPr>
          <w:rStyle w:val="44"/>
          <w:rFonts w:ascii="黑体" w:eastAsia="黑体" w:cs="黑体"/>
          <w:sz w:val="27"/>
          <w:szCs w:val="27"/>
        </w:rPr>
        <w:t>一、</w:t>
      </w:r>
      <w:r>
        <w:rPr>
          <w:rStyle w:val="44"/>
          <w:rFonts w:hint="eastAsia" w:ascii="黑体" w:eastAsia="黑体" w:cs="黑体"/>
          <w:sz w:val="27"/>
          <w:szCs w:val="27"/>
        </w:rPr>
        <w:t>项目基本情况</w:t>
      </w:r>
    </w:p>
    <w:p>
      <w:pPr>
        <w:pStyle w:val="37"/>
        <w:spacing w:line="360" w:lineRule="exact"/>
        <w:ind w:firstLine="540" w:firstLineChars="200"/>
        <w:rPr>
          <w:rFonts w:ascii="仿宋" w:hAnsi="仿宋" w:eastAsia="仿宋" w:cs="仿宋"/>
          <w:color w:val="FF0000"/>
          <w:sz w:val="27"/>
          <w:szCs w:val="27"/>
        </w:rPr>
      </w:pPr>
      <w:r>
        <w:rPr>
          <w:rFonts w:ascii="仿宋" w:hAnsi="仿宋" w:eastAsia="仿宋" w:cs="仿宋"/>
          <w:sz w:val="27"/>
          <w:szCs w:val="27"/>
        </w:rPr>
        <w:t>项目编号：</w:t>
      </w:r>
      <w:r>
        <w:rPr>
          <w:rFonts w:hint="eastAsia" w:ascii="仿宋" w:hAnsi="仿宋" w:eastAsia="仿宋" w:cs="仿宋"/>
          <w:sz w:val="27"/>
          <w:szCs w:val="27"/>
        </w:rPr>
        <w:t>HYYL-2021-088</w:t>
      </w:r>
    </w:p>
    <w:p>
      <w:pPr>
        <w:pStyle w:val="37"/>
        <w:spacing w:line="360" w:lineRule="exact"/>
        <w:ind w:left="1887" w:leftChars="256" w:hanging="1350" w:hangingChars="500"/>
        <w:rPr>
          <w:rFonts w:ascii="仿宋" w:hAnsi="仿宋" w:eastAsia="仿宋" w:cs="仿宋"/>
          <w:sz w:val="27"/>
          <w:szCs w:val="27"/>
        </w:rPr>
      </w:pPr>
      <w:r>
        <w:rPr>
          <w:rFonts w:hint="eastAsia" w:ascii="仿宋" w:hAnsi="仿宋" w:eastAsia="仿宋" w:cs="仿宋"/>
          <w:sz w:val="27"/>
          <w:szCs w:val="27"/>
        </w:rPr>
        <w:t>项目名称：霍城县中医医院医疗诊断设备采购项目</w:t>
      </w:r>
    </w:p>
    <w:p>
      <w:pPr>
        <w:pStyle w:val="37"/>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采购方式：公开招标</w:t>
      </w:r>
    </w:p>
    <w:p>
      <w:pPr>
        <w:pStyle w:val="37"/>
        <w:spacing w:line="360" w:lineRule="exact"/>
        <w:rPr>
          <w:rFonts w:hint="default" w:eastAsia="仿宋"/>
          <w:lang w:val="en-US" w:eastAsia="zh-CN"/>
        </w:rPr>
      </w:pPr>
      <w:r>
        <w:rPr>
          <w:rFonts w:hint="eastAsia" w:ascii="仿宋" w:hAnsi="仿宋" w:eastAsia="仿宋" w:cs="仿宋"/>
          <w:sz w:val="27"/>
          <w:szCs w:val="27"/>
        </w:rPr>
        <w:t>     预算金额（元）：</w:t>
      </w:r>
      <w:r>
        <w:rPr>
          <w:rFonts w:hint="eastAsia" w:ascii="仿宋" w:hAnsi="仿宋" w:eastAsia="仿宋" w:cs="仿宋"/>
          <w:sz w:val="27"/>
          <w:szCs w:val="27"/>
          <w:lang w:val="en-US" w:eastAsia="zh-CN"/>
        </w:rPr>
        <w:t>6189000</w:t>
      </w:r>
    </w:p>
    <w:p>
      <w:pPr>
        <w:pStyle w:val="37"/>
        <w:spacing w:line="360" w:lineRule="exact"/>
        <w:ind w:firstLine="540" w:firstLineChars="200"/>
        <w:rPr>
          <w:rFonts w:hint="default" w:ascii="仿宋" w:hAnsi="仿宋" w:eastAsia="仿宋" w:cs="仿宋"/>
          <w:sz w:val="27"/>
          <w:szCs w:val="27"/>
          <w:lang w:val="en-US"/>
        </w:rPr>
      </w:pPr>
      <w:r>
        <w:rPr>
          <w:rFonts w:hint="eastAsia" w:ascii="仿宋" w:hAnsi="仿宋" w:eastAsia="仿宋" w:cs="仿宋"/>
          <w:sz w:val="27"/>
          <w:szCs w:val="27"/>
        </w:rPr>
        <w:t>最高限价（元）：</w:t>
      </w:r>
      <w:r>
        <w:rPr>
          <w:rFonts w:hint="eastAsia" w:ascii="仿宋" w:hAnsi="仿宋" w:eastAsia="仿宋" w:cs="仿宋"/>
          <w:color w:val="000000" w:themeColor="text1"/>
          <w:sz w:val="27"/>
          <w:szCs w:val="27"/>
          <w:shd w:val="clear" w:color="auto" w:fill="auto"/>
          <w:lang w:val="en-US" w:eastAsia="zh-CN"/>
        </w:rPr>
        <w:t>2324000</w:t>
      </w:r>
      <w:r>
        <w:rPr>
          <w:rFonts w:hint="eastAsia" w:ascii="仿宋" w:hAnsi="仿宋" w:eastAsia="仿宋" w:cs="仿宋"/>
          <w:sz w:val="27"/>
          <w:szCs w:val="27"/>
          <w:lang w:val="en-US" w:eastAsia="zh-CN"/>
        </w:rPr>
        <w:t>、</w:t>
      </w:r>
      <w:r>
        <w:rPr>
          <w:rFonts w:hint="eastAsia" w:ascii="仿宋" w:hAnsi="仿宋" w:eastAsia="仿宋" w:cs="仿宋"/>
          <w:color w:val="000000" w:themeColor="text1"/>
          <w:sz w:val="27"/>
          <w:szCs w:val="27"/>
          <w:shd w:val="clear" w:color="auto" w:fill="auto"/>
        </w:rPr>
        <w:t>230</w:t>
      </w:r>
      <w:r>
        <w:rPr>
          <w:rFonts w:hint="eastAsia" w:ascii="仿宋" w:hAnsi="仿宋" w:eastAsia="仿宋" w:cs="仿宋"/>
          <w:color w:val="000000" w:themeColor="text1"/>
          <w:sz w:val="27"/>
          <w:szCs w:val="27"/>
          <w:shd w:val="clear" w:color="auto" w:fill="auto"/>
          <w:lang w:val="en-US" w:eastAsia="zh-CN"/>
        </w:rPr>
        <w:t>0000</w:t>
      </w:r>
      <w:r>
        <w:rPr>
          <w:rFonts w:hint="eastAsia" w:ascii="仿宋" w:hAnsi="仿宋" w:eastAsia="仿宋" w:cs="仿宋"/>
          <w:sz w:val="27"/>
          <w:szCs w:val="27"/>
          <w:lang w:val="en-US" w:eastAsia="zh-CN"/>
        </w:rPr>
        <w:t>、1065000、500000</w:t>
      </w:r>
    </w:p>
    <w:p>
      <w:pPr>
        <w:pStyle w:val="37"/>
        <w:spacing w:line="360" w:lineRule="exact"/>
        <w:ind w:firstLine="540" w:firstLineChars="200"/>
      </w:pPr>
      <w:r>
        <w:rPr>
          <w:rFonts w:hint="eastAsia" w:ascii="仿宋" w:hAnsi="仿宋" w:eastAsia="仿宋" w:cs="仿宋"/>
          <w:sz w:val="27"/>
          <w:szCs w:val="27"/>
        </w:rPr>
        <w:t>采购需求：</w:t>
      </w:r>
    </w:p>
    <w:p>
      <w:pPr>
        <w:pStyle w:val="37"/>
        <w:spacing w:line="360" w:lineRule="exact"/>
        <w:ind w:left="540" w:hanging="540" w:hangingChars="200"/>
        <w:rPr>
          <w:rFonts w:hint="default" w:ascii="仿宋" w:hAnsi="仿宋" w:eastAsia="仿宋" w:cs="仿宋"/>
          <w:sz w:val="27"/>
          <w:szCs w:val="27"/>
          <w:lang w:val="en-US" w:eastAsia="zh-CN"/>
        </w:rPr>
      </w:pPr>
      <w:r>
        <w:rPr>
          <w:rFonts w:hint="eastAsia" w:ascii="仿宋" w:hAnsi="仿宋" w:eastAsia="仿宋" w:cs="仿宋"/>
          <w:sz w:val="27"/>
          <w:szCs w:val="27"/>
        </w:rPr>
        <w:t>     标项一:</w:t>
      </w:r>
      <w:r>
        <w:rPr>
          <w:rFonts w:hint="eastAsia" w:ascii="仿宋" w:hAnsi="仿宋" w:eastAsia="仿宋" w:cs="仿宋"/>
          <w:sz w:val="27"/>
          <w:szCs w:val="27"/>
        </w:rPr>
        <w:br w:type="textWrapping"/>
      </w:r>
      <w:r>
        <w:rPr>
          <w:rFonts w:hint="eastAsia" w:ascii="仿宋" w:hAnsi="仿宋" w:eastAsia="仿宋" w:cs="仿宋"/>
          <w:sz w:val="27"/>
          <w:szCs w:val="27"/>
        </w:rPr>
        <w:t>标项名称:</w:t>
      </w:r>
      <w:r>
        <w:rPr>
          <w:rFonts w:hint="eastAsia" w:ascii="仿宋" w:hAnsi="仿宋" w:eastAsia="仿宋" w:cs="仿宋"/>
          <w:sz w:val="27"/>
          <w:szCs w:val="27"/>
          <w:lang w:val="en-US" w:eastAsia="zh-CN"/>
        </w:rPr>
        <w:t>电子胃镜</w:t>
      </w:r>
      <w:r>
        <w:rPr>
          <w:rFonts w:hint="eastAsia" w:ascii="仿宋" w:hAnsi="仿宋" w:eastAsia="仿宋" w:cs="仿宋"/>
          <w:sz w:val="27"/>
          <w:szCs w:val="27"/>
          <w:lang w:eastAsia="zh-CN"/>
        </w:rPr>
        <w:t>（进口）、内窥镜检查床、内窥镜转运车</w:t>
      </w:r>
    </w:p>
    <w:p>
      <w:pPr>
        <w:pStyle w:val="37"/>
        <w:spacing w:line="360" w:lineRule="exact"/>
        <w:ind w:left="537" w:leftChars="256"/>
        <w:rPr>
          <w:rFonts w:ascii="仿宋" w:hAnsi="仿宋" w:eastAsia="仿宋" w:cs="仿宋"/>
          <w:color w:val="000000" w:themeColor="text1"/>
          <w:sz w:val="27"/>
          <w:szCs w:val="27"/>
          <w:shd w:val="clear" w:color="auto" w:fill="auto"/>
        </w:rPr>
      </w:pPr>
      <w:r>
        <w:rPr>
          <w:rFonts w:hint="eastAsia" w:ascii="仿宋" w:hAnsi="仿宋" w:eastAsia="仿宋" w:cs="仿宋"/>
          <w:sz w:val="27"/>
          <w:szCs w:val="27"/>
        </w:rPr>
        <w:t>数量:1</w:t>
      </w:r>
    </w:p>
    <w:p>
      <w:pPr>
        <w:pStyle w:val="37"/>
        <w:spacing w:line="360" w:lineRule="exact"/>
        <w:ind w:left="537" w:leftChars="256"/>
        <w:rPr>
          <w:rFonts w:ascii="仿宋" w:hAnsi="仿宋" w:eastAsia="仿宋" w:cs="仿宋"/>
          <w:color w:val="000000" w:themeColor="text1"/>
          <w:sz w:val="27"/>
          <w:szCs w:val="27"/>
          <w:shd w:val="clear" w:color="auto" w:fill="auto"/>
        </w:rPr>
      </w:pPr>
      <w:r>
        <w:rPr>
          <w:rFonts w:hint="eastAsia" w:ascii="仿宋" w:hAnsi="仿宋" w:eastAsia="仿宋" w:cs="仿宋"/>
          <w:color w:val="000000" w:themeColor="text1"/>
          <w:sz w:val="27"/>
          <w:szCs w:val="27"/>
          <w:shd w:val="clear" w:color="auto" w:fill="auto"/>
        </w:rPr>
        <w:t>预算金额（元）:</w:t>
      </w:r>
      <w:r>
        <w:rPr>
          <w:rFonts w:hint="eastAsia" w:ascii="仿宋" w:hAnsi="仿宋" w:eastAsia="仿宋" w:cs="仿宋"/>
          <w:color w:val="000000" w:themeColor="text1"/>
          <w:sz w:val="27"/>
          <w:szCs w:val="27"/>
          <w:shd w:val="clear" w:color="auto" w:fill="auto"/>
          <w:lang w:val="en-US" w:eastAsia="zh-CN"/>
        </w:rPr>
        <w:t>2324000</w:t>
      </w:r>
      <w:r>
        <w:rPr>
          <w:rFonts w:hint="eastAsia" w:ascii="仿宋" w:hAnsi="仿宋" w:eastAsia="仿宋" w:cs="仿宋"/>
          <w:color w:val="000000" w:themeColor="text1"/>
          <w:sz w:val="27"/>
          <w:szCs w:val="27"/>
          <w:shd w:val="clear" w:color="auto" w:fill="auto"/>
        </w:rPr>
        <w:t>元</w:t>
      </w:r>
    </w:p>
    <w:p>
      <w:pPr>
        <w:pStyle w:val="37"/>
        <w:spacing w:line="360" w:lineRule="exact"/>
        <w:ind w:left="537" w:leftChars="256"/>
        <w:rPr>
          <w:rFonts w:hint="eastAsia" w:ascii="仿宋" w:hAnsi="仿宋" w:eastAsia="仿宋" w:cs="仿宋"/>
          <w:color w:val="000000" w:themeColor="text1"/>
          <w:sz w:val="27"/>
          <w:szCs w:val="27"/>
          <w:shd w:val="clear" w:color="auto" w:fill="auto"/>
          <w:lang w:eastAsia="zh-CN"/>
        </w:rPr>
      </w:pPr>
      <w:r>
        <w:rPr>
          <w:rFonts w:hint="eastAsia" w:ascii="仿宋" w:hAnsi="仿宋" w:eastAsia="仿宋" w:cs="仿宋"/>
          <w:color w:val="000000" w:themeColor="text1"/>
          <w:sz w:val="27"/>
          <w:szCs w:val="27"/>
          <w:shd w:val="clear" w:color="auto" w:fill="auto"/>
        </w:rPr>
        <w:t>单位：</w:t>
      </w:r>
      <w:r>
        <w:rPr>
          <w:rFonts w:hint="eastAsia" w:ascii="仿宋" w:hAnsi="仿宋" w:eastAsia="仿宋" w:cs="仿宋"/>
          <w:color w:val="000000" w:themeColor="text1"/>
          <w:sz w:val="27"/>
          <w:szCs w:val="27"/>
          <w:shd w:val="clear" w:color="auto" w:fill="auto"/>
          <w:lang w:eastAsia="zh-CN"/>
        </w:rPr>
        <w:t>批</w:t>
      </w:r>
    </w:p>
    <w:p>
      <w:pPr>
        <w:pStyle w:val="37"/>
        <w:spacing w:line="360" w:lineRule="exact"/>
        <w:ind w:left="537" w:leftChars="256"/>
        <w:rPr>
          <w:rFonts w:hint="eastAsia" w:ascii="仿宋" w:hAnsi="仿宋" w:eastAsia="仿宋" w:cs="仿宋"/>
          <w:color w:val="000000" w:themeColor="text1"/>
          <w:sz w:val="27"/>
          <w:szCs w:val="27"/>
          <w:shd w:val="clear" w:color="auto" w:fill="auto"/>
          <w:lang w:eastAsia="zh-CN"/>
        </w:rPr>
      </w:pPr>
      <w:r>
        <w:rPr>
          <w:rFonts w:hint="eastAsia" w:ascii="仿宋" w:hAnsi="仿宋" w:eastAsia="仿宋" w:cs="仿宋"/>
          <w:color w:val="000000" w:themeColor="text1"/>
          <w:sz w:val="27"/>
          <w:szCs w:val="27"/>
          <w:shd w:val="clear" w:color="auto" w:fill="auto"/>
        </w:rPr>
        <w:t>简要规格描述：</w:t>
      </w:r>
      <w:r>
        <w:rPr>
          <w:rFonts w:hint="eastAsia" w:ascii="仿宋" w:hAnsi="仿宋" w:eastAsia="仿宋" w:cs="仿宋"/>
          <w:sz w:val="27"/>
          <w:szCs w:val="27"/>
          <w:lang w:val="en-US" w:eastAsia="zh-CN"/>
        </w:rPr>
        <w:t>电子胃镜</w:t>
      </w:r>
      <w:r>
        <w:rPr>
          <w:rFonts w:hint="eastAsia" w:ascii="仿宋" w:hAnsi="仿宋" w:eastAsia="仿宋" w:cs="仿宋"/>
          <w:sz w:val="27"/>
          <w:szCs w:val="27"/>
          <w:lang w:eastAsia="zh-CN"/>
        </w:rPr>
        <w:t>（进口）、内窥镜检查床、内窥镜转运车</w:t>
      </w:r>
    </w:p>
    <w:p>
      <w:pPr>
        <w:pStyle w:val="37"/>
        <w:spacing w:line="360" w:lineRule="exact"/>
        <w:ind w:left="537" w:leftChars="256" w:firstLine="0" w:firstLineChars="0"/>
        <w:rPr>
          <w:rFonts w:hint="eastAsia" w:ascii="仿宋" w:hAnsi="仿宋" w:eastAsia="仿宋" w:cs="仿宋"/>
          <w:color w:val="000000" w:themeColor="text1"/>
          <w:sz w:val="27"/>
          <w:szCs w:val="27"/>
          <w:shd w:val="clear" w:color="auto" w:fill="auto"/>
        </w:rPr>
      </w:pPr>
    </w:p>
    <w:p>
      <w:pPr>
        <w:pStyle w:val="37"/>
        <w:spacing w:line="360" w:lineRule="exact"/>
        <w:ind w:left="537" w:leftChars="256" w:firstLine="0" w:firstLineChars="0"/>
        <w:rPr>
          <w:rFonts w:hint="default" w:ascii="仿宋" w:hAnsi="仿宋" w:eastAsia="仿宋" w:cs="仿宋"/>
          <w:color w:val="000000" w:themeColor="text1"/>
          <w:sz w:val="27"/>
          <w:szCs w:val="27"/>
          <w:shd w:val="clear" w:color="auto" w:fill="auto"/>
          <w:lang w:val="en-US" w:eastAsia="zh-CN"/>
        </w:rPr>
      </w:pPr>
      <w:r>
        <w:rPr>
          <w:rFonts w:hint="eastAsia" w:ascii="仿宋" w:hAnsi="仿宋" w:eastAsia="仿宋" w:cs="仿宋"/>
          <w:color w:val="000000" w:themeColor="text1"/>
          <w:sz w:val="27"/>
          <w:szCs w:val="27"/>
          <w:shd w:val="clear" w:color="auto" w:fill="auto"/>
        </w:rPr>
        <w:t>标项</w:t>
      </w:r>
      <w:r>
        <w:rPr>
          <w:rFonts w:hint="eastAsia" w:ascii="仿宋" w:hAnsi="仿宋" w:eastAsia="仿宋" w:cs="仿宋"/>
          <w:color w:val="000000" w:themeColor="text1"/>
          <w:sz w:val="27"/>
          <w:szCs w:val="27"/>
          <w:shd w:val="clear" w:color="auto" w:fill="auto"/>
          <w:lang w:eastAsia="zh-CN"/>
        </w:rPr>
        <w:t>二</w:t>
      </w:r>
      <w:r>
        <w:rPr>
          <w:rFonts w:hint="eastAsia" w:ascii="仿宋" w:hAnsi="仿宋" w:eastAsia="仿宋" w:cs="仿宋"/>
          <w:color w:val="000000" w:themeColor="text1"/>
          <w:sz w:val="27"/>
          <w:szCs w:val="27"/>
          <w:shd w:val="clear" w:color="auto" w:fill="auto"/>
        </w:rPr>
        <w:t>:</w:t>
      </w:r>
      <w:r>
        <w:rPr>
          <w:rFonts w:hint="eastAsia" w:ascii="仿宋" w:hAnsi="仿宋" w:eastAsia="仿宋" w:cs="仿宋"/>
          <w:color w:val="000000" w:themeColor="text1"/>
          <w:sz w:val="27"/>
          <w:szCs w:val="27"/>
          <w:shd w:val="clear" w:color="auto" w:fill="auto"/>
        </w:rPr>
        <w:br w:type="textWrapping"/>
      </w:r>
      <w:r>
        <w:rPr>
          <w:rFonts w:hint="eastAsia" w:ascii="仿宋" w:hAnsi="仿宋" w:eastAsia="仿宋" w:cs="仿宋"/>
          <w:color w:val="000000" w:themeColor="text1"/>
          <w:sz w:val="27"/>
          <w:szCs w:val="27"/>
          <w:shd w:val="clear" w:color="auto" w:fill="auto"/>
        </w:rPr>
        <w:t>标项名称:高端数字超声诊断仪</w:t>
      </w:r>
    </w:p>
    <w:p>
      <w:pPr>
        <w:pStyle w:val="37"/>
        <w:spacing w:line="360" w:lineRule="exact"/>
        <w:ind w:left="537" w:leftChars="256"/>
        <w:rPr>
          <w:rFonts w:ascii="仿宋" w:hAnsi="仿宋" w:eastAsia="仿宋" w:cs="仿宋"/>
          <w:color w:val="000000" w:themeColor="text1"/>
          <w:sz w:val="27"/>
          <w:szCs w:val="27"/>
          <w:shd w:val="clear" w:color="auto" w:fill="auto"/>
        </w:rPr>
      </w:pPr>
      <w:r>
        <w:rPr>
          <w:rFonts w:hint="eastAsia" w:ascii="仿宋" w:hAnsi="仿宋" w:eastAsia="仿宋" w:cs="仿宋"/>
          <w:color w:val="000000" w:themeColor="text1"/>
          <w:sz w:val="27"/>
          <w:szCs w:val="27"/>
          <w:shd w:val="clear" w:color="auto" w:fill="auto"/>
        </w:rPr>
        <w:t>数量:1</w:t>
      </w:r>
    </w:p>
    <w:p>
      <w:pPr>
        <w:pStyle w:val="37"/>
        <w:spacing w:line="360" w:lineRule="exact"/>
        <w:ind w:left="537" w:leftChars="256"/>
        <w:rPr>
          <w:rFonts w:ascii="仿宋" w:hAnsi="仿宋" w:eastAsia="仿宋" w:cs="仿宋"/>
          <w:color w:val="000000" w:themeColor="text1"/>
          <w:sz w:val="27"/>
          <w:szCs w:val="27"/>
          <w:shd w:val="clear" w:color="auto" w:fill="auto"/>
        </w:rPr>
      </w:pPr>
      <w:r>
        <w:rPr>
          <w:rFonts w:hint="eastAsia" w:ascii="仿宋" w:hAnsi="仿宋" w:eastAsia="仿宋" w:cs="仿宋"/>
          <w:color w:val="000000" w:themeColor="text1"/>
          <w:sz w:val="27"/>
          <w:szCs w:val="27"/>
          <w:shd w:val="clear" w:color="auto" w:fill="auto"/>
        </w:rPr>
        <w:t>预算金额（元）:230</w:t>
      </w:r>
      <w:r>
        <w:rPr>
          <w:rFonts w:hint="eastAsia" w:ascii="仿宋" w:hAnsi="仿宋" w:eastAsia="仿宋" w:cs="仿宋"/>
          <w:color w:val="000000" w:themeColor="text1"/>
          <w:sz w:val="27"/>
          <w:szCs w:val="27"/>
          <w:shd w:val="clear" w:color="auto" w:fill="auto"/>
          <w:lang w:val="en-US" w:eastAsia="zh-CN"/>
        </w:rPr>
        <w:t>0000</w:t>
      </w:r>
      <w:r>
        <w:rPr>
          <w:rFonts w:hint="eastAsia" w:ascii="仿宋" w:hAnsi="仿宋" w:eastAsia="仿宋" w:cs="仿宋"/>
          <w:color w:val="000000" w:themeColor="text1"/>
          <w:sz w:val="27"/>
          <w:szCs w:val="27"/>
          <w:shd w:val="clear" w:color="auto" w:fill="auto"/>
        </w:rPr>
        <w:t>元</w:t>
      </w:r>
    </w:p>
    <w:p>
      <w:pPr>
        <w:pStyle w:val="37"/>
        <w:spacing w:line="360" w:lineRule="exact"/>
        <w:ind w:left="537" w:leftChars="256"/>
        <w:rPr>
          <w:rFonts w:hint="eastAsia" w:ascii="仿宋" w:hAnsi="仿宋" w:eastAsia="仿宋" w:cs="仿宋"/>
          <w:color w:val="000000" w:themeColor="text1"/>
          <w:sz w:val="27"/>
          <w:szCs w:val="27"/>
          <w:shd w:val="clear" w:color="auto" w:fill="auto"/>
          <w:lang w:eastAsia="zh-CN"/>
        </w:rPr>
      </w:pPr>
      <w:r>
        <w:rPr>
          <w:rFonts w:hint="eastAsia" w:ascii="仿宋" w:hAnsi="仿宋" w:eastAsia="仿宋" w:cs="仿宋"/>
          <w:color w:val="000000" w:themeColor="text1"/>
          <w:sz w:val="27"/>
          <w:szCs w:val="27"/>
          <w:shd w:val="clear" w:color="auto" w:fill="auto"/>
        </w:rPr>
        <w:t>单位：</w:t>
      </w:r>
      <w:r>
        <w:rPr>
          <w:rFonts w:hint="eastAsia" w:ascii="仿宋" w:hAnsi="仿宋" w:eastAsia="仿宋" w:cs="仿宋"/>
          <w:color w:val="000000" w:themeColor="text1"/>
          <w:sz w:val="27"/>
          <w:szCs w:val="27"/>
          <w:shd w:val="clear" w:color="auto" w:fill="auto"/>
          <w:lang w:eastAsia="zh-CN"/>
        </w:rPr>
        <w:t>台</w:t>
      </w:r>
    </w:p>
    <w:p>
      <w:pPr>
        <w:pStyle w:val="37"/>
        <w:spacing w:line="360" w:lineRule="exact"/>
        <w:ind w:left="537" w:leftChars="256"/>
        <w:rPr>
          <w:rFonts w:hint="eastAsia" w:ascii="仿宋" w:hAnsi="仿宋" w:eastAsia="仿宋" w:cs="仿宋"/>
          <w:sz w:val="27"/>
          <w:szCs w:val="27"/>
          <w:lang w:eastAsia="zh-CN"/>
        </w:rPr>
      </w:pPr>
      <w:r>
        <w:rPr>
          <w:rFonts w:hint="eastAsia" w:ascii="仿宋" w:hAnsi="仿宋" w:eastAsia="仿宋" w:cs="仿宋"/>
          <w:sz w:val="27"/>
          <w:szCs w:val="27"/>
        </w:rPr>
        <w:t>简要规格描述：高端数字超声诊断仪</w:t>
      </w:r>
    </w:p>
    <w:p>
      <w:pPr>
        <w:pStyle w:val="37"/>
        <w:spacing w:line="360" w:lineRule="exact"/>
        <w:ind w:left="537" w:leftChars="256" w:firstLine="0" w:firstLineChars="0"/>
        <w:rPr>
          <w:rFonts w:hint="eastAsia" w:ascii="仿宋" w:hAnsi="仿宋" w:eastAsia="仿宋" w:cs="仿宋"/>
          <w:sz w:val="27"/>
          <w:szCs w:val="27"/>
        </w:rPr>
      </w:pPr>
    </w:p>
    <w:p>
      <w:pPr>
        <w:pStyle w:val="37"/>
        <w:spacing w:line="360" w:lineRule="exact"/>
        <w:ind w:left="537" w:leftChars="256" w:firstLine="0" w:firstLineChars="0"/>
        <w:rPr>
          <w:rFonts w:hint="default" w:ascii="仿宋" w:hAnsi="仿宋" w:eastAsia="仿宋" w:cs="仿宋"/>
          <w:sz w:val="27"/>
          <w:szCs w:val="27"/>
          <w:lang w:val="en-US" w:eastAsia="zh-CN"/>
        </w:rPr>
      </w:pPr>
      <w:r>
        <w:rPr>
          <w:rFonts w:hint="eastAsia" w:ascii="仿宋" w:hAnsi="仿宋" w:eastAsia="仿宋" w:cs="仿宋"/>
          <w:sz w:val="27"/>
          <w:szCs w:val="27"/>
        </w:rPr>
        <w:t>标项</w:t>
      </w:r>
      <w:r>
        <w:rPr>
          <w:rFonts w:hint="eastAsia" w:ascii="仿宋" w:hAnsi="仿宋" w:eastAsia="仿宋" w:cs="仿宋"/>
          <w:sz w:val="27"/>
          <w:szCs w:val="27"/>
          <w:lang w:eastAsia="zh-CN"/>
        </w:rPr>
        <w:t>三</w:t>
      </w:r>
      <w:r>
        <w:rPr>
          <w:rFonts w:hint="eastAsia" w:ascii="仿宋" w:hAnsi="仿宋" w:eastAsia="仿宋" w:cs="仿宋"/>
          <w:sz w:val="27"/>
          <w:szCs w:val="27"/>
        </w:rPr>
        <w:t>:</w:t>
      </w:r>
      <w:r>
        <w:rPr>
          <w:rFonts w:hint="eastAsia" w:ascii="仿宋" w:hAnsi="仿宋" w:eastAsia="仿宋" w:cs="仿宋"/>
          <w:sz w:val="27"/>
          <w:szCs w:val="27"/>
        </w:rPr>
        <w:br w:type="textWrapping"/>
      </w:r>
      <w:r>
        <w:rPr>
          <w:rFonts w:hint="eastAsia" w:ascii="仿宋" w:hAnsi="仿宋" w:eastAsia="仿宋" w:cs="仿宋"/>
          <w:sz w:val="27"/>
          <w:szCs w:val="27"/>
        </w:rPr>
        <w:t>标项名称:</w:t>
      </w:r>
      <w:r>
        <w:rPr>
          <w:rFonts w:hint="eastAsia" w:ascii="仿宋" w:hAnsi="仿宋" w:eastAsia="仿宋" w:cs="仿宋"/>
          <w:sz w:val="27"/>
          <w:szCs w:val="27"/>
          <w:lang w:val="en-US" w:eastAsia="zh-CN"/>
        </w:rPr>
        <w:t>全自动血培养仪、输血冰箱、红蓝光治疗仪、皮肤镜、伍德灯、微波治疗仪</w:t>
      </w:r>
    </w:p>
    <w:p>
      <w:pPr>
        <w:pStyle w:val="37"/>
        <w:spacing w:line="360" w:lineRule="exact"/>
        <w:ind w:left="537" w:leftChars="256"/>
        <w:rPr>
          <w:rFonts w:ascii="仿宋" w:hAnsi="仿宋" w:eastAsia="仿宋" w:cs="仿宋"/>
          <w:sz w:val="27"/>
          <w:szCs w:val="27"/>
        </w:rPr>
      </w:pPr>
      <w:r>
        <w:rPr>
          <w:rFonts w:hint="eastAsia" w:ascii="仿宋" w:hAnsi="仿宋" w:eastAsia="仿宋" w:cs="仿宋"/>
          <w:sz w:val="27"/>
          <w:szCs w:val="27"/>
        </w:rPr>
        <w:t>数量:1</w:t>
      </w:r>
    </w:p>
    <w:p>
      <w:pPr>
        <w:pStyle w:val="37"/>
        <w:spacing w:line="360" w:lineRule="exact"/>
        <w:ind w:left="537" w:leftChars="256"/>
        <w:rPr>
          <w:rFonts w:ascii="仿宋" w:hAnsi="仿宋" w:eastAsia="仿宋" w:cs="仿宋"/>
          <w:sz w:val="27"/>
          <w:szCs w:val="27"/>
        </w:rPr>
      </w:pPr>
      <w:r>
        <w:rPr>
          <w:rFonts w:hint="eastAsia" w:ascii="仿宋" w:hAnsi="仿宋" w:eastAsia="仿宋" w:cs="仿宋"/>
          <w:sz w:val="27"/>
          <w:szCs w:val="27"/>
        </w:rPr>
        <w:t>预算金额（元）:</w:t>
      </w:r>
      <w:r>
        <w:rPr>
          <w:rFonts w:hint="eastAsia" w:ascii="仿宋" w:hAnsi="仿宋" w:eastAsia="仿宋" w:cs="仿宋"/>
          <w:sz w:val="27"/>
          <w:szCs w:val="27"/>
          <w:lang w:val="en-US" w:eastAsia="zh-CN"/>
        </w:rPr>
        <w:t>1065000</w:t>
      </w:r>
      <w:r>
        <w:rPr>
          <w:rFonts w:hint="eastAsia" w:ascii="仿宋" w:hAnsi="仿宋" w:eastAsia="仿宋" w:cs="仿宋"/>
          <w:color w:val="000000" w:themeColor="text1"/>
          <w:sz w:val="27"/>
          <w:szCs w:val="27"/>
        </w:rPr>
        <w:t>元</w:t>
      </w:r>
    </w:p>
    <w:p>
      <w:pPr>
        <w:pStyle w:val="37"/>
        <w:spacing w:line="360" w:lineRule="exact"/>
        <w:ind w:left="537" w:leftChars="256"/>
        <w:rPr>
          <w:rFonts w:hint="eastAsia" w:ascii="仿宋" w:hAnsi="仿宋" w:eastAsia="仿宋" w:cs="仿宋"/>
          <w:sz w:val="27"/>
          <w:szCs w:val="27"/>
          <w:lang w:eastAsia="zh-CN"/>
        </w:rPr>
      </w:pPr>
      <w:r>
        <w:rPr>
          <w:rFonts w:hint="eastAsia" w:ascii="仿宋" w:hAnsi="仿宋" w:eastAsia="仿宋" w:cs="仿宋"/>
          <w:sz w:val="27"/>
          <w:szCs w:val="27"/>
        </w:rPr>
        <w:t>单位：</w:t>
      </w:r>
      <w:r>
        <w:rPr>
          <w:rFonts w:hint="eastAsia" w:ascii="仿宋" w:hAnsi="仿宋" w:eastAsia="仿宋" w:cs="仿宋"/>
          <w:sz w:val="27"/>
          <w:szCs w:val="27"/>
          <w:lang w:eastAsia="zh-CN"/>
        </w:rPr>
        <w:t>批</w:t>
      </w:r>
    </w:p>
    <w:p>
      <w:pPr>
        <w:pStyle w:val="37"/>
        <w:spacing w:line="360" w:lineRule="exact"/>
        <w:ind w:left="537" w:leftChars="256"/>
        <w:rPr>
          <w:rFonts w:hint="eastAsia" w:ascii="仿宋" w:hAnsi="仿宋" w:eastAsia="仿宋" w:cs="仿宋"/>
          <w:sz w:val="27"/>
          <w:szCs w:val="27"/>
          <w:lang w:val="en-US" w:eastAsia="zh-CN"/>
        </w:rPr>
      </w:pPr>
      <w:r>
        <w:rPr>
          <w:rFonts w:hint="eastAsia" w:ascii="仿宋" w:hAnsi="仿宋" w:eastAsia="仿宋" w:cs="仿宋"/>
          <w:sz w:val="27"/>
          <w:szCs w:val="27"/>
        </w:rPr>
        <w:t>简要规格描述：</w:t>
      </w:r>
      <w:r>
        <w:rPr>
          <w:rFonts w:hint="eastAsia" w:ascii="仿宋" w:hAnsi="仿宋" w:eastAsia="仿宋" w:cs="仿宋"/>
          <w:sz w:val="27"/>
          <w:szCs w:val="27"/>
          <w:lang w:val="en-US" w:eastAsia="zh-CN"/>
        </w:rPr>
        <w:t>全自动血培养仪、输血冰箱、红蓝光治疗仪、皮肤镜、伍德灯、微波治疗仪</w:t>
      </w:r>
    </w:p>
    <w:p>
      <w:pPr>
        <w:pStyle w:val="37"/>
        <w:spacing w:line="360" w:lineRule="exact"/>
        <w:ind w:left="537" w:leftChars="256" w:firstLine="0" w:firstLineChars="0"/>
        <w:rPr>
          <w:rFonts w:hint="eastAsia" w:ascii="仿宋" w:hAnsi="仿宋" w:eastAsia="仿宋" w:cs="仿宋"/>
          <w:sz w:val="27"/>
          <w:szCs w:val="27"/>
        </w:rPr>
      </w:pPr>
    </w:p>
    <w:p>
      <w:pPr>
        <w:pStyle w:val="37"/>
        <w:spacing w:line="360" w:lineRule="exact"/>
        <w:ind w:left="537" w:leftChars="256"/>
        <w:rPr>
          <w:rFonts w:hint="eastAsia" w:ascii="仿宋" w:hAnsi="仿宋" w:eastAsia="仿宋" w:cs="仿宋"/>
          <w:sz w:val="27"/>
          <w:szCs w:val="27"/>
        </w:rPr>
      </w:pPr>
      <w:r>
        <w:rPr>
          <w:rFonts w:hint="eastAsia" w:ascii="仿宋" w:hAnsi="仿宋" w:eastAsia="仿宋" w:cs="仿宋"/>
          <w:sz w:val="27"/>
          <w:szCs w:val="27"/>
        </w:rPr>
        <w:t>标项</w:t>
      </w:r>
      <w:r>
        <w:rPr>
          <w:rFonts w:hint="eastAsia" w:ascii="仿宋" w:hAnsi="仿宋" w:eastAsia="仿宋" w:cs="仿宋"/>
          <w:sz w:val="27"/>
          <w:szCs w:val="27"/>
          <w:lang w:eastAsia="zh-CN"/>
        </w:rPr>
        <w:t>四</w:t>
      </w:r>
      <w:r>
        <w:rPr>
          <w:rFonts w:hint="eastAsia" w:ascii="仿宋" w:hAnsi="仿宋" w:eastAsia="仿宋" w:cs="仿宋"/>
          <w:sz w:val="27"/>
          <w:szCs w:val="27"/>
        </w:rPr>
        <w:t>:</w:t>
      </w:r>
      <w:r>
        <w:rPr>
          <w:rFonts w:hint="eastAsia" w:ascii="仿宋" w:hAnsi="仿宋" w:eastAsia="仿宋" w:cs="仿宋"/>
          <w:sz w:val="27"/>
          <w:szCs w:val="27"/>
        </w:rPr>
        <w:br w:type="textWrapping"/>
      </w:r>
      <w:r>
        <w:rPr>
          <w:rFonts w:hint="eastAsia" w:ascii="仿宋" w:hAnsi="仿宋" w:eastAsia="仿宋" w:cs="仿宋"/>
          <w:sz w:val="27"/>
          <w:szCs w:val="27"/>
        </w:rPr>
        <w:t>标项名称:远程病理会诊平台+病理图文报告系统</w:t>
      </w:r>
    </w:p>
    <w:p>
      <w:pPr>
        <w:pStyle w:val="37"/>
        <w:spacing w:line="360" w:lineRule="exact"/>
        <w:ind w:left="537" w:leftChars="256"/>
        <w:rPr>
          <w:rFonts w:ascii="仿宋" w:hAnsi="仿宋" w:eastAsia="仿宋" w:cs="仿宋"/>
          <w:sz w:val="27"/>
          <w:szCs w:val="27"/>
        </w:rPr>
      </w:pPr>
      <w:r>
        <w:rPr>
          <w:rFonts w:hint="eastAsia" w:ascii="仿宋" w:hAnsi="仿宋" w:eastAsia="仿宋" w:cs="仿宋"/>
          <w:sz w:val="27"/>
          <w:szCs w:val="27"/>
        </w:rPr>
        <w:t>数量:1</w:t>
      </w:r>
    </w:p>
    <w:p>
      <w:pPr>
        <w:pStyle w:val="37"/>
        <w:spacing w:line="360" w:lineRule="exact"/>
        <w:ind w:left="537" w:leftChars="256"/>
        <w:rPr>
          <w:rFonts w:ascii="仿宋" w:hAnsi="仿宋" w:eastAsia="仿宋" w:cs="仿宋"/>
          <w:sz w:val="27"/>
          <w:szCs w:val="27"/>
        </w:rPr>
      </w:pPr>
      <w:r>
        <w:rPr>
          <w:rFonts w:hint="eastAsia" w:ascii="仿宋" w:hAnsi="仿宋" w:eastAsia="仿宋" w:cs="仿宋"/>
          <w:sz w:val="27"/>
          <w:szCs w:val="27"/>
        </w:rPr>
        <w:t>预算金额（元）:</w:t>
      </w:r>
      <w:r>
        <w:rPr>
          <w:rFonts w:hint="eastAsia" w:ascii="仿宋" w:hAnsi="仿宋" w:eastAsia="仿宋" w:cs="仿宋"/>
          <w:sz w:val="27"/>
          <w:szCs w:val="27"/>
          <w:lang w:val="en-US" w:eastAsia="zh-CN"/>
        </w:rPr>
        <w:t>500000</w:t>
      </w:r>
      <w:r>
        <w:rPr>
          <w:rFonts w:hint="eastAsia" w:ascii="仿宋" w:hAnsi="仿宋" w:eastAsia="仿宋" w:cs="仿宋"/>
          <w:color w:val="000000" w:themeColor="text1"/>
          <w:sz w:val="27"/>
          <w:szCs w:val="27"/>
        </w:rPr>
        <w:t>元</w:t>
      </w:r>
    </w:p>
    <w:p>
      <w:pPr>
        <w:pStyle w:val="37"/>
        <w:spacing w:line="360" w:lineRule="exact"/>
        <w:ind w:left="537" w:leftChars="256"/>
        <w:rPr>
          <w:rFonts w:hint="eastAsia" w:ascii="仿宋" w:hAnsi="仿宋" w:eastAsia="仿宋" w:cs="仿宋"/>
          <w:sz w:val="27"/>
          <w:szCs w:val="27"/>
          <w:lang w:eastAsia="zh-CN"/>
        </w:rPr>
      </w:pPr>
      <w:r>
        <w:rPr>
          <w:rFonts w:hint="eastAsia" w:ascii="仿宋" w:hAnsi="仿宋" w:eastAsia="仿宋" w:cs="仿宋"/>
          <w:sz w:val="27"/>
          <w:szCs w:val="27"/>
        </w:rPr>
        <w:t>单位：</w:t>
      </w:r>
      <w:r>
        <w:rPr>
          <w:rFonts w:hint="eastAsia" w:ascii="仿宋" w:hAnsi="仿宋" w:eastAsia="仿宋" w:cs="仿宋"/>
          <w:sz w:val="27"/>
          <w:szCs w:val="27"/>
          <w:lang w:eastAsia="zh-CN"/>
        </w:rPr>
        <w:t>批</w:t>
      </w:r>
    </w:p>
    <w:p>
      <w:pPr>
        <w:pStyle w:val="37"/>
        <w:spacing w:line="360" w:lineRule="exact"/>
        <w:ind w:left="537" w:leftChars="256"/>
        <w:rPr>
          <w:rFonts w:hint="eastAsia" w:ascii="仿宋" w:hAnsi="仿宋" w:eastAsia="仿宋" w:cs="仿宋"/>
          <w:sz w:val="27"/>
          <w:szCs w:val="27"/>
          <w:lang w:val="en-US" w:eastAsia="zh-CN"/>
        </w:rPr>
      </w:pPr>
      <w:r>
        <w:rPr>
          <w:rFonts w:hint="eastAsia" w:ascii="仿宋" w:hAnsi="仿宋" w:eastAsia="仿宋" w:cs="仿宋"/>
          <w:sz w:val="27"/>
          <w:szCs w:val="27"/>
        </w:rPr>
        <w:t>简要规格描述：远程病理会诊平台+病理图文报告系统</w:t>
      </w:r>
    </w:p>
    <w:p>
      <w:pPr>
        <w:pStyle w:val="37"/>
        <w:spacing w:line="360" w:lineRule="exact"/>
        <w:ind w:left="537" w:leftChars="256"/>
        <w:rPr>
          <w:rFonts w:hint="default" w:ascii="仿宋" w:hAnsi="仿宋" w:eastAsia="仿宋" w:cs="仿宋"/>
          <w:color w:val="FF0000"/>
          <w:sz w:val="27"/>
          <w:szCs w:val="27"/>
          <w:lang w:val="en-US" w:eastAsia="zh-CN"/>
        </w:rPr>
      </w:pPr>
      <w:r>
        <w:rPr>
          <w:rFonts w:hint="eastAsia" w:ascii="仿宋" w:hAnsi="仿宋" w:eastAsia="仿宋" w:cs="仿宋"/>
          <w:color w:val="FF0000"/>
          <w:sz w:val="27"/>
          <w:szCs w:val="27"/>
        </w:rPr>
        <w:t>合同履约期限：</w:t>
      </w:r>
      <w:r>
        <w:rPr>
          <w:rFonts w:hint="eastAsia" w:ascii="仿宋" w:hAnsi="仿宋" w:eastAsia="仿宋" w:cs="仿宋"/>
          <w:color w:val="FF0000"/>
          <w:sz w:val="27"/>
          <w:szCs w:val="27"/>
          <w:lang w:val="en-US" w:eastAsia="zh-CN"/>
        </w:rPr>
        <w:t>60</w:t>
      </w:r>
      <w:bookmarkStart w:id="25" w:name="_GoBack"/>
      <w:bookmarkEnd w:id="25"/>
      <w:r>
        <w:rPr>
          <w:rFonts w:hint="eastAsia" w:ascii="仿宋" w:hAnsi="仿宋" w:eastAsia="仿宋" w:cs="仿宋"/>
          <w:color w:val="FF0000"/>
          <w:sz w:val="27"/>
          <w:szCs w:val="27"/>
        </w:rPr>
        <w:t>天</w:t>
      </w:r>
      <w:r>
        <w:rPr>
          <w:rFonts w:hint="eastAsia" w:ascii="仿宋" w:hAnsi="仿宋" w:eastAsia="仿宋" w:cs="仿宋"/>
          <w:color w:val="FF0000"/>
          <w:sz w:val="27"/>
          <w:szCs w:val="27"/>
          <w:lang w:eastAsia="zh-CN"/>
        </w:rPr>
        <w:t>、</w:t>
      </w:r>
      <w:r>
        <w:rPr>
          <w:rFonts w:hint="eastAsia" w:ascii="仿宋" w:hAnsi="仿宋" w:eastAsia="仿宋" w:cs="仿宋"/>
          <w:color w:val="FF0000"/>
          <w:sz w:val="27"/>
          <w:szCs w:val="27"/>
          <w:lang w:val="en-US" w:eastAsia="zh-CN"/>
        </w:rPr>
        <w:t>15天、15天、15天</w:t>
      </w:r>
    </w:p>
    <w:p>
      <w:pPr>
        <w:pStyle w:val="37"/>
        <w:spacing w:line="360" w:lineRule="exact"/>
        <w:ind w:left="537" w:leftChars="256"/>
        <w:rPr>
          <w:rFonts w:ascii="仿宋" w:hAnsi="仿宋" w:eastAsia="仿宋" w:cs="仿宋"/>
          <w:sz w:val="27"/>
          <w:szCs w:val="27"/>
        </w:rPr>
      </w:pPr>
      <w:r>
        <w:rPr>
          <w:rFonts w:hint="eastAsia" w:ascii="仿宋" w:hAnsi="仿宋" w:eastAsia="仿宋" w:cs="仿宋"/>
          <w:sz w:val="27"/>
          <w:szCs w:val="27"/>
        </w:rPr>
        <w:t>本项目（否）接受联合体投标。</w:t>
      </w:r>
    </w:p>
    <w:p>
      <w:pPr>
        <w:pStyle w:val="37"/>
        <w:spacing w:line="360" w:lineRule="exact"/>
        <w:rPr>
          <w:rStyle w:val="44"/>
          <w:rFonts w:ascii="黑体" w:eastAsia="黑体" w:cs="黑体"/>
          <w:sz w:val="27"/>
          <w:szCs w:val="27"/>
        </w:rPr>
      </w:pPr>
      <w:r>
        <w:rPr>
          <w:rStyle w:val="44"/>
          <w:rFonts w:ascii="黑体" w:eastAsia="黑体" w:cs="黑体"/>
          <w:sz w:val="27"/>
          <w:szCs w:val="27"/>
        </w:rPr>
        <w:t>二、申请人的资格要求：</w:t>
      </w:r>
    </w:p>
    <w:p>
      <w:pPr>
        <w:ind w:firstLine="540" w:firstLineChars="200"/>
        <w:rPr>
          <w:rFonts w:ascii="仿宋" w:hAnsi="仿宋" w:eastAsia="仿宋" w:cs="仿宋"/>
          <w:kern w:val="0"/>
          <w:sz w:val="27"/>
          <w:szCs w:val="27"/>
        </w:rPr>
      </w:pPr>
      <w:r>
        <w:rPr>
          <w:rFonts w:hint="eastAsia" w:ascii="仿宋" w:hAnsi="仿宋" w:eastAsia="仿宋" w:cs="仿宋"/>
          <w:kern w:val="0"/>
          <w:sz w:val="27"/>
          <w:szCs w:val="27"/>
        </w:rPr>
        <w:t>1.满足《中华人民共和国政府采购法》第二十二条规定；</w:t>
      </w:r>
    </w:p>
    <w:p>
      <w:pPr>
        <w:pStyle w:val="37"/>
        <w:spacing w:before="75" w:beforeAutospacing="0" w:after="75" w:afterAutospacing="0"/>
        <w:ind w:firstLine="540" w:firstLineChars="200"/>
        <w:rPr>
          <w:rFonts w:ascii="仿宋" w:hAnsi="仿宋" w:eastAsia="仿宋" w:cs="仿宋"/>
          <w:sz w:val="27"/>
          <w:szCs w:val="27"/>
        </w:rPr>
      </w:pPr>
      <w:r>
        <w:rPr>
          <w:rFonts w:hint="eastAsia" w:ascii="仿宋" w:hAnsi="仿宋" w:eastAsia="仿宋" w:cs="仿宋"/>
          <w:sz w:val="27"/>
          <w:szCs w:val="27"/>
        </w:rPr>
        <w:t>2.落实政府采购政策需满足的资格要求：</w:t>
      </w:r>
    </w:p>
    <w:p>
      <w:pPr>
        <w:pStyle w:val="37"/>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 xml:space="preserve">（一）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 </w:t>
      </w:r>
    </w:p>
    <w:p>
      <w:pPr>
        <w:pStyle w:val="37"/>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 xml:space="preserve">（二）根据财政部、司法部《关于政府采购支持监狱企业发展有关问题》的通知(财库[2014]168号)监狱企业参加本项目投标时，应当提供由省级以上监狱管理局；戒毒管理局(新疆生产建设兵团)出具的属于监狱企业的证明文件。监狱企业视同小型、微型企业。 </w:t>
      </w:r>
    </w:p>
    <w:p>
      <w:pPr>
        <w:pStyle w:val="37"/>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三）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p>
      <w:pPr>
        <w:pStyle w:val="37"/>
        <w:spacing w:line="360" w:lineRule="exact"/>
        <w:rPr>
          <w:rFonts w:ascii="仿宋" w:hAnsi="仿宋" w:eastAsia="仿宋" w:cs="仿宋"/>
          <w:sz w:val="27"/>
          <w:szCs w:val="27"/>
        </w:rPr>
      </w:pPr>
      <w:r>
        <w:rPr>
          <w:rFonts w:hint="eastAsia" w:ascii="仿宋" w:hAnsi="仿宋" w:eastAsia="仿宋" w:cs="仿宋"/>
          <w:sz w:val="27"/>
          <w:szCs w:val="27"/>
        </w:rPr>
        <w:t>3.本项目的特定资格要求：</w:t>
      </w:r>
    </w:p>
    <w:p>
      <w:pPr>
        <w:pStyle w:val="37"/>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w:t>
      </w:r>
      <w:r>
        <w:rPr>
          <w:rFonts w:hint="eastAsia" w:ascii="仿宋" w:hAnsi="仿宋" w:eastAsia="仿宋" w:cs="仿宋"/>
          <w:sz w:val="27"/>
          <w:szCs w:val="27"/>
          <w:lang w:eastAsia="zh-CN"/>
        </w:rPr>
        <w:t>一</w:t>
      </w:r>
      <w:r>
        <w:rPr>
          <w:rFonts w:hint="eastAsia" w:ascii="仿宋" w:hAnsi="仿宋" w:eastAsia="仿宋" w:cs="仿宋"/>
          <w:sz w:val="27"/>
          <w:szCs w:val="27"/>
        </w:rPr>
        <w:t>）有效的“一证一码”或“三证合一”的营业执照副本；</w:t>
      </w:r>
    </w:p>
    <w:p>
      <w:pPr>
        <w:pStyle w:val="37"/>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w:t>
      </w:r>
      <w:r>
        <w:rPr>
          <w:rFonts w:hint="eastAsia" w:ascii="仿宋" w:hAnsi="仿宋" w:eastAsia="仿宋" w:cs="仿宋"/>
          <w:sz w:val="27"/>
          <w:szCs w:val="27"/>
          <w:lang w:eastAsia="zh-CN"/>
        </w:rPr>
        <w:t>二</w:t>
      </w:r>
      <w:r>
        <w:rPr>
          <w:rFonts w:hint="eastAsia" w:ascii="仿宋" w:hAnsi="仿宋" w:eastAsia="仿宋" w:cs="仿宋"/>
          <w:sz w:val="27"/>
          <w:szCs w:val="27"/>
        </w:rPr>
        <w:t>）凡拟参加本次招标项目的投标人，如在“信用中国”网站（www.creditchina.gov.cn）、“中国政府采购网”（www.ccgp.gov.cn）被列入失信被执行人、重大税收违法案件当事人名单、政府采购严重违法失信行为记录名单的（尚在处罚期内的），将拒绝其参本次政府采购活动（查询结果截图日期必须在发布公告日期之后）;</w:t>
      </w:r>
    </w:p>
    <w:p>
      <w:pPr>
        <w:pStyle w:val="37"/>
        <w:spacing w:line="360" w:lineRule="exact"/>
        <w:ind w:firstLine="540" w:firstLineChars="200"/>
        <w:rPr>
          <w:rFonts w:hint="eastAsia" w:ascii="仿宋" w:hAnsi="仿宋" w:eastAsia="仿宋" w:cs="仿宋"/>
          <w:sz w:val="27"/>
          <w:szCs w:val="27"/>
        </w:rPr>
      </w:pPr>
      <w:r>
        <w:rPr>
          <w:rFonts w:hint="eastAsia" w:ascii="仿宋" w:hAnsi="仿宋" w:eastAsia="仿宋" w:cs="仿宋"/>
          <w:sz w:val="27"/>
          <w:szCs w:val="27"/>
        </w:rPr>
        <w:t>（</w:t>
      </w:r>
      <w:r>
        <w:rPr>
          <w:rFonts w:hint="eastAsia" w:ascii="仿宋" w:hAnsi="仿宋" w:eastAsia="仿宋" w:cs="仿宋"/>
          <w:sz w:val="27"/>
          <w:szCs w:val="27"/>
          <w:lang w:eastAsia="zh-CN"/>
        </w:rPr>
        <w:t>三</w:t>
      </w:r>
      <w:r>
        <w:rPr>
          <w:rFonts w:hint="eastAsia" w:ascii="仿宋" w:hAnsi="仿宋" w:eastAsia="仿宋" w:cs="仿宋"/>
          <w:sz w:val="27"/>
          <w:szCs w:val="27"/>
        </w:rPr>
        <w:t>）需提供有效的行政主管部门颁发的医疗器械生产许可证或医疗器械经营许可证；</w:t>
      </w:r>
    </w:p>
    <w:p>
      <w:pPr>
        <w:pStyle w:val="37"/>
        <w:spacing w:line="360" w:lineRule="exact"/>
        <w:ind w:firstLine="540" w:firstLineChars="200"/>
        <w:rPr>
          <w:rFonts w:hint="eastAsia" w:ascii="仿宋" w:hAnsi="仿宋" w:eastAsia="仿宋" w:cs="仿宋"/>
          <w:sz w:val="27"/>
          <w:szCs w:val="27"/>
          <w:lang w:eastAsia="zh-CN"/>
        </w:rPr>
      </w:pPr>
      <w:r>
        <w:rPr>
          <w:rFonts w:hint="eastAsia" w:ascii="仿宋" w:hAnsi="仿宋" w:eastAsia="仿宋" w:cs="仿宋"/>
          <w:sz w:val="27"/>
          <w:szCs w:val="27"/>
          <w:lang w:eastAsia="zh-CN"/>
        </w:rPr>
        <w:t>（四）标项一：</w:t>
      </w:r>
      <w:r>
        <w:rPr>
          <w:rFonts w:hint="eastAsia" w:ascii="仿宋" w:hAnsi="仿宋" w:eastAsia="仿宋" w:cs="仿宋"/>
          <w:sz w:val="27"/>
          <w:szCs w:val="27"/>
        </w:rPr>
        <w:t>投标人具有生产厂家针对本项目的授权书</w:t>
      </w:r>
      <w:r>
        <w:rPr>
          <w:rFonts w:hint="eastAsia" w:ascii="仿宋" w:hAnsi="仿宋" w:eastAsia="仿宋" w:cs="仿宋"/>
          <w:sz w:val="27"/>
          <w:szCs w:val="27"/>
          <w:lang w:eastAsia="zh-CN"/>
        </w:rPr>
        <w:t>；</w:t>
      </w:r>
    </w:p>
    <w:p>
      <w:pPr>
        <w:pStyle w:val="37"/>
        <w:spacing w:line="360" w:lineRule="exact"/>
        <w:ind w:firstLine="540" w:firstLineChars="200"/>
        <w:rPr>
          <w:rFonts w:hint="eastAsia" w:ascii="仿宋" w:hAnsi="仿宋" w:eastAsia="仿宋" w:cs="仿宋"/>
          <w:sz w:val="27"/>
          <w:szCs w:val="27"/>
          <w:lang w:eastAsia="zh-CN"/>
        </w:rPr>
      </w:pPr>
      <w:r>
        <w:rPr>
          <w:rFonts w:hint="eastAsia" w:ascii="仿宋" w:hAnsi="仿宋" w:eastAsia="仿宋" w:cs="仿宋"/>
          <w:sz w:val="27"/>
          <w:szCs w:val="27"/>
          <w:lang w:eastAsia="zh-CN"/>
        </w:rPr>
        <w:t>（五）</w:t>
      </w:r>
      <w:r>
        <w:rPr>
          <w:rFonts w:hint="eastAsia" w:ascii="仿宋" w:hAnsi="仿宋" w:eastAsia="仿宋" w:cs="仿宋"/>
          <w:sz w:val="27"/>
          <w:szCs w:val="27"/>
        </w:rPr>
        <w:t>投标人单位负责人为同一人或者存在直接控股、管理关系的不同供应商，不得参加同一合同项下的政府采购活动</w:t>
      </w:r>
      <w:r>
        <w:rPr>
          <w:rFonts w:hint="eastAsia" w:ascii="仿宋" w:hAnsi="仿宋" w:eastAsia="仿宋" w:cs="仿宋"/>
          <w:sz w:val="27"/>
          <w:szCs w:val="27"/>
          <w:lang w:eastAsia="zh-CN"/>
        </w:rPr>
        <w:t>；</w:t>
      </w:r>
    </w:p>
    <w:p>
      <w:pPr>
        <w:pStyle w:val="37"/>
        <w:spacing w:line="360" w:lineRule="exact"/>
        <w:ind w:firstLine="540" w:firstLineChars="200"/>
        <w:rPr>
          <w:rFonts w:ascii="仿宋" w:hAnsi="仿宋" w:eastAsia="仿宋" w:cs="仿宋"/>
          <w:sz w:val="27"/>
          <w:szCs w:val="27"/>
        </w:rPr>
      </w:pPr>
      <w:r>
        <w:rPr>
          <w:rFonts w:hint="eastAsia" w:ascii="仿宋" w:hAnsi="仿宋" w:eastAsia="仿宋" w:cs="仿宋"/>
          <w:sz w:val="27"/>
          <w:szCs w:val="27"/>
        </w:rPr>
        <w:t>（</w:t>
      </w:r>
      <w:r>
        <w:rPr>
          <w:rFonts w:hint="eastAsia" w:ascii="仿宋" w:hAnsi="仿宋" w:eastAsia="仿宋" w:cs="仿宋"/>
          <w:sz w:val="27"/>
          <w:szCs w:val="27"/>
          <w:lang w:eastAsia="zh-CN"/>
        </w:rPr>
        <w:t>六</w:t>
      </w:r>
      <w:r>
        <w:rPr>
          <w:rFonts w:hint="eastAsia" w:ascii="仿宋" w:hAnsi="仿宋" w:eastAsia="仿宋" w:cs="仿宋"/>
          <w:sz w:val="27"/>
          <w:szCs w:val="27"/>
        </w:rPr>
        <w:t>）本项目不接受联合体投标。</w:t>
      </w:r>
    </w:p>
    <w:p>
      <w:pPr>
        <w:pStyle w:val="37"/>
        <w:spacing w:before="255" w:beforeAutospacing="0" w:after="255" w:afterAutospacing="0" w:line="360" w:lineRule="exact"/>
        <w:rPr>
          <w:rFonts w:ascii="仿宋" w:hAnsi="仿宋" w:eastAsia="仿宋" w:cs="仿宋"/>
          <w:sz w:val="27"/>
          <w:szCs w:val="27"/>
        </w:rPr>
      </w:pPr>
      <w:r>
        <w:rPr>
          <w:rStyle w:val="44"/>
          <w:rFonts w:ascii="黑体" w:eastAsia="黑体" w:cs="黑体"/>
          <w:sz w:val="27"/>
          <w:szCs w:val="27"/>
        </w:rPr>
        <w:t>三、获取招标文件</w:t>
      </w:r>
      <w:r>
        <w:rPr>
          <w:rFonts w:ascii="黑体" w:eastAsia="黑体" w:cs="黑体"/>
          <w:sz w:val="27"/>
          <w:szCs w:val="27"/>
        </w:rPr>
        <w:t> </w:t>
      </w:r>
      <w:r>
        <w:rPr>
          <w:rFonts w:hint="eastAsia" w:ascii="仿宋" w:hAnsi="仿宋" w:eastAsia="仿宋" w:cs="仿宋"/>
          <w:sz w:val="27"/>
          <w:szCs w:val="27"/>
        </w:rPr>
        <w:t xml:space="preserve">    </w:t>
      </w:r>
    </w:p>
    <w:p>
      <w:pPr>
        <w:pStyle w:val="37"/>
        <w:spacing w:before="255" w:beforeAutospacing="0" w:after="255" w:afterAutospacing="0" w:line="360" w:lineRule="exact"/>
        <w:ind w:firstLine="540" w:firstLineChars="200"/>
      </w:pPr>
      <w:r>
        <w:rPr>
          <w:rFonts w:hint="eastAsia" w:ascii="仿宋" w:hAnsi="仿宋" w:eastAsia="仿宋" w:cs="仿宋"/>
          <w:sz w:val="27"/>
          <w:szCs w:val="27"/>
        </w:rPr>
        <w:t>时间：2021年0</w:t>
      </w:r>
      <w:r>
        <w:rPr>
          <w:rFonts w:hint="eastAsia" w:ascii="仿宋" w:hAnsi="仿宋" w:eastAsia="仿宋" w:cs="仿宋"/>
          <w:sz w:val="27"/>
          <w:szCs w:val="27"/>
          <w:lang w:val="en-US" w:eastAsia="zh-CN"/>
        </w:rPr>
        <w:t>8</w:t>
      </w:r>
      <w:r>
        <w:rPr>
          <w:rFonts w:hint="eastAsia" w:ascii="仿宋" w:hAnsi="仿宋" w:eastAsia="仿宋" w:cs="仿宋"/>
          <w:sz w:val="27"/>
          <w:szCs w:val="27"/>
        </w:rPr>
        <w:t>月</w:t>
      </w:r>
      <w:r>
        <w:rPr>
          <w:rFonts w:hint="eastAsia" w:ascii="仿宋" w:hAnsi="仿宋" w:eastAsia="仿宋" w:cs="仿宋"/>
          <w:sz w:val="27"/>
          <w:szCs w:val="27"/>
          <w:lang w:val="en-US" w:eastAsia="zh-CN"/>
        </w:rPr>
        <w:t>30</w:t>
      </w:r>
      <w:r>
        <w:rPr>
          <w:rFonts w:hint="eastAsia" w:ascii="仿宋" w:hAnsi="仿宋" w:eastAsia="仿宋" w:cs="仿宋"/>
          <w:sz w:val="27"/>
          <w:szCs w:val="27"/>
        </w:rPr>
        <w:t>日至2021年0</w:t>
      </w:r>
      <w:r>
        <w:rPr>
          <w:rFonts w:hint="eastAsia" w:ascii="仿宋" w:hAnsi="仿宋" w:eastAsia="仿宋" w:cs="仿宋"/>
          <w:sz w:val="27"/>
          <w:szCs w:val="27"/>
          <w:lang w:val="en-US" w:eastAsia="zh-CN"/>
        </w:rPr>
        <w:t>9</w:t>
      </w:r>
      <w:r>
        <w:rPr>
          <w:rFonts w:hint="eastAsia" w:ascii="仿宋" w:hAnsi="仿宋" w:eastAsia="仿宋" w:cs="仿宋"/>
          <w:sz w:val="27"/>
          <w:szCs w:val="27"/>
        </w:rPr>
        <w:t>月</w:t>
      </w:r>
      <w:r>
        <w:rPr>
          <w:rFonts w:hint="eastAsia" w:ascii="仿宋" w:hAnsi="仿宋" w:eastAsia="仿宋" w:cs="仿宋"/>
          <w:sz w:val="27"/>
          <w:szCs w:val="27"/>
          <w:lang w:val="en-US" w:eastAsia="zh-CN"/>
        </w:rPr>
        <w:t>03</w:t>
      </w:r>
      <w:r>
        <w:rPr>
          <w:rFonts w:hint="eastAsia" w:ascii="仿宋" w:hAnsi="仿宋" w:eastAsia="仿宋" w:cs="仿宋"/>
          <w:sz w:val="27"/>
          <w:szCs w:val="27"/>
        </w:rPr>
        <w:t>日 ，每天上午10:00至14:00 ，下午15:30至19:30（北京时间，法定节假日除外）</w:t>
      </w:r>
    </w:p>
    <w:p>
      <w:pPr>
        <w:pStyle w:val="37"/>
        <w:spacing w:line="360" w:lineRule="exact"/>
        <w:rPr>
          <w:color w:val="000000"/>
        </w:rPr>
      </w:pPr>
      <w:r>
        <w:rPr>
          <w:rFonts w:hint="eastAsia" w:ascii="仿宋" w:hAnsi="仿宋" w:eastAsia="仿宋" w:cs="仿宋"/>
          <w:sz w:val="27"/>
          <w:szCs w:val="27"/>
        </w:rPr>
        <w:t>    地点</w:t>
      </w:r>
      <w:r>
        <w:rPr>
          <w:rFonts w:hint="eastAsia" w:ascii="仿宋" w:hAnsi="仿宋" w:eastAsia="仿宋" w:cs="仿宋"/>
          <w:color w:val="000000"/>
          <w:sz w:val="27"/>
          <w:szCs w:val="27"/>
        </w:rPr>
        <w:t>：伊宁市经济合作区北京路一品墅新房大厦10楼1004号 </w:t>
      </w:r>
    </w:p>
    <w:p>
      <w:pPr>
        <w:pStyle w:val="37"/>
        <w:spacing w:line="360" w:lineRule="exact"/>
        <w:rPr>
          <w:color w:val="000000"/>
        </w:rPr>
      </w:pPr>
      <w:r>
        <w:rPr>
          <w:rFonts w:hint="eastAsia" w:ascii="仿宋" w:hAnsi="仿宋" w:eastAsia="仿宋" w:cs="仿宋"/>
          <w:color w:val="000000"/>
          <w:sz w:val="27"/>
          <w:szCs w:val="27"/>
        </w:rPr>
        <w:t>    方式：现场购买。 </w:t>
      </w:r>
    </w:p>
    <w:p>
      <w:pPr>
        <w:pStyle w:val="37"/>
        <w:spacing w:line="360" w:lineRule="exact"/>
        <w:rPr>
          <w:color w:val="000000"/>
        </w:rPr>
      </w:pPr>
      <w:r>
        <w:rPr>
          <w:rFonts w:hint="eastAsia" w:ascii="仿宋" w:hAnsi="仿宋" w:eastAsia="仿宋" w:cs="仿宋"/>
          <w:color w:val="000000"/>
          <w:sz w:val="27"/>
          <w:szCs w:val="27"/>
        </w:rPr>
        <w:t>    售价（元）：</w:t>
      </w:r>
      <w:r>
        <w:rPr>
          <w:rFonts w:hint="eastAsia" w:ascii="仿宋" w:hAnsi="仿宋" w:eastAsia="仿宋" w:cs="仿宋"/>
          <w:color w:val="000000"/>
          <w:sz w:val="27"/>
          <w:szCs w:val="27"/>
          <w:lang w:val="en-US" w:eastAsia="zh-CN"/>
        </w:rPr>
        <w:t>3</w:t>
      </w:r>
      <w:r>
        <w:rPr>
          <w:rFonts w:hint="eastAsia" w:ascii="仿宋" w:hAnsi="仿宋" w:eastAsia="仿宋" w:cs="仿宋"/>
          <w:color w:val="000000"/>
          <w:sz w:val="27"/>
          <w:szCs w:val="27"/>
        </w:rPr>
        <w:t>00</w:t>
      </w:r>
      <w:r>
        <w:rPr>
          <w:rFonts w:hint="eastAsia" w:ascii="仿宋" w:hAnsi="仿宋" w:eastAsia="仿宋" w:cs="仿宋"/>
          <w:color w:val="000000"/>
        </w:rPr>
        <w:t> </w:t>
      </w:r>
    </w:p>
    <w:p>
      <w:pPr>
        <w:pStyle w:val="37"/>
        <w:spacing w:before="255" w:beforeAutospacing="0" w:after="255" w:afterAutospacing="0" w:line="360" w:lineRule="exact"/>
        <w:rPr>
          <w:rFonts w:ascii="黑体" w:eastAsia="黑体" w:cs="黑体"/>
          <w:color w:val="000000"/>
          <w:sz w:val="27"/>
          <w:szCs w:val="27"/>
        </w:rPr>
      </w:pPr>
      <w:r>
        <w:rPr>
          <w:rStyle w:val="44"/>
          <w:rFonts w:ascii="黑体" w:eastAsia="黑体" w:cs="黑体"/>
          <w:color w:val="000000"/>
          <w:sz w:val="27"/>
          <w:szCs w:val="27"/>
        </w:rPr>
        <w:t>四、提交投标文件截止时间、开标时间和地点</w:t>
      </w:r>
    </w:p>
    <w:p>
      <w:pPr>
        <w:pStyle w:val="37"/>
        <w:spacing w:line="360" w:lineRule="exact"/>
        <w:rPr>
          <w:color w:val="000000"/>
        </w:rPr>
      </w:pPr>
      <w:r>
        <w:rPr>
          <w:rFonts w:hint="eastAsia" w:ascii="仿宋" w:hAnsi="仿宋" w:eastAsia="仿宋" w:cs="仿宋"/>
          <w:color w:val="000000"/>
          <w:sz w:val="27"/>
          <w:szCs w:val="27"/>
        </w:rPr>
        <w:t>    提交投标文件截止时间：2021年0</w:t>
      </w:r>
      <w:r>
        <w:rPr>
          <w:rFonts w:hint="eastAsia" w:ascii="仿宋" w:hAnsi="仿宋" w:eastAsia="仿宋" w:cs="仿宋"/>
          <w:color w:val="000000"/>
          <w:sz w:val="27"/>
          <w:szCs w:val="27"/>
          <w:lang w:val="en-US" w:eastAsia="zh-CN"/>
        </w:rPr>
        <w:t>9</w:t>
      </w:r>
      <w:r>
        <w:rPr>
          <w:rFonts w:hint="eastAsia" w:ascii="仿宋" w:hAnsi="仿宋" w:eastAsia="仿宋" w:cs="仿宋"/>
          <w:color w:val="000000"/>
          <w:sz w:val="27"/>
          <w:szCs w:val="27"/>
        </w:rPr>
        <w:t>月</w:t>
      </w:r>
      <w:r>
        <w:rPr>
          <w:rFonts w:hint="eastAsia" w:ascii="仿宋" w:hAnsi="仿宋" w:eastAsia="仿宋" w:cs="仿宋"/>
          <w:color w:val="000000"/>
          <w:sz w:val="27"/>
          <w:szCs w:val="27"/>
          <w:lang w:val="en-US" w:eastAsia="zh-CN"/>
        </w:rPr>
        <w:t>22</w:t>
      </w:r>
      <w:r>
        <w:rPr>
          <w:rFonts w:hint="eastAsia" w:ascii="仿宋" w:hAnsi="仿宋" w:eastAsia="仿宋" w:cs="仿宋"/>
          <w:color w:val="000000"/>
          <w:sz w:val="27"/>
          <w:szCs w:val="27"/>
        </w:rPr>
        <w:t>日 16:00（北京时间）</w:t>
      </w:r>
    </w:p>
    <w:p>
      <w:pPr>
        <w:pStyle w:val="37"/>
        <w:spacing w:line="360" w:lineRule="exact"/>
        <w:rPr>
          <w:color w:val="000000"/>
        </w:rPr>
      </w:pPr>
      <w:r>
        <w:rPr>
          <w:rFonts w:hint="eastAsia" w:ascii="仿宋" w:hAnsi="仿宋" w:eastAsia="仿宋" w:cs="仿宋"/>
          <w:color w:val="000000"/>
          <w:sz w:val="27"/>
          <w:szCs w:val="27"/>
        </w:rPr>
        <w:t>    投标地点：伊宁市经济合作区北京路一品墅新房大厦10楼1004号</w:t>
      </w:r>
      <w:r>
        <w:rPr>
          <w:rFonts w:hint="eastAsia" w:ascii="仿宋" w:hAnsi="仿宋" w:eastAsia="仿宋" w:cs="仿宋"/>
          <w:color w:val="000000"/>
        </w:rPr>
        <w:t> </w:t>
      </w:r>
    </w:p>
    <w:p>
      <w:pPr>
        <w:pStyle w:val="37"/>
        <w:spacing w:line="360" w:lineRule="exact"/>
        <w:rPr>
          <w:color w:val="000000"/>
        </w:rPr>
      </w:pPr>
      <w:r>
        <w:rPr>
          <w:rFonts w:hint="eastAsia" w:ascii="仿宋" w:hAnsi="仿宋" w:eastAsia="仿宋" w:cs="仿宋"/>
          <w:color w:val="000000"/>
          <w:sz w:val="27"/>
          <w:szCs w:val="27"/>
        </w:rPr>
        <w:t>    开标时间：2021年0</w:t>
      </w:r>
      <w:r>
        <w:rPr>
          <w:rFonts w:hint="eastAsia" w:ascii="仿宋" w:hAnsi="仿宋" w:eastAsia="仿宋" w:cs="仿宋"/>
          <w:color w:val="000000"/>
          <w:sz w:val="27"/>
          <w:szCs w:val="27"/>
          <w:lang w:val="en-US" w:eastAsia="zh-CN"/>
        </w:rPr>
        <w:t>9</w:t>
      </w:r>
      <w:r>
        <w:rPr>
          <w:rFonts w:hint="eastAsia" w:ascii="仿宋" w:hAnsi="仿宋" w:eastAsia="仿宋" w:cs="仿宋"/>
          <w:color w:val="000000"/>
          <w:sz w:val="27"/>
          <w:szCs w:val="27"/>
        </w:rPr>
        <w:t>月</w:t>
      </w:r>
      <w:r>
        <w:rPr>
          <w:rFonts w:hint="eastAsia" w:ascii="仿宋" w:hAnsi="仿宋" w:eastAsia="仿宋" w:cs="仿宋"/>
          <w:color w:val="000000"/>
          <w:sz w:val="27"/>
          <w:szCs w:val="27"/>
          <w:lang w:val="en-US" w:eastAsia="zh-CN"/>
        </w:rPr>
        <w:t>22</w:t>
      </w:r>
      <w:r>
        <w:rPr>
          <w:rFonts w:hint="eastAsia" w:ascii="仿宋" w:hAnsi="仿宋" w:eastAsia="仿宋" w:cs="仿宋"/>
          <w:color w:val="000000"/>
          <w:sz w:val="27"/>
          <w:szCs w:val="27"/>
        </w:rPr>
        <w:t>日 16:00（北京时间）</w:t>
      </w:r>
    </w:p>
    <w:p>
      <w:pPr>
        <w:pStyle w:val="37"/>
        <w:spacing w:line="360" w:lineRule="exact"/>
        <w:rPr>
          <w:color w:val="000000"/>
        </w:rPr>
      </w:pPr>
      <w:r>
        <w:rPr>
          <w:rFonts w:hint="eastAsia" w:ascii="仿宋" w:hAnsi="仿宋" w:eastAsia="仿宋" w:cs="仿宋"/>
          <w:color w:val="000000"/>
          <w:sz w:val="27"/>
          <w:szCs w:val="27"/>
        </w:rPr>
        <w:t>    开标地点：伊宁市经济合作区北京路一品墅新房大厦10楼1004号</w:t>
      </w:r>
      <w:r>
        <w:rPr>
          <w:rFonts w:hint="eastAsia" w:ascii="仿宋" w:hAnsi="仿宋" w:eastAsia="仿宋" w:cs="仿宋"/>
          <w:color w:val="000000"/>
        </w:rPr>
        <w:t>  </w:t>
      </w:r>
    </w:p>
    <w:p>
      <w:pPr>
        <w:pStyle w:val="37"/>
        <w:numPr>
          <w:ilvl w:val="0"/>
          <w:numId w:val="1"/>
        </w:numPr>
        <w:spacing w:before="255" w:beforeAutospacing="0" w:after="255" w:afterAutospacing="0" w:line="360" w:lineRule="exact"/>
        <w:rPr>
          <w:rFonts w:ascii="黑体" w:eastAsia="黑体" w:cs="黑体"/>
          <w:sz w:val="31"/>
          <w:szCs w:val="31"/>
        </w:rPr>
      </w:pPr>
      <w:r>
        <w:rPr>
          <w:rStyle w:val="44"/>
          <w:rFonts w:ascii="黑体" w:eastAsia="黑体" w:cs="黑体"/>
          <w:sz w:val="27"/>
          <w:szCs w:val="27"/>
        </w:rPr>
        <w:t>公告期限</w:t>
      </w:r>
      <w:r>
        <w:rPr>
          <w:rFonts w:ascii="黑体" w:eastAsia="黑体" w:cs="黑体"/>
          <w:sz w:val="31"/>
          <w:szCs w:val="31"/>
        </w:rPr>
        <w:t> </w:t>
      </w:r>
    </w:p>
    <w:p>
      <w:pPr>
        <w:pStyle w:val="37"/>
        <w:spacing w:line="360" w:lineRule="exact"/>
      </w:pPr>
      <w:r>
        <w:rPr>
          <w:rFonts w:hint="eastAsia" w:ascii="仿宋" w:hAnsi="仿宋" w:eastAsia="仿宋" w:cs="仿宋"/>
          <w:sz w:val="27"/>
          <w:szCs w:val="27"/>
        </w:rPr>
        <w:t>    自本公告发布之日起5个工作日。</w:t>
      </w:r>
    </w:p>
    <w:p>
      <w:pPr>
        <w:pStyle w:val="37"/>
        <w:spacing w:before="255" w:beforeAutospacing="0" w:after="255" w:afterAutospacing="0" w:line="360" w:lineRule="exact"/>
        <w:rPr>
          <w:rFonts w:ascii="黑体" w:eastAsia="黑体" w:cs="黑体"/>
          <w:sz w:val="27"/>
          <w:szCs w:val="27"/>
        </w:rPr>
      </w:pPr>
      <w:r>
        <w:rPr>
          <w:rStyle w:val="44"/>
          <w:rFonts w:ascii="黑体" w:eastAsia="黑体" w:cs="黑体"/>
          <w:sz w:val="27"/>
          <w:szCs w:val="27"/>
        </w:rPr>
        <w:t>六、其他补充事宜</w:t>
      </w:r>
    </w:p>
    <w:p>
      <w:pPr>
        <w:pStyle w:val="37"/>
        <w:spacing w:line="360" w:lineRule="exact"/>
        <w:rPr>
          <w:rFonts w:ascii="仿宋" w:hAnsi="仿宋" w:eastAsia="仿宋" w:cs="仿宋"/>
          <w:color w:val="000000"/>
          <w:sz w:val="27"/>
          <w:szCs w:val="27"/>
        </w:rPr>
      </w:pPr>
      <w:r>
        <w:rPr>
          <w:rFonts w:hint="eastAsia" w:ascii="仿宋" w:hAnsi="仿宋" w:eastAsia="仿宋" w:cs="仿宋"/>
          <w:color w:val="000000"/>
          <w:sz w:val="27"/>
          <w:szCs w:val="27"/>
        </w:rPr>
        <w:t>    须提供的证明材料：法定代表人授权委托书、委托人身份证、营业执照、“信用中国”网站（www.creditchina.gov.cn）、“中国政府采购网”（www.ccgp.gov.cn）查询结果截图（日期必须在发布公告日期之后）、</w:t>
      </w:r>
      <w:r>
        <w:rPr>
          <w:rFonts w:hint="eastAsia" w:ascii="仿宋" w:hAnsi="仿宋" w:eastAsia="仿宋" w:cs="仿宋"/>
          <w:sz w:val="27"/>
          <w:szCs w:val="27"/>
        </w:rPr>
        <w:t>提供近三个月投标单位及</w:t>
      </w:r>
      <w:r>
        <w:rPr>
          <w:rFonts w:hint="eastAsia" w:ascii="仿宋" w:hAnsi="仿宋" w:eastAsia="仿宋" w:cs="仿宋"/>
          <w:color w:val="000000"/>
          <w:sz w:val="27"/>
          <w:szCs w:val="27"/>
        </w:rPr>
        <w:t>被授权人的社保缴纳证明</w:t>
      </w:r>
      <w:r>
        <w:rPr>
          <w:rFonts w:hint="eastAsia" w:ascii="仿宋" w:hAnsi="仿宋" w:eastAsia="仿宋" w:cs="仿宋"/>
          <w:color w:val="000000"/>
          <w:sz w:val="27"/>
          <w:szCs w:val="27"/>
          <w:lang w:eastAsia="zh-CN"/>
        </w:rPr>
        <w:t>、</w:t>
      </w:r>
      <w:r>
        <w:rPr>
          <w:rFonts w:hint="eastAsia" w:ascii="仿宋" w:hAnsi="仿宋" w:eastAsia="仿宋" w:cs="仿宋"/>
          <w:color w:val="000000"/>
          <w:sz w:val="27"/>
          <w:szCs w:val="27"/>
        </w:rPr>
        <w:t>资质证书、</w:t>
      </w:r>
      <w:r>
        <w:rPr>
          <w:rFonts w:hint="eastAsia" w:ascii="仿宋" w:hAnsi="仿宋" w:eastAsia="仿宋" w:cs="仿宋"/>
          <w:color w:val="000000"/>
          <w:sz w:val="27"/>
          <w:szCs w:val="27"/>
          <w:lang w:eastAsia="zh-CN"/>
        </w:rPr>
        <w:t>标项一</w:t>
      </w:r>
      <w:r>
        <w:rPr>
          <w:rFonts w:hint="eastAsia" w:ascii="仿宋" w:hAnsi="仿宋" w:eastAsia="仿宋" w:cs="仿宋"/>
          <w:color w:val="000000"/>
          <w:sz w:val="27"/>
          <w:szCs w:val="27"/>
          <w:lang w:val="en-US" w:eastAsia="zh-CN"/>
        </w:rPr>
        <w:t>需</w:t>
      </w:r>
      <w:r>
        <w:rPr>
          <w:rFonts w:hint="eastAsia" w:ascii="仿宋" w:hAnsi="仿宋" w:eastAsia="仿宋" w:cs="仿宋"/>
          <w:color w:val="000000"/>
          <w:sz w:val="27"/>
          <w:szCs w:val="27"/>
          <w:lang w:eastAsia="zh-CN"/>
        </w:rPr>
        <w:t>提供生产厂家针对本项目的授权书</w:t>
      </w:r>
      <w:r>
        <w:rPr>
          <w:rFonts w:hint="eastAsia" w:ascii="仿宋" w:hAnsi="仿宋" w:eastAsia="仿宋" w:cs="仿宋"/>
          <w:color w:val="000000"/>
          <w:sz w:val="27"/>
          <w:szCs w:val="27"/>
        </w:rPr>
        <w:t>。</w:t>
      </w:r>
    </w:p>
    <w:p>
      <w:pPr>
        <w:pStyle w:val="37"/>
        <w:spacing w:line="360" w:lineRule="exact"/>
        <w:ind w:firstLine="540" w:firstLineChars="200"/>
        <w:rPr>
          <w:rFonts w:ascii="仿宋" w:hAnsi="仿宋" w:eastAsia="仿宋" w:cs="仿宋"/>
          <w:b/>
          <w:bCs/>
          <w:color w:val="000000"/>
          <w:sz w:val="27"/>
          <w:szCs w:val="27"/>
        </w:rPr>
      </w:pPr>
      <w:r>
        <w:rPr>
          <w:rFonts w:hint="eastAsia" w:ascii="仿宋" w:hAnsi="仿宋" w:eastAsia="仿宋" w:cs="仿宋"/>
          <w:b/>
          <w:bCs/>
          <w:color w:val="000000"/>
          <w:sz w:val="27"/>
          <w:szCs w:val="27"/>
        </w:rPr>
        <w:t>以上证件资料须携带原件备查,资料不全不予购买。报名时提供加盖投标单位公章的复印件三份。</w:t>
      </w:r>
    </w:p>
    <w:p>
      <w:pPr>
        <w:pStyle w:val="37"/>
        <w:spacing w:before="255" w:beforeAutospacing="0" w:after="255" w:afterAutospacing="0" w:line="360" w:lineRule="exact"/>
        <w:rPr>
          <w:rFonts w:ascii="黑体" w:eastAsia="黑体" w:cs="黑体"/>
          <w:sz w:val="31"/>
          <w:szCs w:val="31"/>
        </w:rPr>
      </w:pPr>
      <w:r>
        <w:rPr>
          <w:rStyle w:val="44"/>
          <w:rFonts w:ascii="黑体" w:eastAsia="黑体" w:cs="黑体"/>
          <w:sz w:val="27"/>
          <w:szCs w:val="27"/>
        </w:rPr>
        <w:t>七、对本次采购提出询问，请按以下方式联系</w:t>
      </w:r>
    </w:p>
    <w:p>
      <w:pPr>
        <w:pStyle w:val="37"/>
        <w:spacing w:line="300" w:lineRule="exact"/>
        <w:rPr>
          <w:rFonts w:ascii="仿宋" w:hAnsi="仿宋" w:eastAsia="仿宋" w:cs="仿宋"/>
          <w:sz w:val="27"/>
          <w:szCs w:val="27"/>
        </w:rPr>
      </w:pPr>
      <w:r>
        <w:rPr>
          <w:rFonts w:hint="eastAsia" w:ascii="仿宋" w:hAnsi="仿宋" w:eastAsia="仿宋" w:cs="仿宋"/>
          <w:sz w:val="27"/>
          <w:szCs w:val="27"/>
        </w:rPr>
        <w:t xml:space="preserve">   1.采购人信息</w:t>
      </w:r>
    </w:p>
    <w:p>
      <w:pPr>
        <w:pStyle w:val="37"/>
        <w:spacing w:line="300" w:lineRule="exact"/>
        <w:rPr>
          <w:rFonts w:hint="eastAsia" w:ascii="仿宋" w:hAnsi="仿宋" w:eastAsia="仿宋" w:cs="仿宋"/>
          <w:sz w:val="27"/>
          <w:szCs w:val="27"/>
          <w:lang w:eastAsia="zh-CN"/>
        </w:rPr>
      </w:pPr>
      <w:r>
        <w:rPr>
          <w:rFonts w:hint="eastAsia" w:ascii="仿宋" w:hAnsi="仿宋" w:eastAsia="仿宋" w:cs="仿宋"/>
          <w:sz w:val="27"/>
          <w:szCs w:val="27"/>
        </w:rPr>
        <w:t>    名    称：霍城县</w:t>
      </w:r>
      <w:r>
        <w:rPr>
          <w:rFonts w:hint="eastAsia" w:ascii="仿宋" w:hAnsi="仿宋" w:eastAsia="仿宋" w:cs="仿宋"/>
          <w:sz w:val="27"/>
          <w:szCs w:val="27"/>
          <w:lang w:eastAsia="zh-CN"/>
        </w:rPr>
        <w:t>中医医院</w:t>
      </w:r>
    </w:p>
    <w:p>
      <w:pPr>
        <w:pStyle w:val="37"/>
        <w:spacing w:line="300" w:lineRule="exact"/>
        <w:rPr>
          <w:rFonts w:ascii="仿宋" w:hAnsi="仿宋" w:eastAsia="仿宋" w:cs="仿宋"/>
          <w:sz w:val="27"/>
          <w:szCs w:val="27"/>
        </w:rPr>
      </w:pPr>
      <w:r>
        <w:rPr>
          <w:rFonts w:hint="eastAsia" w:ascii="仿宋" w:hAnsi="仿宋" w:eastAsia="仿宋" w:cs="仿宋"/>
          <w:sz w:val="27"/>
          <w:szCs w:val="27"/>
        </w:rPr>
        <w:t>    地    址：霍城县</w:t>
      </w:r>
      <w:r>
        <w:rPr>
          <w:rFonts w:hint="eastAsia" w:ascii="仿宋" w:hAnsi="仿宋" w:eastAsia="仿宋" w:cs="仿宋"/>
          <w:sz w:val="27"/>
          <w:szCs w:val="27"/>
          <w:lang w:eastAsia="zh-CN"/>
        </w:rPr>
        <w:t>中医医院</w:t>
      </w:r>
    </w:p>
    <w:p>
      <w:pPr>
        <w:pStyle w:val="37"/>
        <w:spacing w:line="300" w:lineRule="exact"/>
        <w:rPr>
          <w:rFonts w:ascii="仿宋" w:hAnsi="仿宋" w:eastAsia="仿宋" w:cs="仿宋"/>
          <w:sz w:val="27"/>
          <w:szCs w:val="27"/>
        </w:rPr>
      </w:pPr>
      <w:r>
        <w:rPr>
          <w:rFonts w:hint="eastAsia" w:ascii="仿宋" w:hAnsi="仿宋" w:eastAsia="仿宋" w:cs="仿宋"/>
          <w:sz w:val="27"/>
          <w:szCs w:val="27"/>
        </w:rPr>
        <w:t>    项目联系人：郑</w:t>
      </w:r>
      <w:r>
        <w:rPr>
          <w:rFonts w:hint="eastAsia" w:ascii="仿宋" w:hAnsi="仿宋" w:eastAsia="仿宋" w:cs="仿宋"/>
          <w:sz w:val="27"/>
          <w:szCs w:val="27"/>
          <w:lang w:val="en-US" w:eastAsia="zh-CN"/>
        </w:rPr>
        <w:t xml:space="preserve"> </w:t>
      </w:r>
      <w:r>
        <w:rPr>
          <w:rFonts w:hint="eastAsia" w:ascii="仿宋" w:hAnsi="仿宋" w:eastAsia="仿宋" w:cs="仿宋"/>
          <w:sz w:val="27"/>
          <w:szCs w:val="27"/>
          <w:lang w:eastAsia="zh-CN"/>
        </w:rPr>
        <w:t>工</w:t>
      </w:r>
      <w:r>
        <w:rPr>
          <w:rFonts w:hint="eastAsia" w:ascii="仿宋" w:hAnsi="仿宋" w:eastAsia="仿宋" w:cs="仿宋"/>
          <w:sz w:val="27"/>
          <w:szCs w:val="27"/>
        </w:rPr>
        <w:t xml:space="preserve"> </w:t>
      </w:r>
    </w:p>
    <w:p>
      <w:pPr>
        <w:pStyle w:val="37"/>
        <w:spacing w:line="300" w:lineRule="exact"/>
        <w:rPr>
          <w:rFonts w:ascii="仿宋" w:hAnsi="仿宋" w:eastAsia="仿宋" w:cs="仿宋"/>
          <w:sz w:val="27"/>
          <w:szCs w:val="27"/>
        </w:rPr>
      </w:pPr>
      <w:r>
        <w:rPr>
          <w:rFonts w:hint="eastAsia" w:ascii="仿宋" w:hAnsi="仿宋" w:eastAsia="仿宋" w:cs="仿宋"/>
          <w:sz w:val="27"/>
          <w:szCs w:val="27"/>
        </w:rPr>
        <w:t>    项目联系方式：13999395123</w:t>
      </w:r>
      <w:r>
        <w:rPr>
          <w:rFonts w:hint="eastAsia" w:ascii="仿宋" w:hAnsi="仿宋" w:eastAsia="仿宋" w:cs="仿宋"/>
          <w:sz w:val="27"/>
          <w:szCs w:val="27"/>
        </w:rPr>
        <w:br w:type="textWrapping"/>
      </w:r>
      <w:r>
        <w:rPr>
          <w:rFonts w:hint="eastAsia" w:ascii="仿宋" w:hAnsi="仿宋" w:eastAsia="仿宋" w:cs="仿宋"/>
          <w:sz w:val="27"/>
          <w:szCs w:val="27"/>
        </w:rPr>
        <w:t>    2.采购代理机构信息            </w:t>
      </w:r>
    </w:p>
    <w:p>
      <w:pPr>
        <w:pStyle w:val="37"/>
        <w:spacing w:line="300" w:lineRule="exact"/>
        <w:rPr>
          <w:rFonts w:ascii="仿宋" w:hAnsi="仿宋" w:eastAsia="仿宋" w:cs="仿宋"/>
          <w:sz w:val="27"/>
          <w:szCs w:val="27"/>
        </w:rPr>
      </w:pPr>
      <w:r>
        <w:rPr>
          <w:rFonts w:hint="eastAsia" w:ascii="仿宋" w:hAnsi="仿宋" w:eastAsia="仿宋" w:cs="仿宋"/>
          <w:sz w:val="27"/>
          <w:szCs w:val="27"/>
        </w:rPr>
        <w:t>    名    称：新疆华域建设工程项目管理咨询有限公司           </w:t>
      </w:r>
    </w:p>
    <w:p>
      <w:pPr>
        <w:pStyle w:val="37"/>
        <w:spacing w:line="300" w:lineRule="exact"/>
        <w:rPr>
          <w:rFonts w:ascii="仿宋" w:hAnsi="仿宋" w:eastAsia="仿宋" w:cs="仿宋"/>
          <w:sz w:val="27"/>
          <w:szCs w:val="27"/>
        </w:rPr>
      </w:pPr>
      <w:r>
        <w:rPr>
          <w:rFonts w:hint="eastAsia" w:ascii="仿宋" w:hAnsi="仿宋" w:eastAsia="仿宋" w:cs="仿宋"/>
          <w:sz w:val="27"/>
          <w:szCs w:val="27"/>
        </w:rPr>
        <w:t>    地    址：伊宁市经济合作区北京路一品墅新房大厦10楼1004号      </w:t>
      </w:r>
    </w:p>
    <w:p>
      <w:pPr>
        <w:pStyle w:val="37"/>
        <w:spacing w:line="300" w:lineRule="exact"/>
        <w:rPr>
          <w:rFonts w:ascii="仿宋" w:hAnsi="仿宋" w:eastAsia="仿宋" w:cs="仿宋"/>
          <w:sz w:val="27"/>
          <w:szCs w:val="27"/>
        </w:rPr>
      </w:pPr>
      <w:r>
        <w:rPr>
          <w:rFonts w:hint="eastAsia" w:ascii="仿宋" w:hAnsi="仿宋" w:eastAsia="仿宋" w:cs="仿宋"/>
          <w:sz w:val="27"/>
          <w:szCs w:val="27"/>
        </w:rPr>
        <w:t>    项目联系人：胡</w:t>
      </w:r>
      <w:r>
        <w:rPr>
          <w:rFonts w:hint="eastAsia" w:ascii="仿宋" w:hAnsi="仿宋" w:eastAsia="仿宋" w:cs="仿宋"/>
          <w:sz w:val="27"/>
          <w:szCs w:val="27"/>
          <w:lang w:val="en-US" w:eastAsia="zh-CN"/>
        </w:rPr>
        <w:t xml:space="preserve"> </w:t>
      </w:r>
      <w:r>
        <w:rPr>
          <w:rFonts w:hint="eastAsia" w:ascii="仿宋" w:hAnsi="仿宋" w:eastAsia="仿宋" w:cs="仿宋"/>
          <w:sz w:val="27"/>
          <w:szCs w:val="27"/>
          <w:lang w:eastAsia="zh-CN"/>
        </w:rPr>
        <w:t>工</w:t>
      </w:r>
      <w:r>
        <w:rPr>
          <w:rFonts w:hint="eastAsia" w:ascii="仿宋" w:hAnsi="仿宋" w:eastAsia="仿宋" w:cs="仿宋"/>
          <w:sz w:val="27"/>
          <w:szCs w:val="27"/>
        </w:rPr>
        <w:t xml:space="preserve">            </w:t>
      </w:r>
    </w:p>
    <w:p>
      <w:pPr>
        <w:spacing w:line="300" w:lineRule="exact"/>
        <w:rPr>
          <w:rFonts w:ascii="宋体" w:hAnsi="宋体"/>
          <w:kern w:val="0"/>
          <w:sz w:val="24"/>
          <w:szCs w:val="24"/>
        </w:rPr>
      </w:pPr>
      <w:r>
        <w:rPr>
          <w:rFonts w:hint="eastAsia" w:ascii="仿宋" w:hAnsi="仿宋" w:eastAsia="仿宋" w:cs="仿宋"/>
          <w:sz w:val="27"/>
          <w:szCs w:val="27"/>
        </w:rPr>
        <w:t>    项目联系方式：15809995728</w:t>
      </w:r>
    </w:p>
    <w:p/>
    <w:p>
      <w:pPr>
        <w:pStyle w:val="83"/>
        <w:spacing w:line="500" w:lineRule="exact"/>
        <w:jc w:val="center"/>
        <w:outlineLvl w:val="0"/>
        <w:rPr>
          <w:rFonts w:ascii="宋体" w:hAnsi="宋体"/>
          <w:b/>
          <w:bCs/>
          <w:color w:val="auto"/>
        </w:rPr>
      </w:pPr>
      <w:r>
        <w:rPr>
          <w:rFonts w:hint="eastAsia" w:ascii="宋体" w:hAnsi="宋体"/>
          <w:b/>
          <w:bCs/>
          <w:color w:val="auto"/>
        </w:rPr>
        <w:t>第二章 投标须知</w:t>
      </w:r>
      <w:bookmarkEnd w:id="2"/>
    </w:p>
    <w:p>
      <w:pPr>
        <w:pStyle w:val="83"/>
        <w:spacing w:line="500" w:lineRule="exact"/>
        <w:jc w:val="center"/>
        <w:outlineLvl w:val="1"/>
        <w:rPr>
          <w:rFonts w:ascii="宋体" w:hAnsi="宋体"/>
          <w:color w:val="auto"/>
        </w:rPr>
      </w:pPr>
      <w:bookmarkStart w:id="3" w:name="_Toc8533"/>
      <w:r>
        <w:rPr>
          <w:rFonts w:hint="eastAsia" w:ascii="宋体" w:hAnsi="宋体"/>
          <w:color w:val="auto"/>
        </w:rPr>
        <w:t>一、总则</w:t>
      </w:r>
      <w:bookmarkEnd w:id="3"/>
    </w:p>
    <w:p>
      <w:pPr>
        <w:pStyle w:val="83"/>
        <w:spacing w:line="500" w:lineRule="exact"/>
        <w:ind w:firstLine="480" w:firstLineChars="200"/>
        <w:jc w:val="both"/>
        <w:rPr>
          <w:rFonts w:ascii="宋体" w:hAnsi="宋体"/>
          <w:color w:val="auto"/>
        </w:rPr>
      </w:pPr>
      <w:r>
        <w:rPr>
          <w:rFonts w:hint="eastAsia" w:ascii="宋体" w:hAnsi="宋体"/>
          <w:color w:val="auto"/>
        </w:rPr>
        <w:t>1.合格的投标供应商：</w:t>
      </w:r>
    </w:p>
    <w:p>
      <w:pPr>
        <w:pStyle w:val="83"/>
        <w:spacing w:line="500" w:lineRule="exact"/>
        <w:ind w:firstLine="480" w:firstLineChars="200"/>
        <w:jc w:val="both"/>
        <w:rPr>
          <w:rFonts w:ascii="宋体" w:hAnsi="宋体"/>
          <w:color w:val="auto"/>
        </w:rPr>
      </w:pPr>
      <w:r>
        <w:rPr>
          <w:rFonts w:hint="eastAsia" w:ascii="宋体" w:hAnsi="宋体"/>
          <w:color w:val="auto"/>
        </w:rPr>
        <w:t>1.1 满足《中华人民共和国政府采购法》第二十二条的相关规定；</w:t>
      </w:r>
    </w:p>
    <w:p>
      <w:pPr>
        <w:pStyle w:val="83"/>
        <w:spacing w:line="500" w:lineRule="exact"/>
        <w:ind w:firstLine="480" w:firstLineChars="200"/>
        <w:jc w:val="both"/>
        <w:rPr>
          <w:rFonts w:ascii="宋体" w:hAnsi="宋体"/>
          <w:color w:val="auto"/>
        </w:rPr>
      </w:pPr>
      <w:r>
        <w:rPr>
          <w:rFonts w:hint="eastAsia" w:ascii="宋体" w:hAnsi="宋体"/>
          <w:color w:val="auto"/>
        </w:rPr>
        <w:t>1.2 有效的“一证一码”或“三证合一”的营业执照；</w:t>
      </w:r>
    </w:p>
    <w:p>
      <w:pPr>
        <w:pStyle w:val="83"/>
        <w:spacing w:line="500" w:lineRule="exact"/>
        <w:ind w:firstLine="480" w:firstLineChars="200"/>
        <w:jc w:val="both"/>
        <w:rPr>
          <w:rFonts w:ascii="宋体" w:hAnsi="宋体"/>
          <w:color w:val="auto"/>
        </w:rPr>
      </w:pPr>
      <w:r>
        <w:rPr>
          <w:rFonts w:hint="eastAsia" w:ascii="宋体" w:hAnsi="宋体"/>
          <w:color w:val="auto"/>
        </w:rPr>
        <w:t>1.3凡拟参加本次招标项目的投标人，如在“信用中国”网站（www.creditchina.gov.cn）、“中国政府采购网”（www.ccgp.gov.cn）被列入失信被执行人、重大税收违法案件当事人名单、政府采购严重违法失信行为记录名单的（尚在处罚期内的），将拒绝其参本次政府采购活动（查询结果截图日期必须在发布文件日期之后）;</w:t>
      </w:r>
    </w:p>
    <w:p>
      <w:pPr>
        <w:pStyle w:val="83"/>
        <w:spacing w:line="500" w:lineRule="exact"/>
        <w:ind w:firstLine="567"/>
        <w:jc w:val="both"/>
        <w:rPr>
          <w:rFonts w:ascii="宋体" w:hAnsi="宋体"/>
          <w:color w:val="auto"/>
        </w:rPr>
      </w:pPr>
      <w:r>
        <w:rPr>
          <w:rFonts w:hint="eastAsia" w:ascii="宋体" w:hAnsi="宋体"/>
          <w:color w:val="auto"/>
        </w:rPr>
        <w:t>1.4 需具有有效的行政主管部门颁发的医疗器械生产许可证或医疗器械经营许可证；</w:t>
      </w:r>
    </w:p>
    <w:p>
      <w:pPr>
        <w:pStyle w:val="83"/>
        <w:spacing w:line="500" w:lineRule="exact"/>
        <w:ind w:firstLine="567"/>
        <w:jc w:val="both"/>
        <w:rPr>
          <w:rFonts w:hint="default" w:ascii="宋体" w:hAnsi="宋体"/>
          <w:color w:val="auto"/>
          <w:lang w:val="en-US" w:eastAsia="zh-CN"/>
        </w:rPr>
      </w:pPr>
      <w:r>
        <w:rPr>
          <w:rFonts w:hint="eastAsia" w:ascii="宋体" w:hAnsi="宋体"/>
          <w:color w:val="auto"/>
          <w:lang w:val="en-US" w:eastAsia="zh-CN"/>
        </w:rPr>
        <w:t>1.5 标项一：投标人具有生产厂家针对本项目的授权书；</w:t>
      </w:r>
    </w:p>
    <w:p>
      <w:pPr>
        <w:pStyle w:val="83"/>
        <w:spacing w:line="500" w:lineRule="exact"/>
        <w:ind w:firstLine="567"/>
        <w:jc w:val="both"/>
        <w:rPr>
          <w:rFonts w:hint="eastAsia" w:ascii="宋体" w:hAnsi="宋体"/>
          <w:color w:val="auto"/>
          <w:lang w:val="en-US" w:eastAsia="zh-CN"/>
        </w:rPr>
      </w:pPr>
      <w:r>
        <w:rPr>
          <w:rFonts w:hint="eastAsia" w:ascii="宋体" w:hAnsi="宋体"/>
          <w:color w:val="auto"/>
          <w:lang w:val="en-US" w:eastAsia="zh-CN"/>
        </w:rPr>
        <w:t>1.6 投标人单位负责人为同一人或者存在直接控股、管理关系的不同供应商，不得参加同一合同项下的政府采购活动；</w:t>
      </w:r>
    </w:p>
    <w:p>
      <w:pPr>
        <w:pStyle w:val="83"/>
        <w:spacing w:line="500" w:lineRule="exact"/>
        <w:ind w:firstLine="567"/>
        <w:jc w:val="both"/>
        <w:rPr>
          <w:rFonts w:ascii="宋体" w:hAnsi="宋体"/>
          <w:color w:val="auto"/>
        </w:rPr>
      </w:pPr>
      <w:r>
        <w:rPr>
          <w:rFonts w:hint="eastAsia" w:ascii="宋体" w:hAnsi="宋体"/>
          <w:color w:val="auto"/>
        </w:rPr>
        <w:t>1.</w:t>
      </w:r>
      <w:r>
        <w:rPr>
          <w:rFonts w:hint="eastAsia" w:ascii="宋体" w:hAnsi="宋体"/>
          <w:color w:val="auto"/>
          <w:lang w:val="en-US" w:eastAsia="zh-CN"/>
        </w:rPr>
        <w:t>7</w:t>
      </w:r>
      <w:r>
        <w:rPr>
          <w:rFonts w:ascii="宋体" w:hAnsi="宋体"/>
          <w:color w:val="auto"/>
        </w:rPr>
        <w:t>.</w:t>
      </w:r>
      <w:r>
        <w:rPr>
          <w:rFonts w:hint="eastAsia" w:ascii="宋体" w:hAnsi="宋体"/>
          <w:color w:val="auto"/>
        </w:rPr>
        <w:t>本项目不接受联合体投标。</w:t>
      </w:r>
    </w:p>
    <w:p>
      <w:pPr>
        <w:pStyle w:val="83"/>
        <w:spacing w:line="500" w:lineRule="exact"/>
        <w:ind w:firstLine="567"/>
        <w:jc w:val="both"/>
        <w:rPr>
          <w:rFonts w:ascii="宋体" w:hAnsi="宋体"/>
          <w:color w:val="auto"/>
        </w:rPr>
      </w:pPr>
      <w:r>
        <w:rPr>
          <w:rFonts w:hint="eastAsia" w:ascii="宋体" w:hAnsi="宋体"/>
          <w:color w:val="auto"/>
        </w:rPr>
        <w:t>2. 定义。</w:t>
      </w:r>
    </w:p>
    <w:p>
      <w:pPr>
        <w:pStyle w:val="83"/>
        <w:spacing w:line="500" w:lineRule="exact"/>
        <w:ind w:firstLine="567"/>
        <w:jc w:val="both"/>
        <w:rPr>
          <w:rFonts w:ascii="宋体" w:hAnsi="宋体"/>
          <w:color w:val="auto"/>
        </w:rPr>
      </w:pPr>
      <w:r>
        <w:rPr>
          <w:rFonts w:hint="eastAsia" w:ascii="宋体" w:hAnsi="宋体"/>
          <w:color w:val="auto"/>
        </w:rPr>
        <w:t>2.1  “招标代理机构”系指新疆华域建设工程项目管理咨询有限公司。</w:t>
      </w:r>
    </w:p>
    <w:p>
      <w:pPr>
        <w:pStyle w:val="83"/>
        <w:spacing w:line="500" w:lineRule="exact"/>
        <w:ind w:firstLine="567"/>
        <w:jc w:val="both"/>
        <w:rPr>
          <w:rFonts w:ascii="宋体" w:hAnsi="宋体"/>
          <w:color w:val="auto"/>
        </w:rPr>
      </w:pPr>
      <w:r>
        <w:rPr>
          <w:rFonts w:hint="eastAsia" w:ascii="宋体" w:hAnsi="宋体"/>
          <w:color w:val="auto"/>
        </w:rPr>
        <w:t>2.2  “投标供应商”系指向招标代理机构提交投标文件的供应商。</w:t>
      </w:r>
    </w:p>
    <w:p>
      <w:pPr>
        <w:pStyle w:val="83"/>
        <w:spacing w:line="500" w:lineRule="exact"/>
        <w:ind w:firstLine="567"/>
        <w:jc w:val="both"/>
        <w:rPr>
          <w:rFonts w:ascii="宋体" w:hAnsi="宋体"/>
          <w:color w:val="auto"/>
        </w:rPr>
      </w:pPr>
      <w:r>
        <w:rPr>
          <w:rFonts w:hint="eastAsia" w:ascii="宋体" w:hAnsi="宋体"/>
          <w:color w:val="auto"/>
        </w:rPr>
        <w:t>2.3  “货物”系指卖方按合同要求，向买方提供的设备手册及其他技术资料。</w:t>
      </w:r>
    </w:p>
    <w:p>
      <w:pPr>
        <w:pStyle w:val="83"/>
        <w:spacing w:line="500" w:lineRule="exact"/>
        <w:ind w:firstLine="600" w:firstLineChars="250"/>
        <w:rPr>
          <w:rFonts w:ascii="宋体" w:hAnsi="宋体"/>
          <w:color w:val="auto"/>
        </w:rPr>
      </w:pPr>
      <w:r>
        <w:rPr>
          <w:rFonts w:hint="eastAsia" w:ascii="宋体" w:hAnsi="宋体"/>
          <w:color w:val="auto"/>
        </w:rPr>
        <w:t>2.4.“节能产品”或者“环保产品”是指财政部最新发布的《节能产品政府采购清单》或者《环境标志产品政府采购清单》的产品。</w:t>
      </w:r>
    </w:p>
    <w:p>
      <w:pPr>
        <w:pStyle w:val="83"/>
        <w:spacing w:line="500" w:lineRule="exact"/>
        <w:ind w:firstLine="567"/>
        <w:jc w:val="both"/>
        <w:rPr>
          <w:rFonts w:ascii="宋体" w:hAnsi="宋体"/>
          <w:color w:val="auto"/>
        </w:rPr>
      </w:pPr>
      <w:r>
        <w:rPr>
          <w:rFonts w:hint="eastAsia" w:ascii="宋体" w:hAnsi="宋体"/>
          <w:color w:val="auto"/>
        </w:rPr>
        <w:t>2.5  “服务”系指按合同规定卖方须承担的运输、装卸、技术协助和交付使用后保修期内应履行的义务及售后服务等其他类似的义务。</w:t>
      </w:r>
    </w:p>
    <w:p>
      <w:pPr>
        <w:pStyle w:val="83"/>
        <w:spacing w:line="500" w:lineRule="exact"/>
        <w:ind w:firstLine="567"/>
        <w:jc w:val="both"/>
        <w:rPr>
          <w:rFonts w:ascii="宋体" w:hAnsi="宋体"/>
          <w:color w:val="auto"/>
        </w:rPr>
      </w:pPr>
      <w:r>
        <w:rPr>
          <w:rFonts w:hint="eastAsia" w:ascii="宋体" w:hAnsi="宋体"/>
          <w:color w:val="auto"/>
        </w:rPr>
        <w:t>2.6  “卖方”系指提供合同货物和服务的经济实体。</w:t>
      </w:r>
    </w:p>
    <w:p>
      <w:pPr>
        <w:pStyle w:val="83"/>
        <w:spacing w:line="500" w:lineRule="exact"/>
        <w:ind w:firstLine="567"/>
        <w:jc w:val="both"/>
        <w:rPr>
          <w:rFonts w:ascii="宋体" w:hAnsi="宋体"/>
          <w:color w:val="auto"/>
        </w:rPr>
      </w:pPr>
      <w:r>
        <w:rPr>
          <w:rFonts w:hint="eastAsia" w:ascii="宋体" w:hAnsi="宋体"/>
          <w:color w:val="auto"/>
        </w:rPr>
        <w:t>2.7  “买方”系指购买货物和服务的单位。</w:t>
      </w:r>
    </w:p>
    <w:p>
      <w:pPr>
        <w:pStyle w:val="83"/>
        <w:spacing w:line="500" w:lineRule="exact"/>
        <w:ind w:firstLine="480" w:firstLineChars="200"/>
        <w:jc w:val="both"/>
        <w:rPr>
          <w:rFonts w:ascii="宋体" w:hAnsi="宋体"/>
          <w:color w:val="auto"/>
        </w:rPr>
      </w:pPr>
      <w:r>
        <w:rPr>
          <w:rFonts w:hint="eastAsia" w:ascii="宋体" w:hAnsi="宋体"/>
          <w:color w:val="auto"/>
        </w:rPr>
        <w:t>3.  投标费用</w:t>
      </w:r>
    </w:p>
    <w:p>
      <w:pPr>
        <w:pStyle w:val="83"/>
        <w:spacing w:line="500" w:lineRule="exact"/>
        <w:ind w:firstLine="480" w:firstLineChars="200"/>
        <w:jc w:val="both"/>
        <w:rPr>
          <w:rFonts w:ascii="宋体" w:hAnsi="宋体"/>
          <w:color w:val="auto"/>
        </w:rPr>
      </w:pPr>
      <w:r>
        <w:rPr>
          <w:rFonts w:hint="eastAsia" w:ascii="宋体" w:hAnsi="宋体"/>
          <w:color w:val="auto"/>
        </w:rPr>
        <w:t>3.1  投标供应商在投标时应自行承担所有与编写和提交投标文件有关的费用。</w:t>
      </w:r>
    </w:p>
    <w:p>
      <w:pPr>
        <w:numPr>
          <w:ilvl w:val="0"/>
          <w:numId w:val="2"/>
        </w:numPr>
        <w:spacing w:line="500" w:lineRule="exact"/>
        <w:ind w:firstLine="570"/>
        <w:jc w:val="left"/>
        <w:rPr>
          <w:rFonts w:ascii="宋体" w:hAnsi="宋体"/>
          <w:b/>
          <w:color w:val="auto"/>
          <w:sz w:val="24"/>
          <w:szCs w:val="24"/>
        </w:rPr>
      </w:pPr>
      <w:r>
        <w:rPr>
          <w:rFonts w:hint="eastAsia" w:ascii="宋体" w:hAnsi="宋体"/>
          <w:color w:val="auto"/>
          <w:kern w:val="0"/>
          <w:sz w:val="24"/>
          <w:szCs w:val="24"/>
        </w:rPr>
        <w:t>本次项目不接受联合体投标。</w:t>
      </w:r>
    </w:p>
    <w:p>
      <w:pPr>
        <w:pStyle w:val="83"/>
        <w:spacing w:line="500" w:lineRule="exact"/>
        <w:ind w:left="567"/>
        <w:jc w:val="center"/>
        <w:outlineLvl w:val="1"/>
        <w:rPr>
          <w:rFonts w:ascii="宋体" w:hAnsi="宋体"/>
          <w:color w:val="auto"/>
        </w:rPr>
      </w:pPr>
      <w:bookmarkStart w:id="4" w:name="_Toc7954"/>
      <w:r>
        <w:rPr>
          <w:rFonts w:hint="eastAsia" w:ascii="宋体" w:hAnsi="宋体"/>
          <w:color w:val="auto"/>
        </w:rPr>
        <w:t>二、招标文件</w:t>
      </w:r>
      <w:bookmarkEnd w:id="4"/>
    </w:p>
    <w:p>
      <w:pPr>
        <w:pStyle w:val="83"/>
        <w:spacing w:line="500" w:lineRule="exact"/>
        <w:ind w:firstLine="480" w:firstLineChars="200"/>
        <w:jc w:val="both"/>
        <w:rPr>
          <w:rFonts w:ascii="宋体" w:hAnsi="宋体"/>
          <w:color w:val="auto"/>
        </w:rPr>
      </w:pPr>
      <w:r>
        <w:rPr>
          <w:rFonts w:hint="eastAsia" w:ascii="宋体" w:hAnsi="宋体"/>
          <w:color w:val="auto"/>
        </w:rPr>
        <w:t>5.  招标文件</w:t>
      </w:r>
    </w:p>
    <w:p>
      <w:pPr>
        <w:pStyle w:val="83"/>
        <w:spacing w:line="500" w:lineRule="exact"/>
        <w:ind w:firstLine="480" w:firstLineChars="200"/>
        <w:jc w:val="both"/>
        <w:rPr>
          <w:rFonts w:ascii="宋体" w:hAnsi="宋体"/>
          <w:color w:val="auto"/>
        </w:rPr>
      </w:pPr>
      <w:r>
        <w:rPr>
          <w:rFonts w:hint="eastAsia" w:ascii="宋体" w:hAnsi="宋体"/>
          <w:color w:val="auto"/>
        </w:rPr>
        <w:t>5.1  招标文件用以阐明所需货物和服务、招标投标程序和商务合同主要条款，包括：</w:t>
      </w:r>
    </w:p>
    <w:p>
      <w:pPr>
        <w:pStyle w:val="83"/>
        <w:spacing w:line="500" w:lineRule="exact"/>
        <w:ind w:firstLine="480" w:firstLineChars="200"/>
        <w:jc w:val="both"/>
        <w:rPr>
          <w:rFonts w:ascii="宋体" w:hAnsi="宋体"/>
          <w:color w:val="auto"/>
        </w:rPr>
      </w:pPr>
      <w:r>
        <w:rPr>
          <w:rFonts w:hint="eastAsia" w:ascii="宋体" w:hAnsi="宋体"/>
          <w:color w:val="auto"/>
        </w:rPr>
        <w:t xml:space="preserve">5.1.1  招标书 </w:t>
      </w:r>
    </w:p>
    <w:p>
      <w:pPr>
        <w:pStyle w:val="83"/>
        <w:spacing w:line="500" w:lineRule="exact"/>
        <w:ind w:firstLine="480" w:firstLineChars="200"/>
        <w:jc w:val="both"/>
        <w:rPr>
          <w:rFonts w:ascii="宋体" w:hAnsi="宋体"/>
          <w:color w:val="auto"/>
        </w:rPr>
      </w:pPr>
      <w:r>
        <w:rPr>
          <w:rFonts w:hint="eastAsia" w:ascii="宋体" w:hAnsi="宋体"/>
          <w:color w:val="auto"/>
        </w:rPr>
        <w:t>5.1.2  投标须知</w:t>
      </w:r>
    </w:p>
    <w:p>
      <w:pPr>
        <w:pStyle w:val="83"/>
        <w:spacing w:line="500" w:lineRule="exact"/>
        <w:ind w:firstLine="480" w:firstLineChars="200"/>
        <w:jc w:val="both"/>
        <w:rPr>
          <w:rFonts w:ascii="宋体" w:hAnsi="宋体"/>
          <w:color w:val="auto"/>
        </w:rPr>
      </w:pPr>
      <w:r>
        <w:rPr>
          <w:rFonts w:hint="eastAsia" w:ascii="宋体" w:hAnsi="宋体"/>
          <w:color w:val="auto"/>
        </w:rPr>
        <w:t>5.1.3  招标货物需求一览表及技术规格要求</w:t>
      </w:r>
    </w:p>
    <w:p>
      <w:pPr>
        <w:pStyle w:val="83"/>
        <w:spacing w:line="500" w:lineRule="exact"/>
        <w:ind w:firstLine="480" w:firstLineChars="200"/>
        <w:jc w:val="both"/>
        <w:rPr>
          <w:rFonts w:ascii="宋体" w:hAnsi="宋体"/>
          <w:color w:val="auto"/>
        </w:rPr>
      </w:pPr>
      <w:r>
        <w:rPr>
          <w:rFonts w:hint="eastAsia" w:ascii="宋体" w:hAnsi="宋体"/>
          <w:color w:val="auto"/>
        </w:rPr>
        <w:t>5.1.4  商务合同主要条款</w:t>
      </w:r>
    </w:p>
    <w:p>
      <w:pPr>
        <w:pStyle w:val="83"/>
        <w:spacing w:line="500" w:lineRule="exact"/>
        <w:ind w:left="478" w:leftChars="228"/>
        <w:jc w:val="both"/>
        <w:rPr>
          <w:rFonts w:ascii="宋体" w:hAnsi="宋体"/>
          <w:color w:val="auto"/>
        </w:rPr>
      </w:pPr>
      <w:r>
        <w:rPr>
          <w:rFonts w:hint="eastAsia" w:ascii="宋体" w:hAnsi="宋体"/>
          <w:color w:val="auto"/>
        </w:rPr>
        <w:t>5.1.5　投标文件格式</w:t>
      </w:r>
      <w:r>
        <w:rPr>
          <w:rFonts w:hint="eastAsia" w:ascii="宋体" w:hAnsi="宋体"/>
          <w:color w:val="auto"/>
        </w:rPr>
        <w:br w:type="textWrapping"/>
      </w:r>
      <w:r>
        <w:rPr>
          <w:rFonts w:hint="eastAsia" w:ascii="宋体" w:hAnsi="宋体"/>
          <w:color w:val="auto"/>
        </w:rPr>
        <w:t>5.1.6  其  他　</w:t>
      </w:r>
    </w:p>
    <w:p>
      <w:pPr>
        <w:pStyle w:val="83"/>
        <w:spacing w:line="500" w:lineRule="exact"/>
        <w:ind w:firstLine="480" w:firstLineChars="200"/>
        <w:jc w:val="both"/>
        <w:rPr>
          <w:rFonts w:ascii="宋体" w:hAnsi="宋体"/>
          <w:color w:val="auto"/>
        </w:rPr>
      </w:pPr>
      <w:r>
        <w:rPr>
          <w:rFonts w:hint="eastAsia" w:ascii="宋体" w:hAnsi="宋体"/>
          <w:color w:val="auto"/>
        </w:rPr>
        <w:t>5.2 投标供应商应认真阅读招标文件中所有的事项、格式、条款和规范等要求。如果没有按照招标文件要求提交全部资料或者投标文件没有对招标文件做出实质性响应，其投标文件可能被拒绝。</w:t>
      </w:r>
    </w:p>
    <w:p>
      <w:pPr>
        <w:pStyle w:val="83"/>
        <w:spacing w:line="500" w:lineRule="exact"/>
        <w:ind w:firstLine="480" w:firstLineChars="200"/>
        <w:jc w:val="both"/>
        <w:rPr>
          <w:rFonts w:ascii="宋体" w:hAnsi="宋体"/>
          <w:color w:val="auto"/>
        </w:rPr>
      </w:pPr>
      <w:r>
        <w:rPr>
          <w:rFonts w:hint="eastAsia" w:ascii="宋体" w:hAnsi="宋体"/>
          <w:color w:val="auto"/>
        </w:rPr>
        <w:t>6.  招标文件的澄清</w:t>
      </w:r>
    </w:p>
    <w:p>
      <w:pPr>
        <w:pStyle w:val="83"/>
        <w:spacing w:line="500" w:lineRule="exact"/>
        <w:ind w:firstLine="480" w:firstLineChars="200"/>
        <w:jc w:val="both"/>
        <w:rPr>
          <w:rFonts w:ascii="宋体" w:hAnsi="宋体"/>
          <w:color w:val="auto"/>
        </w:rPr>
      </w:pPr>
      <w:r>
        <w:rPr>
          <w:rFonts w:hint="eastAsia" w:ascii="宋体" w:hAnsi="宋体"/>
          <w:color w:val="auto"/>
        </w:rPr>
        <w:t>6.1  招标采购单位对已发出的招标文件进行必要澄清或者修改的，应当在招标文件要求提交投标文件截止时间15日前，在财政部门指定的政府采购信息发布媒体上发布更正公告，并以书面形式通知所有招标文件收受人。该澄清或者修改的内容为招标文件的组成部分。</w:t>
      </w:r>
    </w:p>
    <w:p>
      <w:pPr>
        <w:pStyle w:val="83"/>
        <w:spacing w:line="500" w:lineRule="exact"/>
        <w:ind w:firstLine="480" w:firstLineChars="200"/>
        <w:jc w:val="both"/>
        <w:rPr>
          <w:rFonts w:ascii="宋体" w:hAnsi="宋体"/>
          <w:color w:val="auto"/>
        </w:rPr>
      </w:pPr>
      <w:r>
        <w:rPr>
          <w:rFonts w:hint="eastAsia" w:ascii="宋体" w:hAnsi="宋体"/>
          <w:color w:val="auto"/>
        </w:rPr>
        <w:t xml:space="preserve">7.  招标文件的澄清与修改 </w:t>
      </w:r>
    </w:p>
    <w:p>
      <w:pPr>
        <w:pStyle w:val="83"/>
        <w:spacing w:line="500" w:lineRule="exact"/>
        <w:ind w:firstLine="480" w:firstLineChars="200"/>
        <w:jc w:val="both"/>
        <w:rPr>
          <w:rFonts w:ascii="宋体" w:hAnsi="宋体"/>
          <w:color w:val="auto"/>
        </w:rPr>
      </w:pPr>
      <w:r>
        <w:rPr>
          <w:rFonts w:hint="eastAsia" w:ascii="宋体" w:hAnsi="宋体"/>
          <w:color w:val="auto"/>
        </w:rPr>
        <w:t>7.1 供应商应认真阅读本招标文件，发现其中有误或有不合理要求的，供应商必须在投标截止日期前 15 日以书面形式要求招标采购单位澄清，在招标现场以任何方式和理由对招标文件提出的质疑都将被拒绝。采购代理机构对已发出的招标文件进行必要澄清、答复、修改或补充的，应当在招标文件要求提交投标文件截止时间15天前，以书面形式通知所有招标文件收受人。</w:t>
      </w:r>
    </w:p>
    <w:p>
      <w:pPr>
        <w:pStyle w:val="83"/>
        <w:spacing w:line="500" w:lineRule="exact"/>
        <w:ind w:firstLine="480" w:firstLineChars="200"/>
        <w:jc w:val="both"/>
        <w:rPr>
          <w:rFonts w:ascii="宋体" w:hAnsi="宋体"/>
          <w:color w:val="auto"/>
        </w:rPr>
      </w:pPr>
      <w:r>
        <w:rPr>
          <w:rFonts w:hint="eastAsia" w:ascii="宋体" w:hAnsi="宋体"/>
          <w:color w:val="auto"/>
        </w:rPr>
        <w:t>7.2 采购代理机构必须以书面形式答复供应商要求澄清的问题，并将不包含问题来源的答复书面通知所有购买招标文件的供应商；除书面答复以外的其他澄清方式及澄清内容均无效。</w:t>
      </w:r>
    </w:p>
    <w:p>
      <w:pPr>
        <w:pStyle w:val="83"/>
        <w:spacing w:line="500" w:lineRule="exact"/>
        <w:ind w:firstLine="480" w:firstLineChars="200"/>
        <w:jc w:val="both"/>
        <w:rPr>
          <w:rFonts w:ascii="宋体" w:hAnsi="宋体"/>
          <w:color w:val="auto"/>
        </w:rPr>
      </w:pPr>
      <w:r>
        <w:rPr>
          <w:rFonts w:hint="eastAsia" w:ascii="宋体" w:hAnsi="宋体"/>
          <w:color w:val="auto"/>
        </w:rPr>
        <w:t>7.3 招标文件的答复、澄清、修改、补充通知实质上改变招标需求相关内容，且自招标文件的答复、澄清、修改、补充通知发出之日起至投标截止时间止不足15天的，招标采购单位应推迟投标截止时间和开标时间，并将变更后的时间书面通知所有招标文件收受人。</w:t>
      </w:r>
    </w:p>
    <w:p>
      <w:pPr>
        <w:pStyle w:val="83"/>
        <w:spacing w:line="500" w:lineRule="exact"/>
        <w:ind w:firstLine="480" w:firstLineChars="200"/>
        <w:jc w:val="both"/>
        <w:rPr>
          <w:rFonts w:ascii="宋体" w:hAnsi="宋体"/>
          <w:color w:val="auto"/>
        </w:rPr>
      </w:pPr>
      <w:r>
        <w:rPr>
          <w:rFonts w:hint="eastAsia" w:ascii="宋体" w:hAnsi="宋体"/>
          <w:color w:val="auto"/>
        </w:rPr>
        <w:t>7.4 招标文件澄清、答复、修改、补充的内容为招标文件的组成部分。当招标文件与招标文件的答复、澄清、修改、补充通知就同一内容的表述不一致时，以最后发出的书面文件为准。</w:t>
      </w:r>
    </w:p>
    <w:p>
      <w:pPr>
        <w:pStyle w:val="83"/>
        <w:spacing w:line="500" w:lineRule="exact"/>
        <w:ind w:firstLine="480" w:firstLineChars="200"/>
        <w:jc w:val="both"/>
        <w:rPr>
          <w:rFonts w:ascii="宋体" w:hAnsi="宋体"/>
          <w:color w:val="auto"/>
        </w:rPr>
      </w:pPr>
      <w:r>
        <w:rPr>
          <w:rFonts w:hint="eastAsia" w:ascii="宋体" w:hAnsi="宋体"/>
          <w:color w:val="auto"/>
        </w:rPr>
        <w:t>7.5 招标文件的澄清、答复、修改或补充都应该通过本代理机构以法定形式发布，采购人非通过本机构，不得擅自澄清、答复、修改或补充招标文件。</w:t>
      </w:r>
    </w:p>
    <w:p>
      <w:pPr>
        <w:pStyle w:val="83"/>
        <w:spacing w:line="500" w:lineRule="exact"/>
        <w:ind w:firstLine="480" w:firstLineChars="200"/>
        <w:jc w:val="both"/>
        <w:outlineLvl w:val="1"/>
        <w:rPr>
          <w:rFonts w:ascii="宋体" w:hAnsi="宋体"/>
          <w:color w:val="auto"/>
        </w:rPr>
      </w:pPr>
      <w:bookmarkStart w:id="5" w:name="_Toc22109"/>
      <w:r>
        <w:rPr>
          <w:rFonts w:hint="eastAsia" w:ascii="宋体" w:hAnsi="宋体"/>
          <w:color w:val="auto"/>
        </w:rPr>
        <w:t>三、投标文件的编制</w:t>
      </w:r>
      <w:bookmarkEnd w:id="5"/>
    </w:p>
    <w:p>
      <w:pPr>
        <w:pStyle w:val="83"/>
        <w:spacing w:line="500" w:lineRule="exact"/>
        <w:ind w:firstLine="480" w:firstLineChars="200"/>
        <w:jc w:val="both"/>
        <w:rPr>
          <w:rFonts w:ascii="宋体" w:hAnsi="宋体"/>
          <w:color w:val="auto"/>
        </w:rPr>
      </w:pPr>
      <w:r>
        <w:rPr>
          <w:rFonts w:hint="eastAsia" w:ascii="宋体" w:hAnsi="宋体"/>
          <w:color w:val="auto"/>
        </w:rPr>
        <w:t>8.  投标文件的编写</w:t>
      </w:r>
    </w:p>
    <w:p>
      <w:pPr>
        <w:pStyle w:val="83"/>
        <w:spacing w:line="500" w:lineRule="exact"/>
        <w:ind w:firstLine="480" w:firstLineChars="200"/>
        <w:jc w:val="both"/>
        <w:rPr>
          <w:rFonts w:ascii="宋体" w:hAnsi="宋体"/>
          <w:color w:val="auto"/>
        </w:rPr>
      </w:pPr>
      <w:r>
        <w:rPr>
          <w:rFonts w:hint="eastAsia" w:ascii="宋体" w:hAnsi="宋体"/>
          <w:color w:val="auto"/>
        </w:rPr>
        <w:t>8.1  投标供应商应仔细阅读招标文件,了解招标文件的要求。在充分理解招标文件提出的货物规格型号、技术性能、技术参数、服务和商务条件后，制作投标文件。</w:t>
      </w:r>
    </w:p>
    <w:p>
      <w:pPr>
        <w:pStyle w:val="83"/>
        <w:spacing w:line="500" w:lineRule="exact"/>
        <w:ind w:firstLine="480" w:firstLineChars="200"/>
        <w:jc w:val="both"/>
        <w:rPr>
          <w:rFonts w:ascii="宋体" w:hAnsi="宋体"/>
          <w:color w:val="auto"/>
        </w:rPr>
      </w:pPr>
      <w:r>
        <w:rPr>
          <w:rFonts w:hint="eastAsia" w:ascii="宋体" w:hAnsi="宋体"/>
          <w:color w:val="auto"/>
        </w:rPr>
        <w:t>9.  投标的语言及计量单位</w:t>
      </w:r>
    </w:p>
    <w:p>
      <w:pPr>
        <w:pStyle w:val="83"/>
        <w:spacing w:line="500" w:lineRule="exact"/>
        <w:ind w:firstLine="480" w:firstLineChars="200"/>
        <w:jc w:val="both"/>
        <w:rPr>
          <w:rFonts w:ascii="宋体" w:hAnsi="宋体"/>
          <w:color w:val="auto"/>
        </w:rPr>
      </w:pPr>
      <w:r>
        <w:rPr>
          <w:rFonts w:hint="eastAsia" w:ascii="宋体" w:hAnsi="宋体"/>
          <w:color w:val="auto"/>
        </w:rPr>
        <w:t>9.1  投标供应商的投标文件以及投标供应商与招标代理机构就有关招标活动的所有来往函电均应使用中文。如果投标文件或与投标有关的其它文件、信件及来往函电以其它语言书写，投标供应商应将其译成中文。</w:t>
      </w:r>
    </w:p>
    <w:p>
      <w:pPr>
        <w:pStyle w:val="83"/>
        <w:spacing w:line="500" w:lineRule="exact"/>
        <w:ind w:firstLine="480" w:firstLineChars="200"/>
        <w:jc w:val="both"/>
        <w:rPr>
          <w:rFonts w:ascii="宋体" w:hAnsi="宋体"/>
          <w:color w:val="auto"/>
        </w:rPr>
      </w:pPr>
      <w:r>
        <w:rPr>
          <w:rFonts w:hint="eastAsia" w:ascii="宋体" w:hAnsi="宋体"/>
          <w:color w:val="auto"/>
        </w:rPr>
        <w:t>9.2  投标文件中所使用的计量单位除招标文件中有特殊规定外，一律使用法定计量单位。</w:t>
      </w:r>
    </w:p>
    <w:p>
      <w:pPr>
        <w:pStyle w:val="83"/>
        <w:spacing w:line="500" w:lineRule="exact"/>
        <w:ind w:firstLine="480" w:firstLineChars="200"/>
        <w:jc w:val="both"/>
        <w:rPr>
          <w:rFonts w:ascii="宋体" w:hAnsi="宋体"/>
          <w:color w:val="auto"/>
        </w:rPr>
      </w:pPr>
      <w:r>
        <w:rPr>
          <w:rFonts w:hint="eastAsia" w:ascii="宋体" w:hAnsi="宋体"/>
          <w:color w:val="auto"/>
        </w:rPr>
        <w:t>10.  投标文件构成</w:t>
      </w:r>
    </w:p>
    <w:p>
      <w:pPr>
        <w:pStyle w:val="83"/>
        <w:spacing w:line="500" w:lineRule="exact"/>
        <w:ind w:firstLine="480" w:firstLineChars="200"/>
        <w:jc w:val="both"/>
        <w:rPr>
          <w:rFonts w:ascii="宋体" w:hAnsi="宋体"/>
          <w:color w:val="auto"/>
        </w:rPr>
      </w:pPr>
      <w:r>
        <w:rPr>
          <w:rFonts w:hint="eastAsia" w:ascii="宋体" w:hAnsi="宋体"/>
          <w:color w:val="auto"/>
        </w:rPr>
        <w:t>10.1  投标供应商编写的投标文件应按下列顺序及内容提供:</w:t>
      </w:r>
    </w:p>
    <w:p>
      <w:pPr>
        <w:pStyle w:val="83"/>
        <w:spacing w:line="500" w:lineRule="exact"/>
        <w:ind w:firstLine="480" w:firstLineChars="200"/>
        <w:jc w:val="both"/>
        <w:rPr>
          <w:rFonts w:ascii="宋体" w:hAnsi="宋体"/>
          <w:bCs/>
          <w:color w:val="auto"/>
        </w:rPr>
      </w:pPr>
      <w:r>
        <w:rPr>
          <w:rFonts w:hint="eastAsia" w:ascii="宋体" w:hAnsi="宋体"/>
          <w:bCs/>
          <w:color w:val="auto"/>
        </w:rPr>
        <w:t>10.1.1  商务投标书;</w:t>
      </w:r>
    </w:p>
    <w:p>
      <w:pPr>
        <w:spacing w:line="500" w:lineRule="exact"/>
        <w:ind w:firstLine="480"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(1)投标函(含法定代表人身份证明或授权委托书)；</w:t>
      </w:r>
    </w:p>
    <w:p>
      <w:pPr>
        <w:spacing w:line="500" w:lineRule="exact"/>
        <w:ind w:firstLine="480"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(2)开标一览表；</w:t>
      </w:r>
    </w:p>
    <w:p>
      <w:pPr>
        <w:spacing w:line="500" w:lineRule="exact"/>
        <w:ind w:firstLine="480"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(3)投标分项报价表；</w:t>
      </w:r>
    </w:p>
    <w:p>
      <w:pPr>
        <w:spacing w:line="500" w:lineRule="exact"/>
        <w:ind w:firstLine="480"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(4)商务条款偏离表；</w:t>
      </w:r>
    </w:p>
    <w:p>
      <w:pPr>
        <w:spacing w:line="500" w:lineRule="exact"/>
        <w:ind w:firstLine="480"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(5)投标保证金</w:t>
      </w:r>
      <w:r>
        <w:rPr>
          <w:rFonts w:hint="eastAsia" w:asciiTheme="minorEastAsia" w:hAnsiTheme="minorEastAsia" w:eastAsiaTheme="minorEastAsia" w:cstheme="minorEastAsia"/>
          <w:b/>
          <w:bCs/>
          <w:color w:val="auto"/>
          <w:sz w:val="24"/>
          <w:szCs w:val="24"/>
          <w:lang w:eastAsia="zh-CN"/>
        </w:rPr>
        <w:t>汇款凭证</w:t>
      </w:r>
      <w:r>
        <w:rPr>
          <w:rFonts w:hint="eastAsia" w:asciiTheme="minorEastAsia" w:hAnsiTheme="minorEastAsia" w:eastAsiaTheme="minorEastAsia" w:cstheme="minorEastAsia"/>
          <w:b/>
          <w:bCs/>
          <w:color w:val="auto"/>
          <w:sz w:val="24"/>
          <w:szCs w:val="24"/>
        </w:rPr>
        <w:t>；</w:t>
      </w:r>
    </w:p>
    <w:p>
      <w:pPr>
        <w:spacing w:line="500" w:lineRule="exact"/>
        <w:ind w:firstLine="480" w:firstLineChars="200"/>
        <w:rPr>
          <w:rFonts w:ascii="宋体" w:hAnsi="宋体" w:cs="Arial"/>
          <w:b/>
          <w:color w:val="auto"/>
          <w:sz w:val="24"/>
          <w:szCs w:val="24"/>
        </w:rPr>
      </w:pPr>
      <w:r>
        <w:rPr>
          <w:rFonts w:hint="eastAsia" w:asciiTheme="minorEastAsia" w:hAnsiTheme="minorEastAsia" w:eastAsiaTheme="minorEastAsia" w:cstheme="minorEastAsia"/>
          <w:b/>
          <w:bCs/>
          <w:color w:val="auto"/>
          <w:sz w:val="24"/>
          <w:szCs w:val="24"/>
        </w:rPr>
        <w:t>(6)</w:t>
      </w:r>
      <w:r>
        <w:rPr>
          <w:rFonts w:hint="eastAsia" w:ascii="宋体" w:hAnsi="宋体" w:cs="Arial"/>
          <w:b/>
          <w:color w:val="auto"/>
          <w:sz w:val="24"/>
          <w:szCs w:val="24"/>
        </w:rPr>
        <w:t>供应商符合投标人资格条件的证明文件</w:t>
      </w:r>
    </w:p>
    <w:p>
      <w:pPr>
        <w:spacing w:line="500" w:lineRule="exact"/>
        <w:ind w:firstLine="480" w:firstLineChars="200"/>
        <w:rPr>
          <w:rFonts w:ascii="宋体" w:hAnsi="宋体" w:cs="Arial"/>
          <w:color w:val="auto"/>
          <w:sz w:val="24"/>
          <w:szCs w:val="24"/>
        </w:rPr>
      </w:pPr>
      <w:r>
        <w:rPr>
          <w:rFonts w:hint="eastAsia" w:asciiTheme="minorEastAsia" w:hAnsiTheme="minorEastAsia" w:eastAsiaTheme="minorEastAsia" w:cstheme="minorEastAsia"/>
          <w:color w:val="auto"/>
          <w:sz w:val="24"/>
          <w:szCs w:val="24"/>
        </w:rPr>
        <w:t>(7)</w:t>
      </w:r>
      <w:r>
        <w:rPr>
          <w:rFonts w:hint="eastAsia" w:ascii="宋体" w:hAnsi="宋体" w:cs="Arial"/>
          <w:color w:val="auto"/>
          <w:sz w:val="24"/>
          <w:szCs w:val="24"/>
        </w:rPr>
        <w:t>投标供应商需提供近两年（2019年0</w:t>
      </w:r>
      <w:r>
        <w:rPr>
          <w:rFonts w:hint="eastAsia" w:ascii="宋体" w:hAnsi="宋体" w:cs="Arial"/>
          <w:color w:val="auto"/>
          <w:sz w:val="24"/>
          <w:szCs w:val="24"/>
          <w:lang w:val="en-US" w:eastAsia="zh-CN"/>
        </w:rPr>
        <w:t>8</w:t>
      </w:r>
      <w:r>
        <w:rPr>
          <w:rFonts w:hint="eastAsia" w:ascii="宋体" w:hAnsi="宋体" w:cs="Arial"/>
          <w:color w:val="auto"/>
          <w:sz w:val="24"/>
          <w:szCs w:val="24"/>
        </w:rPr>
        <w:t>月01日至今）类似项目业绩表（附合同或中标通知书或成交通知书复印件）；</w:t>
      </w:r>
    </w:p>
    <w:p>
      <w:pPr>
        <w:pStyle w:val="2"/>
        <w:ind w:firstLine="480" w:firstLineChars="200"/>
        <w:rPr>
          <w:rFonts w:ascii="宋体" w:hAnsi="宋体"/>
          <w:color w:val="auto"/>
          <w:sz w:val="24"/>
          <w:szCs w:val="24"/>
        </w:rPr>
      </w:pPr>
      <w:r>
        <w:rPr>
          <w:rFonts w:hint="eastAsia" w:asciiTheme="minorEastAsia" w:hAnsiTheme="minorEastAsia" w:eastAsiaTheme="minorEastAsia" w:cstheme="minorEastAsia"/>
          <w:color w:val="auto"/>
          <w:sz w:val="24"/>
          <w:szCs w:val="24"/>
        </w:rPr>
        <w:t>(8)</w:t>
      </w:r>
      <w:r>
        <w:rPr>
          <w:rFonts w:hint="eastAsia" w:ascii="宋体" w:hAnsi="宋体"/>
          <w:color w:val="auto"/>
          <w:sz w:val="24"/>
          <w:szCs w:val="24"/>
        </w:rPr>
        <w:t xml:space="preserve">符合政府采购政策的证明材料                                                                                                                                                                                                                                                                                                                                                                                                                                                                                                                                                                </w:t>
      </w:r>
    </w:p>
    <w:p>
      <w:pPr>
        <w:pStyle w:val="2"/>
        <w:ind w:firstLine="480" w:firstLineChars="200"/>
        <w:rPr>
          <w:rFonts w:ascii="宋体" w:hAnsi="宋体"/>
          <w:color w:val="auto"/>
          <w:sz w:val="24"/>
          <w:szCs w:val="24"/>
        </w:rPr>
      </w:pPr>
      <w:r>
        <w:rPr>
          <w:rFonts w:hint="eastAsia" w:asciiTheme="minorEastAsia" w:hAnsiTheme="minorEastAsia" w:eastAsiaTheme="minorEastAsia" w:cstheme="minorEastAsia"/>
          <w:color w:val="auto"/>
          <w:sz w:val="24"/>
          <w:szCs w:val="24"/>
        </w:rPr>
        <w:t>(9)</w:t>
      </w:r>
      <w:r>
        <w:rPr>
          <w:rFonts w:hint="eastAsia" w:ascii="宋体" w:hAnsi="宋体"/>
          <w:color w:val="auto"/>
          <w:sz w:val="24"/>
          <w:szCs w:val="24"/>
        </w:rPr>
        <w:t>投标供应商认为有必要提供的声明及文件资料。</w:t>
      </w:r>
    </w:p>
    <w:p>
      <w:pPr>
        <w:spacing w:line="500" w:lineRule="exact"/>
        <w:ind w:firstLine="480" w:firstLineChars="200"/>
        <w:rPr>
          <w:rFonts w:ascii="宋体" w:hAnsi="宋体"/>
          <w:bCs/>
          <w:color w:val="auto"/>
          <w:sz w:val="24"/>
          <w:szCs w:val="24"/>
        </w:rPr>
      </w:pPr>
      <w:r>
        <w:rPr>
          <w:rFonts w:hint="eastAsia" w:ascii="宋体" w:hAnsi="宋体"/>
          <w:bCs/>
          <w:color w:val="auto"/>
          <w:sz w:val="24"/>
          <w:szCs w:val="24"/>
        </w:rPr>
        <w:t>10.1.2  技术投标书</w:t>
      </w:r>
    </w:p>
    <w:p>
      <w:pPr>
        <w:spacing w:line="500" w:lineRule="exact"/>
        <w:ind w:firstLine="480" w:firstLineChars="200"/>
        <w:rPr>
          <w:rFonts w:ascii="宋体" w:hAnsi="宋体"/>
          <w:b/>
          <w:bCs/>
          <w:color w:val="auto"/>
          <w:sz w:val="24"/>
          <w:szCs w:val="24"/>
        </w:rPr>
      </w:pPr>
      <w:r>
        <w:rPr>
          <w:rFonts w:hint="eastAsia" w:ascii="宋体" w:hAnsi="宋体"/>
          <w:b/>
          <w:bCs/>
          <w:color w:val="auto"/>
          <w:sz w:val="24"/>
          <w:szCs w:val="24"/>
        </w:rPr>
        <w:t>(1) 项目实施方案、技术方案或服务方案；</w:t>
      </w:r>
    </w:p>
    <w:p>
      <w:pPr>
        <w:spacing w:line="500" w:lineRule="exact"/>
        <w:ind w:firstLine="480" w:firstLineChars="200"/>
        <w:rPr>
          <w:rFonts w:ascii="宋体" w:hAnsi="宋体"/>
          <w:b/>
          <w:bCs/>
          <w:color w:val="auto"/>
          <w:sz w:val="24"/>
          <w:szCs w:val="24"/>
        </w:rPr>
      </w:pPr>
      <w:r>
        <w:rPr>
          <w:rFonts w:hint="eastAsia" w:ascii="宋体" w:hAnsi="宋体"/>
          <w:b/>
          <w:bCs/>
          <w:color w:val="auto"/>
          <w:sz w:val="24"/>
          <w:szCs w:val="24"/>
        </w:rPr>
        <w:t>(2) 投标供应商必须提供投标设备的详细配置及参数说明；</w:t>
      </w:r>
    </w:p>
    <w:p>
      <w:pPr>
        <w:spacing w:line="500" w:lineRule="exact"/>
        <w:ind w:firstLine="480" w:firstLineChars="200"/>
        <w:rPr>
          <w:rFonts w:ascii="宋体" w:hAnsi="宋体"/>
          <w:b/>
          <w:bCs/>
          <w:color w:val="auto"/>
          <w:sz w:val="24"/>
          <w:szCs w:val="24"/>
        </w:rPr>
      </w:pPr>
      <w:r>
        <w:rPr>
          <w:rFonts w:hint="eastAsia" w:ascii="宋体" w:hAnsi="宋体"/>
          <w:b/>
          <w:bCs/>
          <w:color w:val="auto"/>
          <w:sz w:val="24"/>
          <w:szCs w:val="24"/>
        </w:rPr>
        <w:t>(3) 质量保证措施；</w:t>
      </w:r>
    </w:p>
    <w:p>
      <w:pPr>
        <w:spacing w:line="500" w:lineRule="exact"/>
        <w:ind w:firstLine="480" w:firstLineChars="200"/>
        <w:rPr>
          <w:rFonts w:ascii="宋体" w:hAnsi="宋体"/>
          <w:b/>
          <w:bCs/>
          <w:color w:val="auto"/>
          <w:sz w:val="24"/>
          <w:szCs w:val="24"/>
        </w:rPr>
      </w:pPr>
      <w:r>
        <w:rPr>
          <w:rFonts w:hint="eastAsia" w:ascii="宋体" w:hAnsi="宋体"/>
          <w:b/>
          <w:bCs/>
          <w:color w:val="auto"/>
          <w:sz w:val="24"/>
          <w:szCs w:val="24"/>
        </w:rPr>
        <w:t>(4) 针对本项目执行进度计划；</w:t>
      </w:r>
    </w:p>
    <w:p>
      <w:pPr>
        <w:spacing w:line="500" w:lineRule="exact"/>
        <w:ind w:firstLine="480" w:firstLineChars="200"/>
        <w:rPr>
          <w:rFonts w:ascii="宋体" w:hAnsi="宋体"/>
          <w:b/>
          <w:bCs/>
          <w:color w:val="auto"/>
          <w:sz w:val="24"/>
          <w:szCs w:val="24"/>
        </w:rPr>
      </w:pPr>
      <w:r>
        <w:rPr>
          <w:rFonts w:hint="eastAsia" w:ascii="宋体" w:hAnsi="宋体"/>
          <w:b/>
          <w:bCs/>
          <w:color w:val="auto"/>
          <w:sz w:val="24"/>
          <w:szCs w:val="24"/>
        </w:rPr>
        <w:t>(5) 技术条款偏离表；</w:t>
      </w:r>
    </w:p>
    <w:p>
      <w:pPr>
        <w:spacing w:line="500" w:lineRule="exact"/>
        <w:ind w:left="958" w:leftChars="228" w:hanging="480" w:hangingChars="200"/>
        <w:rPr>
          <w:rFonts w:ascii="宋体" w:hAnsi="宋体"/>
          <w:b/>
          <w:bCs/>
          <w:color w:val="auto"/>
          <w:sz w:val="24"/>
          <w:szCs w:val="24"/>
        </w:rPr>
      </w:pPr>
      <w:r>
        <w:rPr>
          <w:rFonts w:hint="eastAsia" w:ascii="宋体" w:hAnsi="宋体"/>
          <w:b/>
          <w:bCs/>
          <w:color w:val="auto"/>
          <w:sz w:val="24"/>
          <w:szCs w:val="24"/>
        </w:rPr>
        <w:t>(6) 有关的产品（包括但不限于检验报告、产品注册证、指标、产品技术性能详述、验收标准等）；</w:t>
      </w:r>
    </w:p>
    <w:p>
      <w:pPr>
        <w:spacing w:line="500" w:lineRule="exact"/>
        <w:ind w:firstLine="480" w:firstLineChars="200"/>
        <w:rPr>
          <w:rFonts w:ascii="宋体" w:hAnsi="宋体"/>
          <w:b/>
          <w:bCs/>
          <w:color w:val="auto"/>
          <w:sz w:val="24"/>
          <w:szCs w:val="24"/>
        </w:rPr>
      </w:pPr>
      <w:r>
        <w:rPr>
          <w:rFonts w:hint="eastAsia" w:ascii="宋体" w:hAnsi="宋体"/>
          <w:b/>
          <w:bCs/>
          <w:color w:val="auto"/>
          <w:sz w:val="24"/>
          <w:szCs w:val="24"/>
        </w:rPr>
        <w:t>(7) 投标人售后服务承诺；</w:t>
      </w:r>
    </w:p>
    <w:p>
      <w:pPr>
        <w:spacing w:line="500" w:lineRule="exact"/>
        <w:ind w:firstLine="480" w:firstLineChars="200"/>
        <w:rPr>
          <w:rFonts w:ascii="宋体" w:hAnsi="宋体"/>
          <w:b/>
          <w:bCs/>
          <w:color w:val="auto"/>
          <w:sz w:val="24"/>
          <w:szCs w:val="24"/>
        </w:rPr>
      </w:pPr>
      <w:r>
        <w:rPr>
          <w:rFonts w:hint="eastAsia" w:ascii="宋体" w:hAnsi="宋体"/>
          <w:color w:val="auto"/>
          <w:sz w:val="24"/>
          <w:szCs w:val="24"/>
        </w:rPr>
        <w:t>(8) 投标供应商认为有必要提供的声明及文件资料。</w:t>
      </w:r>
    </w:p>
    <w:p>
      <w:pPr>
        <w:pStyle w:val="83"/>
        <w:spacing w:line="500" w:lineRule="exact"/>
        <w:ind w:firstLine="480" w:firstLineChars="200"/>
        <w:jc w:val="both"/>
        <w:rPr>
          <w:rFonts w:ascii="宋体" w:hAnsi="宋体"/>
          <w:color w:val="auto"/>
          <w:kern w:val="2"/>
        </w:rPr>
      </w:pPr>
      <w:r>
        <w:rPr>
          <w:rFonts w:hint="eastAsia" w:ascii="宋体" w:hAnsi="宋体"/>
          <w:color w:val="auto"/>
          <w:kern w:val="2"/>
        </w:rPr>
        <w:t>10.3 第10.1.1条中第(1)-(6)项、第10.1.2条中第(1)-(7)项为必备项，投标供应商必须提供。</w:t>
      </w:r>
    </w:p>
    <w:p>
      <w:pPr>
        <w:pStyle w:val="83"/>
        <w:spacing w:line="500" w:lineRule="exact"/>
        <w:ind w:firstLine="480" w:firstLineChars="200"/>
        <w:jc w:val="both"/>
        <w:rPr>
          <w:rFonts w:ascii="宋体" w:hAnsi="宋体"/>
          <w:color w:val="auto"/>
        </w:rPr>
      </w:pPr>
      <w:r>
        <w:rPr>
          <w:rFonts w:hint="eastAsia" w:ascii="宋体" w:hAnsi="宋体"/>
          <w:color w:val="auto"/>
        </w:rPr>
        <w:t>11.  投标文件的格式</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11.1  招标文件附件及招标文件各章节提供了一部分用于编制投标文件时必要的格式，投标供应商应按此格式编制投标文件。</w:t>
      </w:r>
    </w:p>
    <w:p>
      <w:pPr>
        <w:pStyle w:val="83"/>
        <w:spacing w:line="500" w:lineRule="exact"/>
        <w:ind w:firstLine="480" w:firstLineChars="200"/>
        <w:jc w:val="both"/>
        <w:rPr>
          <w:rFonts w:ascii="宋体" w:hAnsi="宋体"/>
          <w:color w:val="auto"/>
        </w:rPr>
      </w:pPr>
      <w:r>
        <w:rPr>
          <w:rFonts w:hint="eastAsia" w:ascii="宋体" w:hAnsi="宋体"/>
          <w:color w:val="auto"/>
        </w:rPr>
        <w:t>11.2  招标文件中未提供格式的部分由投标供应商自行编制。</w:t>
      </w:r>
    </w:p>
    <w:p>
      <w:pPr>
        <w:pStyle w:val="83"/>
        <w:spacing w:line="500" w:lineRule="exact"/>
        <w:ind w:firstLine="480" w:firstLineChars="200"/>
        <w:jc w:val="both"/>
        <w:rPr>
          <w:rFonts w:ascii="宋体" w:hAnsi="宋体"/>
          <w:color w:val="auto"/>
        </w:rPr>
      </w:pPr>
      <w:r>
        <w:rPr>
          <w:rFonts w:hint="eastAsia" w:ascii="宋体" w:hAnsi="宋体"/>
          <w:color w:val="auto"/>
        </w:rPr>
        <w:t>12.  投标报价</w:t>
      </w:r>
    </w:p>
    <w:p>
      <w:pPr>
        <w:pStyle w:val="83"/>
        <w:spacing w:line="500" w:lineRule="exact"/>
        <w:ind w:firstLine="480" w:firstLineChars="200"/>
        <w:jc w:val="both"/>
        <w:rPr>
          <w:rFonts w:ascii="宋体" w:hAnsi="宋体"/>
          <w:b/>
          <w:bCs/>
          <w:color w:val="auto"/>
        </w:rPr>
      </w:pPr>
      <w:r>
        <w:rPr>
          <w:rFonts w:hint="eastAsia" w:ascii="宋体" w:hAnsi="宋体"/>
          <w:b/>
          <w:bCs/>
          <w:color w:val="auto"/>
        </w:rPr>
        <w:t>12.1</w:t>
      </w:r>
      <w:r>
        <w:rPr>
          <w:rFonts w:hint="eastAsia" w:ascii="宋体" w:hAnsi="宋体"/>
          <w:color w:val="auto"/>
        </w:rPr>
        <w:t xml:space="preserve">  </w:t>
      </w:r>
      <w:r>
        <w:rPr>
          <w:rFonts w:hint="eastAsia" w:ascii="宋体" w:hAnsi="宋体"/>
          <w:b/>
          <w:bCs/>
          <w:color w:val="auto"/>
        </w:rPr>
        <w:t>除本招标文件另有规定外，投标供应商应按招标文件所附相应的开标一览表格式标明拟提供货物的单价和总价等内容；投标分项报价明细表中应按要求报设备明细、数量、单价及费用等内容（详见附件）。</w:t>
      </w:r>
    </w:p>
    <w:p>
      <w:pPr>
        <w:pStyle w:val="83"/>
        <w:spacing w:line="500" w:lineRule="exact"/>
        <w:ind w:firstLine="480" w:firstLineChars="200"/>
        <w:jc w:val="both"/>
        <w:rPr>
          <w:rFonts w:ascii="宋体" w:hAnsi="宋体"/>
          <w:b/>
          <w:bCs/>
          <w:color w:val="auto"/>
        </w:rPr>
      </w:pPr>
      <w:r>
        <w:rPr>
          <w:rFonts w:hint="eastAsia" w:ascii="宋体" w:hAnsi="宋体"/>
          <w:b/>
          <w:bCs/>
          <w:color w:val="auto"/>
        </w:rPr>
        <w:t>12.2  任何有选择性的报价将不予接受，每种货物只允许有一个报价。</w:t>
      </w:r>
    </w:p>
    <w:p>
      <w:pPr>
        <w:pStyle w:val="83"/>
        <w:spacing w:line="500" w:lineRule="exact"/>
        <w:ind w:firstLine="480" w:firstLineChars="200"/>
        <w:jc w:val="both"/>
        <w:rPr>
          <w:rFonts w:ascii="宋体" w:hAnsi="宋体"/>
          <w:color w:val="auto"/>
        </w:rPr>
      </w:pPr>
      <w:r>
        <w:rPr>
          <w:rFonts w:hint="eastAsia" w:ascii="宋体" w:hAnsi="宋体"/>
          <w:color w:val="auto"/>
        </w:rPr>
        <w:t>12.3  供应商须充分注意并重视第三章“招标货物需求一览表及技术规格要求”的内容，并严格按该章的有关内容做出实质性响应。</w:t>
      </w:r>
    </w:p>
    <w:p>
      <w:pPr>
        <w:pStyle w:val="83"/>
        <w:spacing w:line="500" w:lineRule="exact"/>
        <w:ind w:firstLine="480" w:firstLineChars="200"/>
        <w:jc w:val="both"/>
        <w:rPr>
          <w:rFonts w:ascii="宋体" w:hAnsi="宋体"/>
          <w:color w:val="auto"/>
        </w:rPr>
      </w:pPr>
      <w:r>
        <w:rPr>
          <w:rFonts w:hint="eastAsia" w:ascii="宋体" w:hAnsi="宋体"/>
          <w:color w:val="auto"/>
        </w:rPr>
        <w:t>12.4  投标供应商可按招标文件第三章“招标货物需求一览表及技术规格要求”的内容全部报价，投标报价应包括：</w:t>
      </w:r>
    </w:p>
    <w:p>
      <w:pPr>
        <w:pStyle w:val="83"/>
        <w:spacing w:line="500" w:lineRule="exact"/>
        <w:ind w:firstLine="480" w:firstLineChars="200"/>
        <w:jc w:val="both"/>
        <w:rPr>
          <w:rFonts w:ascii="宋体" w:hAnsi="宋体"/>
          <w:b/>
          <w:bCs/>
          <w:color w:val="auto"/>
        </w:rPr>
      </w:pPr>
      <w:r>
        <w:rPr>
          <w:rFonts w:hint="eastAsia" w:ascii="宋体" w:hAnsi="宋体"/>
          <w:b/>
          <w:bCs/>
          <w:color w:val="auto"/>
        </w:rPr>
        <w:t>12.4.1  设备价格、运费保险、安装调试费、含税费等费用。</w:t>
      </w:r>
    </w:p>
    <w:p>
      <w:pPr>
        <w:pStyle w:val="83"/>
        <w:spacing w:line="500" w:lineRule="exact"/>
        <w:ind w:firstLine="480" w:firstLineChars="200"/>
        <w:jc w:val="both"/>
        <w:rPr>
          <w:rFonts w:ascii="宋体" w:hAnsi="宋体"/>
          <w:color w:val="auto"/>
        </w:rPr>
      </w:pPr>
      <w:r>
        <w:rPr>
          <w:rFonts w:hint="eastAsia" w:ascii="宋体" w:hAnsi="宋体"/>
          <w:color w:val="auto"/>
        </w:rPr>
        <w:t>12.4.2  技术规格中特别要求的零、备件费用及售后服务费用。</w:t>
      </w:r>
    </w:p>
    <w:p>
      <w:pPr>
        <w:pStyle w:val="83"/>
        <w:spacing w:line="500" w:lineRule="exact"/>
        <w:ind w:firstLine="480" w:firstLineChars="200"/>
        <w:jc w:val="both"/>
        <w:rPr>
          <w:rFonts w:ascii="宋体" w:hAnsi="宋体"/>
          <w:color w:val="auto"/>
        </w:rPr>
      </w:pPr>
      <w:r>
        <w:rPr>
          <w:rFonts w:hint="eastAsia" w:ascii="宋体" w:hAnsi="宋体"/>
          <w:color w:val="auto"/>
        </w:rPr>
        <w:t>13.   投标货币</w:t>
      </w:r>
    </w:p>
    <w:p>
      <w:pPr>
        <w:pStyle w:val="83"/>
        <w:spacing w:line="500" w:lineRule="exact"/>
        <w:ind w:firstLine="480" w:firstLineChars="200"/>
        <w:jc w:val="both"/>
        <w:rPr>
          <w:rFonts w:ascii="宋体" w:hAnsi="宋体"/>
          <w:color w:val="auto"/>
        </w:rPr>
      </w:pPr>
      <w:r>
        <w:rPr>
          <w:rFonts w:hint="eastAsia" w:ascii="宋体" w:hAnsi="宋体"/>
          <w:color w:val="auto"/>
        </w:rPr>
        <w:t>13.1  投标以人民币报价。</w:t>
      </w:r>
    </w:p>
    <w:p>
      <w:pPr>
        <w:pStyle w:val="83"/>
        <w:spacing w:line="500" w:lineRule="exact"/>
        <w:ind w:firstLine="480" w:firstLineChars="200"/>
        <w:jc w:val="both"/>
        <w:rPr>
          <w:rFonts w:ascii="宋体" w:hAnsi="宋体"/>
          <w:color w:val="auto"/>
        </w:rPr>
      </w:pPr>
      <w:r>
        <w:rPr>
          <w:rFonts w:hint="eastAsia" w:ascii="宋体" w:hAnsi="宋体"/>
          <w:color w:val="auto"/>
        </w:rPr>
        <w:t>14.   证明投标供应商合格和资格的文件。</w:t>
      </w:r>
    </w:p>
    <w:p>
      <w:pPr>
        <w:pStyle w:val="83"/>
        <w:spacing w:line="500" w:lineRule="exact"/>
        <w:ind w:firstLine="480" w:firstLineChars="200"/>
        <w:jc w:val="both"/>
        <w:rPr>
          <w:rFonts w:ascii="宋体" w:hAnsi="宋体"/>
          <w:color w:val="auto"/>
        </w:rPr>
      </w:pPr>
      <w:r>
        <w:rPr>
          <w:rFonts w:hint="eastAsia" w:ascii="宋体" w:hAnsi="宋体"/>
          <w:color w:val="auto"/>
        </w:rPr>
        <w:t>14.1  投标供应商应提交证明其有资格参加投标和有能力履行合同的文件，并作为其投标文件的一部分。</w:t>
      </w:r>
    </w:p>
    <w:p>
      <w:pPr>
        <w:pStyle w:val="83"/>
        <w:spacing w:line="500" w:lineRule="exact"/>
        <w:ind w:firstLine="480" w:firstLineChars="200"/>
        <w:jc w:val="both"/>
        <w:rPr>
          <w:rFonts w:ascii="宋体" w:hAnsi="宋体"/>
          <w:color w:val="auto"/>
        </w:rPr>
      </w:pPr>
      <w:r>
        <w:rPr>
          <w:rFonts w:hint="eastAsia" w:ascii="宋体" w:hAnsi="宋体"/>
          <w:color w:val="auto"/>
        </w:rPr>
        <w:t>14.2  投标供应商应填写并提交招标文件所要求的资格证明类文件。</w:t>
      </w:r>
    </w:p>
    <w:p>
      <w:pPr>
        <w:pStyle w:val="83"/>
        <w:spacing w:line="500" w:lineRule="exact"/>
        <w:ind w:firstLine="480" w:firstLineChars="200"/>
        <w:jc w:val="both"/>
        <w:rPr>
          <w:rFonts w:ascii="宋体" w:hAnsi="宋体"/>
          <w:color w:val="auto"/>
        </w:rPr>
      </w:pPr>
      <w:r>
        <w:rPr>
          <w:rFonts w:hint="eastAsia" w:ascii="宋体" w:hAnsi="宋体"/>
          <w:color w:val="auto"/>
        </w:rPr>
        <w:t>15.   证明货物的合格性和符合招标文件规定的文件</w:t>
      </w:r>
    </w:p>
    <w:p>
      <w:pPr>
        <w:pStyle w:val="83"/>
        <w:spacing w:line="500" w:lineRule="exact"/>
        <w:ind w:firstLine="480" w:firstLineChars="200"/>
        <w:jc w:val="both"/>
        <w:rPr>
          <w:rFonts w:ascii="宋体" w:hAnsi="宋体"/>
          <w:color w:val="auto"/>
        </w:rPr>
      </w:pPr>
      <w:r>
        <w:rPr>
          <w:rFonts w:hint="eastAsia" w:ascii="宋体" w:hAnsi="宋体"/>
          <w:color w:val="auto"/>
        </w:rPr>
        <w:t>15.1  投标供应商应逐条对招标文件要求的技术规格进行评审，指出自己提供的货物和服务是否对招标文件做出实质性的响应，并认真填写招标文件所附的“商务条款偏离表（</w:t>
      </w:r>
      <w:r>
        <w:rPr>
          <w:rFonts w:hint="eastAsia" w:ascii="Times New Roman" w:hAnsi="Times New Roman"/>
          <w:color w:val="auto"/>
          <w:sz w:val="24"/>
          <w:szCs w:val="24"/>
          <w:lang w:val="en-US" w:eastAsia="zh-CN"/>
        </w:rPr>
        <w:t>合同履约期限</w:t>
      </w:r>
      <w:r>
        <w:rPr>
          <w:rFonts w:hint="eastAsia" w:ascii="宋体" w:hAnsi="宋体"/>
          <w:color w:val="auto"/>
        </w:rPr>
        <w:t>、付款方式、质保期等）”、“技术规格偏离表”。</w:t>
      </w:r>
    </w:p>
    <w:p>
      <w:pPr>
        <w:pStyle w:val="83"/>
        <w:spacing w:line="500" w:lineRule="exact"/>
        <w:ind w:firstLine="480" w:firstLineChars="200"/>
        <w:jc w:val="both"/>
        <w:rPr>
          <w:rFonts w:ascii="宋体" w:hAnsi="宋体"/>
          <w:color w:val="auto"/>
        </w:rPr>
      </w:pPr>
      <w:r>
        <w:rPr>
          <w:rFonts w:hint="eastAsia" w:ascii="宋体" w:hAnsi="宋体"/>
          <w:color w:val="auto"/>
        </w:rPr>
        <w:t>15.2  证明货物的合格性和符合招标文件规定的文件应包括下列内容：</w:t>
      </w:r>
    </w:p>
    <w:p>
      <w:pPr>
        <w:pStyle w:val="83"/>
        <w:spacing w:line="500" w:lineRule="exact"/>
        <w:ind w:firstLine="480" w:firstLineChars="200"/>
        <w:jc w:val="both"/>
        <w:rPr>
          <w:rFonts w:ascii="宋体" w:hAnsi="宋体"/>
          <w:color w:val="auto"/>
        </w:rPr>
      </w:pPr>
      <w:r>
        <w:rPr>
          <w:rFonts w:hint="eastAsia" w:ascii="宋体" w:hAnsi="宋体"/>
          <w:color w:val="auto"/>
        </w:rPr>
        <w:t>15.2.1  执行的制造、验收标准；</w:t>
      </w:r>
    </w:p>
    <w:p>
      <w:pPr>
        <w:pStyle w:val="83"/>
        <w:spacing w:line="500" w:lineRule="exact"/>
        <w:ind w:firstLine="480" w:firstLineChars="200"/>
        <w:jc w:val="both"/>
        <w:rPr>
          <w:rFonts w:ascii="宋体" w:hAnsi="宋体"/>
          <w:color w:val="auto"/>
        </w:rPr>
      </w:pPr>
      <w:r>
        <w:rPr>
          <w:rFonts w:hint="eastAsia" w:ascii="宋体" w:hAnsi="宋体"/>
          <w:color w:val="auto"/>
        </w:rPr>
        <w:t>15.2.2  荣获国优、部优、省优荣誉证书（复印件）；</w:t>
      </w:r>
    </w:p>
    <w:p>
      <w:pPr>
        <w:pStyle w:val="83"/>
        <w:spacing w:line="500" w:lineRule="exact"/>
        <w:ind w:firstLine="480" w:firstLineChars="200"/>
        <w:jc w:val="both"/>
        <w:rPr>
          <w:rFonts w:ascii="宋体" w:hAnsi="宋体"/>
          <w:color w:val="auto"/>
        </w:rPr>
      </w:pPr>
      <w:r>
        <w:rPr>
          <w:rFonts w:hint="eastAsia" w:ascii="宋体" w:hAnsi="宋体"/>
          <w:color w:val="auto"/>
        </w:rPr>
        <w:t>15.2.3  有关产品样本、手册、图纸等资料；</w:t>
      </w:r>
    </w:p>
    <w:p>
      <w:pPr>
        <w:pStyle w:val="83"/>
        <w:spacing w:line="500" w:lineRule="exact"/>
        <w:ind w:firstLine="480" w:firstLineChars="200"/>
        <w:jc w:val="both"/>
        <w:rPr>
          <w:rFonts w:ascii="宋体" w:hAnsi="宋体"/>
          <w:color w:val="auto"/>
        </w:rPr>
      </w:pPr>
      <w:r>
        <w:rPr>
          <w:rFonts w:hint="eastAsia" w:ascii="宋体" w:hAnsi="宋体"/>
          <w:color w:val="auto"/>
        </w:rPr>
        <w:t>15.2.4  投标供应商认为有必要提供的其它证明文件。</w:t>
      </w:r>
    </w:p>
    <w:p>
      <w:pPr>
        <w:pStyle w:val="83"/>
        <w:spacing w:line="500" w:lineRule="exact"/>
        <w:ind w:firstLine="480" w:firstLineChars="200"/>
        <w:jc w:val="both"/>
        <w:rPr>
          <w:rFonts w:ascii="宋体" w:hAnsi="宋体"/>
          <w:color w:val="auto"/>
        </w:rPr>
      </w:pPr>
      <w:r>
        <w:rPr>
          <w:rFonts w:hint="eastAsia" w:ascii="宋体" w:hAnsi="宋体"/>
          <w:color w:val="auto"/>
        </w:rPr>
        <w:t>16.  投标文件的有效期</w:t>
      </w:r>
    </w:p>
    <w:p>
      <w:pPr>
        <w:pStyle w:val="83"/>
        <w:spacing w:line="500" w:lineRule="exact"/>
        <w:ind w:firstLine="480" w:firstLineChars="200"/>
        <w:jc w:val="both"/>
        <w:rPr>
          <w:rFonts w:ascii="宋体" w:hAnsi="宋体"/>
          <w:color w:val="auto"/>
        </w:rPr>
      </w:pPr>
      <w:r>
        <w:rPr>
          <w:rFonts w:hint="eastAsia" w:ascii="宋体" w:hAnsi="宋体"/>
          <w:color w:val="auto"/>
        </w:rPr>
        <w:t>16.1  投标文件从实际开标之日起</w:t>
      </w:r>
      <w:r>
        <w:rPr>
          <w:rFonts w:hint="eastAsia" w:ascii="宋体" w:hAnsi="宋体"/>
          <w:color w:val="auto"/>
          <w:u w:val="single"/>
        </w:rPr>
        <w:t>60天</w:t>
      </w:r>
      <w:r>
        <w:rPr>
          <w:rFonts w:hint="eastAsia" w:ascii="宋体" w:hAnsi="宋体"/>
          <w:color w:val="auto"/>
        </w:rPr>
        <w:t>内有效。</w:t>
      </w:r>
    </w:p>
    <w:p>
      <w:pPr>
        <w:pStyle w:val="83"/>
        <w:spacing w:line="500" w:lineRule="exact"/>
        <w:ind w:firstLine="480" w:firstLineChars="200"/>
        <w:jc w:val="both"/>
        <w:rPr>
          <w:rFonts w:ascii="宋体" w:hAnsi="宋体"/>
          <w:color w:val="auto"/>
        </w:rPr>
      </w:pPr>
      <w:r>
        <w:rPr>
          <w:rFonts w:hint="eastAsia" w:ascii="宋体" w:hAnsi="宋体"/>
          <w:color w:val="auto"/>
        </w:rPr>
        <w:t>16.2  在特殊情况下, 在原投标有效期届满之前，招标代理机构可与投标单位协商延长投标文件的有效期，并经投标方确认。</w:t>
      </w:r>
    </w:p>
    <w:p>
      <w:pPr>
        <w:pStyle w:val="83"/>
        <w:spacing w:line="500" w:lineRule="exact"/>
        <w:ind w:firstLine="480" w:firstLineChars="200"/>
        <w:jc w:val="both"/>
        <w:rPr>
          <w:rFonts w:ascii="宋体" w:hAnsi="宋体"/>
          <w:color w:val="auto"/>
        </w:rPr>
      </w:pPr>
      <w:r>
        <w:rPr>
          <w:rFonts w:hint="eastAsia" w:ascii="宋体" w:hAnsi="宋体"/>
          <w:color w:val="auto"/>
        </w:rPr>
        <w:t>17.  投标文件的书写要求、签署、装订及数量。</w:t>
      </w:r>
    </w:p>
    <w:p>
      <w:pPr>
        <w:pStyle w:val="83"/>
        <w:spacing w:line="500" w:lineRule="exact"/>
        <w:ind w:firstLine="480" w:firstLineChars="200"/>
        <w:jc w:val="both"/>
        <w:rPr>
          <w:rFonts w:ascii="宋体" w:hAnsi="宋体"/>
          <w:color w:val="auto"/>
        </w:rPr>
      </w:pPr>
      <w:r>
        <w:rPr>
          <w:rFonts w:hint="eastAsia" w:ascii="宋体" w:hAnsi="宋体"/>
          <w:color w:val="auto"/>
        </w:rPr>
        <w:t>17.1  投标文件正本须用不褪色的墨水笔书写或打印。</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17.2  投标文件的书写应清楚工整，修改处应由投标供应商全权代表签字或盖章。</w:t>
      </w:r>
    </w:p>
    <w:p>
      <w:pPr>
        <w:pStyle w:val="83"/>
        <w:spacing w:line="500" w:lineRule="exact"/>
        <w:ind w:firstLine="480" w:firstLineChars="200"/>
        <w:jc w:val="both"/>
        <w:rPr>
          <w:rFonts w:ascii="宋体" w:hAnsi="宋体"/>
          <w:color w:val="auto"/>
        </w:rPr>
      </w:pPr>
      <w:r>
        <w:rPr>
          <w:rFonts w:hint="eastAsia" w:ascii="宋体" w:hAnsi="宋体"/>
          <w:color w:val="auto"/>
        </w:rPr>
        <w:t>17.3  未实质性响应招标文件、字迹潦草、表达不清、未按要求填写或可能导致非唯一理解的投标文件将被定为废标。</w:t>
      </w:r>
    </w:p>
    <w:p>
      <w:pPr>
        <w:pStyle w:val="83"/>
        <w:spacing w:line="500" w:lineRule="exact"/>
        <w:ind w:firstLine="480" w:firstLineChars="200"/>
        <w:jc w:val="both"/>
        <w:rPr>
          <w:rFonts w:ascii="宋体" w:hAnsi="宋体"/>
          <w:color w:val="auto"/>
        </w:rPr>
      </w:pPr>
      <w:r>
        <w:rPr>
          <w:rFonts w:hint="eastAsia" w:ascii="宋体" w:hAnsi="宋体"/>
          <w:color w:val="auto"/>
        </w:rPr>
        <w:t>17.4  投标文件应由投标供应商企业法人或法人授权代表在规定签章处逐一签署及加盖单位的公章。投标文件正本逐页加盖企业公章（鲜章），副本为正本复印件。</w:t>
      </w:r>
    </w:p>
    <w:p>
      <w:pPr>
        <w:pStyle w:val="83"/>
        <w:spacing w:line="500" w:lineRule="exact"/>
        <w:ind w:firstLine="480" w:firstLineChars="200"/>
        <w:jc w:val="both"/>
        <w:rPr>
          <w:rFonts w:ascii="宋体" w:hAnsi="宋体"/>
          <w:color w:val="auto"/>
        </w:rPr>
      </w:pPr>
      <w:r>
        <w:rPr>
          <w:rFonts w:hint="eastAsia" w:ascii="宋体" w:hAnsi="宋体"/>
          <w:color w:val="auto"/>
        </w:rPr>
        <w:t>17.5 装订要求：</w:t>
      </w:r>
      <w:r>
        <w:rPr>
          <w:rFonts w:hint="eastAsia" w:ascii="宋体" w:hAnsi="宋体"/>
          <w:b/>
          <w:color w:val="auto"/>
        </w:rPr>
        <w:t>投标文件必须胶装</w:t>
      </w:r>
      <w:r>
        <w:rPr>
          <w:rFonts w:hint="eastAsia" w:ascii="宋体" w:hAnsi="宋体"/>
          <w:color w:val="auto"/>
        </w:rPr>
        <w:t xml:space="preserve">。 </w:t>
      </w:r>
    </w:p>
    <w:p>
      <w:pPr>
        <w:pStyle w:val="83"/>
        <w:spacing w:line="500" w:lineRule="exact"/>
        <w:ind w:firstLine="480" w:firstLineChars="200"/>
        <w:jc w:val="both"/>
        <w:rPr>
          <w:rFonts w:ascii="宋体" w:hAnsi="宋体"/>
          <w:color w:val="auto"/>
        </w:rPr>
      </w:pPr>
      <w:r>
        <w:rPr>
          <w:rFonts w:hint="eastAsia" w:ascii="宋体" w:hAnsi="宋体"/>
          <w:color w:val="auto"/>
        </w:rPr>
        <w:t>17.6  投标文件的数量：一式五份。正本１份, 副本4份，并在投标文件封面左上角注明“正本”、“副本”字样，一旦正本和副本不符，以正本为准。参考资料不限量。</w:t>
      </w:r>
    </w:p>
    <w:p>
      <w:pPr>
        <w:pStyle w:val="83"/>
        <w:spacing w:line="500" w:lineRule="exact"/>
        <w:ind w:firstLine="480" w:firstLineChars="200"/>
        <w:jc w:val="both"/>
        <w:rPr>
          <w:rFonts w:ascii="宋体" w:hAnsi="宋体"/>
          <w:color w:val="auto"/>
        </w:rPr>
      </w:pPr>
      <w:r>
        <w:rPr>
          <w:rFonts w:hint="eastAsia" w:ascii="宋体" w:hAnsi="宋体"/>
          <w:color w:val="auto"/>
        </w:rPr>
        <w:t>17.7 投标供应商可根据投标文件要求具体需要自行编制其它文件一式五份纳入投标书中。</w:t>
      </w:r>
    </w:p>
    <w:p>
      <w:pPr>
        <w:pStyle w:val="83"/>
        <w:spacing w:line="500" w:lineRule="exact"/>
        <w:ind w:firstLine="480" w:firstLineChars="200"/>
        <w:jc w:val="both"/>
        <w:rPr>
          <w:rFonts w:ascii="宋体" w:hAnsi="宋体"/>
          <w:color w:val="auto"/>
        </w:rPr>
      </w:pPr>
      <w:r>
        <w:rPr>
          <w:rFonts w:hint="eastAsia" w:ascii="宋体" w:hAnsi="宋体"/>
          <w:color w:val="auto"/>
        </w:rPr>
        <w:t>18.  投标保证金</w:t>
      </w:r>
    </w:p>
    <w:p>
      <w:pPr>
        <w:pStyle w:val="83"/>
        <w:spacing w:line="500" w:lineRule="exact"/>
        <w:ind w:firstLine="480" w:firstLineChars="200"/>
        <w:jc w:val="both"/>
        <w:rPr>
          <w:rFonts w:hint="eastAsia" w:ascii="宋体" w:hAnsi="宋体" w:eastAsia="宋体"/>
          <w:b/>
          <w:color w:val="auto"/>
          <w:lang w:eastAsia="zh-CN"/>
        </w:rPr>
      </w:pPr>
      <w:r>
        <w:rPr>
          <w:rFonts w:hint="eastAsia" w:ascii="宋体" w:hAnsi="宋体"/>
          <w:b/>
          <w:color w:val="auto"/>
        </w:rPr>
        <w:t>18.1  投标保证金金额为：</w:t>
      </w:r>
      <w:r>
        <w:rPr>
          <w:rFonts w:hint="eastAsia" w:ascii="宋体" w:hAnsi="宋体"/>
          <w:b/>
          <w:color w:val="auto"/>
          <w:lang w:eastAsia="zh-CN"/>
        </w:rPr>
        <w:t>详见投标须知</w:t>
      </w:r>
    </w:p>
    <w:p>
      <w:pPr>
        <w:pStyle w:val="83"/>
        <w:spacing w:line="500" w:lineRule="exact"/>
        <w:ind w:firstLine="480" w:firstLineChars="200"/>
        <w:jc w:val="both"/>
        <w:rPr>
          <w:rFonts w:ascii="宋体" w:hAnsi="宋体"/>
          <w:color w:val="auto"/>
        </w:rPr>
      </w:pPr>
      <w:r>
        <w:rPr>
          <w:rFonts w:hint="eastAsia" w:ascii="宋体" w:hAnsi="宋体"/>
          <w:color w:val="auto"/>
        </w:rPr>
        <w:t>18.2  投标保证金用于保护本次招标免受投标供应商的违规、违约行为而引起的风险。</w:t>
      </w:r>
    </w:p>
    <w:p>
      <w:pPr>
        <w:pStyle w:val="83"/>
        <w:spacing w:line="500" w:lineRule="exact"/>
        <w:ind w:firstLine="480" w:firstLineChars="200"/>
        <w:jc w:val="both"/>
        <w:rPr>
          <w:rFonts w:ascii="宋体" w:hAnsi="宋体"/>
          <w:color w:val="auto"/>
        </w:rPr>
      </w:pPr>
      <w:r>
        <w:rPr>
          <w:rFonts w:hint="eastAsia" w:ascii="宋体" w:hAnsi="宋体"/>
          <w:color w:val="auto"/>
        </w:rPr>
        <w:t>18.3  投标保证金用人民币，由投标供应商按《招标文件》中明确的银行账号，按18.1条要求的数额递交。</w:t>
      </w:r>
    </w:p>
    <w:p>
      <w:pPr>
        <w:pStyle w:val="83"/>
        <w:spacing w:line="500" w:lineRule="exact"/>
        <w:ind w:firstLine="480" w:firstLineChars="200"/>
        <w:jc w:val="both"/>
        <w:rPr>
          <w:rFonts w:ascii="宋体" w:hAnsi="宋体"/>
          <w:color w:val="auto"/>
        </w:rPr>
      </w:pPr>
      <w:r>
        <w:rPr>
          <w:rFonts w:hint="eastAsia" w:ascii="宋体" w:hAnsi="宋体"/>
          <w:color w:val="auto"/>
        </w:rPr>
        <w:t>18.4  投标保证金以网银或电汇形式提交。</w:t>
      </w:r>
    </w:p>
    <w:p>
      <w:pPr>
        <w:pStyle w:val="83"/>
        <w:spacing w:line="500" w:lineRule="exact"/>
        <w:ind w:firstLine="480" w:firstLineChars="200"/>
        <w:jc w:val="both"/>
        <w:rPr>
          <w:rFonts w:ascii="宋体" w:hAnsi="宋体"/>
          <w:color w:val="auto"/>
        </w:rPr>
      </w:pPr>
      <w:r>
        <w:rPr>
          <w:rFonts w:hint="eastAsia" w:ascii="宋体" w:hAnsi="宋体"/>
          <w:color w:val="auto"/>
        </w:rPr>
        <w:t>18.5  本次项目不接受联合体投标。</w:t>
      </w:r>
    </w:p>
    <w:p>
      <w:pPr>
        <w:pStyle w:val="83"/>
        <w:spacing w:line="500" w:lineRule="exact"/>
        <w:ind w:firstLine="480" w:firstLineChars="200"/>
        <w:jc w:val="both"/>
        <w:rPr>
          <w:rFonts w:ascii="宋体" w:hAnsi="宋体"/>
          <w:color w:val="auto"/>
        </w:rPr>
      </w:pPr>
      <w:r>
        <w:rPr>
          <w:rFonts w:hint="eastAsia" w:ascii="宋体" w:hAnsi="宋体"/>
          <w:color w:val="auto"/>
        </w:rPr>
        <w:t>18.6  未按时缴纳投标保证金的投标，将被拒绝。</w:t>
      </w:r>
    </w:p>
    <w:p>
      <w:pPr>
        <w:pStyle w:val="83"/>
        <w:spacing w:line="500" w:lineRule="exact"/>
        <w:ind w:firstLine="480" w:firstLineChars="200"/>
        <w:jc w:val="both"/>
        <w:rPr>
          <w:rFonts w:ascii="宋体" w:hAnsi="宋体"/>
          <w:color w:val="auto"/>
        </w:rPr>
      </w:pPr>
      <w:r>
        <w:rPr>
          <w:rFonts w:hint="eastAsia" w:ascii="宋体" w:hAnsi="宋体"/>
          <w:color w:val="auto"/>
        </w:rPr>
        <w:t>18.7  采购人或者采购代理机构应当自中标通知书发出之日起5个工作日内退还未中标人的投标保证金，自采购合同签订之日起5个工作日内退还中标人的投标保证金或者转为中标人的履约保证金。</w:t>
      </w:r>
    </w:p>
    <w:p>
      <w:pPr>
        <w:pStyle w:val="83"/>
        <w:spacing w:line="500" w:lineRule="exact"/>
        <w:ind w:firstLine="480" w:firstLineChars="200"/>
        <w:jc w:val="both"/>
        <w:rPr>
          <w:rFonts w:ascii="宋体" w:hAnsi="宋体"/>
          <w:color w:val="auto"/>
        </w:rPr>
      </w:pPr>
      <w:r>
        <w:rPr>
          <w:rFonts w:hint="eastAsia" w:ascii="宋体" w:hAnsi="宋体"/>
          <w:color w:val="auto"/>
        </w:rPr>
        <w:t>18.8  发生以下情况投标保证金可能被没收：</w:t>
      </w:r>
    </w:p>
    <w:p>
      <w:pPr>
        <w:pStyle w:val="83"/>
        <w:spacing w:line="500" w:lineRule="exact"/>
        <w:ind w:firstLine="480" w:firstLineChars="200"/>
        <w:jc w:val="both"/>
        <w:rPr>
          <w:rFonts w:ascii="宋体" w:hAnsi="宋体"/>
          <w:color w:val="auto"/>
        </w:rPr>
      </w:pPr>
      <w:r>
        <w:rPr>
          <w:rFonts w:hint="eastAsia" w:ascii="宋体" w:hAnsi="宋体"/>
          <w:color w:val="auto"/>
        </w:rPr>
        <w:t>18.8.1  如果投标供应商在投标有效期内撤回投标；</w:t>
      </w:r>
    </w:p>
    <w:p>
      <w:pPr>
        <w:pStyle w:val="83"/>
        <w:spacing w:line="500" w:lineRule="exact"/>
        <w:ind w:firstLine="480" w:firstLineChars="200"/>
        <w:jc w:val="both"/>
        <w:rPr>
          <w:rFonts w:ascii="宋体" w:hAnsi="宋体"/>
          <w:color w:val="auto"/>
        </w:rPr>
      </w:pPr>
      <w:r>
        <w:rPr>
          <w:rFonts w:hint="eastAsia" w:ascii="宋体" w:hAnsi="宋体"/>
          <w:color w:val="auto"/>
        </w:rPr>
        <w:t>18.8.2  如果中标供应商放弃中标项目的，无正当理由不与采购人签订合同的，在签订合同时向采购人提出附加条件或者更改合同实质性内容的，或者拒不提交所要求的履约保证金的。</w:t>
      </w:r>
    </w:p>
    <w:p>
      <w:pPr>
        <w:pStyle w:val="83"/>
        <w:spacing w:line="500" w:lineRule="exact"/>
        <w:jc w:val="center"/>
        <w:outlineLvl w:val="1"/>
        <w:rPr>
          <w:rFonts w:ascii="宋体" w:hAnsi="宋体"/>
          <w:color w:val="auto"/>
        </w:rPr>
      </w:pPr>
      <w:bookmarkStart w:id="6" w:name="_Toc4643"/>
      <w:r>
        <w:rPr>
          <w:rFonts w:hint="eastAsia" w:ascii="宋体" w:hAnsi="宋体"/>
          <w:color w:val="auto"/>
        </w:rPr>
        <w:t>四、投标文件的递交</w:t>
      </w:r>
      <w:bookmarkEnd w:id="6"/>
    </w:p>
    <w:p>
      <w:pPr>
        <w:pStyle w:val="83"/>
        <w:spacing w:line="500" w:lineRule="exact"/>
        <w:ind w:firstLine="480" w:firstLineChars="200"/>
        <w:jc w:val="both"/>
        <w:rPr>
          <w:rFonts w:ascii="宋体" w:hAnsi="宋体"/>
          <w:color w:val="auto"/>
        </w:rPr>
      </w:pPr>
      <w:r>
        <w:rPr>
          <w:rFonts w:hint="eastAsia" w:ascii="宋体" w:hAnsi="宋体"/>
          <w:color w:val="auto"/>
        </w:rPr>
        <w:t>19.  投标文件的密封与标记</w:t>
      </w:r>
    </w:p>
    <w:p>
      <w:pPr>
        <w:pStyle w:val="83"/>
        <w:spacing w:line="500" w:lineRule="exact"/>
        <w:ind w:firstLine="480" w:firstLineChars="200"/>
        <w:jc w:val="both"/>
        <w:rPr>
          <w:rFonts w:ascii="宋体" w:hAnsi="宋体"/>
          <w:color w:val="auto"/>
        </w:rPr>
      </w:pPr>
      <w:r>
        <w:rPr>
          <w:rFonts w:hint="eastAsia" w:ascii="宋体" w:hAnsi="宋体"/>
          <w:color w:val="auto"/>
        </w:rPr>
        <w:t>19.1  投标供应商应将投标文件正本和副本分别装入信封内加以密封，分别在信封上标“正本”或“副本”，并在密封处压口加盖公章（或合同专用章），当正本和副本、电子版不一致时，以正本为准。</w:t>
      </w:r>
    </w:p>
    <w:p>
      <w:pPr>
        <w:pStyle w:val="83"/>
        <w:spacing w:line="500" w:lineRule="exact"/>
        <w:ind w:firstLine="567"/>
        <w:jc w:val="both"/>
        <w:rPr>
          <w:rFonts w:ascii="宋体" w:hAnsi="宋体"/>
          <w:color w:val="auto"/>
        </w:rPr>
      </w:pPr>
      <w:r>
        <w:rPr>
          <w:rFonts w:hint="eastAsia" w:ascii="宋体" w:hAnsi="宋体"/>
          <w:color w:val="auto"/>
        </w:rPr>
        <w:t>19.2  投标供应商还应将填好的</w:t>
      </w:r>
      <w:r>
        <w:rPr>
          <w:rFonts w:hint="eastAsia" w:ascii="宋体" w:hAnsi="宋体"/>
          <w:b/>
          <w:color w:val="auto"/>
        </w:rPr>
        <w:t>开标一览表</w:t>
      </w:r>
      <w:r>
        <w:rPr>
          <w:rFonts w:hint="eastAsia" w:ascii="宋体" w:hAnsi="宋体"/>
          <w:color w:val="auto"/>
        </w:rPr>
        <w:t>单独装入信封内加以密封，在密封处压口加盖公章（或合同专用章），并在信封上注明“开标一览表”字样，作为投标文件的一部分。</w:t>
      </w:r>
    </w:p>
    <w:p>
      <w:pPr>
        <w:pStyle w:val="83"/>
        <w:spacing w:line="500" w:lineRule="exact"/>
        <w:ind w:firstLine="567"/>
        <w:jc w:val="both"/>
        <w:rPr>
          <w:rFonts w:ascii="宋体" w:hAnsi="宋体"/>
          <w:color w:val="auto"/>
        </w:rPr>
      </w:pPr>
      <w:r>
        <w:rPr>
          <w:rFonts w:hint="eastAsia" w:ascii="宋体" w:hAnsi="宋体"/>
          <w:color w:val="auto"/>
        </w:rPr>
        <w:t>19.3  投标供应商还应将</w:t>
      </w:r>
      <w:r>
        <w:rPr>
          <w:rFonts w:hint="eastAsia" w:ascii="宋体" w:hAnsi="宋体"/>
          <w:b/>
          <w:bCs/>
          <w:color w:val="auto"/>
        </w:rPr>
        <w:t>电子版投标文件</w:t>
      </w:r>
      <w:r>
        <w:rPr>
          <w:rFonts w:hint="eastAsia" w:ascii="宋体" w:hAnsi="宋体"/>
          <w:color w:val="auto"/>
        </w:rPr>
        <w:t>单独装入信封内加以密封，在密封处压口加盖公章（或合同专用章），并在信封上注明“</w:t>
      </w:r>
      <w:r>
        <w:rPr>
          <w:rFonts w:hint="eastAsia" w:ascii="宋体" w:hAnsi="宋体"/>
          <w:b/>
          <w:bCs/>
          <w:color w:val="auto"/>
        </w:rPr>
        <w:t>电子版投标文件</w:t>
      </w:r>
      <w:r>
        <w:rPr>
          <w:rFonts w:hint="eastAsia" w:ascii="宋体" w:hAnsi="宋体"/>
          <w:color w:val="auto"/>
        </w:rPr>
        <w:t>”字样，作为投标文件的一部分。</w:t>
      </w:r>
    </w:p>
    <w:p>
      <w:pPr>
        <w:pStyle w:val="83"/>
        <w:spacing w:line="500" w:lineRule="exact"/>
        <w:ind w:firstLine="480" w:firstLineChars="200"/>
        <w:jc w:val="both"/>
        <w:rPr>
          <w:rFonts w:ascii="宋体" w:hAnsi="宋体"/>
          <w:color w:val="auto"/>
        </w:rPr>
      </w:pPr>
      <w:r>
        <w:rPr>
          <w:rFonts w:hint="eastAsia" w:ascii="宋体" w:hAnsi="宋体"/>
          <w:color w:val="auto"/>
        </w:rPr>
        <w:t>19.4  所有投标文件信封上均应贴上封条,封条上应写明：</w:t>
      </w:r>
    </w:p>
    <w:p>
      <w:pPr>
        <w:pStyle w:val="83"/>
        <w:spacing w:line="500" w:lineRule="exact"/>
        <w:ind w:firstLine="567"/>
        <w:jc w:val="both"/>
        <w:rPr>
          <w:rFonts w:ascii="宋体" w:hAnsi="宋体"/>
          <w:color w:val="auto"/>
          <w:u w:val="single"/>
        </w:rPr>
      </w:pPr>
      <w:r>
        <w:rPr>
          <w:rFonts w:hint="eastAsia" w:ascii="宋体" w:hAnsi="宋体"/>
          <w:color w:val="auto"/>
        </w:rPr>
        <w:t>⑴ 招标单位：</w:t>
      </w:r>
      <w:r>
        <w:rPr>
          <w:rFonts w:hint="eastAsia" w:ascii="宋体" w:hAnsi="宋体"/>
          <w:color w:val="auto"/>
          <w:u w:val="single"/>
        </w:rPr>
        <w:t xml:space="preserve">                           </w:t>
      </w:r>
    </w:p>
    <w:p>
      <w:pPr>
        <w:pStyle w:val="83"/>
        <w:spacing w:line="500" w:lineRule="exact"/>
        <w:ind w:firstLine="560"/>
        <w:jc w:val="both"/>
        <w:rPr>
          <w:rFonts w:ascii="宋体" w:hAnsi="宋体"/>
          <w:color w:val="auto"/>
          <w:w w:val="80"/>
          <w:u w:val="single"/>
        </w:rPr>
      </w:pPr>
      <w:r>
        <w:rPr>
          <w:rFonts w:hint="eastAsia" w:ascii="宋体" w:hAnsi="宋体"/>
          <w:color w:val="auto"/>
        </w:rPr>
        <w:t>⑵ 项目名称：</w:t>
      </w:r>
      <w:r>
        <w:rPr>
          <w:rFonts w:hint="eastAsia" w:ascii="宋体" w:hAnsi="宋体"/>
          <w:color w:val="auto"/>
          <w:w w:val="80"/>
          <w:u w:val="single"/>
        </w:rPr>
        <w:t xml:space="preserve">                                         </w:t>
      </w:r>
    </w:p>
    <w:p>
      <w:pPr>
        <w:pStyle w:val="83"/>
        <w:spacing w:line="500" w:lineRule="exact"/>
        <w:ind w:firstLine="560"/>
        <w:jc w:val="both"/>
        <w:rPr>
          <w:rFonts w:ascii="宋体" w:hAnsi="宋体"/>
          <w:color w:val="auto"/>
        </w:rPr>
      </w:pPr>
      <w:r>
        <w:rPr>
          <w:rFonts w:hint="eastAsia" w:ascii="宋体" w:hAnsi="宋体"/>
          <w:color w:val="auto"/>
        </w:rPr>
        <w:t xml:space="preserve">⑶ 招标编号： </w:t>
      </w:r>
    </w:p>
    <w:p>
      <w:pPr>
        <w:pStyle w:val="83"/>
        <w:spacing w:line="500" w:lineRule="exact"/>
        <w:ind w:firstLine="567"/>
        <w:jc w:val="both"/>
        <w:rPr>
          <w:rFonts w:ascii="宋体" w:hAnsi="宋体"/>
          <w:color w:val="auto"/>
        </w:rPr>
      </w:pPr>
      <w:r>
        <w:rPr>
          <w:rFonts w:hint="eastAsia" w:ascii="宋体" w:hAnsi="宋体"/>
          <w:color w:val="auto"/>
          <w:kern w:val="2"/>
        </w:rPr>
        <w:t xml:space="preserve">⑷ </w:t>
      </w:r>
      <w:r>
        <w:rPr>
          <w:rFonts w:hint="eastAsia" w:ascii="宋体" w:hAnsi="宋体"/>
          <w:color w:val="auto"/>
        </w:rPr>
        <w:t>投标企业名称和地址。</w:t>
      </w:r>
    </w:p>
    <w:p>
      <w:pPr>
        <w:pStyle w:val="83"/>
        <w:spacing w:line="500" w:lineRule="exact"/>
        <w:ind w:firstLine="567"/>
        <w:jc w:val="both"/>
        <w:rPr>
          <w:rFonts w:ascii="宋体" w:hAnsi="宋体"/>
          <w:color w:val="auto"/>
        </w:rPr>
      </w:pPr>
      <w:r>
        <w:rPr>
          <w:rFonts w:hint="eastAsia" w:ascii="宋体" w:hAnsi="宋体"/>
          <w:color w:val="auto"/>
        </w:rPr>
        <w:t>⑸ 注明“开标前不准启封”，“正本”、“副本”、“开标一览表”、“电子版投标文件”字样。</w:t>
      </w:r>
    </w:p>
    <w:p>
      <w:pPr>
        <w:pStyle w:val="83"/>
        <w:spacing w:line="500" w:lineRule="exact"/>
        <w:ind w:firstLine="567"/>
        <w:jc w:val="both"/>
        <w:rPr>
          <w:rFonts w:ascii="宋体" w:hAnsi="宋体"/>
          <w:color w:val="auto"/>
        </w:rPr>
      </w:pPr>
      <w:r>
        <w:rPr>
          <w:rFonts w:hint="eastAsia" w:ascii="宋体" w:hAnsi="宋体"/>
          <w:color w:val="auto"/>
        </w:rPr>
        <w:t>19.4  未按本须知要求密封、标记和投递的投标文件，招标代理机构不对其后果负责。</w:t>
      </w:r>
    </w:p>
    <w:p>
      <w:pPr>
        <w:pStyle w:val="83"/>
        <w:spacing w:line="500" w:lineRule="exact"/>
        <w:ind w:firstLine="480" w:firstLineChars="200"/>
        <w:jc w:val="both"/>
        <w:rPr>
          <w:rFonts w:ascii="宋体" w:hAnsi="宋体"/>
          <w:color w:val="auto"/>
        </w:rPr>
      </w:pPr>
      <w:r>
        <w:rPr>
          <w:rFonts w:hint="eastAsia" w:ascii="宋体" w:hAnsi="宋体"/>
          <w:color w:val="auto"/>
        </w:rPr>
        <w:t>20.  投标文件递交的截止日期</w:t>
      </w:r>
    </w:p>
    <w:p>
      <w:pPr>
        <w:pStyle w:val="83"/>
        <w:spacing w:line="500" w:lineRule="exact"/>
        <w:ind w:firstLine="480" w:firstLineChars="200"/>
        <w:jc w:val="both"/>
        <w:rPr>
          <w:rFonts w:ascii="宋体" w:hAnsi="宋体"/>
          <w:color w:val="auto"/>
          <w:u w:val="single"/>
        </w:rPr>
      </w:pPr>
      <w:r>
        <w:rPr>
          <w:rFonts w:hint="eastAsia" w:ascii="宋体" w:hAnsi="宋体"/>
          <w:color w:val="auto"/>
        </w:rPr>
        <w:t>20.1</w:t>
      </w:r>
      <w:r>
        <w:rPr>
          <w:rFonts w:hint="eastAsia" w:ascii="宋体" w:hAnsi="宋体"/>
          <w:b/>
          <w:color w:val="auto"/>
        </w:rPr>
        <w:t xml:space="preserve">  投标供应商必须在</w:t>
      </w:r>
      <w:r>
        <w:rPr>
          <w:rFonts w:hint="eastAsia" w:ascii="宋体" w:hAnsi="宋体"/>
          <w:b/>
          <w:color w:val="FF0000"/>
        </w:rPr>
        <w:t>2021年0</w:t>
      </w:r>
      <w:r>
        <w:rPr>
          <w:rFonts w:hint="eastAsia" w:ascii="宋体" w:hAnsi="宋体"/>
          <w:b/>
          <w:color w:val="FF0000"/>
          <w:lang w:val="en-US" w:eastAsia="zh-CN"/>
        </w:rPr>
        <w:t>9</w:t>
      </w:r>
      <w:r>
        <w:rPr>
          <w:rFonts w:hint="eastAsia" w:ascii="宋体" w:hAnsi="宋体"/>
          <w:b/>
          <w:color w:val="FF0000"/>
        </w:rPr>
        <w:t>月</w:t>
      </w:r>
      <w:r>
        <w:rPr>
          <w:rFonts w:hint="eastAsia" w:ascii="宋体" w:hAnsi="宋体"/>
          <w:b/>
          <w:color w:val="FF0000"/>
          <w:lang w:val="en-US" w:eastAsia="zh-CN"/>
        </w:rPr>
        <w:t>22</w:t>
      </w:r>
      <w:r>
        <w:rPr>
          <w:rFonts w:hint="eastAsia" w:ascii="宋体" w:hAnsi="宋体"/>
          <w:b/>
          <w:color w:val="FF0000"/>
        </w:rPr>
        <w:t>日1</w:t>
      </w:r>
      <w:r>
        <w:rPr>
          <w:rFonts w:hint="eastAsia" w:ascii="宋体" w:hAnsi="宋体"/>
          <w:b/>
          <w:color w:val="FF0000"/>
          <w:lang w:val="en-US" w:eastAsia="zh-CN"/>
        </w:rPr>
        <w:t>6</w:t>
      </w:r>
      <w:r>
        <w:rPr>
          <w:rFonts w:hint="eastAsia" w:ascii="宋体" w:hAnsi="宋体"/>
          <w:b/>
          <w:color w:val="FF0000"/>
        </w:rPr>
        <w:t>:00时（北京时间）</w:t>
      </w:r>
      <w:r>
        <w:rPr>
          <w:rFonts w:hint="eastAsia" w:ascii="宋体" w:hAnsi="宋体"/>
          <w:b/>
          <w:color w:val="auto"/>
        </w:rPr>
        <w:t>前将投标文件送达到开标地点</w:t>
      </w:r>
      <w:r>
        <w:rPr>
          <w:rFonts w:hint="eastAsia" w:ascii="宋体" w:hAnsi="宋体"/>
          <w:color w:val="auto"/>
        </w:rPr>
        <w:t>。</w:t>
      </w:r>
    </w:p>
    <w:p>
      <w:pPr>
        <w:pStyle w:val="83"/>
        <w:spacing w:line="500" w:lineRule="exact"/>
        <w:ind w:firstLine="480" w:firstLineChars="200"/>
        <w:jc w:val="both"/>
        <w:rPr>
          <w:rFonts w:ascii="宋体" w:hAnsi="宋体"/>
          <w:color w:val="auto"/>
        </w:rPr>
      </w:pPr>
      <w:r>
        <w:rPr>
          <w:rFonts w:hint="eastAsia" w:ascii="宋体" w:hAnsi="宋体"/>
          <w:color w:val="auto"/>
        </w:rPr>
        <w:t>20.2  超过招标文件规定的投标截止时间送达的投标文件将不予接受。</w:t>
      </w:r>
    </w:p>
    <w:p>
      <w:pPr>
        <w:pStyle w:val="83"/>
        <w:spacing w:line="500" w:lineRule="exact"/>
        <w:ind w:firstLine="480" w:firstLineChars="200"/>
        <w:jc w:val="both"/>
        <w:rPr>
          <w:rFonts w:ascii="宋体" w:hAnsi="宋体"/>
          <w:color w:val="auto"/>
        </w:rPr>
      </w:pPr>
      <w:r>
        <w:rPr>
          <w:rFonts w:hint="eastAsia" w:ascii="宋体" w:hAnsi="宋体"/>
          <w:color w:val="auto"/>
        </w:rPr>
        <w:t>21.  投标文件的修改和撤销</w:t>
      </w:r>
    </w:p>
    <w:p>
      <w:pPr>
        <w:pStyle w:val="159"/>
        <w:spacing w:line="500" w:lineRule="exact"/>
        <w:ind w:firstLine="480" w:firstLineChars="200"/>
        <w:jc w:val="both"/>
        <w:rPr>
          <w:rFonts w:ascii="宋体" w:hAnsi="宋体"/>
          <w:color w:val="auto"/>
          <w:sz w:val="24"/>
        </w:rPr>
      </w:pPr>
      <w:r>
        <w:rPr>
          <w:rFonts w:hint="eastAsia" w:ascii="宋体" w:hAnsi="宋体"/>
          <w:color w:val="auto"/>
          <w:sz w:val="24"/>
        </w:rPr>
        <w:t>21.1  投标供应商对其投标文件进行的修改或撤销应以书面形式并在招标文件规定的投标截止时间前送达招标代理机构。</w:t>
      </w:r>
    </w:p>
    <w:p>
      <w:pPr>
        <w:pStyle w:val="159"/>
        <w:spacing w:line="500" w:lineRule="exact"/>
        <w:ind w:firstLine="480" w:firstLineChars="200"/>
        <w:jc w:val="both"/>
        <w:rPr>
          <w:rFonts w:ascii="宋体" w:hAnsi="宋体"/>
          <w:color w:val="auto"/>
          <w:sz w:val="24"/>
        </w:rPr>
      </w:pPr>
      <w:r>
        <w:rPr>
          <w:rFonts w:hint="eastAsia" w:ascii="宋体" w:hAnsi="宋体"/>
          <w:color w:val="auto"/>
          <w:sz w:val="24"/>
        </w:rPr>
        <w:t>21.2  投标供应商对投标文件的修改或撤销应按第18和19条规定进行准备、密封、标注和递交。</w:t>
      </w:r>
    </w:p>
    <w:p>
      <w:pPr>
        <w:pStyle w:val="159"/>
        <w:spacing w:line="500" w:lineRule="exact"/>
        <w:ind w:firstLine="480" w:firstLineChars="200"/>
        <w:jc w:val="both"/>
        <w:rPr>
          <w:rFonts w:ascii="宋体" w:hAnsi="宋体"/>
          <w:color w:val="auto"/>
          <w:sz w:val="24"/>
        </w:rPr>
      </w:pPr>
      <w:r>
        <w:rPr>
          <w:rFonts w:hint="eastAsia" w:ascii="宋体" w:hAnsi="宋体"/>
          <w:color w:val="auto"/>
          <w:sz w:val="24"/>
        </w:rPr>
        <w:t>21.3  投标截止时间后不得修改投标文件。</w:t>
      </w:r>
    </w:p>
    <w:p>
      <w:pPr>
        <w:pStyle w:val="159"/>
        <w:spacing w:line="500" w:lineRule="exact"/>
        <w:ind w:firstLine="480" w:firstLineChars="200"/>
        <w:jc w:val="both"/>
        <w:rPr>
          <w:rFonts w:ascii="宋体" w:hAnsi="宋体"/>
          <w:color w:val="auto"/>
          <w:sz w:val="24"/>
        </w:rPr>
      </w:pPr>
      <w:r>
        <w:rPr>
          <w:rFonts w:hint="eastAsia" w:ascii="宋体" w:hAnsi="宋体"/>
          <w:color w:val="auto"/>
          <w:sz w:val="24"/>
        </w:rPr>
        <w:t>21.4  投标供应商不得在投标截止时间起至投标文件有效期满前撤销投标文件，否则其投标保证金将不予退还。</w:t>
      </w:r>
    </w:p>
    <w:p>
      <w:pPr>
        <w:pStyle w:val="83"/>
        <w:spacing w:line="500" w:lineRule="exact"/>
        <w:jc w:val="center"/>
        <w:outlineLvl w:val="1"/>
        <w:rPr>
          <w:rFonts w:ascii="宋体" w:hAnsi="宋体"/>
          <w:color w:val="auto"/>
        </w:rPr>
      </w:pPr>
      <w:bookmarkStart w:id="7" w:name="_Toc8270"/>
      <w:r>
        <w:rPr>
          <w:rFonts w:hint="eastAsia" w:ascii="宋体" w:hAnsi="宋体"/>
          <w:color w:val="auto"/>
        </w:rPr>
        <w:t>五、开标</w:t>
      </w:r>
      <w:bookmarkEnd w:id="7"/>
    </w:p>
    <w:p>
      <w:pPr>
        <w:pStyle w:val="83"/>
        <w:spacing w:line="500" w:lineRule="exact"/>
        <w:ind w:firstLine="567"/>
        <w:jc w:val="both"/>
        <w:rPr>
          <w:rFonts w:ascii="宋体" w:hAnsi="宋体"/>
          <w:color w:val="auto"/>
        </w:rPr>
      </w:pPr>
      <w:r>
        <w:rPr>
          <w:rFonts w:hint="eastAsia" w:ascii="宋体" w:hAnsi="宋体"/>
          <w:color w:val="auto"/>
        </w:rPr>
        <w:t>22.  开标</w:t>
      </w:r>
    </w:p>
    <w:p>
      <w:pPr>
        <w:spacing w:line="500" w:lineRule="exact"/>
        <w:ind w:left="1" w:firstLine="480" w:firstLineChars="200"/>
        <w:rPr>
          <w:rFonts w:ascii="宋体" w:hAnsi="宋体"/>
          <w:color w:val="auto"/>
          <w:sz w:val="24"/>
          <w:szCs w:val="24"/>
        </w:rPr>
      </w:pPr>
      <w:r>
        <w:rPr>
          <w:rFonts w:hint="eastAsia" w:ascii="宋体" w:hAnsi="宋体"/>
          <w:color w:val="auto"/>
          <w:sz w:val="24"/>
          <w:szCs w:val="24"/>
        </w:rPr>
        <w:t xml:space="preserve">22.1  </w:t>
      </w:r>
      <w:r>
        <w:rPr>
          <w:rFonts w:ascii="宋体" w:hAnsi="宋体"/>
          <w:color w:val="auto"/>
          <w:sz w:val="24"/>
          <w:szCs w:val="24"/>
        </w:rPr>
        <w:t>开标应当在招标文件确定的提交投标文件截止时间的同一时间公开进行</w:t>
      </w:r>
      <w:r>
        <w:rPr>
          <w:rFonts w:hint="eastAsia" w:ascii="宋体" w:hAnsi="宋体"/>
          <w:color w:val="auto"/>
          <w:sz w:val="24"/>
          <w:szCs w:val="24"/>
        </w:rPr>
        <w:t>，</w:t>
      </w:r>
      <w:r>
        <w:rPr>
          <w:rFonts w:ascii="宋体" w:hAnsi="宋体"/>
          <w:color w:val="auto"/>
          <w:sz w:val="24"/>
          <w:szCs w:val="24"/>
        </w:rPr>
        <w:t>开标地点应当为招标文件中预先确定的地点。</w:t>
      </w:r>
    </w:p>
    <w:p>
      <w:pPr>
        <w:spacing w:line="500" w:lineRule="exact"/>
        <w:ind w:left="1" w:firstLine="480" w:firstLineChars="200"/>
        <w:rPr>
          <w:rFonts w:ascii="宋体" w:hAnsi="宋体"/>
          <w:color w:val="auto"/>
          <w:sz w:val="24"/>
          <w:szCs w:val="24"/>
        </w:rPr>
      </w:pPr>
      <w:r>
        <w:rPr>
          <w:rFonts w:hint="eastAsia" w:ascii="宋体" w:hAnsi="宋体"/>
          <w:color w:val="auto"/>
          <w:sz w:val="24"/>
          <w:szCs w:val="24"/>
        </w:rPr>
        <w:t>22.2  代理机构</w:t>
      </w:r>
      <w:r>
        <w:rPr>
          <w:rFonts w:ascii="宋体" w:hAnsi="宋体"/>
          <w:color w:val="auto"/>
          <w:sz w:val="24"/>
          <w:szCs w:val="24"/>
        </w:rPr>
        <w:t>主持，采购人、投标供应商和有关方面代表参加。</w:t>
      </w:r>
    </w:p>
    <w:p>
      <w:pPr>
        <w:widowControl/>
        <w:spacing w:line="440" w:lineRule="exact"/>
        <w:ind w:firstLine="480" w:firstLineChars="200"/>
        <w:jc w:val="left"/>
        <w:rPr>
          <w:rFonts w:ascii="宋体" w:hAnsi="宋体"/>
          <w:b/>
          <w:color w:val="auto"/>
          <w:sz w:val="24"/>
          <w:szCs w:val="24"/>
        </w:rPr>
      </w:pPr>
      <w:r>
        <w:rPr>
          <w:rFonts w:hint="eastAsia" w:ascii="宋体" w:hAnsi="宋体"/>
          <w:b/>
          <w:color w:val="auto"/>
          <w:sz w:val="24"/>
          <w:szCs w:val="24"/>
        </w:rPr>
        <w:t>22.3  参加开标会议的投标人须随身携带：</w:t>
      </w:r>
    </w:p>
    <w:p>
      <w:pPr>
        <w:widowControl/>
        <w:spacing w:line="440" w:lineRule="exact"/>
        <w:ind w:firstLine="480" w:firstLineChars="200"/>
        <w:jc w:val="left"/>
        <w:rPr>
          <w:rFonts w:hint="eastAsia" w:ascii="宋体" w:hAnsi="宋体"/>
          <w:b/>
          <w:color w:val="auto"/>
          <w:sz w:val="24"/>
          <w:szCs w:val="24"/>
        </w:rPr>
      </w:pPr>
      <w:r>
        <w:rPr>
          <w:rFonts w:hint="eastAsia" w:ascii="宋体" w:hAnsi="宋体"/>
          <w:b/>
          <w:color w:val="auto"/>
          <w:sz w:val="24"/>
          <w:szCs w:val="24"/>
        </w:rPr>
        <w:t>1、企业营业执照副本原件；</w:t>
      </w:r>
    </w:p>
    <w:p>
      <w:pPr>
        <w:widowControl/>
        <w:spacing w:line="440" w:lineRule="exact"/>
        <w:ind w:firstLine="480" w:firstLineChars="200"/>
        <w:jc w:val="left"/>
        <w:rPr>
          <w:rFonts w:hint="eastAsia" w:ascii="宋体" w:hAnsi="宋体"/>
          <w:b/>
          <w:color w:val="auto"/>
          <w:sz w:val="24"/>
          <w:szCs w:val="24"/>
        </w:rPr>
      </w:pPr>
      <w:r>
        <w:rPr>
          <w:rFonts w:hint="eastAsia" w:ascii="宋体" w:hAnsi="宋体"/>
          <w:b/>
          <w:color w:val="auto"/>
          <w:sz w:val="24"/>
          <w:szCs w:val="24"/>
        </w:rPr>
        <w:t>2、“信用中国”（www.creditchina.gov.cn）和“中国政府采购网”（www.ccgp.gov.cn）网站上未被列入失信被执行人、重大税收违法案件当事人名单以及政府采购严重违法失信行为记录名单的网页打印件（网页打印件须自招标文件发布之日起至投标截止时间从上述网站中打印）（加盖公章）；</w:t>
      </w:r>
    </w:p>
    <w:p>
      <w:pPr>
        <w:widowControl/>
        <w:spacing w:line="440" w:lineRule="exact"/>
        <w:ind w:firstLine="480" w:firstLineChars="200"/>
        <w:jc w:val="left"/>
        <w:rPr>
          <w:rFonts w:hint="eastAsia" w:ascii="宋体" w:hAnsi="宋体"/>
          <w:b/>
          <w:color w:val="auto"/>
          <w:sz w:val="24"/>
          <w:szCs w:val="24"/>
        </w:rPr>
      </w:pPr>
      <w:r>
        <w:rPr>
          <w:rFonts w:hint="eastAsia" w:ascii="宋体" w:hAnsi="宋体"/>
          <w:b/>
          <w:color w:val="auto"/>
          <w:sz w:val="24"/>
          <w:szCs w:val="24"/>
        </w:rPr>
        <w:t>3、法定代表人参加时提供：身份证原件，或委托代理人参加时提供：身份证原件、法定代表人身份证明、授权委托书原件；</w:t>
      </w:r>
    </w:p>
    <w:p>
      <w:pPr>
        <w:widowControl/>
        <w:spacing w:line="440" w:lineRule="exact"/>
        <w:ind w:firstLine="480" w:firstLineChars="200"/>
        <w:jc w:val="left"/>
        <w:rPr>
          <w:rFonts w:hint="eastAsia" w:ascii="宋体" w:hAnsi="宋体"/>
          <w:b/>
          <w:color w:val="auto"/>
          <w:sz w:val="24"/>
          <w:szCs w:val="24"/>
        </w:rPr>
      </w:pPr>
      <w:r>
        <w:rPr>
          <w:rFonts w:hint="eastAsia" w:ascii="宋体" w:hAnsi="宋体"/>
          <w:b/>
          <w:color w:val="auto"/>
          <w:sz w:val="24"/>
          <w:szCs w:val="24"/>
        </w:rPr>
        <w:t>4、投标保证金汇款凭证；</w:t>
      </w:r>
    </w:p>
    <w:p>
      <w:pPr>
        <w:widowControl/>
        <w:spacing w:line="440" w:lineRule="exact"/>
        <w:ind w:firstLine="480" w:firstLineChars="200"/>
        <w:jc w:val="left"/>
        <w:rPr>
          <w:rFonts w:hint="eastAsia" w:ascii="宋体" w:hAnsi="宋体"/>
          <w:b/>
          <w:color w:val="auto"/>
          <w:sz w:val="24"/>
          <w:szCs w:val="24"/>
        </w:rPr>
      </w:pPr>
      <w:r>
        <w:rPr>
          <w:rFonts w:hint="eastAsia" w:ascii="宋体" w:hAnsi="宋体"/>
          <w:b/>
          <w:color w:val="auto"/>
          <w:sz w:val="24"/>
          <w:szCs w:val="24"/>
        </w:rPr>
        <w:t>5、医疗器械生产许可证或医疗器械经营许可证原件；</w:t>
      </w:r>
    </w:p>
    <w:p>
      <w:pPr>
        <w:widowControl/>
        <w:spacing w:line="440" w:lineRule="exact"/>
        <w:ind w:firstLine="480" w:firstLineChars="200"/>
        <w:jc w:val="left"/>
        <w:rPr>
          <w:rFonts w:hint="eastAsia" w:ascii="宋体" w:hAnsi="宋体"/>
          <w:b/>
          <w:color w:val="auto"/>
          <w:sz w:val="24"/>
          <w:szCs w:val="24"/>
        </w:rPr>
      </w:pPr>
      <w:r>
        <w:rPr>
          <w:rFonts w:hint="eastAsia" w:ascii="宋体" w:hAnsi="宋体"/>
          <w:b/>
          <w:color w:val="auto"/>
          <w:sz w:val="24"/>
          <w:szCs w:val="24"/>
        </w:rPr>
        <w:t>6、提供近三个月投标单位及被授权人的社保缴纳证明；</w:t>
      </w:r>
    </w:p>
    <w:p>
      <w:pPr>
        <w:widowControl/>
        <w:spacing w:line="440" w:lineRule="exact"/>
        <w:ind w:firstLine="480" w:firstLineChars="200"/>
        <w:jc w:val="left"/>
        <w:rPr>
          <w:rFonts w:hint="eastAsia" w:ascii="宋体" w:hAnsi="宋体"/>
          <w:b/>
          <w:color w:val="auto"/>
          <w:sz w:val="24"/>
          <w:szCs w:val="24"/>
        </w:rPr>
      </w:pPr>
      <w:r>
        <w:rPr>
          <w:rFonts w:hint="eastAsia" w:ascii="宋体" w:hAnsi="宋体"/>
          <w:b/>
          <w:color w:val="auto"/>
          <w:sz w:val="24"/>
          <w:szCs w:val="24"/>
        </w:rPr>
        <w:t>7、生产厂家针对本项目的授权书原件。</w:t>
      </w:r>
    </w:p>
    <w:p>
      <w:pPr>
        <w:widowControl/>
        <w:spacing w:line="440" w:lineRule="exact"/>
        <w:ind w:firstLine="480" w:firstLineChars="200"/>
        <w:jc w:val="left"/>
        <w:rPr>
          <w:rFonts w:ascii="宋体" w:hAnsi="宋体"/>
          <w:b/>
          <w:color w:val="auto"/>
          <w:sz w:val="24"/>
          <w:szCs w:val="24"/>
        </w:rPr>
      </w:pPr>
      <w:r>
        <w:rPr>
          <w:rFonts w:hint="eastAsia" w:ascii="宋体" w:hAnsi="宋体"/>
          <w:b/>
          <w:color w:val="auto"/>
          <w:sz w:val="24"/>
          <w:szCs w:val="24"/>
        </w:rPr>
        <w:t>注：无法提供以上资料的投标人为无效投标人，其投标文件不予开封并退回投标人。</w:t>
      </w:r>
    </w:p>
    <w:p>
      <w:pPr>
        <w:widowControl/>
        <w:spacing w:line="440" w:lineRule="exact"/>
        <w:ind w:firstLine="480" w:firstLineChars="200"/>
        <w:jc w:val="left"/>
        <w:rPr>
          <w:rFonts w:ascii="宋体" w:hAnsi="宋体"/>
          <w:color w:val="auto"/>
          <w:sz w:val="24"/>
          <w:szCs w:val="24"/>
        </w:rPr>
      </w:pPr>
      <w:r>
        <w:rPr>
          <w:rFonts w:hint="eastAsia" w:ascii="宋体" w:hAnsi="宋体"/>
          <w:color w:val="auto"/>
          <w:sz w:val="24"/>
          <w:szCs w:val="24"/>
        </w:rPr>
        <w:t>22.4  开标时，应当由投标供应商或者其推选的代表检查投标文件的密封情况，也可以由采购人委托的公证机构检查并公证；经确认无误后，由招标工作人员当众拆封，宣读投标供应商名称、投标价格、价格折扣和投标文件的其他主要内容。</w:t>
      </w:r>
    </w:p>
    <w:p>
      <w:pPr>
        <w:spacing w:line="500" w:lineRule="exact"/>
        <w:ind w:left="1" w:firstLine="480" w:firstLineChars="200"/>
        <w:rPr>
          <w:rFonts w:ascii="宋体" w:hAnsi="宋体"/>
          <w:color w:val="auto"/>
          <w:sz w:val="24"/>
          <w:szCs w:val="24"/>
        </w:rPr>
      </w:pPr>
      <w:r>
        <w:rPr>
          <w:rFonts w:hint="eastAsia" w:ascii="宋体" w:hAnsi="宋体"/>
          <w:color w:val="auto"/>
          <w:sz w:val="24"/>
          <w:szCs w:val="24"/>
        </w:rPr>
        <w:t xml:space="preserve">22.5  </w:t>
      </w:r>
      <w:r>
        <w:rPr>
          <w:rFonts w:ascii="宋体" w:hAnsi="宋体"/>
          <w:color w:val="auto"/>
          <w:sz w:val="24"/>
          <w:szCs w:val="24"/>
        </w:rPr>
        <w:t>未宣读的投标价格、价格折扣和</w:t>
      </w:r>
      <w:r>
        <w:rPr>
          <w:rFonts w:hint="eastAsia" w:ascii="宋体" w:hAnsi="宋体"/>
          <w:color w:val="auto"/>
          <w:sz w:val="24"/>
          <w:szCs w:val="24"/>
        </w:rPr>
        <w:t>投标文件的其他主要</w:t>
      </w:r>
      <w:r>
        <w:rPr>
          <w:rFonts w:ascii="宋体" w:hAnsi="宋体"/>
          <w:color w:val="auto"/>
          <w:sz w:val="24"/>
          <w:szCs w:val="24"/>
        </w:rPr>
        <w:t>内容，评标时不予承认。</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22.6  开标时，投标文件中开标一览表</w:t>
      </w:r>
      <w:r>
        <w:rPr>
          <w:rFonts w:ascii="宋体" w:hAnsi="宋体"/>
          <w:color w:val="auto"/>
          <w:sz w:val="24"/>
          <w:szCs w:val="24"/>
        </w:rPr>
        <w:t>(报价表)内容与投标文件中明细表内容不一致的，以开标一览表(报价表)为准。</w:t>
      </w:r>
      <w:r>
        <w:rPr>
          <w:rFonts w:hint="eastAsia" w:ascii="宋体" w:hAnsi="宋体"/>
          <w:color w:val="auto"/>
          <w:sz w:val="24"/>
          <w:szCs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83"/>
        <w:spacing w:line="500" w:lineRule="exact"/>
        <w:ind w:firstLine="560"/>
        <w:jc w:val="both"/>
        <w:rPr>
          <w:rFonts w:ascii="宋体" w:hAnsi="宋体"/>
          <w:color w:val="auto"/>
        </w:rPr>
      </w:pPr>
      <w:r>
        <w:rPr>
          <w:rFonts w:hint="eastAsia" w:ascii="宋体" w:hAnsi="宋体"/>
          <w:color w:val="auto"/>
        </w:rPr>
        <w:t>22.7  对未按照本招标文件要求进行投标及资格审查不合格的投标供应商，其投标文件将被视为无效投标文件。</w:t>
      </w:r>
    </w:p>
    <w:p>
      <w:pPr>
        <w:spacing w:line="500" w:lineRule="exact"/>
        <w:ind w:firstLine="570"/>
        <w:rPr>
          <w:rFonts w:ascii="宋体" w:hAnsi="宋体"/>
          <w:color w:val="auto"/>
          <w:sz w:val="24"/>
          <w:szCs w:val="24"/>
        </w:rPr>
      </w:pPr>
      <w:r>
        <w:rPr>
          <w:rFonts w:hint="eastAsia" w:ascii="宋体" w:hAnsi="宋体"/>
          <w:color w:val="auto"/>
          <w:sz w:val="24"/>
          <w:szCs w:val="24"/>
        </w:rPr>
        <w:t>22.8 投标供应商之间不得相互串通投标报价，不得妨碍其他投标供应商的公平竞争，不得损害招标采购单位或者其他投标供应商的合法权益。</w:t>
      </w:r>
    </w:p>
    <w:p>
      <w:pPr>
        <w:spacing w:line="500" w:lineRule="exact"/>
        <w:rPr>
          <w:rFonts w:ascii="宋体" w:hAnsi="宋体"/>
          <w:color w:val="auto"/>
          <w:sz w:val="24"/>
          <w:szCs w:val="24"/>
        </w:rPr>
      </w:pPr>
      <w:r>
        <w:rPr>
          <w:rFonts w:ascii="宋体" w:hAnsi="宋体"/>
          <w:color w:val="auto"/>
          <w:sz w:val="24"/>
          <w:szCs w:val="24"/>
        </w:rPr>
        <w:t xml:space="preserve"> </w:t>
      </w:r>
      <w:r>
        <w:rPr>
          <w:rFonts w:ascii="宋体" w:hAnsi="宋体"/>
          <w:color w:val="auto"/>
          <w:sz w:val="24"/>
          <w:szCs w:val="24"/>
        </w:rPr>
        <w:tab/>
      </w:r>
      <w:r>
        <w:rPr>
          <w:rFonts w:ascii="宋体" w:hAnsi="宋体"/>
          <w:color w:val="auto"/>
          <w:sz w:val="24"/>
          <w:szCs w:val="24"/>
        </w:rPr>
        <w:t xml:space="preserve"> </w:t>
      </w:r>
      <w:r>
        <w:rPr>
          <w:rFonts w:hint="eastAsia" w:ascii="宋体" w:hAnsi="宋体"/>
          <w:color w:val="auto"/>
          <w:sz w:val="24"/>
          <w:szCs w:val="24"/>
        </w:rPr>
        <w:t>22.9 投标供应商不得以向招标采购单位、评标委员会成员行贿或者采取其他不正当手段谋取中标。</w:t>
      </w:r>
    </w:p>
    <w:p>
      <w:pPr>
        <w:spacing w:line="500" w:lineRule="exact"/>
        <w:rPr>
          <w:rFonts w:ascii="宋体" w:hAnsi="宋体"/>
          <w:color w:val="auto"/>
          <w:sz w:val="24"/>
          <w:szCs w:val="24"/>
        </w:rPr>
      </w:pPr>
    </w:p>
    <w:p>
      <w:pPr>
        <w:pStyle w:val="39"/>
        <w:rPr>
          <w:color w:val="auto"/>
        </w:rPr>
      </w:pPr>
    </w:p>
    <w:p>
      <w:pPr>
        <w:pStyle w:val="83"/>
        <w:spacing w:line="500" w:lineRule="exact"/>
        <w:jc w:val="center"/>
        <w:outlineLvl w:val="1"/>
        <w:rPr>
          <w:rFonts w:ascii="宋体" w:hAnsi="宋体"/>
          <w:color w:val="auto"/>
        </w:rPr>
      </w:pPr>
      <w:bookmarkStart w:id="8" w:name="_Toc15882"/>
      <w:r>
        <w:rPr>
          <w:rFonts w:hint="eastAsia" w:ascii="宋体" w:hAnsi="宋体"/>
          <w:color w:val="auto"/>
        </w:rPr>
        <w:t>六、评标、定标</w:t>
      </w:r>
      <w:bookmarkEnd w:id="8"/>
    </w:p>
    <w:p>
      <w:pPr>
        <w:pStyle w:val="83"/>
        <w:spacing w:line="500" w:lineRule="exact"/>
        <w:ind w:left="567"/>
        <w:jc w:val="both"/>
        <w:rPr>
          <w:rFonts w:ascii="宋体" w:hAnsi="宋体"/>
          <w:color w:val="auto"/>
        </w:rPr>
      </w:pPr>
      <w:bookmarkStart w:id="9" w:name="OLE_LINK1"/>
      <w:r>
        <w:rPr>
          <w:rFonts w:hint="eastAsia" w:ascii="宋体" w:hAnsi="宋体"/>
          <w:color w:val="auto"/>
        </w:rPr>
        <w:t>23.  评标</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23.1  评标委员会</w:t>
      </w:r>
    </w:p>
    <w:p>
      <w:pPr>
        <w:spacing w:line="500" w:lineRule="exact"/>
        <w:ind w:firstLine="561"/>
        <w:rPr>
          <w:rFonts w:ascii="宋体" w:hAnsi="宋体"/>
          <w:color w:val="auto"/>
          <w:sz w:val="24"/>
          <w:szCs w:val="24"/>
        </w:rPr>
      </w:pPr>
      <w:r>
        <w:rPr>
          <w:rFonts w:hint="eastAsia" w:ascii="宋体" w:hAnsi="宋体"/>
          <w:color w:val="auto"/>
          <w:sz w:val="24"/>
          <w:szCs w:val="24"/>
        </w:rPr>
        <w:t>23.1.1 评标委员会由采购人代表和有关技术、经济等方面的专家组成，成员人数应当为五人。</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23.1.2 招标采购单位就招标文件征询过意见的专家，不得再作为评标专家参加评标。采购人不得以专家身份参与本部门或者本单位采购项目的评标。采购代理机构工作人员不得参加由本机构代理的政府采购项目的评标。</w:t>
      </w:r>
    </w:p>
    <w:p>
      <w:pPr>
        <w:pStyle w:val="83"/>
        <w:spacing w:line="500" w:lineRule="exact"/>
        <w:ind w:firstLine="480" w:firstLineChars="200"/>
        <w:jc w:val="both"/>
        <w:rPr>
          <w:rFonts w:ascii="宋体" w:hAnsi="宋体"/>
          <w:color w:val="auto"/>
        </w:rPr>
      </w:pPr>
      <w:r>
        <w:rPr>
          <w:rFonts w:hint="eastAsia" w:ascii="宋体" w:hAnsi="宋体"/>
          <w:color w:val="auto"/>
        </w:rPr>
        <w:t>23.1.3  评标人员应认真执行《中华人民共和国政府采购法》及相关法规规定，同时维护采购人和投标供应商的合法权益</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23.1.4  评标的依据为招标文件和投标文件</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23.1.5  评标中各评委若发生意见分歧，通过书面表决形式，以少数服从多数为原则决定。</w:t>
      </w:r>
    </w:p>
    <w:p>
      <w:pPr>
        <w:pStyle w:val="83"/>
        <w:spacing w:line="500" w:lineRule="exact"/>
        <w:ind w:firstLine="567"/>
        <w:jc w:val="both"/>
        <w:rPr>
          <w:rFonts w:ascii="宋体" w:hAnsi="宋体"/>
          <w:color w:val="auto"/>
        </w:rPr>
      </w:pPr>
      <w:r>
        <w:rPr>
          <w:rFonts w:hint="eastAsia" w:ascii="宋体" w:hAnsi="宋体"/>
          <w:color w:val="auto"/>
        </w:rPr>
        <w:t>23.2 评标纪律</w:t>
      </w:r>
    </w:p>
    <w:p>
      <w:pPr>
        <w:pStyle w:val="83"/>
        <w:spacing w:line="500" w:lineRule="exact"/>
        <w:ind w:firstLine="567"/>
        <w:jc w:val="both"/>
        <w:rPr>
          <w:rFonts w:ascii="宋体" w:hAnsi="宋体"/>
          <w:color w:val="auto"/>
        </w:rPr>
      </w:pPr>
      <w:r>
        <w:rPr>
          <w:rFonts w:hint="eastAsia" w:ascii="宋体" w:hAnsi="宋体"/>
          <w:color w:val="auto"/>
        </w:rPr>
        <w:t>（一）不徇私情，不得明招暗定，杜绝不正之风。</w:t>
      </w:r>
    </w:p>
    <w:p>
      <w:pPr>
        <w:pStyle w:val="83"/>
        <w:spacing w:line="500" w:lineRule="exact"/>
        <w:ind w:firstLine="567"/>
        <w:jc w:val="both"/>
        <w:rPr>
          <w:rFonts w:ascii="宋体" w:hAnsi="宋体"/>
          <w:color w:val="auto"/>
        </w:rPr>
      </w:pPr>
      <w:r>
        <w:rPr>
          <w:rFonts w:hint="eastAsia" w:ascii="宋体" w:hAnsi="宋体"/>
          <w:color w:val="auto"/>
        </w:rPr>
        <w:t>（二）评标人员不得私自泄露评标内容。</w:t>
      </w:r>
    </w:p>
    <w:p>
      <w:pPr>
        <w:spacing w:line="500" w:lineRule="exact"/>
        <w:ind w:firstLine="538"/>
        <w:rPr>
          <w:rFonts w:ascii="宋体" w:hAnsi="宋体"/>
          <w:color w:val="auto"/>
          <w:sz w:val="24"/>
          <w:szCs w:val="24"/>
        </w:rPr>
      </w:pPr>
      <w:r>
        <w:rPr>
          <w:rFonts w:hint="eastAsia" w:ascii="宋体" w:hAnsi="宋体"/>
          <w:color w:val="auto"/>
          <w:sz w:val="24"/>
          <w:szCs w:val="24"/>
        </w:rPr>
        <w:t>（三）评标过程应严格遵守保密制度。开标后,直到授予投标供应商合同止，凡是属于审查、澄清、评价和比较的有关资料以及授标建议等均不得向投标供应商或其他无关的人员透露。</w:t>
      </w:r>
    </w:p>
    <w:p>
      <w:pPr>
        <w:spacing w:line="500" w:lineRule="exact"/>
        <w:ind w:firstLine="538"/>
        <w:rPr>
          <w:rFonts w:ascii="宋体" w:hAnsi="宋体"/>
          <w:color w:val="auto"/>
          <w:sz w:val="24"/>
          <w:szCs w:val="24"/>
        </w:rPr>
      </w:pPr>
      <w:r>
        <w:rPr>
          <w:rFonts w:hint="eastAsia" w:ascii="宋体" w:hAnsi="宋体"/>
          <w:color w:val="auto"/>
          <w:sz w:val="24"/>
          <w:szCs w:val="24"/>
        </w:rPr>
        <w:t>23.3 评标委员会成员应当履行的义务</w:t>
      </w:r>
    </w:p>
    <w:p>
      <w:pPr>
        <w:spacing w:line="500" w:lineRule="exact"/>
        <w:ind w:firstLine="538"/>
        <w:rPr>
          <w:rFonts w:ascii="宋体" w:hAnsi="宋体"/>
          <w:color w:val="auto"/>
          <w:sz w:val="24"/>
          <w:szCs w:val="24"/>
        </w:rPr>
      </w:pPr>
      <w:r>
        <w:rPr>
          <w:rFonts w:hint="eastAsia" w:ascii="宋体" w:hAnsi="宋体"/>
          <w:color w:val="auto"/>
          <w:sz w:val="24"/>
          <w:szCs w:val="24"/>
        </w:rPr>
        <w:t>（一）遵纪守法，客观、公正、廉洁地履行职责；</w:t>
      </w:r>
    </w:p>
    <w:p>
      <w:pPr>
        <w:spacing w:line="500" w:lineRule="exact"/>
        <w:ind w:firstLine="538"/>
        <w:rPr>
          <w:rFonts w:ascii="宋体" w:hAnsi="宋体"/>
          <w:color w:val="auto"/>
          <w:sz w:val="24"/>
          <w:szCs w:val="24"/>
        </w:rPr>
      </w:pPr>
      <w:r>
        <w:rPr>
          <w:rFonts w:hint="eastAsia" w:ascii="宋体" w:hAnsi="宋体"/>
          <w:color w:val="auto"/>
          <w:sz w:val="24"/>
          <w:szCs w:val="24"/>
        </w:rPr>
        <w:t>（二）按照招标文件规定的评标方法和评标标准进行评标，对评审意见承担个人责任；</w:t>
      </w:r>
    </w:p>
    <w:p>
      <w:pPr>
        <w:spacing w:line="500" w:lineRule="exact"/>
        <w:ind w:firstLine="538"/>
        <w:rPr>
          <w:rFonts w:ascii="宋体" w:hAnsi="宋体"/>
          <w:color w:val="auto"/>
          <w:sz w:val="24"/>
          <w:szCs w:val="24"/>
        </w:rPr>
      </w:pPr>
      <w:r>
        <w:rPr>
          <w:rFonts w:hint="eastAsia" w:ascii="宋体" w:hAnsi="宋体"/>
          <w:color w:val="auto"/>
          <w:sz w:val="24"/>
          <w:szCs w:val="24"/>
        </w:rPr>
        <w:t>（三）对评标过程和结果，以及供应商的商业秘密保密；</w:t>
      </w:r>
    </w:p>
    <w:p>
      <w:pPr>
        <w:spacing w:line="500" w:lineRule="exact"/>
        <w:ind w:firstLine="538"/>
        <w:rPr>
          <w:rFonts w:ascii="宋体" w:hAnsi="宋体"/>
          <w:color w:val="auto"/>
          <w:sz w:val="24"/>
          <w:szCs w:val="24"/>
        </w:rPr>
      </w:pPr>
      <w:r>
        <w:rPr>
          <w:rFonts w:hint="eastAsia" w:ascii="宋体" w:hAnsi="宋体"/>
          <w:color w:val="auto"/>
          <w:sz w:val="24"/>
          <w:szCs w:val="24"/>
        </w:rPr>
        <w:t>（四）参与评标报告的起草；</w:t>
      </w:r>
    </w:p>
    <w:p>
      <w:pPr>
        <w:spacing w:line="500" w:lineRule="exact"/>
        <w:ind w:firstLine="538"/>
        <w:rPr>
          <w:rFonts w:ascii="宋体" w:hAnsi="宋体"/>
          <w:color w:val="auto"/>
          <w:sz w:val="24"/>
          <w:szCs w:val="24"/>
        </w:rPr>
      </w:pPr>
      <w:r>
        <w:rPr>
          <w:rFonts w:hint="eastAsia" w:ascii="宋体" w:hAnsi="宋体"/>
          <w:color w:val="auto"/>
          <w:sz w:val="24"/>
          <w:szCs w:val="24"/>
        </w:rPr>
        <w:t>（五）配合财政部门的投诉处理工作；</w:t>
      </w:r>
    </w:p>
    <w:p>
      <w:pPr>
        <w:spacing w:line="500" w:lineRule="exact"/>
        <w:ind w:firstLine="538"/>
        <w:rPr>
          <w:rFonts w:ascii="宋体" w:hAnsi="宋体"/>
          <w:color w:val="auto"/>
          <w:sz w:val="24"/>
          <w:szCs w:val="24"/>
        </w:rPr>
      </w:pPr>
      <w:r>
        <w:rPr>
          <w:rFonts w:hint="eastAsia" w:ascii="宋体" w:hAnsi="宋体"/>
          <w:color w:val="auto"/>
          <w:sz w:val="24"/>
          <w:szCs w:val="24"/>
        </w:rPr>
        <w:t>（六）配合招标采购单位答复投标供应商提出的质疑。</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24.  评标原则</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24.1  评标活动遵循公平、公正、科学和择优的原则。</w:t>
      </w:r>
    </w:p>
    <w:p>
      <w:pPr>
        <w:pStyle w:val="83"/>
        <w:spacing w:line="500" w:lineRule="exact"/>
        <w:ind w:firstLine="567"/>
        <w:jc w:val="both"/>
        <w:rPr>
          <w:rFonts w:ascii="宋体" w:hAnsi="宋体"/>
          <w:color w:val="auto"/>
        </w:rPr>
      </w:pPr>
      <w:r>
        <w:rPr>
          <w:rFonts w:hint="eastAsia" w:ascii="宋体" w:hAnsi="宋体"/>
          <w:color w:val="auto"/>
        </w:rPr>
        <w:t>25.  评标方法</w:t>
      </w:r>
    </w:p>
    <w:p>
      <w:pPr>
        <w:pStyle w:val="159"/>
        <w:spacing w:line="500" w:lineRule="exact"/>
        <w:ind w:firstLine="567"/>
        <w:jc w:val="both"/>
        <w:rPr>
          <w:rFonts w:ascii="宋体" w:hAnsi="宋体"/>
          <w:color w:val="auto"/>
          <w:sz w:val="24"/>
        </w:rPr>
      </w:pPr>
      <w:r>
        <w:rPr>
          <w:rFonts w:hint="eastAsia" w:ascii="宋体" w:hAnsi="宋体"/>
          <w:color w:val="auto"/>
          <w:sz w:val="24"/>
        </w:rPr>
        <w:t>25.1  开标后评标委员会将审查投标文件是否完整、要求的保证金是否已提供、文件是否恰当签署、是否有计算错误,若投标供应商拒绝接受修正，其投标将可能被拒绝。</w:t>
      </w:r>
    </w:p>
    <w:p>
      <w:pPr>
        <w:pStyle w:val="159"/>
        <w:spacing w:line="500" w:lineRule="exact"/>
        <w:ind w:firstLine="567"/>
        <w:jc w:val="both"/>
        <w:rPr>
          <w:rFonts w:ascii="宋体" w:hAnsi="宋体"/>
          <w:color w:val="auto"/>
          <w:sz w:val="24"/>
        </w:rPr>
      </w:pPr>
      <w:r>
        <w:rPr>
          <w:rFonts w:hint="eastAsia" w:ascii="宋体" w:hAnsi="宋体"/>
          <w:color w:val="auto"/>
          <w:sz w:val="24"/>
        </w:rPr>
        <w:t xml:space="preserve">25.2  </w:t>
      </w:r>
      <w:r>
        <w:rPr>
          <w:rFonts w:hint="eastAsia" w:ascii="宋体" w:hAnsi="宋体"/>
          <w:color w:val="auto"/>
          <w:spacing w:val="-2"/>
          <w:sz w:val="24"/>
        </w:rPr>
        <w:t>在对投标文件进行详细评估之前，评标委员会将审查每一份投标文件是否对招标文件的要求做出了实质性的响应。实质性响应的投标应该是与招标文件的全部条款、条件和规格相符，而没有重大偏离。重大偏离系指影响到合同所有条款的供货范围、质量、性能和规格或在实质上与招标文件不一致，而且限制了买方的权力和投标供应商的义务。而纠正或承认这些偏离将会对该投标供应商和其它投标供应商合理的竞争地位产生不公正的影响</w:t>
      </w:r>
      <w:r>
        <w:rPr>
          <w:rFonts w:hint="eastAsia" w:ascii="宋体" w:hAnsi="宋体"/>
          <w:color w:val="auto"/>
          <w:sz w:val="24"/>
        </w:rPr>
        <w:t>。</w:t>
      </w:r>
    </w:p>
    <w:p>
      <w:pPr>
        <w:pStyle w:val="159"/>
        <w:spacing w:line="500" w:lineRule="exact"/>
        <w:ind w:firstLine="567"/>
        <w:jc w:val="both"/>
        <w:rPr>
          <w:rFonts w:ascii="宋体" w:hAnsi="宋体"/>
          <w:color w:val="auto"/>
          <w:sz w:val="24"/>
        </w:rPr>
      </w:pPr>
      <w:r>
        <w:rPr>
          <w:rFonts w:hint="eastAsia" w:ascii="宋体" w:hAnsi="宋体"/>
          <w:color w:val="auto"/>
          <w:sz w:val="24"/>
        </w:rPr>
        <w:t>25.3  评标委员会判断投标文件的响应性仅基于投标文件本身而不寻求外部证据。</w:t>
      </w:r>
    </w:p>
    <w:p>
      <w:pPr>
        <w:pStyle w:val="159"/>
        <w:spacing w:line="500" w:lineRule="exact"/>
        <w:ind w:firstLine="567"/>
        <w:jc w:val="both"/>
        <w:rPr>
          <w:rFonts w:ascii="宋体" w:hAnsi="宋体"/>
          <w:color w:val="auto"/>
          <w:sz w:val="24"/>
        </w:rPr>
      </w:pPr>
      <w:r>
        <w:rPr>
          <w:rFonts w:hint="eastAsia" w:ascii="宋体" w:hAnsi="宋体"/>
          <w:color w:val="auto"/>
          <w:sz w:val="24"/>
        </w:rPr>
        <w:t>25.4  对已被评标委员会确定为非响应性的投标，投标供应商不能通过修正或撤销不符之处而使其投标成为响应性投标。</w:t>
      </w:r>
    </w:p>
    <w:p>
      <w:pPr>
        <w:pStyle w:val="83"/>
        <w:spacing w:line="500" w:lineRule="exact"/>
        <w:ind w:firstLine="567"/>
        <w:jc w:val="both"/>
        <w:rPr>
          <w:rFonts w:ascii="宋体" w:hAnsi="宋体"/>
          <w:color w:val="auto"/>
        </w:rPr>
      </w:pPr>
      <w:r>
        <w:rPr>
          <w:rFonts w:hint="eastAsia" w:ascii="宋体" w:hAnsi="宋体"/>
          <w:color w:val="auto"/>
        </w:rPr>
        <w:t>25.5  评标委员会允许投标中有微小的不正规、不一致或不规则，而该微小之处不构成重大偏离。</w:t>
      </w:r>
    </w:p>
    <w:p>
      <w:pPr>
        <w:pStyle w:val="83"/>
        <w:spacing w:line="500" w:lineRule="exact"/>
        <w:ind w:firstLine="567"/>
        <w:jc w:val="both"/>
        <w:rPr>
          <w:rFonts w:ascii="宋体" w:hAnsi="宋体"/>
          <w:b/>
          <w:color w:val="auto"/>
        </w:rPr>
      </w:pPr>
      <w:r>
        <w:rPr>
          <w:rFonts w:hint="eastAsia" w:ascii="宋体" w:hAnsi="宋体"/>
          <w:b/>
          <w:color w:val="auto"/>
        </w:rPr>
        <w:t>25.6  本项目将采用：综合评分法</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500" w:lineRule="exact"/>
        <w:ind w:firstLine="480" w:firstLineChars="200"/>
        <w:rPr>
          <w:rFonts w:hint="eastAsia" w:ascii="宋体" w:hAnsi="宋体"/>
          <w:color w:val="auto"/>
          <w:kern w:val="0"/>
          <w:sz w:val="24"/>
          <w:szCs w:val="24"/>
        </w:rPr>
      </w:pPr>
      <w:r>
        <w:rPr>
          <w:rFonts w:hint="eastAsia" w:ascii="宋体" w:hAnsi="宋体"/>
          <w:color w:val="auto"/>
          <w:kern w:val="0"/>
          <w:sz w:val="24"/>
          <w:szCs w:val="24"/>
        </w:rPr>
        <w:t>综合评分法：评标委员会将采用综合评分法对投标文件所载明的商务标、技术标等内容进行打分，依据得分从高到低的顺序最终确定中标供应商，最低报价不作为中标的唯一依据。采用百分制原则：满分为100分、技术标占70%、商务标占30%。投标单位最终得分=技术标得分+商务标得分，具体评分标准如下：</w:t>
      </w:r>
    </w:p>
    <w:p>
      <w:pPr>
        <w:pStyle w:val="39"/>
        <w:rPr>
          <w:rFonts w:hint="eastAsia" w:ascii="宋体" w:hAnsi="宋体"/>
          <w:color w:val="auto"/>
          <w:kern w:val="0"/>
          <w:sz w:val="24"/>
          <w:szCs w:val="24"/>
        </w:rPr>
      </w:pPr>
    </w:p>
    <w:p>
      <w:pPr>
        <w:pStyle w:val="39"/>
        <w:rPr>
          <w:rFonts w:hint="eastAsia" w:ascii="宋体" w:hAnsi="宋体"/>
          <w:color w:val="auto"/>
          <w:kern w:val="0"/>
          <w:sz w:val="24"/>
          <w:szCs w:val="24"/>
        </w:rPr>
      </w:pPr>
    </w:p>
    <w:p>
      <w:pPr>
        <w:pStyle w:val="39"/>
        <w:rPr>
          <w:rFonts w:hint="eastAsia" w:ascii="宋体" w:hAnsi="宋体"/>
          <w:color w:val="auto"/>
          <w:kern w:val="0"/>
          <w:sz w:val="24"/>
          <w:szCs w:val="24"/>
        </w:rPr>
      </w:pPr>
    </w:p>
    <w:p>
      <w:pPr>
        <w:pStyle w:val="39"/>
        <w:rPr>
          <w:color w:val="auto"/>
        </w:rPr>
      </w:pPr>
    </w:p>
    <w:tbl>
      <w:tblPr>
        <w:tblStyle w:val="41"/>
        <w:tblW w:w="9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
        <w:gridCol w:w="2835"/>
        <w:gridCol w:w="1139"/>
        <w:gridCol w:w="49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 w:val="24"/>
                <w:szCs w:val="24"/>
              </w:rPr>
            </w:pPr>
            <w:r>
              <w:rPr>
                <w:rFonts w:hint="eastAsia" w:ascii="宋体" w:hAnsi="宋体"/>
                <w:color w:val="auto"/>
                <w:sz w:val="24"/>
                <w:szCs w:val="24"/>
              </w:rPr>
              <w:t>序号</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 w:val="24"/>
                <w:szCs w:val="24"/>
              </w:rPr>
            </w:pPr>
            <w:r>
              <w:rPr>
                <w:rFonts w:hint="eastAsia" w:ascii="宋体" w:hAnsi="宋体"/>
                <w:color w:val="auto"/>
                <w:sz w:val="24"/>
                <w:szCs w:val="24"/>
              </w:rPr>
              <w:t>评分内容</w:t>
            </w:r>
          </w:p>
        </w:tc>
        <w:tc>
          <w:tcPr>
            <w:tcW w:w="607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 w:val="24"/>
                <w:szCs w:val="24"/>
              </w:rPr>
            </w:pPr>
            <w:r>
              <w:rPr>
                <w:rFonts w:hint="eastAsia" w:ascii="宋体" w:hAnsi="宋体"/>
                <w:color w:val="auto"/>
                <w:sz w:val="24"/>
                <w:szCs w:val="24"/>
              </w:rPr>
              <w:t>评分方法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7"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 w:val="24"/>
                <w:szCs w:val="24"/>
              </w:rPr>
            </w:pPr>
            <w:r>
              <w:rPr>
                <w:rFonts w:hint="eastAsia" w:ascii="宋体" w:hAnsi="宋体"/>
                <w:color w:val="auto"/>
                <w:sz w:val="24"/>
                <w:szCs w:val="24"/>
              </w:rPr>
              <w:t>1</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仿宋_GB2312"/>
                <w:b/>
                <w:bCs/>
                <w:color w:val="auto"/>
                <w:sz w:val="24"/>
                <w:szCs w:val="24"/>
              </w:rPr>
            </w:pPr>
            <w:r>
              <w:rPr>
                <w:rFonts w:hint="eastAsia" w:ascii="宋体" w:hAnsi="宋体" w:cs="仿宋_GB2312"/>
                <w:b/>
                <w:bCs/>
                <w:color w:val="auto"/>
                <w:sz w:val="24"/>
                <w:szCs w:val="24"/>
              </w:rPr>
              <w:t>商务部分(报价得分)</w:t>
            </w:r>
          </w:p>
          <w:p>
            <w:pPr>
              <w:spacing w:line="440" w:lineRule="exact"/>
              <w:jc w:val="center"/>
              <w:rPr>
                <w:rFonts w:ascii="宋体" w:hAnsi="宋体"/>
                <w:color w:val="auto"/>
                <w:sz w:val="24"/>
                <w:szCs w:val="24"/>
              </w:rPr>
            </w:pPr>
            <w:r>
              <w:rPr>
                <w:rFonts w:hint="eastAsia" w:ascii="宋体" w:hAnsi="宋体" w:cs="仿宋_GB2312"/>
                <w:b/>
                <w:bCs/>
                <w:color w:val="auto"/>
                <w:sz w:val="24"/>
                <w:szCs w:val="24"/>
              </w:rPr>
              <w:t>30分</w:t>
            </w:r>
          </w:p>
        </w:tc>
        <w:tc>
          <w:tcPr>
            <w:tcW w:w="60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宋体" w:hAnsi="宋体" w:cs="仿宋_GB2312"/>
                <w:color w:val="auto"/>
                <w:sz w:val="24"/>
                <w:szCs w:val="24"/>
              </w:rPr>
            </w:pPr>
            <w:r>
              <w:rPr>
                <w:rFonts w:hint="eastAsia" w:ascii="宋体" w:hAnsi="宋体" w:cs="仿宋_GB2312"/>
                <w:color w:val="auto"/>
                <w:sz w:val="24"/>
                <w:szCs w:val="24"/>
              </w:rPr>
              <w:t>报价得分=(评标基准价/投标报价)×30%×100</w:t>
            </w:r>
          </w:p>
          <w:p>
            <w:pPr>
              <w:adjustRightInd w:val="0"/>
              <w:snapToGrid w:val="0"/>
              <w:spacing w:line="440" w:lineRule="exact"/>
              <w:jc w:val="left"/>
              <w:rPr>
                <w:rFonts w:ascii="宋体" w:hAnsi="宋体"/>
                <w:color w:val="auto"/>
                <w:sz w:val="24"/>
                <w:szCs w:val="24"/>
              </w:rPr>
            </w:pPr>
            <w:r>
              <w:rPr>
                <w:rFonts w:hint="eastAsia" w:ascii="宋体" w:hAnsi="宋体" w:cs="仿宋_GB2312"/>
                <w:color w:val="auto"/>
                <w:sz w:val="24"/>
                <w:szCs w:val="24"/>
              </w:rPr>
              <w:t>备注：采用低价优先法计算，即满足招标文件要求且投标价格最低的投标报价为评标基准价，其价格为满分（保留小数点后两位）。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 w:val="24"/>
                <w:szCs w:val="24"/>
              </w:rPr>
            </w:pPr>
            <w:r>
              <w:rPr>
                <w:rFonts w:hint="eastAsia" w:ascii="宋体" w:hAnsi="宋体" w:cs="仿宋_GB2312"/>
                <w:b/>
                <w:bCs/>
                <w:color w:val="auto"/>
                <w:sz w:val="24"/>
                <w:szCs w:val="24"/>
              </w:rPr>
              <w:t>属于中小企业评审优惠内容及价格扣除幅度</w:t>
            </w:r>
          </w:p>
        </w:tc>
        <w:tc>
          <w:tcPr>
            <w:tcW w:w="60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宋体" w:hAnsi="宋体" w:cs="仿宋_GB2312"/>
                <w:color w:val="auto"/>
                <w:sz w:val="24"/>
                <w:szCs w:val="24"/>
              </w:rPr>
            </w:pPr>
            <w:r>
              <w:rPr>
                <w:rFonts w:hint="eastAsia" w:ascii="宋体" w:hAnsi="宋体" w:cs="仿宋_GB2312"/>
                <w:color w:val="auto"/>
                <w:sz w:val="24"/>
                <w:szCs w:val="24"/>
              </w:rPr>
              <w:t>根据中华人民共和国财政部、中华人民共和国工业和信息化部《政府采购促进中小企业发展暂行办法》（财库[2011]181号）文件的规定，属于中小企业评审优惠内容及幅度如下：</w:t>
            </w:r>
          </w:p>
          <w:p>
            <w:pPr>
              <w:adjustRightInd w:val="0"/>
              <w:snapToGrid w:val="0"/>
              <w:spacing w:line="440" w:lineRule="exact"/>
              <w:jc w:val="left"/>
              <w:rPr>
                <w:rFonts w:ascii="宋体" w:hAnsi="宋体" w:cs="仿宋_GB2312"/>
                <w:color w:val="auto"/>
                <w:sz w:val="24"/>
                <w:szCs w:val="24"/>
              </w:rPr>
            </w:pPr>
            <w:r>
              <w:rPr>
                <w:rFonts w:hint="eastAsia" w:ascii="宋体" w:hAnsi="宋体" w:cs="仿宋_GB2312"/>
                <w:color w:val="auto"/>
                <w:sz w:val="24"/>
                <w:szCs w:val="24"/>
              </w:rPr>
              <w:t>（一）中小企业（含中型、小型、微型企业）应当同时符合以下条件：</w:t>
            </w:r>
          </w:p>
          <w:p>
            <w:pPr>
              <w:adjustRightInd w:val="0"/>
              <w:snapToGrid w:val="0"/>
              <w:spacing w:line="440" w:lineRule="exact"/>
              <w:jc w:val="left"/>
              <w:rPr>
                <w:rFonts w:ascii="宋体" w:hAnsi="宋体" w:cs="仿宋_GB2312"/>
                <w:color w:val="auto"/>
                <w:sz w:val="24"/>
                <w:szCs w:val="24"/>
              </w:rPr>
            </w:pPr>
            <w:r>
              <w:rPr>
                <w:rFonts w:hint="eastAsia" w:ascii="宋体" w:hAnsi="宋体" w:cs="仿宋_GB2312"/>
                <w:color w:val="auto"/>
                <w:sz w:val="24"/>
                <w:szCs w:val="24"/>
              </w:rPr>
              <w:t>①符合中小企业划分标准（按《关于印发中小企业划型标准规定的通知》（工信部联企业〔2011〕300号）执行）；</w:t>
            </w:r>
          </w:p>
          <w:p>
            <w:pPr>
              <w:adjustRightInd w:val="0"/>
              <w:snapToGrid w:val="0"/>
              <w:spacing w:line="440" w:lineRule="exact"/>
              <w:jc w:val="left"/>
              <w:rPr>
                <w:rFonts w:ascii="宋体" w:hAnsi="宋体" w:cs="仿宋_GB2312"/>
                <w:color w:val="auto"/>
                <w:sz w:val="24"/>
                <w:szCs w:val="24"/>
              </w:rPr>
            </w:pPr>
            <w:r>
              <w:rPr>
                <w:rFonts w:hint="eastAsia" w:ascii="宋体" w:hAnsi="宋体" w:cs="仿宋_GB2312"/>
                <w:color w:val="auto"/>
                <w:sz w:val="24"/>
                <w:szCs w:val="24"/>
              </w:rPr>
              <w:t>②提供本企业制造的货物、承担的项目或者服务，或者提供其他中小企业制造的货物。本项所称货物不包括使用大型企业注册商标的货物；</w:t>
            </w:r>
          </w:p>
          <w:p>
            <w:pPr>
              <w:adjustRightInd w:val="0"/>
              <w:snapToGrid w:val="0"/>
              <w:spacing w:line="440" w:lineRule="exact"/>
              <w:jc w:val="left"/>
              <w:rPr>
                <w:rFonts w:ascii="宋体" w:hAnsi="宋体" w:cs="仿宋_GB2312"/>
                <w:color w:val="auto"/>
                <w:sz w:val="24"/>
                <w:szCs w:val="24"/>
              </w:rPr>
            </w:pPr>
            <w:r>
              <w:rPr>
                <w:rFonts w:hint="eastAsia" w:ascii="宋体" w:hAnsi="宋体" w:cs="仿宋_GB2312"/>
                <w:color w:val="auto"/>
                <w:sz w:val="24"/>
                <w:szCs w:val="24"/>
              </w:rPr>
              <w:t>③小型、微型企业提供中型企业制造的货物的，视同为中型企业。</w:t>
            </w:r>
          </w:p>
          <w:p>
            <w:pPr>
              <w:adjustRightInd w:val="0"/>
              <w:snapToGrid w:val="0"/>
              <w:spacing w:line="440" w:lineRule="exact"/>
              <w:jc w:val="left"/>
              <w:rPr>
                <w:rFonts w:ascii="宋体" w:hAnsi="宋体" w:cs="仿宋_GB2312"/>
                <w:color w:val="auto"/>
                <w:sz w:val="24"/>
                <w:szCs w:val="24"/>
              </w:rPr>
            </w:pPr>
            <w:r>
              <w:rPr>
                <w:rFonts w:hint="eastAsia" w:ascii="宋体" w:hAnsi="宋体" w:cs="仿宋_GB2312"/>
                <w:color w:val="auto"/>
                <w:sz w:val="24"/>
                <w:szCs w:val="24"/>
              </w:rPr>
              <w:t>（二）价格扣除办法：</w:t>
            </w:r>
          </w:p>
          <w:p>
            <w:pPr>
              <w:adjustRightInd w:val="0"/>
              <w:snapToGrid w:val="0"/>
              <w:spacing w:line="440" w:lineRule="exact"/>
              <w:jc w:val="left"/>
              <w:rPr>
                <w:rFonts w:ascii="宋体" w:hAnsi="宋体" w:cs="仿宋_GB2312"/>
                <w:color w:val="auto"/>
                <w:sz w:val="24"/>
                <w:szCs w:val="24"/>
              </w:rPr>
            </w:pPr>
            <w:r>
              <w:rPr>
                <w:rFonts w:hint="eastAsia" w:ascii="宋体" w:hAnsi="宋体" w:cs="仿宋_GB2312"/>
                <w:color w:val="auto"/>
                <w:sz w:val="24"/>
                <w:szCs w:val="24"/>
              </w:rPr>
              <w:t>①对于非专门面向中小企业的项目，对小型和微型企业（或联合体各方均为小型、微型企业的）产品的价格给予6%的扣除，用扣除后的价格参与价格分的评审。</w:t>
            </w:r>
          </w:p>
          <w:p>
            <w:pPr>
              <w:adjustRightInd w:val="0"/>
              <w:snapToGrid w:val="0"/>
              <w:spacing w:line="440" w:lineRule="exact"/>
              <w:jc w:val="left"/>
              <w:rPr>
                <w:rFonts w:ascii="宋体" w:hAnsi="宋体" w:cs="仿宋_GB2312"/>
                <w:color w:val="auto"/>
                <w:sz w:val="24"/>
                <w:szCs w:val="24"/>
              </w:rPr>
            </w:pPr>
            <w:r>
              <w:rPr>
                <w:rFonts w:hint="eastAsia" w:ascii="宋体" w:hAnsi="宋体" w:cs="仿宋_GB2312"/>
                <w:color w:val="auto"/>
                <w:sz w:val="24"/>
                <w:szCs w:val="24"/>
              </w:rPr>
              <w:t>（三）小型和微型企业适用价格扣除办法时应提供的相关资料：</w:t>
            </w:r>
          </w:p>
          <w:p>
            <w:pPr>
              <w:adjustRightInd w:val="0"/>
              <w:snapToGrid w:val="0"/>
              <w:spacing w:line="440" w:lineRule="exact"/>
              <w:jc w:val="left"/>
              <w:rPr>
                <w:rFonts w:ascii="宋体" w:hAnsi="宋体" w:cs="仿宋_GB2312"/>
                <w:color w:val="auto"/>
                <w:sz w:val="24"/>
                <w:szCs w:val="24"/>
              </w:rPr>
            </w:pPr>
            <w:r>
              <w:rPr>
                <w:rFonts w:hint="eastAsia" w:ascii="宋体" w:hAnsi="宋体" w:cs="仿宋_GB2312"/>
                <w:color w:val="auto"/>
                <w:sz w:val="24"/>
                <w:szCs w:val="24"/>
              </w:rPr>
              <w:t>①、供应商《中小企业声明函》或残疾人福利性单位声明函、监狱企业声明函；</w:t>
            </w:r>
          </w:p>
          <w:p>
            <w:pPr>
              <w:adjustRightInd w:val="0"/>
              <w:snapToGrid w:val="0"/>
              <w:spacing w:line="440" w:lineRule="exact"/>
              <w:jc w:val="left"/>
              <w:rPr>
                <w:rFonts w:ascii="宋体" w:hAnsi="宋体" w:cs="仿宋_GB2312"/>
                <w:color w:val="auto"/>
                <w:sz w:val="24"/>
                <w:szCs w:val="24"/>
              </w:rPr>
            </w:pPr>
            <w:r>
              <w:rPr>
                <w:rFonts w:hint="eastAsia" w:ascii="宋体" w:hAnsi="宋体" w:cs="仿宋_GB2312"/>
                <w:color w:val="auto"/>
                <w:sz w:val="24"/>
                <w:szCs w:val="24"/>
              </w:rPr>
              <w:t>②、提供投标人工商行政登记所在地管理部门出具的小微企业证明文件；</w:t>
            </w:r>
          </w:p>
          <w:p>
            <w:pPr>
              <w:pStyle w:val="24"/>
              <w:snapToGrid w:val="0"/>
              <w:spacing w:line="440" w:lineRule="exact"/>
              <w:rPr>
                <w:rFonts w:cs="仿宋_GB2312"/>
                <w:color w:val="auto"/>
                <w:sz w:val="24"/>
                <w:szCs w:val="24"/>
              </w:rPr>
            </w:pPr>
            <w:r>
              <w:rPr>
                <w:rFonts w:hint="eastAsia" w:cs="仿宋_GB2312"/>
                <w:color w:val="auto"/>
                <w:sz w:val="24"/>
                <w:szCs w:val="24"/>
              </w:rPr>
              <w:t>③、提供所代理产品生产厂家的属地主管部门出具的小微企业证明文件；</w:t>
            </w:r>
          </w:p>
          <w:p>
            <w:pPr>
              <w:pStyle w:val="24"/>
              <w:snapToGrid w:val="0"/>
              <w:spacing w:line="440" w:lineRule="exact"/>
              <w:rPr>
                <w:color w:val="auto"/>
                <w:sz w:val="24"/>
                <w:szCs w:val="24"/>
              </w:rPr>
            </w:pPr>
            <w:r>
              <w:rPr>
                <w:rFonts w:hint="eastAsia"/>
                <w:color w:val="auto"/>
                <w:sz w:val="24"/>
                <w:szCs w:val="24"/>
              </w:rPr>
              <w:t>供应商应同时提供以上三个材料，否则将不给予价格扣除。若所供应产品为进口产品的，不适用《政府采购促进中小企业发展暂行办法》。残疾人福利性单位、监狱企业仅需提供声明函，不须要提供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 w:val="24"/>
                <w:szCs w:val="24"/>
              </w:rPr>
            </w:pPr>
            <w:r>
              <w:rPr>
                <w:rFonts w:hint="eastAsia" w:ascii="宋体" w:hAnsi="宋体"/>
                <w:color w:val="auto"/>
                <w:sz w:val="24"/>
                <w:szCs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仿宋_GB2312"/>
                <w:b/>
                <w:bCs/>
                <w:color w:val="auto"/>
                <w:sz w:val="24"/>
                <w:szCs w:val="24"/>
              </w:rPr>
            </w:pPr>
            <w:r>
              <w:rPr>
                <w:rFonts w:hint="eastAsia" w:hAnsi="宋体"/>
                <w:b/>
                <w:color w:val="auto"/>
                <w:sz w:val="24"/>
              </w:rPr>
              <w:t>节能、环境标志产品评审优惠内容及加分幅度</w:t>
            </w:r>
          </w:p>
        </w:tc>
        <w:tc>
          <w:tcPr>
            <w:tcW w:w="6079" w:type="dxa"/>
            <w:gridSpan w:val="2"/>
            <w:tcBorders>
              <w:top w:val="single" w:color="auto" w:sz="4" w:space="0"/>
              <w:left w:val="single" w:color="auto" w:sz="4" w:space="0"/>
              <w:bottom w:val="single" w:color="auto" w:sz="4" w:space="0"/>
              <w:right w:val="single" w:color="auto" w:sz="4" w:space="0"/>
            </w:tcBorders>
            <w:vAlign w:val="center"/>
          </w:tcPr>
          <w:p>
            <w:pPr>
              <w:pStyle w:val="24"/>
              <w:snapToGrid w:val="0"/>
              <w:spacing w:line="400" w:lineRule="exact"/>
              <w:rPr>
                <w:color w:val="auto"/>
                <w:sz w:val="24"/>
                <w:szCs w:val="24"/>
              </w:rPr>
            </w:pPr>
            <w:r>
              <w:rPr>
                <w:rFonts w:hint="eastAsia"/>
                <w:color w:val="auto"/>
                <w:sz w:val="24"/>
                <w:szCs w:val="24"/>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p>
          <w:p>
            <w:pPr>
              <w:adjustRightInd w:val="0"/>
              <w:snapToGrid w:val="0"/>
              <w:spacing w:line="440" w:lineRule="exact"/>
              <w:jc w:val="left"/>
              <w:rPr>
                <w:rFonts w:ascii="宋体" w:hAnsi="宋体" w:cs="仿宋_GB2312"/>
                <w:color w:val="auto"/>
                <w:sz w:val="24"/>
                <w:szCs w:val="24"/>
              </w:rPr>
            </w:pPr>
            <w:r>
              <w:rPr>
                <w:rFonts w:hint="eastAsia"/>
                <w:color w:val="auto"/>
                <w:sz w:val="24"/>
                <w:szCs w:val="24"/>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9620" w:type="dxa"/>
            <w:gridSpan w:val="4"/>
            <w:tcBorders>
              <w:top w:val="single" w:color="auto" w:sz="4" w:space="0"/>
              <w:left w:val="single" w:color="auto" w:sz="4" w:space="0"/>
              <w:bottom w:val="single" w:color="auto" w:sz="4" w:space="0"/>
              <w:right w:val="single" w:color="auto" w:sz="4" w:space="0"/>
            </w:tcBorders>
            <w:vAlign w:val="center"/>
          </w:tcPr>
          <w:p>
            <w:pPr>
              <w:pStyle w:val="24"/>
              <w:spacing w:line="440" w:lineRule="exact"/>
              <w:jc w:val="center"/>
              <w:rPr>
                <w:color w:val="auto"/>
                <w:sz w:val="24"/>
                <w:szCs w:val="24"/>
              </w:rPr>
            </w:pPr>
            <w:r>
              <w:rPr>
                <w:rFonts w:hint="eastAsia"/>
                <w:color w:val="auto"/>
                <w:sz w:val="24"/>
                <w:szCs w:val="24"/>
              </w:rPr>
              <w:t>加分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4680" w:type="dxa"/>
            <w:gridSpan w:val="3"/>
            <w:tcBorders>
              <w:top w:val="single" w:color="auto" w:sz="4" w:space="0"/>
              <w:left w:val="single" w:color="auto" w:sz="4" w:space="0"/>
              <w:bottom w:val="single" w:color="auto" w:sz="4" w:space="0"/>
              <w:right w:val="single" w:color="auto" w:sz="4" w:space="0"/>
            </w:tcBorders>
            <w:vAlign w:val="center"/>
          </w:tcPr>
          <w:p>
            <w:pPr>
              <w:pStyle w:val="24"/>
              <w:spacing w:line="440" w:lineRule="exact"/>
              <w:jc w:val="center"/>
              <w:rPr>
                <w:color w:val="auto"/>
                <w:sz w:val="24"/>
                <w:szCs w:val="24"/>
              </w:rPr>
            </w:pPr>
            <w:r>
              <w:rPr>
                <w:rFonts w:hint="eastAsia"/>
                <w:color w:val="auto"/>
                <w:sz w:val="24"/>
                <w:szCs w:val="24"/>
              </w:rPr>
              <w:t>价格项</w:t>
            </w:r>
          </w:p>
        </w:tc>
        <w:tc>
          <w:tcPr>
            <w:tcW w:w="4940" w:type="dxa"/>
            <w:tcBorders>
              <w:top w:val="single" w:color="auto" w:sz="4" w:space="0"/>
              <w:left w:val="single" w:color="auto" w:sz="4" w:space="0"/>
              <w:bottom w:val="single" w:color="auto" w:sz="4" w:space="0"/>
              <w:right w:val="single" w:color="auto" w:sz="4" w:space="0"/>
            </w:tcBorders>
            <w:vAlign w:val="center"/>
          </w:tcPr>
          <w:p>
            <w:pPr>
              <w:pStyle w:val="24"/>
              <w:spacing w:line="440" w:lineRule="exact"/>
              <w:jc w:val="center"/>
              <w:rPr>
                <w:color w:val="auto"/>
                <w:sz w:val="24"/>
                <w:szCs w:val="24"/>
              </w:rPr>
            </w:pPr>
            <w:r>
              <w:rPr>
                <w:rFonts w:hint="eastAsia"/>
                <w:color w:val="auto"/>
                <w:sz w:val="24"/>
                <w:szCs w:val="24"/>
              </w:rPr>
              <w:t>技术项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80" w:type="dxa"/>
            <w:gridSpan w:val="3"/>
            <w:tcBorders>
              <w:top w:val="single" w:color="auto" w:sz="4" w:space="0"/>
              <w:left w:val="single" w:color="auto" w:sz="4" w:space="0"/>
              <w:bottom w:val="single" w:color="auto" w:sz="4" w:space="0"/>
              <w:right w:val="single" w:color="auto" w:sz="4" w:space="0"/>
            </w:tcBorders>
            <w:vAlign w:val="center"/>
          </w:tcPr>
          <w:p>
            <w:pPr>
              <w:pStyle w:val="24"/>
              <w:spacing w:line="440" w:lineRule="exact"/>
              <w:jc w:val="center"/>
              <w:rPr>
                <w:color w:val="auto"/>
                <w:sz w:val="24"/>
                <w:szCs w:val="24"/>
              </w:rPr>
            </w:pPr>
            <w:r>
              <w:rPr>
                <w:rFonts w:hint="eastAsia"/>
                <w:color w:val="auto"/>
                <w:sz w:val="24"/>
                <w:szCs w:val="24"/>
              </w:rPr>
              <w:t>1、（节能清单部分产品的价格/投标报价）×3%×价格项满分值</w:t>
            </w:r>
          </w:p>
        </w:tc>
        <w:tc>
          <w:tcPr>
            <w:tcW w:w="4940" w:type="dxa"/>
            <w:tcBorders>
              <w:top w:val="single" w:color="auto" w:sz="4" w:space="0"/>
              <w:left w:val="single" w:color="auto" w:sz="4" w:space="0"/>
              <w:bottom w:val="single" w:color="auto" w:sz="4" w:space="0"/>
              <w:right w:val="single" w:color="auto" w:sz="4" w:space="0"/>
            </w:tcBorders>
            <w:vAlign w:val="center"/>
          </w:tcPr>
          <w:p>
            <w:pPr>
              <w:pStyle w:val="24"/>
              <w:spacing w:line="440" w:lineRule="exact"/>
              <w:jc w:val="center"/>
              <w:rPr>
                <w:color w:val="auto"/>
                <w:sz w:val="24"/>
                <w:szCs w:val="24"/>
              </w:rPr>
            </w:pPr>
            <w:r>
              <w:rPr>
                <w:rFonts w:hint="eastAsia"/>
                <w:color w:val="auto"/>
                <w:sz w:val="24"/>
                <w:szCs w:val="24"/>
              </w:rPr>
              <w:t>1、（节能清单部分产品的价格/投标报价）×3%×价格项满分值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80" w:type="dxa"/>
            <w:gridSpan w:val="3"/>
            <w:tcBorders>
              <w:top w:val="single" w:color="auto" w:sz="4" w:space="0"/>
              <w:left w:val="single" w:color="auto" w:sz="4" w:space="0"/>
              <w:bottom w:val="single" w:color="auto" w:sz="4" w:space="0"/>
              <w:right w:val="single" w:color="auto" w:sz="4" w:space="0"/>
            </w:tcBorders>
            <w:vAlign w:val="center"/>
          </w:tcPr>
          <w:p>
            <w:pPr>
              <w:pStyle w:val="24"/>
              <w:spacing w:line="440" w:lineRule="exact"/>
              <w:jc w:val="center"/>
              <w:rPr>
                <w:color w:val="auto"/>
                <w:sz w:val="24"/>
                <w:szCs w:val="24"/>
              </w:rPr>
            </w:pPr>
            <w:r>
              <w:rPr>
                <w:rFonts w:hint="eastAsia"/>
                <w:color w:val="auto"/>
                <w:sz w:val="24"/>
                <w:szCs w:val="24"/>
              </w:rPr>
              <w:t>2、（环境清单部分产品的价格/投标报价）×3%×价格项满分值</w:t>
            </w:r>
          </w:p>
        </w:tc>
        <w:tc>
          <w:tcPr>
            <w:tcW w:w="4940" w:type="dxa"/>
            <w:tcBorders>
              <w:top w:val="single" w:color="auto" w:sz="4" w:space="0"/>
              <w:left w:val="single" w:color="auto" w:sz="4" w:space="0"/>
              <w:bottom w:val="single" w:color="auto" w:sz="4" w:space="0"/>
              <w:right w:val="single" w:color="auto" w:sz="4" w:space="0"/>
            </w:tcBorders>
            <w:vAlign w:val="center"/>
          </w:tcPr>
          <w:p>
            <w:pPr>
              <w:pStyle w:val="24"/>
              <w:spacing w:line="440" w:lineRule="exact"/>
              <w:jc w:val="center"/>
              <w:rPr>
                <w:color w:val="auto"/>
                <w:sz w:val="24"/>
                <w:szCs w:val="24"/>
              </w:rPr>
            </w:pPr>
            <w:r>
              <w:rPr>
                <w:rFonts w:hint="eastAsia"/>
                <w:color w:val="auto"/>
                <w:sz w:val="24"/>
                <w:szCs w:val="24"/>
              </w:rPr>
              <w:t>2、（环境清单部分产品的价格/投标报价）×3%×价格项满分值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9620" w:type="dxa"/>
            <w:gridSpan w:val="4"/>
            <w:tcBorders>
              <w:top w:val="single" w:color="auto" w:sz="4" w:space="0"/>
              <w:left w:val="single" w:color="auto" w:sz="4" w:space="0"/>
              <w:bottom w:val="single" w:color="auto" w:sz="4" w:space="0"/>
              <w:right w:val="single" w:color="auto" w:sz="4" w:space="0"/>
            </w:tcBorders>
            <w:vAlign w:val="center"/>
          </w:tcPr>
          <w:p>
            <w:pPr>
              <w:pStyle w:val="24"/>
              <w:spacing w:line="440" w:lineRule="exact"/>
              <w:jc w:val="center"/>
              <w:rPr>
                <w:color w:val="auto"/>
                <w:sz w:val="24"/>
                <w:szCs w:val="24"/>
              </w:rPr>
            </w:pPr>
            <w:r>
              <w:rPr>
                <w:rFonts w:hint="eastAsia"/>
                <w:color w:val="auto"/>
                <w:sz w:val="24"/>
                <w:szCs w:val="24"/>
              </w:rPr>
              <w:t>注：1、提供最新《节能产品政府采购清单》关于投标产品当前页的打印件；</w:t>
            </w:r>
          </w:p>
          <w:p>
            <w:pPr>
              <w:pStyle w:val="24"/>
              <w:spacing w:line="440" w:lineRule="exact"/>
              <w:jc w:val="center"/>
              <w:rPr>
                <w:color w:val="auto"/>
                <w:sz w:val="24"/>
                <w:szCs w:val="24"/>
              </w:rPr>
            </w:pPr>
            <w:r>
              <w:rPr>
                <w:rFonts w:hint="eastAsia"/>
                <w:color w:val="auto"/>
                <w:sz w:val="24"/>
                <w:szCs w:val="24"/>
              </w:rPr>
              <w:t>2、提供最新《环境标志产品政府采购清单》关于投标产品当前页的打印件。</w:t>
            </w:r>
          </w:p>
        </w:tc>
      </w:tr>
    </w:tbl>
    <w:p>
      <w:pPr>
        <w:pStyle w:val="24"/>
        <w:snapToGrid w:val="0"/>
        <w:spacing w:line="440" w:lineRule="exact"/>
        <w:rPr>
          <w:color w:val="auto"/>
          <w:sz w:val="24"/>
          <w:szCs w:val="24"/>
        </w:rPr>
      </w:pPr>
    </w:p>
    <w:p>
      <w:pPr>
        <w:pStyle w:val="24"/>
        <w:snapToGrid w:val="0"/>
        <w:spacing w:line="440" w:lineRule="exact"/>
        <w:rPr>
          <w:color w:val="auto"/>
          <w:sz w:val="24"/>
          <w:szCs w:val="24"/>
        </w:rPr>
      </w:pPr>
    </w:p>
    <w:p>
      <w:pPr>
        <w:pStyle w:val="24"/>
        <w:snapToGrid w:val="0"/>
        <w:spacing w:line="440" w:lineRule="exact"/>
        <w:rPr>
          <w:color w:val="auto"/>
          <w:sz w:val="24"/>
          <w:szCs w:val="24"/>
        </w:rPr>
      </w:pPr>
    </w:p>
    <w:p>
      <w:pPr>
        <w:pStyle w:val="24"/>
        <w:snapToGrid w:val="0"/>
        <w:spacing w:line="440" w:lineRule="exact"/>
        <w:rPr>
          <w:rFonts w:hint="eastAsia"/>
          <w:color w:val="auto"/>
          <w:sz w:val="24"/>
          <w:szCs w:val="24"/>
        </w:rPr>
      </w:pPr>
      <w:r>
        <w:rPr>
          <w:rFonts w:hint="eastAsia"/>
          <w:color w:val="auto"/>
          <w:sz w:val="24"/>
          <w:szCs w:val="24"/>
        </w:rPr>
        <w:t>商务、技术部分评分表</w:t>
      </w:r>
    </w:p>
    <w:tbl>
      <w:tblPr>
        <w:tblStyle w:val="41"/>
        <w:tblW w:w="95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2"/>
        <w:gridCol w:w="465"/>
        <w:gridCol w:w="1102"/>
        <w:gridCol w:w="836"/>
        <w:gridCol w:w="62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7" w:hRule="atLeast"/>
          <w:jc w:val="center"/>
        </w:trPr>
        <w:tc>
          <w:tcPr>
            <w:tcW w:w="82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宋体" w:hAnsi="宋体" w:cs="仿宋_GB2312"/>
                <w:bCs/>
                <w:color w:val="auto"/>
                <w:sz w:val="24"/>
                <w:szCs w:val="24"/>
              </w:rPr>
            </w:pPr>
            <w:r>
              <w:rPr>
                <w:rFonts w:hint="eastAsia" w:ascii="宋体" w:hAnsi="宋体" w:cs="仿宋_GB2312"/>
                <w:bCs/>
                <w:color w:val="auto"/>
                <w:sz w:val="24"/>
                <w:szCs w:val="24"/>
              </w:rPr>
              <w:t>商务技术部分（70分）</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仿宋_GB2312"/>
                <w:bCs/>
                <w:color w:val="auto"/>
                <w:sz w:val="24"/>
                <w:szCs w:val="24"/>
              </w:rPr>
            </w:pPr>
            <w:r>
              <w:rPr>
                <w:rFonts w:hint="eastAsia" w:ascii="宋体" w:hAnsi="宋体" w:cs="仿宋_GB2312"/>
                <w:bCs/>
                <w:color w:val="auto"/>
                <w:sz w:val="24"/>
                <w:szCs w:val="24"/>
              </w:rPr>
              <w:t>1</w:t>
            </w:r>
          </w:p>
        </w:tc>
        <w:tc>
          <w:tcPr>
            <w:tcW w:w="11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仿宋_GB2312"/>
                <w:bCs/>
                <w:color w:val="auto"/>
                <w:sz w:val="24"/>
                <w:szCs w:val="24"/>
              </w:rPr>
            </w:pPr>
            <w:r>
              <w:rPr>
                <w:rFonts w:hint="eastAsia" w:ascii="宋体" w:hAnsi="宋体" w:cs="仿宋_GB2312"/>
                <w:bCs/>
                <w:color w:val="auto"/>
                <w:sz w:val="24"/>
                <w:szCs w:val="24"/>
              </w:rPr>
              <w:t>标书制作</w:t>
            </w: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仿宋_GB2312"/>
                <w:bCs/>
                <w:color w:val="auto"/>
                <w:sz w:val="24"/>
                <w:szCs w:val="24"/>
              </w:rPr>
            </w:pPr>
            <w:r>
              <w:rPr>
                <w:rFonts w:hint="eastAsia" w:ascii="宋体" w:hAnsi="宋体" w:cs="仿宋_GB2312"/>
                <w:bCs/>
                <w:color w:val="auto"/>
                <w:sz w:val="24"/>
                <w:szCs w:val="24"/>
              </w:rPr>
              <w:t>0-2</w:t>
            </w:r>
          </w:p>
        </w:tc>
        <w:tc>
          <w:tcPr>
            <w:tcW w:w="6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宋体" w:hAnsi="宋体" w:cs="仿宋_GB2312"/>
                <w:bCs/>
                <w:color w:val="auto"/>
                <w:sz w:val="24"/>
                <w:szCs w:val="24"/>
              </w:rPr>
            </w:pPr>
            <w:r>
              <w:rPr>
                <w:rFonts w:hint="eastAsia" w:ascii="宋体" w:hAnsi="宋体" w:cs="仿宋_GB2312"/>
                <w:bCs/>
                <w:color w:val="auto"/>
                <w:sz w:val="24"/>
                <w:szCs w:val="24"/>
              </w:rPr>
              <w:t>装订牢固，目录清楚，逐页编码，页码准确。完全响应招标文件要求提供相关资料，表格等。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0" w:hRule="atLeast"/>
          <w:jc w:val="center"/>
        </w:trPr>
        <w:tc>
          <w:tcPr>
            <w:tcW w:w="822" w:type="dxa"/>
            <w:vMerge w:val="continue"/>
            <w:tcBorders>
              <w:left w:val="single" w:color="auto" w:sz="4" w:space="0"/>
              <w:right w:val="single" w:color="auto" w:sz="4" w:space="0"/>
            </w:tcBorders>
            <w:vAlign w:val="center"/>
          </w:tcPr>
          <w:p>
            <w:pPr>
              <w:adjustRightInd w:val="0"/>
              <w:snapToGrid w:val="0"/>
              <w:spacing w:line="440" w:lineRule="exact"/>
              <w:jc w:val="center"/>
              <w:rPr>
                <w:rFonts w:ascii="宋体" w:hAnsi="宋体" w:cs="仿宋_GB2312"/>
                <w:bCs/>
                <w:color w:val="auto"/>
                <w:sz w:val="24"/>
                <w:szCs w:val="24"/>
              </w:rPr>
            </w:pP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仿宋_GB2312"/>
                <w:bCs/>
                <w:color w:val="auto"/>
                <w:sz w:val="24"/>
                <w:szCs w:val="24"/>
              </w:rPr>
            </w:pPr>
            <w:r>
              <w:rPr>
                <w:rFonts w:hint="eastAsia" w:ascii="宋体" w:hAnsi="宋体" w:cs="仿宋_GB2312"/>
                <w:bCs/>
                <w:color w:val="auto"/>
                <w:sz w:val="24"/>
                <w:szCs w:val="24"/>
              </w:rPr>
              <w:t>2</w:t>
            </w:r>
          </w:p>
        </w:tc>
        <w:tc>
          <w:tcPr>
            <w:tcW w:w="11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仿宋_GB2312"/>
                <w:bCs/>
                <w:color w:val="auto"/>
                <w:sz w:val="24"/>
                <w:szCs w:val="24"/>
              </w:rPr>
            </w:pPr>
            <w:r>
              <w:rPr>
                <w:rFonts w:hint="eastAsia" w:ascii="宋体" w:hAnsi="宋体" w:cs="仿宋_GB2312"/>
                <w:bCs/>
                <w:color w:val="auto"/>
                <w:sz w:val="24"/>
                <w:szCs w:val="24"/>
              </w:rPr>
              <w:t>业绩</w:t>
            </w: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仿宋_GB2312"/>
                <w:bCs/>
                <w:color w:val="auto"/>
                <w:sz w:val="24"/>
                <w:szCs w:val="24"/>
              </w:rPr>
            </w:pPr>
            <w:r>
              <w:rPr>
                <w:rFonts w:hint="eastAsia" w:ascii="宋体" w:hAnsi="宋体" w:cs="仿宋_GB2312"/>
                <w:bCs/>
                <w:color w:val="auto"/>
                <w:sz w:val="24"/>
                <w:szCs w:val="24"/>
              </w:rPr>
              <w:t>0-3</w:t>
            </w:r>
          </w:p>
        </w:tc>
        <w:tc>
          <w:tcPr>
            <w:tcW w:w="6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宋体" w:hAnsi="宋体" w:cs="仿宋_GB2312"/>
                <w:bCs/>
                <w:color w:val="auto"/>
                <w:sz w:val="24"/>
                <w:szCs w:val="24"/>
              </w:rPr>
            </w:pPr>
            <w:r>
              <w:rPr>
                <w:rFonts w:hint="eastAsia" w:ascii="宋体" w:hAnsi="宋体" w:cs="仿宋_GB2312"/>
                <w:bCs/>
                <w:color w:val="auto"/>
                <w:sz w:val="24"/>
                <w:szCs w:val="24"/>
              </w:rPr>
              <w:t>投标供应商提供近二年（2019年0</w:t>
            </w:r>
            <w:r>
              <w:rPr>
                <w:rFonts w:hint="eastAsia" w:ascii="宋体" w:hAnsi="宋体" w:cs="仿宋_GB2312"/>
                <w:bCs/>
                <w:color w:val="auto"/>
                <w:sz w:val="24"/>
                <w:szCs w:val="24"/>
                <w:lang w:val="en-US" w:eastAsia="zh-CN"/>
              </w:rPr>
              <w:t>8</w:t>
            </w:r>
            <w:r>
              <w:rPr>
                <w:rFonts w:hint="eastAsia" w:ascii="宋体" w:hAnsi="宋体" w:cs="仿宋_GB2312"/>
                <w:bCs/>
                <w:color w:val="auto"/>
                <w:sz w:val="24"/>
                <w:szCs w:val="24"/>
              </w:rPr>
              <w:t>月01日至今）类似业绩（须提供合同或中标通知书或成交通知书复印件）。提供一个得1分，满分3分。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5" w:hRule="atLeast"/>
          <w:jc w:val="center"/>
        </w:trPr>
        <w:tc>
          <w:tcPr>
            <w:tcW w:w="822" w:type="dxa"/>
            <w:vMerge w:val="continue"/>
            <w:tcBorders>
              <w:left w:val="single" w:color="auto" w:sz="4" w:space="0"/>
              <w:right w:val="single" w:color="auto" w:sz="4" w:space="0"/>
            </w:tcBorders>
            <w:vAlign w:val="center"/>
          </w:tcPr>
          <w:p>
            <w:pPr>
              <w:adjustRightInd w:val="0"/>
              <w:snapToGrid w:val="0"/>
              <w:spacing w:line="440" w:lineRule="exact"/>
              <w:jc w:val="center"/>
              <w:rPr>
                <w:rFonts w:ascii="宋体" w:hAnsi="宋体" w:cs="仿宋_GB2312"/>
                <w:bCs/>
                <w:color w:val="auto"/>
                <w:sz w:val="24"/>
                <w:szCs w:val="24"/>
              </w:rPr>
            </w:pPr>
            <w:bookmarkStart w:id="10" w:name="OLE_LINK2"/>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仿宋_GB2312"/>
                <w:bCs/>
                <w:color w:val="auto"/>
                <w:sz w:val="24"/>
                <w:szCs w:val="24"/>
              </w:rPr>
            </w:pPr>
            <w:r>
              <w:rPr>
                <w:rFonts w:hint="eastAsia" w:ascii="宋体" w:hAnsi="宋体" w:cs="仿宋_GB2312"/>
                <w:bCs/>
                <w:color w:val="auto"/>
                <w:sz w:val="24"/>
                <w:szCs w:val="24"/>
              </w:rPr>
              <w:t>3</w:t>
            </w:r>
          </w:p>
        </w:tc>
        <w:tc>
          <w:tcPr>
            <w:tcW w:w="11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仿宋_GB2312"/>
                <w:bCs/>
                <w:color w:val="auto"/>
                <w:sz w:val="24"/>
                <w:szCs w:val="24"/>
              </w:rPr>
            </w:pPr>
            <w:r>
              <w:rPr>
                <w:rFonts w:hint="eastAsia" w:ascii="宋体" w:hAnsi="宋体" w:cs="仿宋_GB2312"/>
                <w:bCs/>
                <w:color w:val="auto"/>
                <w:sz w:val="24"/>
                <w:szCs w:val="24"/>
              </w:rPr>
              <w:t>技术参数</w:t>
            </w: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仿宋_GB2312"/>
                <w:bCs/>
                <w:color w:val="auto"/>
                <w:sz w:val="24"/>
                <w:szCs w:val="24"/>
              </w:rPr>
            </w:pPr>
            <w:r>
              <w:rPr>
                <w:rFonts w:hint="eastAsia" w:ascii="宋体" w:hAnsi="宋体" w:cs="仿宋_GB2312"/>
                <w:bCs/>
                <w:color w:val="auto"/>
                <w:sz w:val="24"/>
                <w:szCs w:val="24"/>
              </w:rPr>
              <w:t>0-30</w:t>
            </w:r>
          </w:p>
        </w:tc>
        <w:tc>
          <w:tcPr>
            <w:tcW w:w="6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宋体" w:hAnsi="宋体" w:cs="仿宋_GB2312"/>
                <w:bCs/>
                <w:color w:val="auto"/>
                <w:sz w:val="24"/>
                <w:szCs w:val="24"/>
              </w:rPr>
            </w:pPr>
            <w:r>
              <w:rPr>
                <w:rFonts w:hint="eastAsia" w:ascii="宋体" w:hAnsi="宋体" w:cs="仿宋_GB2312"/>
                <w:bCs/>
                <w:color w:val="auto"/>
                <w:sz w:val="24"/>
                <w:szCs w:val="24"/>
              </w:rPr>
              <w:t>“★”号条款不满足每条扣</w:t>
            </w:r>
            <w:r>
              <w:rPr>
                <w:rFonts w:hint="eastAsia" w:ascii="宋体" w:hAnsi="宋体" w:cs="仿宋_GB2312"/>
                <w:bCs/>
                <w:color w:val="auto"/>
                <w:sz w:val="24"/>
                <w:szCs w:val="24"/>
                <w:lang w:val="en-US" w:eastAsia="zh-CN"/>
              </w:rPr>
              <w:t>5</w:t>
            </w:r>
            <w:r>
              <w:rPr>
                <w:rFonts w:hint="eastAsia" w:ascii="宋体" w:hAnsi="宋体" w:cs="仿宋_GB2312"/>
                <w:bCs/>
                <w:color w:val="auto"/>
                <w:sz w:val="24"/>
                <w:szCs w:val="24"/>
              </w:rPr>
              <w:t>分，直至0分；</w:t>
            </w:r>
          </w:p>
          <w:p>
            <w:pPr>
              <w:adjustRightInd w:val="0"/>
              <w:snapToGrid w:val="0"/>
              <w:spacing w:line="420" w:lineRule="exact"/>
              <w:jc w:val="left"/>
              <w:rPr>
                <w:rFonts w:ascii="宋体" w:hAnsi="宋体" w:cs="仿宋_GB2312"/>
                <w:bCs/>
                <w:color w:val="auto"/>
                <w:sz w:val="24"/>
                <w:szCs w:val="24"/>
              </w:rPr>
            </w:pPr>
            <w:r>
              <w:rPr>
                <w:rFonts w:hint="eastAsia" w:ascii="宋体" w:hAnsi="宋体" w:cs="仿宋_GB2312"/>
                <w:bCs/>
                <w:color w:val="auto"/>
                <w:sz w:val="24"/>
                <w:szCs w:val="24"/>
              </w:rPr>
              <w:t>一般条款不满足每条扣</w:t>
            </w:r>
            <w:r>
              <w:rPr>
                <w:rFonts w:hint="eastAsia" w:ascii="宋体" w:hAnsi="宋体" w:cs="仿宋_GB2312"/>
                <w:bCs/>
                <w:color w:val="auto"/>
                <w:sz w:val="24"/>
                <w:szCs w:val="24"/>
                <w:lang w:val="en-US" w:eastAsia="zh-CN"/>
              </w:rPr>
              <w:t>3</w:t>
            </w:r>
            <w:r>
              <w:rPr>
                <w:rFonts w:hint="eastAsia" w:ascii="宋体" w:hAnsi="宋体" w:cs="仿宋_GB2312"/>
                <w:bCs/>
                <w:color w:val="auto"/>
                <w:sz w:val="24"/>
                <w:szCs w:val="24"/>
              </w:rPr>
              <w:t>分，直至0分；</w:t>
            </w:r>
          </w:p>
          <w:p>
            <w:pPr>
              <w:adjustRightInd w:val="0"/>
              <w:snapToGrid w:val="0"/>
              <w:spacing w:line="420" w:lineRule="exact"/>
              <w:jc w:val="left"/>
              <w:rPr>
                <w:rFonts w:ascii="宋体" w:hAnsi="宋体" w:cs="仿宋_GB2312"/>
                <w:bCs/>
                <w:color w:val="auto"/>
                <w:sz w:val="24"/>
                <w:szCs w:val="24"/>
              </w:rPr>
            </w:pPr>
            <w:r>
              <w:rPr>
                <w:rFonts w:hint="eastAsia" w:ascii="宋体" w:hAnsi="宋体" w:cs="仿宋_GB2312"/>
                <w:bCs/>
                <w:color w:val="auto"/>
                <w:sz w:val="24"/>
                <w:szCs w:val="24"/>
              </w:rPr>
              <w:t>漏报技术条款视为该条不满足。</w:t>
            </w:r>
          </w:p>
          <w:p>
            <w:pPr>
              <w:adjustRightInd w:val="0"/>
              <w:snapToGrid w:val="0"/>
              <w:spacing w:line="420" w:lineRule="exact"/>
              <w:jc w:val="left"/>
              <w:rPr>
                <w:color w:val="auto"/>
              </w:rPr>
            </w:pPr>
            <w:r>
              <w:rPr>
                <w:rFonts w:hint="eastAsia" w:ascii="宋体" w:hAnsi="宋体" w:cs="仿宋_GB2312"/>
                <w:bCs/>
                <w:color w:val="auto"/>
                <w:sz w:val="24"/>
                <w:szCs w:val="24"/>
              </w:rPr>
              <w:t>（“★”为重要条款，未加“★”为一般条款）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21" w:hRule="atLeast"/>
          <w:jc w:val="center"/>
        </w:trPr>
        <w:tc>
          <w:tcPr>
            <w:tcW w:w="822" w:type="dxa"/>
            <w:vMerge w:val="continue"/>
            <w:tcBorders>
              <w:left w:val="single" w:color="auto" w:sz="4" w:space="0"/>
              <w:right w:val="single" w:color="auto" w:sz="4" w:space="0"/>
            </w:tcBorders>
            <w:vAlign w:val="center"/>
          </w:tcPr>
          <w:p>
            <w:pPr>
              <w:adjustRightInd w:val="0"/>
              <w:snapToGrid w:val="0"/>
              <w:spacing w:line="440" w:lineRule="exact"/>
              <w:jc w:val="center"/>
              <w:rPr>
                <w:rFonts w:ascii="宋体" w:hAnsi="宋体" w:cs="仿宋_GB2312"/>
                <w:bCs/>
                <w:color w:val="auto"/>
                <w:sz w:val="24"/>
                <w:szCs w:val="24"/>
              </w:rPr>
            </w:pP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仿宋_GB2312"/>
                <w:bCs/>
                <w:color w:val="auto"/>
                <w:sz w:val="24"/>
                <w:szCs w:val="24"/>
              </w:rPr>
            </w:pPr>
            <w:r>
              <w:rPr>
                <w:rFonts w:hint="eastAsia" w:ascii="宋体" w:hAnsi="宋体" w:cs="仿宋_GB2312"/>
                <w:bCs/>
                <w:color w:val="auto"/>
                <w:sz w:val="24"/>
                <w:szCs w:val="24"/>
              </w:rPr>
              <w:t>4</w:t>
            </w:r>
          </w:p>
        </w:tc>
        <w:tc>
          <w:tcPr>
            <w:tcW w:w="11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仿宋_GB2312"/>
                <w:bCs/>
                <w:color w:val="auto"/>
                <w:sz w:val="24"/>
                <w:szCs w:val="24"/>
              </w:rPr>
            </w:pPr>
            <w:r>
              <w:rPr>
                <w:rFonts w:hint="eastAsia" w:ascii="宋体" w:hAnsi="宋体" w:cs="仿宋_GB2312"/>
                <w:bCs/>
                <w:color w:val="auto"/>
                <w:sz w:val="24"/>
                <w:szCs w:val="24"/>
              </w:rPr>
              <w:t>产品质量性能、配置</w:t>
            </w: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仿宋_GB2312"/>
                <w:bCs/>
                <w:color w:val="auto"/>
                <w:sz w:val="24"/>
                <w:szCs w:val="24"/>
              </w:rPr>
            </w:pPr>
            <w:r>
              <w:rPr>
                <w:rFonts w:hint="eastAsia" w:ascii="宋体" w:hAnsi="宋体" w:cs="仿宋_GB2312"/>
                <w:bCs/>
                <w:color w:val="auto"/>
                <w:sz w:val="24"/>
                <w:szCs w:val="24"/>
              </w:rPr>
              <w:t>0-10</w:t>
            </w:r>
          </w:p>
        </w:tc>
        <w:tc>
          <w:tcPr>
            <w:tcW w:w="6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宋体" w:hAnsi="宋体" w:cs="仿宋_GB2312"/>
                <w:bCs/>
                <w:color w:val="auto"/>
                <w:sz w:val="24"/>
                <w:szCs w:val="24"/>
              </w:rPr>
            </w:pPr>
            <w:r>
              <w:rPr>
                <w:rFonts w:hint="eastAsia" w:ascii="宋体" w:hAnsi="宋体" w:cs="仿宋_GB2312"/>
                <w:bCs/>
                <w:color w:val="auto"/>
                <w:sz w:val="24"/>
                <w:szCs w:val="24"/>
              </w:rPr>
              <w:t>设备的功能性、整体配套性、经济性、先进性、稳定性是否最佳化。设备的选材是否优质、合理，质量是否可靠。充分体现技术功能性能：优得：8-10分；良得：5-7分；一般：1-4分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62" w:hRule="atLeast"/>
          <w:jc w:val="center"/>
        </w:trPr>
        <w:tc>
          <w:tcPr>
            <w:tcW w:w="822" w:type="dxa"/>
            <w:vMerge w:val="continue"/>
            <w:tcBorders>
              <w:left w:val="single" w:color="auto" w:sz="4" w:space="0"/>
              <w:right w:val="single" w:color="auto" w:sz="4" w:space="0"/>
            </w:tcBorders>
            <w:vAlign w:val="center"/>
          </w:tcPr>
          <w:p>
            <w:pPr>
              <w:adjustRightInd w:val="0"/>
              <w:snapToGrid w:val="0"/>
              <w:spacing w:line="440" w:lineRule="exact"/>
              <w:jc w:val="center"/>
              <w:rPr>
                <w:rFonts w:ascii="宋体" w:hAnsi="宋体" w:cs="仿宋_GB2312"/>
                <w:bCs/>
                <w:color w:val="auto"/>
                <w:sz w:val="24"/>
                <w:szCs w:val="24"/>
              </w:rPr>
            </w:pP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仿宋_GB2312"/>
                <w:bCs/>
                <w:color w:val="auto"/>
                <w:sz w:val="24"/>
                <w:szCs w:val="24"/>
              </w:rPr>
            </w:pPr>
            <w:r>
              <w:rPr>
                <w:rFonts w:hint="eastAsia" w:ascii="宋体" w:hAnsi="宋体" w:cs="仿宋_GB2312"/>
                <w:bCs/>
                <w:color w:val="auto"/>
                <w:sz w:val="24"/>
                <w:szCs w:val="24"/>
              </w:rPr>
              <w:t>5</w:t>
            </w:r>
          </w:p>
        </w:tc>
        <w:tc>
          <w:tcPr>
            <w:tcW w:w="11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仿宋_GB2312"/>
                <w:bCs/>
                <w:color w:val="auto"/>
                <w:sz w:val="24"/>
                <w:szCs w:val="24"/>
              </w:rPr>
            </w:pPr>
            <w:r>
              <w:rPr>
                <w:rFonts w:hint="eastAsia" w:ascii="宋体" w:hAnsi="宋体" w:cs="仿宋_GB2312"/>
                <w:bCs/>
                <w:color w:val="auto"/>
                <w:sz w:val="24"/>
                <w:szCs w:val="24"/>
              </w:rPr>
              <w:t xml:space="preserve">保证措施 </w:t>
            </w: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仿宋_GB2312"/>
                <w:bCs/>
                <w:color w:val="auto"/>
                <w:sz w:val="24"/>
                <w:szCs w:val="24"/>
              </w:rPr>
            </w:pPr>
            <w:r>
              <w:rPr>
                <w:rFonts w:hint="eastAsia" w:ascii="宋体" w:hAnsi="宋体" w:cs="仿宋_GB2312"/>
                <w:bCs/>
                <w:color w:val="auto"/>
                <w:sz w:val="24"/>
                <w:szCs w:val="24"/>
              </w:rPr>
              <w:t>0-10</w:t>
            </w:r>
          </w:p>
        </w:tc>
        <w:tc>
          <w:tcPr>
            <w:tcW w:w="629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40" w:firstLineChars="100"/>
              <w:rPr>
                <w:rFonts w:ascii="宋体" w:hAnsi="宋体"/>
                <w:color w:val="auto"/>
                <w:kern w:val="0"/>
                <w:sz w:val="24"/>
                <w:szCs w:val="24"/>
              </w:rPr>
            </w:pPr>
            <w:r>
              <w:rPr>
                <w:rFonts w:hint="eastAsia" w:ascii="宋体" w:hAnsi="宋体"/>
                <w:color w:val="auto"/>
                <w:kern w:val="0"/>
                <w:sz w:val="24"/>
                <w:szCs w:val="24"/>
              </w:rPr>
              <w:t>结合项目实施的实际情况，考察本项目难点重点分析和相应措施、质量保证措施是否有针对性。对本项目的复杂性针对性好，措施具体、成熟。要求能列出项目关键点和难点的预见及处理办法等。</w:t>
            </w:r>
          </w:p>
          <w:p>
            <w:pPr>
              <w:spacing w:line="500" w:lineRule="exact"/>
              <w:ind w:firstLine="240" w:firstLineChars="100"/>
              <w:rPr>
                <w:rFonts w:ascii="宋体" w:hAnsi="宋体"/>
                <w:color w:val="auto"/>
                <w:kern w:val="0"/>
                <w:sz w:val="24"/>
                <w:szCs w:val="24"/>
              </w:rPr>
            </w:pPr>
            <w:r>
              <w:rPr>
                <w:rFonts w:hint="eastAsia" w:ascii="宋体" w:hAnsi="宋体"/>
                <w:color w:val="auto"/>
                <w:kern w:val="0"/>
                <w:sz w:val="24"/>
                <w:szCs w:val="24"/>
              </w:rPr>
              <w:t>1）重点、难点突出，针对性强、有具体详细可行的解决方案或措施得8-10分；</w:t>
            </w:r>
          </w:p>
          <w:p>
            <w:pPr>
              <w:spacing w:line="500" w:lineRule="exact"/>
              <w:ind w:firstLine="240" w:firstLineChars="100"/>
              <w:rPr>
                <w:rFonts w:ascii="宋体" w:hAnsi="宋体"/>
                <w:color w:val="auto"/>
                <w:kern w:val="0"/>
                <w:sz w:val="24"/>
                <w:szCs w:val="24"/>
              </w:rPr>
            </w:pPr>
            <w:r>
              <w:rPr>
                <w:rFonts w:hint="eastAsia" w:ascii="宋体" w:hAnsi="宋体"/>
                <w:color w:val="auto"/>
                <w:kern w:val="0"/>
                <w:sz w:val="24"/>
                <w:szCs w:val="24"/>
              </w:rPr>
              <w:t>2）重点、难点突出，针对性一般，解决方案或措施较具体详细、可行得选择和对难点的解决方案上措施一般得5-7分；</w:t>
            </w:r>
          </w:p>
          <w:p>
            <w:pPr>
              <w:spacing w:line="500" w:lineRule="exact"/>
              <w:ind w:firstLine="240" w:firstLineChars="100"/>
              <w:rPr>
                <w:rFonts w:ascii="宋体" w:hAnsi="宋体"/>
                <w:color w:val="auto"/>
                <w:kern w:val="0"/>
                <w:sz w:val="24"/>
                <w:szCs w:val="24"/>
              </w:rPr>
            </w:pPr>
            <w:r>
              <w:rPr>
                <w:rFonts w:hint="eastAsia" w:ascii="宋体" w:hAnsi="宋体"/>
                <w:color w:val="auto"/>
                <w:kern w:val="0"/>
                <w:sz w:val="24"/>
                <w:szCs w:val="24"/>
              </w:rPr>
              <w:t>3）重点、难点不突出，针对性不强，无解决方案或措施较或者方案或措施不具体得1-4分。</w:t>
            </w:r>
          </w:p>
          <w:p>
            <w:pPr>
              <w:adjustRightInd w:val="0"/>
              <w:snapToGrid w:val="0"/>
              <w:spacing w:line="420" w:lineRule="exact"/>
              <w:jc w:val="left"/>
              <w:rPr>
                <w:rFonts w:ascii="宋体" w:hAnsi="宋体" w:cs="仿宋_GB2312"/>
                <w:bCs/>
                <w:color w:val="auto"/>
                <w:sz w:val="24"/>
                <w:szCs w:val="24"/>
              </w:rPr>
            </w:pPr>
            <w:r>
              <w:rPr>
                <w:rFonts w:hint="eastAsia" w:ascii="宋体" w:hAnsi="宋体"/>
                <w:color w:val="auto"/>
                <w:kern w:val="0"/>
                <w:sz w:val="24"/>
                <w:szCs w:val="24"/>
              </w:rPr>
              <w:t>4）无重点、难点、无解决方案或措施较或者方案或措施不具体不得分。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0" w:hRule="atLeast"/>
          <w:jc w:val="center"/>
        </w:trPr>
        <w:tc>
          <w:tcPr>
            <w:tcW w:w="822" w:type="dxa"/>
            <w:vMerge w:val="continue"/>
            <w:tcBorders>
              <w:left w:val="single" w:color="auto" w:sz="4" w:space="0"/>
              <w:right w:val="single" w:color="auto" w:sz="4" w:space="0"/>
            </w:tcBorders>
            <w:vAlign w:val="center"/>
          </w:tcPr>
          <w:p>
            <w:pPr>
              <w:adjustRightInd w:val="0"/>
              <w:snapToGrid w:val="0"/>
              <w:spacing w:line="440" w:lineRule="exact"/>
              <w:jc w:val="center"/>
              <w:rPr>
                <w:rFonts w:ascii="宋体" w:hAnsi="宋体" w:cs="仿宋_GB2312"/>
                <w:bCs/>
                <w:color w:val="auto"/>
                <w:sz w:val="24"/>
                <w:szCs w:val="24"/>
              </w:rPr>
            </w:pP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仿宋_GB2312"/>
                <w:bCs/>
                <w:color w:val="auto"/>
                <w:sz w:val="24"/>
                <w:szCs w:val="24"/>
              </w:rPr>
            </w:pPr>
            <w:r>
              <w:rPr>
                <w:rFonts w:hint="eastAsia" w:ascii="宋体" w:hAnsi="宋体" w:cs="仿宋_GB2312"/>
                <w:bCs/>
                <w:color w:val="auto"/>
                <w:sz w:val="24"/>
                <w:szCs w:val="24"/>
              </w:rPr>
              <w:t>6</w:t>
            </w:r>
          </w:p>
        </w:tc>
        <w:tc>
          <w:tcPr>
            <w:tcW w:w="1102" w:type="dxa"/>
            <w:tcBorders>
              <w:top w:val="single" w:color="auto" w:sz="4" w:space="0"/>
              <w:left w:val="single" w:color="auto" w:sz="4" w:space="0"/>
              <w:bottom w:val="single" w:color="auto" w:sz="4" w:space="0"/>
              <w:right w:val="single" w:color="auto" w:sz="4" w:space="0"/>
            </w:tcBorders>
            <w:vAlign w:val="center"/>
          </w:tcPr>
          <w:p>
            <w:pPr>
              <w:pStyle w:val="24"/>
              <w:snapToGrid w:val="0"/>
              <w:spacing w:line="420" w:lineRule="exact"/>
              <w:jc w:val="center"/>
              <w:rPr>
                <w:rFonts w:cs="仿宋_GB2312"/>
                <w:bCs/>
                <w:color w:val="auto"/>
                <w:sz w:val="24"/>
                <w:szCs w:val="24"/>
              </w:rPr>
            </w:pPr>
            <w:r>
              <w:rPr>
                <w:rFonts w:hint="eastAsia" w:cs="仿宋_GB2312"/>
                <w:bCs/>
                <w:color w:val="auto"/>
                <w:sz w:val="24"/>
                <w:szCs w:val="24"/>
              </w:rPr>
              <w:t>人员培训</w:t>
            </w: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仿宋_GB2312"/>
                <w:bCs/>
                <w:color w:val="auto"/>
                <w:sz w:val="24"/>
                <w:szCs w:val="24"/>
              </w:rPr>
            </w:pPr>
            <w:r>
              <w:rPr>
                <w:rFonts w:hint="eastAsia" w:ascii="宋体" w:hAnsi="宋体" w:cs="仿宋_GB2312"/>
                <w:bCs/>
                <w:color w:val="auto"/>
                <w:sz w:val="24"/>
                <w:szCs w:val="24"/>
              </w:rPr>
              <w:t>0-5</w:t>
            </w:r>
          </w:p>
        </w:tc>
        <w:tc>
          <w:tcPr>
            <w:tcW w:w="6293" w:type="dxa"/>
            <w:tcBorders>
              <w:top w:val="single" w:color="auto" w:sz="4" w:space="0"/>
              <w:left w:val="single" w:color="auto" w:sz="4" w:space="0"/>
              <w:bottom w:val="single" w:color="auto" w:sz="4" w:space="0"/>
              <w:right w:val="single" w:color="auto" w:sz="4" w:space="0"/>
            </w:tcBorders>
            <w:vAlign w:val="center"/>
          </w:tcPr>
          <w:p>
            <w:pPr>
              <w:pStyle w:val="24"/>
              <w:snapToGrid w:val="0"/>
              <w:spacing w:line="420" w:lineRule="exact"/>
              <w:jc w:val="left"/>
              <w:rPr>
                <w:rFonts w:cs="仿宋_GB2312"/>
                <w:bCs/>
                <w:color w:val="auto"/>
                <w:sz w:val="24"/>
                <w:szCs w:val="24"/>
              </w:rPr>
            </w:pPr>
            <w:r>
              <w:rPr>
                <w:rFonts w:hint="eastAsia" w:cs="仿宋_GB2312"/>
                <w:bCs/>
                <w:color w:val="auto"/>
                <w:sz w:val="24"/>
                <w:szCs w:val="24"/>
              </w:rPr>
              <w:t>提供的培训计划完善合理的，得3-5分；培训计划欠合理的或一般的，得0-2分。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62" w:hRule="atLeast"/>
          <w:jc w:val="center"/>
        </w:trPr>
        <w:tc>
          <w:tcPr>
            <w:tcW w:w="822" w:type="dxa"/>
            <w:vMerge w:val="continue"/>
            <w:tcBorders>
              <w:left w:val="single" w:color="auto" w:sz="4" w:space="0"/>
              <w:right w:val="single" w:color="auto" w:sz="4" w:space="0"/>
            </w:tcBorders>
            <w:vAlign w:val="center"/>
          </w:tcPr>
          <w:p>
            <w:pPr>
              <w:adjustRightInd w:val="0"/>
              <w:snapToGrid w:val="0"/>
              <w:spacing w:line="440" w:lineRule="exact"/>
              <w:jc w:val="center"/>
              <w:rPr>
                <w:rFonts w:ascii="宋体" w:hAnsi="宋体" w:cs="仿宋_GB2312"/>
                <w:bCs/>
                <w:color w:val="auto"/>
                <w:sz w:val="24"/>
                <w:szCs w:val="24"/>
              </w:rPr>
            </w:pPr>
          </w:p>
        </w:tc>
        <w:tc>
          <w:tcPr>
            <w:tcW w:w="465" w:type="dxa"/>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宋体" w:hAnsi="宋体" w:cs="仿宋_GB2312"/>
                <w:bCs/>
                <w:color w:val="auto"/>
                <w:sz w:val="24"/>
                <w:szCs w:val="24"/>
              </w:rPr>
            </w:pPr>
            <w:r>
              <w:rPr>
                <w:rFonts w:hint="eastAsia" w:ascii="宋体" w:hAnsi="宋体" w:cs="仿宋_GB2312"/>
                <w:bCs/>
                <w:color w:val="auto"/>
                <w:sz w:val="24"/>
                <w:szCs w:val="24"/>
              </w:rPr>
              <w:t>7</w:t>
            </w:r>
          </w:p>
        </w:tc>
        <w:tc>
          <w:tcPr>
            <w:tcW w:w="1102" w:type="dxa"/>
            <w:tcBorders>
              <w:top w:val="single" w:color="auto" w:sz="4" w:space="0"/>
              <w:left w:val="single" w:color="auto" w:sz="4" w:space="0"/>
              <w:right w:val="single" w:color="auto" w:sz="4" w:space="0"/>
            </w:tcBorders>
            <w:vAlign w:val="center"/>
          </w:tcPr>
          <w:p>
            <w:pPr>
              <w:pStyle w:val="24"/>
              <w:snapToGrid w:val="0"/>
              <w:spacing w:line="420" w:lineRule="exact"/>
              <w:jc w:val="center"/>
              <w:rPr>
                <w:rFonts w:cs="仿宋_GB2312"/>
                <w:bCs/>
                <w:color w:val="auto"/>
                <w:sz w:val="24"/>
                <w:szCs w:val="24"/>
              </w:rPr>
            </w:pPr>
            <w:r>
              <w:rPr>
                <w:rFonts w:hint="eastAsia" w:cs="仿宋_GB2312"/>
                <w:bCs/>
                <w:color w:val="auto"/>
                <w:sz w:val="24"/>
                <w:szCs w:val="24"/>
              </w:rPr>
              <w:t>售后服务</w:t>
            </w: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仿宋_GB2312"/>
                <w:bCs/>
                <w:color w:val="auto"/>
                <w:sz w:val="24"/>
                <w:szCs w:val="24"/>
              </w:rPr>
            </w:pPr>
            <w:r>
              <w:rPr>
                <w:rFonts w:hint="eastAsia" w:ascii="宋体" w:hAnsi="宋体" w:cs="仿宋_GB2312"/>
                <w:bCs/>
                <w:color w:val="auto"/>
                <w:sz w:val="24"/>
                <w:szCs w:val="24"/>
              </w:rPr>
              <w:t>0-10</w:t>
            </w:r>
          </w:p>
        </w:tc>
        <w:tc>
          <w:tcPr>
            <w:tcW w:w="6293" w:type="dxa"/>
            <w:tcBorders>
              <w:top w:val="single" w:color="auto" w:sz="4" w:space="0"/>
              <w:left w:val="single" w:color="auto" w:sz="4" w:space="0"/>
              <w:bottom w:val="single" w:color="auto" w:sz="4" w:space="0"/>
              <w:right w:val="single" w:color="auto" w:sz="4" w:space="0"/>
            </w:tcBorders>
            <w:vAlign w:val="center"/>
          </w:tcPr>
          <w:p>
            <w:pPr>
              <w:pStyle w:val="24"/>
              <w:snapToGrid w:val="0"/>
              <w:spacing w:line="420" w:lineRule="exact"/>
              <w:jc w:val="left"/>
              <w:rPr>
                <w:rFonts w:cs="仿宋_GB2312"/>
                <w:bCs/>
                <w:color w:val="auto"/>
                <w:sz w:val="24"/>
                <w:szCs w:val="24"/>
              </w:rPr>
            </w:pPr>
            <w:r>
              <w:rPr>
                <w:rFonts w:hint="eastAsia" w:cs="仿宋_GB2312"/>
                <w:bCs/>
                <w:color w:val="auto"/>
                <w:sz w:val="24"/>
                <w:szCs w:val="24"/>
              </w:rPr>
              <w:t>售后服务说明：保修、售后服务方案，服务响应时间、修复时间、应急处理等售后计划措施符合本项目情况的、供应商售后机构健全、人员齐全。</w:t>
            </w:r>
          </w:p>
          <w:p>
            <w:pPr>
              <w:pStyle w:val="24"/>
              <w:snapToGrid w:val="0"/>
              <w:spacing w:line="420" w:lineRule="exact"/>
              <w:jc w:val="left"/>
              <w:rPr>
                <w:rFonts w:cs="仿宋_GB2312"/>
                <w:bCs/>
                <w:color w:val="auto"/>
                <w:sz w:val="24"/>
                <w:szCs w:val="24"/>
              </w:rPr>
            </w:pPr>
            <w:r>
              <w:rPr>
                <w:rFonts w:hint="eastAsia" w:cs="仿宋_GB2312"/>
                <w:bCs/>
                <w:color w:val="auto"/>
                <w:sz w:val="24"/>
                <w:szCs w:val="24"/>
              </w:rPr>
              <w:t>售后服务保证措施优得8-10分；良得5-7分 ，一般得1-4分；</w:t>
            </w:r>
          </w:p>
        </w:tc>
      </w:tr>
      <w:bookmarkEnd w:id="10"/>
    </w:tbl>
    <w:p>
      <w:pPr>
        <w:pStyle w:val="24"/>
        <w:snapToGrid w:val="0"/>
        <w:spacing w:line="500" w:lineRule="exact"/>
        <w:ind w:firstLine="480" w:firstLineChars="200"/>
        <w:rPr>
          <w:color w:val="auto"/>
          <w:sz w:val="24"/>
          <w:szCs w:val="24"/>
        </w:rPr>
      </w:pPr>
      <w:r>
        <w:rPr>
          <w:rFonts w:hint="eastAsia"/>
          <w:color w:val="auto"/>
          <w:sz w:val="24"/>
          <w:szCs w:val="24"/>
        </w:rPr>
        <w:t>对于商务部分（投标报价）的评分，按以下方法进行：价格分统一采用低价优先法计算，即满足招标文件要求且投标价格最低的投标报价为评标基准价，其价格分为满分。其他投标人的价格分统一按照上述公式计算。</w:t>
      </w:r>
    </w:p>
    <w:p>
      <w:pPr>
        <w:pStyle w:val="24"/>
        <w:snapToGrid w:val="0"/>
        <w:spacing w:line="500" w:lineRule="exact"/>
        <w:ind w:left="228" w:firstLine="480" w:firstLineChars="200"/>
        <w:rPr>
          <w:color w:val="auto"/>
          <w:sz w:val="24"/>
          <w:szCs w:val="24"/>
        </w:rPr>
      </w:pPr>
      <w:r>
        <w:rPr>
          <w:rFonts w:hint="eastAsia"/>
          <w:color w:val="auto"/>
          <w:sz w:val="24"/>
          <w:szCs w:val="24"/>
        </w:rPr>
        <w:t>按照评标委员会成员评分结果汇总数的算术平均分计算，计算公式为：</w:t>
      </w:r>
    </w:p>
    <w:p>
      <w:pPr>
        <w:pStyle w:val="24"/>
        <w:snapToGrid w:val="0"/>
        <w:spacing w:line="500" w:lineRule="exact"/>
        <w:ind w:left="228" w:firstLine="480" w:firstLineChars="200"/>
        <w:rPr>
          <w:color w:val="auto"/>
          <w:sz w:val="24"/>
          <w:szCs w:val="24"/>
        </w:rPr>
      </w:pPr>
      <w:r>
        <w:rPr>
          <w:rFonts w:hint="eastAsia"/>
          <w:color w:val="auto"/>
          <w:sz w:val="24"/>
          <w:szCs w:val="24"/>
        </w:rPr>
        <w:t>投标得分=（评标委员会所有成员评分合计数）/（评标委员会组成人员数）</w:t>
      </w:r>
    </w:p>
    <w:p>
      <w:pPr>
        <w:pStyle w:val="83"/>
        <w:spacing w:line="500" w:lineRule="exact"/>
        <w:ind w:firstLine="567"/>
        <w:jc w:val="both"/>
        <w:rPr>
          <w:rFonts w:ascii="宋体" w:hAnsi="宋体"/>
          <w:color w:val="auto"/>
        </w:rPr>
      </w:pPr>
      <w:r>
        <w:rPr>
          <w:rFonts w:hint="eastAsia" w:ascii="宋体" w:hAnsi="宋体"/>
          <w:color w:val="auto"/>
        </w:rPr>
        <w:t>26. 评标程序</w:t>
      </w:r>
    </w:p>
    <w:p>
      <w:pPr>
        <w:spacing w:line="500" w:lineRule="exact"/>
        <w:ind w:firstLine="560"/>
        <w:rPr>
          <w:rFonts w:ascii="宋体" w:hAnsi="宋体"/>
          <w:color w:val="auto"/>
          <w:sz w:val="24"/>
          <w:szCs w:val="24"/>
        </w:rPr>
      </w:pPr>
      <w:r>
        <w:rPr>
          <w:rFonts w:hint="eastAsia" w:ascii="宋体" w:hAnsi="宋体"/>
          <w:color w:val="auto"/>
          <w:sz w:val="24"/>
          <w:szCs w:val="24"/>
        </w:rPr>
        <w:t>26.1 投标文件初审：投标人的资格检查。</w:t>
      </w:r>
    </w:p>
    <w:p>
      <w:pPr>
        <w:spacing w:line="500" w:lineRule="exact"/>
        <w:ind w:firstLine="560"/>
        <w:rPr>
          <w:rFonts w:ascii="宋体" w:hAnsi="宋体"/>
          <w:color w:val="auto"/>
          <w:sz w:val="24"/>
          <w:szCs w:val="24"/>
        </w:rPr>
      </w:pPr>
      <w:r>
        <w:rPr>
          <w:rFonts w:hint="eastAsia" w:ascii="宋体" w:hAnsi="宋体"/>
          <w:color w:val="auto"/>
          <w:sz w:val="24"/>
          <w:szCs w:val="24"/>
        </w:rPr>
        <w:t xml:space="preserve">26.2 </w:t>
      </w:r>
      <w:r>
        <w:rPr>
          <w:rFonts w:ascii="宋体" w:hAnsi="宋体"/>
          <w:color w:val="auto"/>
          <w:sz w:val="24"/>
          <w:szCs w:val="24"/>
        </w:rPr>
        <w:t>资格性检查。依据法律法规和招标文件的规定，对投标文件中的资格证明、投标保证金等进行审查，以确定投标供应商是否具备投标资格。</w:t>
      </w:r>
    </w:p>
    <w:p>
      <w:pPr>
        <w:spacing w:line="500" w:lineRule="exact"/>
        <w:ind w:firstLine="560"/>
        <w:rPr>
          <w:rFonts w:ascii="宋体" w:hAnsi="宋体"/>
          <w:color w:val="auto"/>
          <w:sz w:val="24"/>
          <w:szCs w:val="24"/>
        </w:rPr>
      </w:pPr>
      <w:r>
        <w:rPr>
          <w:rFonts w:hint="eastAsia" w:ascii="宋体" w:hAnsi="宋体"/>
          <w:color w:val="auto"/>
          <w:sz w:val="24"/>
          <w:szCs w:val="24"/>
        </w:rPr>
        <w:t>26.3 澄清有关问题。对投标文件中含义不明确、同类问题表述不一致或者有明显文字和计算错误的内容，评标委员会可以书面形式（应当由评标委员会专家签字）要求投标供应商作出必要的澄清、说明或者纠正。投标供应商的澄清、说明或者补正应当采用书面形式，由其授权的代表签字，并不得超出投标文件的范围或者改变投标文件的实质性内容 。</w:t>
      </w:r>
    </w:p>
    <w:p>
      <w:pPr>
        <w:spacing w:line="500" w:lineRule="exact"/>
        <w:ind w:firstLine="560"/>
        <w:rPr>
          <w:rFonts w:ascii="宋体" w:hAnsi="宋体"/>
          <w:color w:val="auto"/>
          <w:sz w:val="24"/>
          <w:szCs w:val="24"/>
        </w:rPr>
      </w:pPr>
      <w:r>
        <w:rPr>
          <w:rFonts w:hint="eastAsia" w:ascii="宋体" w:hAnsi="宋体"/>
          <w:color w:val="auto"/>
          <w:sz w:val="24"/>
          <w:szCs w:val="24"/>
        </w:rPr>
        <w:t>26.4比较与评价。按招标文件中规定的评标方法和标准，对资格性检查和符合性检查合格的投标文件进行商务和技术评估，综合比较与评价。</w:t>
      </w:r>
    </w:p>
    <w:p>
      <w:pPr>
        <w:spacing w:line="500" w:lineRule="exact"/>
        <w:ind w:firstLine="560"/>
        <w:rPr>
          <w:rFonts w:ascii="宋体" w:hAnsi="宋体"/>
          <w:color w:val="auto"/>
          <w:sz w:val="24"/>
          <w:szCs w:val="24"/>
        </w:rPr>
      </w:pPr>
      <w:r>
        <w:rPr>
          <w:rFonts w:hint="eastAsia" w:ascii="宋体" w:hAnsi="宋体"/>
          <w:color w:val="auto"/>
          <w:sz w:val="24"/>
          <w:szCs w:val="24"/>
        </w:rPr>
        <w:t>26.5 推荐中标候选供应商名单。中标候选供应商数量应当根据采购需要确定，但必须按顺序排列中标候选供应商。</w:t>
      </w:r>
    </w:p>
    <w:p>
      <w:pPr>
        <w:spacing w:line="500" w:lineRule="exact"/>
        <w:ind w:firstLine="480" w:firstLineChars="200"/>
        <w:rPr>
          <w:rFonts w:ascii="宋体" w:hAnsi="宋体"/>
          <w:b/>
          <w:bCs/>
          <w:color w:val="auto"/>
          <w:kern w:val="0"/>
          <w:sz w:val="24"/>
          <w:szCs w:val="24"/>
        </w:rPr>
      </w:pPr>
      <w:r>
        <w:rPr>
          <w:rFonts w:hint="eastAsia" w:ascii="宋体" w:hAnsi="宋体"/>
          <w:b/>
          <w:color w:val="auto"/>
          <w:sz w:val="24"/>
          <w:szCs w:val="24"/>
        </w:rPr>
        <w:t xml:space="preserve">26.6 </w:t>
      </w:r>
      <w:r>
        <w:rPr>
          <w:rFonts w:hint="eastAsia" w:ascii="宋体" w:hAnsi="宋体"/>
          <w:b/>
          <w:bCs/>
          <w:color w:val="auto"/>
          <w:sz w:val="24"/>
          <w:szCs w:val="24"/>
        </w:rPr>
        <w:t>投标文件属下列情况之一的，应</w:t>
      </w:r>
      <w:r>
        <w:rPr>
          <w:rFonts w:hint="eastAsia" w:ascii="宋体" w:hAnsi="宋体"/>
          <w:b/>
          <w:bCs/>
          <w:color w:val="auto"/>
          <w:kern w:val="0"/>
          <w:sz w:val="24"/>
          <w:szCs w:val="24"/>
        </w:rPr>
        <w:t>当在资格性检查时按照无效投标处理：</w:t>
      </w:r>
    </w:p>
    <w:p>
      <w:pPr>
        <w:spacing w:line="500" w:lineRule="exact"/>
        <w:rPr>
          <w:rFonts w:ascii="宋体" w:hAnsi="宋体"/>
          <w:color w:val="auto"/>
          <w:kern w:val="0"/>
          <w:sz w:val="24"/>
          <w:szCs w:val="24"/>
        </w:rPr>
      </w:pPr>
      <w:r>
        <w:rPr>
          <w:rFonts w:ascii="宋体" w:hAnsi="宋体"/>
          <w:color w:val="auto"/>
          <w:kern w:val="0"/>
          <w:sz w:val="24"/>
          <w:szCs w:val="24"/>
        </w:rPr>
        <w:t xml:space="preserve"> </w:t>
      </w:r>
      <w:r>
        <w:rPr>
          <w:rFonts w:hint="eastAsia" w:ascii="宋体" w:hAnsi="宋体"/>
          <w:color w:val="auto"/>
          <w:kern w:val="0"/>
          <w:sz w:val="24"/>
          <w:szCs w:val="24"/>
        </w:rPr>
        <w:t xml:space="preserve">  </w:t>
      </w:r>
      <w:r>
        <w:rPr>
          <w:rFonts w:ascii="宋体" w:hAnsi="宋体"/>
          <w:color w:val="auto"/>
          <w:kern w:val="0"/>
          <w:sz w:val="24"/>
          <w:szCs w:val="24"/>
        </w:rPr>
        <w:t xml:space="preserve"> </w:t>
      </w:r>
      <w:r>
        <w:rPr>
          <w:rFonts w:hint="eastAsia" w:ascii="宋体" w:hAnsi="宋体"/>
          <w:color w:val="auto"/>
          <w:kern w:val="0"/>
          <w:sz w:val="24"/>
          <w:szCs w:val="24"/>
        </w:rPr>
        <w:t>(一)未按照招标文件的规定提交投标保证金的;</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(二)投标文件未按招标文件要求签署、盖章的;</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(三)不具备招标文件中规定的资格要求的;</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(四)报价超过招标文件中规定的预算金额或者最高限价的;</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(五)投标文件含有采购人不能接受的附加条件的;</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(六)法律、法规和招标文件规定的其他无效情形。</w:t>
      </w:r>
    </w:p>
    <w:p>
      <w:pPr>
        <w:spacing w:line="500" w:lineRule="exact"/>
        <w:ind w:firstLine="480" w:firstLineChars="200"/>
        <w:rPr>
          <w:rFonts w:ascii="宋体" w:hAnsi="宋体"/>
          <w:color w:val="auto"/>
          <w:kern w:val="0"/>
          <w:sz w:val="24"/>
          <w:szCs w:val="24"/>
        </w:rPr>
      </w:pPr>
      <w:r>
        <w:rPr>
          <w:rFonts w:hint="eastAsia" w:ascii="宋体" w:hAnsi="宋体"/>
          <w:color w:val="auto"/>
          <w:sz w:val="24"/>
          <w:szCs w:val="24"/>
        </w:rPr>
        <w:t>26.7</w:t>
      </w:r>
      <w:r>
        <w:rPr>
          <w:rFonts w:hint="eastAsia" w:ascii="宋体" w:hAnsi="宋体"/>
          <w:b/>
          <w:bCs/>
          <w:color w:val="auto"/>
          <w:kern w:val="0"/>
          <w:sz w:val="24"/>
          <w:szCs w:val="24"/>
        </w:rPr>
        <w:t>在招标采购中，出现下列规定情形之一的，招标采购单位应当予以废标，并将废标理由通知所有投标供应商。</w:t>
      </w:r>
    </w:p>
    <w:p>
      <w:pPr>
        <w:spacing w:line="500" w:lineRule="exact"/>
        <w:ind w:firstLine="480" w:firstLineChars="200"/>
        <w:rPr>
          <w:rFonts w:ascii="宋体" w:hAnsi="宋体"/>
          <w:color w:val="auto"/>
          <w:kern w:val="0"/>
          <w:sz w:val="24"/>
          <w:szCs w:val="24"/>
        </w:rPr>
      </w:pPr>
      <w:r>
        <w:rPr>
          <w:rFonts w:ascii="宋体" w:hAnsi="宋体"/>
          <w:color w:val="auto"/>
          <w:kern w:val="0"/>
          <w:sz w:val="24"/>
          <w:szCs w:val="24"/>
        </w:rPr>
        <w:t>（一）符合专业条件的供应商或者对招标文件作实质响应的供应商不足三家的；</w:t>
      </w:r>
    </w:p>
    <w:p>
      <w:pPr>
        <w:spacing w:line="500" w:lineRule="exact"/>
        <w:rPr>
          <w:rFonts w:ascii="宋体" w:hAnsi="宋体"/>
          <w:color w:val="auto"/>
          <w:kern w:val="0"/>
          <w:sz w:val="24"/>
          <w:szCs w:val="24"/>
        </w:rPr>
      </w:pPr>
      <w:r>
        <w:rPr>
          <w:rFonts w:ascii="宋体" w:hAnsi="宋体"/>
          <w:color w:val="auto"/>
          <w:kern w:val="0"/>
          <w:sz w:val="24"/>
          <w:szCs w:val="24"/>
        </w:rPr>
        <w:t>　　（二）出现影响采购公正的违法、违规行为的；</w:t>
      </w:r>
    </w:p>
    <w:p>
      <w:pPr>
        <w:spacing w:line="500" w:lineRule="exact"/>
        <w:rPr>
          <w:rFonts w:ascii="宋体" w:hAnsi="宋体"/>
          <w:color w:val="auto"/>
          <w:kern w:val="0"/>
          <w:sz w:val="24"/>
          <w:szCs w:val="24"/>
        </w:rPr>
      </w:pPr>
      <w:r>
        <w:rPr>
          <w:rFonts w:ascii="宋体" w:hAnsi="宋体"/>
          <w:color w:val="auto"/>
          <w:kern w:val="0"/>
          <w:sz w:val="24"/>
          <w:szCs w:val="24"/>
        </w:rPr>
        <w:t>　　（三）投标供应商的报价均超过了采购预算，采购人不能支付的；</w:t>
      </w:r>
    </w:p>
    <w:p>
      <w:pPr>
        <w:spacing w:line="500" w:lineRule="exact"/>
        <w:rPr>
          <w:rFonts w:ascii="宋体" w:hAnsi="宋体"/>
          <w:color w:val="auto"/>
          <w:kern w:val="0"/>
          <w:sz w:val="24"/>
          <w:szCs w:val="24"/>
        </w:rPr>
      </w:pPr>
      <w:r>
        <w:rPr>
          <w:rFonts w:ascii="宋体" w:hAnsi="宋体"/>
          <w:color w:val="auto"/>
          <w:kern w:val="0"/>
          <w:sz w:val="24"/>
          <w:szCs w:val="24"/>
        </w:rPr>
        <w:t>　　（四）因重大变故，采购任务取消的。</w:t>
      </w:r>
    </w:p>
    <w:p>
      <w:pPr>
        <w:spacing w:line="500" w:lineRule="exact"/>
        <w:rPr>
          <w:rFonts w:ascii="宋体" w:hAnsi="宋体"/>
          <w:color w:val="auto"/>
          <w:kern w:val="0"/>
          <w:sz w:val="24"/>
          <w:szCs w:val="24"/>
        </w:rPr>
      </w:pPr>
      <w:r>
        <w:rPr>
          <w:rFonts w:hint="eastAsia" w:ascii="宋体" w:hAnsi="宋体"/>
          <w:color w:val="auto"/>
          <w:kern w:val="0"/>
          <w:sz w:val="24"/>
          <w:szCs w:val="24"/>
        </w:rPr>
        <w:t xml:space="preserve">    26.8 废标后，除采购任务取消情形外，招标采购单位应当重新组织招标。需要采取其他采购方式的，应当在采购活动开始前获得设区的市、自治州以上人民政府财政部门的批准。</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27. 定标</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27.1</w:t>
      </w:r>
      <w:r>
        <w:rPr>
          <w:rFonts w:ascii="宋体" w:hAnsi="宋体"/>
          <w:color w:val="auto"/>
          <w:kern w:val="0"/>
          <w:sz w:val="24"/>
          <w:szCs w:val="24"/>
        </w:rPr>
        <w:t>采用综合评分法的，按评审后得分由高到低顺序排列。得分相同的，按投标报价由低到高顺序排列。得分且投标报价相同的，按技术指标优劣顺序排列。</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28. 中标供应商的确认</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28.1  评标委员会以书面形式推荐三名中标候选人。采购人应当接受评标委员会推荐的中标候选人，不得在评标委员会推荐的中标候选人之外确定中标供应商。评标委员会无义务向投标供应商进行任何有关评标的解释工作。</w:t>
      </w:r>
    </w:p>
    <w:p>
      <w:pPr>
        <w:spacing w:line="500" w:lineRule="exact"/>
        <w:ind w:firstLine="480" w:firstLineChars="200"/>
        <w:rPr>
          <w:rFonts w:ascii="宋体" w:hAnsi="宋体"/>
          <w:color w:val="auto"/>
          <w:sz w:val="24"/>
          <w:szCs w:val="24"/>
        </w:rPr>
      </w:pPr>
      <w:r>
        <w:rPr>
          <w:rFonts w:hint="eastAsia" w:ascii="宋体" w:hAnsi="宋体"/>
          <w:color w:val="auto"/>
          <w:kern w:val="0"/>
          <w:sz w:val="24"/>
          <w:szCs w:val="24"/>
        </w:rPr>
        <w:t>28.2  使用国有资金投资或者国家融资的项目，采购人应当确定排名第</w:t>
      </w:r>
      <w:r>
        <w:rPr>
          <w:rFonts w:hint="eastAsia" w:ascii="宋体" w:hAnsi="宋体"/>
          <w:color w:val="auto"/>
          <w:sz w:val="24"/>
          <w:szCs w:val="24"/>
        </w:rPr>
        <w:t>一的中标候选人为中标供应商。排名第一的中标候选人放弃中标、因不可抗力提出不能履行合同，或者招标文件规定应当提交履约保证金而在规定的期限内未能提交的，采购人可以确定排名第二的中标候选人为中标供应商。</w:t>
      </w:r>
    </w:p>
    <w:p>
      <w:pPr>
        <w:pStyle w:val="83"/>
        <w:spacing w:line="500" w:lineRule="exact"/>
        <w:ind w:firstLine="567"/>
        <w:jc w:val="both"/>
        <w:rPr>
          <w:rFonts w:ascii="宋体" w:hAnsi="宋体"/>
          <w:color w:val="auto"/>
        </w:rPr>
      </w:pPr>
      <w:r>
        <w:rPr>
          <w:rFonts w:hint="eastAsia" w:ascii="宋体" w:hAnsi="宋体"/>
          <w:color w:val="auto"/>
        </w:rPr>
        <w:t>排名第二的中标候选人因前款规定的同样原因不能签订合同的，采购人可以确定排名第三的中标候选人为中标供应商。</w:t>
      </w:r>
    </w:p>
    <w:p>
      <w:pPr>
        <w:pStyle w:val="83"/>
        <w:spacing w:line="500" w:lineRule="exact"/>
        <w:ind w:firstLine="567"/>
        <w:jc w:val="both"/>
        <w:rPr>
          <w:rFonts w:ascii="宋体" w:hAnsi="宋体"/>
          <w:color w:val="auto"/>
        </w:rPr>
      </w:pPr>
      <w:r>
        <w:rPr>
          <w:rFonts w:ascii="宋体" w:hAnsi="宋体"/>
          <w:color w:val="auto"/>
        </w:rPr>
        <w:t>2</w:t>
      </w:r>
      <w:r>
        <w:rPr>
          <w:rFonts w:hint="eastAsia" w:ascii="宋体" w:hAnsi="宋体"/>
          <w:color w:val="auto"/>
        </w:rPr>
        <w:t>8.3  采购代理机构应当在评标结束后2个工作日内将评标报告送采购人。采购人应当自收到评标报告之日起５个工作日内，在评标报告确定的中标候选人名单中按顺序确定中标人。</w:t>
      </w:r>
    </w:p>
    <w:p>
      <w:pPr>
        <w:pStyle w:val="83"/>
        <w:spacing w:line="500" w:lineRule="exact"/>
        <w:ind w:firstLine="567"/>
        <w:jc w:val="both"/>
        <w:rPr>
          <w:rFonts w:ascii="宋体" w:hAnsi="宋体"/>
          <w:color w:val="auto"/>
        </w:rPr>
      </w:pPr>
      <w:r>
        <w:rPr>
          <w:rFonts w:hint="eastAsia" w:ascii="宋体" w:hAnsi="宋体"/>
          <w:color w:val="auto"/>
        </w:rPr>
        <w:t>28.4 在确定中标供应商前，招标采购单位不得与投标供应商就投标价格、投标方案等实质性内容进行谈判。</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29. 中标通知</w:t>
      </w:r>
    </w:p>
    <w:p>
      <w:pPr>
        <w:pStyle w:val="83"/>
        <w:spacing w:line="500" w:lineRule="exact"/>
        <w:ind w:firstLine="567"/>
        <w:jc w:val="both"/>
        <w:rPr>
          <w:rFonts w:ascii="宋体" w:hAnsi="宋体"/>
          <w:color w:val="auto"/>
        </w:rPr>
      </w:pPr>
      <w:r>
        <w:rPr>
          <w:rFonts w:hint="eastAsia" w:ascii="宋体" w:hAnsi="宋体"/>
          <w:color w:val="auto"/>
        </w:rPr>
        <w:t xml:space="preserve">29.1  </w:t>
      </w:r>
      <w:r>
        <w:rPr>
          <w:rFonts w:ascii="宋体" w:hAnsi="宋体"/>
          <w:color w:val="auto"/>
        </w:rPr>
        <w:t>中标供应商确定后，中标结果应当在财政部门指定的政府采购信息发布媒体上公告。</w:t>
      </w:r>
    </w:p>
    <w:p>
      <w:pPr>
        <w:pStyle w:val="83"/>
        <w:spacing w:line="500" w:lineRule="exact"/>
        <w:ind w:firstLine="567"/>
        <w:jc w:val="both"/>
        <w:rPr>
          <w:rFonts w:ascii="宋体" w:hAnsi="宋体"/>
          <w:color w:val="auto"/>
        </w:rPr>
      </w:pPr>
      <w:r>
        <w:rPr>
          <w:rFonts w:hint="eastAsia" w:ascii="宋体" w:hAnsi="宋体"/>
          <w:color w:val="auto"/>
        </w:rPr>
        <w:t xml:space="preserve">29.2  </w:t>
      </w:r>
      <w:r>
        <w:rPr>
          <w:rFonts w:ascii="宋体" w:hAnsi="宋体"/>
          <w:color w:val="auto"/>
        </w:rPr>
        <w:t>在发布公告的同时，招标</w:t>
      </w:r>
      <w:r>
        <w:rPr>
          <w:rFonts w:hint="eastAsia" w:ascii="宋体" w:hAnsi="宋体"/>
          <w:color w:val="auto"/>
        </w:rPr>
        <w:t>代理机构</w:t>
      </w:r>
      <w:r>
        <w:rPr>
          <w:rFonts w:ascii="宋体" w:hAnsi="宋体"/>
          <w:color w:val="auto"/>
        </w:rPr>
        <w:t>应当向中标供应商发出中标通知书，中标通知书对采购人和中标供应商具有同等法律效力</w:t>
      </w:r>
      <w:r>
        <w:rPr>
          <w:rFonts w:hint="eastAsia" w:ascii="宋体" w:hAnsi="宋体"/>
          <w:color w:val="auto"/>
        </w:rPr>
        <w:t>。</w:t>
      </w:r>
      <w:bookmarkEnd w:id="9"/>
    </w:p>
    <w:p>
      <w:pPr>
        <w:pStyle w:val="83"/>
        <w:spacing w:line="500" w:lineRule="exact"/>
        <w:jc w:val="center"/>
        <w:outlineLvl w:val="1"/>
        <w:rPr>
          <w:rFonts w:ascii="宋体" w:hAnsi="宋体"/>
          <w:color w:val="auto"/>
        </w:rPr>
      </w:pPr>
      <w:bookmarkStart w:id="11" w:name="_Toc9740"/>
      <w:r>
        <w:rPr>
          <w:rFonts w:hint="eastAsia" w:ascii="宋体" w:hAnsi="宋体"/>
          <w:color w:val="auto"/>
        </w:rPr>
        <w:t>七、授予合同</w:t>
      </w:r>
      <w:bookmarkEnd w:id="11"/>
    </w:p>
    <w:p>
      <w:pPr>
        <w:pStyle w:val="83"/>
        <w:spacing w:line="500" w:lineRule="exact"/>
        <w:ind w:firstLine="480" w:firstLineChars="200"/>
        <w:jc w:val="both"/>
        <w:rPr>
          <w:rFonts w:ascii="宋体" w:hAnsi="宋体"/>
          <w:color w:val="auto"/>
        </w:rPr>
      </w:pPr>
      <w:r>
        <w:rPr>
          <w:rFonts w:hint="eastAsia" w:ascii="宋体" w:hAnsi="宋体"/>
          <w:color w:val="auto"/>
        </w:rPr>
        <w:t>31.  签订商务合同</w:t>
      </w:r>
    </w:p>
    <w:p>
      <w:pPr>
        <w:pStyle w:val="83"/>
        <w:spacing w:line="500" w:lineRule="exact"/>
        <w:ind w:firstLine="480" w:firstLineChars="200"/>
        <w:jc w:val="both"/>
        <w:rPr>
          <w:rFonts w:ascii="宋体" w:hAnsi="宋体"/>
          <w:color w:val="auto"/>
        </w:rPr>
      </w:pPr>
      <w:r>
        <w:rPr>
          <w:rFonts w:hint="eastAsia" w:ascii="宋体" w:hAnsi="宋体"/>
          <w:color w:val="auto"/>
        </w:rPr>
        <w:t>31.1  中标供应商应当在收到《中标通知书》后的30日内与采购人签订合同。</w:t>
      </w:r>
    </w:p>
    <w:p>
      <w:pPr>
        <w:pStyle w:val="83"/>
        <w:spacing w:line="500" w:lineRule="exact"/>
        <w:ind w:firstLine="480" w:firstLineChars="200"/>
        <w:jc w:val="both"/>
        <w:rPr>
          <w:rFonts w:ascii="宋体" w:hAnsi="宋体"/>
          <w:color w:val="auto"/>
        </w:rPr>
      </w:pPr>
      <w:r>
        <w:rPr>
          <w:rFonts w:hint="eastAsia" w:ascii="宋体" w:hAnsi="宋体"/>
          <w:color w:val="auto"/>
        </w:rPr>
        <w:t>31.2  中标合同不得转让。合同分包需在投标文件中予以说明，并需经买方同意。否则，买方有权取消中标供应商的中标资格。</w:t>
      </w:r>
    </w:p>
    <w:p>
      <w:pPr>
        <w:pStyle w:val="83"/>
        <w:spacing w:line="500" w:lineRule="exact"/>
        <w:ind w:firstLine="480" w:firstLineChars="200"/>
        <w:jc w:val="both"/>
        <w:rPr>
          <w:rFonts w:ascii="宋体" w:hAnsi="宋体"/>
          <w:color w:val="auto"/>
        </w:rPr>
      </w:pPr>
      <w:r>
        <w:rPr>
          <w:rFonts w:hint="eastAsia" w:ascii="宋体" w:hAnsi="宋体"/>
          <w:color w:val="auto"/>
        </w:rPr>
        <w:t>31.3  如中标供应商拒签合同, 招标代理机构可从评委推荐出的中标候选人中按推荐顺序重新选定中标供应商，并组织中标供应商和买方签订商务合同。</w:t>
      </w:r>
    </w:p>
    <w:p>
      <w:pPr>
        <w:pStyle w:val="83"/>
        <w:spacing w:line="500" w:lineRule="exact"/>
        <w:ind w:firstLine="480" w:firstLineChars="200"/>
        <w:jc w:val="both"/>
        <w:rPr>
          <w:rFonts w:ascii="宋体" w:hAnsi="宋体"/>
          <w:color w:val="auto"/>
        </w:rPr>
      </w:pPr>
      <w:r>
        <w:rPr>
          <w:rFonts w:hint="eastAsia" w:ascii="宋体" w:hAnsi="宋体"/>
          <w:color w:val="auto"/>
        </w:rPr>
        <w:t xml:space="preserve">32.  商务合同的组成  </w:t>
      </w:r>
    </w:p>
    <w:p>
      <w:pPr>
        <w:pStyle w:val="83"/>
        <w:spacing w:line="500" w:lineRule="exact"/>
        <w:ind w:firstLine="480" w:firstLineChars="200"/>
        <w:jc w:val="both"/>
        <w:rPr>
          <w:rFonts w:ascii="宋体" w:hAnsi="宋体"/>
          <w:color w:val="auto"/>
        </w:rPr>
      </w:pPr>
      <w:r>
        <w:rPr>
          <w:rFonts w:hint="eastAsia" w:ascii="宋体" w:hAnsi="宋体"/>
          <w:color w:val="auto"/>
        </w:rPr>
        <w:t>32.1  下列文件均为商务合同不可分割的组成部分：</w:t>
      </w:r>
    </w:p>
    <w:p>
      <w:pPr>
        <w:pStyle w:val="83"/>
        <w:spacing w:line="500" w:lineRule="exact"/>
        <w:ind w:firstLine="480" w:firstLineChars="200"/>
        <w:jc w:val="both"/>
        <w:rPr>
          <w:rFonts w:ascii="宋体" w:hAnsi="宋体"/>
          <w:color w:val="auto"/>
        </w:rPr>
      </w:pPr>
      <w:r>
        <w:rPr>
          <w:rFonts w:hint="eastAsia" w:ascii="宋体" w:hAnsi="宋体"/>
          <w:color w:val="auto"/>
        </w:rPr>
        <w:t>32.1.1  招标文件；</w:t>
      </w:r>
    </w:p>
    <w:p>
      <w:pPr>
        <w:pStyle w:val="83"/>
        <w:spacing w:line="500" w:lineRule="exact"/>
        <w:ind w:firstLine="480" w:firstLineChars="200"/>
        <w:jc w:val="both"/>
        <w:rPr>
          <w:rFonts w:ascii="宋体" w:hAnsi="宋体"/>
          <w:color w:val="auto"/>
        </w:rPr>
      </w:pPr>
      <w:r>
        <w:rPr>
          <w:rFonts w:hint="eastAsia" w:ascii="宋体" w:hAnsi="宋体"/>
          <w:color w:val="auto"/>
        </w:rPr>
        <w:t>32.1.2  卖方中标的投标文件；</w:t>
      </w:r>
    </w:p>
    <w:p>
      <w:pPr>
        <w:pStyle w:val="83"/>
        <w:spacing w:line="500" w:lineRule="exact"/>
        <w:ind w:firstLine="480" w:firstLineChars="200"/>
        <w:jc w:val="both"/>
        <w:rPr>
          <w:rFonts w:ascii="宋体" w:hAnsi="宋体"/>
          <w:color w:val="auto"/>
        </w:rPr>
      </w:pPr>
      <w:r>
        <w:rPr>
          <w:rFonts w:hint="eastAsia" w:ascii="宋体" w:hAnsi="宋体"/>
          <w:color w:val="auto"/>
        </w:rPr>
        <w:t>32.1.3  中标通知书；</w:t>
      </w:r>
    </w:p>
    <w:p>
      <w:pPr>
        <w:pStyle w:val="83"/>
        <w:spacing w:line="500" w:lineRule="exact"/>
        <w:ind w:firstLine="480" w:firstLineChars="200"/>
        <w:rPr>
          <w:rFonts w:ascii="宋体" w:hAnsi="宋体"/>
          <w:color w:val="auto"/>
        </w:rPr>
      </w:pPr>
      <w:r>
        <w:rPr>
          <w:rFonts w:hint="eastAsia" w:ascii="宋体" w:hAnsi="宋体"/>
          <w:color w:val="auto"/>
        </w:rPr>
        <w:t>32.1.4  投标供应商澄清、说明或补正文件。</w:t>
      </w:r>
      <w:bookmarkStart w:id="12" w:name="_Toc7315"/>
    </w:p>
    <w:p>
      <w:pPr>
        <w:pStyle w:val="83"/>
        <w:spacing w:line="500" w:lineRule="exact"/>
        <w:jc w:val="center"/>
        <w:outlineLvl w:val="1"/>
        <w:rPr>
          <w:rFonts w:ascii="宋体" w:hAnsi="宋体"/>
          <w:color w:val="auto"/>
        </w:rPr>
      </w:pPr>
      <w:r>
        <w:rPr>
          <w:rFonts w:hint="eastAsia" w:ascii="宋体" w:hAnsi="宋体"/>
          <w:color w:val="auto"/>
        </w:rPr>
        <w:t>八、买方授标时更改采购货物数量的权利</w:t>
      </w:r>
      <w:bookmarkEnd w:id="12"/>
    </w:p>
    <w:p>
      <w:pPr>
        <w:pStyle w:val="83"/>
        <w:spacing w:line="500" w:lineRule="exact"/>
        <w:ind w:firstLine="480" w:firstLineChars="200"/>
        <w:rPr>
          <w:rFonts w:ascii="宋体" w:hAnsi="宋体"/>
          <w:color w:val="auto"/>
        </w:rPr>
      </w:pPr>
      <w:r>
        <w:rPr>
          <w:rFonts w:hint="eastAsia" w:ascii="宋体" w:hAnsi="宋体"/>
          <w:color w:val="auto"/>
        </w:rPr>
        <w:t>33.  招标方在授予合同时有权在“招标货物需求及技术规格要求”中规定的货物数量和服务予以局部增加或减少，但比例不超过10%，并且不得对单价或其它实质性内容做任何改变，对增加的数量按同类型中标价格支付货款。</w:t>
      </w:r>
    </w:p>
    <w:p>
      <w:pPr>
        <w:pStyle w:val="83"/>
        <w:spacing w:line="500" w:lineRule="exact"/>
        <w:jc w:val="center"/>
        <w:outlineLvl w:val="1"/>
        <w:rPr>
          <w:rFonts w:ascii="宋体" w:hAnsi="宋体"/>
          <w:color w:val="auto"/>
        </w:rPr>
      </w:pPr>
      <w:bookmarkStart w:id="13" w:name="_Toc5835"/>
      <w:r>
        <w:rPr>
          <w:rFonts w:hint="eastAsia" w:ascii="宋体" w:hAnsi="宋体"/>
          <w:color w:val="auto"/>
        </w:rPr>
        <w:t>九、其他事项</w:t>
      </w:r>
      <w:bookmarkEnd w:id="13"/>
    </w:p>
    <w:p>
      <w:pPr>
        <w:pStyle w:val="83"/>
        <w:spacing w:line="500" w:lineRule="exact"/>
        <w:ind w:firstLine="480" w:firstLineChars="200"/>
        <w:jc w:val="both"/>
        <w:rPr>
          <w:rFonts w:ascii="宋体" w:hAnsi="宋体"/>
          <w:color w:val="auto"/>
        </w:rPr>
      </w:pPr>
      <w:r>
        <w:rPr>
          <w:rFonts w:hint="eastAsia" w:ascii="宋体" w:hAnsi="宋体"/>
          <w:color w:val="auto"/>
        </w:rPr>
        <w:t>34.  中标服务费</w:t>
      </w:r>
    </w:p>
    <w:p>
      <w:pPr>
        <w:pStyle w:val="83"/>
        <w:spacing w:line="500" w:lineRule="exact"/>
        <w:ind w:firstLine="480" w:firstLineChars="200"/>
        <w:jc w:val="both"/>
        <w:rPr>
          <w:rFonts w:ascii="宋体" w:hAnsi="宋体"/>
          <w:color w:val="auto"/>
        </w:rPr>
      </w:pPr>
      <w:r>
        <w:rPr>
          <w:rFonts w:hint="eastAsia" w:ascii="宋体" w:hAnsi="宋体"/>
          <w:color w:val="auto"/>
        </w:rPr>
        <w:t>34.1  《中标通知书》核发后3天内，中标方必须向招标代理机构</w:t>
      </w:r>
      <w:r>
        <w:rPr>
          <w:rFonts w:hint="eastAsia" w:ascii="宋体" w:hAnsi="宋体" w:cs="宋体"/>
          <w:color w:val="auto"/>
        </w:rPr>
        <w:t>按照国家发改价格（2011）534号文及发改办价格[2015]299号文</w:t>
      </w:r>
      <w:r>
        <w:rPr>
          <w:rFonts w:hint="eastAsia" w:ascii="宋体" w:hAnsi="宋体"/>
          <w:color w:val="auto"/>
        </w:rPr>
        <w:t>的收费标准一次性付清中标服务费。</w:t>
      </w:r>
    </w:p>
    <w:p>
      <w:pPr>
        <w:pStyle w:val="83"/>
        <w:spacing w:line="500" w:lineRule="exact"/>
        <w:ind w:firstLine="480" w:firstLineChars="200"/>
        <w:jc w:val="both"/>
        <w:rPr>
          <w:rFonts w:ascii="宋体" w:hAnsi="宋体"/>
          <w:color w:val="auto"/>
        </w:rPr>
      </w:pPr>
      <w:r>
        <w:rPr>
          <w:rFonts w:hint="eastAsia" w:ascii="宋体" w:hAnsi="宋体"/>
          <w:color w:val="auto"/>
        </w:rPr>
        <w:t>34.2  中标服务费的计算基数：</w:t>
      </w:r>
      <w:r>
        <w:rPr>
          <w:rFonts w:hint="eastAsia" w:ascii="宋体" w:hAnsi="宋体"/>
          <w:b/>
          <w:color w:val="auto"/>
          <w:u w:val="single"/>
        </w:rPr>
        <w:t>中标通知书载明的中标金额</w:t>
      </w:r>
      <w:r>
        <w:rPr>
          <w:rFonts w:hint="eastAsia" w:ascii="宋体" w:hAnsi="宋体"/>
          <w:b/>
          <w:color w:val="auto"/>
        </w:rPr>
        <w:t>。</w:t>
      </w:r>
    </w:p>
    <w:p>
      <w:pPr>
        <w:pStyle w:val="83"/>
        <w:numPr>
          <w:ilvl w:val="0"/>
          <w:numId w:val="3"/>
        </w:numPr>
        <w:spacing w:line="500" w:lineRule="exact"/>
        <w:ind w:firstLine="480" w:firstLineChars="200"/>
        <w:jc w:val="both"/>
        <w:rPr>
          <w:rFonts w:ascii="宋体" w:hAnsi="宋体"/>
          <w:color w:val="auto"/>
        </w:rPr>
      </w:pPr>
      <w:r>
        <w:rPr>
          <w:rFonts w:hint="eastAsia" w:ascii="宋体" w:hAnsi="宋体"/>
          <w:color w:val="auto"/>
        </w:rPr>
        <w:t xml:space="preserve"> 本招标文件是根据《中华人民共和国政府采购法》的规定编制，解释权属新疆华域建设工程项目管理咨询有限公司。</w:t>
      </w:r>
    </w:p>
    <w:p>
      <w:pPr>
        <w:pStyle w:val="159"/>
        <w:spacing w:line="500" w:lineRule="exact"/>
        <w:jc w:val="center"/>
        <w:outlineLvl w:val="0"/>
        <w:rPr>
          <w:rFonts w:ascii="宋体" w:hAnsi="宋体"/>
          <w:b/>
          <w:color w:val="auto"/>
          <w:sz w:val="24"/>
        </w:rPr>
      </w:pPr>
    </w:p>
    <w:p>
      <w:pPr>
        <w:pStyle w:val="159"/>
        <w:spacing w:line="500" w:lineRule="exact"/>
        <w:jc w:val="center"/>
        <w:outlineLvl w:val="0"/>
        <w:rPr>
          <w:rFonts w:ascii="宋体" w:hAnsi="宋体"/>
          <w:b/>
          <w:color w:val="auto"/>
          <w:sz w:val="24"/>
        </w:rPr>
      </w:pPr>
    </w:p>
    <w:p>
      <w:pPr>
        <w:pStyle w:val="159"/>
        <w:spacing w:line="500" w:lineRule="exact"/>
        <w:jc w:val="both"/>
        <w:outlineLvl w:val="0"/>
        <w:rPr>
          <w:rFonts w:ascii="宋体" w:hAnsi="宋体"/>
          <w:b/>
          <w:color w:val="auto"/>
          <w:sz w:val="24"/>
        </w:rPr>
      </w:pPr>
    </w:p>
    <w:p>
      <w:pPr>
        <w:pStyle w:val="159"/>
        <w:spacing w:line="500" w:lineRule="exact"/>
        <w:jc w:val="both"/>
        <w:outlineLvl w:val="0"/>
        <w:rPr>
          <w:rFonts w:ascii="宋体" w:hAnsi="宋体"/>
          <w:b/>
          <w:color w:val="auto"/>
          <w:sz w:val="24"/>
        </w:rPr>
        <w:sectPr>
          <w:headerReference r:id="rId5" w:type="default"/>
          <w:footerReference r:id="rId6" w:type="default"/>
          <w:pgSz w:w="11906" w:h="16838"/>
          <w:pgMar w:top="1418" w:right="1134" w:bottom="1418" w:left="1418" w:header="851" w:footer="851" w:gutter="0"/>
          <w:pgNumType w:start="1"/>
          <w:cols w:space="720" w:num="1"/>
          <w:docGrid w:type="linesAndChars" w:linePitch="312" w:charSpace="0"/>
        </w:sectPr>
      </w:pPr>
    </w:p>
    <w:p>
      <w:pPr>
        <w:numPr>
          <w:ilvl w:val="0"/>
          <w:numId w:val="4"/>
        </w:numPr>
        <w:jc w:val="center"/>
        <w:rPr>
          <w:rFonts w:ascii="仿宋" w:hAnsi="仿宋" w:eastAsia="仿宋" w:cs="仿宋"/>
          <w:color w:val="auto"/>
          <w:spacing w:val="-3"/>
          <w:sz w:val="24"/>
          <w:szCs w:val="24"/>
        </w:rPr>
      </w:pPr>
      <w:bookmarkStart w:id="14" w:name="_Toc4714"/>
      <w:r>
        <w:rPr>
          <w:rFonts w:hint="eastAsia" w:ascii="宋体" w:hAnsi="宋体"/>
          <w:b/>
          <w:color w:val="auto"/>
          <w:sz w:val="24"/>
        </w:rPr>
        <w:t>货物需求一览表及技术规格要求</w:t>
      </w:r>
      <w:bookmarkEnd w:id="14"/>
      <w:bookmarkStart w:id="15" w:name="_Toc5541"/>
    </w:p>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电子胃镜（进口）</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b/>
          <w:bCs/>
          <w:kern w:val="0"/>
          <w:sz w:val="24"/>
          <w:szCs w:val="24"/>
          <w:lang w:eastAsia="zh-CN"/>
        </w:rPr>
      </w:pPr>
      <w:r>
        <w:rPr>
          <w:rFonts w:hint="eastAsia" w:ascii="宋体" w:hAnsi="宋体"/>
          <w:b/>
          <w:bCs/>
          <w:kern w:val="0"/>
          <w:sz w:val="24"/>
          <w:szCs w:val="24"/>
          <w:lang w:eastAsia="zh-CN"/>
        </w:rPr>
        <w:t>整套设备要求：</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b/>
          <w:bCs/>
          <w:kern w:val="0"/>
          <w:sz w:val="24"/>
          <w:szCs w:val="24"/>
        </w:rPr>
      </w:pPr>
      <w:r>
        <w:rPr>
          <w:rFonts w:hint="eastAsia" w:asciiTheme="minorEastAsia" w:hAnsiTheme="minorEastAsia" w:eastAsiaTheme="minorEastAsia" w:cstheme="minorEastAsia"/>
          <w:sz w:val="21"/>
          <w:szCs w:val="21"/>
        </w:rPr>
        <w:t>★</w:t>
      </w:r>
      <w:r>
        <w:rPr>
          <w:rFonts w:hint="eastAsia" w:ascii="宋体" w:hAnsi="宋体"/>
          <w:b/>
          <w:bCs/>
          <w:kern w:val="0"/>
          <w:sz w:val="24"/>
          <w:szCs w:val="24"/>
        </w:rPr>
        <w:t>需提供品牌最高端、最新主机及内镜型号</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b/>
          <w:bCs/>
          <w:sz w:val="22"/>
          <w:szCs w:val="22"/>
        </w:rPr>
      </w:pPr>
      <w:bookmarkStart w:id="16" w:name="_Hlk73555452"/>
      <w:r>
        <w:rPr>
          <w:rFonts w:hint="eastAsia" w:ascii="宋体" w:hAnsi="宋体"/>
          <w:b/>
          <w:bCs/>
          <w:sz w:val="22"/>
          <w:szCs w:val="22"/>
          <w:lang w:eastAsia="zh-CN"/>
        </w:rPr>
        <w:t>一、</w:t>
      </w:r>
      <w:r>
        <w:rPr>
          <w:rFonts w:hint="eastAsia" w:ascii="宋体" w:hAnsi="宋体"/>
          <w:b/>
          <w:bCs/>
          <w:sz w:val="22"/>
          <w:szCs w:val="22"/>
        </w:rPr>
        <w:t>电子影像处理机（进口）</w:t>
      </w:r>
      <w:bookmarkEnd w:id="16"/>
      <w:r>
        <w:rPr>
          <w:rFonts w:ascii="宋体" w:hAnsi="宋体"/>
          <w:b/>
          <w:bCs/>
          <w:sz w:val="22"/>
          <w:szCs w:val="22"/>
        </w:rPr>
        <w:t xml:space="preserve">  1</w:t>
      </w:r>
      <w:r>
        <w:rPr>
          <w:rFonts w:hint="eastAsia" w:ascii="宋体" w:hAnsi="宋体"/>
          <w:b/>
          <w:bCs/>
          <w:sz w:val="22"/>
          <w:szCs w:val="22"/>
        </w:rPr>
        <w:t>台</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Theme="minorEastAsia" w:hAnsiTheme="minorEastAsia" w:eastAsiaTheme="minorEastAsia" w:cstheme="minorEastAsia"/>
          <w:sz w:val="21"/>
          <w:szCs w:val="21"/>
        </w:rPr>
        <w:t>★</w:t>
      </w:r>
      <w:r>
        <w:rPr>
          <w:rFonts w:hint="eastAsia" w:ascii="宋体" w:hAnsi="宋体"/>
          <w:sz w:val="22"/>
          <w:szCs w:val="22"/>
        </w:rPr>
        <w:t>1</w:t>
      </w:r>
      <w:r>
        <w:rPr>
          <w:rFonts w:ascii="宋体" w:hAnsi="宋体"/>
          <w:sz w:val="22"/>
          <w:szCs w:val="22"/>
        </w:rPr>
        <w:t>.</w:t>
      </w:r>
      <w:r>
        <w:rPr>
          <w:rFonts w:hint="eastAsia" w:ascii="宋体" w:hAnsi="宋体"/>
          <w:sz w:val="22"/>
          <w:szCs w:val="22"/>
        </w:rPr>
        <w:t>主机光源一体化设计，便于移动，减少由于连接带来的信号衰减。</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2</w:t>
      </w:r>
      <w:r>
        <w:rPr>
          <w:rFonts w:ascii="宋体" w:hAnsi="宋体"/>
          <w:sz w:val="22"/>
          <w:szCs w:val="22"/>
        </w:rPr>
        <w:t>.</w:t>
      </w:r>
      <w:r>
        <w:rPr>
          <w:rFonts w:hint="eastAsia" w:ascii="宋体" w:hAnsi="宋体"/>
          <w:sz w:val="22"/>
          <w:szCs w:val="22"/>
        </w:rPr>
        <w:t>可匹配全数字CCD成像内镜实现高清图像效果。</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ascii="宋体" w:hAnsi="宋体"/>
          <w:sz w:val="22"/>
          <w:szCs w:val="22"/>
        </w:rPr>
        <w:t>3.</w:t>
      </w:r>
      <w:r>
        <w:rPr>
          <w:rFonts w:hint="eastAsia" w:ascii="宋体" w:hAnsi="宋体"/>
          <w:sz w:val="22"/>
          <w:szCs w:val="22"/>
        </w:rPr>
        <w:t>全数字图像拾取、处理、传输、显示，数字内镜+数字主机+数字监视器。</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ascii="宋体" w:hAnsi="宋体"/>
          <w:sz w:val="22"/>
          <w:szCs w:val="22"/>
        </w:rPr>
        <w:t>4.</w:t>
      </w:r>
      <w:r>
        <w:rPr>
          <w:rFonts w:hint="eastAsia" w:ascii="宋体" w:hAnsi="宋体"/>
          <w:sz w:val="22"/>
          <w:szCs w:val="22"/>
        </w:rPr>
        <w:t>HD＋专业级高清图像，大于1080线的逐行扫描技术。</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ascii="宋体" w:hAnsi="宋体"/>
          <w:sz w:val="22"/>
          <w:szCs w:val="22"/>
        </w:rPr>
        <w:t>5.</w:t>
      </w:r>
      <w:r>
        <w:rPr>
          <w:rFonts w:hint="eastAsia" w:ascii="宋体" w:hAnsi="宋体"/>
          <w:sz w:val="22"/>
          <w:szCs w:val="22"/>
        </w:rPr>
        <w:t>全新人性化友好操作界面，附带中文菜单选项，方便操作</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6</w:t>
      </w:r>
      <w:r>
        <w:rPr>
          <w:rFonts w:ascii="宋体" w:hAnsi="宋体"/>
          <w:sz w:val="22"/>
          <w:szCs w:val="22"/>
        </w:rPr>
        <w:t>.</w:t>
      </w:r>
      <w:r>
        <w:rPr>
          <w:rFonts w:hint="eastAsia" w:ascii="宋体" w:hAnsi="宋体"/>
          <w:sz w:val="22"/>
          <w:szCs w:val="22"/>
        </w:rPr>
        <w:t>红、绿、蓝全光谱实现特殊图像显示，没有缺色现象画面真实、准确。</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color w:val="000000"/>
          <w:sz w:val="22"/>
          <w:szCs w:val="22"/>
        </w:rPr>
      </w:pPr>
      <w:r>
        <w:rPr>
          <w:rFonts w:hint="eastAsia" w:asciiTheme="minorEastAsia" w:hAnsiTheme="minorEastAsia" w:eastAsiaTheme="minorEastAsia" w:cstheme="minorEastAsia"/>
          <w:sz w:val="21"/>
          <w:szCs w:val="21"/>
        </w:rPr>
        <w:t>★</w:t>
      </w:r>
      <w:r>
        <w:rPr>
          <w:rFonts w:hint="eastAsia" w:ascii="宋体" w:hAnsi="宋体"/>
          <w:sz w:val="22"/>
          <w:szCs w:val="22"/>
        </w:rPr>
        <w:t>7</w:t>
      </w:r>
      <w:r>
        <w:rPr>
          <w:rFonts w:ascii="宋体" w:hAnsi="宋体"/>
          <w:sz w:val="22"/>
          <w:szCs w:val="22"/>
        </w:rPr>
        <w:t>.</w:t>
      </w:r>
      <w:r>
        <w:rPr>
          <w:rFonts w:hint="eastAsia" w:ascii="宋体" w:hAnsi="宋体"/>
          <w:sz w:val="22"/>
          <w:szCs w:val="22"/>
        </w:rPr>
        <w:t>具备i-scan（</w:t>
      </w:r>
      <w:r>
        <w:rPr>
          <w:rFonts w:ascii="宋体" w:hAnsi="宋体"/>
          <w:sz w:val="22"/>
          <w:szCs w:val="22"/>
        </w:rPr>
        <w:t>SE,TE,CE</w:t>
      </w:r>
      <w:r>
        <w:rPr>
          <w:rFonts w:hint="eastAsia" w:ascii="宋体" w:hAnsi="宋体"/>
          <w:sz w:val="22"/>
          <w:szCs w:val="22"/>
        </w:rPr>
        <w:t>，</w:t>
      </w:r>
      <w:r>
        <w:rPr>
          <w:rFonts w:ascii="宋体" w:hAnsi="宋体"/>
          <w:sz w:val="22"/>
          <w:szCs w:val="22"/>
        </w:rPr>
        <w:t>OE</w:t>
      </w:r>
      <w:r>
        <w:rPr>
          <w:rFonts w:hint="eastAsia" w:ascii="宋体" w:hAnsi="宋体"/>
          <w:sz w:val="22"/>
          <w:szCs w:val="22"/>
        </w:rPr>
        <w:t>）特殊光谱图像功能，具有智能电子染色及</w:t>
      </w:r>
      <w:r>
        <w:rPr>
          <w:rFonts w:hint="eastAsia" w:ascii="宋体" w:hAnsi="宋体"/>
          <w:color w:val="000000"/>
          <w:sz w:val="22"/>
          <w:szCs w:val="22"/>
        </w:rPr>
        <w:t>窄带光光学染色功能。</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Theme="minorEastAsia" w:hAnsiTheme="minorEastAsia" w:eastAsiaTheme="minorEastAsia" w:cstheme="minorEastAsia"/>
          <w:sz w:val="21"/>
          <w:szCs w:val="21"/>
        </w:rPr>
        <w:t>★</w:t>
      </w:r>
      <w:r>
        <w:rPr>
          <w:rFonts w:hint="eastAsia" w:ascii="宋体" w:hAnsi="宋体"/>
          <w:sz w:val="22"/>
          <w:szCs w:val="22"/>
        </w:rPr>
        <w:t>8</w:t>
      </w:r>
      <w:r>
        <w:rPr>
          <w:rFonts w:ascii="宋体" w:hAnsi="宋体"/>
          <w:sz w:val="22"/>
          <w:szCs w:val="22"/>
        </w:rPr>
        <w:t>.</w:t>
      </w:r>
      <w:r>
        <w:rPr>
          <w:rFonts w:hint="eastAsia" w:ascii="宋体" w:hAnsi="宋体"/>
          <w:sz w:val="22"/>
          <w:szCs w:val="22"/>
        </w:rPr>
        <w:t>具备双屏模式：HD+图像和i-scan图像并排同时动态显示，有1:1、3:2、2:3三种比率。</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9</w:t>
      </w:r>
      <w:r>
        <w:rPr>
          <w:rFonts w:ascii="宋体" w:hAnsi="宋体"/>
          <w:sz w:val="22"/>
          <w:szCs w:val="22"/>
        </w:rPr>
        <w:t>.</w:t>
      </w:r>
      <w:r>
        <w:rPr>
          <w:rFonts w:hint="eastAsia" w:ascii="宋体" w:hAnsi="宋体"/>
          <w:sz w:val="22"/>
          <w:szCs w:val="22"/>
        </w:rPr>
        <w:t>恢复出厂设置功能：可通过液晶面板菜单中的RESET键恢复出厂设置。</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1</w:t>
      </w:r>
      <w:r>
        <w:rPr>
          <w:rFonts w:ascii="宋体" w:hAnsi="宋体"/>
          <w:sz w:val="22"/>
          <w:szCs w:val="22"/>
        </w:rPr>
        <w:t>0.</w:t>
      </w:r>
      <w:r>
        <w:rPr>
          <w:rFonts w:hint="eastAsia" w:ascii="宋体" w:hAnsi="宋体"/>
          <w:sz w:val="22"/>
          <w:szCs w:val="22"/>
        </w:rPr>
        <w:t>降噪功能：同时具备2</w:t>
      </w:r>
      <w:r>
        <w:rPr>
          <w:rFonts w:ascii="宋体" w:hAnsi="宋体"/>
          <w:sz w:val="22"/>
          <w:szCs w:val="22"/>
        </w:rPr>
        <w:t>D</w:t>
      </w:r>
      <w:r>
        <w:rPr>
          <w:rFonts w:hint="eastAsia" w:ascii="宋体" w:hAnsi="宋体"/>
          <w:sz w:val="22"/>
          <w:szCs w:val="22"/>
        </w:rPr>
        <w:t>静态和3</w:t>
      </w:r>
      <w:r>
        <w:rPr>
          <w:rFonts w:ascii="宋体" w:hAnsi="宋体"/>
          <w:sz w:val="22"/>
          <w:szCs w:val="22"/>
        </w:rPr>
        <w:t>D</w:t>
      </w:r>
      <w:r>
        <w:rPr>
          <w:rFonts w:hint="eastAsia" w:ascii="宋体" w:hAnsi="宋体"/>
          <w:sz w:val="22"/>
          <w:szCs w:val="22"/>
        </w:rPr>
        <w:t>动态降噪技术， OFF、LOW、MID、HI四档调节。</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1</w:t>
      </w:r>
      <w:r>
        <w:rPr>
          <w:rFonts w:ascii="宋体" w:hAnsi="宋体"/>
          <w:sz w:val="22"/>
          <w:szCs w:val="22"/>
        </w:rPr>
        <w:t>1.</w:t>
      </w:r>
      <w:r>
        <w:rPr>
          <w:rFonts w:hint="eastAsia" w:ascii="宋体" w:hAnsi="宋体"/>
          <w:sz w:val="22"/>
          <w:szCs w:val="22"/>
        </w:rPr>
        <w:t>液晶触摸面板：所有设置菜单可通过触摸屏进行操作。另外，可以把内镜图像显示在液晶触摸面板上。</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1</w:t>
      </w:r>
      <w:r>
        <w:rPr>
          <w:rFonts w:ascii="宋体" w:hAnsi="宋体"/>
          <w:sz w:val="22"/>
          <w:szCs w:val="22"/>
        </w:rPr>
        <w:t>2.</w:t>
      </w:r>
      <w:r>
        <w:rPr>
          <w:rFonts w:hint="eastAsia" w:ascii="宋体" w:hAnsi="宋体"/>
          <w:sz w:val="22"/>
          <w:szCs w:val="22"/>
        </w:rPr>
        <w:t>白平衡调节功能：通过前面板上的WHITE BALANCE按键进行自动白平衡调节，主机可自动记忆。</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1</w:t>
      </w:r>
      <w:r>
        <w:rPr>
          <w:rFonts w:ascii="宋体" w:hAnsi="宋体"/>
          <w:sz w:val="22"/>
          <w:szCs w:val="22"/>
        </w:rPr>
        <w:t>3.</w:t>
      </w:r>
      <w:r>
        <w:rPr>
          <w:rFonts w:hint="eastAsia" w:ascii="宋体" w:hAnsi="宋体"/>
          <w:sz w:val="22"/>
          <w:szCs w:val="22"/>
        </w:rPr>
        <w:t>图像色彩调节功能：通过液晶面板上的色彩调节按键进行调节。“R”调节：±5档、“B”调节：±5档。</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1</w:t>
      </w:r>
      <w:r>
        <w:rPr>
          <w:rFonts w:ascii="宋体" w:hAnsi="宋体"/>
          <w:sz w:val="22"/>
          <w:szCs w:val="22"/>
        </w:rPr>
        <w:t>4.</w:t>
      </w:r>
      <w:r>
        <w:rPr>
          <w:rFonts w:hint="eastAsia" w:ascii="宋体" w:hAnsi="宋体"/>
          <w:sz w:val="22"/>
          <w:szCs w:val="22"/>
        </w:rPr>
        <w:t>自动增益功能：随着内镜在体内的移动，光线不足时，图像信号自动放大，自动调整图像亮度。</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1</w:t>
      </w:r>
      <w:r>
        <w:rPr>
          <w:rFonts w:ascii="宋体" w:hAnsi="宋体"/>
          <w:sz w:val="22"/>
          <w:szCs w:val="22"/>
        </w:rPr>
        <w:t>5.</w:t>
      </w:r>
      <w:r>
        <w:rPr>
          <w:rFonts w:hint="eastAsia" w:ascii="宋体" w:hAnsi="宋体"/>
          <w:sz w:val="22"/>
          <w:szCs w:val="22"/>
        </w:rPr>
        <w:t>轮廓增强功能：通过液晶面板上的菜单可以进行OFF、LOW、MID、HI四档调节，进行图像轮廓的电子强调。</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1</w:t>
      </w:r>
      <w:r>
        <w:rPr>
          <w:rFonts w:ascii="宋体" w:hAnsi="宋体"/>
          <w:sz w:val="22"/>
          <w:szCs w:val="22"/>
        </w:rPr>
        <w:t>6.</w:t>
      </w:r>
      <w:r>
        <w:rPr>
          <w:rFonts w:hint="eastAsia" w:ascii="宋体" w:hAnsi="宋体"/>
          <w:sz w:val="22"/>
          <w:szCs w:val="22"/>
        </w:rPr>
        <w:t>电子放大功能，可进行2倍电子放大，分1.0、1.2、1.5、2.0四档。</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Theme="minorEastAsia" w:hAnsiTheme="minorEastAsia" w:eastAsiaTheme="minorEastAsia" w:cstheme="minorEastAsia"/>
          <w:sz w:val="21"/>
          <w:szCs w:val="21"/>
        </w:rPr>
        <w:t>★</w:t>
      </w:r>
      <w:r>
        <w:rPr>
          <w:rFonts w:hint="eastAsia" w:ascii="宋体" w:hAnsi="宋体"/>
          <w:sz w:val="22"/>
          <w:szCs w:val="22"/>
        </w:rPr>
        <w:t>1</w:t>
      </w:r>
      <w:r>
        <w:rPr>
          <w:rFonts w:ascii="宋体" w:hAnsi="宋体"/>
          <w:sz w:val="22"/>
          <w:szCs w:val="22"/>
        </w:rPr>
        <w:t>7.</w:t>
      </w:r>
      <w:r>
        <w:rPr>
          <w:rFonts w:hint="eastAsia" w:ascii="宋体" w:hAnsi="宋体"/>
          <w:sz w:val="22"/>
          <w:szCs w:val="22"/>
        </w:rPr>
        <w:t>画面旋转功能，内镜画面可进行180°旋转。</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1</w:t>
      </w:r>
      <w:r>
        <w:rPr>
          <w:rFonts w:ascii="宋体" w:hAnsi="宋体"/>
          <w:sz w:val="22"/>
          <w:szCs w:val="22"/>
        </w:rPr>
        <w:t>8.</w:t>
      </w:r>
      <w:r>
        <w:rPr>
          <w:rFonts w:hint="eastAsia" w:ascii="宋体" w:hAnsi="宋体"/>
          <w:sz w:val="22"/>
          <w:szCs w:val="22"/>
        </w:rPr>
        <w:t>用于观察粘膜表面和血管形态（i-scan</w:t>
      </w:r>
      <w:r>
        <w:rPr>
          <w:rFonts w:ascii="宋体" w:hAnsi="宋体"/>
          <w:sz w:val="22"/>
          <w:szCs w:val="22"/>
        </w:rPr>
        <w:t xml:space="preserve"> OE</w:t>
      </w:r>
      <w:r>
        <w:rPr>
          <w:rFonts w:hint="eastAsia" w:ascii="宋体" w:hAnsi="宋体"/>
          <w:sz w:val="22"/>
          <w:szCs w:val="22"/>
        </w:rPr>
        <w:t>）</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1</w:t>
      </w:r>
      <w:r>
        <w:rPr>
          <w:rFonts w:ascii="宋体" w:hAnsi="宋体"/>
          <w:sz w:val="22"/>
          <w:szCs w:val="22"/>
        </w:rPr>
        <w:t>9.</w:t>
      </w:r>
      <w:r>
        <w:rPr>
          <w:rFonts w:hint="eastAsia" w:ascii="宋体" w:hAnsi="宋体"/>
          <w:sz w:val="22"/>
          <w:szCs w:val="22"/>
        </w:rPr>
        <w:t>病灶表面凸现功能（i-scan se）。</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2</w:t>
      </w:r>
      <w:r>
        <w:rPr>
          <w:rFonts w:ascii="宋体" w:hAnsi="宋体"/>
          <w:sz w:val="22"/>
          <w:szCs w:val="22"/>
        </w:rPr>
        <w:t>0.</w:t>
      </w:r>
      <w:r>
        <w:rPr>
          <w:rFonts w:hint="eastAsia" w:ascii="宋体" w:hAnsi="宋体"/>
          <w:sz w:val="22"/>
          <w:szCs w:val="22"/>
        </w:rPr>
        <w:t>病灶轮廓凸现功能（i-scan ce）。</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2</w:t>
      </w:r>
      <w:r>
        <w:rPr>
          <w:rFonts w:ascii="宋体" w:hAnsi="宋体"/>
          <w:sz w:val="22"/>
          <w:szCs w:val="22"/>
        </w:rPr>
        <w:t>1.</w:t>
      </w:r>
      <w:r>
        <w:rPr>
          <w:rFonts w:hint="eastAsia" w:ascii="宋体" w:hAnsi="宋体"/>
          <w:sz w:val="22"/>
          <w:szCs w:val="22"/>
        </w:rPr>
        <w:t>组织细节强调功能（i-scan p）。</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2</w:t>
      </w:r>
      <w:r>
        <w:rPr>
          <w:rFonts w:ascii="宋体" w:hAnsi="宋体"/>
          <w:sz w:val="22"/>
          <w:szCs w:val="22"/>
        </w:rPr>
        <w:t>2.</w:t>
      </w:r>
      <w:r>
        <w:rPr>
          <w:rFonts w:hint="eastAsia" w:ascii="宋体" w:hAnsi="宋体"/>
          <w:sz w:val="22"/>
          <w:szCs w:val="22"/>
        </w:rPr>
        <w:t>血管凸现功能（i-scan v）。</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2</w:t>
      </w:r>
      <w:r>
        <w:rPr>
          <w:rFonts w:ascii="宋体" w:hAnsi="宋体"/>
          <w:sz w:val="22"/>
          <w:szCs w:val="22"/>
        </w:rPr>
        <w:t>3.</w:t>
      </w:r>
      <w:r>
        <w:rPr>
          <w:rFonts w:hint="eastAsia" w:ascii="宋体" w:hAnsi="宋体"/>
          <w:sz w:val="22"/>
          <w:szCs w:val="22"/>
        </w:rPr>
        <w:t>观察食道模式（TE-e）。</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2</w:t>
      </w:r>
      <w:r>
        <w:rPr>
          <w:rFonts w:ascii="宋体" w:hAnsi="宋体"/>
          <w:sz w:val="22"/>
          <w:szCs w:val="22"/>
        </w:rPr>
        <w:t>4.</w:t>
      </w:r>
      <w:r>
        <w:rPr>
          <w:rFonts w:hint="eastAsia" w:ascii="宋体" w:hAnsi="宋体"/>
          <w:sz w:val="22"/>
          <w:szCs w:val="22"/>
        </w:rPr>
        <w:t>观察Barrett的模式（TE-b）。</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2</w:t>
      </w:r>
      <w:r>
        <w:rPr>
          <w:rFonts w:ascii="宋体" w:hAnsi="宋体"/>
          <w:sz w:val="22"/>
          <w:szCs w:val="22"/>
        </w:rPr>
        <w:t>5.</w:t>
      </w:r>
      <w:r>
        <w:rPr>
          <w:rFonts w:hint="eastAsia" w:ascii="宋体" w:hAnsi="宋体"/>
          <w:sz w:val="22"/>
          <w:szCs w:val="22"/>
        </w:rPr>
        <w:t>观察胃模式（TE-g）。</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2</w:t>
      </w:r>
      <w:r>
        <w:rPr>
          <w:rFonts w:ascii="宋体" w:hAnsi="宋体"/>
          <w:sz w:val="22"/>
          <w:szCs w:val="22"/>
        </w:rPr>
        <w:t>6.</w:t>
      </w:r>
      <w:r>
        <w:rPr>
          <w:rFonts w:hint="eastAsia" w:ascii="宋体" w:hAnsi="宋体"/>
          <w:sz w:val="22"/>
          <w:szCs w:val="22"/>
        </w:rPr>
        <w:t>观察肠道模式（TE-c）。</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2</w:t>
      </w:r>
      <w:r>
        <w:rPr>
          <w:rFonts w:ascii="宋体" w:hAnsi="宋体"/>
          <w:sz w:val="22"/>
          <w:szCs w:val="22"/>
        </w:rPr>
        <w:t>7.</w:t>
      </w:r>
      <w:r>
        <w:rPr>
          <w:rFonts w:hint="eastAsia" w:ascii="宋体" w:hAnsi="宋体"/>
          <w:sz w:val="22"/>
          <w:szCs w:val="22"/>
        </w:rPr>
        <w:t>数码图像轮廓增强。具备</w:t>
      </w:r>
      <w:r>
        <w:rPr>
          <w:rFonts w:ascii="宋体" w:hAnsi="宋体"/>
          <w:sz w:val="22"/>
          <w:szCs w:val="22"/>
        </w:rPr>
        <w:t>6级边缘强调功能，</w:t>
      </w:r>
      <w:r>
        <w:rPr>
          <w:rFonts w:hint="eastAsia" w:ascii="宋体" w:hAnsi="宋体"/>
          <w:sz w:val="22"/>
          <w:szCs w:val="22"/>
        </w:rPr>
        <w:t>以及</w:t>
      </w:r>
      <w:r>
        <w:rPr>
          <w:rFonts w:ascii="宋体" w:hAnsi="宋体"/>
          <w:sz w:val="22"/>
          <w:szCs w:val="22"/>
        </w:rPr>
        <w:t>6级结构强调</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Theme="minorEastAsia" w:hAnsiTheme="minorEastAsia" w:eastAsiaTheme="minorEastAsia" w:cstheme="minorEastAsia"/>
          <w:sz w:val="21"/>
          <w:szCs w:val="21"/>
        </w:rPr>
        <w:t>★</w:t>
      </w:r>
      <w:r>
        <w:rPr>
          <w:rFonts w:hint="eastAsia" w:ascii="宋体" w:hAnsi="宋体"/>
          <w:sz w:val="22"/>
          <w:szCs w:val="22"/>
        </w:rPr>
        <w:t>2</w:t>
      </w:r>
      <w:r>
        <w:rPr>
          <w:rFonts w:ascii="宋体" w:hAnsi="宋体"/>
          <w:sz w:val="22"/>
          <w:szCs w:val="22"/>
        </w:rPr>
        <w:t>8.</w:t>
      </w:r>
      <w:r>
        <w:rPr>
          <w:rFonts w:hint="eastAsia" w:ascii="宋体" w:hAnsi="宋体"/>
          <w:sz w:val="22"/>
          <w:szCs w:val="22"/>
        </w:rPr>
        <w:t>具有HD+视频录制及图像存储功能，保存整个检查过程。</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2</w:t>
      </w:r>
      <w:r>
        <w:rPr>
          <w:rFonts w:ascii="宋体" w:hAnsi="宋体"/>
          <w:sz w:val="22"/>
          <w:szCs w:val="22"/>
        </w:rPr>
        <w:t>9.</w:t>
      </w:r>
      <w:r>
        <w:rPr>
          <w:rFonts w:hint="eastAsia" w:ascii="宋体" w:hAnsi="宋体"/>
          <w:sz w:val="22"/>
          <w:szCs w:val="22"/>
        </w:rPr>
        <w:t>提供多组标准USB接口，前1后2，可直接存储镜下视频和图片及相关数据。</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3</w:t>
      </w:r>
      <w:r>
        <w:rPr>
          <w:rFonts w:ascii="宋体" w:hAnsi="宋体"/>
          <w:sz w:val="22"/>
          <w:szCs w:val="22"/>
        </w:rPr>
        <w:t>0.</w:t>
      </w:r>
      <w:r>
        <w:rPr>
          <w:rFonts w:hint="eastAsia" w:ascii="宋体" w:hAnsi="宋体"/>
          <w:sz w:val="22"/>
          <w:szCs w:val="22"/>
        </w:rPr>
        <w:t>提供网络接口，可与院内网络连接。</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3</w:t>
      </w:r>
      <w:r>
        <w:rPr>
          <w:rFonts w:ascii="宋体" w:hAnsi="宋体"/>
          <w:sz w:val="22"/>
          <w:szCs w:val="22"/>
        </w:rPr>
        <w:t>1.</w:t>
      </w:r>
      <w:r>
        <w:rPr>
          <w:rFonts w:hint="eastAsia" w:ascii="宋体" w:hAnsi="宋体"/>
          <w:sz w:val="22"/>
          <w:szCs w:val="22"/>
        </w:rPr>
        <w:t>具有画中画功能（主画面冻结时出现实时小画面）。</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ascii="宋体" w:hAnsi="宋体"/>
          <w:sz w:val="22"/>
          <w:szCs w:val="22"/>
        </w:rPr>
        <w:t>32.</w:t>
      </w:r>
      <w:r>
        <w:rPr>
          <w:rFonts w:hint="eastAsia" w:ascii="宋体" w:hAnsi="宋体"/>
          <w:sz w:val="22"/>
          <w:szCs w:val="22"/>
        </w:rPr>
        <w:t>高清图像冻结模式、自动活动小画面并可变换位置。</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3</w:t>
      </w:r>
      <w:r>
        <w:rPr>
          <w:rFonts w:ascii="宋体" w:hAnsi="宋体"/>
          <w:sz w:val="22"/>
          <w:szCs w:val="22"/>
        </w:rPr>
        <w:t>3.</w:t>
      </w:r>
      <w:r>
        <w:rPr>
          <w:rFonts w:hint="eastAsia" w:ascii="宋体" w:hAnsi="宋体"/>
          <w:sz w:val="22"/>
          <w:szCs w:val="22"/>
        </w:rPr>
        <w:t>控制预设，可在内镜手柄按键上设置所有主机的控制及调节功能。</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Theme="minorEastAsia" w:hAnsiTheme="minorEastAsia" w:eastAsiaTheme="minorEastAsia" w:cstheme="minorEastAsia"/>
          <w:sz w:val="21"/>
          <w:szCs w:val="21"/>
        </w:rPr>
        <w:t>★</w:t>
      </w:r>
      <w:r>
        <w:rPr>
          <w:rFonts w:hint="eastAsia" w:ascii="宋体" w:hAnsi="宋体"/>
          <w:sz w:val="22"/>
          <w:szCs w:val="22"/>
        </w:rPr>
        <w:t>3</w:t>
      </w:r>
      <w:r>
        <w:rPr>
          <w:rFonts w:ascii="宋体" w:hAnsi="宋体"/>
          <w:sz w:val="22"/>
          <w:szCs w:val="22"/>
        </w:rPr>
        <w:t>4.</w:t>
      </w:r>
      <w:r>
        <w:rPr>
          <w:rFonts w:hint="eastAsia" w:ascii="宋体" w:hAnsi="宋体"/>
          <w:sz w:val="22"/>
          <w:szCs w:val="22"/>
        </w:rPr>
        <w:t>主光源采用300W氙灯，并带有LED（1类）应急灯。</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3</w:t>
      </w:r>
      <w:r>
        <w:rPr>
          <w:rFonts w:ascii="宋体" w:hAnsi="宋体"/>
          <w:sz w:val="22"/>
          <w:szCs w:val="22"/>
        </w:rPr>
        <w:t>5.</w:t>
      </w:r>
      <w:r>
        <w:rPr>
          <w:rFonts w:hint="eastAsia" w:ascii="宋体" w:hAnsi="宋体"/>
          <w:sz w:val="22"/>
          <w:szCs w:val="22"/>
        </w:rPr>
        <w:t>峰值、平均测光方式，自动、手动调光方式。</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3</w:t>
      </w:r>
      <w:r>
        <w:rPr>
          <w:rFonts w:ascii="宋体" w:hAnsi="宋体"/>
          <w:sz w:val="22"/>
          <w:szCs w:val="22"/>
        </w:rPr>
        <w:t>6.</w:t>
      </w:r>
      <w:r>
        <w:rPr>
          <w:rFonts w:hint="eastAsia" w:ascii="宋体" w:hAnsi="宋体"/>
          <w:sz w:val="22"/>
          <w:szCs w:val="22"/>
        </w:rPr>
        <w:t>多档调节的高流量新型低噪气泵,水瓶具有水/气档与气档多功能选择开关。</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3</w:t>
      </w:r>
      <w:r>
        <w:rPr>
          <w:rFonts w:ascii="宋体" w:hAnsi="宋体"/>
          <w:sz w:val="22"/>
          <w:szCs w:val="22"/>
        </w:rPr>
        <w:t>7.</w:t>
      </w:r>
      <w:r>
        <w:rPr>
          <w:rFonts w:hint="eastAsia" w:ascii="宋体" w:hAnsi="宋体"/>
          <w:sz w:val="22"/>
          <w:szCs w:val="22"/>
        </w:rPr>
        <w:t>液晶面板光源寿命显示功能。</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3</w:t>
      </w:r>
      <w:r>
        <w:rPr>
          <w:rFonts w:ascii="宋体" w:hAnsi="宋体"/>
          <w:sz w:val="22"/>
          <w:szCs w:val="22"/>
        </w:rPr>
        <w:t>8.</w:t>
      </w:r>
      <w:r>
        <w:rPr>
          <w:rFonts w:hint="eastAsia" w:ascii="宋体" w:hAnsi="宋体"/>
          <w:sz w:val="22"/>
          <w:szCs w:val="22"/>
        </w:rPr>
        <w:t>全新照明系统扩大了照射角度，边缘图像亮度提高，整幅图像照射均匀，近、远端图像明暗对降低，极大程度的抑制了粘膜、液体反光现象。</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ascii="宋体" w:hAnsi="宋体"/>
          <w:sz w:val="22"/>
          <w:szCs w:val="22"/>
        </w:rPr>
        <w:t>39.</w:t>
      </w:r>
      <w:r>
        <w:rPr>
          <w:rFonts w:hint="eastAsia" w:ascii="宋体" w:hAnsi="宋体"/>
          <w:sz w:val="22"/>
          <w:szCs w:val="22"/>
        </w:rPr>
        <w:t>HD-SDI、DVI信号输出，实现HD+数字高清图像无损传输。</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Theme="minorEastAsia" w:hAnsiTheme="minorEastAsia" w:eastAsiaTheme="minorEastAsia" w:cstheme="minorEastAsia"/>
          <w:sz w:val="21"/>
          <w:szCs w:val="21"/>
        </w:rPr>
        <w:t>★</w:t>
      </w:r>
      <w:r>
        <w:rPr>
          <w:rFonts w:ascii="宋体" w:hAnsi="宋体"/>
          <w:sz w:val="22"/>
          <w:szCs w:val="22"/>
        </w:rPr>
        <w:t>40.</w:t>
      </w:r>
      <w:r>
        <w:rPr>
          <w:rFonts w:hint="eastAsia" w:ascii="宋体" w:hAnsi="宋体"/>
          <w:sz w:val="22"/>
          <w:szCs w:val="22"/>
        </w:rPr>
        <w:t>内镜固定锁功能，确保安全稳固的内镜与主机连接。</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4</w:t>
      </w:r>
      <w:r>
        <w:rPr>
          <w:rFonts w:ascii="宋体" w:hAnsi="宋体"/>
          <w:sz w:val="22"/>
          <w:szCs w:val="22"/>
        </w:rPr>
        <w:t>1.</w:t>
      </w:r>
      <w:r>
        <w:rPr>
          <w:rFonts w:hint="eastAsia" w:ascii="宋体" w:hAnsi="宋体"/>
          <w:sz w:val="22"/>
          <w:szCs w:val="22"/>
        </w:rPr>
        <w:t>预约数据存储功能、操作者数据存储功能、病人数据存储功能。</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sz w:val="22"/>
          <w:szCs w:val="22"/>
        </w:rPr>
      </w:pPr>
      <w:r>
        <w:rPr>
          <w:rFonts w:hint="eastAsia" w:ascii="宋体" w:hAnsi="宋体"/>
          <w:sz w:val="22"/>
          <w:szCs w:val="22"/>
        </w:rPr>
        <w:t>4</w:t>
      </w:r>
      <w:r>
        <w:rPr>
          <w:rFonts w:ascii="宋体" w:hAnsi="宋体"/>
          <w:sz w:val="22"/>
          <w:szCs w:val="22"/>
        </w:rPr>
        <w:t>2.</w:t>
      </w:r>
      <w:r>
        <w:rPr>
          <w:rFonts w:hint="eastAsia" w:ascii="宋体" w:hAnsi="宋体"/>
          <w:sz w:val="22"/>
          <w:szCs w:val="22"/>
        </w:rPr>
        <w:t>兼容性：可兼容本品牌所有在售电子镜及纤维镜</w:t>
      </w:r>
      <w:bookmarkStart w:id="17" w:name="_Hlk73554648"/>
    </w:p>
    <w:p>
      <w:pPr>
        <w:pStyle w:val="102"/>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b/>
          <w:bCs/>
          <w:sz w:val="22"/>
          <w:szCs w:val="22"/>
        </w:rPr>
      </w:pPr>
      <w:r>
        <w:rPr>
          <w:rFonts w:hint="eastAsia" w:ascii="宋体" w:hAnsi="宋体"/>
          <w:b/>
          <w:bCs/>
          <w:sz w:val="22"/>
          <w:szCs w:val="22"/>
          <w:lang w:eastAsia="zh-CN"/>
        </w:rPr>
        <w:t>二、</w:t>
      </w:r>
      <w:r>
        <w:rPr>
          <w:rFonts w:hint="eastAsia" w:ascii="宋体" w:hAnsi="宋体"/>
          <w:b/>
          <w:bCs/>
          <w:sz w:val="22"/>
          <w:szCs w:val="22"/>
        </w:rPr>
        <w:t>电子上消化道内窥镜 （进口）</w:t>
      </w:r>
      <w:r>
        <w:rPr>
          <w:rFonts w:ascii="宋体" w:hAnsi="宋体"/>
          <w:b/>
          <w:bCs/>
          <w:sz w:val="22"/>
          <w:szCs w:val="22"/>
        </w:rPr>
        <w:t xml:space="preserve"> 1</w:t>
      </w:r>
      <w:r>
        <w:rPr>
          <w:rFonts w:hint="eastAsia" w:ascii="宋体" w:hAnsi="宋体"/>
          <w:b/>
          <w:bCs/>
          <w:sz w:val="22"/>
          <w:szCs w:val="22"/>
        </w:rPr>
        <w:t>条</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sz w:val="22"/>
          <w:szCs w:val="22"/>
        </w:rPr>
      </w:pPr>
      <w:r>
        <w:rPr>
          <w:rFonts w:hint="eastAsia" w:ascii="宋体" w:hAnsi="宋体"/>
          <w:sz w:val="22"/>
          <w:szCs w:val="22"/>
        </w:rPr>
        <w:t>1.新一代百万像素内镜CCD，图像完美呈现</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sz w:val="22"/>
          <w:szCs w:val="22"/>
        </w:rPr>
      </w:pPr>
      <w:r>
        <w:rPr>
          <w:rFonts w:hint="eastAsia" w:ascii="宋体" w:hAnsi="宋体"/>
          <w:sz w:val="22"/>
          <w:szCs w:val="22"/>
        </w:rPr>
        <w:t>2.独特的近距离对焦功能，2mm近距离观察黏膜细节</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sz w:val="22"/>
          <w:szCs w:val="22"/>
        </w:rPr>
      </w:pPr>
      <w:bookmarkStart w:id="18" w:name="_Hlk70594111"/>
      <w:r>
        <w:rPr>
          <w:rFonts w:hint="eastAsia" w:asciiTheme="minorEastAsia" w:hAnsiTheme="minorEastAsia" w:eastAsiaTheme="minorEastAsia" w:cstheme="minorEastAsia"/>
          <w:sz w:val="21"/>
          <w:szCs w:val="21"/>
        </w:rPr>
        <w:t>★</w:t>
      </w:r>
      <w:r>
        <w:rPr>
          <w:rFonts w:hint="eastAsia" w:ascii="宋体" w:hAnsi="宋体"/>
          <w:sz w:val="22"/>
          <w:szCs w:val="22"/>
        </w:rPr>
        <w:t>3.具有OE光学染色和</w:t>
      </w:r>
      <w:r>
        <w:rPr>
          <w:rFonts w:ascii="宋体" w:hAnsi="宋体"/>
          <w:sz w:val="22"/>
          <w:szCs w:val="22"/>
        </w:rPr>
        <w:t>I</w:t>
      </w:r>
      <w:r>
        <w:rPr>
          <w:rFonts w:hint="eastAsia" w:ascii="宋体" w:hAnsi="宋体"/>
          <w:sz w:val="22"/>
          <w:szCs w:val="22"/>
        </w:rPr>
        <w:t>-</w:t>
      </w:r>
      <w:r>
        <w:rPr>
          <w:rFonts w:ascii="宋体" w:hAnsi="宋体"/>
          <w:sz w:val="22"/>
          <w:szCs w:val="22"/>
        </w:rPr>
        <w:t>scan</w:t>
      </w:r>
      <w:r>
        <w:rPr>
          <w:rFonts w:hint="eastAsia" w:ascii="宋体" w:hAnsi="宋体"/>
          <w:sz w:val="22"/>
          <w:szCs w:val="22"/>
        </w:rPr>
        <w:t>电子染色技术（特殊光功能，光学检测技术，）提高病变检出率</w:t>
      </w:r>
      <w:r>
        <w:rPr>
          <w:rFonts w:hint="eastAsia" w:ascii="宋体" w:hAnsi="宋体"/>
          <w:sz w:val="22"/>
          <w:szCs w:val="22"/>
        </w:rPr>
        <w:tab/>
      </w:r>
    </w:p>
    <w:p>
      <w:pPr>
        <w:pStyle w:val="102"/>
        <w:keepNext w:val="0"/>
        <w:keepLines w:val="0"/>
        <w:pageBreakBefore w:val="0"/>
        <w:numPr>
          <w:ilvl w:val="0"/>
          <w:numId w:val="5"/>
        </w:numPr>
        <w:kinsoku/>
        <w:wordWrap/>
        <w:overflowPunct/>
        <w:topLinePunct w:val="0"/>
        <w:autoSpaceDE/>
        <w:autoSpaceDN/>
        <w:bidi w:val="0"/>
        <w:adjustRightInd/>
        <w:snapToGrid/>
        <w:spacing w:line="500" w:lineRule="exact"/>
        <w:textAlignment w:val="auto"/>
        <w:rPr>
          <w:rFonts w:hint="eastAsia" w:ascii="宋体" w:hAnsi="宋体"/>
          <w:sz w:val="22"/>
          <w:szCs w:val="22"/>
        </w:rPr>
      </w:pPr>
      <w:r>
        <w:rPr>
          <w:rFonts w:hint="eastAsia" w:ascii="宋体" w:hAnsi="宋体"/>
          <w:sz w:val="22"/>
          <w:szCs w:val="22"/>
        </w:rPr>
        <w:t>视野角度:≥140°</w:t>
      </w:r>
      <w:bookmarkEnd w:id="18"/>
    </w:p>
    <w:p>
      <w:pPr>
        <w:pStyle w:val="102"/>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sz w:val="22"/>
          <w:szCs w:val="22"/>
        </w:rPr>
      </w:pPr>
      <w:r>
        <w:rPr>
          <w:rFonts w:hint="eastAsia" w:ascii="宋体" w:hAnsi="宋体"/>
          <w:sz w:val="22"/>
          <w:szCs w:val="22"/>
        </w:rPr>
        <w:t>5</w:t>
      </w:r>
      <w:r>
        <w:rPr>
          <w:rFonts w:ascii="宋体" w:hAnsi="宋体"/>
          <w:sz w:val="22"/>
          <w:szCs w:val="22"/>
        </w:rPr>
        <w:t>.</w:t>
      </w:r>
      <w:r>
        <w:rPr>
          <w:rFonts w:hint="eastAsia" w:ascii="宋体" w:hAnsi="宋体"/>
          <w:sz w:val="22"/>
          <w:szCs w:val="22"/>
        </w:rPr>
        <w:t>观察深度:≥2-100mm</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sz w:val="22"/>
          <w:szCs w:val="22"/>
        </w:rPr>
      </w:pPr>
      <w:r>
        <w:rPr>
          <w:rFonts w:hint="eastAsia" w:asciiTheme="minorEastAsia" w:hAnsiTheme="minorEastAsia" w:eastAsiaTheme="minorEastAsia" w:cstheme="minorEastAsia"/>
          <w:sz w:val="21"/>
          <w:szCs w:val="21"/>
        </w:rPr>
        <w:t>★</w:t>
      </w:r>
      <w:r>
        <w:rPr>
          <w:rFonts w:hint="eastAsia" w:ascii="宋体" w:hAnsi="宋体"/>
          <w:sz w:val="22"/>
          <w:szCs w:val="22"/>
        </w:rPr>
        <w:t>6</w:t>
      </w:r>
      <w:r>
        <w:rPr>
          <w:rFonts w:ascii="宋体" w:hAnsi="宋体"/>
          <w:sz w:val="22"/>
          <w:szCs w:val="22"/>
        </w:rPr>
        <w:t>.</w:t>
      </w:r>
      <w:r>
        <w:rPr>
          <w:rFonts w:hint="eastAsia" w:ascii="宋体" w:hAnsi="宋体"/>
          <w:sz w:val="22"/>
          <w:szCs w:val="22"/>
        </w:rPr>
        <w:t>弯曲角度:上≥210°、下≥120°，左右≥120°</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sz w:val="22"/>
          <w:szCs w:val="22"/>
        </w:rPr>
      </w:pPr>
      <w:r>
        <w:rPr>
          <w:rFonts w:hint="eastAsia" w:asciiTheme="minorEastAsia" w:hAnsiTheme="minorEastAsia" w:eastAsiaTheme="minorEastAsia" w:cstheme="minorEastAsia"/>
          <w:sz w:val="21"/>
          <w:szCs w:val="21"/>
        </w:rPr>
        <w:t>★</w:t>
      </w:r>
      <w:r>
        <w:rPr>
          <w:rFonts w:hint="eastAsia" w:ascii="宋体" w:hAnsi="宋体"/>
          <w:sz w:val="22"/>
          <w:szCs w:val="22"/>
        </w:rPr>
        <w:t>7</w:t>
      </w:r>
      <w:r>
        <w:rPr>
          <w:rFonts w:ascii="宋体" w:hAnsi="宋体"/>
          <w:sz w:val="22"/>
          <w:szCs w:val="22"/>
        </w:rPr>
        <w:t>.</w:t>
      </w:r>
      <w:r>
        <w:rPr>
          <w:rFonts w:hint="eastAsia" w:ascii="宋体" w:hAnsi="宋体"/>
          <w:sz w:val="22"/>
          <w:szCs w:val="22"/>
        </w:rPr>
        <w:t>先端部外径:≤ 9.9mm</w:t>
      </w:r>
      <w:r>
        <w:rPr>
          <w:rFonts w:ascii="宋体" w:hAnsi="宋体"/>
          <w:sz w:val="22"/>
          <w:szCs w:val="22"/>
        </w:rPr>
        <w:t xml:space="preserve"> </w:t>
      </w:r>
      <w:r>
        <w:rPr>
          <w:rFonts w:hint="eastAsia" w:ascii="宋体" w:hAnsi="宋体"/>
          <w:sz w:val="22"/>
          <w:szCs w:val="22"/>
        </w:rPr>
        <w:t>插入部外径:≤ 9.8mm</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sz w:val="22"/>
          <w:szCs w:val="22"/>
        </w:rPr>
      </w:pPr>
      <w:r>
        <w:rPr>
          <w:rFonts w:hint="eastAsia" w:ascii="宋体" w:hAnsi="宋体"/>
          <w:sz w:val="22"/>
          <w:szCs w:val="22"/>
        </w:rPr>
        <w:t>8</w:t>
      </w:r>
      <w:r>
        <w:rPr>
          <w:rFonts w:ascii="宋体" w:hAnsi="宋体"/>
          <w:sz w:val="22"/>
          <w:szCs w:val="22"/>
        </w:rPr>
        <w:t>.</w:t>
      </w:r>
      <w:r>
        <w:rPr>
          <w:rFonts w:hint="eastAsia" w:ascii="宋体" w:hAnsi="宋体"/>
          <w:sz w:val="22"/>
          <w:szCs w:val="22"/>
        </w:rPr>
        <w:t>内镜管道: ≥3.2mm</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sz w:val="22"/>
          <w:szCs w:val="22"/>
        </w:rPr>
      </w:pPr>
      <w:r>
        <w:rPr>
          <w:rFonts w:hint="eastAsia" w:asciiTheme="minorEastAsia" w:hAnsiTheme="minorEastAsia" w:eastAsiaTheme="minorEastAsia" w:cstheme="minorEastAsia"/>
          <w:sz w:val="21"/>
          <w:szCs w:val="21"/>
        </w:rPr>
        <w:t>★</w:t>
      </w:r>
      <w:r>
        <w:rPr>
          <w:rFonts w:hint="eastAsia" w:ascii="宋体" w:hAnsi="宋体"/>
          <w:sz w:val="22"/>
          <w:szCs w:val="22"/>
        </w:rPr>
        <w:t>9</w:t>
      </w:r>
      <w:r>
        <w:rPr>
          <w:rFonts w:ascii="宋体" w:hAnsi="宋体"/>
          <w:sz w:val="22"/>
          <w:szCs w:val="22"/>
        </w:rPr>
        <w:t>.</w:t>
      </w:r>
      <w:r>
        <w:rPr>
          <w:rFonts w:hint="eastAsia" w:ascii="宋体" w:hAnsi="宋体"/>
          <w:sz w:val="22"/>
          <w:szCs w:val="22"/>
        </w:rPr>
        <w:t>有效长度: ≥1050mm</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sz w:val="22"/>
          <w:szCs w:val="22"/>
        </w:rPr>
      </w:pPr>
      <w:r>
        <w:rPr>
          <w:rFonts w:hint="eastAsia" w:ascii="宋体" w:hAnsi="宋体"/>
          <w:sz w:val="22"/>
          <w:szCs w:val="22"/>
        </w:rPr>
        <w:t>10</w:t>
      </w:r>
      <w:r>
        <w:rPr>
          <w:rFonts w:ascii="宋体" w:hAnsi="宋体"/>
          <w:sz w:val="22"/>
          <w:szCs w:val="22"/>
        </w:rPr>
        <w:t>.</w:t>
      </w:r>
      <w:r>
        <w:rPr>
          <w:rFonts w:hint="eastAsia" w:ascii="宋体" w:hAnsi="宋体"/>
          <w:sz w:val="22"/>
          <w:szCs w:val="22"/>
        </w:rPr>
        <w:t>全长: ≥1366mm</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sz w:val="22"/>
          <w:szCs w:val="22"/>
        </w:rPr>
      </w:pPr>
      <w:r>
        <w:rPr>
          <w:rFonts w:hint="eastAsia" w:asciiTheme="minorEastAsia" w:hAnsiTheme="minorEastAsia" w:eastAsiaTheme="minorEastAsia" w:cstheme="minorEastAsia"/>
          <w:sz w:val="21"/>
          <w:szCs w:val="21"/>
        </w:rPr>
        <w:t>★</w:t>
      </w:r>
      <w:r>
        <w:rPr>
          <w:rFonts w:hint="eastAsia" w:ascii="宋体" w:hAnsi="宋体"/>
          <w:sz w:val="22"/>
          <w:szCs w:val="22"/>
        </w:rPr>
        <w:t>11</w:t>
      </w:r>
      <w:r>
        <w:rPr>
          <w:rFonts w:ascii="宋体" w:hAnsi="宋体"/>
          <w:sz w:val="22"/>
          <w:szCs w:val="22"/>
        </w:rPr>
        <w:t>.</w:t>
      </w:r>
      <w:r>
        <w:rPr>
          <w:rFonts w:hint="eastAsia" w:ascii="宋体" w:hAnsi="宋体"/>
          <w:sz w:val="22"/>
          <w:szCs w:val="22"/>
        </w:rPr>
        <w:t>内镜连接部具有180°旋转功能</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Theme="minorEastAsia" w:hAnsiTheme="minorEastAsia" w:eastAsiaTheme="minorEastAsia" w:cstheme="minorEastAsia"/>
          <w:sz w:val="21"/>
          <w:szCs w:val="21"/>
        </w:rPr>
        <w:t>★</w:t>
      </w:r>
      <w:r>
        <w:rPr>
          <w:rFonts w:hint="eastAsia" w:ascii="宋体" w:hAnsi="宋体"/>
          <w:sz w:val="22"/>
          <w:szCs w:val="22"/>
        </w:rPr>
        <w:t>12</w:t>
      </w:r>
      <w:r>
        <w:rPr>
          <w:rFonts w:ascii="宋体" w:hAnsi="宋体"/>
          <w:sz w:val="22"/>
          <w:szCs w:val="22"/>
        </w:rPr>
        <w:t>.</w:t>
      </w:r>
      <w:r>
        <w:rPr>
          <w:rFonts w:hint="eastAsia" w:ascii="宋体" w:hAnsi="宋体"/>
          <w:sz w:val="22"/>
          <w:szCs w:val="22"/>
        </w:rPr>
        <w:t>具备附送水功能</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bookmarkStart w:id="19" w:name="_Hlk70594174"/>
      <w:r>
        <w:rPr>
          <w:rFonts w:hint="eastAsia" w:ascii="宋体" w:hAnsi="宋体"/>
          <w:sz w:val="22"/>
          <w:szCs w:val="22"/>
        </w:rPr>
        <w:t>1</w:t>
      </w:r>
      <w:r>
        <w:rPr>
          <w:rFonts w:ascii="宋体" w:hAnsi="宋体"/>
          <w:sz w:val="22"/>
          <w:szCs w:val="22"/>
        </w:rPr>
        <w:t>3.</w:t>
      </w:r>
      <w:r>
        <w:rPr>
          <w:rFonts w:hint="eastAsia" w:ascii="宋体" w:hAnsi="宋体"/>
          <w:sz w:val="22"/>
          <w:szCs w:val="22"/>
        </w:rPr>
        <w:t>前向射水管道，时刻保持视野清晰</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1</w:t>
      </w:r>
      <w:r>
        <w:rPr>
          <w:rFonts w:ascii="宋体" w:hAnsi="宋体"/>
          <w:sz w:val="22"/>
          <w:szCs w:val="22"/>
        </w:rPr>
        <w:t>4.</w:t>
      </w:r>
      <w:r>
        <w:rPr>
          <w:rFonts w:hint="eastAsia" w:ascii="宋体" w:hAnsi="宋体"/>
          <w:sz w:val="22"/>
          <w:szCs w:val="22"/>
        </w:rPr>
        <w:t>自定义内镜按钮可控制图像冻结、采集、存储、图像放大等</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sz w:val="22"/>
          <w:szCs w:val="22"/>
        </w:rPr>
      </w:pPr>
      <w:r>
        <w:rPr>
          <w:rFonts w:ascii="宋体" w:hAnsi="宋体"/>
          <w:sz w:val="22"/>
          <w:szCs w:val="22"/>
        </w:rPr>
        <w:t>15.</w:t>
      </w:r>
      <w:r>
        <w:rPr>
          <w:rFonts w:hint="eastAsia" w:ascii="宋体" w:hAnsi="宋体"/>
          <w:sz w:val="22"/>
          <w:szCs w:val="22"/>
        </w:rPr>
        <w:t>导光缆、电子接口一体化设计</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b/>
          <w:bCs/>
          <w:sz w:val="24"/>
          <w:szCs w:val="24"/>
          <w:lang w:val="en-US" w:eastAsia="zh-CN"/>
        </w:rPr>
      </w:pPr>
      <w:r>
        <w:rPr>
          <w:rFonts w:hint="eastAsia" w:ascii="宋体" w:hAnsi="宋体"/>
          <w:b/>
          <w:bCs/>
          <w:sz w:val="24"/>
          <w:szCs w:val="24"/>
          <w:lang w:eastAsia="zh-CN"/>
        </w:rPr>
        <w:t>三、</w:t>
      </w:r>
      <w:r>
        <w:rPr>
          <w:rFonts w:hint="eastAsia" w:ascii="宋体" w:hAnsi="宋体" w:eastAsia="宋体"/>
          <w:b/>
          <w:bCs/>
          <w:sz w:val="24"/>
          <w:szCs w:val="24"/>
        </w:rPr>
        <w:t>电子大肠内窥镜</w:t>
      </w:r>
      <w:r>
        <w:rPr>
          <w:rFonts w:hint="eastAsia" w:ascii="宋体" w:hAnsi="宋体"/>
          <w:b/>
          <w:bCs/>
          <w:sz w:val="22"/>
          <w:szCs w:val="22"/>
        </w:rPr>
        <w:t>（进口）</w:t>
      </w:r>
      <w:r>
        <w:rPr>
          <w:rFonts w:hint="eastAsia" w:ascii="宋体" w:hAnsi="宋体"/>
          <w:b/>
          <w:bCs/>
          <w:sz w:val="22"/>
          <w:szCs w:val="22"/>
        </w:rPr>
        <w:tab/>
      </w:r>
      <w:r>
        <w:rPr>
          <w:rFonts w:hint="eastAsia" w:ascii="宋体" w:hAnsi="宋体"/>
          <w:b/>
          <w:bCs/>
          <w:sz w:val="22"/>
          <w:szCs w:val="22"/>
        </w:rPr>
        <w:tab/>
      </w:r>
      <w:r>
        <w:rPr>
          <w:rFonts w:ascii="宋体" w:hAnsi="宋体"/>
          <w:b/>
          <w:bCs/>
          <w:sz w:val="22"/>
          <w:szCs w:val="22"/>
        </w:rPr>
        <w:t>1</w:t>
      </w:r>
      <w:r>
        <w:rPr>
          <w:rFonts w:hint="eastAsia" w:ascii="宋体" w:hAnsi="宋体"/>
          <w:b/>
          <w:bCs/>
          <w:sz w:val="22"/>
          <w:szCs w:val="22"/>
          <w:lang w:val="en-US" w:eastAsia="zh-CN"/>
        </w:rPr>
        <w:t>条</w:t>
      </w:r>
    </w:p>
    <w:p>
      <w:pPr>
        <w:keepNext w:val="0"/>
        <w:keepLines w:val="0"/>
        <w:pageBreakBefore w:val="0"/>
        <w:widowControl w:val="0"/>
        <w:tabs>
          <w:tab w:val="left" w:pos="420"/>
        </w:tabs>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1.  新一代百万像素内镜CCD，图像完美呈现</w:t>
      </w:r>
    </w:p>
    <w:p>
      <w:pPr>
        <w:keepNext w:val="0"/>
        <w:keepLines w:val="0"/>
        <w:pageBreakBefore w:val="0"/>
        <w:widowControl w:val="0"/>
        <w:tabs>
          <w:tab w:val="left" w:pos="420"/>
        </w:tabs>
        <w:kinsoku/>
        <w:wordWrap/>
        <w:overflowPunct/>
        <w:topLinePunct w:val="0"/>
        <w:autoSpaceDE/>
        <w:autoSpaceDN/>
        <w:bidi w:val="0"/>
        <w:adjustRightInd/>
        <w:snapToGrid/>
        <w:spacing w:line="500" w:lineRule="exact"/>
        <w:textAlignment w:val="auto"/>
        <w:rPr>
          <w:rFonts w:ascii="宋体" w:hAnsi="宋体"/>
          <w:color w:val="000000"/>
          <w:sz w:val="22"/>
          <w:szCs w:val="22"/>
        </w:rPr>
      </w:pPr>
      <w:r>
        <w:rPr>
          <w:rFonts w:hint="eastAsia" w:ascii="宋体" w:hAnsi="宋体"/>
          <w:color w:val="000000"/>
          <w:sz w:val="22"/>
          <w:szCs w:val="22"/>
        </w:rPr>
        <w:t xml:space="preserve">2.  </w:t>
      </w:r>
      <w:r>
        <w:rPr>
          <w:rFonts w:hint="eastAsia" w:ascii="宋体" w:hAnsi="宋体"/>
          <w:sz w:val="22"/>
          <w:szCs w:val="22"/>
        </w:rPr>
        <w:t>匹配OE光学染色和</w:t>
      </w:r>
      <w:r>
        <w:rPr>
          <w:rFonts w:ascii="宋体" w:hAnsi="宋体"/>
          <w:sz w:val="22"/>
          <w:szCs w:val="22"/>
        </w:rPr>
        <w:t>I</w:t>
      </w:r>
      <w:r>
        <w:rPr>
          <w:rFonts w:hint="eastAsia" w:ascii="宋体" w:hAnsi="宋体"/>
          <w:sz w:val="22"/>
          <w:szCs w:val="22"/>
        </w:rPr>
        <w:t>-</w:t>
      </w:r>
      <w:r>
        <w:rPr>
          <w:rFonts w:ascii="宋体" w:hAnsi="宋体"/>
          <w:sz w:val="22"/>
          <w:szCs w:val="22"/>
        </w:rPr>
        <w:t>scan</w:t>
      </w:r>
      <w:r>
        <w:rPr>
          <w:rFonts w:hint="eastAsia" w:ascii="宋体" w:hAnsi="宋体"/>
          <w:sz w:val="22"/>
          <w:szCs w:val="22"/>
        </w:rPr>
        <w:t>电子染色技术</w:t>
      </w:r>
      <w:r>
        <w:rPr>
          <w:rFonts w:hint="eastAsia" w:ascii="宋体" w:hAnsi="宋体"/>
          <w:color w:val="000000"/>
          <w:sz w:val="22"/>
          <w:szCs w:val="22"/>
        </w:rPr>
        <w:t>，提高病变检出率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3.  观察方向：直视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4.  视野角：</w:t>
      </w:r>
      <w:r>
        <w:rPr>
          <w:rFonts w:hint="eastAsia" w:ascii="宋体" w:hAnsi="宋体"/>
          <w:color w:val="000000"/>
          <w:sz w:val="22"/>
          <w:szCs w:val="22"/>
        </w:rPr>
        <w:t>≥</w:t>
      </w:r>
      <w:r>
        <w:rPr>
          <w:rFonts w:hint="eastAsia" w:ascii="宋体" w:hAnsi="宋体"/>
          <w:sz w:val="22"/>
          <w:szCs w:val="22"/>
        </w:rPr>
        <w:t>140°</w:t>
      </w:r>
    </w:p>
    <w:p>
      <w:pPr>
        <w:keepNext w:val="0"/>
        <w:keepLines w:val="0"/>
        <w:pageBreakBefore w:val="0"/>
        <w:widowControl w:val="0"/>
        <w:tabs>
          <w:tab w:val="left" w:pos="420"/>
        </w:tabs>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5.  景深：</w:t>
      </w:r>
      <w:r>
        <w:rPr>
          <w:rFonts w:hint="eastAsia" w:ascii="宋体" w:hAnsi="宋体"/>
          <w:color w:val="000000"/>
          <w:sz w:val="22"/>
          <w:szCs w:val="22"/>
        </w:rPr>
        <w:t>≥2</w:t>
      </w:r>
      <w:r>
        <w:rPr>
          <w:rFonts w:hint="eastAsia" w:ascii="宋体" w:hAnsi="宋体"/>
          <w:sz w:val="22"/>
          <w:szCs w:val="22"/>
        </w:rPr>
        <w:t>-100mm</w:t>
      </w:r>
    </w:p>
    <w:p>
      <w:pPr>
        <w:keepNext w:val="0"/>
        <w:keepLines w:val="0"/>
        <w:pageBreakBefore w:val="0"/>
        <w:widowControl w:val="0"/>
        <w:tabs>
          <w:tab w:val="left" w:pos="420"/>
        </w:tabs>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Theme="minorEastAsia" w:hAnsiTheme="minorEastAsia" w:eastAsiaTheme="minorEastAsia" w:cstheme="minorEastAsia"/>
          <w:sz w:val="21"/>
          <w:szCs w:val="21"/>
        </w:rPr>
        <w:t>★</w:t>
      </w:r>
      <w:r>
        <w:rPr>
          <w:rFonts w:hint="eastAsia" w:ascii="宋体" w:hAnsi="宋体"/>
          <w:sz w:val="22"/>
          <w:szCs w:val="22"/>
        </w:rPr>
        <w:t>6.  弯曲角度：上/下</w:t>
      </w:r>
      <w:r>
        <w:rPr>
          <w:rFonts w:hint="eastAsia" w:ascii="宋体" w:hAnsi="宋体"/>
          <w:color w:val="000000"/>
          <w:sz w:val="22"/>
          <w:szCs w:val="22"/>
        </w:rPr>
        <w:t>≥</w:t>
      </w:r>
      <w:r>
        <w:rPr>
          <w:rFonts w:hint="eastAsia" w:ascii="宋体" w:hAnsi="宋体"/>
          <w:sz w:val="22"/>
          <w:szCs w:val="22"/>
        </w:rPr>
        <w:t>180°、左/右</w:t>
      </w:r>
      <w:r>
        <w:rPr>
          <w:rFonts w:hint="eastAsia" w:ascii="宋体" w:hAnsi="宋体"/>
          <w:color w:val="000000"/>
          <w:sz w:val="22"/>
          <w:szCs w:val="22"/>
        </w:rPr>
        <w:t>≥</w:t>
      </w:r>
      <w:r>
        <w:rPr>
          <w:rFonts w:hint="eastAsia" w:ascii="宋体" w:hAnsi="宋体"/>
          <w:sz w:val="22"/>
          <w:szCs w:val="22"/>
        </w:rPr>
        <w:t>160°</w:t>
      </w:r>
    </w:p>
    <w:p>
      <w:pPr>
        <w:keepNext w:val="0"/>
        <w:keepLines w:val="0"/>
        <w:pageBreakBefore w:val="0"/>
        <w:widowControl w:val="0"/>
        <w:tabs>
          <w:tab w:val="left" w:pos="1466"/>
        </w:tabs>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Theme="minorEastAsia" w:hAnsiTheme="minorEastAsia" w:eastAsiaTheme="minorEastAsia" w:cstheme="minorEastAsia"/>
          <w:sz w:val="21"/>
          <w:szCs w:val="21"/>
        </w:rPr>
        <w:t>★</w:t>
      </w:r>
      <w:r>
        <w:rPr>
          <w:rFonts w:hint="eastAsia" w:ascii="宋体" w:hAnsi="宋体"/>
          <w:sz w:val="22"/>
          <w:szCs w:val="22"/>
        </w:rPr>
        <w:t>7. 先端部外径：</w:t>
      </w:r>
      <w:r>
        <w:rPr>
          <w:rFonts w:hint="eastAsia" w:ascii="宋体" w:hAnsi="宋体"/>
          <w:color w:val="000000"/>
          <w:sz w:val="22"/>
          <w:szCs w:val="22"/>
        </w:rPr>
        <w:t>≤</w:t>
      </w:r>
      <w:r>
        <w:rPr>
          <w:rFonts w:hint="eastAsia" w:ascii="宋体" w:hAnsi="宋体"/>
          <w:sz w:val="22"/>
          <w:szCs w:val="22"/>
        </w:rPr>
        <w:t>11.5mm</w:t>
      </w:r>
      <w:r>
        <w:rPr>
          <w:rFonts w:ascii="宋体" w:hAnsi="宋体"/>
          <w:sz w:val="22"/>
          <w:szCs w:val="22"/>
        </w:rPr>
        <w:t xml:space="preserve"> </w:t>
      </w:r>
      <w:r>
        <w:rPr>
          <w:rFonts w:hint="eastAsia" w:ascii="宋体" w:hAnsi="宋体"/>
          <w:sz w:val="22"/>
          <w:szCs w:val="22"/>
        </w:rPr>
        <w:t>插入部外径：</w:t>
      </w:r>
      <w:r>
        <w:rPr>
          <w:rFonts w:hint="eastAsia" w:ascii="宋体" w:hAnsi="宋体"/>
          <w:color w:val="000000"/>
          <w:sz w:val="22"/>
          <w:szCs w:val="22"/>
        </w:rPr>
        <w:t>≤</w:t>
      </w:r>
      <w:r>
        <w:rPr>
          <w:rFonts w:hint="eastAsia" w:ascii="宋体" w:hAnsi="宋体"/>
          <w:sz w:val="22"/>
          <w:szCs w:val="22"/>
        </w:rPr>
        <w:t>11.6mm</w:t>
      </w:r>
    </w:p>
    <w:p>
      <w:pPr>
        <w:keepNext w:val="0"/>
        <w:keepLines w:val="0"/>
        <w:pageBreakBefore w:val="0"/>
        <w:widowControl w:val="0"/>
        <w:tabs>
          <w:tab w:val="left" w:pos="420"/>
          <w:tab w:val="left" w:pos="1466"/>
        </w:tabs>
        <w:kinsoku/>
        <w:wordWrap/>
        <w:overflowPunct/>
        <w:topLinePunct w:val="0"/>
        <w:autoSpaceDE/>
        <w:autoSpaceDN/>
        <w:bidi w:val="0"/>
        <w:adjustRightInd/>
        <w:snapToGrid/>
        <w:spacing w:line="500" w:lineRule="exact"/>
        <w:textAlignment w:val="auto"/>
        <w:rPr>
          <w:rFonts w:ascii="宋体" w:hAnsi="宋体"/>
          <w:sz w:val="22"/>
          <w:szCs w:val="22"/>
        </w:rPr>
      </w:pPr>
      <w:r>
        <w:rPr>
          <w:rFonts w:ascii="宋体" w:hAnsi="宋体"/>
          <w:sz w:val="22"/>
          <w:szCs w:val="22"/>
        </w:rPr>
        <w:t>8</w:t>
      </w:r>
      <w:r>
        <w:rPr>
          <w:rFonts w:hint="eastAsia" w:ascii="宋体" w:hAnsi="宋体"/>
          <w:sz w:val="22"/>
          <w:szCs w:val="22"/>
        </w:rPr>
        <w:t>.  内镜管道：</w:t>
      </w:r>
      <w:r>
        <w:rPr>
          <w:rFonts w:hint="eastAsia" w:ascii="宋体" w:hAnsi="宋体"/>
          <w:color w:val="000000"/>
          <w:sz w:val="22"/>
          <w:szCs w:val="22"/>
        </w:rPr>
        <w:t>≥</w:t>
      </w:r>
      <w:r>
        <w:rPr>
          <w:rFonts w:hint="eastAsia" w:ascii="宋体" w:hAnsi="宋体"/>
          <w:sz w:val="22"/>
          <w:szCs w:val="22"/>
        </w:rPr>
        <w:t>3.8mm</w:t>
      </w:r>
    </w:p>
    <w:p>
      <w:pPr>
        <w:keepNext w:val="0"/>
        <w:keepLines w:val="0"/>
        <w:pageBreakBefore w:val="0"/>
        <w:widowControl w:val="0"/>
        <w:tabs>
          <w:tab w:val="left" w:pos="1466"/>
        </w:tabs>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Theme="minorEastAsia" w:hAnsiTheme="minorEastAsia" w:eastAsiaTheme="minorEastAsia" w:cstheme="minorEastAsia"/>
          <w:sz w:val="21"/>
          <w:szCs w:val="21"/>
        </w:rPr>
        <w:t>★</w:t>
      </w:r>
      <w:r>
        <w:rPr>
          <w:rFonts w:ascii="宋体" w:hAnsi="宋体"/>
          <w:sz w:val="22"/>
          <w:szCs w:val="22"/>
        </w:rPr>
        <w:t>9</w:t>
      </w:r>
      <w:r>
        <w:rPr>
          <w:rFonts w:hint="eastAsia" w:ascii="宋体" w:hAnsi="宋体"/>
          <w:sz w:val="22"/>
          <w:szCs w:val="22"/>
        </w:rPr>
        <w:t>.有效长度：</w:t>
      </w:r>
      <w:r>
        <w:rPr>
          <w:rFonts w:hint="eastAsia" w:ascii="宋体" w:hAnsi="宋体"/>
          <w:color w:val="000000"/>
          <w:sz w:val="22"/>
          <w:szCs w:val="22"/>
        </w:rPr>
        <w:t>≥1500mm</w:t>
      </w:r>
    </w:p>
    <w:p>
      <w:pPr>
        <w:keepNext w:val="0"/>
        <w:keepLines w:val="0"/>
        <w:pageBreakBefore w:val="0"/>
        <w:widowControl w:val="0"/>
        <w:tabs>
          <w:tab w:val="left" w:pos="1466"/>
        </w:tabs>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Theme="minorEastAsia" w:hAnsiTheme="minorEastAsia" w:eastAsiaTheme="minorEastAsia" w:cstheme="minorEastAsia"/>
          <w:sz w:val="21"/>
          <w:szCs w:val="21"/>
        </w:rPr>
        <w:t>★</w:t>
      </w:r>
      <w:r>
        <w:rPr>
          <w:rFonts w:hint="eastAsia" w:ascii="宋体" w:hAnsi="宋体"/>
          <w:sz w:val="22"/>
          <w:szCs w:val="22"/>
        </w:rPr>
        <w:t>1</w:t>
      </w:r>
      <w:r>
        <w:rPr>
          <w:rFonts w:ascii="宋体" w:hAnsi="宋体"/>
          <w:sz w:val="22"/>
          <w:szCs w:val="22"/>
        </w:rPr>
        <w:t>0</w:t>
      </w:r>
      <w:r>
        <w:rPr>
          <w:rFonts w:hint="eastAsia" w:ascii="宋体" w:hAnsi="宋体"/>
          <w:sz w:val="22"/>
          <w:szCs w:val="22"/>
        </w:rPr>
        <w:t>.总长度</w:t>
      </w:r>
      <w:r>
        <w:rPr>
          <w:rFonts w:hint="eastAsia" w:ascii="宋体" w:hAnsi="宋体"/>
          <w:color w:val="000000"/>
          <w:sz w:val="22"/>
          <w:szCs w:val="22"/>
        </w:rPr>
        <w:t>：≥1816mm</w:t>
      </w:r>
    </w:p>
    <w:p>
      <w:pPr>
        <w:keepNext w:val="0"/>
        <w:keepLines w:val="0"/>
        <w:pageBreakBefore w:val="0"/>
        <w:widowControl w:val="0"/>
        <w:tabs>
          <w:tab w:val="left" w:pos="1466"/>
        </w:tabs>
        <w:kinsoku/>
        <w:wordWrap/>
        <w:overflowPunct/>
        <w:topLinePunct w:val="0"/>
        <w:autoSpaceDE/>
        <w:autoSpaceDN/>
        <w:bidi w:val="0"/>
        <w:adjustRightInd/>
        <w:snapToGrid/>
        <w:spacing w:line="500" w:lineRule="exact"/>
        <w:textAlignment w:val="auto"/>
        <w:rPr>
          <w:rFonts w:ascii="宋体" w:hAnsi="宋体" w:cs="微软雅黑"/>
          <w:sz w:val="22"/>
          <w:szCs w:val="22"/>
        </w:rPr>
      </w:pPr>
      <w:r>
        <w:rPr>
          <w:rFonts w:hint="eastAsia" w:ascii="宋体" w:hAnsi="宋体"/>
          <w:sz w:val="22"/>
          <w:szCs w:val="22"/>
        </w:rPr>
        <w:t>11.</w:t>
      </w:r>
      <w:r>
        <w:rPr>
          <w:rFonts w:hint="eastAsia" w:ascii="宋体" w:hAnsi="宋体" w:cs="微软雅黑"/>
          <w:sz w:val="22"/>
          <w:szCs w:val="22"/>
        </w:rPr>
        <w:t>具备附送水功能，</w:t>
      </w:r>
      <w:r>
        <w:rPr>
          <w:rFonts w:hint="eastAsia" w:ascii="宋体" w:hAnsi="宋体"/>
          <w:sz w:val="22"/>
          <w:szCs w:val="22"/>
        </w:rPr>
        <w:t>时刻保持视野清晰</w:t>
      </w:r>
    </w:p>
    <w:p>
      <w:pPr>
        <w:keepNext w:val="0"/>
        <w:keepLines w:val="0"/>
        <w:pageBreakBefore w:val="0"/>
        <w:widowControl w:val="0"/>
        <w:tabs>
          <w:tab w:val="left" w:pos="1466"/>
        </w:tabs>
        <w:kinsoku/>
        <w:wordWrap/>
        <w:overflowPunct/>
        <w:topLinePunct w:val="0"/>
        <w:autoSpaceDE/>
        <w:autoSpaceDN/>
        <w:bidi w:val="0"/>
        <w:adjustRightInd/>
        <w:snapToGrid/>
        <w:spacing w:line="500" w:lineRule="exact"/>
        <w:textAlignment w:val="auto"/>
        <w:rPr>
          <w:rFonts w:hint="eastAsia" w:ascii="宋体" w:hAnsi="宋体" w:eastAsia="宋体"/>
          <w:b/>
          <w:bCs/>
          <w:sz w:val="24"/>
          <w:szCs w:val="24"/>
        </w:rPr>
      </w:pPr>
      <w:r>
        <w:rPr>
          <w:rFonts w:hint="eastAsia" w:asciiTheme="minorEastAsia" w:hAnsiTheme="minorEastAsia" w:eastAsiaTheme="minorEastAsia" w:cstheme="minorEastAsia"/>
          <w:sz w:val="21"/>
          <w:szCs w:val="21"/>
        </w:rPr>
        <w:t>★</w:t>
      </w:r>
      <w:r>
        <w:rPr>
          <w:rFonts w:hint="eastAsia" w:ascii="宋体" w:hAnsi="宋体"/>
          <w:sz w:val="22"/>
          <w:szCs w:val="22"/>
        </w:rPr>
        <w:t>1</w:t>
      </w:r>
      <w:r>
        <w:rPr>
          <w:rFonts w:ascii="宋体" w:hAnsi="宋体"/>
          <w:sz w:val="22"/>
          <w:szCs w:val="22"/>
        </w:rPr>
        <w:t>2</w:t>
      </w:r>
      <w:r>
        <w:rPr>
          <w:rFonts w:hint="eastAsia" w:ascii="宋体" w:hAnsi="宋体"/>
          <w:sz w:val="22"/>
          <w:szCs w:val="22"/>
        </w:rPr>
        <w:t>.内镜连接部可180°旋转功能</w:t>
      </w:r>
    </w:p>
    <w:bookmarkEnd w:id="19"/>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b/>
          <w:bCs/>
          <w:sz w:val="22"/>
          <w:szCs w:val="22"/>
        </w:rPr>
      </w:pPr>
      <w:r>
        <w:rPr>
          <w:rFonts w:hint="eastAsia" w:ascii="宋体" w:hAnsi="宋体"/>
          <w:b/>
          <w:bCs/>
          <w:sz w:val="22"/>
          <w:szCs w:val="22"/>
          <w:lang w:eastAsia="zh-CN"/>
        </w:rPr>
        <w:t>四、</w:t>
      </w:r>
      <w:r>
        <w:rPr>
          <w:rFonts w:hint="eastAsia" w:ascii="宋体" w:hAnsi="宋体"/>
          <w:b/>
          <w:bCs/>
          <w:sz w:val="22"/>
          <w:szCs w:val="22"/>
        </w:rPr>
        <w:t>监视器（进口）</w:t>
      </w:r>
      <w:r>
        <w:rPr>
          <w:rFonts w:hint="eastAsia" w:ascii="宋体" w:hAnsi="宋体"/>
          <w:b/>
          <w:bCs/>
          <w:sz w:val="22"/>
          <w:szCs w:val="22"/>
        </w:rPr>
        <w:tab/>
      </w:r>
      <w:r>
        <w:rPr>
          <w:rFonts w:hint="eastAsia" w:ascii="宋体" w:hAnsi="宋体"/>
          <w:b/>
          <w:bCs/>
          <w:sz w:val="22"/>
          <w:szCs w:val="22"/>
        </w:rPr>
        <w:tab/>
      </w:r>
      <w:bookmarkStart w:id="20" w:name="_Hlk70502927"/>
      <w:r>
        <w:rPr>
          <w:rFonts w:ascii="宋体" w:hAnsi="宋体"/>
          <w:b/>
          <w:bCs/>
          <w:sz w:val="22"/>
          <w:szCs w:val="22"/>
        </w:rPr>
        <w:t>1</w:t>
      </w:r>
      <w:r>
        <w:rPr>
          <w:rFonts w:hint="eastAsia" w:ascii="宋体" w:hAnsi="宋体"/>
          <w:b/>
          <w:bCs/>
          <w:sz w:val="22"/>
          <w:szCs w:val="22"/>
        </w:rPr>
        <w:t>台</w:t>
      </w:r>
      <w:r>
        <w:rPr>
          <w:rFonts w:hint="eastAsia" w:ascii="宋体" w:hAnsi="宋体"/>
          <w:b/>
          <w:bCs/>
          <w:sz w:val="22"/>
          <w:szCs w:val="22"/>
        </w:rPr>
        <w:tab/>
      </w:r>
      <w:r>
        <w:rPr>
          <w:rFonts w:hint="eastAsia" w:ascii="宋体" w:hAnsi="宋体"/>
          <w:b/>
          <w:bCs/>
          <w:sz w:val="22"/>
          <w:szCs w:val="22"/>
        </w:rPr>
        <w:tab/>
      </w:r>
      <w:bookmarkEnd w:id="20"/>
      <w:r>
        <w:rPr>
          <w:rFonts w:hint="eastAsia" w:ascii="宋体" w:hAnsi="宋体"/>
          <w:b/>
          <w:bCs/>
          <w:sz w:val="22"/>
          <w:szCs w:val="22"/>
        </w:rPr>
        <w:tab/>
      </w:r>
      <w:r>
        <w:rPr>
          <w:rFonts w:hint="eastAsia" w:ascii="宋体" w:hAnsi="宋体"/>
          <w:b/>
          <w:bCs/>
          <w:sz w:val="22"/>
          <w:szCs w:val="22"/>
        </w:rPr>
        <w:tab/>
      </w:r>
      <w:r>
        <w:rPr>
          <w:rFonts w:hint="eastAsia" w:ascii="宋体" w:hAnsi="宋体"/>
          <w:b/>
          <w:bCs/>
          <w:sz w:val="22"/>
          <w:szCs w:val="22"/>
        </w:rPr>
        <w:tab/>
      </w:r>
      <w:r>
        <w:rPr>
          <w:rFonts w:hint="eastAsia" w:ascii="宋体" w:hAnsi="宋体"/>
          <w:b/>
          <w:bCs/>
          <w:sz w:val="22"/>
          <w:szCs w:val="22"/>
        </w:rPr>
        <w:tab/>
      </w:r>
      <w:r>
        <w:rPr>
          <w:rFonts w:hint="eastAsia" w:ascii="宋体" w:hAnsi="宋体"/>
          <w:b/>
          <w:bCs/>
          <w:sz w:val="22"/>
          <w:szCs w:val="22"/>
        </w:rPr>
        <w:tab/>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1．专业级液晶监视器</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2．屏幕尺寸27英寸，图像显示区域：597.9*336.3mm   宽高比16:9</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3．分辨率</w:t>
      </w:r>
      <w:r>
        <w:rPr>
          <w:rFonts w:ascii="宋体" w:hAnsi="宋体"/>
          <w:sz w:val="22"/>
          <w:szCs w:val="22"/>
        </w:rPr>
        <w:t>1920×1080</w:t>
      </w:r>
      <w:r>
        <w:rPr>
          <w:rFonts w:hint="eastAsia" w:ascii="宋体" w:hAnsi="宋体"/>
          <w:sz w:val="22"/>
          <w:szCs w:val="22"/>
        </w:rPr>
        <w:t>点</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4. 可视角度：89º/89º/89º/89º （典型） （上/下/左/右）</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ascii="宋体" w:hAnsi="宋体"/>
          <w:sz w:val="22"/>
          <w:szCs w:val="22"/>
        </w:rPr>
        <w:t>5</w:t>
      </w:r>
      <w:r>
        <w:rPr>
          <w:rFonts w:hint="eastAsia" w:ascii="宋体" w:hAnsi="宋体"/>
          <w:sz w:val="22"/>
          <w:szCs w:val="22"/>
        </w:rPr>
        <w:t>．信号输入：复合，Y/C，RGB/分量，外同步,HD15, DVI-D(2),3GSDI （2）TMDS单链路</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6．信号输出：</w:t>
      </w:r>
      <w:r>
        <w:rPr>
          <w:rFonts w:ascii="宋体" w:hAnsi="宋体"/>
          <w:sz w:val="22"/>
          <w:szCs w:val="22"/>
        </w:rPr>
        <w:t>3GSDI,  DVI</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ascii="宋体" w:hAnsi="宋体"/>
          <w:sz w:val="22"/>
          <w:szCs w:val="22"/>
        </w:rPr>
        <w:t xml:space="preserve">7. </w:t>
      </w:r>
      <w:r>
        <w:rPr>
          <w:rFonts w:hint="eastAsia" w:ascii="宋体" w:hAnsi="宋体"/>
          <w:sz w:val="22"/>
          <w:szCs w:val="22"/>
        </w:rPr>
        <w:t>具备动态影像播放及手术摄像实时播放</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8. 采用“OptiContrast Panel（绚丽黑曜面板）”结构，用树脂填充液晶屏幕与屏幕保护面板之间的空气层。防止光的漫反射导致的图像变形以及对比度下降，消除水汽冷凝现象</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ascii="宋体" w:hAnsi="宋体"/>
          <w:sz w:val="22"/>
          <w:szCs w:val="22"/>
        </w:rPr>
        <w:t>9</w:t>
      </w:r>
      <w:r>
        <w:rPr>
          <w:rFonts w:hint="eastAsia" w:ascii="宋体" w:hAnsi="宋体"/>
          <w:sz w:val="22"/>
          <w:szCs w:val="22"/>
        </w:rPr>
        <w:t>.</w:t>
      </w:r>
      <w:r>
        <w:rPr>
          <w:rFonts w:ascii="宋体" w:hAnsi="宋体"/>
          <w:sz w:val="22"/>
          <w:szCs w:val="22"/>
        </w:rPr>
        <w:t xml:space="preserve"> </w:t>
      </w:r>
      <w:r>
        <w:rPr>
          <w:rFonts w:hint="eastAsia" w:ascii="宋体" w:hAnsi="宋体"/>
          <w:sz w:val="22"/>
          <w:szCs w:val="22"/>
        </w:rPr>
        <w:t>支持画中画，画边画，画外，画面镜像，画面旋转等多种显示模式</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ascii="宋体" w:hAnsi="宋体"/>
          <w:sz w:val="22"/>
          <w:szCs w:val="22"/>
        </w:rPr>
        <w:t>10</w:t>
      </w:r>
      <w:r>
        <w:rPr>
          <w:rFonts w:hint="eastAsia" w:ascii="宋体" w:hAnsi="宋体"/>
          <w:sz w:val="22"/>
          <w:szCs w:val="22"/>
        </w:rPr>
        <w:t>.医疗监视器最高等级行业防水等级：前部为 IPX5 防水等级，其他面防水等级为 IPX2</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18"/>
        </w:rPr>
      </w:pPr>
      <w:r>
        <w:rPr>
          <w:rFonts w:ascii="宋体" w:hAnsi="宋体"/>
          <w:sz w:val="22"/>
          <w:szCs w:val="22"/>
        </w:rPr>
        <w:t>11</w:t>
      </w:r>
      <w:r>
        <w:rPr>
          <w:rFonts w:hint="eastAsia" w:ascii="宋体" w:hAnsi="宋体"/>
          <w:sz w:val="22"/>
          <w:szCs w:val="22"/>
        </w:rPr>
        <w:t>.专门的 A.I.M.E.™（高级影像多重增强技术）功能</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b/>
          <w:bCs/>
          <w:sz w:val="22"/>
          <w:szCs w:val="22"/>
        </w:rPr>
      </w:pPr>
      <w:r>
        <w:rPr>
          <w:rFonts w:hint="eastAsia" w:ascii="宋体" w:hAnsi="宋体"/>
          <w:b/>
          <w:bCs/>
          <w:sz w:val="22"/>
          <w:szCs w:val="22"/>
          <w:lang w:eastAsia="zh-CN"/>
        </w:rPr>
        <w:t>五、</w:t>
      </w:r>
      <w:r>
        <w:rPr>
          <w:rFonts w:hint="eastAsia" w:ascii="宋体" w:hAnsi="宋体"/>
          <w:b/>
          <w:bCs/>
          <w:sz w:val="22"/>
          <w:szCs w:val="22"/>
        </w:rPr>
        <w:t>医用台车（进口）</w:t>
      </w:r>
      <w:r>
        <w:rPr>
          <w:rFonts w:hint="eastAsia" w:ascii="宋体" w:hAnsi="宋体"/>
          <w:b/>
          <w:bCs/>
          <w:sz w:val="22"/>
          <w:szCs w:val="22"/>
        </w:rPr>
        <w:tab/>
      </w:r>
      <w:r>
        <w:rPr>
          <w:rFonts w:ascii="宋体" w:hAnsi="宋体"/>
          <w:b/>
          <w:bCs/>
          <w:sz w:val="22"/>
          <w:szCs w:val="22"/>
        </w:rPr>
        <w:t>1</w:t>
      </w:r>
      <w:r>
        <w:rPr>
          <w:rFonts w:hint="eastAsia" w:ascii="宋体" w:hAnsi="宋体"/>
          <w:b/>
          <w:bCs/>
          <w:sz w:val="22"/>
          <w:szCs w:val="22"/>
        </w:rPr>
        <w:t>台</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1</w:t>
      </w:r>
      <w:r>
        <w:rPr>
          <w:rFonts w:ascii="宋体" w:hAnsi="宋体"/>
          <w:sz w:val="22"/>
          <w:szCs w:val="22"/>
        </w:rPr>
        <w:t>.</w:t>
      </w:r>
      <w:r>
        <w:rPr>
          <w:rFonts w:hint="eastAsia" w:ascii="宋体" w:hAnsi="宋体"/>
          <w:sz w:val="22"/>
          <w:szCs w:val="22"/>
        </w:rPr>
        <w:t>由耐热、耐压、防震材质组成。</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2</w:t>
      </w:r>
      <w:r>
        <w:rPr>
          <w:rFonts w:ascii="宋体" w:hAnsi="宋体"/>
          <w:sz w:val="22"/>
          <w:szCs w:val="22"/>
        </w:rPr>
        <w:t>.</w:t>
      </w:r>
      <w:r>
        <w:rPr>
          <w:rFonts w:hint="eastAsia" w:ascii="宋体" w:hAnsi="宋体"/>
          <w:sz w:val="22"/>
          <w:szCs w:val="22"/>
        </w:rPr>
        <w:t>监视器平台能</w:t>
      </w:r>
      <w:r>
        <w:rPr>
          <w:rFonts w:ascii="宋体" w:hAnsi="宋体"/>
          <w:sz w:val="22"/>
          <w:szCs w:val="22"/>
        </w:rPr>
        <w:t xml:space="preserve">180 </w:t>
      </w:r>
      <w:r>
        <w:rPr>
          <w:rFonts w:hint="eastAsia" w:ascii="宋体" w:hAnsi="宋体"/>
          <w:sz w:val="22"/>
          <w:szCs w:val="22"/>
        </w:rPr>
        <w:t>度旋转，可上下调节。</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3</w:t>
      </w:r>
      <w:r>
        <w:rPr>
          <w:rFonts w:ascii="宋体" w:hAnsi="宋体"/>
          <w:sz w:val="22"/>
          <w:szCs w:val="22"/>
        </w:rPr>
        <w:t>.</w:t>
      </w:r>
      <w:r>
        <w:rPr>
          <w:rFonts w:hint="eastAsia" w:ascii="宋体" w:hAnsi="宋体"/>
          <w:sz w:val="22"/>
          <w:szCs w:val="22"/>
        </w:rPr>
        <w:t>持镜杆上可持活检钳、清洗刷等配件。</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4</w:t>
      </w:r>
      <w:r>
        <w:rPr>
          <w:rFonts w:ascii="宋体" w:hAnsi="宋体"/>
          <w:sz w:val="22"/>
          <w:szCs w:val="22"/>
        </w:rPr>
        <w:t>.</w:t>
      </w:r>
      <w:r>
        <w:rPr>
          <w:rFonts w:hint="eastAsia" w:ascii="宋体" w:hAnsi="宋体"/>
          <w:sz w:val="22"/>
          <w:szCs w:val="22"/>
        </w:rPr>
        <w:t>具有每个隔板可上下调节，隔板中布有铜网。</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5</w:t>
      </w:r>
      <w:r>
        <w:rPr>
          <w:rFonts w:ascii="宋体" w:hAnsi="宋体"/>
          <w:sz w:val="22"/>
          <w:szCs w:val="22"/>
        </w:rPr>
        <w:t>.</w:t>
      </w:r>
      <w:r>
        <w:rPr>
          <w:rFonts w:hint="eastAsia" w:ascii="宋体" w:hAnsi="宋体"/>
          <w:sz w:val="22"/>
          <w:szCs w:val="22"/>
        </w:rPr>
        <w:t>具有可防高频电刀干扰功能。</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6</w:t>
      </w:r>
      <w:r>
        <w:rPr>
          <w:rFonts w:ascii="宋体" w:hAnsi="宋体"/>
          <w:sz w:val="22"/>
          <w:szCs w:val="22"/>
        </w:rPr>
        <w:t>.</w:t>
      </w:r>
      <w:r>
        <w:rPr>
          <w:rFonts w:hint="eastAsia" w:ascii="宋体" w:hAnsi="宋体"/>
          <w:sz w:val="22"/>
          <w:szCs w:val="22"/>
        </w:rPr>
        <w:t>多层设计，可放置电刀、水泵、气泵及视频打印机等</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7</w:t>
      </w:r>
      <w:r>
        <w:rPr>
          <w:rFonts w:ascii="宋体" w:hAnsi="宋体"/>
          <w:sz w:val="22"/>
          <w:szCs w:val="22"/>
        </w:rPr>
        <w:t>.</w:t>
      </w:r>
      <w:r>
        <w:rPr>
          <w:rFonts w:hint="eastAsia" w:ascii="宋体" w:hAnsi="宋体"/>
          <w:sz w:val="22"/>
          <w:szCs w:val="22"/>
        </w:rPr>
        <w:t>提供监视器吊臂，方便调整监视器观看角度</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sz w:val="22"/>
          <w:szCs w:val="22"/>
        </w:rPr>
      </w:pPr>
      <w:r>
        <w:rPr>
          <w:rFonts w:hint="eastAsia" w:ascii="宋体" w:hAnsi="宋体"/>
          <w:sz w:val="22"/>
          <w:szCs w:val="22"/>
        </w:rPr>
        <w:t>8</w:t>
      </w:r>
      <w:r>
        <w:rPr>
          <w:rFonts w:ascii="宋体" w:hAnsi="宋体"/>
          <w:sz w:val="22"/>
          <w:szCs w:val="22"/>
        </w:rPr>
        <w:t>.</w:t>
      </w:r>
      <w:r>
        <w:rPr>
          <w:rFonts w:hint="eastAsia" w:ascii="宋体" w:hAnsi="宋体"/>
          <w:sz w:val="22"/>
          <w:szCs w:val="22"/>
        </w:rPr>
        <w:t>配稳压电源</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hint="eastAsia"/>
          <w:sz w:val="20"/>
          <w:szCs w:val="18"/>
        </w:rPr>
      </w:pPr>
      <w:r>
        <w:rPr>
          <w:rFonts w:hint="eastAsia" w:ascii="宋体" w:hAnsi="宋体"/>
          <w:sz w:val="22"/>
          <w:szCs w:val="22"/>
        </w:rPr>
        <w:t>9</w:t>
      </w:r>
      <w:r>
        <w:rPr>
          <w:rFonts w:ascii="宋体" w:hAnsi="宋体"/>
          <w:sz w:val="22"/>
          <w:szCs w:val="22"/>
        </w:rPr>
        <w:t>.</w:t>
      </w:r>
      <w:r>
        <w:rPr>
          <w:rFonts w:hint="eastAsia" w:ascii="宋体" w:hAnsi="宋体"/>
          <w:sz w:val="22"/>
          <w:szCs w:val="22"/>
        </w:rPr>
        <w:t>可同时悬挂两条镜</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b/>
          <w:bCs/>
          <w:sz w:val="22"/>
          <w:szCs w:val="22"/>
        </w:rPr>
      </w:pPr>
      <w:r>
        <w:rPr>
          <w:rFonts w:hint="eastAsia" w:ascii="宋体" w:hAnsi="宋体"/>
          <w:b/>
          <w:bCs/>
          <w:sz w:val="22"/>
          <w:szCs w:val="22"/>
          <w:lang w:eastAsia="zh-CN"/>
        </w:rPr>
        <w:t>六、</w:t>
      </w:r>
      <w:r>
        <w:rPr>
          <w:rFonts w:hint="eastAsia" w:ascii="宋体" w:hAnsi="宋体"/>
          <w:b/>
          <w:bCs/>
          <w:sz w:val="22"/>
          <w:szCs w:val="22"/>
        </w:rPr>
        <w:t>测漏器（进口）</w:t>
      </w:r>
      <w:r>
        <w:rPr>
          <w:rFonts w:ascii="宋体" w:hAnsi="宋体"/>
          <w:b/>
          <w:bCs/>
          <w:sz w:val="22"/>
          <w:szCs w:val="22"/>
        </w:rPr>
        <w:t xml:space="preserve">  1</w:t>
      </w:r>
      <w:r>
        <w:rPr>
          <w:rFonts w:hint="eastAsia" w:ascii="宋体" w:hAnsi="宋体"/>
          <w:b/>
          <w:bCs/>
          <w:sz w:val="22"/>
          <w:szCs w:val="22"/>
        </w:rPr>
        <w:t>个</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1</w:t>
      </w:r>
      <w:r>
        <w:rPr>
          <w:rFonts w:ascii="宋体" w:hAnsi="宋体"/>
          <w:sz w:val="22"/>
          <w:szCs w:val="22"/>
        </w:rPr>
        <w:t>.</w:t>
      </w:r>
      <w:r>
        <w:rPr>
          <w:rFonts w:hint="eastAsia" w:ascii="宋体" w:hAnsi="宋体"/>
          <w:sz w:val="22"/>
          <w:szCs w:val="22"/>
        </w:rPr>
        <w:t>与全系列内镜匹配，完成内镜检查工作</w:t>
      </w:r>
    </w:p>
    <w:p>
      <w:pPr>
        <w:pStyle w:val="102"/>
        <w:keepNext w:val="0"/>
        <w:keepLines w:val="0"/>
        <w:pageBreakBefore w:val="0"/>
        <w:kinsoku/>
        <w:wordWrap/>
        <w:overflowPunct/>
        <w:topLinePunct w:val="0"/>
        <w:autoSpaceDE/>
        <w:autoSpaceDN/>
        <w:bidi w:val="0"/>
        <w:adjustRightInd/>
        <w:snapToGrid/>
        <w:spacing w:line="500" w:lineRule="exact"/>
        <w:textAlignment w:val="auto"/>
        <w:rPr>
          <w:sz w:val="20"/>
          <w:szCs w:val="18"/>
        </w:rPr>
      </w:pPr>
      <w:r>
        <w:rPr>
          <w:rFonts w:hint="eastAsia" w:ascii="宋体" w:hAnsi="宋体"/>
          <w:sz w:val="22"/>
          <w:szCs w:val="22"/>
        </w:rPr>
        <w:t>2</w:t>
      </w:r>
      <w:r>
        <w:rPr>
          <w:rFonts w:ascii="宋体" w:hAnsi="宋体"/>
          <w:sz w:val="22"/>
          <w:szCs w:val="22"/>
        </w:rPr>
        <w:t>.</w:t>
      </w:r>
      <w:r>
        <w:rPr>
          <w:rFonts w:hint="eastAsia" w:ascii="宋体" w:hAnsi="宋体"/>
          <w:sz w:val="22"/>
          <w:szCs w:val="22"/>
        </w:rPr>
        <w:t>内镜保养时检测用装置</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b/>
          <w:bCs/>
          <w:sz w:val="22"/>
          <w:szCs w:val="22"/>
        </w:rPr>
      </w:pPr>
      <w:r>
        <w:rPr>
          <w:rFonts w:hint="eastAsia" w:ascii="宋体" w:hAnsi="宋体"/>
          <w:b/>
          <w:bCs/>
          <w:sz w:val="22"/>
          <w:szCs w:val="22"/>
          <w:lang w:eastAsia="zh-CN"/>
        </w:rPr>
        <w:t>七、</w:t>
      </w:r>
      <w:r>
        <w:rPr>
          <w:rFonts w:hint="eastAsia" w:ascii="宋体" w:hAnsi="宋体"/>
          <w:b/>
          <w:bCs/>
          <w:sz w:val="22"/>
          <w:szCs w:val="22"/>
        </w:rPr>
        <w:t xml:space="preserve">内镜专用水泵（国产）  </w:t>
      </w:r>
      <w:r>
        <w:rPr>
          <w:rFonts w:ascii="宋体" w:hAnsi="宋体"/>
          <w:b/>
          <w:bCs/>
          <w:sz w:val="22"/>
          <w:szCs w:val="22"/>
        </w:rPr>
        <w:t>1</w:t>
      </w:r>
      <w:r>
        <w:rPr>
          <w:rFonts w:hint="eastAsia" w:ascii="宋体" w:hAnsi="宋体"/>
          <w:b/>
          <w:bCs/>
          <w:sz w:val="22"/>
          <w:szCs w:val="22"/>
        </w:rPr>
        <w:t xml:space="preserve">台 </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sz w:val="22"/>
          <w:szCs w:val="22"/>
        </w:rPr>
      </w:pPr>
      <w:r>
        <w:rPr>
          <w:rFonts w:hint="eastAsia" w:ascii="宋体" w:hAnsi="宋体"/>
          <w:sz w:val="22"/>
          <w:szCs w:val="22"/>
        </w:rPr>
        <w:t>1</w:t>
      </w:r>
      <w:r>
        <w:rPr>
          <w:rFonts w:ascii="宋体" w:hAnsi="宋体"/>
          <w:sz w:val="22"/>
          <w:szCs w:val="22"/>
        </w:rPr>
        <w:t>.</w:t>
      </w:r>
      <w:r>
        <w:rPr>
          <w:rFonts w:hint="eastAsia" w:ascii="宋体" w:hAnsi="宋体"/>
          <w:sz w:val="22"/>
          <w:szCs w:val="22"/>
        </w:rPr>
        <w:t>操作简单，可通过脚踏开关或遥控按钮进行强力冲水</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sz w:val="22"/>
          <w:szCs w:val="22"/>
        </w:rPr>
      </w:pPr>
      <w:r>
        <w:rPr>
          <w:rFonts w:hint="eastAsia" w:ascii="宋体" w:hAnsi="宋体"/>
          <w:sz w:val="22"/>
          <w:szCs w:val="22"/>
        </w:rPr>
        <w:t>2</w:t>
      </w:r>
      <w:r>
        <w:rPr>
          <w:rFonts w:ascii="宋体" w:hAnsi="宋体"/>
          <w:sz w:val="22"/>
          <w:szCs w:val="22"/>
        </w:rPr>
        <w:t>.</w:t>
      </w:r>
      <w:r>
        <w:rPr>
          <w:rFonts w:hint="eastAsia" w:ascii="宋体" w:hAnsi="宋体"/>
          <w:sz w:val="22"/>
          <w:szCs w:val="22"/>
        </w:rPr>
        <w:t>持续冲水20秒后，自动停止送水，保障使用安全</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3</w:t>
      </w:r>
      <w:r>
        <w:rPr>
          <w:rFonts w:ascii="宋体" w:hAnsi="宋体"/>
          <w:sz w:val="22"/>
          <w:szCs w:val="22"/>
        </w:rPr>
        <w:t>.</w:t>
      </w:r>
      <w:r>
        <w:rPr>
          <w:rFonts w:hint="eastAsia" w:ascii="宋体" w:hAnsi="宋体"/>
          <w:sz w:val="22"/>
          <w:szCs w:val="22"/>
        </w:rPr>
        <w:t>流量最高450ml/min，10档流量设置，自动流量记忆</w:t>
      </w:r>
    </w:p>
    <w:p>
      <w:pPr>
        <w:pStyle w:val="102"/>
        <w:keepNext w:val="0"/>
        <w:keepLines w:val="0"/>
        <w:pageBreakBefore w:val="0"/>
        <w:kinsoku/>
        <w:wordWrap/>
        <w:overflowPunct/>
        <w:topLinePunct w:val="0"/>
        <w:autoSpaceDE/>
        <w:autoSpaceDN/>
        <w:bidi w:val="0"/>
        <w:adjustRightInd/>
        <w:snapToGrid/>
        <w:spacing w:line="500" w:lineRule="exact"/>
        <w:textAlignment w:val="auto"/>
        <w:rPr>
          <w:rFonts w:ascii="宋体" w:hAnsi="宋体"/>
          <w:b/>
          <w:bCs/>
          <w:sz w:val="24"/>
          <w:szCs w:val="22"/>
        </w:rPr>
      </w:pPr>
      <w:r>
        <w:rPr>
          <w:rFonts w:hint="eastAsia" w:ascii="宋体" w:hAnsi="宋体"/>
          <w:b/>
          <w:bCs/>
          <w:sz w:val="22"/>
          <w:szCs w:val="22"/>
          <w:lang w:eastAsia="zh-CN"/>
        </w:rPr>
        <w:t>八、</w:t>
      </w:r>
      <w:r>
        <w:rPr>
          <w:rFonts w:hint="eastAsia" w:ascii="宋体" w:hAnsi="宋体"/>
          <w:b/>
          <w:bCs/>
          <w:sz w:val="22"/>
          <w:szCs w:val="22"/>
        </w:rPr>
        <w:t xml:space="preserve">医学影像工作站（国产） </w:t>
      </w:r>
      <w:r>
        <w:rPr>
          <w:rFonts w:ascii="宋体" w:hAnsi="宋体"/>
          <w:b/>
          <w:bCs/>
          <w:sz w:val="22"/>
          <w:szCs w:val="22"/>
        </w:rPr>
        <w:t xml:space="preserve"> </w:t>
      </w:r>
      <w:r>
        <w:rPr>
          <w:rFonts w:hint="eastAsia" w:ascii="宋体" w:hAnsi="宋体"/>
          <w:b/>
          <w:bCs/>
          <w:sz w:val="22"/>
          <w:szCs w:val="22"/>
        </w:rPr>
        <w:t>1套</w:t>
      </w:r>
      <w:bookmarkEnd w:id="17"/>
    </w:p>
    <w:p>
      <w:pPr>
        <w:pStyle w:val="20"/>
        <w:keepNext w:val="0"/>
        <w:keepLines w:val="0"/>
        <w:pageBreakBefore w:val="0"/>
        <w:numPr>
          <w:ilvl w:val="0"/>
          <w:numId w:val="6"/>
        </w:numPr>
        <w:kinsoku/>
        <w:wordWrap/>
        <w:overflowPunct/>
        <w:topLinePunct w:val="0"/>
        <w:autoSpaceDE/>
        <w:autoSpaceDN/>
        <w:bidi w:val="0"/>
        <w:adjustRightInd/>
        <w:snapToGrid/>
        <w:spacing w:line="500" w:lineRule="exact"/>
        <w:ind w:firstLineChars="0"/>
        <w:jc w:val="left"/>
        <w:textAlignment w:val="auto"/>
        <w:rPr>
          <w:rFonts w:ascii="宋体" w:hAnsi="宋体"/>
          <w:sz w:val="24"/>
          <w:szCs w:val="22"/>
        </w:rPr>
      </w:pPr>
      <w:r>
        <w:rPr>
          <w:rFonts w:hint="eastAsia" w:ascii="宋体" w:hAnsi="宋体"/>
          <w:sz w:val="24"/>
          <w:szCs w:val="22"/>
        </w:rPr>
        <w:t>软件功能</w:t>
      </w:r>
    </w:p>
    <w:p>
      <w:pPr>
        <w:keepNext w:val="0"/>
        <w:keepLines w:val="0"/>
        <w:pageBreakBefore w:val="0"/>
        <w:numPr>
          <w:ilvl w:val="0"/>
          <w:numId w:val="7"/>
        </w:numPr>
        <w:kinsoku/>
        <w:wordWrap/>
        <w:overflowPunct/>
        <w:topLinePunct w:val="0"/>
        <w:autoSpaceDE/>
        <w:autoSpaceDN/>
        <w:bidi w:val="0"/>
        <w:adjustRightInd/>
        <w:snapToGrid/>
        <w:spacing w:line="500" w:lineRule="exact"/>
        <w:ind w:left="480" w:hanging="444" w:hangingChars="200"/>
        <w:textAlignment w:val="auto"/>
        <w:rPr>
          <w:rFonts w:ascii="宋体" w:hAnsi="宋体"/>
          <w:sz w:val="22"/>
          <w:szCs w:val="22"/>
        </w:rPr>
      </w:pPr>
      <w:r>
        <w:rPr>
          <w:rFonts w:hint="eastAsia" w:ascii="宋体" w:hAnsi="宋体"/>
          <w:sz w:val="22"/>
          <w:szCs w:val="22"/>
        </w:rPr>
        <w:t>系统支持win7、10（32位及64位）</w:t>
      </w:r>
    </w:p>
    <w:p>
      <w:pPr>
        <w:keepNext w:val="0"/>
        <w:keepLines w:val="0"/>
        <w:pageBreakBefore w:val="0"/>
        <w:numPr>
          <w:ilvl w:val="0"/>
          <w:numId w:val="7"/>
        </w:numPr>
        <w:kinsoku/>
        <w:wordWrap/>
        <w:overflowPunct/>
        <w:topLinePunct w:val="0"/>
        <w:autoSpaceDE/>
        <w:autoSpaceDN/>
        <w:bidi w:val="0"/>
        <w:adjustRightInd/>
        <w:snapToGrid/>
        <w:spacing w:line="500" w:lineRule="exact"/>
        <w:ind w:left="480" w:hanging="444" w:hangingChars="200"/>
        <w:textAlignment w:val="auto"/>
        <w:rPr>
          <w:rFonts w:ascii="宋体" w:hAnsi="宋体"/>
          <w:sz w:val="22"/>
          <w:szCs w:val="22"/>
        </w:rPr>
      </w:pPr>
      <w:r>
        <w:rPr>
          <w:rFonts w:hint="eastAsia" w:ascii="宋体" w:hAnsi="宋体"/>
          <w:sz w:val="22"/>
          <w:szCs w:val="22"/>
        </w:rPr>
        <w:t>采集卡采用医疗级的设计理念进行设计开发，确保采集卡的年故障率在</w:t>
      </w:r>
      <w:r>
        <w:rPr>
          <w:rFonts w:ascii="宋体" w:hAnsi="宋体"/>
          <w:sz w:val="22"/>
          <w:szCs w:val="22"/>
        </w:rPr>
        <w:t>1</w:t>
      </w:r>
      <w:r>
        <w:rPr>
          <w:rFonts w:hint="eastAsia" w:ascii="宋体" w:hAnsi="宋体"/>
          <w:sz w:val="22"/>
          <w:szCs w:val="22"/>
        </w:rPr>
        <w:t>‰以下</w:t>
      </w:r>
    </w:p>
    <w:p>
      <w:pPr>
        <w:keepNext w:val="0"/>
        <w:keepLines w:val="0"/>
        <w:pageBreakBefore w:val="0"/>
        <w:numPr>
          <w:ilvl w:val="0"/>
          <w:numId w:val="7"/>
        </w:numPr>
        <w:kinsoku/>
        <w:wordWrap/>
        <w:overflowPunct/>
        <w:topLinePunct w:val="0"/>
        <w:autoSpaceDE/>
        <w:autoSpaceDN/>
        <w:bidi w:val="0"/>
        <w:adjustRightInd/>
        <w:snapToGrid/>
        <w:spacing w:line="500" w:lineRule="exact"/>
        <w:ind w:left="480" w:hanging="444" w:hangingChars="200"/>
        <w:textAlignment w:val="auto"/>
        <w:rPr>
          <w:rFonts w:ascii="宋体" w:hAnsi="宋体"/>
          <w:sz w:val="22"/>
          <w:szCs w:val="22"/>
        </w:rPr>
      </w:pPr>
      <w:r>
        <w:rPr>
          <w:rFonts w:hint="eastAsia" w:ascii="宋体" w:hAnsi="宋体"/>
          <w:sz w:val="22"/>
          <w:szCs w:val="22"/>
        </w:rPr>
        <w:t>★</w:t>
      </w:r>
      <w:r>
        <w:rPr>
          <w:rFonts w:ascii="宋体" w:hAnsi="宋体"/>
          <w:sz w:val="22"/>
          <w:szCs w:val="22"/>
        </w:rPr>
        <w:t>1080p</w:t>
      </w:r>
      <w:r>
        <w:rPr>
          <w:rFonts w:hint="eastAsia" w:ascii="宋体" w:hAnsi="宋体"/>
          <w:sz w:val="22"/>
          <w:szCs w:val="22"/>
        </w:rPr>
        <w:t>自主研发生产采集卡，自带加密芯片（提供技术要求或检验报告）</w:t>
      </w:r>
    </w:p>
    <w:p>
      <w:pPr>
        <w:keepNext w:val="0"/>
        <w:keepLines w:val="0"/>
        <w:pageBreakBefore w:val="0"/>
        <w:numPr>
          <w:ilvl w:val="0"/>
          <w:numId w:val="7"/>
        </w:numPr>
        <w:kinsoku/>
        <w:wordWrap/>
        <w:overflowPunct/>
        <w:topLinePunct w:val="0"/>
        <w:autoSpaceDE/>
        <w:autoSpaceDN/>
        <w:bidi w:val="0"/>
        <w:adjustRightInd/>
        <w:snapToGrid/>
        <w:spacing w:line="500" w:lineRule="exact"/>
        <w:ind w:left="480" w:hanging="444" w:hangingChars="200"/>
        <w:textAlignment w:val="auto"/>
        <w:rPr>
          <w:rFonts w:ascii="宋体" w:hAnsi="宋体"/>
          <w:sz w:val="22"/>
          <w:szCs w:val="22"/>
        </w:rPr>
      </w:pPr>
      <w:r>
        <w:rPr>
          <w:rFonts w:hint="eastAsia" w:ascii="宋体" w:hAnsi="宋体"/>
          <w:sz w:val="22"/>
          <w:szCs w:val="22"/>
        </w:rPr>
        <w:t>★采集卡上自带脚踏开关采集功能，操作更灵活便捷</w:t>
      </w:r>
    </w:p>
    <w:p>
      <w:pPr>
        <w:keepNext w:val="0"/>
        <w:keepLines w:val="0"/>
        <w:pageBreakBefore w:val="0"/>
        <w:numPr>
          <w:ilvl w:val="0"/>
          <w:numId w:val="7"/>
        </w:numPr>
        <w:kinsoku/>
        <w:wordWrap/>
        <w:overflowPunct/>
        <w:topLinePunct w:val="0"/>
        <w:autoSpaceDE/>
        <w:autoSpaceDN/>
        <w:bidi w:val="0"/>
        <w:adjustRightInd/>
        <w:snapToGrid/>
        <w:spacing w:line="500" w:lineRule="exact"/>
        <w:ind w:left="480" w:hanging="444" w:hangingChars="200"/>
        <w:textAlignment w:val="auto"/>
        <w:rPr>
          <w:rFonts w:ascii="宋体" w:hAnsi="宋体"/>
          <w:sz w:val="22"/>
          <w:szCs w:val="22"/>
        </w:rPr>
      </w:pPr>
      <w:r>
        <w:rPr>
          <w:rFonts w:hint="eastAsia" w:ascii="宋体" w:hAnsi="宋体"/>
          <w:sz w:val="22"/>
          <w:szCs w:val="22"/>
        </w:rPr>
        <w:t>图像指定区域采集,回放时二次采集</w:t>
      </w:r>
    </w:p>
    <w:p>
      <w:pPr>
        <w:keepNext w:val="0"/>
        <w:keepLines w:val="0"/>
        <w:pageBreakBefore w:val="0"/>
        <w:numPr>
          <w:ilvl w:val="0"/>
          <w:numId w:val="7"/>
        </w:numPr>
        <w:kinsoku/>
        <w:wordWrap/>
        <w:overflowPunct/>
        <w:topLinePunct w:val="0"/>
        <w:autoSpaceDE/>
        <w:autoSpaceDN/>
        <w:bidi w:val="0"/>
        <w:adjustRightInd/>
        <w:snapToGrid/>
        <w:spacing w:line="500" w:lineRule="exact"/>
        <w:ind w:left="480" w:hanging="444" w:hangingChars="200"/>
        <w:textAlignment w:val="auto"/>
        <w:rPr>
          <w:rFonts w:ascii="宋体" w:hAnsi="宋体"/>
          <w:sz w:val="22"/>
          <w:szCs w:val="22"/>
        </w:rPr>
      </w:pPr>
      <w:r>
        <w:rPr>
          <w:rFonts w:hint="eastAsia" w:ascii="宋体" w:hAnsi="宋体"/>
          <w:sz w:val="22"/>
          <w:szCs w:val="22"/>
        </w:rPr>
        <w:t>鼠标、键盘、脚踏、采集器等多种采集方式，即采即存防丢失</w:t>
      </w:r>
    </w:p>
    <w:p>
      <w:pPr>
        <w:keepNext w:val="0"/>
        <w:keepLines w:val="0"/>
        <w:pageBreakBefore w:val="0"/>
        <w:numPr>
          <w:ilvl w:val="0"/>
          <w:numId w:val="7"/>
        </w:numPr>
        <w:kinsoku/>
        <w:wordWrap/>
        <w:overflowPunct/>
        <w:topLinePunct w:val="0"/>
        <w:autoSpaceDE/>
        <w:autoSpaceDN/>
        <w:bidi w:val="0"/>
        <w:adjustRightInd/>
        <w:snapToGrid/>
        <w:spacing w:line="500" w:lineRule="exact"/>
        <w:ind w:left="480" w:hanging="444" w:hangingChars="200"/>
        <w:textAlignment w:val="auto"/>
        <w:rPr>
          <w:rFonts w:ascii="宋体" w:hAnsi="宋体"/>
          <w:sz w:val="22"/>
          <w:szCs w:val="22"/>
        </w:rPr>
      </w:pPr>
      <w:r>
        <w:rPr>
          <w:rFonts w:hint="eastAsia" w:ascii="宋体" w:hAnsi="宋体"/>
          <w:sz w:val="22"/>
          <w:szCs w:val="22"/>
        </w:rPr>
        <w:t>同一界面下操作，采集图像的同时不影响其它操作，简洁高效。</w:t>
      </w:r>
    </w:p>
    <w:p>
      <w:pPr>
        <w:keepNext w:val="0"/>
        <w:keepLines w:val="0"/>
        <w:pageBreakBefore w:val="0"/>
        <w:numPr>
          <w:ilvl w:val="0"/>
          <w:numId w:val="7"/>
        </w:numPr>
        <w:kinsoku/>
        <w:wordWrap/>
        <w:overflowPunct/>
        <w:topLinePunct w:val="0"/>
        <w:autoSpaceDE/>
        <w:autoSpaceDN/>
        <w:bidi w:val="0"/>
        <w:adjustRightInd/>
        <w:snapToGrid/>
        <w:spacing w:line="500" w:lineRule="exact"/>
        <w:ind w:left="480" w:hanging="444" w:hangingChars="200"/>
        <w:textAlignment w:val="auto"/>
        <w:rPr>
          <w:rFonts w:ascii="宋体" w:hAnsi="宋体"/>
          <w:sz w:val="22"/>
          <w:szCs w:val="22"/>
        </w:rPr>
      </w:pPr>
      <w:r>
        <w:rPr>
          <w:rFonts w:hint="eastAsia" w:ascii="宋体" w:hAnsi="宋体"/>
          <w:sz w:val="22"/>
          <w:szCs w:val="22"/>
        </w:rPr>
        <w:t>无限采集图像,即采即存模式，看到图像之前即已完成存盘操作，避免因意外造成图像的丢失。</w:t>
      </w:r>
    </w:p>
    <w:p>
      <w:pPr>
        <w:keepNext w:val="0"/>
        <w:keepLines w:val="0"/>
        <w:pageBreakBefore w:val="0"/>
        <w:numPr>
          <w:ilvl w:val="0"/>
          <w:numId w:val="7"/>
        </w:numPr>
        <w:kinsoku/>
        <w:wordWrap/>
        <w:overflowPunct/>
        <w:topLinePunct w:val="0"/>
        <w:autoSpaceDE/>
        <w:autoSpaceDN/>
        <w:bidi w:val="0"/>
        <w:adjustRightInd/>
        <w:snapToGrid/>
        <w:spacing w:line="500" w:lineRule="exact"/>
        <w:ind w:left="480" w:hanging="444" w:hangingChars="200"/>
        <w:textAlignment w:val="auto"/>
        <w:rPr>
          <w:rFonts w:ascii="宋体" w:hAnsi="宋体"/>
          <w:sz w:val="22"/>
          <w:szCs w:val="22"/>
        </w:rPr>
      </w:pPr>
      <w:r>
        <w:rPr>
          <w:rFonts w:hint="eastAsia" w:ascii="宋体" w:hAnsi="宋体"/>
          <w:sz w:val="22"/>
          <w:szCs w:val="22"/>
        </w:rPr>
        <w:t>具有已采集图像的快速放大功能，图像裁剪，标注等，支持静态图像和动态影像的导出功能。</w:t>
      </w:r>
    </w:p>
    <w:p>
      <w:pPr>
        <w:keepNext w:val="0"/>
        <w:keepLines w:val="0"/>
        <w:pageBreakBefore w:val="0"/>
        <w:numPr>
          <w:ilvl w:val="0"/>
          <w:numId w:val="7"/>
        </w:numPr>
        <w:kinsoku/>
        <w:wordWrap/>
        <w:overflowPunct/>
        <w:topLinePunct w:val="0"/>
        <w:autoSpaceDE/>
        <w:autoSpaceDN/>
        <w:bidi w:val="0"/>
        <w:adjustRightInd/>
        <w:snapToGrid/>
        <w:spacing w:line="500" w:lineRule="exact"/>
        <w:ind w:left="480" w:hanging="444" w:hangingChars="200"/>
        <w:textAlignment w:val="auto"/>
        <w:rPr>
          <w:rFonts w:ascii="宋体" w:hAnsi="宋体"/>
          <w:sz w:val="22"/>
          <w:szCs w:val="22"/>
        </w:rPr>
      </w:pPr>
      <w:r>
        <w:rPr>
          <w:rFonts w:hint="eastAsia" w:ascii="宋体" w:hAnsi="宋体"/>
          <w:sz w:val="22"/>
          <w:szCs w:val="22"/>
        </w:rPr>
        <w:t>右击鼠标即可全屏显示视频图像。</w:t>
      </w:r>
    </w:p>
    <w:p>
      <w:pPr>
        <w:keepNext w:val="0"/>
        <w:keepLines w:val="0"/>
        <w:pageBreakBefore w:val="0"/>
        <w:numPr>
          <w:ilvl w:val="0"/>
          <w:numId w:val="7"/>
        </w:numPr>
        <w:kinsoku/>
        <w:wordWrap/>
        <w:overflowPunct/>
        <w:topLinePunct w:val="0"/>
        <w:autoSpaceDE/>
        <w:autoSpaceDN/>
        <w:bidi w:val="0"/>
        <w:adjustRightInd/>
        <w:snapToGrid/>
        <w:spacing w:line="500" w:lineRule="exact"/>
        <w:ind w:left="480" w:hanging="444" w:hangingChars="200"/>
        <w:textAlignment w:val="auto"/>
        <w:rPr>
          <w:rFonts w:ascii="宋体" w:hAnsi="宋体"/>
          <w:sz w:val="22"/>
          <w:szCs w:val="22"/>
        </w:rPr>
      </w:pPr>
      <w:r>
        <w:rPr>
          <w:rFonts w:hint="eastAsia" w:ascii="宋体" w:hAnsi="宋体"/>
          <w:sz w:val="22"/>
          <w:szCs w:val="22"/>
        </w:rPr>
        <w:t>具有多种条件自由组合的查询统计功能，支持模糊查询；</w:t>
      </w:r>
    </w:p>
    <w:p>
      <w:pPr>
        <w:keepNext w:val="0"/>
        <w:keepLines w:val="0"/>
        <w:pageBreakBefore w:val="0"/>
        <w:numPr>
          <w:ilvl w:val="0"/>
          <w:numId w:val="7"/>
        </w:numPr>
        <w:kinsoku/>
        <w:wordWrap/>
        <w:overflowPunct/>
        <w:topLinePunct w:val="0"/>
        <w:autoSpaceDE/>
        <w:autoSpaceDN/>
        <w:bidi w:val="0"/>
        <w:adjustRightInd/>
        <w:snapToGrid/>
        <w:spacing w:line="500" w:lineRule="exact"/>
        <w:ind w:left="480" w:hanging="444" w:hangingChars="200"/>
        <w:textAlignment w:val="auto"/>
        <w:rPr>
          <w:rFonts w:ascii="宋体" w:hAnsi="宋体"/>
          <w:sz w:val="22"/>
          <w:szCs w:val="22"/>
        </w:rPr>
      </w:pPr>
      <w:r>
        <w:rPr>
          <w:rFonts w:hint="eastAsia" w:ascii="宋体" w:hAnsi="宋体"/>
          <w:sz w:val="22"/>
          <w:szCs w:val="22"/>
        </w:rPr>
        <w:t>具有资料的光盘刻录备份功能，支持多种类型光盘。</w:t>
      </w:r>
    </w:p>
    <w:p>
      <w:pPr>
        <w:keepNext w:val="0"/>
        <w:keepLines w:val="0"/>
        <w:pageBreakBefore w:val="0"/>
        <w:numPr>
          <w:ilvl w:val="0"/>
          <w:numId w:val="7"/>
        </w:numPr>
        <w:kinsoku/>
        <w:wordWrap/>
        <w:overflowPunct/>
        <w:topLinePunct w:val="0"/>
        <w:autoSpaceDE/>
        <w:autoSpaceDN/>
        <w:bidi w:val="0"/>
        <w:adjustRightInd/>
        <w:snapToGrid/>
        <w:spacing w:line="500" w:lineRule="exact"/>
        <w:ind w:left="480" w:hanging="444" w:hangingChars="200"/>
        <w:textAlignment w:val="auto"/>
        <w:rPr>
          <w:rFonts w:ascii="宋体" w:hAnsi="宋体"/>
          <w:sz w:val="22"/>
          <w:szCs w:val="22"/>
        </w:rPr>
      </w:pPr>
      <w:r>
        <w:rPr>
          <w:rFonts w:hint="eastAsia" w:ascii="宋体" w:hAnsi="宋体"/>
          <w:sz w:val="22"/>
          <w:szCs w:val="22"/>
        </w:rPr>
        <w:t>提供打印预览，无需调整打印机设置即可随时缩放打印报告。</w:t>
      </w:r>
    </w:p>
    <w:p>
      <w:pPr>
        <w:keepNext w:val="0"/>
        <w:keepLines w:val="0"/>
        <w:pageBreakBefore w:val="0"/>
        <w:numPr>
          <w:ilvl w:val="0"/>
          <w:numId w:val="7"/>
        </w:numPr>
        <w:kinsoku/>
        <w:wordWrap/>
        <w:overflowPunct/>
        <w:topLinePunct w:val="0"/>
        <w:autoSpaceDE/>
        <w:autoSpaceDN/>
        <w:bidi w:val="0"/>
        <w:adjustRightInd/>
        <w:snapToGrid/>
        <w:spacing w:line="500" w:lineRule="exact"/>
        <w:ind w:left="480" w:hanging="444" w:hangingChars="200"/>
        <w:textAlignment w:val="auto"/>
        <w:rPr>
          <w:rFonts w:ascii="宋体" w:hAnsi="宋体"/>
          <w:sz w:val="22"/>
          <w:szCs w:val="22"/>
        </w:rPr>
      </w:pPr>
      <w:r>
        <w:rPr>
          <w:rFonts w:hint="eastAsia" w:ascii="宋体" w:hAnsi="宋体"/>
          <w:sz w:val="22"/>
          <w:szCs w:val="22"/>
        </w:rPr>
        <w:t>分类定义公共模板及私人模板，可自定义模板的顺序，将常用模板放至前端</w:t>
      </w:r>
    </w:p>
    <w:p>
      <w:pPr>
        <w:keepNext w:val="0"/>
        <w:keepLines w:val="0"/>
        <w:pageBreakBefore w:val="0"/>
        <w:numPr>
          <w:ilvl w:val="0"/>
          <w:numId w:val="7"/>
        </w:numPr>
        <w:kinsoku/>
        <w:wordWrap/>
        <w:overflowPunct/>
        <w:topLinePunct w:val="0"/>
        <w:autoSpaceDE/>
        <w:autoSpaceDN/>
        <w:bidi w:val="0"/>
        <w:adjustRightInd/>
        <w:snapToGrid/>
        <w:spacing w:line="500" w:lineRule="exact"/>
        <w:ind w:left="480" w:hanging="444" w:hangingChars="200"/>
        <w:textAlignment w:val="auto"/>
        <w:rPr>
          <w:rFonts w:ascii="宋体" w:hAnsi="宋体"/>
          <w:sz w:val="22"/>
          <w:szCs w:val="22"/>
        </w:rPr>
      </w:pPr>
      <w:r>
        <w:rPr>
          <w:rFonts w:hint="eastAsia" w:ascii="宋体" w:hAnsi="宋体"/>
          <w:sz w:val="22"/>
          <w:szCs w:val="22"/>
        </w:rPr>
        <w:t>根据用户要求进行诊断报告模式设计，满足用户的个性化要求。支持报告单的所见即所得模式。</w:t>
      </w:r>
    </w:p>
    <w:p>
      <w:pPr>
        <w:keepNext w:val="0"/>
        <w:keepLines w:val="0"/>
        <w:pageBreakBefore w:val="0"/>
        <w:numPr>
          <w:ilvl w:val="0"/>
          <w:numId w:val="7"/>
        </w:numPr>
        <w:kinsoku/>
        <w:wordWrap/>
        <w:overflowPunct/>
        <w:topLinePunct w:val="0"/>
        <w:autoSpaceDE/>
        <w:autoSpaceDN/>
        <w:bidi w:val="0"/>
        <w:adjustRightInd/>
        <w:snapToGrid/>
        <w:spacing w:line="500" w:lineRule="exact"/>
        <w:ind w:left="480" w:hanging="444" w:hangingChars="200"/>
        <w:textAlignment w:val="auto"/>
        <w:rPr>
          <w:rFonts w:ascii="宋体" w:hAnsi="宋体"/>
          <w:sz w:val="22"/>
          <w:szCs w:val="22"/>
        </w:rPr>
      </w:pPr>
      <w:r>
        <w:rPr>
          <w:rFonts w:hint="eastAsia" w:ascii="宋体" w:hAnsi="宋体"/>
          <w:sz w:val="22"/>
          <w:szCs w:val="22"/>
        </w:rPr>
        <w:t>无需调整打印机即可设置打印缩放比，可以默认缩放比或临时修改缩放比。</w:t>
      </w:r>
    </w:p>
    <w:p>
      <w:pPr>
        <w:keepNext w:val="0"/>
        <w:keepLines w:val="0"/>
        <w:pageBreakBefore w:val="0"/>
        <w:numPr>
          <w:ilvl w:val="0"/>
          <w:numId w:val="7"/>
        </w:numPr>
        <w:kinsoku/>
        <w:wordWrap/>
        <w:overflowPunct/>
        <w:topLinePunct w:val="0"/>
        <w:autoSpaceDE/>
        <w:autoSpaceDN/>
        <w:bidi w:val="0"/>
        <w:adjustRightInd/>
        <w:snapToGrid/>
        <w:spacing w:line="500" w:lineRule="exact"/>
        <w:ind w:left="480" w:hanging="444" w:hangingChars="200"/>
        <w:textAlignment w:val="auto"/>
        <w:rPr>
          <w:rFonts w:ascii="宋体" w:hAnsi="宋体"/>
          <w:sz w:val="22"/>
          <w:szCs w:val="22"/>
        </w:rPr>
      </w:pPr>
      <w:r>
        <w:rPr>
          <w:rFonts w:hint="eastAsia" w:ascii="宋体" w:hAnsi="宋体"/>
          <w:sz w:val="22"/>
          <w:szCs w:val="22"/>
        </w:rPr>
        <w:t>具有程序界面布局自定义功能。</w:t>
      </w:r>
    </w:p>
    <w:p>
      <w:pPr>
        <w:keepNext w:val="0"/>
        <w:keepLines w:val="0"/>
        <w:pageBreakBefore w:val="0"/>
        <w:numPr>
          <w:ilvl w:val="0"/>
          <w:numId w:val="7"/>
        </w:numPr>
        <w:kinsoku/>
        <w:wordWrap/>
        <w:overflowPunct/>
        <w:topLinePunct w:val="0"/>
        <w:autoSpaceDE/>
        <w:autoSpaceDN/>
        <w:bidi w:val="0"/>
        <w:adjustRightInd/>
        <w:snapToGrid/>
        <w:spacing w:line="500" w:lineRule="exact"/>
        <w:ind w:left="480" w:hanging="444" w:hangingChars="200"/>
        <w:textAlignment w:val="auto"/>
        <w:rPr>
          <w:rFonts w:ascii="宋体" w:hAnsi="宋体"/>
          <w:sz w:val="22"/>
          <w:szCs w:val="22"/>
        </w:rPr>
      </w:pPr>
      <w:r>
        <w:rPr>
          <w:rFonts w:hint="eastAsia" w:ascii="宋体" w:hAnsi="宋体"/>
          <w:sz w:val="22"/>
          <w:szCs w:val="22"/>
        </w:rPr>
        <w:t>具有检查中病人资料的断电保护功能。</w:t>
      </w:r>
    </w:p>
    <w:p>
      <w:pPr>
        <w:keepNext w:val="0"/>
        <w:keepLines w:val="0"/>
        <w:pageBreakBefore w:val="0"/>
        <w:numPr>
          <w:ilvl w:val="0"/>
          <w:numId w:val="7"/>
        </w:numPr>
        <w:kinsoku/>
        <w:wordWrap/>
        <w:overflowPunct/>
        <w:topLinePunct w:val="0"/>
        <w:autoSpaceDE/>
        <w:autoSpaceDN/>
        <w:bidi w:val="0"/>
        <w:adjustRightInd/>
        <w:snapToGrid/>
        <w:spacing w:line="500" w:lineRule="exact"/>
        <w:ind w:left="480" w:hanging="444" w:hangingChars="200"/>
        <w:textAlignment w:val="auto"/>
        <w:rPr>
          <w:rFonts w:ascii="宋体" w:hAnsi="宋体"/>
          <w:sz w:val="22"/>
          <w:szCs w:val="22"/>
        </w:rPr>
      </w:pPr>
      <w:r>
        <w:rPr>
          <w:rFonts w:hint="eastAsia" w:ascii="宋体" w:hAnsi="宋体"/>
          <w:sz w:val="22"/>
          <w:szCs w:val="22"/>
        </w:rPr>
        <w:t>具有远程诊断功能。</w:t>
      </w:r>
    </w:p>
    <w:p>
      <w:pPr>
        <w:keepNext w:val="0"/>
        <w:keepLines w:val="0"/>
        <w:pageBreakBefore w:val="0"/>
        <w:tabs>
          <w:tab w:val="left" w:pos="0"/>
        </w:tabs>
        <w:kinsoku/>
        <w:wordWrap/>
        <w:overflowPunct/>
        <w:topLinePunct w:val="0"/>
        <w:autoSpaceDE/>
        <w:autoSpaceDN/>
        <w:bidi w:val="0"/>
        <w:adjustRightInd/>
        <w:snapToGrid/>
        <w:spacing w:line="500" w:lineRule="exact"/>
        <w:ind w:left="480"/>
        <w:textAlignment w:val="auto"/>
        <w:rPr>
          <w:rFonts w:ascii="宋体" w:hAnsi="宋体"/>
          <w:sz w:val="22"/>
          <w:szCs w:val="22"/>
        </w:rPr>
      </w:pPr>
    </w:p>
    <w:p>
      <w:pPr>
        <w:pStyle w:val="20"/>
        <w:keepNext w:val="0"/>
        <w:keepLines w:val="0"/>
        <w:pageBreakBefore w:val="0"/>
        <w:numPr>
          <w:ilvl w:val="0"/>
          <w:numId w:val="6"/>
        </w:numPr>
        <w:kinsoku/>
        <w:wordWrap/>
        <w:overflowPunct/>
        <w:topLinePunct w:val="0"/>
        <w:autoSpaceDE/>
        <w:autoSpaceDN/>
        <w:bidi w:val="0"/>
        <w:adjustRightInd/>
        <w:snapToGrid/>
        <w:spacing w:line="500" w:lineRule="exact"/>
        <w:ind w:firstLineChars="0"/>
        <w:jc w:val="left"/>
        <w:textAlignment w:val="auto"/>
        <w:rPr>
          <w:rFonts w:ascii="宋体" w:hAnsi="宋体"/>
          <w:sz w:val="24"/>
          <w:szCs w:val="22"/>
        </w:rPr>
      </w:pPr>
      <w:r>
        <w:rPr>
          <w:rFonts w:hint="eastAsia" w:ascii="宋体" w:hAnsi="宋体"/>
          <w:sz w:val="24"/>
          <w:szCs w:val="22"/>
        </w:rPr>
        <w:t>硬件配置</w:t>
      </w:r>
    </w:p>
    <w:p>
      <w:pPr>
        <w:keepNext w:val="0"/>
        <w:keepLines w:val="0"/>
        <w:pageBreakBefore w:val="0"/>
        <w:numPr>
          <w:ilvl w:val="0"/>
          <w:numId w:val="8"/>
        </w:numPr>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品牌商用机：21.5液晶显示器、</w:t>
      </w:r>
      <w:r>
        <w:rPr>
          <w:rFonts w:ascii="宋体" w:hAnsi="宋体"/>
          <w:sz w:val="22"/>
          <w:szCs w:val="22"/>
        </w:rPr>
        <w:t>双核</w:t>
      </w:r>
      <w:r>
        <w:rPr>
          <w:rFonts w:hint="eastAsia" w:ascii="宋体" w:hAnsi="宋体"/>
          <w:sz w:val="22"/>
          <w:szCs w:val="22"/>
        </w:rPr>
        <w:t>CPU、4GB内存、</w:t>
      </w:r>
      <w:r>
        <w:rPr>
          <w:rFonts w:ascii="宋体" w:hAnsi="宋体"/>
          <w:sz w:val="22"/>
          <w:szCs w:val="22"/>
        </w:rPr>
        <w:t>500G</w:t>
      </w:r>
      <w:r>
        <w:rPr>
          <w:rFonts w:hint="eastAsia" w:ascii="宋体" w:hAnsi="宋体"/>
          <w:sz w:val="22"/>
          <w:szCs w:val="22"/>
        </w:rPr>
        <w:t>硬盘、原厂键盘和鼠标</w:t>
      </w:r>
    </w:p>
    <w:p>
      <w:pPr>
        <w:keepNext w:val="0"/>
        <w:keepLines w:val="0"/>
        <w:pageBreakBefore w:val="0"/>
        <w:numPr>
          <w:ilvl w:val="0"/>
          <w:numId w:val="8"/>
        </w:numPr>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脚踏开关</w:t>
      </w:r>
    </w:p>
    <w:p>
      <w:pPr>
        <w:keepNext w:val="0"/>
        <w:keepLines w:val="0"/>
        <w:pageBreakBefore w:val="0"/>
        <w:numPr>
          <w:ilvl w:val="0"/>
          <w:numId w:val="8"/>
        </w:numPr>
        <w:kinsoku/>
        <w:wordWrap/>
        <w:overflowPunct/>
        <w:topLinePunct w:val="0"/>
        <w:autoSpaceDE/>
        <w:autoSpaceDN/>
        <w:bidi w:val="0"/>
        <w:adjustRightInd/>
        <w:snapToGrid/>
        <w:spacing w:line="500" w:lineRule="exact"/>
        <w:textAlignment w:val="auto"/>
        <w:rPr>
          <w:rFonts w:ascii="宋体" w:hAnsi="宋体"/>
          <w:sz w:val="22"/>
          <w:szCs w:val="22"/>
        </w:rPr>
      </w:pPr>
      <w:r>
        <w:rPr>
          <w:rFonts w:hint="eastAsia" w:ascii="宋体" w:hAnsi="宋体"/>
          <w:sz w:val="22"/>
          <w:szCs w:val="22"/>
        </w:rPr>
        <w:t>专业高</w:t>
      </w:r>
      <w:r>
        <w:rPr>
          <w:rFonts w:ascii="宋体" w:hAnsi="宋体"/>
          <w:sz w:val="22"/>
          <w:szCs w:val="22"/>
        </w:rPr>
        <w:t>清</w:t>
      </w:r>
      <w:r>
        <w:rPr>
          <w:rFonts w:hint="eastAsia" w:ascii="宋体" w:hAnsi="宋体"/>
          <w:sz w:val="22"/>
          <w:szCs w:val="22"/>
        </w:rPr>
        <w:t>彩色视频采集卡（含视频连接线）</w:t>
      </w:r>
    </w:p>
    <w:p>
      <w:pPr>
        <w:keepNext w:val="0"/>
        <w:keepLines w:val="0"/>
        <w:pageBreakBefore w:val="0"/>
        <w:numPr>
          <w:ilvl w:val="0"/>
          <w:numId w:val="8"/>
        </w:numPr>
        <w:kinsoku/>
        <w:wordWrap/>
        <w:overflowPunct/>
        <w:topLinePunct w:val="0"/>
        <w:autoSpaceDE/>
        <w:autoSpaceDN/>
        <w:bidi w:val="0"/>
        <w:adjustRightInd/>
        <w:snapToGrid/>
        <w:spacing w:line="500" w:lineRule="exact"/>
        <w:textAlignment w:val="auto"/>
        <w:rPr>
          <w:rFonts w:ascii="宋体" w:hAnsi="宋体"/>
          <w:sz w:val="22"/>
          <w:szCs w:val="22"/>
        </w:rPr>
      </w:pPr>
      <w:r>
        <w:rPr>
          <w:rFonts w:ascii="宋体" w:hAnsi="宋体"/>
          <w:sz w:val="22"/>
          <w:szCs w:val="22"/>
        </w:rPr>
        <w:t>彩色</w:t>
      </w:r>
      <w:r>
        <w:rPr>
          <w:rFonts w:hint="eastAsia" w:ascii="宋体" w:hAnsi="宋体"/>
          <w:sz w:val="22"/>
          <w:szCs w:val="22"/>
        </w:rPr>
        <w:t>喷墨打印机</w:t>
      </w:r>
    </w:p>
    <w:p>
      <w:pPr>
        <w:keepNext w:val="0"/>
        <w:keepLines w:val="0"/>
        <w:pageBreakBefore w:val="0"/>
        <w:numPr>
          <w:ilvl w:val="0"/>
          <w:numId w:val="8"/>
        </w:numPr>
        <w:kinsoku/>
        <w:wordWrap/>
        <w:overflowPunct/>
        <w:topLinePunct w:val="0"/>
        <w:autoSpaceDE/>
        <w:autoSpaceDN/>
        <w:bidi w:val="0"/>
        <w:adjustRightInd/>
        <w:snapToGrid/>
        <w:spacing w:line="500" w:lineRule="exact"/>
        <w:textAlignment w:val="auto"/>
        <w:rPr>
          <w:rFonts w:hint="eastAsia" w:ascii="宋体" w:hAnsi="宋体"/>
          <w:b/>
          <w:bCs/>
          <w:sz w:val="24"/>
          <w:szCs w:val="24"/>
        </w:rPr>
      </w:pPr>
      <w:r>
        <w:rPr>
          <w:rFonts w:hint="eastAsia" w:ascii="宋体" w:hAnsi="宋体"/>
          <w:sz w:val="22"/>
          <w:szCs w:val="22"/>
        </w:rPr>
        <w:t>内镜工作站系统软件</w:t>
      </w:r>
    </w:p>
    <w:p>
      <w:pPr>
        <w:keepNext w:val="0"/>
        <w:keepLines w:val="0"/>
        <w:pageBreakBefore w:val="0"/>
        <w:kinsoku/>
        <w:wordWrap/>
        <w:overflowPunct/>
        <w:topLinePunct w:val="0"/>
        <w:bidi w:val="0"/>
        <w:snapToGrid/>
        <w:spacing w:line="400" w:lineRule="exact"/>
        <w:rPr>
          <w:rFonts w:hint="eastAsia" w:asciiTheme="minorEastAsia" w:hAnsiTheme="minorEastAsia" w:eastAsiaTheme="minorEastAsia" w:cstheme="minorEastAsia"/>
          <w:b/>
          <w:bCs/>
          <w:color w:val="auto"/>
          <w:sz w:val="21"/>
          <w:szCs w:val="21"/>
        </w:rPr>
      </w:pPr>
    </w:p>
    <w:p>
      <w:pPr>
        <w:pStyle w:val="39"/>
        <w:keepNext w:val="0"/>
        <w:keepLines w:val="0"/>
        <w:pageBreakBefore w:val="0"/>
        <w:kinsoku/>
        <w:wordWrap/>
        <w:overflowPunct/>
        <w:topLinePunct w:val="0"/>
        <w:bidi w:val="0"/>
        <w:snapToGrid/>
        <w:spacing w:line="400" w:lineRule="exact"/>
        <w:ind w:left="0" w:leftChars="0" w:firstLine="0" w:firstLineChars="0"/>
        <w:rPr>
          <w:rFonts w:hint="eastAsia" w:asciiTheme="minorEastAsia" w:hAnsiTheme="minorEastAsia" w:eastAsiaTheme="minorEastAsia" w:cstheme="minorEastAsia"/>
          <w:b/>
          <w:bCs/>
          <w:color w:val="auto"/>
          <w:sz w:val="21"/>
          <w:szCs w:val="21"/>
        </w:rPr>
      </w:pPr>
    </w:p>
    <w:p>
      <w:pPr>
        <w:pStyle w:val="39"/>
        <w:keepNext w:val="0"/>
        <w:keepLines w:val="0"/>
        <w:pageBreakBefore w:val="0"/>
        <w:kinsoku/>
        <w:wordWrap/>
        <w:overflowPunct/>
        <w:topLinePunct w:val="0"/>
        <w:bidi w:val="0"/>
        <w:snapToGrid/>
        <w:spacing w:line="400" w:lineRule="exact"/>
        <w:ind w:left="0" w:leftChars="0" w:firstLine="0" w:firstLineChars="0"/>
        <w:rPr>
          <w:rFonts w:hint="eastAsia" w:asciiTheme="minorEastAsia" w:hAnsiTheme="minorEastAsia" w:eastAsiaTheme="minorEastAsia" w:cstheme="minorEastAsia"/>
          <w:b/>
          <w:bCs/>
          <w:color w:val="auto"/>
          <w:sz w:val="21"/>
          <w:szCs w:val="21"/>
        </w:rPr>
      </w:pPr>
    </w:p>
    <w:p>
      <w:pPr>
        <w:pStyle w:val="39"/>
        <w:keepNext w:val="0"/>
        <w:keepLines w:val="0"/>
        <w:pageBreakBefore w:val="0"/>
        <w:kinsoku/>
        <w:wordWrap/>
        <w:overflowPunct/>
        <w:topLinePunct w:val="0"/>
        <w:bidi w:val="0"/>
        <w:snapToGrid/>
        <w:spacing w:line="400" w:lineRule="exact"/>
        <w:ind w:left="0" w:leftChars="0" w:firstLine="0" w:firstLineChars="0"/>
        <w:rPr>
          <w:rFonts w:hint="eastAsia" w:asciiTheme="minorEastAsia" w:hAnsiTheme="minorEastAsia" w:eastAsiaTheme="minorEastAsia" w:cstheme="minorEastAsia"/>
          <w:b/>
          <w:bCs/>
          <w:color w:val="auto"/>
          <w:sz w:val="21"/>
          <w:szCs w:val="21"/>
        </w:rPr>
      </w:pPr>
    </w:p>
    <w:p>
      <w:pPr>
        <w:pStyle w:val="39"/>
        <w:keepNext w:val="0"/>
        <w:keepLines w:val="0"/>
        <w:pageBreakBefore w:val="0"/>
        <w:kinsoku/>
        <w:wordWrap/>
        <w:overflowPunct/>
        <w:topLinePunct w:val="0"/>
        <w:bidi w:val="0"/>
        <w:snapToGrid/>
        <w:spacing w:line="400" w:lineRule="exact"/>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内窥镜检查床 3台</w:t>
      </w:r>
    </w:p>
    <w:p>
      <w:pPr>
        <w:keepNext w:val="0"/>
        <w:keepLines w:val="0"/>
        <w:pageBreakBefore w:val="0"/>
        <w:widowControl/>
        <w:numPr>
          <w:ilvl w:val="0"/>
          <w:numId w:val="0"/>
        </w:numPr>
        <w:kinsoku/>
        <w:wordWrap/>
        <w:overflowPunct/>
        <w:topLinePunct w:val="0"/>
        <w:bidi w:val="0"/>
        <w:snapToGrid/>
        <w:spacing w:line="400" w:lineRule="exact"/>
        <w:ind w:left="0" w:right="-343" w:rightChars="-162" w:firstLine="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规格：L1930×640×540/840mm。</w:t>
      </w:r>
    </w:p>
    <w:p>
      <w:pPr>
        <w:keepNext w:val="0"/>
        <w:keepLines w:val="0"/>
        <w:pageBreakBefore w:val="0"/>
        <w:widowControl/>
        <w:numPr>
          <w:ilvl w:val="0"/>
          <w:numId w:val="9"/>
        </w:numPr>
        <w:kinsoku/>
        <w:wordWrap/>
        <w:overflowPunct/>
        <w:topLinePunct w:val="0"/>
        <w:bidi w:val="0"/>
        <w:snapToGrid/>
        <w:spacing w:line="400" w:lineRule="exact"/>
        <w:ind w:right="-343" w:rightChars="-162"/>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技术要求：</w:t>
      </w:r>
    </w:p>
    <w:p>
      <w:pPr>
        <w:keepNext w:val="0"/>
        <w:keepLines w:val="0"/>
        <w:pageBreakBefore w:val="0"/>
        <w:widowControl/>
        <w:kinsoku/>
        <w:wordWrap/>
        <w:overflowPunct/>
        <w:topLinePunct w:val="0"/>
        <w:bidi w:val="0"/>
        <w:snapToGrid/>
        <w:spacing w:line="400" w:lineRule="exact"/>
        <w:ind w:right="-343" w:rightChars="-162" w:firstLine="212"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1、平车主要框架需采用优质冷轧型钢，外形美观坚固。</w:t>
      </w:r>
    </w:p>
    <w:p>
      <w:pPr>
        <w:keepNext w:val="0"/>
        <w:keepLines w:val="0"/>
        <w:pageBreakBefore w:val="0"/>
        <w:widowControl/>
        <w:kinsoku/>
        <w:wordWrap/>
        <w:overflowPunct/>
        <w:topLinePunct w:val="0"/>
        <w:bidi w:val="0"/>
        <w:snapToGrid/>
        <w:spacing w:line="400" w:lineRule="exact"/>
        <w:ind w:right="-343" w:rightChars="-162"/>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★2、平车面及护栏需采用进口ABS材料一次成型，坚实美观，所有塑料件均需采用自有注塑设备一次注塑成型。</w:t>
      </w:r>
    </w:p>
    <w:p>
      <w:pPr>
        <w:keepNext w:val="0"/>
        <w:keepLines w:val="0"/>
        <w:pageBreakBefore w:val="0"/>
        <w:widowControl/>
        <w:kinsoku/>
        <w:wordWrap/>
        <w:overflowPunct/>
        <w:topLinePunct w:val="0"/>
        <w:bidi w:val="0"/>
        <w:snapToGrid/>
        <w:spacing w:line="400" w:lineRule="exact"/>
        <w:ind w:right="-343" w:rightChars="-162" w:firstLine="212"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3、平车面分体设计，上体需选用液压助力弹簧做支撑力源，操作方便。有靠背功能，由手柄控制汽弹簧调节靠背的提升角度，背部提起角度大于45°，整车升降至：540-840mm。</w:t>
      </w:r>
    </w:p>
    <w:p>
      <w:pPr>
        <w:keepNext w:val="0"/>
        <w:keepLines w:val="0"/>
        <w:pageBreakBefore w:val="0"/>
        <w:widowControl/>
        <w:kinsoku/>
        <w:wordWrap/>
        <w:overflowPunct/>
        <w:topLinePunct w:val="0"/>
        <w:bidi w:val="0"/>
        <w:snapToGrid/>
        <w:spacing w:line="400" w:lineRule="exact"/>
        <w:ind w:right="-343" w:rightChars="-162"/>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★4、护栏：需采用进口ABS原料一次注塑成型，一侧一片，升起时可自动锁定，每个护栏独立承重50KG以上。放下后可藏于车体面板下面，实现零缝隙转移。护栏安全开关设计，置于护栏下方，避免病人误操作； 带助力气弹簧，方便操作。</w:t>
      </w:r>
    </w:p>
    <w:p>
      <w:pPr>
        <w:keepNext w:val="0"/>
        <w:keepLines w:val="0"/>
        <w:pageBreakBefore w:val="0"/>
        <w:widowControl/>
        <w:kinsoku/>
        <w:wordWrap/>
        <w:overflowPunct/>
        <w:topLinePunct w:val="0"/>
        <w:bidi w:val="0"/>
        <w:snapToGrid/>
        <w:spacing w:line="400" w:lineRule="exact"/>
        <w:ind w:right="-343" w:rightChars="-162" w:firstLine="212"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5、不锈钢折叠摇把，可隐藏于车体下面。伸缩摇杆为不锈钢材质，钢制万向节，丝杠采用45#钢双丝挤压成型，有过盈保护、双向限位功能，摇动灵活，无噪音。</w:t>
      </w:r>
    </w:p>
    <w:p>
      <w:pPr>
        <w:keepNext w:val="0"/>
        <w:keepLines w:val="0"/>
        <w:pageBreakBefore w:val="0"/>
        <w:widowControl/>
        <w:kinsoku/>
        <w:wordWrap/>
        <w:overflowPunct/>
        <w:topLinePunct w:val="0"/>
        <w:bidi w:val="0"/>
        <w:snapToGrid/>
        <w:spacing w:line="400" w:lineRule="exact"/>
        <w:ind w:right="-343" w:rightChars="-162" w:firstLine="212"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6、平车需采用进口中控刹车系统，直径125mm，稳定可靠。配导向轮装置，一人可轻松操作。</w:t>
      </w:r>
    </w:p>
    <w:p>
      <w:pPr>
        <w:keepNext w:val="0"/>
        <w:keepLines w:val="0"/>
        <w:pageBreakBefore w:val="0"/>
        <w:widowControl/>
        <w:kinsoku/>
        <w:wordWrap/>
        <w:overflowPunct/>
        <w:topLinePunct w:val="0"/>
        <w:bidi w:val="0"/>
        <w:snapToGrid/>
        <w:spacing w:line="400" w:lineRule="exact"/>
        <w:ind w:right="-343" w:rightChars="-162"/>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★7、平车从整体设计，制造上更能满足医院需求，更具人性化，防止运输中死磕，造成二次伤害。 </w:t>
      </w:r>
    </w:p>
    <w:p>
      <w:pPr>
        <w:keepNext w:val="0"/>
        <w:keepLines w:val="0"/>
        <w:pageBreakBefore w:val="0"/>
        <w:kinsoku/>
        <w:wordWrap/>
        <w:overflowPunct/>
        <w:topLinePunct w:val="0"/>
        <w:bidi w:val="0"/>
        <w:snapToGrid/>
        <w:spacing w:line="400" w:lineRule="exact"/>
        <w:ind w:right="-343" w:rightChars="-162" w:firstLine="212"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8、配不锈钢伸缩式输液架，氧气瓶支架。</w:t>
      </w:r>
    </w:p>
    <w:p>
      <w:pPr>
        <w:keepNext w:val="0"/>
        <w:keepLines w:val="0"/>
        <w:pageBreakBefore w:val="0"/>
        <w:kinsoku/>
        <w:wordWrap/>
        <w:overflowPunct/>
        <w:topLinePunct w:val="0"/>
        <w:bidi w:val="0"/>
        <w:snapToGrid/>
        <w:spacing w:line="400" w:lineRule="exact"/>
        <w:ind w:right="-343" w:rightChars="-16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）、生产要求：</w:t>
      </w:r>
    </w:p>
    <w:p>
      <w:pPr>
        <w:keepNext w:val="0"/>
        <w:keepLines w:val="0"/>
        <w:pageBreakBefore w:val="0"/>
        <w:kinsoku/>
        <w:wordWrap/>
        <w:overflowPunct/>
        <w:topLinePunct w:val="0"/>
        <w:bidi w:val="0"/>
        <w:snapToGrid/>
        <w:spacing w:line="400" w:lineRule="exact"/>
        <w:ind w:right="-343" w:rightChars="-162" w:firstLine="212"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1、管材下料：产品所用的钢管，需采用激光切管机下料，钣金件采用激光切割机下料，有效保证工件的精确度。</w:t>
      </w:r>
    </w:p>
    <w:p>
      <w:pPr>
        <w:keepNext w:val="0"/>
        <w:keepLines w:val="0"/>
        <w:pageBreakBefore w:val="0"/>
        <w:kinsoku/>
        <w:wordWrap/>
        <w:overflowPunct/>
        <w:topLinePunct w:val="0"/>
        <w:bidi w:val="0"/>
        <w:snapToGrid/>
        <w:spacing w:line="400" w:lineRule="exact"/>
        <w:ind w:right="-343" w:rightChars="-162" w:firstLine="212"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2、需采用机械手集群焊接，焊接过程采用混合气气体保护，焊口光滑、美观、无氧化膜，提高了焊缝的强度及准确性，焊接机器手不少于 10 组。</w:t>
      </w:r>
    </w:p>
    <w:p>
      <w:pPr>
        <w:keepNext w:val="0"/>
        <w:keepLines w:val="0"/>
        <w:pageBreakBefore w:val="0"/>
        <w:kinsoku/>
        <w:wordWrap/>
        <w:overflowPunct/>
        <w:topLinePunct w:val="0"/>
        <w:bidi w:val="0"/>
        <w:snapToGrid/>
        <w:spacing w:line="400" w:lineRule="exact"/>
        <w:ind w:right="-343" w:rightChars="-162" w:firstLine="212"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3、碳钢表面处理：需采用自有全自动静电粉末喷涂流水线一次性完工，表面处理采用抗菌塑粉。</w:t>
      </w:r>
    </w:p>
    <w:p>
      <w:pPr>
        <w:keepNext w:val="0"/>
        <w:keepLines w:val="0"/>
        <w:pageBreakBefore w:val="0"/>
        <w:kinsoku/>
        <w:wordWrap/>
        <w:overflowPunct/>
        <w:topLinePunct w:val="0"/>
        <w:bidi w:val="0"/>
        <w:snapToGrid/>
        <w:spacing w:line="400" w:lineRule="exact"/>
        <w:jc w:val="center"/>
        <w:rPr>
          <w:rFonts w:hint="eastAsia" w:asciiTheme="minorEastAsia" w:hAnsiTheme="minorEastAsia" w:eastAsiaTheme="minorEastAsia" w:cstheme="minorEastAsia"/>
          <w:b/>
          <w:bCs/>
          <w:color w:val="auto"/>
          <w:sz w:val="21"/>
          <w:szCs w:val="21"/>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keepNext w:val="0"/>
        <w:keepLines w:val="0"/>
        <w:pageBreakBefore w:val="0"/>
        <w:kinsoku/>
        <w:wordWrap/>
        <w:overflowPunct/>
        <w:topLinePunct w:val="0"/>
        <w:bidi w:val="0"/>
        <w:snapToGrid/>
        <w:spacing w:line="400" w:lineRule="exact"/>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内镜转运车 1台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24"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镜转运车其材料亦由制造清洗槽台面的高分子复合材料独立开模制成，车体由不锈钢喷塑而成，具有附腐蚀、不水、车行顺畅、取放方便等优点。盆内内镜存放导航隔条使污染部位和非污染部位分离。多层设计，在使用过程中可将清洁和污染的内镜分层标明后置放，可达到高效周转，避免交叉感染等功效。车轮采用超静音万象轮，免运转途中产生噪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备注：（1）如果以上技术参数表述有某个特定品牌的规格型号，投标单位可参照该项目的技术标准选择其他品牌产品替代，并做出说明，原则上不能降低投标产品性能。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       （2）如果以上参数关于外观、功能或重量、尺寸（需现场定制或影响使用的情况除外）的表述为某一品牌独有的，可不作为必须满足的条件。投标人应在投标文件中对此种情况做出说明。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（3）标书中需附所投产品</w:t>
      </w:r>
      <w:r>
        <w:rPr>
          <w:rFonts w:hint="eastAsia" w:ascii="仿宋" w:hAnsi="仿宋" w:eastAsia="仿宋" w:cs="仿宋"/>
          <w:b/>
          <w:bCs/>
          <w:color w:val="auto"/>
          <w:sz w:val="24"/>
          <w:szCs w:val="24"/>
          <w:lang w:eastAsia="zh-CN"/>
        </w:rPr>
        <w:t>的</w:t>
      </w:r>
      <w:r>
        <w:rPr>
          <w:rFonts w:hint="eastAsia" w:ascii="仿宋" w:hAnsi="仿宋" w:eastAsia="仿宋" w:cs="仿宋"/>
          <w:b/>
          <w:bCs/>
          <w:color w:val="auto"/>
          <w:sz w:val="24"/>
          <w:szCs w:val="24"/>
        </w:rPr>
        <w:t>（包括但不限于检验报告、产品注册证、指标、产品技术性能详述、验收标准等）。</w:t>
      </w:r>
    </w:p>
    <w:p>
      <w:pPr>
        <w:pStyle w:val="2"/>
        <w:rPr>
          <w:rFonts w:hint="eastAsia" w:ascii="仿宋" w:hAnsi="仿宋" w:eastAsia="仿宋" w:cs="仿宋"/>
          <w:b/>
          <w:bCs/>
          <w:color w:val="auto"/>
          <w:sz w:val="24"/>
          <w:szCs w:val="24"/>
        </w:rPr>
      </w:pPr>
    </w:p>
    <w:p>
      <w:pPr>
        <w:pStyle w:val="3"/>
        <w:rPr>
          <w:rFonts w:hint="eastAsia" w:ascii="仿宋" w:hAnsi="仿宋" w:eastAsia="仿宋" w:cs="仿宋"/>
          <w:b/>
          <w:bCs/>
          <w:color w:val="auto"/>
          <w:sz w:val="24"/>
          <w:szCs w:val="24"/>
        </w:rPr>
      </w:pPr>
    </w:p>
    <w:p>
      <w:pPr>
        <w:rPr>
          <w:rFonts w:hint="eastAsia" w:ascii="仿宋" w:hAnsi="仿宋" w:eastAsia="仿宋" w:cs="仿宋"/>
          <w:b/>
          <w:bCs/>
          <w:color w:val="auto"/>
          <w:sz w:val="24"/>
          <w:szCs w:val="24"/>
        </w:rPr>
      </w:pPr>
    </w:p>
    <w:p>
      <w:pPr>
        <w:pStyle w:val="2"/>
        <w:rPr>
          <w:rFonts w:hint="eastAsia" w:ascii="仿宋" w:hAnsi="仿宋" w:eastAsia="仿宋" w:cs="仿宋"/>
          <w:b/>
          <w:bCs/>
          <w:color w:val="auto"/>
          <w:sz w:val="24"/>
          <w:szCs w:val="24"/>
        </w:rPr>
      </w:pPr>
    </w:p>
    <w:p>
      <w:pPr>
        <w:pStyle w:val="3"/>
        <w:rPr>
          <w:rFonts w:hint="eastAsia" w:ascii="仿宋" w:hAnsi="仿宋" w:eastAsia="仿宋" w:cs="仿宋"/>
          <w:b/>
          <w:bCs/>
          <w:color w:val="auto"/>
          <w:sz w:val="24"/>
          <w:szCs w:val="24"/>
        </w:rPr>
      </w:pPr>
    </w:p>
    <w:p>
      <w:pPr>
        <w:rPr>
          <w:rFonts w:hint="eastAsia" w:ascii="仿宋" w:hAnsi="仿宋" w:eastAsia="仿宋" w:cs="仿宋"/>
          <w:b/>
          <w:bCs/>
          <w:color w:val="auto"/>
          <w:sz w:val="24"/>
          <w:szCs w:val="24"/>
        </w:rPr>
      </w:pPr>
    </w:p>
    <w:p>
      <w:pPr>
        <w:pStyle w:val="2"/>
        <w:rPr>
          <w:rFonts w:hint="eastAsia" w:ascii="仿宋" w:hAnsi="仿宋" w:eastAsia="仿宋" w:cs="仿宋"/>
          <w:b/>
          <w:bCs/>
          <w:color w:val="auto"/>
          <w:sz w:val="24"/>
          <w:szCs w:val="24"/>
        </w:rPr>
      </w:pPr>
    </w:p>
    <w:p>
      <w:pPr>
        <w:pStyle w:val="3"/>
        <w:rPr>
          <w:rFonts w:hint="eastAsia" w:ascii="仿宋" w:hAnsi="仿宋" w:eastAsia="仿宋" w:cs="仿宋"/>
          <w:b/>
          <w:bCs/>
          <w:color w:val="auto"/>
          <w:sz w:val="24"/>
          <w:szCs w:val="24"/>
        </w:rPr>
      </w:pPr>
    </w:p>
    <w:p>
      <w:pPr>
        <w:rPr>
          <w:rFonts w:hint="eastAsia" w:ascii="仿宋" w:hAnsi="仿宋" w:eastAsia="仿宋" w:cs="仿宋"/>
          <w:b/>
          <w:bCs/>
          <w:color w:val="auto"/>
          <w:sz w:val="24"/>
          <w:szCs w:val="24"/>
        </w:rPr>
      </w:pPr>
    </w:p>
    <w:p>
      <w:pPr>
        <w:pStyle w:val="2"/>
        <w:rPr>
          <w:rFonts w:hint="eastAsia" w:ascii="仿宋" w:hAnsi="仿宋" w:eastAsia="仿宋" w:cs="仿宋"/>
          <w:b/>
          <w:bCs/>
          <w:color w:val="auto"/>
          <w:sz w:val="24"/>
          <w:szCs w:val="24"/>
        </w:rPr>
      </w:pPr>
    </w:p>
    <w:p>
      <w:pPr>
        <w:pStyle w:val="3"/>
        <w:rPr>
          <w:rFonts w:hint="eastAsia" w:ascii="仿宋" w:hAnsi="仿宋" w:eastAsia="仿宋" w:cs="仿宋"/>
          <w:b/>
          <w:bCs/>
          <w:color w:val="auto"/>
          <w:sz w:val="24"/>
          <w:szCs w:val="24"/>
        </w:rPr>
      </w:pPr>
    </w:p>
    <w:p>
      <w:pPr>
        <w:rPr>
          <w:rFonts w:hint="eastAsia" w:ascii="仿宋" w:hAnsi="仿宋" w:eastAsia="仿宋" w:cs="仿宋"/>
          <w:b/>
          <w:bCs/>
          <w:color w:val="auto"/>
          <w:sz w:val="24"/>
          <w:szCs w:val="24"/>
        </w:rPr>
      </w:pPr>
    </w:p>
    <w:p>
      <w:pPr>
        <w:pStyle w:val="2"/>
        <w:rPr>
          <w:rFonts w:hint="eastAsia" w:ascii="仿宋" w:hAnsi="仿宋" w:eastAsia="仿宋" w:cs="仿宋"/>
          <w:b/>
          <w:bCs/>
          <w:color w:val="auto"/>
          <w:sz w:val="24"/>
          <w:szCs w:val="24"/>
        </w:rPr>
      </w:pPr>
    </w:p>
    <w:p>
      <w:pPr>
        <w:pStyle w:val="3"/>
        <w:rPr>
          <w:rFonts w:hint="eastAsia" w:ascii="仿宋" w:hAnsi="仿宋" w:eastAsia="仿宋" w:cs="仿宋"/>
          <w:b/>
          <w:bCs/>
          <w:color w:val="auto"/>
          <w:sz w:val="24"/>
          <w:szCs w:val="24"/>
        </w:rPr>
      </w:pPr>
    </w:p>
    <w:p>
      <w:pPr>
        <w:pStyle w:val="3"/>
      </w:pPr>
    </w:p>
    <w:p>
      <w:pPr>
        <w:spacing w:line="500" w:lineRule="exact"/>
        <w:jc w:val="center"/>
        <w:outlineLvl w:val="0"/>
        <w:rPr>
          <w:rFonts w:ascii="宋体" w:hAnsi="宋体"/>
          <w:b/>
          <w:color w:val="auto"/>
          <w:sz w:val="30"/>
          <w:szCs w:val="30"/>
        </w:rPr>
      </w:pPr>
      <w:r>
        <w:rPr>
          <w:rFonts w:hint="eastAsia" w:ascii="宋体" w:hAnsi="宋体"/>
          <w:b/>
          <w:color w:val="auto"/>
          <w:sz w:val="30"/>
          <w:szCs w:val="30"/>
        </w:rPr>
        <w:t>第四章 合同条款</w:t>
      </w:r>
      <w:bookmarkEnd w:id="15"/>
    </w:p>
    <w:p>
      <w:pPr>
        <w:adjustRightInd w:val="0"/>
        <w:snapToGrid w:val="0"/>
        <w:spacing w:line="360" w:lineRule="auto"/>
        <w:jc w:val="both"/>
        <w:rPr>
          <w:rFonts w:hint="eastAsia" w:ascii="黑体"/>
          <w:color w:val="auto"/>
          <w:szCs w:val="21"/>
        </w:rPr>
      </w:pPr>
    </w:p>
    <w:p>
      <w:pPr>
        <w:adjustRightInd w:val="0"/>
        <w:snapToGrid w:val="0"/>
        <w:spacing w:line="360" w:lineRule="auto"/>
        <w:jc w:val="center"/>
        <w:rPr>
          <w:rFonts w:hint="eastAsia" w:ascii="黑体" w:eastAsia="宋体"/>
          <w:color w:val="auto"/>
          <w:sz w:val="44"/>
          <w:szCs w:val="44"/>
          <w:lang w:eastAsia="zh-CN"/>
        </w:rPr>
      </w:pPr>
      <w:r>
        <w:rPr>
          <w:rFonts w:hint="eastAsia" w:ascii="黑体"/>
          <w:color w:val="auto"/>
          <w:sz w:val="44"/>
          <w:szCs w:val="44"/>
          <w:lang w:eastAsia="zh-CN"/>
        </w:rPr>
        <w:t>霍城县中医医院</w:t>
      </w:r>
    </w:p>
    <w:p>
      <w:pPr>
        <w:tabs>
          <w:tab w:val="center" w:pos="4536"/>
          <w:tab w:val="left" w:pos="7560"/>
        </w:tabs>
        <w:adjustRightInd w:val="0"/>
        <w:snapToGrid w:val="0"/>
        <w:spacing w:line="360" w:lineRule="auto"/>
        <w:jc w:val="left"/>
        <w:rPr>
          <w:rFonts w:hint="eastAsia" w:ascii="黑体"/>
          <w:color w:val="auto"/>
          <w:sz w:val="30"/>
          <w:szCs w:val="30"/>
        </w:rPr>
      </w:pPr>
      <w:r>
        <w:rPr>
          <w:rFonts w:ascii="黑体"/>
          <w:color w:val="auto"/>
          <w:w w:val="110"/>
          <w:sz w:val="44"/>
          <w:szCs w:val="44"/>
        </w:rPr>
        <w:tab/>
      </w:r>
      <w:r>
        <w:rPr>
          <w:rFonts w:hint="eastAsia" w:ascii="黑体"/>
          <w:color w:val="auto"/>
          <w:w w:val="110"/>
          <w:sz w:val="44"/>
          <w:szCs w:val="44"/>
        </w:rPr>
        <w:t>采 购</w:t>
      </w:r>
      <w:r>
        <w:rPr>
          <w:rFonts w:ascii="黑体"/>
          <w:color w:val="auto"/>
          <w:w w:val="110"/>
          <w:sz w:val="44"/>
          <w:szCs w:val="44"/>
        </w:rPr>
        <w:t xml:space="preserve"> </w:t>
      </w:r>
      <w:r>
        <w:rPr>
          <w:rFonts w:hint="eastAsia" w:ascii="黑体"/>
          <w:color w:val="auto"/>
          <w:sz w:val="44"/>
          <w:szCs w:val="44"/>
        </w:rPr>
        <w:t>合</w:t>
      </w:r>
      <w:r>
        <w:rPr>
          <w:rFonts w:ascii="黑体"/>
          <w:color w:val="auto"/>
          <w:sz w:val="44"/>
          <w:szCs w:val="44"/>
        </w:rPr>
        <w:t xml:space="preserve"> </w:t>
      </w:r>
      <w:r>
        <w:rPr>
          <w:rFonts w:hint="eastAsia" w:ascii="黑体"/>
          <w:color w:val="auto"/>
          <w:sz w:val="44"/>
          <w:szCs w:val="44"/>
        </w:rPr>
        <w:t>同</w:t>
      </w:r>
      <w:r>
        <w:rPr>
          <w:rFonts w:ascii="黑体"/>
          <w:color w:val="auto"/>
          <w:sz w:val="30"/>
          <w:szCs w:val="30"/>
        </w:rPr>
        <w:tab/>
      </w:r>
    </w:p>
    <w:p>
      <w:pPr>
        <w:adjustRightInd w:val="0"/>
        <w:snapToGrid w:val="0"/>
        <w:spacing w:line="360" w:lineRule="auto"/>
        <w:ind w:firstLine="1060" w:firstLineChars="500"/>
        <w:rPr>
          <w:rFonts w:ascii="黑体"/>
          <w:color w:val="auto"/>
          <w:szCs w:val="21"/>
        </w:rPr>
      </w:pPr>
    </w:p>
    <w:p>
      <w:pPr>
        <w:adjustRightInd w:val="0"/>
        <w:snapToGrid w:val="0"/>
        <w:spacing w:line="360" w:lineRule="auto"/>
        <w:ind w:firstLine="1510" w:firstLineChars="500"/>
        <w:rPr>
          <w:rFonts w:hint="eastAsia" w:ascii="黑体"/>
          <w:color w:val="auto"/>
          <w:sz w:val="30"/>
          <w:szCs w:val="30"/>
        </w:rPr>
      </w:pPr>
      <w:r>
        <w:rPr>
          <w:rFonts w:hint="eastAsia" w:ascii="黑体"/>
          <w:color w:val="auto"/>
          <w:sz w:val="30"/>
          <w:szCs w:val="30"/>
        </w:rPr>
        <w:t>项目编号：</w:t>
      </w:r>
    </w:p>
    <w:p>
      <w:pPr>
        <w:adjustRightInd w:val="0"/>
        <w:snapToGrid w:val="0"/>
        <w:spacing w:line="360" w:lineRule="auto"/>
        <w:ind w:firstLine="1510" w:firstLineChars="500"/>
        <w:rPr>
          <w:rFonts w:hint="eastAsia" w:ascii="黑体"/>
          <w:color w:val="auto"/>
          <w:sz w:val="30"/>
          <w:szCs w:val="30"/>
        </w:rPr>
      </w:pPr>
      <w:r>
        <w:rPr>
          <w:rFonts w:hint="eastAsia" w:ascii="黑体"/>
          <w:color w:val="auto"/>
          <w:sz w:val="30"/>
          <w:szCs w:val="30"/>
        </w:rPr>
        <w:t>合同编号：</w:t>
      </w:r>
    </w:p>
    <w:p>
      <w:pPr>
        <w:adjustRightInd w:val="0"/>
        <w:snapToGrid w:val="0"/>
        <w:spacing w:line="360" w:lineRule="auto"/>
        <w:jc w:val="center"/>
        <w:rPr>
          <w:rFonts w:hint="eastAsia" w:ascii="黑体" w:hAnsi="宋体"/>
          <w:color w:val="auto"/>
          <w:sz w:val="30"/>
          <w:szCs w:val="30"/>
        </w:rPr>
      </w:pPr>
      <w:r>
        <w:rPr>
          <w:rFonts w:hint="eastAsia" w:ascii="黑体"/>
          <w:color w:val="auto"/>
          <w:sz w:val="30"/>
          <w:szCs w:val="30"/>
        </w:rPr>
        <w:t>（      年度）</w:t>
      </w:r>
    </w:p>
    <w:p>
      <w:pPr>
        <w:widowControl/>
        <w:adjustRightInd w:val="0"/>
        <w:snapToGrid w:val="0"/>
        <w:spacing w:line="360" w:lineRule="auto"/>
        <w:jc w:val="center"/>
        <w:rPr>
          <w:rFonts w:hint="eastAsia" w:ascii="黑体" w:cs="宋体"/>
          <w:color w:val="auto"/>
          <w:kern w:val="0"/>
          <w:szCs w:val="21"/>
        </w:rPr>
      </w:pPr>
      <w:r>
        <w:rPr>
          <w:rFonts w:hint="eastAsia" w:ascii="黑体"/>
          <w:color w:val="auto"/>
          <w:szCs w:val="21"/>
        </w:rPr>
        <w:t xml:space="preserve">      </w:t>
      </w:r>
    </w:p>
    <w:p>
      <w:pPr>
        <w:adjustRightInd w:val="0"/>
        <w:snapToGrid w:val="0"/>
        <w:spacing w:line="360" w:lineRule="auto"/>
        <w:rPr>
          <w:rFonts w:ascii="楷体_GB2312"/>
          <w:color w:val="auto"/>
          <w:szCs w:val="21"/>
        </w:rPr>
      </w:pPr>
      <w:r>
        <w:rPr>
          <w:rFonts w:ascii="楷体_GB2312"/>
          <w:color w:val="auto"/>
          <w:szCs w:val="21"/>
        </w:rPr>
        <w:t xml:space="preserve">          </w:t>
      </w:r>
    </w:p>
    <w:p>
      <w:pPr>
        <w:adjustRightInd w:val="0"/>
        <w:snapToGrid w:val="0"/>
        <w:spacing w:line="360" w:lineRule="auto"/>
        <w:rPr>
          <w:rFonts w:ascii="楷体_GB2312"/>
          <w:color w:val="auto"/>
          <w:szCs w:val="21"/>
        </w:rPr>
      </w:pPr>
    </w:p>
    <w:p>
      <w:pPr>
        <w:adjustRightInd w:val="0"/>
        <w:snapToGrid w:val="0"/>
        <w:spacing w:line="360" w:lineRule="auto"/>
        <w:rPr>
          <w:rFonts w:hint="eastAsia" w:ascii="楷体_GB2312"/>
          <w:color w:val="auto"/>
          <w:szCs w:val="21"/>
        </w:rPr>
      </w:pPr>
    </w:p>
    <w:p>
      <w:pPr>
        <w:adjustRightInd w:val="0"/>
        <w:snapToGrid w:val="0"/>
        <w:spacing w:line="360" w:lineRule="auto"/>
        <w:ind w:firstLine="972" w:firstLineChars="345"/>
        <w:rPr>
          <w:rFonts w:hint="eastAsia" w:ascii="黑体" w:eastAsia="宋体"/>
          <w:color w:val="auto"/>
          <w:sz w:val="28"/>
          <w:szCs w:val="28"/>
          <w:lang w:eastAsia="zh-CN"/>
        </w:rPr>
      </w:pPr>
      <w:r>
        <w:rPr>
          <w:rFonts w:hint="eastAsia" w:ascii="黑体"/>
          <w:color w:val="auto"/>
          <w:sz w:val="28"/>
          <w:szCs w:val="28"/>
        </w:rPr>
        <w:t>甲  方：</w:t>
      </w:r>
      <w:r>
        <w:rPr>
          <w:rFonts w:hint="eastAsia" w:ascii="黑体"/>
          <w:color w:val="auto"/>
          <w:sz w:val="28"/>
          <w:szCs w:val="28"/>
          <w:lang w:eastAsia="zh-CN"/>
        </w:rPr>
        <w:t>霍城县中医医院</w:t>
      </w:r>
    </w:p>
    <w:p>
      <w:pPr>
        <w:adjustRightInd w:val="0"/>
        <w:snapToGrid w:val="0"/>
        <w:spacing w:line="360" w:lineRule="auto"/>
        <w:ind w:firstLine="972" w:firstLineChars="345"/>
        <w:rPr>
          <w:rFonts w:hint="eastAsia" w:ascii="黑体" w:hAnsi="仿宋_GB2312"/>
          <w:color w:val="auto"/>
          <w:sz w:val="28"/>
          <w:szCs w:val="28"/>
        </w:rPr>
      </w:pPr>
      <w:r>
        <w:rPr>
          <w:rFonts w:hint="eastAsia" w:ascii="黑体"/>
          <w:color w:val="auto"/>
          <w:sz w:val="28"/>
          <w:szCs w:val="28"/>
        </w:rPr>
        <w:t>乙  方：</w:t>
      </w:r>
      <w:r>
        <w:rPr>
          <w:rFonts w:hint="eastAsia" w:ascii="黑体" w:hAnsi="仿宋_GB2312"/>
          <w:color w:val="auto"/>
          <w:sz w:val="28"/>
          <w:szCs w:val="28"/>
        </w:rPr>
        <w:t xml:space="preserve"> </w:t>
      </w:r>
    </w:p>
    <w:p>
      <w:pPr>
        <w:adjustRightInd w:val="0"/>
        <w:snapToGrid w:val="0"/>
        <w:spacing w:line="360" w:lineRule="auto"/>
        <w:jc w:val="center"/>
        <w:rPr>
          <w:rFonts w:hint="eastAsia" w:ascii="黑体"/>
          <w:color w:val="auto"/>
          <w:sz w:val="28"/>
          <w:szCs w:val="28"/>
        </w:rPr>
      </w:pPr>
    </w:p>
    <w:p>
      <w:pPr>
        <w:adjustRightInd w:val="0"/>
        <w:snapToGrid w:val="0"/>
        <w:spacing w:line="360" w:lineRule="auto"/>
        <w:jc w:val="center"/>
        <w:rPr>
          <w:rFonts w:ascii="楷体_GB2312"/>
          <w:color w:val="auto"/>
          <w:szCs w:val="21"/>
        </w:rPr>
      </w:pPr>
    </w:p>
    <w:p>
      <w:pPr>
        <w:adjustRightInd w:val="0"/>
        <w:snapToGrid w:val="0"/>
        <w:spacing w:line="360" w:lineRule="auto"/>
        <w:jc w:val="center"/>
        <w:rPr>
          <w:rFonts w:ascii="楷体_GB2312"/>
          <w:color w:val="auto"/>
          <w:szCs w:val="21"/>
        </w:rPr>
      </w:pPr>
    </w:p>
    <w:p>
      <w:pPr>
        <w:adjustRightInd w:val="0"/>
        <w:snapToGrid w:val="0"/>
        <w:spacing w:line="360" w:lineRule="auto"/>
        <w:jc w:val="center"/>
        <w:rPr>
          <w:rFonts w:ascii="楷体_GB2312"/>
          <w:color w:val="auto"/>
          <w:szCs w:val="21"/>
        </w:rPr>
      </w:pPr>
    </w:p>
    <w:p>
      <w:pPr>
        <w:adjustRightInd w:val="0"/>
        <w:snapToGrid w:val="0"/>
        <w:spacing w:line="360" w:lineRule="auto"/>
        <w:jc w:val="center"/>
        <w:rPr>
          <w:rFonts w:hint="eastAsia" w:ascii="楷体_GB2312"/>
          <w:color w:val="auto"/>
          <w:szCs w:val="21"/>
        </w:rPr>
      </w:pPr>
    </w:p>
    <w:p>
      <w:pPr>
        <w:adjustRightInd w:val="0"/>
        <w:snapToGrid w:val="0"/>
        <w:spacing w:line="360" w:lineRule="auto"/>
        <w:jc w:val="center"/>
        <w:rPr>
          <w:rFonts w:hint="eastAsia" w:ascii="楷体_GB2312"/>
          <w:color w:val="auto"/>
          <w:szCs w:val="21"/>
        </w:rPr>
      </w:pPr>
    </w:p>
    <w:p>
      <w:pPr>
        <w:adjustRightInd w:val="0"/>
        <w:snapToGrid w:val="0"/>
        <w:spacing w:line="360" w:lineRule="auto"/>
        <w:jc w:val="center"/>
        <w:rPr>
          <w:rFonts w:hint="eastAsia" w:ascii="楷体_GB2312"/>
          <w:color w:val="auto"/>
          <w:szCs w:val="21"/>
        </w:rPr>
      </w:pPr>
    </w:p>
    <w:p>
      <w:pPr>
        <w:adjustRightInd w:val="0"/>
        <w:snapToGrid w:val="0"/>
        <w:spacing w:line="360" w:lineRule="auto"/>
        <w:ind w:firstLine="1128" w:firstLineChars="400"/>
        <w:rPr>
          <w:rFonts w:ascii="宋体"/>
          <w:color w:val="auto"/>
          <w:sz w:val="28"/>
          <w:szCs w:val="28"/>
        </w:rPr>
      </w:pPr>
      <w:r>
        <w:rPr>
          <w:rFonts w:hint="eastAsia" w:ascii="宋体" w:hAnsi="宋体"/>
          <w:color w:val="auto"/>
          <w:sz w:val="28"/>
          <w:szCs w:val="28"/>
        </w:rPr>
        <w:t xml:space="preserve">合同签订地点：                            </w:t>
      </w:r>
      <w:r>
        <w:rPr>
          <w:rFonts w:ascii="宋体"/>
          <w:color w:val="auto"/>
          <w:sz w:val="28"/>
          <w:szCs w:val="28"/>
        </w:rPr>
        <w:t xml:space="preserve"> </w:t>
      </w:r>
    </w:p>
    <w:p>
      <w:pPr>
        <w:adjustRightInd w:val="0"/>
        <w:snapToGrid w:val="0"/>
        <w:spacing w:line="360" w:lineRule="auto"/>
        <w:jc w:val="center"/>
        <w:rPr>
          <w:rFonts w:hint="eastAsia" w:ascii="黑体"/>
          <w:color w:val="auto"/>
          <w:sz w:val="28"/>
          <w:szCs w:val="28"/>
        </w:rPr>
      </w:pPr>
      <w:r>
        <w:rPr>
          <w:rFonts w:hint="eastAsia" w:ascii="黑体"/>
          <w:color w:val="auto"/>
          <w:sz w:val="28"/>
          <w:szCs w:val="28"/>
        </w:rPr>
        <w:t>二O二</w:t>
      </w:r>
      <w:r>
        <w:rPr>
          <w:rFonts w:hint="eastAsia" w:ascii="黑体"/>
          <w:color w:val="auto"/>
          <w:sz w:val="28"/>
          <w:szCs w:val="28"/>
          <w:u w:val="single"/>
        </w:rPr>
        <w:t xml:space="preserve">    </w:t>
      </w:r>
      <w:r>
        <w:rPr>
          <w:rFonts w:hint="eastAsia" w:ascii="黑体"/>
          <w:color w:val="auto"/>
          <w:sz w:val="28"/>
          <w:szCs w:val="28"/>
        </w:rPr>
        <w:t>年</w:t>
      </w:r>
      <w:r>
        <w:rPr>
          <w:rFonts w:hint="eastAsia" w:ascii="黑体"/>
          <w:color w:val="auto"/>
          <w:sz w:val="28"/>
          <w:szCs w:val="28"/>
          <w:u w:val="single"/>
        </w:rPr>
        <w:t xml:space="preserve">   </w:t>
      </w:r>
      <w:r>
        <w:rPr>
          <w:rFonts w:hint="eastAsia" w:ascii="黑体"/>
          <w:color w:val="auto"/>
          <w:sz w:val="28"/>
          <w:szCs w:val="28"/>
        </w:rPr>
        <w:t>月</w:t>
      </w:r>
    </w:p>
    <w:p>
      <w:pPr>
        <w:adjustRightInd w:val="0"/>
        <w:snapToGrid w:val="0"/>
        <w:spacing w:line="360" w:lineRule="auto"/>
        <w:jc w:val="center"/>
        <w:rPr>
          <w:rFonts w:hint="eastAsia" w:ascii="黑体"/>
          <w:color w:val="auto"/>
          <w:sz w:val="28"/>
          <w:szCs w:val="28"/>
        </w:rPr>
      </w:pPr>
    </w:p>
    <w:p>
      <w:pPr>
        <w:adjustRightInd w:val="0"/>
        <w:snapToGrid w:val="0"/>
        <w:spacing w:line="360" w:lineRule="auto"/>
        <w:jc w:val="center"/>
        <w:rPr>
          <w:rFonts w:hint="eastAsia" w:ascii="黑体"/>
          <w:color w:val="auto"/>
          <w:szCs w:val="21"/>
        </w:rPr>
      </w:pPr>
    </w:p>
    <w:p>
      <w:pPr>
        <w:adjustRightInd w:val="0"/>
        <w:snapToGrid w:val="0"/>
        <w:spacing w:line="360" w:lineRule="auto"/>
        <w:jc w:val="center"/>
        <w:rPr>
          <w:rFonts w:hint="eastAsia" w:ascii="黑体"/>
          <w:color w:val="auto"/>
          <w:szCs w:val="21"/>
        </w:rPr>
      </w:pPr>
    </w:p>
    <w:p>
      <w:pPr>
        <w:pStyle w:val="39"/>
        <w:rPr>
          <w:rFonts w:hint="eastAsia"/>
          <w:color w:val="auto"/>
        </w:rPr>
      </w:pPr>
    </w:p>
    <w:p>
      <w:pPr>
        <w:adjustRightInd w:val="0"/>
        <w:snapToGrid w:val="0"/>
        <w:spacing w:line="360" w:lineRule="auto"/>
        <w:rPr>
          <w:rFonts w:hint="eastAsia" w:ascii="宋体" w:hAnsi="宋体"/>
          <w:color w:val="auto"/>
          <w:szCs w:val="21"/>
        </w:rPr>
      </w:pPr>
    </w:p>
    <w:p>
      <w:pPr>
        <w:adjustRightInd w:val="0"/>
        <w:snapToGrid w:val="0"/>
        <w:spacing w:line="360" w:lineRule="auto"/>
        <w:jc w:val="center"/>
        <w:rPr>
          <w:rFonts w:ascii="宋体" w:hAnsi="宋体"/>
          <w:color w:val="auto"/>
          <w:sz w:val="30"/>
          <w:szCs w:val="30"/>
        </w:rPr>
      </w:pPr>
      <w:r>
        <w:rPr>
          <w:rFonts w:hint="eastAsia" w:ascii="宋体" w:hAnsi="宋体"/>
          <w:color w:val="auto"/>
          <w:sz w:val="30"/>
          <w:szCs w:val="30"/>
        </w:rPr>
        <w:t>采 购 （专 用）</w:t>
      </w:r>
      <w:r>
        <w:rPr>
          <w:rFonts w:ascii="宋体" w:hAnsi="宋体"/>
          <w:color w:val="auto"/>
          <w:sz w:val="30"/>
          <w:szCs w:val="30"/>
        </w:rPr>
        <w:t xml:space="preserve"> </w:t>
      </w:r>
      <w:r>
        <w:rPr>
          <w:rFonts w:hint="eastAsia" w:ascii="宋体" w:hAnsi="宋体"/>
          <w:color w:val="auto"/>
          <w:sz w:val="30"/>
          <w:szCs w:val="30"/>
        </w:rPr>
        <w:t>合</w:t>
      </w:r>
      <w:r>
        <w:rPr>
          <w:rFonts w:ascii="宋体" w:hAnsi="宋体"/>
          <w:color w:val="auto"/>
          <w:sz w:val="30"/>
          <w:szCs w:val="30"/>
        </w:rPr>
        <w:t xml:space="preserve"> </w:t>
      </w:r>
      <w:r>
        <w:rPr>
          <w:rFonts w:hint="eastAsia" w:ascii="宋体" w:hAnsi="宋体"/>
          <w:color w:val="auto"/>
          <w:sz w:val="30"/>
          <w:szCs w:val="30"/>
        </w:rPr>
        <w:t>同</w:t>
      </w:r>
    </w:p>
    <w:p>
      <w:pPr>
        <w:adjustRightInd w:val="0"/>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甲方：</w:t>
      </w:r>
      <w:r>
        <w:rPr>
          <w:rFonts w:hint="eastAsia" w:ascii="宋体" w:hAnsi="宋体" w:cs="宋体"/>
          <w:color w:val="auto"/>
          <w:sz w:val="24"/>
          <w:szCs w:val="24"/>
          <w:lang w:eastAsia="zh-CN"/>
        </w:rPr>
        <w:t>霍城县中医医院</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乙方：                                </w:t>
      </w:r>
    </w:p>
    <w:p>
      <w:pPr>
        <w:widowControl/>
        <w:adjustRightInd w:val="0"/>
        <w:snapToGrid w:val="0"/>
        <w:spacing w:line="360" w:lineRule="auto"/>
        <w:ind w:left="182" w:leftChars="86" w:firstLine="379" w:firstLineChars="171"/>
        <w:rPr>
          <w:rFonts w:hint="eastAsia" w:ascii="宋体" w:hAnsi="宋体" w:eastAsia="宋体" w:cs="宋体"/>
          <w:color w:val="auto"/>
          <w:sz w:val="22"/>
          <w:szCs w:val="22"/>
        </w:rPr>
      </w:pPr>
      <w:r>
        <w:rPr>
          <w:rFonts w:hint="eastAsia" w:ascii="宋体" w:hAnsi="宋体" w:cs="宋体"/>
          <w:color w:val="auto"/>
          <w:sz w:val="22"/>
          <w:szCs w:val="22"/>
          <w:lang w:eastAsia="zh-CN"/>
        </w:rPr>
        <w:t>霍城县中医医院</w:t>
      </w:r>
      <w:r>
        <w:rPr>
          <w:rFonts w:hint="eastAsia" w:ascii="宋体" w:hAnsi="宋体" w:eastAsia="宋体" w:cs="宋体"/>
          <w:color w:val="auto"/>
          <w:sz w:val="22"/>
          <w:szCs w:val="22"/>
        </w:rPr>
        <w:t>（以下简称甲方）经</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组织的招标采购，选定</w:t>
      </w:r>
      <w:r>
        <w:rPr>
          <w:rFonts w:hint="eastAsia" w:ascii="宋体" w:hAnsi="宋体" w:eastAsia="宋体" w:cs="宋体"/>
          <w:color w:val="auto"/>
          <w:sz w:val="22"/>
          <w:szCs w:val="22"/>
          <w:u w:val="single"/>
        </w:rPr>
        <w:t xml:space="preserve">                                                                                    （                  （</w:t>
      </w:r>
      <w:r>
        <w:rPr>
          <w:rFonts w:hint="eastAsia" w:ascii="宋体" w:hAnsi="宋体" w:eastAsia="宋体" w:cs="宋体"/>
          <w:color w:val="auto"/>
          <w:sz w:val="22"/>
          <w:szCs w:val="22"/>
        </w:rPr>
        <w:t>以下简称乙方</w:t>
      </w:r>
      <w:r>
        <w:rPr>
          <w:rFonts w:hint="eastAsia" w:ascii="宋体" w:hAnsi="宋体" w:eastAsia="宋体" w:cs="宋体"/>
          <w:color w:val="auto"/>
          <w:sz w:val="22"/>
          <w:szCs w:val="22"/>
          <w:u w:val="single"/>
        </w:rPr>
        <w:t>）</w:t>
      </w:r>
      <w:r>
        <w:rPr>
          <w:rFonts w:hint="eastAsia" w:ascii="宋体" w:hAnsi="宋体" w:eastAsia="宋体" w:cs="宋体"/>
          <w:color w:val="auto"/>
          <w:sz w:val="22"/>
          <w:szCs w:val="22"/>
        </w:rPr>
        <w:t>：为提供</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产品的</w:t>
      </w:r>
      <w:r>
        <w:rPr>
          <w:rFonts w:hint="eastAsia" w:ascii="宋体" w:hAnsi="宋体" w:eastAsia="宋体" w:cs="宋体"/>
          <w:color w:val="auto"/>
          <w:sz w:val="22"/>
          <w:szCs w:val="22"/>
          <w:u w:val="single"/>
        </w:rPr>
        <w:t>中标单位</w:t>
      </w:r>
      <w:r>
        <w:rPr>
          <w:rFonts w:hint="eastAsia" w:ascii="宋体" w:hAnsi="宋体" w:eastAsia="宋体" w:cs="宋体"/>
          <w:color w:val="auto"/>
          <w:sz w:val="22"/>
          <w:szCs w:val="22"/>
        </w:rPr>
        <w:t>。依据《中华人民共和国民法典》、《中华人民共和国政府采购法》及相关法律、法规，经甲、乙双方共同协商，按下述条款签署本合同。</w:t>
      </w:r>
    </w:p>
    <w:p>
      <w:pPr>
        <w:widowControl/>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一、合同标的、规格、数量、单价 </w:t>
      </w:r>
    </w:p>
    <w:tbl>
      <w:tblPr>
        <w:tblStyle w:val="41"/>
        <w:tblW w:w="10419" w:type="dxa"/>
        <w:jc w:val="center"/>
        <w:tblLayout w:type="fixed"/>
        <w:tblCellMar>
          <w:top w:w="0" w:type="dxa"/>
          <w:left w:w="108" w:type="dxa"/>
          <w:bottom w:w="0" w:type="dxa"/>
          <w:right w:w="108" w:type="dxa"/>
        </w:tblCellMar>
      </w:tblPr>
      <w:tblGrid>
        <w:gridCol w:w="855"/>
        <w:gridCol w:w="1266"/>
        <w:gridCol w:w="1062"/>
        <w:gridCol w:w="867"/>
        <w:gridCol w:w="850"/>
        <w:gridCol w:w="917"/>
        <w:gridCol w:w="1750"/>
        <w:gridCol w:w="1033"/>
        <w:gridCol w:w="800"/>
        <w:gridCol w:w="1019"/>
      </w:tblGrid>
      <w:tr>
        <w:tblPrEx>
          <w:tblCellMar>
            <w:top w:w="0" w:type="dxa"/>
            <w:left w:w="108" w:type="dxa"/>
            <w:bottom w:w="0" w:type="dxa"/>
            <w:right w:w="108" w:type="dxa"/>
          </w:tblCellMar>
        </w:tblPrEx>
        <w:trPr>
          <w:cantSplit/>
          <w:trHeight w:val="453" w:hRule="exact"/>
          <w:jc w:val="center"/>
        </w:trPr>
        <w:tc>
          <w:tcPr>
            <w:tcW w:w="85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项目序号</w:t>
            </w:r>
          </w:p>
        </w:tc>
        <w:tc>
          <w:tcPr>
            <w:tcW w:w="126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名   称</w:t>
            </w:r>
          </w:p>
          <w:p>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（通用名）</w:t>
            </w:r>
          </w:p>
        </w:tc>
        <w:tc>
          <w:tcPr>
            <w:tcW w:w="106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国产/进口</w:t>
            </w:r>
          </w:p>
        </w:tc>
        <w:tc>
          <w:tcPr>
            <w:tcW w:w="86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宋体" w:hAnsi="宋体" w:eastAsia="宋体" w:cs="宋体"/>
                <w:color w:val="auto"/>
                <w:sz w:val="22"/>
                <w:szCs w:val="22"/>
              </w:rPr>
            </w:pP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技术参 数</w:t>
            </w:r>
          </w:p>
        </w:tc>
        <w:tc>
          <w:tcPr>
            <w:tcW w:w="91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宋体" w:hAnsi="宋体" w:eastAsia="宋体" w:cs="宋体"/>
                <w:color w:val="auto"/>
                <w:sz w:val="22"/>
                <w:szCs w:val="22"/>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投标方报价</w:t>
            </w:r>
          </w:p>
        </w:tc>
        <w:tc>
          <w:tcPr>
            <w:tcW w:w="103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合同总价</w:t>
            </w:r>
          </w:p>
        </w:tc>
        <w:tc>
          <w:tcPr>
            <w:tcW w:w="80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金额大写</w:t>
            </w:r>
          </w:p>
        </w:tc>
        <w:tc>
          <w:tcPr>
            <w:tcW w:w="10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both"/>
              <w:rPr>
                <w:rFonts w:hint="eastAsia" w:ascii="宋体" w:hAnsi="宋体" w:eastAsia="宋体" w:cs="宋体"/>
                <w:color w:val="auto"/>
                <w:sz w:val="22"/>
                <w:szCs w:val="22"/>
              </w:rPr>
            </w:pPr>
            <w:r>
              <w:rPr>
                <w:rFonts w:hint="eastAsia" w:ascii="宋体" w:hAnsi="宋体" w:eastAsia="宋体" w:cs="宋体"/>
                <w:color w:val="auto"/>
                <w:sz w:val="22"/>
                <w:szCs w:val="22"/>
              </w:rPr>
              <w:t>收货人及电话</w:t>
            </w:r>
          </w:p>
        </w:tc>
      </w:tr>
      <w:tr>
        <w:tblPrEx>
          <w:tblCellMar>
            <w:top w:w="0" w:type="dxa"/>
            <w:left w:w="108" w:type="dxa"/>
            <w:bottom w:w="0" w:type="dxa"/>
            <w:right w:w="108" w:type="dxa"/>
          </w:tblCellMar>
        </w:tblPrEx>
        <w:trPr>
          <w:cantSplit/>
          <w:trHeight w:val="411" w:hRule="atLeast"/>
          <w:jc w:val="center"/>
        </w:trPr>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126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品名型</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号</w:t>
            </w: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91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数量</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color w:val="auto"/>
                <w:sz w:val="22"/>
                <w:szCs w:val="22"/>
              </w:rPr>
            </w:pPr>
            <w:r>
              <w:rPr>
                <w:rFonts w:hint="eastAsia" w:ascii="宋体" w:hAnsi="宋体" w:eastAsia="宋体" w:cs="宋体"/>
                <w:color w:val="auto"/>
                <w:sz w:val="22"/>
                <w:szCs w:val="22"/>
              </w:rPr>
              <w:t>单价（元/支）</w:t>
            </w:r>
          </w:p>
        </w:tc>
        <w:tc>
          <w:tcPr>
            <w:tcW w:w="1033"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 w:val="22"/>
                <w:szCs w:val="22"/>
              </w:rPr>
            </w:pPr>
          </w:p>
        </w:tc>
      </w:tr>
      <w:tr>
        <w:tblPrEx>
          <w:tblCellMar>
            <w:top w:w="0" w:type="dxa"/>
            <w:left w:w="108" w:type="dxa"/>
            <w:bottom w:w="0" w:type="dxa"/>
            <w:right w:w="108" w:type="dxa"/>
          </w:tblCellMar>
        </w:tblPrEx>
        <w:trPr>
          <w:cantSplit/>
          <w:trHeight w:val="803"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宋体" w:hAnsi="宋体" w:eastAsia="宋体" w:cs="宋体"/>
                <w:color w:val="auto"/>
                <w:sz w:val="22"/>
                <w:szCs w:val="22"/>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91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宋体" w:hAnsi="宋体" w:eastAsia="宋体" w:cs="宋体"/>
                <w:color w:val="auto"/>
                <w:sz w:val="22"/>
                <w:szCs w:val="22"/>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101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 w:val="22"/>
                <w:szCs w:val="22"/>
              </w:rPr>
            </w:pPr>
          </w:p>
        </w:tc>
      </w:tr>
      <w:tr>
        <w:tblPrEx>
          <w:tblCellMar>
            <w:top w:w="0" w:type="dxa"/>
            <w:left w:w="108" w:type="dxa"/>
            <w:bottom w:w="0" w:type="dxa"/>
            <w:right w:w="108" w:type="dxa"/>
          </w:tblCellMar>
        </w:tblPrEx>
        <w:trPr>
          <w:cantSplit/>
          <w:trHeight w:val="551"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宋体" w:hAnsi="宋体" w:eastAsia="宋体" w:cs="宋体"/>
                <w:color w:val="auto"/>
                <w:sz w:val="22"/>
                <w:szCs w:val="22"/>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91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宋体" w:hAnsi="宋体" w:eastAsia="宋体" w:cs="宋体"/>
                <w:color w:val="auto"/>
                <w:sz w:val="22"/>
                <w:szCs w:val="22"/>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color w:val="auto"/>
                <w:sz w:val="22"/>
                <w:szCs w:val="22"/>
              </w:rPr>
            </w:pPr>
          </w:p>
        </w:tc>
        <w:tc>
          <w:tcPr>
            <w:tcW w:w="101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 w:val="22"/>
                <w:szCs w:val="22"/>
              </w:rPr>
            </w:pPr>
          </w:p>
        </w:tc>
      </w:tr>
      <w:tr>
        <w:tblPrEx>
          <w:tblCellMar>
            <w:top w:w="0" w:type="dxa"/>
            <w:left w:w="108" w:type="dxa"/>
            <w:bottom w:w="0" w:type="dxa"/>
            <w:right w:w="108" w:type="dxa"/>
          </w:tblCellMar>
        </w:tblPrEx>
        <w:trPr>
          <w:cantSplit/>
          <w:trHeight w:val="755" w:hRule="atLeast"/>
          <w:jc w:val="center"/>
        </w:trPr>
        <w:tc>
          <w:tcPr>
            <w:tcW w:w="21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合同总价</w:t>
            </w:r>
          </w:p>
        </w:tc>
        <w:tc>
          <w:tcPr>
            <w:tcW w:w="106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宋体" w:hAnsi="宋体" w:eastAsia="宋体" w:cs="宋体"/>
                <w:color w:val="auto"/>
                <w:sz w:val="22"/>
                <w:szCs w:val="22"/>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宋体" w:hAnsi="宋体" w:eastAsia="宋体" w:cs="宋体"/>
                <w:color w:val="auto"/>
                <w:sz w:val="22"/>
                <w:szCs w:val="22"/>
              </w:rPr>
            </w:pPr>
          </w:p>
        </w:tc>
        <w:tc>
          <w:tcPr>
            <w:tcW w:w="6369"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宋体" w:hAnsi="宋体" w:eastAsia="宋体" w:cs="宋体"/>
                <w:color w:val="auto"/>
                <w:kern w:val="0"/>
                <w:sz w:val="22"/>
                <w:szCs w:val="22"/>
              </w:rPr>
            </w:pPr>
          </w:p>
          <w:p>
            <w:pPr>
              <w:adjustRightInd w:val="0"/>
              <w:snapToGrid w:val="0"/>
              <w:spacing w:line="360" w:lineRule="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人民币大写</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sz w:val="22"/>
                <w:szCs w:val="22"/>
              </w:rPr>
              <w:t xml:space="preserve"> </w:t>
            </w:r>
            <w:r>
              <w:rPr>
                <w:rFonts w:hint="eastAsia" w:ascii="宋体" w:hAnsi="宋体" w:eastAsia="宋体" w:cs="宋体"/>
                <w:color w:val="auto"/>
                <w:kern w:val="0"/>
                <w:sz w:val="22"/>
                <w:szCs w:val="22"/>
              </w:rPr>
              <w:t>（小写￥</w:t>
            </w:r>
            <w:r>
              <w:rPr>
                <w:rFonts w:hint="eastAsia" w:ascii="宋体" w:hAnsi="宋体" w:eastAsia="宋体" w:cs="宋体"/>
                <w:color w:val="auto"/>
                <w:sz w:val="22"/>
                <w:szCs w:val="22"/>
              </w:rPr>
              <w:t xml:space="preserve">      </w:t>
            </w:r>
            <w:r>
              <w:rPr>
                <w:rFonts w:hint="eastAsia" w:ascii="宋体" w:hAnsi="宋体" w:eastAsia="宋体" w:cs="宋体"/>
                <w:color w:val="auto"/>
                <w:kern w:val="0"/>
                <w:sz w:val="22"/>
                <w:szCs w:val="22"/>
              </w:rPr>
              <w:t>元）</w:t>
            </w:r>
          </w:p>
          <w:p>
            <w:pPr>
              <w:widowControl/>
              <w:adjustRightInd w:val="0"/>
              <w:snapToGrid w:val="0"/>
              <w:jc w:val="left"/>
              <w:rPr>
                <w:rFonts w:hint="eastAsia" w:ascii="宋体" w:hAnsi="宋体" w:eastAsia="宋体" w:cs="宋体"/>
                <w:color w:val="auto"/>
                <w:sz w:val="22"/>
                <w:szCs w:val="22"/>
              </w:rPr>
            </w:pPr>
          </w:p>
        </w:tc>
      </w:tr>
    </w:tbl>
    <w:p>
      <w:pPr>
        <w:adjustRightInd w:val="0"/>
        <w:snapToGrid w:val="0"/>
        <w:spacing w:line="360" w:lineRule="auto"/>
        <w:rPr>
          <w:rFonts w:hint="eastAsia" w:ascii="宋体" w:hAnsi="宋体" w:eastAsia="宋体" w:cs="宋体"/>
          <w:color w:val="auto"/>
          <w:spacing w:val="-20"/>
          <w:sz w:val="22"/>
          <w:szCs w:val="22"/>
        </w:rPr>
      </w:pPr>
      <w:r>
        <w:rPr>
          <w:rFonts w:hint="eastAsia" w:ascii="宋体" w:hAnsi="宋体" w:eastAsia="宋体" w:cs="宋体"/>
          <w:color w:val="auto"/>
          <w:spacing w:val="-20"/>
          <w:sz w:val="22"/>
          <w:szCs w:val="22"/>
        </w:rPr>
        <w:t>说      明：</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（一） 合同总价包含到达交货地点的运杂费、技术服务（相关技术指导）、运输费、保险费、培训及其他各项费用。</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（二）合同总价包括乙方销售本合同产品，国家根据现行税法向乙方征收的与履行合同有关的一切税费。</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（三） 合同总价一次包死，不受市场价格变化的影响，并作为结算的唯一依据。</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二、产品质量要求</w:t>
      </w:r>
    </w:p>
    <w:p>
      <w:pPr>
        <w:adjustRightInd w:val="0"/>
        <w:snapToGrid w:val="0"/>
        <w:spacing w:line="360" w:lineRule="auto"/>
        <w:ind w:firstLine="444"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（一） 国家标准：</w:t>
      </w:r>
      <w:r>
        <w:rPr>
          <w:rFonts w:hint="eastAsia" w:ascii="宋体" w:hAnsi="宋体" w:eastAsia="宋体" w:cs="宋体"/>
          <w:color w:val="auto"/>
          <w:sz w:val="22"/>
          <w:szCs w:val="22"/>
          <w:u w:val="single"/>
        </w:rPr>
        <w:t xml:space="preserve">                            </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（二）行业标准：</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                             </w:t>
      </w:r>
    </w:p>
    <w:p>
      <w:pPr>
        <w:adjustRightInd w:val="0"/>
        <w:snapToGrid w:val="0"/>
        <w:spacing w:line="360" w:lineRule="auto"/>
        <w:ind w:firstLine="444"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（三） 样品标准：</w:t>
      </w:r>
      <w:r>
        <w:rPr>
          <w:rFonts w:hint="eastAsia" w:ascii="宋体" w:hAnsi="宋体" w:eastAsia="宋体" w:cs="宋体"/>
          <w:color w:val="auto"/>
          <w:sz w:val="22"/>
          <w:szCs w:val="22"/>
          <w:u w:val="single"/>
        </w:rPr>
        <w:t xml:space="preserve">  乙方按甲方要求制作样品，该样品由甲乙双方封样，由甲方保存 </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四）乙方应保证其提供的产品是全新的、未使用过的，采用的是最佳材料和一流工艺，并在各个方面符合合同规定的质量、规格和性能要求。提供的产品和投标文件一致。在规定的质量保证期内，乙方应对任何缺陷负责。除合同中另有规定外，出现上述情况乙方应在收到甲方通知后</w:t>
      </w:r>
      <w:r>
        <w:rPr>
          <w:rFonts w:hint="eastAsia" w:ascii="宋体" w:hAnsi="宋体" w:eastAsia="宋体" w:cs="宋体"/>
          <w:color w:val="auto"/>
          <w:sz w:val="22"/>
          <w:szCs w:val="22"/>
          <w:highlight w:val="yellow"/>
          <w:u w:val="single"/>
        </w:rPr>
        <w:t>7</w:t>
      </w:r>
      <w:r>
        <w:rPr>
          <w:rFonts w:hint="eastAsia" w:ascii="宋体" w:hAnsi="宋体" w:eastAsia="宋体" w:cs="宋体"/>
          <w:color w:val="auto"/>
          <w:sz w:val="22"/>
          <w:szCs w:val="22"/>
        </w:rPr>
        <w:t>天内，免费负责更换新的产品。对造成的损失甲方保留索赔的权利。</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（五）因乙方产品发生知识产权纠纷、质量问题导致的产品被监管部门没收、罚款或召回及因第三方主张民事权利等造成的甲方经济损失和相关费用均由乙方承担。</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三、包装方式及包装品处理</w:t>
      </w:r>
    </w:p>
    <w:p>
      <w:pPr>
        <w:adjustRightInd w:val="0"/>
        <w:snapToGrid w:val="0"/>
        <w:spacing w:line="360" w:lineRule="auto"/>
        <w:ind w:firstLine="444"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（一）包装方式：</w:t>
      </w:r>
      <w:r>
        <w:rPr>
          <w:rFonts w:hint="eastAsia" w:ascii="宋体" w:hAnsi="宋体" w:eastAsia="宋体" w:cs="宋体"/>
          <w:color w:val="auto"/>
          <w:sz w:val="22"/>
          <w:szCs w:val="22"/>
          <w:u w:val="single"/>
        </w:rPr>
        <w:t xml:space="preserve">                           </w:t>
      </w:r>
    </w:p>
    <w:p>
      <w:pPr>
        <w:adjustRightInd w:val="0"/>
        <w:snapToGrid w:val="0"/>
        <w:spacing w:line="360" w:lineRule="auto"/>
        <w:ind w:firstLine="444"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（二）包装品处理：</w:t>
      </w:r>
      <w:r>
        <w:rPr>
          <w:rFonts w:hint="eastAsia" w:ascii="宋体" w:hAnsi="宋体" w:eastAsia="宋体" w:cs="宋体"/>
          <w:color w:val="auto"/>
          <w:sz w:val="22"/>
          <w:szCs w:val="22"/>
          <w:u w:val="single"/>
        </w:rPr>
        <w:t xml:space="preserve">                         </w:t>
      </w:r>
    </w:p>
    <w:p>
      <w:pPr>
        <w:numPr>
          <w:ilvl w:val="0"/>
          <w:numId w:val="10"/>
        </w:num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交货方式</w:t>
      </w:r>
    </w:p>
    <w:p>
      <w:pPr>
        <w:adjustRightInd w:val="0"/>
        <w:snapToGrid w:val="0"/>
        <w:spacing w:line="360" w:lineRule="auto"/>
        <w:ind w:firstLine="444"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（一）交货期限：</w:t>
      </w:r>
      <w:r>
        <w:rPr>
          <w:rFonts w:hint="eastAsia" w:ascii="宋体" w:hAnsi="宋体" w:eastAsia="宋体" w:cs="宋体"/>
          <w:color w:val="auto"/>
          <w:sz w:val="22"/>
          <w:szCs w:val="22"/>
          <w:u w:val="single"/>
        </w:rPr>
        <w:t xml:space="preserve">                                </w:t>
      </w:r>
    </w:p>
    <w:p>
      <w:pPr>
        <w:adjustRightInd w:val="0"/>
        <w:snapToGrid w:val="0"/>
        <w:spacing w:line="360" w:lineRule="auto"/>
        <w:ind w:firstLine="444"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（二）交货地点：</w:t>
      </w:r>
      <w:r>
        <w:rPr>
          <w:rFonts w:hint="eastAsia" w:ascii="宋体" w:hAnsi="宋体" w:eastAsia="宋体" w:cs="宋体"/>
          <w:color w:val="auto"/>
          <w:sz w:val="22"/>
          <w:szCs w:val="22"/>
          <w:u w:val="single"/>
        </w:rPr>
        <w:t xml:space="preserve">甲方指定地点 </w:t>
      </w:r>
    </w:p>
    <w:p>
      <w:pPr>
        <w:adjustRightInd w:val="0"/>
        <w:snapToGrid w:val="0"/>
        <w:spacing w:line="360" w:lineRule="auto"/>
        <w:ind w:firstLine="444"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（三）运输方式：</w:t>
      </w:r>
      <w:r>
        <w:rPr>
          <w:rFonts w:hint="eastAsia" w:ascii="宋体" w:hAnsi="宋体" w:eastAsia="宋体" w:cs="宋体"/>
          <w:color w:val="auto"/>
          <w:sz w:val="22"/>
          <w:szCs w:val="22"/>
          <w:u w:val="single"/>
        </w:rPr>
        <w:t xml:space="preserve">乙方负责运输到甲方指定地点               </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w:t>
      </w:r>
    </w:p>
    <w:p>
      <w:pPr>
        <w:pStyle w:val="18"/>
        <w:adjustRightInd w:val="0"/>
        <w:snapToGrid w:val="0"/>
        <w:rPr>
          <w:rFonts w:hint="eastAsia" w:ascii="宋体" w:hAnsi="宋体" w:eastAsia="宋体" w:cs="宋体"/>
          <w:color w:val="auto"/>
          <w:sz w:val="22"/>
          <w:szCs w:val="22"/>
        </w:rPr>
      </w:pPr>
      <w:r>
        <w:rPr>
          <w:rFonts w:hint="eastAsia" w:ascii="宋体" w:hAnsi="宋体" w:eastAsia="宋体" w:cs="宋体"/>
          <w:color w:val="auto"/>
          <w:sz w:val="22"/>
          <w:szCs w:val="22"/>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pPr>
        <w:numPr>
          <w:ilvl w:val="0"/>
          <w:numId w:val="10"/>
        </w:num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验收</w:t>
      </w:r>
    </w:p>
    <w:p>
      <w:pPr>
        <w:adjustRightInd w:val="0"/>
        <w:snapToGrid w:val="0"/>
        <w:spacing w:line="360" w:lineRule="auto"/>
        <w:ind w:left="424" w:left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 （一）验收时间：</w:t>
      </w:r>
      <w:r>
        <w:rPr>
          <w:rFonts w:hint="eastAsia" w:ascii="宋体" w:hAnsi="宋体" w:eastAsia="宋体" w:cs="宋体"/>
          <w:color w:val="auto"/>
          <w:sz w:val="22"/>
          <w:szCs w:val="22"/>
          <w:u w:val="single"/>
        </w:rPr>
        <w:t xml:space="preserve"> 货到现场验收 。   </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（二）验收方式：</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验收按照下列要求验收，如一项不合格，视同产品不合格：</w:t>
      </w:r>
    </w:p>
    <w:p>
      <w:pPr>
        <w:adjustRightInd w:val="0"/>
        <w:snapToGrid w:val="0"/>
        <w:spacing w:line="360" w:lineRule="auto"/>
        <w:ind w:firstLine="681" w:firstLineChars="307"/>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 1 \* GB2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⑴</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资料验收：供方交货前应按合同规定的要求，提供相关的技术资料。</w:t>
      </w:r>
    </w:p>
    <w:p>
      <w:pPr>
        <w:adjustRightInd w:val="0"/>
        <w:snapToGrid w:val="0"/>
        <w:spacing w:line="360" w:lineRule="auto"/>
        <w:ind w:left="212" w:leftChars="100" w:firstLine="459" w:firstLineChars="207"/>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 2 \* GB2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⑵</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 xml:space="preserve">实物验收：包括产品名称、数量、规格和包装等外观形态。质保期剩余期限不得低于该产品限定质保期的 </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w:t>
      </w:r>
    </w:p>
    <w:p>
      <w:pPr>
        <w:adjustRightInd w:val="0"/>
        <w:snapToGrid w:val="0"/>
        <w:spacing w:line="360" w:lineRule="auto"/>
        <w:ind w:firstLine="681" w:firstLineChars="307"/>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 3 \* GB2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⑶</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产品质量抽检复核。</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（三）安装验收：</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产品如需安装验收，自设备正常运转</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highlight w:val="yellow"/>
          <w:u w:val="single"/>
        </w:rPr>
        <w:t>7</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天后，视为验收合格。</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四）特殊产品（指疫苗等生物产品）乙方交货时，同时应当提供该批产品由药品检验机构依法签发的生物制品每批检验合格或者审核批准证明复印件，并加盖企业印章。销售进口产品的，还应当提供进口药品通关单复印件，并加盖企业印章。甲方在产品质量保证期内有权进行抽检复核，如发现产品质量问题，乙方应按照甲方要求及时予以退换。</w:t>
      </w:r>
    </w:p>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（五）质量争议：对产品质量发生争议由</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检验机构进行检验，检验费由违约方承担。  </w:t>
      </w:r>
    </w:p>
    <w:p>
      <w:pPr>
        <w:adjustRightInd w:val="0"/>
        <w:snapToGrid w:val="0"/>
        <w:spacing w:line="360" w:lineRule="auto"/>
        <w:ind w:firstLine="666" w:firstLineChars="300"/>
        <w:rPr>
          <w:rFonts w:hint="eastAsia" w:ascii="宋体" w:hAnsi="宋体" w:eastAsia="宋体" w:cs="宋体"/>
          <w:color w:val="auto"/>
          <w:sz w:val="22"/>
          <w:szCs w:val="22"/>
        </w:rPr>
      </w:pPr>
      <w:r>
        <w:rPr>
          <w:rFonts w:hint="eastAsia" w:ascii="宋体" w:hAnsi="宋体" w:eastAsia="宋体" w:cs="宋体"/>
          <w:color w:val="auto"/>
          <w:sz w:val="22"/>
          <w:szCs w:val="22"/>
        </w:rPr>
        <w:t>（六）  乙方接到甲方对产品质量提出异议的通知后，天内负责处理并通知甲方处理情况，否则即视为默认甲方提出的异议和处理意见。</w:t>
      </w:r>
    </w:p>
    <w:p>
      <w:pPr>
        <w:adjustRightInd w:val="0"/>
        <w:snapToGrid w:val="0"/>
        <w:spacing w:line="360" w:lineRule="auto"/>
        <w:ind w:firstLine="666" w:firstLineChars="300"/>
        <w:rPr>
          <w:rFonts w:hint="eastAsia" w:ascii="宋体" w:hAnsi="宋体" w:eastAsia="宋体" w:cs="宋体"/>
          <w:color w:val="auto"/>
          <w:sz w:val="22"/>
          <w:szCs w:val="22"/>
        </w:rPr>
      </w:pPr>
      <w:r>
        <w:rPr>
          <w:rFonts w:hint="eastAsia" w:ascii="宋体" w:hAnsi="宋体" w:eastAsia="宋体" w:cs="宋体"/>
          <w:color w:val="auto"/>
          <w:sz w:val="22"/>
          <w:szCs w:val="22"/>
        </w:rPr>
        <w:t xml:space="preserve">（七）甲方因使用、保管、保养不善等造成产品质量下降的，不得提出异议。 </w:t>
      </w:r>
    </w:p>
    <w:p>
      <w:pPr>
        <w:adjustRightInd w:val="0"/>
        <w:snapToGrid w:val="0"/>
        <w:spacing w:line="360" w:lineRule="auto"/>
        <w:ind w:firstLine="666" w:firstLineChars="300"/>
        <w:rPr>
          <w:rFonts w:hint="eastAsia" w:ascii="宋体" w:hAnsi="宋体" w:eastAsia="宋体" w:cs="宋体"/>
          <w:color w:val="auto"/>
          <w:sz w:val="22"/>
          <w:szCs w:val="22"/>
        </w:rPr>
      </w:pPr>
      <w:r>
        <w:rPr>
          <w:rFonts w:hint="eastAsia" w:ascii="宋体" w:hAnsi="宋体" w:eastAsia="宋体" w:cs="宋体"/>
          <w:color w:val="auto"/>
          <w:sz w:val="22"/>
          <w:szCs w:val="22"/>
        </w:rPr>
        <w:t xml:space="preserve">（八）货物符合合同约定的技术规范要求和验收标准的，甲方签署验收合格证明 。                    </w:t>
      </w:r>
    </w:p>
    <w:p>
      <w:pPr>
        <w:adjustRightInd w:val="0"/>
        <w:snapToGrid w:val="0"/>
        <w:spacing w:line="360" w:lineRule="auto"/>
        <w:ind w:firstLine="444" w:firstLineChars="200"/>
        <w:outlineLvl w:val="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六、款项支付</w:t>
      </w:r>
    </w:p>
    <w:p>
      <w:pPr>
        <w:adjustRightInd w:val="0"/>
        <w:snapToGrid w:val="0"/>
        <w:spacing w:line="360" w:lineRule="auto"/>
        <w:ind w:firstLine="333" w:firstLineChars="150"/>
        <w:rPr>
          <w:rFonts w:hint="eastAsia" w:ascii="宋体" w:hAnsi="宋体" w:eastAsia="宋体" w:cs="宋体"/>
          <w:color w:val="auto"/>
          <w:sz w:val="22"/>
          <w:szCs w:val="22"/>
        </w:rPr>
      </w:pPr>
      <w:r>
        <w:rPr>
          <w:rFonts w:hint="eastAsia" w:ascii="宋体" w:hAnsi="宋体" w:eastAsia="宋体" w:cs="宋体"/>
          <w:color w:val="auto"/>
          <w:sz w:val="22"/>
          <w:szCs w:val="22"/>
        </w:rPr>
        <w:t>（一）履约保证金</w:t>
      </w:r>
    </w:p>
    <w:p>
      <w:pPr>
        <w:adjustRightInd w:val="0"/>
        <w:snapToGrid w:val="0"/>
        <w:spacing w:line="360" w:lineRule="auto"/>
        <w:ind w:firstLine="333" w:firstLineChars="150"/>
        <w:rPr>
          <w:rFonts w:hint="eastAsia" w:ascii="宋体" w:hAnsi="宋体" w:eastAsia="宋体" w:cs="宋体"/>
          <w:color w:val="auto"/>
          <w:sz w:val="22"/>
          <w:szCs w:val="22"/>
        </w:rPr>
      </w:pPr>
      <w:r>
        <w:rPr>
          <w:rFonts w:hint="eastAsia" w:ascii="宋体" w:hAnsi="宋体" w:eastAsia="宋体" w:cs="宋体"/>
          <w:color w:val="auto"/>
          <w:sz w:val="22"/>
          <w:szCs w:val="22"/>
        </w:rPr>
        <w:t xml:space="preserve">   为保证乙方能够按合同履约，乙方应交付10%履约保证金</w:t>
      </w:r>
      <w:r>
        <w:rPr>
          <w:rFonts w:hint="eastAsia" w:ascii="宋体" w:hAnsi="宋体" w:eastAsia="宋体" w:cs="宋体"/>
          <w:color w:val="auto"/>
          <w:sz w:val="22"/>
          <w:szCs w:val="22"/>
          <w:u w:val="single"/>
        </w:rPr>
        <w:t xml:space="preserve">           元。</w:t>
      </w:r>
      <w:r>
        <w:rPr>
          <w:rFonts w:hint="eastAsia" w:ascii="宋体" w:hAnsi="宋体" w:eastAsia="宋体" w:cs="宋体"/>
          <w:color w:val="auto"/>
          <w:sz w:val="22"/>
          <w:szCs w:val="22"/>
        </w:rPr>
        <w:t>如物资为设备类，则该履约金自动转为质保金，保证金在质保期开始计算时，转为质保金，待质保期届满（无违约责任）后返还（无息）。如乙方有违约行为，甲方可用该保证金冲抵甲方的损失及乙方的违约金。</w:t>
      </w:r>
    </w:p>
    <w:p>
      <w:pPr>
        <w:adjustRightInd w:val="0"/>
        <w:snapToGrid w:val="0"/>
        <w:spacing w:line="360" w:lineRule="auto"/>
        <w:ind w:firstLine="333" w:firstLineChars="150"/>
        <w:rPr>
          <w:rFonts w:hint="eastAsia" w:ascii="宋体" w:hAnsi="宋体" w:eastAsia="宋体" w:cs="宋体"/>
          <w:color w:val="auto"/>
          <w:sz w:val="22"/>
          <w:szCs w:val="22"/>
        </w:rPr>
      </w:pPr>
      <w:r>
        <w:rPr>
          <w:rFonts w:hint="eastAsia" w:ascii="宋体" w:hAnsi="宋体" w:eastAsia="宋体" w:cs="宋体"/>
          <w:color w:val="auto"/>
          <w:sz w:val="22"/>
          <w:szCs w:val="22"/>
        </w:rPr>
        <w:t>（二）货款支付：</w:t>
      </w:r>
    </w:p>
    <w:p>
      <w:pPr>
        <w:adjustRightInd w:val="0"/>
        <w:snapToGrid w:val="0"/>
        <w:spacing w:line="360" w:lineRule="auto"/>
        <w:ind w:firstLine="333" w:firstLineChars="150"/>
        <w:rPr>
          <w:rFonts w:hint="eastAsia" w:ascii="宋体" w:hAnsi="宋体" w:eastAsia="宋体" w:cs="宋体"/>
          <w:color w:val="auto"/>
          <w:sz w:val="22"/>
          <w:szCs w:val="22"/>
        </w:rPr>
      </w:pPr>
      <w:r>
        <w:rPr>
          <w:rFonts w:hint="eastAsia" w:ascii="宋体" w:hAnsi="宋体" w:eastAsia="宋体" w:cs="宋体"/>
          <w:color w:val="auto"/>
          <w:sz w:val="22"/>
          <w:szCs w:val="22"/>
        </w:rPr>
        <w:t>合同总价包含到达交货地点的运杂费、技术服务（相关技术指导）、运输费、保险费、培训、税费及其他各项费用。</w:t>
      </w:r>
    </w:p>
    <w:p>
      <w:pPr>
        <w:numPr>
          <w:ilvl w:val="0"/>
          <w:numId w:val="11"/>
        </w:numPr>
        <w:adjustRightInd w:val="0"/>
        <w:snapToGrid w:val="0"/>
        <w:spacing w:line="360" w:lineRule="auto"/>
        <w:ind w:firstLine="333" w:firstLineChars="150"/>
        <w:rPr>
          <w:rFonts w:hint="eastAsia" w:ascii="宋体" w:hAnsi="宋体" w:eastAsia="宋体" w:cs="宋体"/>
          <w:color w:val="auto"/>
          <w:sz w:val="22"/>
          <w:szCs w:val="22"/>
        </w:rPr>
      </w:pPr>
      <w:r>
        <w:rPr>
          <w:rFonts w:hint="eastAsia" w:ascii="宋体" w:hAnsi="宋体" w:eastAsia="宋体" w:cs="宋体"/>
          <w:color w:val="auto"/>
          <w:sz w:val="22"/>
          <w:szCs w:val="22"/>
        </w:rPr>
        <w:t>双方约定，合同签订后，乙方向甲方交纳10%履约金</w:t>
      </w:r>
      <w:r>
        <w:rPr>
          <w:rFonts w:hint="eastAsia" w:ascii="宋体" w:hAnsi="宋体" w:eastAsia="宋体" w:cs="宋体"/>
          <w:color w:val="auto"/>
          <w:sz w:val="22"/>
          <w:szCs w:val="22"/>
          <w:u w:val="single"/>
        </w:rPr>
        <w:t xml:space="preserve">           元</w:t>
      </w:r>
      <w:r>
        <w:rPr>
          <w:rFonts w:hint="eastAsia" w:ascii="宋体" w:hAnsi="宋体" w:eastAsia="宋体" w:cs="宋体"/>
          <w:color w:val="auto"/>
          <w:sz w:val="22"/>
          <w:szCs w:val="22"/>
        </w:rPr>
        <w:t>后，乙方向甲方开具合同全额发票，甲方收到履约金和全额发票后向乙方支付全额货款。乙方按照甲方需求分批次供货，待所有货物验收合格后，甲方向乙方无息退款履约金</w:t>
      </w:r>
      <w:r>
        <w:rPr>
          <w:rFonts w:hint="eastAsia" w:ascii="宋体" w:hAnsi="宋体" w:eastAsia="宋体" w:cs="宋体"/>
          <w:color w:val="auto"/>
          <w:sz w:val="22"/>
          <w:szCs w:val="22"/>
          <w:u w:val="single"/>
        </w:rPr>
        <w:t xml:space="preserve">           元。</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 xml:space="preserve">（2）质保金为货款总额 </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 %  </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  元，质保期届满</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工作日返回。</w:t>
      </w:r>
    </w:p>
    <w:p>
      <w:pPr>
        <w:adjustRightInd w:val="0"/>
        <w:snapToGrid w:val="0"/>
        <w:spacing w:line="360" w:lineRule="auto"/>
        <w:ind w:firstLine="555" w:firstLineChars="250"/>
        <w:rPr>
          <w:rFonts w:hint="eastAsia" w:ascii="宋体" w:hAnsi="宋体" w:eastAsia="宋体" w:cs="宋体"/>
          <w:color w:val="auto"/>
          <w:sz w:val="22"/>
          <w:szCs w:val="22"/>
        </w:rPr>
      </w:pPr>
      <w:r>
        <w:rPr>
          <w:rFonts w:hint="eastAsia" w:ascii="宋体" w:hAnsi="宋体" w:eastAsia="宋体" w:cs="宋体"/>
          <w:color w:val="auto"/>
          <w:sz w:val="22"/>
          <w:szCs w:val="22"/>
        </w:rPr>
        <w:t>（3）双方约定，合同签订后，乙方按照甲方需求一次性供货，所有货物验收合格后，乙方向甲方开具合同全额发票，甲方收到发票后向乙方支付货款</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w:t>
      </w:r>
    </w:p>
    <w:p>
      <w:pPr>
        <w:adjustRightInd w:val="0"/>
        <w:snapToGrid w:val="0"/>
        <w:spacing w:line="360" w:lineRule="auto"/>
        <w:ind w:firstLine="333" w:firstLineChars="150"/>
        <w:rPr>
          <w:rFonts w:hint="eastAsia" w:ascii="宋体" w:hAnsi="宋体" w:eastAsia="宋体" w:cs="宋体"/>
          <w:color w:val="auto"/>
          <w:kern w:val="0"/>
          <w:sz w:val="22"/>
          <w:szCs w:val="22"/>
        </w:rPr>
      </w:pPr>
      <w:r>
        <w:rPr>
          <w:rFonts w:hint="eastAsia" w:ascii="宋体" w:hAnsi="宋体" w:eastAsia="宋体" w:cs="宋体"/>
          <w:color w:val="auto"/>
          <w:sz w:val="22"/>
          <w:szCs w:val="22"/>
        </w:rPr>
        <w:t>（4）</w:t>
      </w:r>
      <w:r>
        <w:rPr>
          <w:rFonts w:hint="eastAsia" w:ascii="宋体" w:hAnsi="宋体" w:eastAsia="宋体" w:cs="宋体"/>
          <w:color w:val="auto"/>
          <w:kern w:val="0"/>
          <w:sz w:val="22"/>
          <w:szCs w:val="22"/>
        </w:rPr>
        <w:t>付款要求：甲方财务凭下列单据支付货款（按甲乙各方的义务提交）：</w:t>
      </w:r>
    </w:p>
    <w:p>
      <w:pPr>
        <w:widowControl/>
        <w:shd w:val="clear" w:color="auto" w:fill="FFFFFF"/>
        <w:adjustRightInd w:val="0"/>
        <w:snapToGrid w:val="0"/>
        <w:spacing w:line="360" w:lineRule="auto"/>
        <w:ind w:firstLine="444"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（a）全额发票（原件及复印件各1份）；（b）合同复印件（1份）；（c）中标通知书原件及复印件（1份）（d）自治区疾控中心采购验收单；（e）乙方供货清单（盖章） ； （f）自治区疾控中心物资采购廉洁合同（见附件1）；（g）自治区疾控中心使用科室付款说明  ；（h）供应商评价表（见附件2需由使用科室签字确认）；应乙方提交单据不全导致甲方财务未能付款的，甲方不承担逾期付款责任。</w:t>
      </w:r>
    </w:p>
    <w:p>
      <w:pPr>
        <w:widowControl/>
        <w:shd w:val="clear" w:color="auto" w:fill="FFFFFF"/>
        <w:adjustRightInd w:val="0"/>
        <w:snapToGrid w:val="0"/>
        <w:spacing w:line="360" w:lineRule="auto"/>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   （三）付款信息:</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kern w:val="0"/>
          <w:sz w:val="22"/>
          <w:szCs w:val="22"/>
        </w:rPr>
        <w:t>甲方：</w:t>
      </w:r>
      <w:r>
        <w:rPr>
          <w:rFonts w:hint="eastAsia" w:ascii="宋体" w:hAnsi="宋体" w:eastAsia="宋体" w:cs="宋体"/>
          <w:color w:val="auto"/>
          <w:sz w:val="22"/>
          <w:szCs w:val="22"/>
        </w:rPr>
        <w:t xml:space="preserve">税号：                  </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乙方：税号：           </w:t>
      </w:r>
    </w:p>
    <w:p>
      <w:pPr>
        <w:adjustRightInd w:val="0"/>
        <w:snapToGrid w:val="0"/>
        <w:spacing w:line="360" w:lineRule="exact"/>
        <w:ind w:firstLine="555" w:firstLineChars="250"/>
        <w:rPr>
          <w:rFonts w:hint="eastAsia" w:ascii="宋体" w:hAnsi="宋体" w:eastAsia="宋体" w:cs="宋体"/>
          <w:color w:val="auto"/>
          <w:sz w:val="22"/>
          <w:szCs w:val="22"/>
        </w:rPr>
      </w:pPr>
      <w:r>
        <w:rPr>
          <w:rFonts w:hint="eastAsia" w:ascii="宋体" w:hAnsi="宋体" w:eastAsia="宋体" w:cs="宋体"/>
          <w:color w:val="auto"/>
          <w:sz w:val="22"/>
          <w:szCs w:val="22"/>
        </w:rPr>
        <w:t xml:space="preserve">开 户 行：     </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开 户 行：</w:t>
      </w:r>
    </w:p>
    <w:p>
      <w:pPr>
        <w:tabs>
          <w:tab w:val="center" w:pos="5070"/>
        </w:tabs>
        <w:adjustRightInd w:val="0"/>
        <w:snapToGrid w:val="0"/>
        <w:spacing w:line="360" w:lineRule="exact"/>
        <w:ind w:firstLine="555" w:firstLineChars="250"/>
        <w:rPr>
          <w:rFonts w:hint="eastAsia" w:ascii="宋体" w:hAnsi="宋体" w:eastAsia="宋体" w:cs="宋体"/>
          <w:color w:val="auto"/>
          <w:sz w:val="22"/>
          <w:szCs w:val="22"/>
        </w:rPr>
      </w:pPr>
      <w:r>
        <w:rPr>
          <w:rFonts w:hint="eastAsia" w:ascii="宋体" w:hAnsi="宋体" w:eastAsia="宋体" w:cs="宋体"/>
          <w:color w:val="auto"/>
          <w:sz w:val="22"/>
          <w:szCs w:val="22"/>
        </w:rPr>
        <w:t xml:space="preserve">开户行号：                     </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开户行号：</w:t>
      </w:r>
    </w:p>
    <w:p>
      <w:pPr>
        <w:widowControl/>
        <w:shd w:val="clear" w:color="auto" w:fill="FFFFFF"/>
        <w:adjustRightInd w:val="0"/>
        <w:snapToGrid w:val="0"/>
        <w:spacing w:line="360" w:lineRule="auto"/>
        <w:ind w:firstLine="444" w:firstLineChars="200"/>
        <w:jc w:val="left"/>
        <w:rPr>
          <w:rFonts w:hint="eastAsia" w:ascii="宋体" w:hAnsi="宋体" w:eastAsia="宋体" w:cs="宋体"/>
          <w:color w:val="auto"/>
          <w:kern w:val="0"/>
          <w:sz w:val="22"/>
          <w:szCs w:val="22"/>
        </w:rPr>
      </w:pPr>
      <w:r>
        <w:rPr>
          <w:rFonts w:hint="eastAsia" w:ascii="宋体" w:hAnsi="宋体" w:eastAsia="宋体" w:cs="宋体"/>
          <w:color w:val="auto"/>
          <w:sz w:val="22"/>
          <w:szCs w:val="22"/>
        </w:rPr>
        <w:t xml:space="preserve"> 帐   号:                  </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 帐   号：   </w:t>
      </w:r>
    </w:p>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七、延期交货与核定损失额</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如果乙方未能按合同规定的时间按期交货(不可抗力除外)，在乙方同意支付核定损失额的条件下，甲方可适当延长交货期。核定损失额的支付将从未付款或从履约保证金中扣除。核定损失额计付比率为每迟交1天，按货物全额的</w:t>
      </w:r>
      <w:r>
        <w:rPr>
          <w:rFonts w:hint="eastAsia" w:ascii="宋体" w:hAnsi="宋体" w:eastAsia="宋体" w:cs="宋体"/>
          <w:color w:val="auto"/>
          <w:sz w:val="22"/>
          <w:szCs w:val="22"/>
          <w:highlight w:val="yellow"/>
          <w:u w:val="single"/>
        </w:rPr>
        <w:t xml:space="preserve"> 8</w:t>
      </w:r>
      <w:r>
        <w:rPr>
          <w:rFonts w:hint="eastAsia" w:ascii="宋体" w:hAnsi="宋体" w:eastAsia="宋体" w:cs="宋体"/>
          <w:color w:val="auto"/>
          <w:sz w:val="22"/>
          <w:szCs w:val="22"/>
          <w:u w:val="single"/>
        </w:rPr>
        <w:t>%</w:t>
      </w:r>
      <w:r>
        <w:rPr>
          <w:rFonts w:hint="eastAsia" w:ascii="宋体" w:hAnsi="宋体" w:eastAsia="宋体" w:cs="宋体"/>
          <w:color w:val="auto"/>
          <w:sz w:val="22"/>
          <w:szCs w:val="22"/>
        </w:rPr>
        <w:t xml:space="preserve">。如果乙方 </w:t>
      </w:r>
      <w:r>
        <w:rPr>
          <w:rFonts w:hint="eastAsia" w:ascii="宋体" w:hAnsi="宋体" w:eastAsia="宋体" w:cs="宋体"/>
          <w:color w:val="auto"/>
          <w:sz w:val="22"/>
          <w:szCs w:val="22"/>
          <w:highlight w:val="yellow"/>
          <w:u w:val="single"/>
        </w:rPr>
        <w:t>7</w:t>
      </w:r>
      <w:r>
        <w:rPr>
          <w:rFonts w:hint="eastAsia" w:ascii="宋体" w:hAnsi="宋体" w:eastAsia="宋体" w:cs="宋体"/>
          <w:color w:val="auto"/>
          <w:sz w:val="22"/>
          <w:szCs w:val="22"/>
        </w:rPr>
        <w:t>天后仍不能交货，甲方有权因乙方违约终止合同，而乙方仍有义务支付上述迟交核定损失金额。</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八、保密</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双方保证对从另一方取得且无法自公开渠道获得的商业秘密（技术信息、经济信息及其他商业秘密）予以保密。未经对方同意不得向任何第三方泄露该商业秘密。</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九、保修与售后服务</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（一）、质保期为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年， 自产品最终验收合格之日起至质保期届满且经甲方确认无任何质量问题时止。在质保期内因产品质量造成产品不能正常使用，影响不能正常工作时间从质保期扣除。</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（二）、接到甲方通知，乙方应在</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小时内派遣相关人员到达现场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小时内维修完毕；发生紧急抢修事故的，乙方应在接到甲方通知后立即赶往现场排除故障。乙方未在约定时间到达现场，甲方可另选第三方修复，相关费用由乙方承担。乙方未在约定时间内修复的或同一产品经</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 次维修后仍不能稳定、可靠运行的，甲方有权要求乙方免费更换。</w:t>
      </w:r>
      <w:r>
        <w:rPr>
          <w:rStyle w:val="169"/>
          <w:rFonts w:hint="eastAsia" w:ascii="宋体" w:hAnsi="宋体" w:eastAsia="宋体" w:cs="宋体"/>
          <w:color w:val="auto"/>
          <w:sz w:val="22"/>
          <w:szCs w:val="22"/>
        </w:rPr>
        <w:t>返修或更换部件后的产品保修期应重新计算。</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（三）、在质保期内，乙方应对产品出现的质量及安全问题负责处理解决并承担一切费用。</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 xml:space="preserve">（四）、质保期届满后，乙方对本合同项下产品提供终身维修服务，且维修时只收取所需维修部件的成本费              </w:t>
      </w:r>
    </w:p>
    <w:p>
      <w:pPr>
        <w:adjustRightInd w:val="0"/>
        <w:snapToGrid w:val="0"/>
        <w:spacing w:line="360" w:lineRule="auto"/>
        <w:ind w:firstLine="325" w:firstLineChars="147"/>
        <w:rPr>
          <w:rFonts w:hint="eastAsia" w:ascii="宋体" w:hAnsi="宋体" w:eastAsia="宋体" w:cs="宋体"/>
          <w:color w:val="auto"/>
          <w:sz w:val="22"/>
          <w:szCs w:val="22"/>
        </w:rPr>
      </w:pPr>
      <w:r>
        <w:rPr>
          <w:rFonts w:hint="eastAsia" w:ascii="宋体" w:hAnsi="宋体" w:eastAsia="宋体" w:cs="宋体"/>
          <w:color w:val="auto"/>
          <w:sz w:val="22"/>
          <w:szCs w:val="22"/>
        </w:rPr>
        <w:t>十、不可抗力</w:t>
      </w:r>
    </w:p>
    <w:p>
      <w:pPr>
        <w:adjustRightInd w:val="0"/>
        <w:snapToGrid w:val="0"/>
        <w:spacing w:line="360" w:lineRule="auto"/>
        <w:ind w:firstLine="325" w:firstLineChars="147"/>
        <w:rPr>
          <w:rFonts w:hint="eastAsia" w:ascii="宋体" w:hAnsi="宋体" w:eastAsia="宋体" w:cs="宋体"/>
          <w:color w:val="auto"/>
          <w:sz w:val="22"/>
          <w:szCs w:val="22"/>
        </w:rPr>
      </w:pPr>
      <w:r>
        <w:rPr>
          <w:rFonts w:hint="eastAsia" w:ascii="宋体" w:hAnsi="宋体" w:eastAsia="宋体" w:cs="宋体"/>
          <w:color w:val="auto"/>
          <w:sz w:val="22"/>
          <w:szCs w:val="22"/>
        </w:rPr>
        <w:t>本合同所称不可抗力是指不能预见、不能克服、不能避免并对另一方造成重大影响的客观事件。包括但不限于自然灾害如洪水、地震、火灾和风暴等以及社会事件如战争、动乱、政府行为等。</w:t>
      </w:r>
    </w:p>
    <w:p>
      <w:pPr>
        <w:adjustRightInd w:val="0"/>
        <w:snapToGrid w:val="0"/>
        <w:spacing w:line="360" w:lineRule="auto"/>
        <w:ind w:firstLine="325" w:firstLineChars="147"/>
        <w:rPr>
          <w:rFonts w:hint="eastAsia" w:ascii="宋体" w:hAnsi="宋体" w:eastAsia="宋体" w:cs="宋体"/>
          <w:color w:val="auto"/>
          <w:sz w:val="22"/>
          <w:szCs w:val="22"/>
        </w:rPr>
      </w:pPr>
      <w:r>
        <w:rPr>
          <w:rFonts w:hint="eastAsia" w:ascii="宋体" w:hAnsi="宋体" w:eastAsia="宋体" w:cs="宋体"/>
          <w:color w:val="auto"/>
          <w:sz w:val="22"/>
          <w:szCs w:val="22"/>
        </w:rPr>
        <w:t>如遇不可抗力事件的一方导致合同无法履行时，应立即将事故情况书面告知另一方，并在</w:t>
      </w:r>
      <w:r>
        <w:rPr>
          <w:rFonts w:hint="eastAsia" w:ascii="宋体" w:hAnsi="宋体" w:eastAsia="宋体" w:cs="宋体"/>
          <w:color w:val="auto"/>
          <w:sz w:val="22"/>
          <w:szCs w:val="22"/>
          <w:highlight w:val="yellow"/>
          <w:u w:val="single"/>
        </w:rPr>
        <w:t>3</w:t>
      </w:r>
      <w:r>
        <w:rPr>
          <w:rFonts w:hint="eastAsia" w:ascii="宋体" w:hAnsi="宋体" w:eastAsia="宋体" w:cs="宋体"/>
          <w:color w:val="auto"/>
          <w:sz w:val="22"/>
          <w:szCs w:val="22"/>
        </w:rPr>
        <w:t>天内，提供事故详情。</w:t>
      </w:r>
    </w:p>
    <w:p>
      <w:pPr>
        <w:adjustRightInd w:val="0"/>
        <w:snapToGrid w:val="0"/>
        <w:spacing w:line="360" w:lineRule="auto"/>
        <w:ind w:firstLine="325" w:firstLineChars="147"/>
        <w:rPr>
          <w:rFonts w:hint="eastAsia" w:ascii="宋体" w:hAnsi="宋体" w:eastAsia="宋体" w:cs="宋体"/>
          <w:color w:val="auto"/>
          <w:sz w:val="22"/>
          <w:szCs w:val="22"/>
        </w:rPr>
      </w:pPr>
      <w:r>
        <w:rPr>
          <w:rFonts w:hint="eastAsia" w:ascii="宋体" w:hAnsi="宋体" w:eastAsia="宋体" w:cs="宋体"/>
          <w:color w:val="auto"/>
          <w:sz w:val="22"/>
          <w:szCs w:val="22"/>
        </w:rPr>
        <w:t>十一、违约责任</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（一）、在补救违约而采取的任何其他措施未能实现的情况下，即在乙方收到甲方发出的违约整改通知后</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highlight w:val="yellow"/>
          <w:u w:val="single"/>
        </w:rPr>
        <w:t>3</w:t>
      </w:r>
      <w:r>
        <w:rPr>
          <w:rFonts w:hint="eastAsia" w:ascii="宋体" w:hAnsi="宋体" w:eastAsia="宋体" w:cs="宋体"/>
          <w:color w:val="auto"/>
          <w:sz w:val="22"/>
          <w:szCs w:val="22"/>
        </w:rPr>
        <w:t>天内(或经甲方书面确认的更长时间内)仍未纠正其下述任何一种违约行为，甲方可向乙方发出书面解除通知，终止全部或部分合同条款：</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(1)如果乙方未能在合同规定的期限内或甲方准许的任何延期内交付部分或全部产品。</w:t>
      </w:r>
    </w:p>
    <w:p>
      <w:pPr>
        <w:adjustRightInd w:val="0"/>
        <w:snapToGrid w:val="0"/>
        <w:spacing w:line="360" w:lineRule="auto"/>
        <w:ind w:firstLine="111" w:firstLineChars="50"/>
        <w:rPr>
          <w:rFonts w:hint="eastAsia" w:ascii="宋体" w:hAnsi="宋体" w:eastAsia="宋体" w:cs="宋体"/>
          <w:color w:val="auto"/>
          <w:sz w:val="22"/>
          <w:szCs w:val="22"/>
        </w:rPr>
      </w:pPr>
      <w:r>
        <w:rPr>
          <w:rFonts w:hint="eastAsia" w:ascii="宋体" w:hAnsi="宋体" w:eastAsia="宋体" w:cs="宋体"/>
          <w:color w:val="auto"/>
          <w:sz w:val="22"/>
          <w:szCs w:val="22"/>
        </w:rPr>
        <w:t xml:space="preserve">   (2)乙方未能履行合同项下的其它义务。</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（二）、因乙方违约致使甲方终止合同时，乙方除退还甲方已付全部货款及资金占用费外，应无条件承担合同总价30%的违约金。</w:t>
      </w:r>
    </w:p>
    <w:p>
      <w:pPr>
        <w:adjustRightInd w:val="0"/>
        <w:snapToGrid w:val="0"/>
        <w:spacing w:line="360" w:lineRule="auto"/>
        <w:ind w:firstLine="333" w:firstLineChars="150"/>
        <w:rPr>
          <w:rFonts w:hint="eastAsia" w:ascii="宋体" w:hAnsi="宋体" w:eastAsia="宋体" w:cs="宋体"/>
          <w:color w:val="auto"/>
          <w:sz w:val="22"/>
          <w:szCs w:val="22"/>
        </w:rPr>
      </w:pPr>
      <w:r>
        <w:rPr>
          <w:rFonts w:hint="eastAsia" w:ascii="宋体" w:hAnsi="宋体" w:eastAsia="宋体" w:cs="宋体"/>
          <w:color w:val="auto"/>
          <w:sz w:val="22"/>
          <w:szCs w:val="22"/>
        </w:rPr>
        <w:t>（三）、严禁乙方转让合同，若乙方违约，则甲方有权终止合同，乙方承担合同总价30%的违约金。</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（四）：任何一方违约应承担守约方因主张权利而支付的所有费用，包含且不限于误工费、差旅费、住宿费、交通费、律师费等。</w:t>
      </w:r>
    </w:p>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十二、其它事项</w:t>
      </w:r>
    </w:p>
    <w:p>
      <w:pPr>
        <w:adjustRightInd w:val="0"/>
        <w:snapToGrid w:val="0"/>
        <w:spacing w:line="360" w:lineRule="auto"/>
        <w:ind w:firstLine="444"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（一）、招投标文件均作为合同不可分割的部分。解释顺序为招标文件、投标文件、合同、合同附件。</w:t>
      </w:r>
    </w:p>
    <w:p>
      <w:pPr>
        <w:adjustRightInd w:val="0"/>
        <w:snapToGrid w:val="0"/>
        <w:spacing w:line="360" w:lineRule="auto"/>
        <w:ind w:left="362" w:leftChars="171" w:firstLine="111" w:firstLineChars="50"/>
        <w:rPr>
          <w:rFonts w:hint="eastAsia" w:ascii="宋体" w:hAnsi="宋体" w:eastAsia="宋体" w:cs="宋体"/>
          <w:color w:val="auto"/>
          <w:sz w:val="22"/>
          <w:szCs w:val="22"/>
        </w:rPr>
      </w:pPr>
      <w:r>
        <w:rPr>
          <w:rFonts w:hint="eastAsia" w:ascii="宋体" w:hAnsi="宋体" w:eastAsia="宋体" w:cs="宋体"/>
          <w:color w:val="auto"/>
          <w:sz w:val="22"/>
          <w:szCs w:val="22"/>
        </w:rPr>
        <w:t>（二）、合同未尽事宜，由甲、乙双方协商，作为合同的补充与原合同具有同等法律效力。</w:t>
      </w:r>
    </w:p>
    <w:p>
      <w:pPr>
        <w:adjustRightInd w:val="0"/>
        <w:snapToGrid w:val="0"/>
        <w:spacing w:line="360" w:lineRule="auto"/>
        <w:ind w:left="362" w:leftChars="171" w:firstLine="111" w:firstLineChars="50"/>
        <w:rPr>
          <w:rFonts w:hint="eastAsia" w:ascii="宋体" w:hAnsi="宋体" w:eastAsia="宋体" w:cs="宋体"/>
          <w:color w:val="auto"/>
          <w:sz w:val="22"/>
          <w:szCs w:val="22"/>
        </w:rPr>
      </w:pPr>
      <w:r>
        <w:rPr>
          <w:rFonts w:hint="eastAsia" w:ascii="宋体" w:hAnsi="宋体" w:eastAsia="宋体" w:cs="宋体"/>
          <w:color w:val="auto"/>
          <w:sz w:val="22"/>
          <w:szCs w:val="22"/>
        </w:rPr>
        <w:t>（三）、双方如对履行合同发生争执，应友好协商解决，如协商不成，任何一方均可向甲方所在地法院提起诉讼。</w:t>
      </w:r>
    </w:p>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十三、 通知和送达</w:t>
      </w:r>
    </w:p>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甲、乙双方因履行本合同而相互发出或者提供的所有通知、文件、材料等均以本合同所列明的地址、电子邮箱、传真送达。一方迁址或者变更邮箱、传真电话的，应当五日内书面通知对方。</w:t>
      </w:r>
    </w:p>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以当面交付文件方式送达的，交付之时视为送达；以电子邮件方式送达的，发出电子邮件时视为送达；以传真方式送达的，发出传真时视为送达；以邮寄方式送达的，邮件交邮当日视为送达。</w:t>
      </w:r>
    </w:p>
    <w:p>
      <w:pPr>
        <w:adjustRightInd w:val="0"/>
        <w:snapToGrid w:val="0"/>
        <w:spacing w:line="360" w:lineRule="auto"/>
        <w:rPr>
          <w:rFonts w:hint="eastAsia" w:ascii="宋体" w:hAnsi="宋体" w:eastAsia="宋体" w:cs="宋体"/>
          <w:color w:val="auto"/>
          <w:sz w:val="22"/>
          <w:szCs w:val="22"/>
        </w:rPr>
      </w:pPr>
    </w:p>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十四、本合同签订时间、地点、履行期限</w:t>
      </w:r>
    </w:p>
    <w:p>
      <w:pPr>
        <w:adjustRightInd w:val="0"/>
        <w:snapToGrid w:val="0"/>
        <w:spacing w:line="360" w:lineRule="auto"/>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      （一）签订时间：</w:t>
      </w:r>
    </w:p>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（二）签订地点：</w:t>
      </w:r>
    </w:p>
    <w:p>
      <w:pPr>
        <w:adjustRightInd w:val="0"/>
        <w:snapToGrid w:val="0"/>
        <w:spacing w:line="360" w:lineRule="auto"/>
        <w:ind w:firstLine="651" w:firstLineChars="294"/>
        <w:rPr>
          <w:rFonts w:hint="eastAsia" w:ascii="宋体" w:hAnsi="宋体" w:eastAsia="宋体" w:cs="宋体"/>
          <w:color w:val="auto"/>
          <w:sz w:val="22"/>
          <w:szCs w:val="22"/>
        </w:rPr>
      </w:pPr>
      <w:r>
        <w:rPr>
          <w:rFonts w:hint="eastAsia" w:ascii="宋体" w:hAnsi="宋体" w:eastAsia="宋体" w:cs="宋体"/>
          <w:color w:val="auto"/>
          <w:sz w:val="22"/>
          <w:szCs w:val="22"/>
        </w:rPr>
        <w:t>（三）履行期限：本合同供求关系时间自二零二</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年</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月</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日起至二零二</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年</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月</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日，有效期限为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个月。</w:t>
      </w:r>
    </w:p>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十</w:t>
      </w:r>
      <w:r>
        <w:rPr>
          <w:rFonts w:hint="eastAsia" w:ascii="宋体" w:hAnsi="宋体" w:cs="宋体"/>
          <w:color w:val="auto"/>
          <w:sz w:val="22"/>
          <w:szCs w:val="22"/>
          <w:lang w:val="en-US" w:eastAsia="zh-CN"/>
        </w:rPr>
        <w:t>五</w:t>
      </w:r>
      <w:r>
        <w:rPr>
          <w:rFonts w:hint="eastAsia" w:ascii="宋体" w:hAnsi="宋体" w:eastAsia="宋体" w:cs="宋体"/>
          <w:color w:val="auto"/>
          <w:sz w:val="22"/>
          <w:szCs w:val="22"/>
        </w:rPr>
        <w:t>、合同签订及生效：本合同一式四份，甲方执叁份、乙方执壹份，双方签字并盖章后生效。</w:t>
      </w:r>
    </w:p>
    <w:p>
      <w:pPr>
        <w:adjustRightInd w:val="0"/>
        <w:snapToGrid w:val="0"/>
        <w:spacing w:line="360" w:lineRule="auto"/>
        <w:rPr>
          <w:rFonts w:hint="eastAsia" w:ascii="宋体" w:hAnsi="宋体" w:eastAsia="宋体" w:cs="宋体"/>
          <w:color w:val="auto"/>
          <w:sz w:val="22"/>
          <w:szCs w:val="22"/>
        </w:rPr>
      </w:pPr>
    </w:p>
    <w:p>
      <w:pPr>
        <w:adjustRightInd w:val="0"/>
        <w:snapToGrid w:val="0"/>
        <w:spacing w:line="360" w:lineRule="auto"/>
        <w:rPr>
          <w:rFonts w:hint="eastAsia" w:ascii="宋体" w:hAnsi="宋体" w:cs="宋体"/>
          <w:color w:val="auto"/>
          <w:sz w:val="22"/>
          <w:szCs w:val="22"/>
          <w:lang w:val="en-US" w:eastAsia="zh-CN"/>
        </w:rPr>
      </w:pPr>
      <w:r>
        <w:rPr>
          <w:rFonts w:hint="eastAsia" w:ascii="宋体" w:hAnsi="宋体" w:eastAsia="宋体" w:cs="宋体"/>
          <w:color w:val="auto"/>
          <w:sz w:val="22"/>
          <w:szCs w:val="22"/>
        </w:rPr>
        <w:t>甲    方                                      乙    方</w:t>
      </w:r>
      <w:r>
        <w:rPr>
          <w:rFonts w:hint="eastAsia" w:ascii="宋体" w:hAnsi="宋体" w:cs="宋体"/>
          <w:color w:val="auto"/>
          <w:sz w:val="22"/>
          <w:szCs w:val="22"/>
          <w:lang w:val="en-US" w:eastAsia="zh-CN"/>
        </w:rPr>
        <w:t xml:space="preserve">                     </w:t>
      </w:r>
    </w:p>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单位名称：                                 </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 单位名称： </w:t>
      </w:r>
    </w:p>
    <w:p>
      <w:pPr>
        <w:adjustRightInd w:val="0"/>
        <w:snapToGrid w:val="0"/>
        <w:spacing w:line="360" w:lineRule="auto"/>
        <w:ind w:right="-510" w:rightChars="-241" w:firstLine="1221" w:firstLineChars="550"/>
        <w:jc w:val="left"/>
        <w:rPr>
          <w:rFonts w:hint="eastAsia" w:ascii="宋体" w:hAnsi="宋体" w:eastAsia="宋体" w:cs="宋体"/>
          <w:color w:val="auto"/>
          <w:sz w:val="22"/>
          <w:szCs w:val="22"/>
        </w:rPr>
      </w:pPr>
      <w:r>
        <w:rPr>
          <w:rFonts w:hint="eastAsia" w:ascii="宋体" w:hAnsi="宋体" w:eastAsia="宋体" w:cs="宋体"/>
          <w:color w:val="auto"/>
          <w:sz w:val="22"/>
          <w:szCs w:val="22"/>
        </w:rPr>
        <w:t>（盖章）                                （盖章）</w:t>
      </w:r>
    </w:p>
    <w:p>
      <w:pPr>
        <w:adjustRightInd w:val="0"/>
        <w:snapToGrid w:val="0"/>
        <w:spacing w:line="360" w:lineRule="auto"/>
        <w:ind w:left="6429" w:leftChars="-57" w:right="-510" w:rightChars="-241" w:hanging="6549" w:hangingChars="2950"/>
        <w:rPr>
          <w:rFonts w:hint="eastAsia" w:ascii="宋体" w:hAnsi="宋体" w:eastAsia="宋体" w:cs="宋体"/>
          <w:color w:val="auto"/>
          <w:sz w:val="22"/>
          <w:szCs w:val="22"/>
        </w:rPr>
      </w:pPr>
      <w:r>
        <w:rPr>
          <w:rFonts w:hint="eastAsia" w:ascii="宋体" w:hAnsi="宋体" w:eastAsia="宋体" w:cs="宋体"/>
          <w:color w:val="auto"/>
          <w:sz w:val="22"/>
          <w:szCs w:val="22"/>
        </w:rPr>
        <w:t xml:space="preserve">地    址：                                   </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地  址： </w:t>
      </w:r>
    </w:p>
    <w:p>
      <w:pPr>
        <w:adjustRightInd w:val="0"/>
        <w:snapToGrid w:val="0"/>
        <w:spacing w:line="360" w:lineRule="auto"/>
        <w:ind w:left="6969" w:leftChars="3078" w:right="-510" w:rightChars="-241" w:hanging="444" w:hangingChars="200"/>
        <w:rPr>
          <w:rFonts w:hint="eastAsia" w:ascii="宋体" w:hAnsi="宋体" w:eastAsia="宋体" w:cs="宋体"/>
          <w:color w:val="auto"/>
          <w:sz w:val="22"/>
          <w:szCs w:val="22"/>
        </w:rPr>
      </w:pPr>
    </w:p>
    <w:p>
      <w:pPr>
        <w:adjustRightInd w:val="0"/>
        <w:snapToGrid w:val="0"/>
        <w:spacing w:line="360" w:lineRule="auto"/>
        <w:ind w:left="-362" w:leftChars="-171" w:right="-510" w:rightChars="-241" w:firstLine="222" w:firstLineChars="100"/>
        <w:rPr>
          <w:rFonts w:hint="eastAsia" w:ascii="宋体" w:hAnsi="宋体" w:eastAsia="宋体" w:cs="宋体"/>
          <w:color w:val="auto"/>
          <w:sz w:val="22"/>
          <w:szCs w:val="22"/>
        </w:rPr>
      </w:pPr>
      <w:r>
        <w:rPr>
          <w:rFonts w:hint="eastAsia" w:ascii="宋体" w:hAnsi="宋体" w:eastAsia="宋体" w:cs="宋体"/>
          <w:color w:val="auto"/>
          <w:sz w:val="22"/>
          <w:szCs w:val="22"/>
        </w:rPr>
        <w:t xml:space="preserve">法定代表人：                                  法定代表人（签字）： </w:t>
      </w:r>
    </w:p>
    <w:p>
      <w:pPr>
        <w:adjustRightInd w:val="0"/>
        <w:snapToGrid w:val="0"/>
        <w:spacing w:line="360" w:lineRule="auto"/>
        <w:ind w:left="-362" w:leftChars="-171" w:right="-510" w:rightChars="-241" w:firstLine="222" w:firstLineChars="100"/>
        <w:rPr>
          <w:rFonts w:hint="eastAsia" w:ascii="宋体" w:hAnsi="宋体" w:eastAsia="宋体" w:cs="宋体"/>
          <w:color w:val="auto"/>
          <w:sz w:val="22"/>
          <w:szCs w:val="22"/>
        </w:rPr>
      </w:pPr>
      <w:r>
        <w:rPr>
          <w:rFonts w:hint="eastAsia" w:ascii="宋体" w:hAnsi="宋体" w:eastAsia="宋体" w:cs="宋体"/>
          <w:color w:val="auto"/>
          <w:sz w:val="22"/>
          <w:szCs w:val="22"/>
        </w:rPr>
        <w:t>代 理 人：                                    代 理 人（签字）：</w:t>
      </w:r>
    </w:p>
    <w:p>
      <w:pPr>
        <w:adjustRightInd w:val="0"/>
        <w:snapToGrid w:val="0"/>
        <w:spacing w:line="360" w:lineRule="auto"/>
        <w:ind w:left="-362" w:leftChars="-171" w:right="-510" w:rightChars="-241" w:firstLine="222" w:firstLineChars="100"/>
        <w:rPr>
          <w:rFonts w:hint="eastAsia" w:ascii="宋体" w:hAnsi="宋体" w:eastAsia="宋体" w:cs="宋体"/>
          <w:color w:val="auto"/>
          <w:sz w:val="22"/>
          <w:szCs w:val="22"/>
        </w:rPr>
      </w:pPr>
      <w:r>
        <w:rPr>
          <w:rFonts w:hint="eastAsia" w:ascii="宋体" w:hAnsi="宋体" w:eastAsia="宋体" w:cs="宋体"/>
          <w:color w:val="auto"/>
          <w:sz w:val="22"/>
          <w:szCs w:val="22"/>
        </w:rPr>
        <w:t xml:space="preserve">联系电话：                                   </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联系电话：            </w:t>
      </w:r>
    </w:p>
    <w:p>
      <w:pPr>
        <w:adjustRightInd w:val="0"/>
        <w:snapToGrid w:val="0"/>
        <w:spacing w:line="360" w:lineRule="auto"/>
        <w:ind w:left="-362" w:leftChars="-171" w:right="-510" w:rightChars="-241" w:firstLine="6438" w:firstLineChars="2900"/>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p>
    <w:p>
      <w:pPr>
        <w:tabs>
          <w:tab w:val="left" w:pos="6720"/>
        </w:tabs>
        <w:adjustRightInd w:val="0"/>
        <w:snapToGrid w:val="0"/>
        <w:spacing w:line="360" w:lineRule="auto"/>
        <w:ind w:left="-362" w:leftChars="-171" w:right="-510" w:rightChars="-241" w:firstLine="2664" w:firstLineChars="1200"/>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p>
    <w:p>
      <w:pPr>
        <w:widowControl/>
        <w:adjustRightInd w:val="0"/>
        <w:snapToGrid w:val="0"/>
        <w:spacing w:after="150" w:line="560" w:lineRule="exact"/>
        <w:jc w:val="left"/>
        <w:rPr>
          <w:rFonts w:hint="eastAsia" w:ascii="宋体" w:hAnsi="宋体" w:eastAsia="宋体" w:cs="宋体"/>
          <w:color w:val="auto"/>
          <w:kern w:val="0"/>
          <w:sz w:val="22"/>
          <w:szCs w:val="22"/>
        </w:rPr>
      </w:pPr>
    </w:p>
    <w:p>
      <w:pPr>
        <w:widowControl/>
        <w:adjustRightInd w:val="0"/>
        <w:snapToGrid w:val="0"/>
        <w:spacing w:after="150" w:line="560" w:lineRule="exact"/>
        <w:jc w:val="left"/>
        <w:rPr>
          <w:rFonts w:hint="eastAsia" w:ascii="宋体" w:hAnsi="宋体" w:eastAsia="宋体" w:cs="宋体"/>
          <w:color w:val="auto"/>
          <w:kern w:val="0"/>
          <w:sz w:val="22"/>
          <w:szCs w:val="22"/>
        </w:rPr>
      </w:pPr>
    </w:p>
    <w:p>
      <w:pPr>
        <w:adjustRightInd w:val="0"/>
        <w:snapToGrid w:val="0"/>
        <w:spacing w:line="360" w:lineRule="auto"/>
        <w:rPr>
          <w:rFonts w:ascii="宋体" w:hAnsi="宋体"/>
          <w:b/>
          <w:color w:val="auto"/>
        </w:rPr>
      </w:pPr>
    </w:p>
    <w:p>
      <w:pPr>
        <w:spacing w:line="500" w:lineRule="exact"/>
        <w:jc w:val="both"/>
        <w:outlineLvl w:val="0"/>
        <w:rPr>
          <w:rFonts w:ascii="宋体" w:hAnsi="宋体"/>
          <w:b/>
          <w:color w:val="auto"/>
        </w:rPr>
      </w:pPr>
      <w:r>
        <w:rPr>
          <w:rFonts w:ascii="宋体" w:hAnsi="宋体"/>
          <w:b/>
          <w:color w:val="auto"/>
        </w:rPr>
        <w:br w:type="page"/>
      </w:r>
      <w:bookmarkStart w:id="21" w:name="_Toc19169"/>
      <w:r>
        <w:rPr>
          <w:rFonts w:hint="eastAsia" w:ascii="宋体" w:hAnsi="宋体"/>
          <w:b/>
          <w:color w:val="auto"/>
          <w:sz w:val="30"/>
          <w:szCs w:val="30"/>
        </w:rPr>
        <w:t>第五章 投标文件格式</w:t>
      </w:r>
      <w:bookmarkEnd w:id="21"/>
    </w:p>
    <w:p>
      <w:pPr>
        <w:pStyle w:val="83"/>
        <w:spacing w:line="500" w:lineRule="exact"/>
        <w:ind w:firstLine="7986" w:firstLineChars="3300"/>
        <w:jc w:val="both"/>
        <w:rPr>
          <w:rFonts w:ascii="宋体" w:hAnsi="宋体"/>
          <w:b/>
          <w:color w:val="auto"/>
        </w:rPr>
      </w:pPr>
      <w:r>
        <w:rPr>
          <w:rFonts w:hint="eastAsia" w:ascii="宋体" w:hAnsi="宋体"/>
          <w:b/>
          <w:color w:val="auto"/>
        </w:rPr>
        <w:t>正本/副本</w:t>
      </w:r>
    </w:p>
    <w:p>
      <w:pPr>
        <w:pStyle w:val="83"/>
        <w:spacing w:line="500" w:lineRule="exact"/>
        <w:jc w:val="center"/>
        <w:rPr>
          <w:rFonts w:ascii="宋体" w:hAnsi="宋体"/>
          <w:b/>
          <w:color w:val="auto"/>
          <w:sz w:val="30"/>
          <w:szCs w:val="30"/>
        </w:rPr>
      </w:pPr>
    </w:p>
    <w:p>
      <w:pPr>
        <w:pStyle w:val="83"/>
        <w:spacing w:line="500" w:lineRule="exact"/>
        <w:jc w:val="center"/>
        <w:rPr>
          <w:rFonts w:ascii="宋体" w:hAnsi="宋体"/>
          <w:b/>
          <w:color w:val="auto"/>
          <w:sz w:val="30"/>
          <w:szCs w:val="30"/>
        </w:rPr>
      </w:pPr>
    </w:p>
    <w:p>
      <w:pPr>
        <w:pStyle w:val="83"/>
        <w:spacing w:line="500" w:lineRule="exact"/>
        <w:jc w:val="center"/>
        <w:rPr>
          <w:rFonts w:ascii="宋体" w:hAnsi="宋体"/>
          <w:b/>
          <w:color w:val="auto"/>
          <w:sz w:val="30"/>
          <w:szCs w:val="30"/>
        </w:rPr>
      </w:pPr>
    </w:p>
    <w:p>
      <w:pPr>
        <w:pStyle w:val="83"/>
        <w:spacing w:line="500" w:lineRule="exact"/>
        <w:jc w:val="center"/>
        <w:rPr>
          <w:rFonts w:ascii="宋体" w:hAnsi="宋体"/>
          <w:b/>
          <w:color w:val="auto"/>
          <w:sz w:val="30"/>
          <w:szCs w:val="30"/>
        </w:rPr>
      </w:pPr>
    </w:p>
    <w:p>
      <w:pPr>
        <w:pStyle w:val="83"/>
        <w:spacing w:line="500" w:lineRule="exact"/>
        <w:jc w:val="center"/>
        <w:rPr>
          <w:rFonts w:ascii="宋体" w:hAnsi="宋体"/>
          <w:b/>
          <w:color w:val="auto"/>
          <w:sz w:val="30"/>
          <w:szCs w:val="30"/>
        </w:rPr>
      </w:pPr>
    </w:p>
    <w:p>
      <w:pPr>
        <w:pStyle w:val="83"/>
        <w:spacing w:line="500" w:lineRule="exact"/>
        <w:jc w:val="center"/>
        <w:rPr>
          <w:rFonts w:ascii="宋体" w:hAnsi="宋体"/>
          <w:color w:val="auto"/>
          <w:sz w:val="44"/>
          <w:szCs w:val="44"/>
        </w:rPr>
      </w:pPr>
      <w:r>
        <w:rPr>
          <w:rFonts w:hint="eastAsia" w:ascii="宋体" w:hAnsi="宋体"/>
          <w:b/>
          <w:color w:val="auto"/>
          <w:sz w:val="44"/>
          <w:szCs w:val="44"/>
        </w:rPr>
        <w:t>投标文件</w:t>
      </w:r>
    </w:p>
    <w:p>
      <w:pPr>
        <w:pStyle w:val="83"/>
        <w:spacing w:line="500" w:lineRule="exact"/>
        <w:jc w:val="both"/>
        <w:rPr>
          <w:rFonts w:ascii="宋体" w:hAnsi="宋体"/>
          <w:color w:val="auto"/>
        </w:rPr>
      </w:pPr>
    </w:p>
    <w:p>
      <w:pPr>
        <w:pStyle w:val="83"/>
        <w:spacing w:line="500" w:lineRule="exact"/>
        <w:jc w:val="both"/>
        <w:rPr>
          <w:rFonts w:ascii="宋体" w:hAnsi="宋体"/>
          <w:color w:val="auto"/>
        </w:rPr>
      </w:pPr>
    </w:p>
    <w:p>
      <w:pPr>
        <w:pStyle w:val="83"/>
        <w:spacing w:line="500" w:lineRule="exact"/>
        <w:jc w:val="both"/>
        <w:rPr>
          <w:rFonts w:ascii="宋体" w:hAnsi="宋体"/>
          <w:color w:val="auto"/>
        </w:rPr>
      </w:pPr>
    </w:p>
    <w:p>
      <w:pPr>
        <w:pStyle w:val="83"/>
        <w:spacing w:line="500" w:lineRule="exact"/>
        <w:jc w:val="both"/>
        <w:rPr>
          <w:rFonts w:ascii="宋体" w:hAnsi="宋体"/>
          <w:color w:val="auto"/>
        </w:rPr>
      </w:pPr>
    </w:p>
    <w:p>
      <w:pPr>
        <w:pStyle w:val="83"/>
        <w:spacing w:line="500" w:lineRule="exact"/>
        <w:jc w:val="both"/>
        <w:rPr>
          <w:rFonts w:ascii="宋体" w:hAnsi="宋体"/>
          <w:color w:val="auto"/>
        </w:rPr>
      </w:pPr>
    </w:p>
    <w:p>
      <w:pPr>
        <w:pStyle w:val="83"/>
        <w:spacing w:line="500" w:lineRule="exact"/>
        <w:jc w:val="both"/>
        <w:rPr>
          <w:rFonts w:ascii="宋体" w:hAnsi="宋体"/>
          <w:color w:val="auto"/>
        </w:rPr>
      </w:pPr>
    </w:p>
    <w:p>
      <w:pPr>
        <w:pStyle w:val="83"/>
        <w:spacing w:line="500" w:lineRule="exact"/>
        <w:ind w:firstLine="567"/>
        <w:jc w:val="both"/>
        <w:rPr>
          <w:rFonts w:ascii="宋体" w:hAnsi="宋体"/>
          <w:color w:val="auto"/>
        </w:rPr>
      </w:pPr>
    </w:p>
    <w:p>
      <w:pPr>
        <w:spacing w:line="500" w:lineRule="exact"/>
        <w:ind w:firstLine="604" w:firstLineChars="200"/>
        <w:rPr>
          <w:rFonts w:ascii="宋体" w:hAnsi="宋体"/>
          <w:color w:val="auto"/>
          <w:kern w:val="0"/>
          <w:sz w:val="30"/>
          <w:szCs w:val="30"/>
        </w:rPr>
      </w:pPr>
      <w:r>
        <w:rPr>
          <w:rFonts w:hint="eastAsia" w:ascii="宋体" w:hAnsi="宋体"/>
          <w:color w:val="auto"/>
          <w:kern w:val="0"/>
          <w:sz w:val="30"/>
          <w:szCs w:val="30"/>
        </w:rPr>
        <w:t xml:space="preserve">招标项目名称：                        </w:t>
      </w:r>
    </w:p>
    <w:p>
      <w:pPr>
        <w:spacing w:line="500" w:lineRule="exact"/>
        <w:ind w:left="1680" w:hanging="1680"/>
        <w:jc w:val="center"/>
        <w:rPr>
          <w:rFonts w:ascii="宋体" w:hAnsi="宋体"/>
          <w:color w:val="auto"/>
          <w:kern w:val="0"/>
          <w:sz w:val="30"/>
          <w:szCs w:val="30"/>
        </w:rPr>
      </w:pPr>
      <w:r>
        <w:rPr>
          <w:rFonts w:hint="eastAsia" w:ascii="宋体" w:hAnsi="宋体"/>
          <w:color w:val="auto"/>
          <w:kern w:val="0"/>
          <w:sz w:val="30"/>
          <w:szCs w:val="30"/>
        </w:rPr>
        <w:t xml:space="preserve">             </w:t>
      </w:r>
    </w:p>
    <w:p>
      <w:pPr>
        <w:pStyle w:val="83"/>
        <w:spacing w:line="500" w:lineRule="exact"/>
        <w:ind w:firstLine="604" w:firstLineChars="200"/>
        <w:jc w:val="both"/>
        <w:rPr>
          <w:rFonts w:ascii="宋体" w:hAnsi="宋体"/>
          <w:color w:val="auto"/>
          <w:sz w:val="30"/>
          <w:szCs w:val="30"/>
        </w:rPr>
      </w:pPr>
      <w:r>
        <w:rPr>
          <w:rFonts w:hint="eastAsia" w:ascii="宋体" w:hAnsi="宋体"/>
          <w:color w:val="auto"/>
          <w:sz w:val="30"/>
          <w:szCs w:val="30"/>
        </w:rPr>
        <w:t xml:space="preserve">招标文件编号： </w:t>
      </w:r>
    </w:p>
    <w:p>
      <w:pPr>
        <w:pStyle w:val="83"/>
        <w:spacing w:line="500" w:lineRule="exact"/>
        <w:ind w:firstLine="567"/>
        <w:jc w:val="both"/>
        <w:rPr>
          <w:rFonts w:ascii="宋体" w:hAnsi="宋体"/>
          <w:color w:val="auto"/>
          <w:sz w:val="30"/>
          <w:szCs w:val="30"/>
        </w:rPr>
      </w:pPr>
    </w:p>
    <w:p>
      <w:pPr>
        <w:pStyle w:val="83"/>
        <w:spacing w:line="500" w:lineRule="exact"/>
        <w:ind w:firstLine="604" w:firstLineChars="200"/>
        <w:jc w:val="both"/>
        <w:rPr>
          <w:rFonts w:ascii="宋体" w:hAnsi="宋体"/>
          <w:color w:val="auto"/>
          <w:sz w:val="30"/>
          <w:szCs w:val="30"/>
        </w:rPr>
      </w:pPr>
      <w:r>
        <w:rPr>
          <w:rFonts w:hint="eastAsia" w:ascii="宋体" w:hAnsi="宋体"/>
          <w:color w:val="auto"/>
          <w:sz w:val="30"/>
          <w:szCs w:val="30"/>
        </w:rPr>
        <w:t>投标单位名称（加盖公章） ：</w:t>
      </w:r>
      <w:r>
        <w:rPr>
          <w:rFonts w:ascii="宋体" w:hAnsi="宋体"/>
          <w:color w:val="auto"/>
          <w:sz w:val="30"/>
          <w:szCs w:val="30"/>
        </w:rPr>
        <w:t xml:space="preserve"> </w:t>
      </w:r>
    </w:p>
    <w:p>
      <w:pPr>
        <w:pStyle w:val="83"/>
        <w:spacing w:line="500" w:lineRule="exact"/>
        <w:ind w:firstLine="567"/>
        <w:jc w:val="both"/>
        <w:rPr>
          <w:rFonts w:ascii="宋体" w:hAnsi="宋体"/>
          <w:color w:val="auto"/>
          <w:sz w:val="30"/>
          <w:szCs w:val="30"/>
        </w:rPr>
      </w:pPr>
    </w:p>
    <w:p>
      <w:pPr>
        <w:pStyle w:val="83"/>
        <w:spacing w:line="500" w:lineRule="exact"/>
        <w:ind w:firstLine="604" w:firstLineChars="200"/>
        <w:jc w:val="both"/>
        <w:rPr>
          <w:rFonts w:ascii="宋体" w:hAnsi="宋体"/>
          <w:color w:val="auto"/>
          <w:sz w:val="30"/>
          <w:szCs w:val="30"/>
        </w:rPr>
      </w:pPr>
      <w:r>
        <w:rPr>
          <w:rFonts w:hint="eastAsia" w:ascii="宋体" w:hAnsi="宋体"/>
          <w:color w:val="auto"/>
          <w:sz w:val="30"/>
          <w:szCs w:val="30"/>
        </w:rPr>
        <w:t>法定代表人（加盖公章）：</w:t>
      </w:r>
      <w:r>
        <w:rPr>
          <w:rFonts w:ascii="宋体" w:hAnsi="宋体"/>
          <w:color w:val="auto"/>
          <w:sz w:val="30"/>
          <w:szCs w:val="30"/>
        </w:rPr>
        <w:t xml:space="preserve"> </w:t>
      </w:r>
    </w:p>
    <w:p>
      <w:pPr>
        <w:pStyle w:val="83"/>
        <w:spacing w:line="500" w:lineRule="exact"/>
        <w:ind w:firstLine="604" w:firstLineChars="200"/>
        <w:jc w:val="both"/>
        <w:rPr>
          <w:rFonts w:ascii="宋体" w:hAnsi="宋体"/>
          <w:color w:val="auto"/>
          <w:sz w:val="30"/>
          <w:szCs w:val="30"/>
        </w:rPr>
      </w:pPr>
    </w:p>
    <w:p>
      <w:pPr>
        <w:pStyle w:val="83"/>
        <w:spacing w:line="500" w:lineRule="exact"/>
        <w:ind w:firstLine="604" w:firstLineChars="200"/>
        <w:jc w:val="both"/>
        <w:rPr>
          <w:rFonts w:ascii="宋体" w:hAnsi="宋体"/>
          <w:color w:val="auto"/>
          <w:sz w:val="30"/>
          <w:szCs w:val="30"/>
        </w:rPr>
      </w:pPr>
      <w:r>
        <w:rPr>
          <w:rFonts w:hint="eastAsia" w:ascii="宋体" w:hAnsi="宋体"/>
          <w:color w:val="auto"/>
          <w:sz w:val="30"/>
          <w:szCs w:val="30"/>
        </w:rPr>
        <w:t>项目联系人及联系方式：</w:t>
      </w:r>
    </w:p>
    <w:p>
      <w:pPr>
        <w:pStyle w:val="83"/>
        <w:spacing w:line="500" w:lineRule="exact"/>
        <w:jc w:val="both"/>
        <w:rPr>
          <w:rFonts w:ascii="宋体" w:hAnsi="宋体"/>
          <w:color w:val="auto"/>
        </w:rPr>
      </w:pPr>
      <w:r>
        <w:rPr>
          <w:rFonts w:ascii="宋体" w:hAnsi="宋体"/>
          <w:color w:val="auto"/>
          <w:sz w:val="30"/>
          <w:szCs w:val="30"/>
        </w:rPr>
        <w:t xml:space="preserve"> </w:t>
      </w:r>
    </w:p>
    <w:p>
      <w:pPr>
        <w:pStyle w:val="83"/>
        <w:spacing w:line="500" w:lineRule="exact"/>
        <w:ind w:firstLine="604" w:firstLineChars="200"/>
        <w:jc w:val="both"/>
        <w:rPr>
          <w:rFonts w:ascii="宋体" w:hAnsi="宋体"/>
          <w:color w:val="auto"/>
          <w:sz w:val="30"/>
          <w:szCs w:val="30"/>
        </w:rPr>
      </w:pPr>
      <w:r>
        <w:rPr>
          <w:rFonts w:hint="eastAsia" w:ascii="宋体" w:hAnsi="宋体"/>
          <w:color w:val="auto"/>
          <w:sz w:val="30"/>
          <w:szCs w:val="30"/>
        </w:rPr>
        <w:t>日   期：</w:t>
      </w:r>
    </w:p>
    <w:p>
      <w:pPr>
        <w:pStyle w:val="83"/>
        <w:spacing w:line="500" w:lineRule="exact"/>
        <w:jc w:val="both"/>
        <w:rPr>
          <w:rFonts w:ascii="宋体" w:hAnsi="宋体"/>
          <w:color w:val="auto"/>
        </w:rPr>
      </w:pPr>
    </w:p>
    <w:p>
      <w:pPr>
        <w:pStyle w:val="83"/>
        <w:spacing w:line="500" w:lineRule="exact"/>
        <w:jc w:val="both"/>
        <w:rPr>
          <w:rFonts w:ascii="宋体" w:hAnsi="宋体"/>
          <w:color w:val="auto"/>
        </w:rPr>
      </w:pPr>
    </w:p>
    <w:p>
      <w:pPr>
        <w:pStyle w:val="83"/>
        <w:spacing w:line="500" w:lineRule="exact"/>
        <w:jc w:val="center"/>
        <w:rPr>
          <w:rFonts w:ascii="宋体" w:hAnsi="宋体"/>
          <w:b/>
          <w:color w:val="auto"/>
        </w:rPr>
      </w:pPr>
      <w:r>
        <w:rPr>
          <w:rFonts w:hint="eastAsia" w:ascii="宋体" w:hAnsi="宋体"/>
          <w:b/>
          <w:color w:val="auto"/>
        </w:rPr>
        <w:t>目  录</w:t>
      </w:r>
    </w:p>
    <w:p>
      <w:pPr>
        <w:pStyle w:val="24"/>
        <w:numPr>
          <w:ilvl w:val="0"/>
          <w:numId w:val="12"/>
        </w:numPr>
        <w:spacing w:line="440" w:lineRule="exact"/>
        <w:ind w:firstLine="484" w:firstLineChars="200"/>
        <w:jc w:val="center"/>
        <w:rPr>
          <w:rFonts w:ascii="Times New Roman" w:hAnsi="Times New Roman"/>
          <w:color w:val="auto"/>
          <w:sz w:val="24"/>
          <w:szCs w:val="24"/>
        </w:rPr>
      </w:pPr>
      <w:r>
        <w:rPr>
          <w:rFonts w:hint="eastAsia" w:ascii="Times New Roman" w:hAnsi="Times New Roman"/>
          <w:color w:val="auto"/>
          <w:sz w:val="24"/>
          <w:szCs w:val="24"/>
        </w:rPr>
        <w:t>商务部分</w:t>
      </w:r>
    </w:p>
    <w:p>
      <w:pPr>
        <w:pStyle w:val="24"/>
        <w:spacing w:line="440" w:lineRule="exact"/>
        <w:rPr>
          <w:rFonts w:ascii="Times New Roman" w:hAnsi="Times New Roman"/>
          <w:color w:val="auto"/>
          <w:sz w:val="24"/>
          <w:szCs w:val="24"/>
        </w:rPr>
      </w:pPr>
    </w:p>
    <w:p>
      <w:pPr>
        <w:pStyle w:val="24"/>
        <w:spacing w:line="440" w:lineRule="exact"/>
        <w:ind w:firstLine="484" w:firstLineChars="200"/>
        <w:rPr>
          <w:rFonts w:ascii="Times New Roman" w:hAnsi="Times New Roman" w:eastAsia="MingLiU_HKSCS"/>
          <w:color w:val="auto"/>
          <w:sz w:val="24"/>
          <w:szCs w:val="24"/>
        </w:rPr>
      </w:pPr>
      <w:r>
        <w:rPr>
          <w:rFonts w:hint="eastAsia" w:ascii="Times New Roman" w:hAnsi="Times New Roman"/>
          <w:color w:val="auto"/>
          <w:sz w:val="24"/>
          <w:szCs w:val="24"/>
        </w:rPr>
        <w:t>一、投标函</w:t>
      </w:r>
      <w:r>
        <w:rPr>
          <w:rFonts w:ascii="Times New Roman" w:hAnsi="Times New Roman"/>
          <w:color w:val="auto"/>
          <w:sz w:val="24"/>
          <w:szCs w:val="24"/>
        </w:rPr>
        <w:t>(</w:t>
      </w:r>
      <w:r>
        <w:rPr>
          <w:rFonts w:hint="eastAsia" w:ascii="Times New Roman" w:hAnsi="Times New Roman"/>
          <w:color w:val="auto"/>
          <w:sz w:val="24"/>
          <w:szCs w:val="24"/>
        </w:rPr>
        <w:t>格式附后</w:t>
      </w:r>
      <w:r>
        <w:rPr>
          <w:rFonts w:ascii="Times New Roman" w:hAnsi="Times New Roman"/>
          <w:color w:val="auto"/>
          <w:sz w:val="24"/>
          <w:szCs w:val="24"/>
        </w:rPr>
        <w:t>)</w:t>
      </w:r>
    </w:p>
    <w:p>
      <w:pPr>
        <w:pStyle w:val="24"/>
        <w:spacing w:line="440" w:lineRule="exact"/>
        <w:ind w:firstLine="484" w:firstLineChars="200"/>
        <w:rPr>
          <w:rFonts w:ascii="Times New Roman" w:hAnsi="Times New Roman" w:eastAsia="MingLiU_HKSCS"/>
          <w:color w:val="auto"/>
          <w:sz w:val="24"/>
          <w:szCs w:val="24"/>
        </w:rPr>
      </w:pPr>
      <w:r>
        <w:rPr>
          <w:rFonts w:hint="eastAsia" w:ascii="Times New Roman" w:hAnsi="Times New Roman"/>
          <w:color w:val="auto"/>
          <w:sz w:val="24"/>
          <w:szCs w:val="24"/>
        </w:rPr>
        <w:t>附件</w:t>
      </w:r>
      <w:r>
        <w:rPr>
          <w:rFonts w:ascii="Times New Roman" w:hAnsi="Times New Roman"/>
          <w:color w:val="auto"/>
          <w:sz w:val="24"/>
          <w:szCs w:val="24"/>
        </w:rPr>
        <w:t>1</w:t>
      </w:r>
      <w:r>
        <w:rPr>
          <w:rFonts w:hint="eastAsia" w:ascii="Times New Roman" w:hAnsi="Times New Roman"/>
          <w:color w:val="auto"/>
          <w:sz w:val="24"/>
          <w:szCs w:val="24"/>
        </w:rPr>
        <w:t>-1　法定代表人身份证明复印件</w:t>
      </w:r>
      <w:r>
        <w:rPr>
          <w:rFonts w:ascii="Times New Roman" w:hAnsi="Times New Roman"/>
          <w:color w:val="auto"/>
          <w:sz w:val="24"/>
          <w:szCs w:val="24"/>
        </w:rPr>
        <w:t>(</w:t>
      </w:r>
      <w:r>
        <w:rPr>
          <w:rFonts w:hint="eastAsia" w:ascii="Times New Roman" w:hAnsi="Times New Roman"/>
          <w:color w:val="auto"/>
          <w:sz w:val="24"/>
          <w:szCs w:val="24"/>
        </w:rPr>
        <w:t>法定代表人参加投标</w:t>
      </w:r>
      <w:r>
        <w:rPr>
          <w:rFonts w:ascii="Times New Roman" w:hAnsi="Times New Roman"/>
          <w:color w:val="auto"/>
          <w:sz w:val="24"/>
          <w:szCs w:val="24"/>
        </w:rPr>
        <w:t>)</w:t>
      </w:r>
    </w:p>
    <w:p>
      <w:pPr>
        <w:pStyle w:val="24"/>
        <w:spacing w:line="440" w:lineRule="exact"/>
        <w:ind w:firstLine="484" w:firstLineChars="200"/>
        <w:rPr>
          <w:rFonts w:ascii="Times New Roman" w:hAnsi="Times New Roman" w:eastAsia="MingLiU_HKSCS"/>
          <w:color w:val="auto"/>
          <w:sz w:val="24"/>
          <w:szCs w:val="24"/>
        </w:rPr>
      </w:pPr>
      <w:r>
        <w:rPr>
          <w:rFonts w:hint="eastAsia" w:ascii="Times New Roman" w:hAnsi="Times New Roman"/>
          <w:color w:val="auto"/>
          <w:sz w:val="24"/>
          <w:szCs w:val="24"/>
        </w:rPr>
        <w:t>附件1-2　法定代表人授权书</w:t>
      </w:r>
      <w:r>
        <w:rPr>
          <w:rFonts w:ascii="Times New Roman" w:hAnsi="Times New Roman"/>
          <w:color w:val="auto"/>
          <w:sz w:val="24"/>
          <w:szCs w:val="24"/>
        </w:rPr>
        <w:t>(</w:t>
      </w:r>
      <w:r>
        <w:rPr>
          <w:rFonts w:hint="eastAsia" w:ascii="Times New Roman" w:hAnsi="Times New Roman"/>
          <w:color w:val="auto"/>
          <w:sz w:val="24"/>
          <w:szCs w:val="24"/>
        </w:rPr>
        <w:t>授权代表参加投标</w:t>
      </w:r>
      <w:r>
        <w:rPr>
          <w:rFonts w:ascii="Times New Roman" w:hAnsi="Times New Roman"/>
          <w:color w:val="auto"/>
          <w:sz w:val="24"/>
          <w:szCs w:val="24"/>
        </w:rPr>
        <w:t>)</w:t>
      </w:r>
    </w:p>
    <w:p>
      <w:pPr>
        <w:pStyle w:val="24"/>
        <w:spacing w:line="440" w:lineRule="exact"/>
        <w:ind w:firstLine="484" w:firstLineChars="200"/>
        <w:rPr>
          <w:rFonts w:ascii="Times New Roman" w:hAnsi="Times New Roman" w:eastAsia="MingLiU_HKSCS"/>
          <w:color w:val="auto"/>
          <w:sz w:val="24"/>
          <w:szCs w:val="24"/>
        </w:rPr>
      </w:pPr>
      <w:r>
        <w:rPr>
          <w:rFonts w:hint="eastAsia" w:ascii="Times New Roman" w:hAnsi="Times New Roman"/>
          <w:color w:val="auto"/>
          <w:sz w:val="24"/>
          <w:szCs w:val="24"/>
        </w:rPr>
        <w:t>附件1-3　授权委托书</w:t>
      </w:r>
      <w:r>
        <w:rPr>
          <w:rFonts w:ascii="Times New Roman" w:hAnsi="Times New Roman"/>
          <w:color w:val="auto"/>
          <w:sz w:val="24"/>
          <w:szCs w:val="24"/>
        </w:rPr>
        <w:t>(</w:t>
      </w:r>
      <w:r>
        <w:rPr>
          <w:rFonts w:hint="eastAsia" w:ascii="Times New Roman" w:hAnsi="Times New Roman"/>
          <w:color w:val="auto"/>
          <w:sz w:val="24"/>
          <w:szCs w:val="24"/>
        </w:rPr>
        <w:t>格式二</w:t>
      </w:r>
      <w:r>
        <w:rPr>
          <w:rFonts w:ascii="Times New Roman" w:hAnsi="Times New Roman"/>
          <w:color w:val="auto"/>
          <w:sz w:val="24"/>
          <w:szCs w:val="24"/>
        </w:rPr>
        <w:t>)(</w:t>
      </w:r>
      <w:r>
        <w:rPr>
          <w:rFonts w:hint="eastAsia" w:ascii="Times New Roman" w:hAnsi="Times New Roman"/>
          <w:color w:val="auto"/>
          <w:sz w:val="24"/>
          <w:szCs w:val="24"/>
        </w:rPr>
        <w:t>适用于自然人委托投标</w:t>
      </w:r>
      <w:r>
        <w:rPr>
          <w:rFonts w:ascii="Times New Roman" w:hAnsi="Times New Roman"/>
          <w:color w:val="auto"/>
          <w:sz w:val="24"/>
          <w:szCs w:val="24"/>
        </w:rPr>
        <w:t>)</w:t>
      </w:r>
    </w:p>
    <w:p>
      <w:pPr>
        <w:pStyle w:val="24"/>
        <w:spacing w:line="440" w:lineRule="exact"/>
        <w:ind w:firstLine="484" w:firstLineChars="200"/>
        <w:rPr>
          <w:rFonts w:ascii="Times New Roman" w:hAnsi="Times New Roman" w:eastAsia="MingLiU_HKSCS"/>
          <w:color w:val="auto"/>
          <w:sz w:val="24"/>
          <w:szCs w:val="24"/>
        </w:rPr>
      </w:pPr>
      <w:r>
        <w:rPr>
          <w:rFonts w:hint="eastAsia" w:ascii="Times New Roman" w:hAnsi="Times New Roman"/>
          <w:color w:val="auto"/>
          <w:sz w:val="24"/>
          <w:szCs w:val="24"/>
        </w:rPr>
        <w:t>二、开标一览表</w:t>
      </w:r>
      <w:r>
        <w:rPr>
          <w:rFonts w:ascii="Times New Roman" w:hAnsi="Times New Roman"/>
          <w:color w:val="auto"/>
          <w:sz w:val="24"/>
          <w:szCs w:val="24"/>
        </w:rPr>
        <w:t>(</w:t>
      </w:r>
      <w:r>
        <w:rPr>
          <w:rFonts w:hint="eastAsia" w:ascii="Times New Roman" w:hAnsi="Times New Roman"/>
          <w:color w:val="auto"/>
          <w:sz w:val="24"/>
          <w:szCs w:val="24"/>
        </w:rPr>
        <w:t>格式附后</w:t>
      </w:r>
      <w:r>
        <w:rPr>
          <w:rFonts w:ascii="Times New Roman" w:hAnsi="Times New Roman"/>
          <w:color w:val="auto"/>
          <w:sz w:val="24"/>
          <w:szCs w:val="24"/>
        </w:rPr>
        <w:t>)</w:t>
      </w:r>
    </w:p>
    <w:p>
      <w:pPr>
        <w:pStyle w:val="24"/>
        <w:spacing w:line="440" w:lineRule="exact"/>
        <w:ind w:firstLine="484" w:firstLineChars="200"/>
        <w:rPr>
          <w:rFonts w:ascii="Times New Roman" w:hAnsi="Times New Roman" w:eastAsia="MingLiU_HKSCS"/>
          <w:color w:val="auto"/>
          <w:sz w:val="24"/>
          <w:szCs w:val="24"/>
        </w:rPr>
      </w:pPr>
      <w:r>
        <w:rPr>
          <w:rFonts w:hint="eastAsia" w:ascii="Times New Roman" w:hAnsi="Times New Roman"/>
          <w:color w:val="auto"/>
          <w:sz w:val="24"/>
          <w:szCs w:val="24"/>
        </w:rPr>
        <w:t>三、分项价格表</w:t>
      </w:r>
      <w:r>
        <w:rPr>
          <w:rFonts w:ascii="Times New Roman" w:hAnsi="Times New Roman"/>
          <w:color w:val="auto"/>
          <w:sz w:val="24"/>
          <w:szCs w:val="24"/>
        </w:rPr>
        <w:t>(</w:t>
      </w:r>
      <w:r>
        <w:rPr>
          <w:rFonts w:hint="eastAsia" w:ascii="Times New Roman" w:hAnsi="Times New Roman"/>
          <w:color w:val="auto"/>
          <w:sz w:val="24"/>
          <w:szCs w:val="24"/>
        </w:rPr>
        <w:t>格式附后</w:t>
      </w:r>
      <w:r>
        <w:rPr>
          <w:rFonts w:ascii="Times New Roman" w:hAnsi="Times New Roman"/>
          <w:color w:val="auto"/>
          <w:sz w:val="24"/>
          <w:szCs w:val="24"/>
        </w:rPr>
        <w:t>)</w:t>
      </w:r>
    </w:p>
    <w:p>
      <w:pPr>
        <w:pStyle w:val="24"/>
        <w:spacing w:line="440" w:lineRule="exact"/>
        <w:ind w:firstLine="484" w:firstLineChars="200"/>
        <w:rPr>
          <w:rFonts w:ascii="Times New Roman" w:hAnsi="Times New Roman" w:eastAsia="MingLiU_HKSCS"/>
          <w:color w:val="auto"/>
          <w:sz w:val="24"/>
          <w:szCs w:val="24"/>
        </w:rPr>
      </w:pPr>
      <w:r>
        <w:rPr>
          <w:rFonts w:hint="eastAsia" w:ascii="Times New Roman" w:hAnsi="Times New Roman"/>
          <w:color w:val="auto"/>
          <w:sz w:val="24"/>
          <w:szCs w:val="24"/>
        </w:rPr>
        <w:t>四、商务条款偏离表</w:t>
      </w:r>
      <w:r>
        <w:rPr>
          <w:rFonts w:ascii="Times New Roman" w:hAnsi="Times New Roman"/>
          <w:color w:val="auto"/>
          <w:sz w:val="24"/>
          <w:szCs w:val="24"/>
        </w:rPr>
        <w:t>(</w:t>
      </w:r>
      <w:r>
        <w:rPr>
          <w:rFonts w:hint="eastAsia" w:ascii="Times New Roman" w:hAnsi="Times New Roman"/>
          <w:color w:val="auto"/>
          <w:sz w:val="24"/>
          <w:szCs w:val="24"/>
        </w:rPr>
        <w:t>格式附后</w:t>
      </w:r>
      <w:r>
        <w:rPr>
          <w:rFonts w:ascii="Times New Roman" w:hAnsi="Times New Roman"/>
          <w:color w:val="auto"/>
          <w:sz w:val="24"/>
          <w:szCs w:val="24"/>
        </w:rPr>
        <w:t>)</w:t>
      </w:r>
    </w:p>
    <w:p>
      <w:pPr>
        <w:pStyle w:val="24"/>
        <w:spacing w:line="440" w:lineRule="exact"/>
        <w:ind w:firstLine="484" w:firstLineChars="200"/>
        <w:rPr>
          <w:rFonts w:hint="eastAsia" w:ascii="Times New Roman" w:hAnsi="Times New Roman" w:eastAsia="宋体"/>
          <w:color w:val="auto"/>
          <w:sz w:val="24"/>
          <w:szCs w:val="24"/>
          <w:lang w:eastAsia="zh-CN"/>
        </w:rPr>
      </w:pPr>
      <w:r>
        <w:rPr>
          <w:rFonts w:hint="eastAsia" w:ascii="Times New Roman" w:hAnsi="Times New Roman"/>
          <w:color w:val="auto"/>
          <w:sz w:val="24"/>
          <w:szCs w:val="24"/>
        </w:rPr>
        <w:t>五、投标保证金</w:t>
      </w:r>
      <w:r>
        <w:rPr>
          <w:rFonts w:hint="eastAsia" w:ascii="Times New Roman" w:hAnsi="Times New Roman"/>
          <w:color w:val="auto"/>
          <w:sz w:val="24"/>
          <w:szCs w:val="24"/>
          <w:lang w:eastAsia="zh-CN"/>
        </w:rPr>
        <w:t>汇款凭证</w:t>
      </w:r>
    </w:p>
    <w:p>
      <w:pPr>
        <w:pStyle w:val="24"/>
        <w:spacing w:line="440" w:lineRule="exact"/>
        <w:ind w:firstLine="484" w:firstLineChars="200"/>
        <w:rPr>
          <w:rFonts w:ascii="Times New Roman" w:hAnsi="Times New Roman" w:eastAsia="MingLiU_HKSCS"/>
          <w:color w:val="auto"/>
          <w:sz w:val="24"/>
          <w:szCs w:val="24"/>
        </w:rPr>
      </w:pPr>
      <w:r>
        <w:rPr>
          <w:rFonts w:hint="eastAsia" w:ascii="Times New Roman" w:hAnsi="Times New Roman"/>
          <w:color w:val="auto"/>
          <w:sz w:val="24"/>
          <w:szCs w:val="24"/>
        </w:rPr>
        <w:t>六、供应商的资格证明材料</w:t>
      </w:r>
    </w:p>
    <w:p>
      <w:pPr>
        <w:pStyle w:val="24"/>
        <w:spacing w:line="440" w:lineRule="exact"/>
        <w:ind w:firstLine="484" w:firstLineChars="200"/>
        <w:rPr>
          <w:rFonts w:ascii="Times New Roman" w:hAnsi="Times New Roman"/>
          <w:color w:val="auto"/>
          <w:sz w:val="24"/>
          <w:szCs w:val="24"/>
        </w:rPr>
      </w:pPr>
      <w:r>
        <w:rPr>
          <w:rFonts w:ascii="Times New Roman" w:hAnsi="Times New Roman"/>
          <w:color w:val="auto"/>
          <w:sz w:val="24"/>
          <w:szCs w:val="24"/>
        </w:rPr>
        <w:t>(</w:t>
      </w:r>
      <w:r>
        <w:rPr>
          <w:rFonts w:hint="eastAsia" w:ascii="Times New Roman" w:hAnsi="Times New Roman"/>
          <w:color w:val="auto"/>
          <w:sz w:val="24"/>
          <w:szCs w:val="24"/>
        </w:rPr>
        <w:t>一</w:t>
      </w:r>
      <w:r>
        <w:rPr>
          <w:rFonts w:ascii="Times New Roman" w:hAnsi="Times New Roman"/>
          <w:color w:val="auto"/>
          <w:sz w:val="24"/>
          <w:szCs w:val="24"/>
        </w:rPr>
        <w:t>)</w:t>
      </w:r>
      <w:r>
        <w:rPr>
          <w:rFonts w:hint="eastAsia" w:ascii="Times New Roman" w:hAnsi="Times New Roman"/>
          <w:color w:val="auto"/>
          <w:sz w:val="24"/>
          <w:szCs w:val="24"/>
        </w:rPr>
        <w:t>供应商基本情况表</w:t>
      </w:r>
    </w:p>
    <w:p>
      <w:pPr>
        <w:pStyle w:val="24"/>
        <w:spacing w:line="440" w:lineRule="exact"/>
        <w:ind w:firstLine="484" w:firstLineChars="200"/>
        <w:rPr>
          <w:rFonts w:ascii="Times New Roman" w:hAnsi="Times New Roman"/>
          <w:color w:val="auto"/>
          <w:sz w:val="24"/>
          <w:szCs w:val="24"/>
        </w:rPr>
      </w:pPr>
      <w:r>
        <w:rPr>
          <w:rFonts w:hint="eastAsia" w:ascii="Times New Roman" w:hAnsi="Times New Roman"/>
          <w:color w:val="auto"/>
          <w:sz w:val="24"/>
          <w:szCs w:val="24"/>
        </w:rPr>
        <w:t>附件2-1　法人或者其他组织的营业执照副本复印件或自然人的身份证明复印件</w:t>
      </w:r>
    </w:p>
    <w:p>
      <w:pPr>
        <w:pStyle w:val="24"/>
        <w:spacing w:line="440" w:lineRule="exact"/>
        <w:ind w:firstLine="484" w:firstLineChars="200"/>
        <w:rPr>
          <w:rFonts w:ascii="Times New Roman" w:hAnsi="Times New Roman"/>
          <w:color w:val="auto"/>
          <w:sz w:val="24"/>
          <w:szCs w:val="24"/>
        </w:rPr>
      </w:pPr>
      <w:r>
        <w:rPr>
          <w:rFonts w:hint="eastAsia" w:ascii="Times New Roman" w:hAnsi="Times New Roman"/>
          <w:color w:val="auto"/>
          <w:sz w:val="24"/>
          <w:szCs w:val="24"/>
        </w:rPr>
        <w:t>附件2-2　法人或者其他组织的税务登记证副本复印件(按规定可不进行税务登记的不提供)</w:t>
      </w:r>
    </w:p>
    <w:p>
      <w:pPr>
        <w:pStyle w:val="24"/>
        <w:spacing w:line="440" w:lineRule="exact"/>
        <w:ind w:firstLine="484" w:firstLineChars="200"/>
        <w:rPr>
          <w:rFonts w:ascii="Times New Roman" w:hAnsi="Times New Roman"/>
          <w:color w:val="auto"/>
          <w:sz w:val="24"/>
          <w:szCs w:val="24"/>
        </w:rPr>
      </w:pPr>
      <w:r>
        <w:rPr>
          <w:rFonts w:hint="eastAsia" w:ascii="Times New Roman" w:hAnsi="Times New Roman"/>
          <w:color w:val="auto"/>
          <w:sz w:val="24"/>
          <w:szCs w:val="24"/>
        </w:rPr>
        <w:t>附件2-3 “信用中国”（www.creditchina.gov.cn）和“中国政府采购网”（www.ccgp.gov.cn）网站上未被列入失信被执行人、重大税收违法案件当事人名单以及政府采购严重违法失信行为记录名单的网页打印件（网页打印件须自招标文件发布之日起至投标截止时间从上述网站中打印）</w:t>
      </w:r>
    </w:p>
    <w:p>
      <w:pPr>
        <w:pStyle w:val="24"/>
        <w:spacing w:line="440" w:lineRule="exact"/>
        <w:ind w:firstLine="484" w:firstLineChars="200"/>
        <w:rPr>
          <w:rFonts w:ascii="Times New Roman" w:hAnsi="Times New Roman"/>
          <w:color w:val="auto"/>
          <w:sz w:val="24"/>
          <w:szCs w:val="24"/>
        </w:rPr>
      </w:pPr>
      <w:r>
        <w:rPr>
          <w:rFonts w:hint="eastAsia" w:ascii="Times New Roman" w:hAnsi="Times New Roman"/>
          <w:color w:val="auto"/>
          <w:sz w:val="24"/>
          <w:szCs w:val="24"/>
        </w:rPr>
        <w:t>附件2-4　具备履行合同所必需的设备和专业技术能力的证明材料</w:t>
      </w:r>
    </w:p>
    <w:p>
      <w:pPr>
        <w:pStyle w:val="83"/>
        <w:spacing w:line="500" w:lineRule="exact"/>
        <w:ind w:firstLine="484" w:firstLineChars="200"/>
        <w:jc w:val="both"/>
        <w:outlineLvl w:val="1"/>
        <w:rPr>
          <w:color w:val="auto"/>
          <w:kern w:val="2"/>
        </w:rPr>
      </w:pPr>
      <w:bookmarkStart w:id="22" w:name="_Toc27448"/>
      <w:bookmarkStart w:id="23" w:name="_Toc1976"/>
      <w:bookmarkStart w:id="24" w:name="_Toc19159"/>
      <w:r>
        <w:rPr>
          <w:rFonts w:hint="eastAsia"/>
          <w:color w:val="auto"/>
          <w:kern w:val="2"/>
        </w:rPr>
        <w:t>七、项目业绩表</w:t>
      </w:r>
      <w:bookmarkEnd w:id="22"/>
      <w:bookmarkEnd w:id="23"/>
      <w:bookmarkEnd w:id="24"/>
    </w:p>
    <w:p>
      <w:pPr>
        <w:pStyle w:val="24"/>
        <w:spacing w:line="440" w:lineRule="exact"/>
        <w:ind w:firstLine="484" w:firstLineChars="200"/>
        <w:rPr>
          <w:rFonts w:ascii="Times New Roman" w:hAnsi="Times New Roman" w:eastAsia="MingLiU_HKSCS"/>
          <w:color w:val="auto"/>
          <w:sz w:val="24"/>
          <w:szCs w:val="24"/>
        </w:rPr>
      </w:pPr>
      <w:r>
        <w:rPr>
          <w:rFonts w:hint="eastAsia" w:ascii="Times New Roman" w:hAnsi="Times New Roman"/>
          <w:color w:val="auto"/>
          <w:sz w:val="24"/>
          <w:szCs w:val="24"/>
        </w:rPr>
        <w:t>八、提供符合政府采购政策的证明材料</w:t>
      </w:r>
    </w:p>
    <w:p>
      <w:pPr>
        <w:pStyle w:val="24"/>
        <w:spacing w:line="440" w:lineRule="exact"/>
        <w:ind w:firstLine="484" w:firstLineChars="200"/>
        <w:rPr>
          <w:rFonts w:ascii="Times New Roman" w:hAnsi="Times New Roman" w:eastAsia="MingLiU_HKSCS"/>
          <w:color w:val="auto"/>
          <w:sz w:val="24"/>
          <w:szCs w:val="24"/>
        </w:rPr>
      </w:pPr>
      <w:r>
        <w:rPr>
          <w:rFonts w:hint="eastAsia" w:ascii="Times New Roman" w:hAnsi="Times New Roman"/>
          <w:color w:val="auto"/>
          <w:sz w:val="24"/>
          <w:szCs w:val="24"/>
        </w:rPr>
        <w:t>附件3-1　中小企业声明函</w:t>
      </w:r>
      <w:r>
        <w:rPr>
          <w:rFonts w:ascii="Times New Roman" w:hAnsi="Times New Roman"/>
          <w:color w:val="auto"/>
          <w:sz w:val="24"/>
          <w:szCs w:val="24"/>
        </w:rPr>
        <w:t>(</w:t>
      </w:r>
      <w:r>
        <w:rPr>
          <w:rFonts w:hint="eastAsia" w:ascii="Times New Roman" w:hAnsi="Times New Roman"/>
          <w:color w:val="auto"/>
          <w:sz w:val="24"/>
          <w:szCs w:val="24"/>
        </w:rPr>
        <w:t>格式附后</w:t>
      </w:r>
      <w:r>
        <w:rPr>
          <w:rFonts w:ascii="Times New Roman" w:hAnsi="Times New Roman"/>
          <w:color w:val="auto"/>
          <w:sz w:val="24"/>
          <w:szCs w:val="24"/>
        </w:rPr>
        <w:t>)</w:t>
      </w:r>
    </w:p>
    <w:p>
      <w:pPr>
        <w:pStyle w:val="24"/>
        <w:spacing w:line="440" w:lineRule="exact"/>
        <w:ind w:firstLine="484" w:firstLineChars="200"/>
        <w:rPr>
          <w:rFonts w:ascii="Times New Roman" w:hAnsi="Times New Roman" w:eastAsia="MingLiU_HKSCS"/>
          <w:color w:val="auto"/>
          <w:sz w:val="24"/>
          <w:szCs w:val="24"/>
        </w:rPr>
      </w:pPr>
      <w:r>
        <w:rPr>
          <w:rFonts w:hint="eastAsia" w:ascii="Times New Roman" w:hAnsi="Times New Roman"/>
          <w:color w:val="auto"/>
          <w:sz w:val="24"/>
          <w:szCs w:val="24"/>
        </w:rPr>
        <w:t>附件3-1　</w:t>
      </w:r>
      <w:r>
        <w:rPr>
          <w:rFonts w:hint="eastAsia"/>
          <w:color w:val="auto"/>
          <w:sz w:val="24"/>
          <w:szCs w:val="24"/>
        </w:rPr>
        <w:t>“</w:t>
      </w:r>
      <w:r>
        <w:rPr>
          <w:rFonts w:hint="eastAsia" w:ascii="Times New Roman" w:hAnsi="Times New Roman"/>
          <w:color w:val="auto"/>
          <w:sz w:val="24"/>
          <w:szCs w:val="24"/>
        </w:rPr>
        <w:t>节能产品</w:t>
      </w:r>
      <w:r>
        <w:rPr>
          <w:rFonts w:hint="eastAsia"/>
          <w:color w:val="auto"/>
          <w:sz w:val="24"/>
          <w:szCs w:val="24"/>
        </w:rPr>
        <w:t>”“</w:t>
      </w:r>
      <w:r>
        <w:rPr>
          <w:rFonts w:hint="eastAsia" w:ascii="Times New Roman" w:hAnsi="Times New Roman"/>
          <w:color w:val="auto"/>
          <w:sz w:val="24"/>
          <w:szCs w:val="24"/>
        </w:rPr>
        <w:t>环境标志产品</w:t>
      </w:r>
      <w:r>
        <w:rPr>
          <w:rFonts w:hint="eastAsia"/>
          <w:color w:val="auto"/>
          <w:sz w:val="24"/>
          <w:szCs w:val="24"/>
        </w:rPr>
        <w:t>”</w:t>
      </w:r>
      <w:r>
        <w:rPr>
          <w:rFonts w:hint="eastAsia" w:ascii="Times New Roman" w:hAnsi="Times New Roman"/>
          <w:color w:val="auto"/>
          <w:sz w:val="24"/>
          <w:szCs w:val="24"/>
        </w:rPr>
        <w:t>、信息安全认证产品等政府采购法律法规要求的其他证明材料</w:t>
      </w:r>
    </w:p>
    <w:p>
      <w:pPr>
        <w:spacing w:line="500" w:lineRule="exact"/>
        <w:ind w:firstLine="484"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九、投标供应商认为有必要提供的声明及文件资料。</w:t>
      </w:r>
    </w:p>
    <w:p>
      <w:pPr>
        <w:spacing w:line="500" w:lineRule="exact"/>
        <w:rPr>
          <w:rFonts w:asciiTheme="minorEastAsia" w:hAnsiTheme="minorEastAsia" w:eastAsiaTheme="minorEastAsia" w:cstheme="minorEastAsia"/>
          <w:color w:val="auto"/>
          <w:sz w:val="24"/>
          <w:szCs w:val="24"/>
        </w:rPr>
      </w:pPr>
    </w:p>
    <w:p>
      <w:pPr>
        <w:spacing w:line="500" w:lineRule="exact"/>
        <w:rPr>
          <w:rFonts w:asciiTheme="minorEastAsia" w:hAnsiTheme="minorEastAsia" w:eastAsiaTheme="minorEastAsia" w:cstheme="minorEastAsia"/>
          <w:color w:val="auto"/>
          <w:sz w:val="24"/>
          <w:szCs w:val="24"/>
        </w:rPr>
      </w:pPr>
    </w:p>
    <w:p>
      <w:pPr>
        <w:spacing w:line="500" w:lineRule="exact"/>
        <w:ind w:firstLine="484" w:firstLineChars="200"/>
        <w:rPr>
          <w:rFonts w:ascii="宋体" w:hAnsi="宋体"/>
          <w:b/>
          <w:color w:val="auto"/>
          <w:sz w:val="24"/>
          <w:szCs w:val="24"/>
        </w:rPr>
      </w:pPr>
    </w:p>
    <w:p>
      <w:pPr>
        <w:spacing w:line="500" w:lineRule="exact"/>
        <w:jc w:val="center"/>
        <w:rPr>
          <w:rFonts w:ascii="宋体" w:hAnsi="宋体"/>
          <w:b/>
          <w:color w:val="auto"/>
          <w:sz w:val="24"/>
          <w:szCs w:val="24"/>
        </w:rPr>
      </w:pPr>
      <w:r>
        <w:rPr>
          <w:rFonts w:hint="eastAsia"/>
          <w:color w:val="auto"/>
          <w:sz w:val="24"/>
          <w:szCs w:val="24"/>
        </w:rPr>
        <w:t>第二部分　技术部分</w:t>
      </w:r>
    </w:p>
    <w:p>
      <w:pPr>
        <w:spacing w:line="500" w:lineRule="exact"/>
        <w:ind w:firstLine="484" w:firstLineChars="200"/>
        <w:rPr>
          <w:rFonts w:ascii="宋体" w:hAnsi="宋体"/>
          <w:b/>
          <w:bCs/>
          <w:color w:val="auto"/>
          <w:sz w:val="24"/>
          <w:szCs w:val="24"/>
        </w:rPr>
      </w:pPr>
      <w:r>
        <w:rPr>
          <w:rFonts w:hint="eastAsia" w:ascii="宋体" w:hAnsi="宋体"/>
          <w:b/>
          <w:bCs/>
          <w:color w:val="auto"/>
          <w:sz w:val="24"/>
          <w:szCs w:val="24"/>
        </w:rPr>
        <w:t>(1) 项目实施方案、技术方案或服务方案；</w:t>
      </w:r>
    </w:p>
    <w:p>
      <w:pPr>
        <w:spacing w:line="500" w:lineRule="exact"/>
        <w:ind w:firstLine="484" w:firstLineChars="200"/>
        <w:rPr>
          <w:rFonts w:ascii="宋体" w:hAnsi="宋体"/>
          <w:b/>
          <w:bCs/>
          <w:color w:val="auto"/>
          <w:sz w:val="24"/>
          <w:szCs w:val="24"/>
        </w:rPr>
      </w:pPr>
      <w:r>
        <w:rPr>
          <w:rFonts w:hint="eastAsia" w:ascii="宋体" w:hAnsi="宋体"/>
          <w:b/>
          <w:bCs/>
          <w:color w:val="auto"/>
          <w:sz w:val="24"/>
          <w:szCs w:val="24"/>
        </w:rPr>
        <w:t>(2) 投标供应商必须提供投标设备的详细配置及参数说明；</w:t>
      </w:r>
    </w:p>
    <w:p>
      <w:pPr>
        <w:spacing w:line="500" w:lineRule="exact"/>
        <w:ind w:firstLine="484" w:firstLineChars="200"/>
        <w:rPr>
          <w:rFonts w:ascii="宋体" w:hAnsi="宋体"/>
          <w:b/>
          <w:bCs/>
          <w:color w:val="auto"/>
          <w:sz w:val="24"/>
          <w:szCs w:val="24"/>
        </w:rPr>
      </w:pPr>
      <w:r>
        <w:rPr>
          <w:rFonts w:hint="eastAsia" w:ascii="宋体" w:hAnsi="宋体"/>
          <w:b/>
          <w:bCs/>
          <w:color w:val="auto"/>
          <w:sz w:val="24"/>
          <w:szCs w:val="24"/>
        </w:rPr>
        <w:t>(3) 质量保证措施；</w:t>
      </w:r>
    </w:p>
    <w:p>
      <w:pPr>
        <w:spacing w:line="500" w:lineRule="exact"/>
        <w:ind w:firstLine="484" w:firstLineChars="200"/>
        <w:rPr>
          <w:rFonts w:ascii="宋体" w:hAnsi="宋体"/>
          <w:b/>
          <w:bCs/>
          <w:color w:val="auto"/>
          <w:sz w:val="24"/>
          <w:szCs w:val="24"/>
        </w:rPr>
      </w:pPr>
      <w:r>
        <w:rPr>
          <w:rFonts w:hint="eastAsia" w:ascii="宋体" w:hAnsi="宋体"/>
          <w:b/>
          <w:bCs/>
          <w:color w:val="auto"/>
          <w:sz w:val="24"/>
          <w:szCs w:val="24"/>
        </w:rPr>
        <w:t>(4) 针对本项目执行进度计划；</w:t>
      </w:r>
    </w:p>
    <w:p>
      <w:pPr>
        <w:spacing w:line="500" w:lineRule="exact"/>
        <w:ind w:firstLine="484" w:firstLineChars="200"/>
        <w:rPr>
          <w:rFonts w:ascii="宋体" w:hAnsi="宋体"/>
          <w:b/>
          <w:bCs/>
          <w:color w:val="auto"/>
          <w:sz w:val="24"/>
          <w:szCs w:val="24"/>
        </w:rPr>
      </w:pPr>
      <w:r>
        <w:rPr>
          <w:rFonts w:hint="eastAsia" w:ascii="宋体" w:hAnsi="宋体"/>
          <w:b/>
          <w:bCs/>
          <w:color w:val="auto"/>
          <w:sz w:val="24"/>
          <w:szCs w:val="24"/>
        </w:rPr>
        <w:t>(5) 技术条款偏离表；</w:t>
      </w:r>
    </w:p>
    <w:p>
      <w:pPr>
        <w:spacing w:line="500" w:lineRule="exact"/>
        <w:ind w:left="967" w:leftChars="228" w:hanging="484" w:hangingChars="200"/>
        <w:rPr>
          <w:rFonts w:ascii="宋体" w:hAnsi="宋体"/>
          <w:b/>
          <w:bCs/>
          <w:color w:val="auto"/>
          <w:sz w:val="24"/>
          <w:szCs w:val="24"/>
        </w:rPr>
      </w:pPr>
      <w:r>
        <w:rPr>
          <w:rFonts w:hint="eastAsia" w:ascii="宋体" w:hAnsi="宋体"/>
          <w:b/>
          <w:bCs/>
          <w:color w:val="auto"/>
          <w:sz w:val="24"/>
          <w:szCs w:val="24"/>
        </w:rPr>
        <w:t>(6) 有关的产品（包括但不限于检验报告、产品注册证、指标、产品技术性能详述、验收标准等）；</w:t>
      </w:r>
    </w:p>
    <w:p>
      <w:pPr>
        <w:spacing w:line="500" w:lineRule="exact"/>
        <w:ind w:firstLine="484" w:firstLineChars="200"/>
        <w:rPr>
          <w:rFonts w:ascii="宋体" w:hAnsi="宋体"/>
          <w:b/>
          <w:bCs/>
          <w:color w:val="auto"/>
          <w:sz w:val="24"/>
          <w:szCs w:val="24"/>
        </w:rPr>
      </w:pPr>
      <w:r>
        <w:rPr>
          <w:rFonts w:hint="eastAsia" w:ascii="宋体" w:hAnsi="宋体"/>
          <w:b/>
          <w:bCs/>
          <w:color w:val="auto"/>
          <w:sz w:val="24"/>
          <w:szCs w:val="24"/>
        </w:rPr>
        <w:t>(7) 投标人售后服务承诺；</w:t>
      </w:r>
    </w:p>
    <w:p>
      <w:pPr>
        <w:spacing w:line="500" w:lineRule="exact"/>
        <w:ind w:firstLine="484" w:firstLineChars="200"/>
        <w:rPr>
          <w:rFonts w:ascii="宋体" w:hAnsi="宋体"/>
          <w:b/>
          <w:bCs/>
          <w:color w:val="auto"/>
          <w:sz w:val="24"/>
          <w:szCs w:val="24"/>
        </w:rPr>
      </w:pPr>
      <w:r>
        <w:rPr>
          <w:rFonts w:hint="eastAsia" w:ascii="宋体" w:hAnsi="宋体"/>
          <w:color w:val="auto"/>
          <w:sz w:val="24"/>
          <w:szCs w:val="24"/>
        </w:rPr>
        <w:t>(8) 投标供应商认为有必要提供的声明及文件资料。</w:t>
      </w:r>
    </w:p>
    <w:p>
      <w:pPr>
        <w:pStyle w:val="24"/>
        <w:spacing w:line="440" w:lineRule="exact"/>
        <w:ind w:firstLine="484" w:firstLineChars="200"/>
        <w:jc w:val="center"/>
        <w:rPr>
          <w:b/>
          <w:color w:val="auto"/>
          <w:sz w:val="24"/>
          <w:szCs w:val="24"/>
        </w:rPr>
      </w:pPr>
      <w:r>
        <w:rPr>
          <w:rFonts w:ascii="Times New Roman" w:hAnsi="Times New Roman"/>
          <w:color w:val="auto"/>
          <w:sz w:val="24"/>
          <w:szCs w:val="24"/>
        </w:rPr>
        <w:br w:type="page"/>
      </w:r>
    </w:p>
    <w:p>
      <w:pPr>
        <w:pStyle w:val="83"/>
        <w:spacing w:line="500" w:lineRule="exact"/>
        <w:jc w:val="center"/>
        <w:rPr>
          <w:rFonts w:ascii="宋体" w:hAnsi="宋体"/>
          <w:b/>
          <w:color w:val="auto"/>
        </w:rPr>
      </w:pPr>
      <w:r>
        <w:rPr>
          <w:rFonts w:hint="eastAsia" w:ascii="宋体" w:hAnsi="宋体"/>
          <w:b/>
          <w:color w:val="auto"/>
        </w:rPr>
        <w:t>一、投标函</w:t>
      </w:r>
    </w:p>
    <w:p>
      <w:pPr>
        <w:pStyle w:val="83"/>
        <w:spacing w:line="500" w:lineRule="exact"/>
        <w:rPr>
          <w:rFonts w:ascii="宋体" w:hAnsi="宋体"/>
          <w:color w:val="auto"/>
        </w:rPr>
      </w:pPr>
      <w:r>
        <w:rPr>
          <w:rFonts w:hint="eastAsia" w:ascii="宋体" w:hAnsi="宋体"/>
          <w:color w:val="auto"/>
        </w:rPr>
        <w:t>新疆华域建设工程项目管理咨询有限公司：</w:t>
      </w:r>
    </w:p>
    <w:p>
      <w:pPr>
        <w:pStyle w:val="83"/>
        <w:spacing w:line="500" w:lineRule="exact"/>
        <w:ind w:firstLine="567"/>
        <w:jc w:val="both"/>
        <w:rPr>
          <w:rFonts w:ascii="宋体" w:hAnsi="宋体"/>
          <w:color w:val="auto"/>
        </w:rPr>
      </w:pPr>
      <w:r>
        <w:rPr>
          <w:rFonts w:hint="eastAsia" w:ascii="宋体" w:hAnsi="宋体"/>
          <w:color w:val="auto"/>
        </w:rPr>
        <w:t>我们收到你们</w:t>
      </w:r>
      <w:r>
        <w:rPr>
          <w:rFonts w:ascii="宋体" w:hAnsi="宋体"/>
          <w:color w:val="auto"/>
          <w:u w:val="single"/>
        </w:rPr>
        <w:t xml:space="preserve">               </w:t>
      </w:r>
      <w:r>
        <w:rPr>
          <w:rFonts w:hint="eastAsia" w:ascii="宋体" w:hAnsi="宋体"/>
          <w:color w:val="auto"/>
        </w:rPr>
        <w:t>号招标文件，经认真研究，我们决定参加投标。</w:t>
      </w:r>
    </w:p>
    <w:p>
      <w:pPr>
        <w:pStyle w:val="83"/>
        <w:spacing w:line="500" w:lineRule="exact"/>
        <w:ind w:firstLine="567"/>
        <w:jc w:val="both"/>
        <w:rPr>
          <w:rFonts w:ascii="宋体" w:hAnsi="宋体"/>
          <w:color w:val="auto"/>
        </w:rPr>
      </w:pPr>
      <w:r>
        <w:rPr>
          <w:rFonts w:hint="eastAsia" w:ascii="宋体" w:hAnsi="宋体"/>
          <w:color w:val="auto"/>
        </w:rPr>
        <w:t>⒈按照招标文件中的一切要求，提供招标设备、安装及技术服务投标总价</w:t>
      </w:r>
      <w:r>
        <w:rPr>
          <w:rFonts w:ascii="宋体" w:hAnsi="宋体"/>
          <w:color w:val="auto"/>
        </w:rPr>
        <w:t xml:space="preserve"> </w:t>
      </w:r>
      <w:r>
        <w:rPr>
          <w:rFonts w:ascii="宋体" w:hAnsi="宋体"/>
          <w:color w:val="auto"/>
          <w:u w:val="single"/>
        </w:rPr>
        <w:t xml:space="preserve">       </w:t>
      </w:r>
      <w:r>
        <w:rPr>
          <w:rFonts w:hint="eastAsia" w:ascii="宋体" w:hAnsi="宋体"/>
          <w:color w:val="auto"/>
        </w:rPr>
        <w:t>元（人民币大写）￥：</w:t>
      </w:r>
      <w:r>
        <w:rPr>
          <w:rFonts w:ascii="宋体" w:hAnsi="宋体"/>
          <w:color w:val="auto"/>
          <w:u w:val="single"/>
        </w:rPr>
        <w:t xml:space="preserve">        </w:t>
      </w:r>
      <w:r>
        <w:rPr>
          <w:rFonts w:hint="eastAsia" w:ascii="宋体" w:hAnsi="宋体"/>
          <w:color w:val="auto"/>
        </w:rPr>
        <w:t>元人民币。</w:t>
      </w:r>
    </w:p>
    <w:p>
      <w:pPr>
        <w:pStyle w:val="83"/>
        <w:spacing w:line="500" w:lineRule="exact"/>
        <w:ind w:firstLine="567"/>
        <w:jc w:val="both"/>
        <w:rPr>
          <w:rFonts w:ascii="宋体" w:hAnsi="宋体"/>
          <w:color w:val="auto"/>
        </w:rPr>
      </w:pPr>
      <w:r>
        <w:rPr>
          <w:rFonts w:hint="eastAsia" w:ascii="宋体" w:hAnsi="宋体"/>
          <w:color w:val="auto"/>
        </w:rPr>
        <w:t>⒉如果我们投标书被接受，我们将履行招标文件中规定的每一项要求，按期、按质、按量完成交货和完工任务。</w:t>
      </w:r>
    </w:p>
    <w:p>
      <w:pPr>
        <w:pStyle w:val="83"/>
        <w:spacing w:line="500" w:lineRule="exact"/>
        <w:ind w:firstLine="567"/>
        <w:jc w:val="both"/>
        <w:rPr>
          <w:rFonts w:ascii="宋体" w:hAnsi="宋体"/>
          <w:color w:val="auto"/>
        </w:rPr>
      </w:pPr>
      <w:r>
        <w:rPr>
          <w:rFonts w:hint="eastAsia" w:ascii="宋体" w:hAnsi="宋体"/>
          <w:color w:val="auto"/>
        </w:rPr>
        <w:t>⒊我们同意按招标文件的规定，本投标书的有效期为开标后</w:t>
      </w:r>
      <w:r>
        <w:rPr>
          <w:rFonts w:ascii="宋体" w:hAnsi="宋体"/>
          <w:color w:val="auto"/>
        </w:rPr>
        <w:t xml:space="preserve"> </w:t>
      </w:r>
      <w:r>
        <w:rPr>
          <w:rFonts w:hint="eastAsia" w:ascii="宋体" w:hAnsi="宋体"/>
          <w:b/>
          <w:color w:val="auto"/>
          <w:u w:val="single"/>
        </w:rPr>
        <w:t>60</w:t>
      </w:r>
      <w:r>
        <w:rPr>
          <w:rFonts w:hint="eastAsia" w:ascii="宋体" w:hAnsi="宋体"/>
          <w:color w:val="auto"/>
        </w:rPr>
        <w:t xml:space="preserve"> 天。</w:t>
      </w:r>
    </w:p>
    <w:p>
      <w:pPr>
        <w:pStyle w:val="83"/>
        <w:spacing w:line="500" w:lineRule="exact"/>
        <w:ind w:firstLine="567"/>
        <w:jc w:val="both"/>
        <w:rPr>
          <w:rFonts w:ascii="宋体" w:hAnsi="宋体"/>
          <w:color w:val="auto"/>
        </w:rPr>
      </w:pPr>
      <w:r>
        <w:rPr>
          <w:rFonts w:hint="eastAsia" w:ascii="宋体" w:hAnsi="宋体"/>
          <w:color w:val="auto"/>
        </w:rPr>
        <w:t>⒋我们愿意提供招标人在招标文件中要求的所有资料。</w:t>
      </w:r>
    </w:p>
    <w:p>
      <w:pPr>
        <w:pStyle w:val="83"/>
        <w:spacing w:line="500" w:lineRule="exact"/>
        <w:ind w:firstLine="567"/>
        <w:jc w:val="both"/>
        <w:rPr>
          <w:rFonts w:ascii="宋体" w:hAnsi="宋体"/>
          <w:color w:val="auto"/>
        </w:rPr>
      </w:pPr>
      <w:r>
        <w:rPr>
          <w:rFonts w:hint="eastAsia" w:ascii="宋体" w:hAnsi="宋体"/>
          <w:color w:val="auto"/>
        </w:rPr>
        <w:t>⒌我们认为你们有选择或拒绝任何投标者中标的权力。我们理解，最低报价不是中标的唯一条件。</w:t>
      </w:r>
    </w:p>
    <w:p>
      <w:pPr>
        <w:pStyle w:val="83"/>
        <w:spacing w:line="500" w:lineRule="exact"/>
        <w:ind w:firstLine="567"/>
        <w:jc w:val="both"/>
        <w:rPr>
          <w:rFonts w:ascii="宋体" w:hAnsi="宋体"/>
          <w:color w:val="auto"/>
        </w:rPr>
      </w:pPr>
      <w:r>
        <w:rPr>
          <w:rFonts w:hint="eastAsia" w:ascii="宋体" w:hAnsi="宋体"/>
          <w:color w:val="auto"/>
        </w:rPr>
        <w:t>⒍我们愿按合同法履行自己的全部责任。</w:t>
      </w:r>
    </w:p>
    <w:p>
      <w:pPr>
        <w:pStyle w:val="83"/>
        <w:spacing w:line="500" w:lineRule="exact"/>
        <w:ind w:firstLine="567"/>
        <w:jc w:val="both"/>
        <w:rPr>
          <w:rFonts w:ascii="宋体" w:hAnsi="宋体"/>
          <w:color w:val="auto"/>
        </w:rPr>
      </w:pPr>
      <w:r>
        <w:rPr>
          <w:rFonts w:hint="eastAsia" w:ascii="宋体" w:hAnsi="宋体"/>
          <w:color w:val="auto"/>
        </w:rPr>
        <w:t>⒎我方愿意遵守国家有关规定及招标文件中规定的收费标准，承付中标服务费。</w:t>
      </w:r>
    </w:p>
    <w:p>
      <w:pPr>
        <w:pStyle w:val="83"/>
        <w:spacing w:line="500" w:lineRule="exact"/>
        <w:ind w:firstLine="567"/>
        <w:jc w:val="both"/>
        <w:rPr>
          <w:rFonts w:ascii="宋体" w:hAnsi="宋体"/>
          <w:color w:val="auto"/>
        </w:rPr>
      </w:pPr>
      <w:r>
        <w:rPr>
          <w:rFonts w:hint="eastAsia" w:ascii="宋体" w:hAnsi="宋体"/>
          <w:color w:val="auto"/>
        </w:rPr>
        <w:t>⒏该项投标在开标后的全过程中保持有效，不作任何更改和变动。</w:t>
      </w:r>
    </w:p>
    <w:p>
      <w:pPr>
        <w:pStyle w:val="83"/>
        <w:spacing w:line="500" w:lineRule="exact"/>
        <w:ind w:firstLine="567"/>
        <w:jc w:val="both"/>
        <w:rPr>
          <w:rFonts w:ascii="宋体" w:hAnsi="宋体"/>
          <w:color w:val="auto"/>
        </w:rPr>
      </w:pPr>
      <w:r>
        <w:rPr>
          <w:rFonts w:hint="eastAsia" w:ascii="宋体" w:hAnsi="宋体"/>
          <w:color w:val="auto"/>
        </w:rPr>
        <w:t>⒐我们同意按招标文件规定，交纳</w:t>
      </w:r>
      <w:r>
        <w:rPr>
          <w:rFonts w:ascii="宋体" w:hAnsi="宋体"/>
          <w:color w:val="auto"/>
          <w:u w:val="single"/>
        </w:rPr>
        <w:t xml:space="preserve">        </w:t>
      </w:r>
      <w:r>
        <w:rPr>
          <w:rFonts w:hint="eastAsia" w:ascii="宋体" w:hAnsi="宋体"/>
          <w:color w:val="auto"/>
          <w:u w:val="single"/>
        </w:rPr>
        <w:t xml:space="preserve">   </w:t>
      </w:r>
      <w:r>
        <w:rPr>
          <w:rFonts w:hint="eastAsia" w:ascii="宋体" w:hAnsi="宋体"/>
          <w:color w:val="auto"/>
        </w:rPr>
        <w:t>万元的投标保证金。</w:t>
      </w:r>
    </w:p>
    <w:p>
      <w:pPr>
        <w:pStyle w:val="83"/>
        <w:spacing w:line="500" w:lineRule="exact"/>
        <w:ind w:firstLine="567"/>
        <w:jc w:val="both"/>
        <w:rPr>
          <w:rFonts w:ascii="宋体" w:hAnsi="宋体"/>
          <w:color w:val="auto"/>
        </w:rPr>
      </w:pPr>
      <w:r>
        <w:rPr>
          <w:rFonts w:hint="eastAsia" w:ascii="宋体" w:hAnsi="宋体"/>
          <w:color w:val="auto"/>
        </w:rPr>
        <w:t>⒑综合说明：</w:t>
      </w:r>
    </w:p>
    <w:p>
      <w:pPr>
        <w:pStyle w:val="83"/>
        <w:spacing w:line="500" w:lineRule="exact"/>
        <w:ind w:firstLine="567"/>
        <w:jc w:val="both"/>
        <w:rPr>
          <w:rFonts w:ascii="宋体" w:hAnsi="宋体"/>
          <w:color w:val="auto"/>
        </w:rPr>
      </w:pPr>
      <w:r>
        <w:rPr>
          <w:rFonts w:hint="eastAsia" w:ascii="宋体" w:hAnsi="宋体"/>
          <w:color w:val="auto"/>
        </w:rPr>
        <w:t>（1）设备的详细技术参数、技术条件、技术标准、拟达到的质量标准和保险期限。</w:t>
      </w:r>
    </w:p>
    <w:p>
      <w:pPr>
        <w:pStyle w:val="83"/>
        <w:spacing w:line="500" w:lineRule="exact"/>
        <w:ind w:firstLine="567"/>
        <w:jc w:val="both"/>
        <w:rPr>
          <w:rFonts w:ascii="宋体" w:hAnsi="宋体"/>
          <w:color w:val="auto"/>
        </w:rPr>
      </w:pPr>
      <w:r>
        <w:rPr>
          <w:rFonts w:hint="eastAsia" w:ascii="宋体" w:hAnsi="宋体"/>
          <w:color w:val="auto"/>
        </w:rPr>
        <w:t>（2）易损件、备品备件、专用工具及供应方式。</w:t>
      </w:r>
    </w:p>
    <w:p>
      <w:pPr>
        <w:pStyle w:val="83"/>
        <w:spacing w:line="500" w:lineRule="exact"/>
        <w:ind w:firstLine="567"/>
        <w:jc w:val="both"/>
        <w:rPr>
          <w:rFonts w:ascii="宋体" w:hAnsi="宋体"/>
          <w:color w:val="auto"/>
        </w:rPr>
      </w:pPr>
      <w:r>
        <w:rPr>
          <w:rFonts w:hint="eastAsia" w:ascii="宋体" w:hAnsi="宋体"/>
          <w:color w:val="auto"/>
        </w:rPr>
        <w:t>（3）技术服务。</w:t>
      </w:r>
    </w:p>
    <w:p>
      <w:pPr>
        <w:pStyle w:val="83"/>
        <w:spacing w:line="500" w:lineRule="exact"/>
        <w:ind w:firstLine="567"/>
        <w:jc w:val="both"/>
        <w:rPr>
          <w:rFonts w:ascii="宋体" w:hAnsi="宋体"/>
          <w:color w:val="auto"/>
        </w:rPr>
      </w:pPr>
      <w:r>
        <w:rPr>
          <w:rFonts w:hint="eastAsia" w:ascii="宋体" w:hAnsi="宋体"/>
          <w:color w:val="auto"/>
        </w:rPr>
        <w:t>（4）运输方式。</w:t>
      </w:r>
    </w:p>
    <w:p>
      <w:pPr>
        <w:pStyle w:val="83"/>
        <w:spacing w:line="500" w:lineRule="exact"/>
        <w:ind w:firstLine="567"/>
        <w:jc w:val="both"/>
        <w:rPr>
          <w:rFonts w:ascii="宋体" w:hAnsi="宋体"/>
          <w:color w:val="auto"/>
        </w:rPr>
      </w:pPr>
      <w:r>
        <w:rPr>
          <w:rFonts w:hint="eastAsia" w:ascii="宋体" w:hAnsi="宋体"/>
          <w:color w:val="auto"/>
        </w:rPr>
        <w:t>（5）要求招标人提供的配合。</w:t>
      </w:r>
    </w:p>
    <w:p>
      <w:pPr>
        <w:pStyle w:val="83"/>
        <w:spacing w:line="500" w:lineRule="exact"/>
        <w:ind w:firstLine="567"/>
        <w:jc w:val="both"/>
        <w:rPr>
          <w:rFonts w:ascii="宋体" w:hAnsi="宋体"/>
          <w:color w:val="auto"/>
        </w:rPr>
      </w:pPr>
      <w:r>
        <w:rPr>
          <w:rFonts w:hint="eastAsia" w:ascii="宋体" w:hAnsi="宋体"/>
          <w:color w:val="auto"/>
        </w:rPr>
        <w:t>（6）对招标文件内容有不同意见的偏离说明。</w:t>
      </w:r>
    </w:p>
    <w:p>
      <w:pPr>
        <w:pStyle w:val="83"/>
        <w:spacing w:line="500" w:lineRule="exact"/>
        <w:ind w:firstLine="567"/>
        <w:jc w:val="both"/>
        <w:rPr>
          <w:rFonts w:ascii="宋体" w:hAnsi="宋体"/>
          <w:color w:val="auto"/>
        </w:rPr>
      </w:pPr>
      <w:r>
        <w:rPr>
          <w:rFonts w:hint="eastAsia" w:ascii="宋体" w:hAnsi="宋体"/>
          <w:color w:val="auto"/>
        </w:rPr>
        <w:t>（7）其它。</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附件1－1：法定代表人身份证明复印件(法定代表人参加投标)</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附件1－2：法定代表人授权书(授权代表参加投标)</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附件1－3：授权委托书(自然人提供)</w:t>
      </w:r>
    </w:p>
    <w:p>
      <w:pPr>
        <w:spacing w:line="500" w:lineRule="exact"/>
        <w:rPr>
          <w:rFonts w:asciiTheme="minorEastAsia" w:hAnsiTheme="minorEastAsia" w:eastAsiaTheme="minorEastAsia" w:cstheme="minorEastAsia"/>
          <w:color w:val="auto"/>
          <w:sz w:val="24"/>
          <w:szCs w:val="24"/>
        </w:rPr>
      </w:pP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投标人名称：____________投标人公章：____________</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投标人地址：____________邮编：____________</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电话：____________传真：____________</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法定代表人或投标人代表(签字或盖章)：____________</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联系电话：____________</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日期：____________</w:t>
      </w:r>
    </w:p>
    <w:p>
      <w:pPr>
        <w:pStyle w:val="83"/>
        <w:spacing w:line="500" w:lineRule="exact"/>
        <w:jc w:val="center"/>
        <w:rPr>
          <w:rFonts w:ascii="宋体" w:hAnsi="宋体"/>
          <w:b/>
          <w:bCs/>
          <w:color w:val="auto"/>
        </w:rPr>
      </w:pPr>
    </w:p>
    <w:p>
      <w:pPr>
        <w:pStyle w:val="83"/>
        <w:spacing w:line="500" w:lineRule="exact"/>
        <w:jc w:val="center"/>
        <w:rPr>
          <w:rFonts w:ascii="宋体" w:hAnsi="宋体"/>
          <w:b/>
          <w:bCs/>
          <w:color w:val="auto"/>
        </w:rPr>
      </w:pPr>
    </w:p>
    <w:p>
      <w:pPr>
        <w:pStyle w:val="83"/>
        <w:spacing w:line="500" w:lineRule="exact"/>
        <w:jc w:val="center"/>
        <w:rPr>
          <w:rFonts w:ascii="宋体" w:hAnsi="宋体"/>
          <w:b/>
          <w:bCs/>
          <w:color w:val="auto"/>
        </w:rPr>
      </w:pPr>
    </w:p>
    <w:p>
      <w:pPr>
        <w:pStyle w:val="83"/>
        <w:spacing w:line="500" w:lineRule="exact"/>
        <w:jc w:val="center"/>
        <w:rPr>
          <w:rFonts w:ascii="宋体" w:hAnsi="宋体"/>
          <w:b/>
          <w:bCs/>
          <w:color w:val="auto"/>
        </w:rPr>
      </w:pPr>
    </w:p>
    <w:p>
      <w:pPr>
        <w:pStyle w:val="83"/>
        <w:spacing w:line="500" w:lineRule="exact"/>
        <w:jc w:val="center"/>
        <w:rPr>
          <w:rFonts w:ascii="宋体" w:hAnsi="宋体"/>
          <w:b/>
          <w:bCs/>
          <w:color w:val="auto"/>
        </w:rPr>
      </w:pPr>
    </w:p>
    <w:p>
      <w:pPr>
        <w:pStyle w:val="83"/>
        <w:spacing w:line="500" w:lineRule="exact"/>
        <w:jc w:val="center"/>
        <w:rPr>
          <w:rFonts w:ascii="宋体" w:hAnsi="宋体"/>
          <w:b/>
          <w:bCs/>
          <w:color w:val="auto"/>
        </w:rPr>
      </w:pPr>
    </w:p>
    <w:p>
      <w:pPr>
        <w:pStyle w:val="83"/>
        <w:spacing w:line="500" w:lineRule="exact"/>
        <w:jc w:val="center"/>
        <w:rPr>
          <w:rFonts w:ascii="宋体" w:hAnsi="宋体"/>
          <w:b/>
          <w:bCs/>
          <w:color w:val="auto"/>
        </w:rPr>
      </w:pPr>
    </w:p>
    <w:p>
      <w:pPr>
        <w:pStyle w:val="83"/>
        <w:spacing w:line="500" w:lineRule="exact"/>
        <w:jc w:val="center"/>
        <w:rPr>
          <w:rFonts w:ascii="宋体" w:hAnsi="宋体"/>
          <w:b/>
          <w:bCs/>
          <w:color w:val="auto"/>
        </w:rPr>
      </w:pPr>
    </w:p>
    <w:p>
      <w:pPr>
        <w:pStyle w:val="83"/>
        <w:spacing w:line="500" w:lineRule="exact"/>
        <w:jc w:val="center"/>
        <w:rPr>
          <w:rFonts w:ascii="宋体" w:hAnsi="宋体"/>
          <w:b/>
          <w:bCs/>
          <w:color w:val="auto"/>
        </w:rPr>
      </w:pPr>
    </w:p>
    <w:p>
      <w:pPr>
        <w:pStyle w:val="83"/>
        <w:spacing w:line="500" w:lineRule="exact"/>
        <w:jc w:val="center"/>
        <w:rPr>
          <w:rFonts w:ascii="宋体" w:hAnsi="宋体"/>
          <w:b/>
          <w:bCs/>
          <w:color w:val="auto"/>
        </w:rPr>
      </w:pPr>
    </w:p>
    <w:p>
      <w:pPr>
        <w:pStyle w:val="83"/>
        <w:spacing w:line="500" w:lineRule="exact"/>
        <w:jc w:val="center"/>
        <w:rPr>
          <w:rFonts w:ascii="宋体" w:hAnsi="宋体"/>
          <w:b/>
          <w:bCs/>
          <w:color w:val="auto"/>
        </w:rPr>
      </w:pPr>
    </w:p>
    <w:p>
      <w:pPr>
        <w:pStyle w:val="83"/>
        <w:spacing w:line="500" w:lineRule="exact"/>
        <w:jc w:val="center"/>
        <w:rPr>
          <w:rFonts w:ascii="宋体" w:hAnsi="宋体"/>
          <w:b/>
          <w:bCs/>
          <w:color w:val="auto"/>
        </w:rPr>
      </w:pPr>
    </w:p>
    <w:p>
      <w:pPr>
        <w:pStyle w:val="83"/>
        <w:spacing w:line="500" w:lineRule="exact"/>
        <w:jc w:val="center"/>
        <w:rPr>
          <w:rFonts w:ascii="宋体" w:hAnsi="宋体"/>
          <w:b/>
          <w:bCs/>
          <w:color w:val="auto"/>
        </w:rPr>
      </w:pPr>
    </w:p>
    <w:p>
      <w:pPr>
        <w:pStyle w:val="83"/>
        <w:spacing w:line="500" w:lineRule="exact"/>
        <w:jc w:val="center"/>
        <w:rPr>
          <w:rFonts w:ascii="宋体" w:hAnsi="宋体"/>
          <w:b/>
          <w:bCs/>
          <w:color w:val="auto"/>
        </w:rPr>
      </w:pPr>
    </w:p>
    <w:p>
      <w:pPr>
        <w:pStyle w:val="83"/>
        <w:spacing w:line="500" w:lineRule="exact"/>
        <w:jc w:val="center"/>
        <w:rPr>
          <w:rFonts w:ascii="宋体" w:hAnsi="宋体"/>
          <w:b/>
          <w:bCs/>
          <w:color w:val="auto"/>
        </w:rPr>
      </w:pPr>
    </w:p>
    <w:p>
      <w:pPr>
        <w:pStyle w:val="83"/>
        <w:spacing w:line="500" w:lineRule="exact"/>
        <w:jc w:val="center"/>
        <w:rPr>
          <w:rFonts w:ascii="宋体" w:hAnsi="宋体"/>
          <w:b/>
          <w:bCs/>
          <w:color w:val="auto"/>
        </w:rPr>
      </w:pPr>
    </w:p>
    <w:p>
      <w:pPr>
        <w:pStyle w:val="83"/>
        <w:spacing w:line="500" w:lineRule="exact"/>
        <w:jc w:val="center"/>
        <w:rPr>
          <w:rFonts w:ascii="宋体" w:hAnsi="宋体"/>
          <w:b/>
          <w:bCs/>
          <w:color w:val="auto"/>
        </w:rPr>
      </w:pPr>
    </w:p>
    <w:p>
      <w:pPr>
        <w:pStyle w:val="83"/>
        <w:spacing w:line="500" w:lineRule="exact"/>
        <w:jc w:val="center"/>
        <w:rPr>
          <w:rFonts w:ascii="宋体" w:hAnsi="宋体"/>
          <w:b/>
          <w:bCs/>
          <w:color w:val="auto"/>
        </w:rPr>
      </w:pPr>
    </w:p>
    <w:p>
      <w:pPr>
        <w:pStyle w:val="83"/>
        <w:spacing w:line="500" w:lineRule="exact"/>
        <w:jc w:val="center"/>
        <w:rPr>
          <w:rFonts w:ascii="宋体" w:hAnsi="宋体"/>
          <w:b/>
          <w:bCs/>
          <w:color w:val="auto"/>
        </w:rPr>
      </w:pPr>
    </w:p>
    <w:p>
      <w:pPr>
        <w:pStyle w:val="83"/>
        <w:spacing w:line="500" w:lineRule="exact"/>
        <w:jc w:val="center"/>
        <w:rPr>
          <w:rFonts w:ascii="宋体" w:hAnsi="宋体"/>
          <w:b/>
          <w:bCs/>
          <w:color w:val="auto"/>
        </w:rPr>
      </w:pPr>
    </w:p>
    <w:p>
      <w:pPr>
        <w:pStyle w:val="83"/>
        <w:spacing w:line="500" w:lineRule="exact"/>
        <w:jc w:val="center"/>
        <w:rPr>
          <w:rFonts w:ascii="宋体" w:hAnsi="宋体"/>
          <w:b/>
          <w:bCs/>
          <w:color w:val="auto"/>
        </w:rPr>
      </w:pPr>
    </w:p>
    <w:p>
      <w:pPr>
        <w:pStyle w:val="83"/>
        <w:spacing w:line="500" w:lineRule="exact"/>
        <w:jc w:val="center"/>
        <w:rPr>
          <w:rFonts w:ascii="宋体" w:hAnsi="宋体"/>
          <w:b/>
          <w:bCs/>
          <w:color w:val="auto"/>
        </w:rPr>
      </w:pPr>
    </w:p>
    <w:p>
      <w:pPr>
        <w:pStyle w:val="83"/>
        <w:spacing w:line="500" w:lineRule="exact"/>
        <w:jc w:val="center"/>
        <w:rPr>
          <w:rFonts w:ascii="宋体" w:hAnsi="宋体"/>
          <w:b/>
          <w:bCs/>
          <w:color w:val="auto"/>
        </w:rPr>
      </w:pP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附件1－1　法定代表人身份证明复印件(法定代表人参加投标的)</w:t>
      </w:r>
    </w:p>
    <w:p>
      <w:pPr>
        <w:spacing w:line="500" w:lineRule="exact"/>
        <w:rPr>
          <w:rFonts w:asciiTheme="minorEastAsia" w:hAnsiTheme="minorEastAsia" w:eastAsiaTheme="minorEastAsia" w:cstheme="minorEastAsia"/>
          <w:color w:val="auto"/>
          <w:sz w:val="24"/>
          <w:szCs w:val="24"/>
        </w:rPr>
      </w:pPr>
    </w:p>
    <w:tbl>
      <w:tblPr>
        <w:tblStyle w:val="41"/>
        <w:tblW w:w="51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118" w:type="dxa"/>
            <w:tcBorders>
              <w:top w:val="single" w:color="auto" w:sz="4" w:space="0"/>
              <w:bottom w:val="single" w:color="auto" w:sz="4" w:space="0"/>
            </w:tcBorders>
            <w:vAlign w:val="center"/>
          </w:tcPr>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法定代表人身份证明复印件</w:t>
            </w:r>
          </w:p>
        </w:tc>
      </w:tr>
    </w:tbl>
    <w:p>
      <w:pPr>
        <w:spacing w:line="500" w:lineRule="exact"/>
        <w:rPr>
          <w:rFonts w:asciiTheme="minorEastAsia" w:hAnsiTheme="minorEastAsia" w:eastAsiaTheme="minorEastAsia" w:cstheme="minorEastAsia"/>
          <w:color w:val="auto"/>
          <w:sz w:val="24"/>
          <w:szCs w:val="24"/>
        </w:rPr>
      </w:pP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附件1－2　法定代表人授权委托书(授权代表参加投标的)</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法定代表人授权委托书(格式一)(适用于法人投标)</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____________(投标人名称)的法定代表人________(姓名、职务)授权________(投标人代表姓名、职务)为本公司的投标人代表，就________(项目名称)投标及相关事务代表本公司处理与之有关的一切事务。</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委托期限：____________________。</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代理人无转委托权。</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本授权书于______年____月____日签字生效，特此声明。</w:t>
      </w:r>
    </w:p>
    <w:tbl>
      <w:tblPr>
        <w:tblStyle w:val="41"/>
        <w:tblpPr w:leftFromText="180" w:rightFromText="180" w:vertAnchor="text" w:horzAnchor="page" w:tblpX="6661" w:tblpY="414"/>
        <w:tblOverlap w:val="never"/>
        <w:tblW w:w="40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3" w:hRule="atLeast"/>
        </w:trPr>
        <w:tc>
          <w:tcPr>
            <w:tcW w:w="4020" w:type="dxa"/>
            <w:tcBorders>
              <w:top w:val="single" w:color="auto" w:sz="4" w:space="0"/>
              <w:bottom w:val="single" w:color="auto" w:sz="4" w:space="0"/>
            </w:tcBorders>
            <w:vAlign w:val="center"/>
          </w:tcPr>
          <w:p>
            <w:pPr>
              <w:spacing w:line="5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授权代表身份证明复印件</w:t>
            </w:r>
          </w:p>
          <w:p>
            <w:pPr>
              <w:spacing w:line="5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（正反面）</w:t>
            </w:r>
          </w:p>
        </w:tc>
      </w:tr>
    </w:tbl>
    <w:tbl>
      <w:tblPr>
        <w:tblStyle w:val="41"/>
        <w:tblpPr w:leftFromText="180" w:rightFromText="180" w:vertAnchor="text" w:horzAnchor="page" w:tblpX="1969" w:tblpY="450"/>
        <w:tblOverlap w:val="never"/>
        <w:tblW w:w="41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1" w:hRule="atLeast"/>
        </w:trPr>
        <w:tc>
          <w:tcPr>
            <w:tcW w:w="4100" w:type="dxa"/>
            <w:tcBorders>
              <w:top w:val="single" w:color="auto" w:sz="4" w:space="0"/>
              <w:bottom w:val="single" w:color="auto" w:sz="4" w:space="0"/>
            </w:tcBorders>
            <w:vAlign w:val="center"/>
          </w:tcPr>
          <w:p>
            <w:pPr>
              <w:spacing w:line="5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法定代表人身份证明复印件</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（正反面）</w:t>
            </w:r>
          </w:p>
        </w:tc>
      </w:tr>
    </w:tbl>
    <w:p>
      <w:pPr>
        <w:spacing w:line="500" w:lineRule="exact"/>
        <w:rPr>
          <w:rFonts w:asciiTheme="minorEastAsia" w:hAnsiTheme="minorEastAsia" w:eastAsiaTheme="minorEastAsia" w:cstheme="minorEastAsia"/>
          <w:color w:val="auto"/>
          <w:sz w:val="24"/>
          <w:szCs w:val="24"/>
        </w:rPr>
      </w:pP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投标人名称(公章)：____________________</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法定代表人(签字或盖章)：____________________</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授权代表(签字或盖章)：____________________</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______年____月____日</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说明：授权用投标专用章的，与公章具有相同法律效力。</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r>
        <w:rPr>
          <w:rFonts w:hint="eastAsia" w:asciiTheme="minorEastAsia" w:hAnsiTheme="minorEastAsia" w:eastAsiaTheme="minorEastAsia" w:cstheme="minorEastAsia"/>
          <w:color w:val="auto"/>
          <w:sz w:val="24"/>
          <w:szCs w:val="24"/>
        </w:rPr>
        <w:t>　　附件1－3</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授权委托书(格式二)(适用于自然人投标)</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致：____________(采购人或采购代理机构)</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我________(姓名)系自然人，现授权委托____________(姓名)以本人名义参加____________(项目名称)的投标活动，并代表本人全权办理针对上述项目的投标、签约等具体事务和签署相关文件。</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本人对被授权人的签字事项负全部责任。</w:t>
      </w: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授权委托代理期限：从　　　年　　月　　日起至　　　年　　月　　日止。</w:t>
      </w:r>
    </w:p>
    <w:p>
      <w:pPr>
        <w:spacing w:line="500" w:lineRule="exact"/>
        <w:rPr>
          <w:rFonts w:asciiTheme="minorEastAsia" w:hAnsiTheme="minorEastAsia" w:eastAsiaTheme="minorEastAsia" w:cstheme="minorEastAsia"/>
          <w:color w:val="auto"/>
          <w:sz w:val="24"/>
          <w:szCs w:val="24"/>
        </w:rPr>
      </w:pP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代理人无转委托权，特此委托。</w:t>
      </w:r>
    </w:p>
    <w:p>
      <w:pPr>
        <w:spacing w:line="500" w:lineRule="exact"/>
        <w:rPr>
          <w:rFonts w:asciiTheme="minorEastAsia" w:hAnsiTheme="minorEastAsia" w:eastAsiaTheme="minorEastAsia" w:cstheme="minorEastAsia"/>
          <w:color w:val="auto"/>
          <w:sz w:val="24"/>
          <w:szCs w:val="24"/>
        </w:rPr>
      </w:pP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我已在下面签字，以资证明。</w:t>
      </w:r>
    </w:p>
    <w:p>
      <w:pPr>
        <w:spacing w:line="500" w:lineRule="exact"/>
        <w:rPr>
          <w:rFonts w:asciiTheme="minorEastAsia" w:hAnsiTheme="minorEastAsia" w:eastAsiaTheme="minorEastAsia" w:cstheme="minorEastAsia"/>
          <w:color w:val="auto"/>
          <w:sz w:val="24"/>
          <w:szCs w:val="24"/>
        </w:rPr>
      </w:pPr>
    </w:p>
    <w:p>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自然人签字并在签名处加盖食指指印：　　　　年　　月　　日</w:t>
      </w:r>
    </w:p>
    <w:p>
      <w:pPr>
        <w:spacing w:line="500" w:lineRule="exact"/>
        <w:rPr>
          <w:rFonts w:ascii="宋体" w:hAnsi="宋体"/>
          <w:color w:val="auto"/>
          <w:sz w:val="24"/>
          <w:szCs w:val="24"/>
        </w:rPr>
      </w:pPr>
      <w:r>
        <w:rPr>
          <w:rFonts w:ascii="宋体" w:hAnsi="宋体"/>
          <w:color w:val="auto"/>
          <w:kern w:val="0"/>
          <w:sz w:val="24"/>
          <w:szCs w:val="24"/>
        </w:rPr>
        <w:t xml:space="preserve">  </w:t>
      </w:r>
    </w:p>
    <w:p>
      <w:pPr>
        <w:spacing w:line="500" w:lineRule="exact"/>
        <w:rPr>
          <w:rFonts w:ascii="宋体" w:hAnsi="宋体"/>
          <w:color w:val="auto"/>
          <w:sz w:val="24"/>
          <w:szCs w:val="24"/>
        </w:rPr>
        <w:sectPr>
          <w:pgSz w:w="11906" w:h="16838"/>
          <w:pgMar w:top="1417" w:right="1134" w:bottom="1417" w:left="1417" w:header="851" w:footer="850" w:gutter="0"/>
          <w:cols w:space="0" w:num="1"/>
          <w:docGrid w:type="linesAndChars" w:linePitch="322" w:charSpace="535"/>
        </w:sectPr>
      </w:pPr>
    </w:p>
    <w:p>
      <w:pPr>
        <w:pStyle w:val="146"/>
        <w:spacing w:line="500" w:lineRule="exact"/>
        <w:jc w:val="center"/>
        <w:rPr>
          <w:rFonts w:ascii="宋体" w:hAnsi="宋体"/>
          <w:b/>
          <w:bCs/>
          <w:color w:val="auto"/>
          <w:szCs w:val="24"/>
        </w:rPr>
      </w:pPr>
      <w:r>
        <w:rPr>
          <w:rFonts w:hint="eastAsia" w:ascii="宋体" w:hAnsi="宋体"/>
          <w:b/>
          <w:bCs/>
          <w:color w:val="auto"/>
          <w:szCs w:val="24"/>
        </w:rPr>
        <w:t>二、开标一览表</w:t>
      </w:r>
    </w:p>
    <w:p>
      <w:pPr>
        <w:pStyle w:val="24"/>
        <w:ind w:firstLine="424" w:firstLineChars="200"/>
        <w:jc w:val="center"/>
        <w:rPr>
          <w:rFonts w:ascii="Times New Roman" w:hAnsi="Times New Roman"/>
          <w:color w:val="auto"/>
        </w:rPr>
      </w:pPr>
    </w:p>
    <w:tbl>
      <w:tblPr>
        <w:tblStyle w:val="41"/>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2130"/>
        <w:gridCol w:w="3420"/>
        <w:gridCol w:w="1236"/>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52" w:type="dxa"/>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序号</w:t>
            </w:r>
          </w:p>
        </w:tc>
        <w:tc>
          <w:tcPr>
            <w:tcW w:w="2130" w:type="dxa"/>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项目名称</w:t>
            </w:r>
          </w:p>
        </w:tc>
        <w:tc>
          <w:tcPr>
            <w:tcW w:w="3420" w:type="dxa"/>
            <w:vAlign w:val="center"/>
          </w:tcPr>
          <w:p>
            <w:pPr>
              <w:pStyle w:val="24"/>
              <w:jc w:val="center"/>
              <w:rPr>
                <w:rFonts w:ascii="Times New Roman" w:hAnsi="Times New Roman"/>
                <w:color w:val="auto"/>
                <w:sz w:val="24"/>
                <w:szCs w:val="24"/>
              </w:rPr>
            </w:pPr>
          </w:p>
        </w:tc>
        <w:tc>
          <w:tcPr>
            <w:tcW w:w="1236" w:type="dxa"/>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项目编号</w:t>
            </w:r>
          </w:p>
        </w:tc>
        <w:tc>
          <w:tcPr>
            <w:tcW w:w="1727" w:type="dxa"/>
            <w:vAlign w:val="center"/>
          </w:tcPr>
          <w:p>
            <w:pPr>
              <w:pStyle w:val="24"/>
              <w:jc w:val="center"/>
              <w:rPr>
                <w:rFonts w:ascii="MingLiU_HKSCS" w:hAnsi="MingLiU_HKSCS" w:eastAsia="MingLiU_HKSCS" w:cs="MingLiU_HKS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052" w:type="dxa"/>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1</w:t>
            </w:r>
          </w:p>
        </w:tc>
        <w:tc>
          <w:tcPr>
            <w:tcW w:w="2130" w:type="dxa"/>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总报价人民币</w:t>
            </w:r>
          </w:p>
        </w:tc>
        <w:tc>
          <w:tcPr>
            <w:tcW w:w="6383" w:type="dxa"/>
            <w:gridSpan w:val="3"/>
            <w:vAlign w:val="center"/>
          </w:tcPr>
          <w:p>
            <w:pPr>
              <w:pStyle w:val="24"/>
              <w:jc w:val="left"/>
              <w:rPr>
                <w:rFonts w:ascii="Times New Roman" w:hAnsi="Times New Roman" w:eastAsia="MingLiU_HKSCS"/>
                <w:color w:val="auto"/>
                <w:sz w:val="24"/>
                <w:szCs w:val="24"/>
              </w:rPr>
            </w:pPr>
            <w:r>
              <w:rPr>
                <w:rFonts w:hint="eastAsia" w:ascii="Times New Roman" w:hAnsi="Times New Roman"/>
                <w:color w:val="auto"/>
                <w:sz w:val="24"/>
                <w:szCs w:val="24"/>
              </w:rPr>
              <w:t>大写：人民币</w:t>
            </w:r>
            <w:r>
              <w:rPr>
                <w:rFonts w:ascii="Times New Roman" w:hAnsi="Times New Roman"/>
                <w:color w:val="auto"/>
                <w:sz w:val="24"/>
                <w:szCs w:val="24"/>
              </w:rPr>
              <w:t>______</w:t>
            </w:r>
            <w:r>
              <w:rPr>
                <w:rFonts w:hint="eastAsia" w:ascii="Times New Roman" w:hAnsi="Times New Roman"/>
                <w:color w:val="auto"/>
                <w:sz w:val="24"/>
                <w:szCs w:val="24"/>
              </w:rPr>
              <w:t>元</w:t>
            </w:r>
          </w:p>
          <w:p>
            <w:pPr>
              <w:pStyle w:val="24"/>
              <w:jc w:val="left"/>
              <w:rPr>
                <w:rFonts w:ascii="Times New Roman" w:hAnsi="Times New Roman" w:eastAsia="MingLiU_HKSCS"/>
                <w:color w:val="auto"/>
                <w:sz w:val="24"/>
                <w:szCs w:val="24"/>
              </w:rPr>
            </w:pPr>
            <w:r>
              <w:rPr>
                <w:rFonts w:hint="eastAsia" w:ascii="Times New Roman" w:hAnsi="Times New Roman"/>
                <w:color w:val="auto"/>
                <w:sz w:val="24"/>
                <w:szCs w:val="24"/>
              </w:rPr>
              <w:t>小写：￥</w:t>
            </w:r>
            <w:r>
              <w:rPr>
                <w:rFonts w:ascii="Times New Roman" w:hAnsi="Times New Roman"/>
                <w:color w:val="auto"/>
                <w:sz w:val="24"/>
                <w:szCs w:val="24"/>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52" w:type="dxa"/>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2</w:t>
            </w:r>
          </w:p>
        </w:tc>
        <w:tc>
          <w:tcPr>
            <w:tcW w:w="2130" w:type="dxa"/>
            <w:vAlign w:val="center"/>
          </w:tcPr>
          <w:p>
            <w:pPr>
              <w:pStyle w:val="24"/>
              <w:jc w:val="center"/>
              <w:rPr>
                <w:rFonts w:hint="eastAsia" w:ascii="Times New Roman" w:hAnsi="Times New Roman" w:eastAsia="宋体"/>
                <w:color w:val="auto"/>
                <w:sz w:val="24"/>
                <w:szCs w:val="24"/>
                <w:lang w:eastAsia="zh-CN"/>
              </w:rPr>
            </w:pPr>
            <w:r>
              <w:rPr>
                <w:rFonts w:hint="eastAsia" w:ascii="Times New Roman" w:hAnsi="Times New Roman"/>
                <w:color w:val="auto"/>
                <w:sz w:val="24"/>
                <w:szCs w:val="24"/>
                <w:lang w:val="en-US" w:eastAsia="zh-CN"/>
              </w:rPr>
              <w:t>合同履约期限</w:t>
            </w:r>
          </w:p>
        </w:tc>
        <w:tc>
          <w:tcPr>
            <w:tcW w:w="6383" w:type="dxa"/>
            <w:gridSpan w:val="3"/>
            <w:vAlign w:val="center"/>
          </w:tcPr>
          <w:p>
            <w:pPr>
              <w:pStyle w:val="24"/>
              <w:jc w:val="center"/>
              <w:rPr>
                <w:rFonts w:ascii="Times New Roman" w:hAnsi="Times New Roman" w:eastAsia="MingLiU_HKS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052" w:type="dxa"/>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3</w:t>
            </w:r>
          </w:p>
        </w:tc>
        <w:tc>
          <w:tcPr>
            <w:tcW w:w="2130" w:type="dxa"/>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质保期</w:t>
            </w:r>
          </w:p>
        </w:tc>
        <w:tc>
          <w:tcPr>
            <w:tcW w:w="6383" w:type="dxa"/>
            <w:gridSpan w:val="3"/>
            <w:vAlign w:val="center"/>
          </w:tcPr>
          <w:p>
            <w:pPr>
              <w:pStyle w:val="24"/>
              <w:jc w:val="center"/>
              <w:rPr>
                <w:rFonts w:ascii="Times New Roman" w:hAnsi="Times New Roman" w:eastAsia="MingLiU_HKS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052" w:type="dxa"/>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4</w:t>
            </w:r>
          </w:p>
        </w:tc>
        <w:tc>
          <w:tcPr>
            <w:tcW w:w="2130" w:type="dxa"/>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付款方式</w:t>
            </w:r>
          </w:p>
        </w:tc>
        <w:tc>
          <w:tcPr>
            <w:tcW w:w="6383" w:type="dxa"/>
            <w:gridSpan w:val="3"/>
            <w:vAlign w:val="center"/>
          </w:tcPr>
          <w:p>
            <w:pPr>
              <w:pStyle w:val="24"/>
              <w:jc w:val="center"/>
              <w:rPr>
                <w:rFonts w:ascii="Times New Roman" w:hAnsi="Times New Roman" w:eastAsia="MingLiU_HKS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52" w:type="dxa"/>
            <w:vAlign w:val="center"/>
          </w:tcPr>
          <w:p>
            <w:pPr>
              <w:pStyle w:val="24"/>
              <w:jc w:val="center"/>
              <w:rPr>
                <w:rFonts w:ascii="Times New Roman" w:hAnsi="Times New Roman"/>
                <w:color w:val="auto"/>
                <w:sz w:val="24"/>
                <w:szCs w:val="24"/>
              </w:rPr>
            </w:pPr>
          </w:p>
        </w:tc>
        <w:tc>
          <w:tcPr>
            <w:tcW w:w="2130" w:type="dxa"/>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备注</w:t>
            </w:r>
          </w:p>
        </w:tc>
        <w:tc>
          <w:tcPr>
            <w:tcW w:w="6383" w:type="dxa"/>
            <w:gridSpan w:val="3"/>
            <w:vAlign w:val="center"/>
          </w:tcPr>
          <w:p>
            <w:pPr>
              <w:pStyle w:val="24"/>
              <w:jc w:val="center"/>
              <w:rPr>
                <w:rFonts w:ascii="Times New Roman" w:hAnsi="Times New Roman" w:eastAsia="MingLiU_HKSCS"/>
                <w:color w:val="auto"/>
                <w:sz w:val="24"/>
                <w:szCs w:val="24"/>
              </w:rPr>
            </w:pPr>
          </w:p>
        </w:tc>
      </w:tr>
    </w:tbl>
    <w:p>
      <w:pPr>
        <w:pStyle w:val="146"/>
        <w:spacing w:line="500" w:lineRule="exact"/>
        <w:ind w:firstLine="484" w:firstLineChars="200"/>
        <w:rPr>
          <w:rFonts w:ascii="宋体" w:hAnsi="宋体"/>
          <w:b/>
          <w:bCs/>
          <w:color w:val="auto"/>
          <w:szCs w:val="24"/>
        </w:rPr>
      </w:pPr>
      <w:r>
        <w:rPr>
          <w:rFonts w:hint="eastAsia" w:ascii="宋体" w:hAnsi="宋体"/>
          <w:b/>
          <w:bCs/>
          <w:color w:val="auto"/>
          <w:szCs w:val="24"/>
        </w:rPr>
        <w:t>注：1、请将本开标一览表单独密封一份</w:t>
      </w:r>
    </w:p>
    <w:p>
      <w:pPr>
        <w:pStyle w:val="146"/>
        <w:spacing w:line="500" w:lineRule="exact"/>
        <w:ind w:firstLine="968" w:firstLineChars="400"/>
        <w:rPr>
          <w:rFonts w:ascii="宋体" w:hAnsi="宋体"/>
          <w:b/>
          <w:bCs/>
          <w:color w:val="auto"/>
          <w:szCs w:val="24"/>
        </w:rPr>
      </w:pPr>
      <w:r>
        <w:rPr>
          <w:rFonts w:hint="eastAsia" w:ascii="宋体" w:hAnsi="宋体"/>
          <w:b/>
          <w:bCs/>
          <w:color w:val="auto"/>
          <w:szCs w:val="24"/>
        </w:rPr>
        <w:t>2、以上条款请参考投标须知</w:t>
      </w:r>
    </w:p>
    <w:p>
      <w:pPr>
        <w:pStyle w:val="146"/>
        <w:spacing w:line="500" w:lineRule="exact"/>
        <w:ind w:firstLine="484" w:firstLineChars="200"/>
        <w:rPr>
          <w:rFonts w:ascii="宋体" w:hAnsi="宋体"/>
          <w:b/>
          <w:bCs/>
          <w:color w:val="auto"/>
          <w:szCs w:val="24"/>
        </w:rPr>
      </w:pPr>
    </w:p>
    <w:p>
      <w:pPr>
        <w:pStyle w:val="146"/>
        <w:spacing w:line="500" w:lineRule="exact"/>
        <w:ind w:firstLine="484" w:firstLineChars="200"/>
        <w:rPr>
          <w:rFonts w:ascii="宋体" w:hAnsi="宋体"/>
          <w:b/>
          <w:bCs/>
          <w:color w:val="auto"/>
          <w:szCs w:val="24"/>
        </w:rPr>
      </w:pPr>
    </w:p>
    <w:p>
      <w:pPr>
        <w:pStyle w:val="146"/>
        <w:spacing w:line="500" w:lineRule="exact"/>
        <w:ind w:firstLine="484" w:firstLineChars="200"/>
        <w:rPr>
          <w:rFonts w:ascii="宋体" w:hAnsi="宋体"/>
          <w:b/>
          <w:bCs/>
          <w:color w:val="auto"/>
          <w:szCs w:val="24"/>
        </w:rPr>
      </w:pPr>
    </w:p>
    <w:p>
      <w:pPr>
        <w:pStyle w:val="146"/>
        <w:spacing w:line="500" w:lineRule="exact"/>
        <w:ind w:firstLine="484" w:firstLineChars="200"/>
        <w:rPr>
          <w:rFonts w:ascii="宋体" w:hAnsi="宋体"/>
          <w:b/>
          <w:bCs/>
          <w:color w:val="auto"/>
          <w:szCs w:val="24"/>
        </w:rPr>
      </w:pPr>
      <w:r>
        <w:rPr>
          <w:rFonts w:hint="eastAsia" w:ascii="宋体" w:hAnsi="宋体"/>
          <w:b/>
          <w:bCs/>
          <w:color w:val="auto"/>
          <w:szCs w:val="24"/>
        </w:rPr>
        <w:t xml:space="preserve"> </w:t>
      </w:r>
    </w:p>
    <w:p>
      <w:pPr>
        <w:adjustRightInd w:val="0"/>
        <w:snapToGrid w:val="0"/>
        <w:spacing w:line="360" w:lineRule="auto"/>
        <w:ind w:firstLine="484" w:firstLineChars="200"/>
        <w:rPr>
          <w:rFonts w:ascii="宋体" w:hAnsi="宋体"/>
          <w:color w:val="auto"/>
          <w:sz w:val="24"/>
          <w:szCs w:val="21"/>
        </w:rPr>
      </w:pPr>
      <w:r>
        <w:rPr>
          <w:rFonts w:hint="eastAsia" w:ascii="宋体" w:hAnsi="宋体"/>
          <w:color w:val="auto"/>
          <w:sz w:val="24"/>
          <w:szCs w:val="21"/>
        </w:rPr>
        <w:t>投标人（盖单位章）：</w:t>
      </w:r>
    </w:p>
    <w:p>
      <w:pPr>
        <w:adjustRightInd w:val="0"/>
        <w:snapToGrid w:val="0"/>
        <w:spacing w:line="360" w:lineRule="auto"/>
        <w:ind w:left="483" w:leftChars="228" w:firstLine="9438" w:firstLineChars="3900"/>
        <w:rPr>
          <w:rFonts w:ascii="宋体" w:hAnsi="宋体"/>
          <w:color w:val="auto"/>
          <w:sz w:val="24"/>
          <w:szCs w:val="21"/>
        </w:rPr>
      </w:pPr>
      <w:r>
        <w:rPr>
          <w:rFonts w:hint="eastAsia" w:ascii="宋体" w:hAnsi="宋体"/>
          <w:color w:val="auto"/>
          <w:sz w:val="24"/>
          <w:szCs w:val="21"/>
        </w:rPr>
        <w:t xml:space="preserve"> 法定代表人或其委托代理人签字：</w:t>
      </w:r>
      <w:r>
        <w:rPr>
          <w:rFonts w:hint="eastAsia" w:ascii="宋体" w:hAnsi="宋体"/>
          <w:color w:val="auto"/>
          <w:sz w:val="24"/>
          <w:szCs w:val="21"/>
          <w:u w:val="single"/>
        </w:rPr>
        <w:t xml:space="preserve">       </w:t>
      </w:r>
    </w:p>
    <w:p>
      <w:pPr>
        <w:adjustRightInd w:val="0"/>
        <w:snapToGrid w:val="0"/>
        <w:spacing w:line="360" w:lineRule="auto"/>
        <w:ind w:left="483" w:leftChars="228" w:right="24" w:firstLine="9438" w:firstLineChars="3900"/>
        <w:rPr>
          <w:rFonts w:ascii="宋体" w:hAnsi="宋体"/>
          <w:bCs/>
          <w:color w:val="auto"/>
          <w:sz w:val="36"/>
          <w:szCs w:val="28"/>
        </w:rPr>
      </w:pPr>
      <w:r>
        <w:rPr>
          <w:rFonts w:hint="eastAsia" w:ascii="宋体" w:hAnsi="宋体"/>
          <w:color w:val="auto"/>
          <w:sz w:val="24"/>
          <w:szCs w:val="21"/>
        </w:rPr>
        <w:t xml:space="preserve">  日期：</w:t>
      </w:r>
      <w:r>
        <w:rPr>
          <w:rFonts w:hint="eastAsia" w:ascii="宋体" w:hAnsi="宋体"/>
          <w:color w:val="auto"/>
          <w:sz w:val="24"/>
          <w:szCs w:val="21"/>
          <w:u w:val="single"/>
        </w:rPr>
        <w:t xml:space="preserve">         </w:t>
      </w:r>
      <w:r>
        <w:rPr>
          <w:rFonts w:hint="eastAsia" w:ascii="宋体" w:hAnsi="宋体"/>
          <w:color w:val="auto"/>
          <w:sz w:val="24"/>
          <w:szCs w:val="21"/>
        </w:rPr>
        <w:t>年</w:t>
      </w:r>
      <w:r>
        <w:rPr>
          <w:rFonts w:hint="eastAsia" w:ascii="宋体" w:hAnsi="宋体"/>
          <w:color w:val="auto"/>
          <w:sz w:val="24"/>
          <w:szCs w:val="21"/>
          <w:u w:val="single"/>
        </w:rPr>
        <w:t xml:space="preserve">    </w:t>
      </w:r>
      <w:r>
        <w:rPr>
          <w:rFonts w:hint="eastAsia" w:ascii="宋体" w:hAnsi="宋体"/>
          <w:color w:val="auto"/>
          <w:sz w:val="24"/>
          <w:szCs w:val="21"/>
        </w:rPr>
        <w:t>月</w:t>
      </w:r>
      <w:r>
        <w:rPr>
          <w:rFonts w:hint="eastAsia" w:ascii="宋体" w:hAnsi="宋体"/>
          <w:color w:val="auto"/>
          <w:sz w:val="24"/>
          <w:szCs w:val="21"/>
          <w:u w:val="single"/>
        </w:rPr>
        <w:t xml:space="preserve">   </w:t>
      </w:r>
      <w:r>
        <w:rPr>
          <w:rFonts w:hint="eastAsia" w:ascii="宋体" w:hAnsi="宋体"/>
          <w:color w:val="auto"/>
          <w:sz w:val="24"/>
          <w:szCs w:val="21"/>
        </w:rPr>
        <w:t>日</w:t>
      </w:r>
    </w:p>
    <w:p>
      <w:pPr>
        <w:pStyle w:val="146"/>
        <w:spacing w:line="500" w:lineRule="exact"/>
        <w:ind w:firstLine="484" w:firstLineChars="200"/>
        <w:rPr>
          <w:rFonts w:ascii="宋体" w:hAnsi="宋体"/>
          <w:b/>
          <w:bCs/>
          <w:color w:val="auto"/>
          <w:szCs w:val="24"/>
        </w:rPr>
      </w:pPr>
    </w:p>
    <w:p>
      <w:pPr>
        <w:pStyle w:val="146"/>
        <w:spacing w:line="500" w:lineRule="exact"/>
        <w:ind w:firstLine="484" w:firstLineChars="200"/>
        <w:rPr>
          <w:rFonts w:ascii="宋体" w:hAnsi="宋体"/>
          <w:b/>
          <w:bCs/>
          <w:color w:val="auto"/>
          <w:szCs w:val="24"/>
        </w:rPr>
      </w:pPr>
    </w:p>
    <w:p>
      <w:pPr>
        <w:pStyle w:val="146"/>
        <w:spacing w:line="500" w:lineRule="exact"/>
        <w:ind w:firstLine="484" w:firstLineChars="200"/>
        <w:rPr>
          <w:rFonts w:ascii="宋体" w:hAnsi="宋体"/>
          <w:b/>
          <w:bCs/>
          <w:color w:val="auto"/>
          <w:szCs w:val="24"/>
        </w:rPr>
      </w:pPr>
    </w:p>
    <w:p>
      <w:pPr>
        <w:pStyle w:val="146"/>
        <w:spacing w:line="500" w:lineRule="exact"/>
        <w:ind w:firstLine="484" w:firstLineChars="200"/>
        <w:rPr>
          <w:rFonts w:ascii="宋体" w:hAnsi="宋体"/>
          <w:b/>
          <w:bCs/>
          <w:color w:val="auto"/>
          <w:szCs w:val="24"/>
        </w:rPr>
      </w:pPr>
    </w:p>
    <w:p>
      <w:pPr>
        <w:pStyle w:val="146"/>
        <w:spacing w:line="500" w:lineRule="exact"/>
        <w:rPr>
          <w:rFonts w:ascii="宋体" w:hAnsi="宋体"/>
          <w:b/>
          <w:bCs/>
          <w:color w:val="auto"/>
          <w:szCs w:val="24"/>
        </w:rPr>
      </w:pPr>
    </w:p>
    <w:p>
      <w:pPr>
        <w:spacing w:line="500" w:lineRule="exact"/>
        <w:jc w:val="center"/>
        <w:rPr>
          <w:rFonts w:ascii="宋体" w:hAnsi="宋体"/>
          <w:b/>
          <w:bCs/>
          <w:color w:val="auto"/>
          <w:sz w:val="24"/>
          <w:szCs w:val="24"/>
        </w:rPr>
      </w:pPr>
      <w:r>
        <w:rPr>
          <w:rFonts w:hint="eastAsia" w:ascii="宋体" w:hAnsi="宋体"/>
          <w:b/>
          <w:bCs/>
          <w:color w:val="auto"/>
          <w:sz w:val="24"/>
          <w:szCs w:val="24"/>
        </w:rPr>
        <w:t>三、投标分项报价明细表</w:t>
      </w:r>
    </w:p>
    <w:p>
      <w:pPr>
        <w:pStyle w:val="24"/>
        <w:ind w:firstLine="424" w:firstLineChars="200"/>
        <w:jc w:val="center"/>
        <w:rPr>
          <w:rFonts w:ascii="Times New Roman" w:hAnsi="Times New Roman"/>
          <w:color w:val="auto"/>
        </w:rPr>
      </w:pPr>
    </w:p>
    <w:p>
      <w:pPr>
        <w:pStyle w:val="24"/>
        <w:ind w:firstLine="484" w:firstLineChars="200"/>
        <w:rPr>
          <w:rFonts w:ascii="Times New Roman" w:hAnsi="Times New Roman" w:eastAsia="MingLiU_HKSCS"/>
          <w:color w:val="auto"/>
          <w:sz w:val="24"/>
          <w:szCs w:val="24"/>
        </w:rPr>
      </w:pPr>
      <w:r>
        <w:rPr>
          <w:rFonts w:hint="eastAsia" w:ascii="Times New Roman" w:hAnsi="Times New Roman"/>
          <w:color w:val="auto"/>
          <w:sz w:val="24"/>
          <w:szCs w:val="24"/>
        </w:rPr>
        <w:t>　项目名称：</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hint="eastAsia" w:ascii="Times New Roman" w:hAnsi="Times New Roman"/>
          <w:color w:val="auto"/>
          <w:sz w:val="24"/>
          <w:szCs w:val="24"/>
        </w:rPr>
        <w:t>项目编号：　</w:t>
      </w:r>
    </w:p>
    <w:p>
      <w:pPr>
        <w:pStyle w:val="24"/>
        <w:ind w:firstLine="484" w:firstLineChars="200"/>
        <w:rPr>
          <w:rFonts w:ascii="Times New Roman" w:hAnsi="Times New Roman"/>
          <w:color w:val="auto"/>
          <w:sz w:val="24"/>
          <w:szCs w:val="24"/>
        </w:rPr>
      </w:pPr>
      <w:r>
        <w:rPr>
          <w:rFonts w:hint="eastAsia" w:ascii="Times New Roman" w:hAnsi="Times New Roman"/>
          <w:color w:val="auto"/>
          <w:sz w:val="24"/>
          <w:szCs w:val="24"/>
        </w:rPr>
        <w:t>　包号：</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hint="eastAsia" w:ascii="Times New Roman" w:hAnsi="Times New Roman"/>
          <w:color w:val="auto"/>
          <w:sz w:val="24"/>
          <w:szCs w:val="24"/>
        </w:rPr>
        <w:t>金额单位：元</w:t>
      </w:r>
    </w:p>
    <w:tbl>
      <w:tblPr>
        <w:tblStyle w:val="41"/>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62"/>
        <w:gridCol w:w="861"/>
        <w:gridCol w:w="862"/>
        <w:gridCol w:w="862"/>
        <w:gridCol w:w="195"/>
        <w:gridCol w:w="666"/>
        <w:gridCol w:w="326"/>
        <w:gridCol w:w="536"/>
        <w:gridCol w:w="861"/>
        <w:gridCol w:w="862"/>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序号</w:t>
            </w:r>
          </w:p>
        </w:tc>
        <w:tc>
          <w:tcPr>
            <w:tcW w:w="862" w:type="dxa"/>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货物</w:t>
            </w:r>
          </w:p>
          <w:p>
            <w:pPr>
              <w:pStyle w:val="24"/>
              <w:jc w:val="center"/>
              <w:rPr>
                <w:rFonts w:ascii="Times New Roman" w:hAnsi="Times New Roman" w:eastAsia="MingLiU_HKSCS"/>
                <w:color w:val="auto"/>
                <w:sz w:val="24"/>
                <w:szCs w:val="24"/>
              </w:rPr>
            </w:pPr>
            <w:r>
              <w:rPr>
                <w:rFonts w:hint="eastAsia" w:ascii="Times New Roman" w:hAnsi="Times New Roman"/>
                <w:color w:val="auto"/>
                <w:sz w:val="24"/>
                <w:szCs w:val="24"/>
              </w:rPr>
              <w:t>名称</w:t>
            </w:r>
          </w:p>
        </w:tc>
        <w:tc>
          <w:tcPr>
            <w:tcW w:w="861" w:type="dxa"/>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品牌</w:t>
            </w:r>
          </w:p>
        </w:tc>
        <w:tc>
          <w:tcPr>
            <w:tcW w:w="862" w:type="dxa"/>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生产</w:t>
            </w:r>
          </w:p>
          <w:p>
            <w:pPr>
              <w:pStyle w:val="24"/>
              <w:jc w:val="center"/>
              <w:rPr>
                <w:rFonts w:ascii="Times New Roman" w:hAnsi="Times New Roman" w:eastAsia="MingLiU_HKSCS"/>
                <w:color w:val="auto"/>
                <w:sz w:val="24"/>
                <w:szCs w:val="24"/>
              </w:rPr>
            </w:pPr>
            <w:r>
              <w:rPr>
                <w:rFonts w:hint="eastAsia" w:ascii="Times New Roman" w:hAnsi="Times New Roman"/>
                <w:color w:val="auto"/>
                <w:sz w:val="24"/>
                <w:szCs w:val="24"/>
              </w:rPr>
              <w:t>厂家</w:t>
            </w:r>
          </w:p>
        </w:tc>
        <w:tc>
          <w:tcPr>
            <w:tcW w:w="862" w:type="dxa"/>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规格</w:t>
            </w:r>
          </w:p>
          <w:p>
            <w:pPr>
              <w:pStyle w:val="24"/>
              <w:jc w:val="center"/>
              <w:rPr>
                <w:rFonts w:ascii="Times New Roman" w:hAnsi="Times New Roman" w:eastAsia="MingLiU_HKSCS"/>
                <w:color w:val="auto"/>
                <w:sz w:val="24"/>
                <w:szCs w:val="24"/>
              </w:rPr>
            </w:pPr>
            <w:r>
              <w:rPr>
                <w:rFonts w:hint="eastAsia" w:ascii="Times New Roman" w:hAnsi="Times New Roman"/>
                <w:color w:val="auto"/>
                <w:sz w:val="24"/>
                <w:szCs w:val="24"/>
              </w:rPr>
              <w:t>型号</w:t>
            </w:r>
          </w:p>
        </w:tc>
        <w:tc>
          <w:tcPr>
            <w:tcW w:w="861" w:type="dxa"/>
            <w:gridSpan w:val="2"/>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单价</w:t>
            </w:r>
          </w:p>
        </w:tc>
        <w:tc>
          <w:tcPr>
            <w:tcW w:w="862" w:type="dxa"/>
            <w:gridSpan w:val="2"/>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数量</w:t>
            </w:r>
          </w:p>
        </w:tc>
        <w:tc>
          <w:tcPr>
            <w:tcW w:w="861" w:type="dxa"/>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合计</w:t>
            </w:r>
          </w:p>
        </w:tc>
        <w:tc>
          <w:tcPr>
            <w:tcW w:w="862" w:type="dxa"/>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中小</w:t>
            </w:r>
          </w:p>
          <w:p>
            <w:pPr>
              <w:pStyle w:val="24"/>
              <w:jc w:val="center"/>
              <w:rPr>
                <w:rFonts w:ascii="Times New Roman" w:hAnsi="Times New Roman" w:eastAsia="MingLiU_HKSCS"/>
                <w:color w:val="auto"/>
                <w:sz w:val="24"/>
                <w:szCs w:val="24"/>
              </w:rPr>
            </w:pPr>
            <w:r>
              <w:rPr>
                <w:rFonts w:hint="eastAsia" w:ascii="Times New Roman" w:hAnsi="Times New Roman"/>
                <w:color w:val="auto"/>
                <w:sz w:val="24"/>
                <w:szCs w:val="24"/>
              </w:rPr>
              <w:t>企业</w:t>
            </w:r>
          </w:p>
        </w:tc>
        <w:tc>
          <w:tcPr>
            <w:tcW w:w="1154" w:type="dxa"/>
            <w:vAlign w:val="center"/>
          </w:tcPr>
          <w:p>
            <w:pPr>
              <w:pStyle w:val="24"/>
              <w:jc w:val="center"/>
              <w:rPr>
                <w:rFonts w:ascii="Times New Roman" w:hAnsi="Times New Roman" w:eastAsia="MingLiU_HKSCS"/>
                <w:color w:val="auto"/>
                <w:sz w:val="24"/>
                <w:szCs w:val="24"/>
              </w:rPr>
            </w:pPr>
            <w:r>
              <w:rPr>
                <w:rFonts w:hint="eastAsia" w:ascii="Times New Roman" w:hAnsi="Times New Roman"/>
                <w:color w:val="auto"/>
                <w:sz w:val="24"/>
                <w:szCs w:val="24"/>
              </w:rPr>
              <w:t>政策功能类型及编号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pPr>
              <w:pStyle w:val="24"/>
              <w:jc w:val="center"/>
              <w:rPr>
                <w:rFonts w:ascii="Times New Roman" w:hAnsi="Times New Roman"/>
                <w:color w:val="auto"/>
                <w:sz w:val="24"/>
                <w:szCs w:val="24"/>
              </w:rPr>
            </w:pPr>
            <w:r>
              <w:rPr>
                <w:rFonts w:ascii="Times New Roman" w:hAnsi="Times New Roman"/>
                <w:color w:val="auto"/>
                <w:sz w:val="24"/>
                <w:szCs w:val="24"/>
              </w:rPr>
              <w:t>1</w:t>
            </w:r>
          </w:p>
        </w:tc>
        <w:tc>
          <w:tcPr>
            <w:tcW w:w="862" w:type="dxa"/>
            <w:vAlign w:val="center"/>
          </w:tcPr>
          <w:p>
            <w:pPr>
              <w:pStyle w:val="24"/>
              <w:jc w:val="center"/>
              <w:rPr>
                <w:rFonts w:ascii="Times New Roman" w:hAnsi="Times New Roman"/>
                <w:color w:val="auto"/>
                <w:sz w:val="24"/>
                <w:szCs w:val="24"/>
              </w:rPr>
            </w:pPr>
          </w:p>
        </w:tc>
        <w:tc>
          <w:tcPr>
            <w:tcW w:w="861" w:type="dxa"/>
            <w:vAlign w:val="center"/>
          </w:tcPr>
          <w:p>
            <w:pPr>
              <w:pStyle w:val="24"/>
              <w:jc w:val="center"/>
              <w:rPr>
                <w:rFonts w:ascii="Times New Roman" w:hAnsi="Times New Roman"/>
                <w:color w:val="auto"/>
                <w:sz w:val="24"/>
                <w:szCs w:val="24"/>
              </w:rPr>
            </w:pPr>
          </w:p>
        </w:tc>
        <w:tc>
          <w:tcPr>
            <w:tcW w:w="862" w:type="dxa"/>
            <w:vAlign w:val="center"/>
          </w:tcPr>
          <w:p>
            <w:pPr>
              <w:pStyle w:val="24"/>
              <w:jc w:val="center"/>
              <w:rPr>
                <w:rFonts w:ascii="Times New Roman" w:hAnsi="Times New Roman"/>
                <w:color w:val="auto"/>
                <w:sz w:val="24"/>
                <w:szCs w:val="24"/>
              </w:rPr>
            </w:pPr>
          </w:p>
        </w:tc>
        <w:tc>
          <w:tcPr>
            <w:tcW w:w="862" w:type="dxa"/>
            <w:vAlign w:val="center"/>
          </w:tcPr>
          <w:p>
            <w:pPr>
              <w:pStyle w:val="24"/>
              <w:jc w:val="center"/>
              <w:rPr>
                <w:rFonts w:ascii="Times New Roman" w:hAnsi="Times New Roman"/>
                <w:color w:val="auto"/>
                <w:sz w:val="24"/>
                <w:szCs w:val="24"/>
              </w:rPr>
            </w:pPr>
          </w:p>
        </w:tc>
        <w:tc>
          <w:tcPr>
            <w:tcW w:w="861" w:type="dxa"/>
            <w:gridSpan w:val="2"/>
            <w:vAlign w:val="center"/>
          </w:tcPr>
          <w:p>
            <w:pPr>
              <w:pStyle w:val="24"/>
              <w:jc w:val="center"/>
              <w:rPr>
                <w:rFonts w:ascii="Times New Roman" w:hAnsi="Times New Roman"/>
                <w:color w:val="auto"/>
                <w:sz w:val="24"/>
                <w:szCs w:val="24"/>
              </w:rPr>
            </w:pPr>
          </w:p>
        </w:tc>
        <w:tc>
          <w:tcPr>
            <w:tcW w:w="862" w:type="dxa"/>
            <w:gridSpan w:val="2"/>
            <w:vAlign w:val="center"/>
          </w:tcPr>
          <w:p>
            <w:pPr>
              <w:pStyle w:val="24"/>
              <w:jc w:val="center"/>
              <w:rPr>
                <w:rFonts w:ascii="Times New Roman" w:hAnsi="Times New Roman"/>
                <w:color w:val="auto"/>
                <w:sz w:val="24"/>
                <w:szCs w:val="24"/>
              </w:rPr>
            </w:pPr>
          </w:p>
        </w:tc>
        <w:tc>
          <w:tcPr>
            <w:tcW w:w="861" w:type="dxa"/>
            <w:vAlign w:val="center"/>
          </w:tcPr>
          <w:p>
            <w:pPr>
              <w:pStyle w:val="24"/>
              <w:jc w:val="center"/>
              <w:rPr>
                <w:rFonts w:ascii="Times New Roman" w:hAnsi="Times New Roman"/>
                <w:color w:val="auto"/>
                <w:sz w:val="24"/>
                <w:szCs w:val="24"/>
              </w:rPr>
            </w:pPr>
          </w:p>
        </w:tc>
        <w:tc>
          <w:tcPr>
            <w:tcW w:w="862" w:type="dxa"/>
            <w:vAlign w:val="center"/>
          </w:tcPr>
          <w:p>
            <w:pPr>
              <w:pStyle w:val="24"/>
              <w:jc w:val="center"/>
              <w:rPr>
                <w:rFonts w:ascii="Times New Roman" w:hAnsi="Times New Roman"/>
                <w:color w:val="auto"/>
                <w:sz w:val="24"/>
                <w:szCs w:val="24"/>
              </w:rPr>
            </w:pPr>
          </w:p>
        </w:tc>
        <w:tc>
          <w:tcPr>
            <w:tcW w:w="1154" w:type="dxa"/>
            <w:vAlign w:val="center"/>
          </w:tcPr>
          <w:p>
            <w:pPr>
              <w:pStyle w:val="24"/>
              <w:jc w:val="center"/>
              <w:rPr>
                <w:rFonts w:ascii="Times New Roman" w:hAnsi="Times New Roman" w:eastAsia="MingLiU_HKS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pPr>
              <w:pStyle w:val="24"/>
              <w:jc w:val="center"/>
              <w:rPr>
                <w:rFonts w:ascii="Times New Roman" w:hAnsi="Times New Roman"/>
                <w:color w:val="auto"/>
                <w:sz w:val="24"/>
                <w:szCs w:val="24"/>
              </w:rPr>
            </w:pPr>
            <w:r>
              <w:rPr>
                <w:rFonts w:ascii="Times New Roman" w:hAnsi="Times New Roman"/>
                <w:color w:val="auto"/>
                <w:sz w:val="24"/>
                <w:szCs w:val="24"/>
              </w:rPr>
              <w:t>2</w:t>
            </w:r>
          </w:p>
        </w:tc>
        <w:tc>
          <w:tcPr>
            <w:tcW w:w="862" w:type="dxa"/>
            <w:vAlign w:val="center"/>
          </w:tcPr>
          <w:p>
            <w:pPr>
              <w:pStyle w:val="24"/>
              <w:jc w:val="center"/>
              <w:rPr>
                <w:rFonts w:ascii="Times New Roman" w:hAnsi="Times New Roman"/>
                <w:color w:val="auto"/>
                <w:sz w:val="24"/>
                <w:szCs w:val="24"/>
              </w:rPr>
            </w:pPr>
          </w:p>
        </w:tc>
        <w:tc>
          <w:tcPr>
            <w:tcW w:w="861" w:type="dxa"/>
            <w:vAlign w:val="center"/>
          </w:tcPr>
          <w:p>
            <w:pPr>
              <w:pStyle w:val="24"/>
              <w:jc w:val="center"/>
              <w:rPr>
                <w:rFonts w:ascii="Times New Roman" w:hAnsi="Times New Roman"/>
                <w:color w:val="auto"/>
                <w:sz w:val="24"/>
                <w:szCs w:val="24"/>
              </w:rPr>
            </w:pPr>
          </w:p>
        </w:tc>
        <w:tc>
          <w:tcPr>
            <w:tcW w:w="862" w:type="dxa"/>
            <w:vAlign w:val="center"/>
          </w:tcPr>
          <w:p>
            <w:pPr>
              <w:pStyle w:val="24"/>
              <w:jc w:val="center"/>
              <w:rPr>
                <w:rFonts w:ascii="Times New Roman" w:hAnsi="Times New Roman"/>
                <w:color w:val="auto"/>
                <w:sz w:val="24"/>
                <w:szCs w:val="24"/>
              </w:rPr>
            </w:pPr>
          </w:p>
        </w:tc>
        <w:tc>
          <w:tcPr>
            <w:tcW w:w="862" w:type="dxa"/>
            <w:vAlign w:val="center"/>
          </w:tcPr>
          <w:p>
            <w:pPr>
              <w:pStyle w:val="24"/>
              <w:jc w:val="center"/>
              <w:rPr>
                <w:rFonts w:ascii="Times New Roman" w:hAnsi="Times New Roman"/>
                <w:color w:val="auto"/>
                <w:sz w:val="24"/>
                <w:szCs w:val="24"/>
              </w:rPr>
            </w:pPr>
          </w:p>
        </w:tc>
        <w:tc>
          <w:tcPr>
            <w:tcW w:w="861" w:type="dxa"/>
            <w:gridSpan w:val="2"/>
            <w:vAlign w:val="center"/>
          </w:tcPr>
          <w:p>
            <w:pPr>
              <w:pStyle w:val="24"/>
              <w:jc w:val="center"/>
              <w:rPr>
                <w:rFonts w:ascii="Times New Roman" w:hAnsi="Times New Roman"/>
                <w:color w:val="auto"/>
                <w:sz w:val="24"/>
                <w:szCs w:val="24"/>
              </w:rPr>
            </w:pPr>
          </w:p>
        </w:tc>
        <w:tc>
          <w:tcPr>
            <w:tcW w:w="862" w:type="dxa"/>
            <w:gridSpan w:val="2"/>
            <w:vAlign w:val="center"/>
          </w:tcPr>
          <w:p>
            <w:pPr>
              <w:pStyle w:val="24"/>
              <w:jc w:val="center"/>
              <w:rPr>
                <w:rFonts w:ascii="Times New Roman" w:hAnsi="Times New Roman"/>
                <w:color w:val="auto"/>
                <w:sz w:val="24"/>
                <w:szCs w:val="24"/>
              </w:rPr>
            </w:pPr>
          </w:p>
        </w:tc>
        <w:tc>
          <w:tcPr>
            <w:tcW w:w="861" w:type="dxa"/>
            <w:vAlign w:val="center"/>
          </w:tcPr>
          <w:p>
            <w:pPr>
              <w:pStyle w:val="24"/>
              <w:jc w:val="center"/>
              <w:rPr>
                <w:rFonts w:ascii="Times New Roman" w:hAnsi="Times New Roman"/>
                <w:color w:val="auto"/>
                <w:sz w:val="24"/>
                <w:szCs w:val="24"/>
              </w:rPr>
            </w:pPr>
          </w:p>
        </w:tc>
        <w:tc>
          <w:tcPr>
            <w:tcW w:w="862" w:type="dxa"/>
            <w:vAlign w:val="center"/>
          </w:tcPr>
          <w:p>
            <w:pPr>
              <w:pStyle w:val="24"/>
              <w:jc w:val="center"/>
              <w:rPr>
                <w:rFonts w:ascii="Times New Roman" w:hAnsi="Times New Roman"/>
                <w:color w:val="auto"/>
                <w:sz w:val="24"/>
                <w:szCs w:val="24"/>
              </w:rPr>
            </w:pPr>
          </w:p>
        </w:tc>
        <w:tc>
          <w:tcPr>
            <w:tcW w:w="1154" w:type="dxa"/>
            <w:vAlign w:val="center"/>
          </w:tcPr>
          <w:p>
            <w:pPr>
              <w:pStyle w:val="24"/>
              <w:jc w:val="center"/>
              <w:rPr>
                <w:rFonts w:ascii="Times New Roman" w:hAnsi="Times New Roman" w:eastAsia="MingLiU_HKS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1" w:type="dxa"/>
            <w:vAlign w:val="center"/>
          </w:tcPr>
          <w:p>
            <w:pPr>
              <w:pStyle w:val="24"/>
              <w:jc w:val="center"/>
              <w:rPr>
                <w:rFonts w:ascii="Times New Roman" w:hAnsi="Times New Roman"/>
                <w:color w:val="auto"/>
                <w:sz w:val="24"/>
                <w:szCs w:val="24"/>
              </w:rPr>
            </w:pPr>
            <w:r>
              <w:rPr>
                <w:rFonts w:ascii="Times New Roman" w:hAnsi="Times New Roman"/>
                <w:color w:val="auto"/>
                <w:sz w:val="24"/>
                <w:szCs w:val="24"/>
              </w:rPr>
              <w:t>3</w:t>
            </w:r>
          </w:p>
        </w:tc>
        <w:tc>
          <w:tcPr>
            <w:tcW w:w="862" w:type="dxa"/>
            <w:vAlign w:val="center"/>
          </w:tcPr>
          <w:p>
            <w:pPr>
              <w:pStyle w:val="24"/>
              <w:jc w:val="center"/>
              <w:rPr>
                <w:rFonts w:ascii="Times New Roman" w:hAnsi="Times New Roman"/>
                <w:color w:val="auto"/>
                <w:sz w:val="24"/>
                <w:szCs w:val="24"/>
              </w:rPr>
            </w:pPr>
          </w:p>
        </w:tc>
        <w:tc>
          <w:tcPr>
            <w:tcW w:w="861" w:type="dxa"/>
            <w:vAlign w:val="center"/>
          </w:tcPr>
          <w:p>
            <w:pPr>
              <w:pStyle w:val="24"/>
              <w:jc w:val="center"/>
              <w:rPr>
                <w:rFonts w:ascii="Times New Roman" w:hAnsi="Times New Roman"/>
                <w:color w:val="auto"/>
                <w:sz w:val="24"/>
                <w:szCs w:val="24"/>
              </w:rPr>
            </w:pPr>
          </w:p>
        </w:tc>
        <w:tc>
          <w:tcPr>
            <w:tcW w:w="862" w:type="dxa"/>
            <w:vAlign w:val="center"/>
          </w:tcPr>
          <w:p>
            <w:pPr>
              <w:pStyle w:val="24"/>
              <w:jc w:val="center"/>
              <w:rPr>
                <w:rFonts w:ascii="Times New Roman" w:hAnsi="Times New Roman"/>
                <w:color w:val="auto"/>
                <w:sz w:val="24"/>
                <w:szCs w:val="24"/>
              </w:rPr>
            </w:pPr>
          </w:p>
        </w:tc>
        <w:tc>
          <w:tcPr>
            <w:tcW w:w="862" w:type="dxa"/>
            <w:vAlign w:val="center"/>
          </w:tcPr>
          <w:p>
            <w:pPr>
              <w:pStyle w:val="24"/>
              <w:jc w:val="center"/>
              <w:rPr>
                <w:rFonts w:ascii="Times New Roman" w:hAnsi="Times New Roman"/>
                <w:color w:val="auto"/>
                <w:sz w:val="24"/>
                <w:szCs w:val="24"/>
              </w:rPr>
            </w:pPr>
          </w:p>
        </w:tc>
        <w:tc>
          <w:tcPr>
            <w:tcW w:w="861" w:type="dxa"/>
            <w:gridSpan w:val="2"/>
            <w:vAlign w:val="center"/>
          </w:tcPr>
          <w:p>
            <w:pPr>
              <w:pStyle w:val="24"/>
              <w:jc w:val="center"/>
              <w:rPr>
                <w:rFonts w:ascii="Times New Roman" w:hAnsi="Times New Roman"/>
                <w:color w:val="auto"/>
                <w:sz w:val="24"/>
                <w:szCs w:val="24"/>
              </w:rPr>
            </w:pPr>
          </w:p>
        </w:tc>
        <w:tc>
          <w:tcPr>
            <w:tcW w:w="862" w:type="dxa"/>
            <w:gridSpan w:val="2"/>
            <w:vAlign w:val="center"/>
          </w:tcPr>
          <w:p>
            <w:pPr>
              <w:pStyle w:val="24"/>
              <w:jc w:val="center"/>
              <w:rPr>
                <w:rFonts w:ascii="Times New Roman" w:hAnsi="Times New Roman"/>
                <w:color w:val="auto"/>
                <w:sz w:val="24"/>
                <w:szCs w:val="24"/>
              </w:rPr>
            </w:pPr>
          </w:p>
        </w:tc>
        <w:tc>
          <w:tcPr>
            <w:tcW w:w="861" w:type="dxa"/>
            <w:vAlign w:val="center"/>
          </w:tcPr>
          <w:p>
            <w:pPr>
              <w:pStyle w:val="24"/>
              <w:jc w:val="center"/>
              <w:rPr>
                <w:rFonts w:ascii="Times New Roman" w:hAnsi="Times New Roman"/>
                <w:color w:val="auto"/>
                <w:sz w:val="24"/>
                <w:szCs w:val="24"/>
              </w:rPr>
            </w:pPr>
          </w:p>
        </w:tc>
        <w:tc>
          <w:tcPr>
            <w:tcW w:w="862" w:type="dxa"/>
            <w:vAlign w:val="center"/>
          </w:tcPr>
          <w:p>
            <w:pPr>
              <w:pStyle w:val="24"/>
              <w:jc w:val="center"/>
              <w:rPr>
                <w:rFonts w:ascii="Times New Roman" w:hAnsi="Times New Roman"/>
                <w:color w:val="auto"/>
                <w:sz w:val="24"/>
                <w:szCs w:val="24"/>
              </w:rPr>
            </w:pPr>
          </w:p>
        </w:tc>
        <w:tc>
          <w:tcPr>
            <w:tcW w:w="1154" w:type="dxa"/>
            <w:vAlign w:val="center"/>
          </w:tcPr>
          <w:p>
            <w:pPr>
              <w:pStyle w:val="24"/>
              <w:jc w:val="center"/>
              <w:rPr>
                <w:rFonts w:ascii="Times New Roman" w:hAnsi="Times New Roman" w:eastAsia="MingLiU_HKS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pPr>
              <w:pStyle w:val="24"/>
              <w:jc w:val="center"/>
              <w:rPr>
                <w:rFonts w:ascii="Times New Roman" w:hAnsi="Times New Roman"/>
                <w:color w:val="auto"/>
                <w:sz w:val="24"/>
                <w:szCs w:val="24"/>
              </w:rPr>
            </w:pPr>
            <w:r>
              <w:rPr>
                <w:rFonts w:hint="eastAsia" w:ascii="MS Mincho" w:hAnsi="MS Mincho" w:eastAsia="MS Mincho" w:cs="MS Mincho"/>
                <w:color w:val="auto"/>
                <w:sz w:val="24"/>
                <w:szCs w:val="24"/>
              </w:rPr>
              <w:t>⋮</w:t>
            </w:r>
          </w:p>
        </w:tc>
        <w:tc>
          <w:tcPr>
            <w:tcW w:w="862" w:type="dxa"/>
            <w:vAlign w:val="center"/>
          </w:tcPr>
          <w:p>
            <w:pPr>
              <w:pStyle w:val="24"/>
              <w:jc w:val="center"/>
              <w:rPr>
                <w:rFonts w:ascii="Times New Roman" w:hAnsi="Times New Roman"/>
                <w:color w:val="auto"/>
                <w:sz w:val="24"/>
                <w:szCs w:val="24"/>
              </w:rPr>
            </w:pPr>
          </w:p>
        </w:tc>
        <w:tc>
          <w:tcPr>
            <w:tcW w:w="861" w:type="dxa"/>
            <w:vAlign w:val="center"/>
          </w:tcPr>
          <w:p>
            <w:pPr>
              <w:pStyle w:val="24"/>
              <w:jc w:val="center"/>
              <w:rPr>
                <w:rFonts w:ascii="Times New Roman" w:hAnsi="Times New Roman"/>
                <w:color w:val="auto"/>
                <w:sz w:val="24"/>
                <w:szCs w:val="24"/>
              </w:rPr>
            </w:pPr>
          </w:p>
        </w:tc>
        <w:tc>
          <w:tcPr>
            <w:tcW w:w="862" w:type="dxa"/>
            <w:vAlign w:val="center"/>
          </w:tcPr>
          <w:p>
            <w:pPr>
              <w:pStyle w:val="24"/>
              <w:jc w:val="center"/>
              <w:rPr>
                <w:rFonts w:ascii="Times New Roman" w:hAnsi="Times New Roman"/>
                <w:color w:val="auto"/>
                <w:sz w:val="24"/>
                <w:szCs w:val="24"/>
              </w:rPr>
            </w:pPr>
          </w:p>
        </w:tc>
        <w:tc>
          <w:tcPr>
            <w:tcW w:w="862" w:type="dxa"/>
            <w:vAlign w:val="center"/>
          </w:tcPr>
          <w:p>
            <w:pPr>
              <w:pStyle w:val="24"/>
              <w:jc w:val="center"/>
              <w:rPr>
                <w:rFonts w:ascii="Times New Roman" w:hAnsi="Times New Roman"/>
                <w:color w:val="auto"/>
                <w:sz w:val="24"/>
                <w:szCs w:val="24"/>
              </w:rPr>
            </w:pPr>
          </w:p>
        </w:tc>
        <w:tc>
          <w:tcPr>
            <w:tcW w:w="861" w:type="dxa"/>
            <w:gridSpan w:val="2"/>
            <w:vAlign w:val="center"/>
          </w:tcPr>
          <w:p>
            <w:pPr>
              <w:pStyle w:val="24"/>
              <w:jc w:val="center"/>
              <w:rPr>
                <w:rFonts w:ascii="Times New Roman" w:hAnsi="Times New Roman"/>
                <w:color w:val="auto"/>
                <w:sz w:val="24"/>
                <w:szCs w:val="24"/>
              </w:rPr>
            </w:pPr>
          </w:p>
        </w:tc>
        <w:tc>
          <w:tcPr>
            <w:tcW w:w="862" w:type="dxa"/>
            <w:gridSpan w:val="2"/>
            <w:vAlign w:val="center"/>
          </w:tcPr>
          <w:p>
            <w:pPr>
              <w:pStyle w:val="24"/>
              <w:jc w:val="center"/>
              <w:rPr>
                <w:rFonts w:ascii="Times New Roman" w:hAnsi="Times New Roman"/>
                <w:color w:val="auto"/>
                <w:sz w:val="24"/>
                <w:szCs w:val="24"/>
              </w:rPr>
            </w:pPr>
          </w:p>
        </w:tc>
        <w:tc>
          <w:tcPr>
            <w:tcW w:w="861" w:type="dxa"/>
            <w:vAlign w:val="center"/>
          </w:tcPr>
          <w:p>
            <w:pPr>
              <w:pStyle w:val="24"/>
              <w:jc w:val="center"/>
              <w:rPr>
                <w:rFonts w:ascii="Times New Roman" w:hAnsi="Times New Roman"/>
                <w:color w:val="auto"/>
                <w:sz w:val="24"/>
                <w:szCs w:val="24"/>
              </w:rPr>
            </w:pPr>
          </w:p>
        </w:tc>
        <w:tc>
          <w:tcPr>
            <w:tcW w:w="862" w:type="dxa"/>
            <w:vAlign w:val="center"/>
          </w:tcPr>
          <w:p>
            <w:pPr>
              <w:pStyle w:val="24"/>
              <w:jc w:val="center"/>
              <w:rPr>
                <w:rFonts w:ascii="Times New Roman" w:hAnsi="Times New Roman"/>
                <w:color w:val="auto"/>
                <w:sz w:val="24"/>
                <w:szCs w:val="24"/>
              </w:rPr>
            </w:pPr>
          </w:p>
        </w:tc>
        <w:tc>
          <w:tcPr>
            <w:tcW w:w="1154" w:type="dxa"/>
            <w:vAlign w:val="center"/>
          </w:tcPr>
          <w:p>
            <w:pPr>
              <w:pStyle w:val="24"/>
              <w:jc w:val="center"/>
              <w:rPr>
                <w:rFonts w:ascii="MingLiU_HKSCS" w:hAnsi="MingLiU_HKSCS" w:eastAsia="MingLiU_HKSCS" w:cs="MingLiU_HKS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gridSpan w:val="2"/>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备品备件</w:t>
            </w:r>
            <w:r>
              <w:rPr>
                <w:rFonts w:ascii="Times New Roman" w:hAnsi="Times New Roman"/>
                <w:color w:val="auto"/>
                <w:sz w:val="24"/>
                <w:szCs w:val="24"/>
              </w:rPr>
              <w:t>(</w:t>
            </w:r>
            <w:r>
              <w:rPr>
                <w:rFonts w:hint="eastAsia" w:ascii="Times New Roman" w:hAnsi="Times New Roman"/>
                <w:color w:val="auto"/>
                <w:sz w:val="24"/>
                <w:szCs w:val="24"/>
              </w:rPr>
              <w:t>包括专用工具等</w:t>
            </w:r>
            <w:r>
              <w:rPr>
                <w:rFonts w:ascii="Times New Roman" w:hAnsi="Times New Roman"/>
                <w:color w:val="auto"/>
                <w:sz w:val="24"/>
                <w:szCs w:val="24"/>
              </w:rPr>
              <w:t>)</w:t>
            </w:r>
          </w:p>
        </w:tc>
        <w:tc>
          <w:tcPr>
            <w:tcW w:w="861" w:type="dxa"/>
            <w:vAlign w:val="center"/>
          </w:tcPr>
          <w:p>
            <w:pPr>
              <w:pStyle w:val="24"/>
              <w:jc w:val="center"/>
              <w:rPr>
                <w:rFonts w:ascii="Times New Roman" w:hAnsi="Times New Roman"/>
                <w:color w:val="auto"/>
                <w:sz w:val="24"/>
                <w:szCs w:val="24"/>
              </w:rPr>
            </w:pPr>
          </w:p>
        </w:tc>
        <w:tc>
          <w:tcPr>
            <w:tcW w:w="862" w:type="dxa"/>
            <w:vAlign w:val="center"/>
          </w:tcPr>
          <w:p>
            <w:pPr>
              <w:pStyle w:val="24"/>
              <w:jc w:val="center"/>
              <w:rPr>
                <w:rFonts w:ascii="Times New Roman" w:hAnsi="Times New Roman"/>
                <w:color w:val="auto"/>
                <w:sz w:val="24"/>
                <w:szCs w:val="24"/>
              </w:rPr>
            </w:pPr>
          </w:p>
        </w:tc>
        <w:tc>
          <w:tcPr>
            <w:tcW w:w="862" w:type="dxa"/>
            <w:vAlign w:val="center"/>
          </w:tcPr>
          <w:p>
            <w:pPr>
              <w:pStyle w:val="24"/>
              <w:jc w:val="center"/>
              <w:rPr>
                <w:rFonts w:ascii="Times New Roman" w:hAnsi="Times New Roman"/>
                <w:color w:val="auto"/>
                <w:sz w:val="24"/>
                <w:szCs w:val="24"/>
              </w:rPr>
            </w:pPr>
          </w:p>
        </w:tc>
        <w:tc>
          <w:tcPr>
            <w:tcW w:w="861" w:type="dxa"/>
            <w:gridSpan w:val="2"/>
            <w:vAlign w:val="center"/>
          </w:tcPr>
          <w:p>
            <w:pPr>
              <w:pStyle w:val="24"/>
              <w:jc w:val="center"/>
              <w:rPr>
                <w:rFonts w:ascii="Times New Roman" w:hAnsi="Times New Roman"/>
                <w:color w:val="auto"/>
                <w:sz w:val="24"/>
                <w:szCs w:val="24"/>
              </w:rPr>
            </w:pPr>
          </w:p>
        </w:tc>
        <w:tc>
          <w:tcPr>
            <w:tcW w:w="862" w:type="dxa"/>
            <w:gridSpan w:val="2"/>
            <w:vAlign w:val="center"/>
          </w:tcPr>
          <w:p>
            <w:pPr>
              <w:pStyle w:val="24"/>
              <w:jc w:val="center"/>
              <w:rPr>
                <w:rFonts w:ascii="Times New Roman" w:hAnsi="Times New Roman"/>
                <w:color w:val="auto"/>
                <w:sz w:val="24"/>
                <w:szCs w:val="24"/>
              </w:rPr>
            </w:pPr>
          </w:p>
        </w:tc>
        <w:tc>
          <w:tcPr>
            <w:tcW w:w="861" w:type="dxa"/>
            <w:vAlign w:val="center"/>
          </w:tcPr>
          <w:p>
            <w:pPr>
              <w:pStyle w:val="24"/>
              <w:jc w:val="center"/>
              <w:rPr>
                <w:rFonts w:ascii="Times New Roman" w:hAnsi="Times New Roman"/>
                <w:color w:val="auto"/>
                <w:sz w:val="24"/>
                <w:szCs w:val="24"/>
              </w:rPr>
            </w:pPr>
          </w:p>
        </w:tc>
        <w:tc>
          <w:tcPr>
            <w:tcW w:w="862" w:type="dxa"/>
            <w:vAlign w:val="center"/>
          </w:tcPr>
          <w:p>
            <w:pPr>
              <w:pStyle w:val="24"/>
              <w:jc w:val="center"/>
              <w:rPr>
                <w:rFonts w:ascii="MingLiU_HKSCS" w:hAnsi="MingLiU_HKSCS" w:eastAsia="MingLiU_HKSCS" w:cs="MingLiU_HKSCS"/>
                <w:color w:val="auto"/>
                <w:sz w:val="24"/>
                <w:szCs w:val="24"/>
              </w:rPr>
            </w:pPr>
          </w:p>
        </w:tc>
        <w:tc>
          <w:tcPr>
            <w:tcW w:w="1154" w:type="dxa"/>
            <w:vAlign w:val="center"/>
          </w:tcPr>
          <w:p>
            <w:pPr>
              <w:pStyle w:val="24"/>
              <w:jc w:val="center"/>
              <w:rPr>
                <w:rFonts w:ascii="MingLiU_HKSCS" w:hAnsi="MingLiU_HKSCS" w:eastAsia="MingLiU_HKSCS" w:cs="MingLiU_HKS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gridSpan w:val="2"/>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耗材</w:t>
            </w:r>
          </w:p>
        </w:tc>
        <w:tc>
          <w:tcPr>
            <w:tcW w:w="861" w:type="dxa"/>
            <w:vAlign w:val="center"/>
          </w:tcPr>
          <w:p>
            <w:pPr>
              <w:pStyle w:val="24"/>
              <w:jc w:val="center"/>
              <w:rPr>
                <w:rFonts w:ascii="Times New Roman" w:hAnsi="Times New Roman"/>
                <w:color w:val="auto"/>
                <w:sz w:val="24"/>
                <w:szCs w:val="24"/>
              </w:rPr>
            </w:pPr>
          </w:p>
        </w:tc>
        <w:tc>
          <w:tcPr>
            <w:tcW w:w="862" w:type="dxa"/>
            <w:vAlign w:val="center"/>
          </w:tcPr>
          <w:p>
            <w:pPr>
              <w:pStyle w:val="24"/>
              <w:jc w:val="center"/>
              <w:rPr>
                <w:rFonts w:ascii="Times New Roman" w:hAnsi="Times New Roman"/>
                <w:color w:val="auto"/>
                <w:sz w:val="24"/>
                <w:szCs w:val="24"/>
              </w:rPr>
            </w:pPr>
          </w:p>
        </w:tc>
        <w:tc>
          <w:tcPr>
            <w:tcW w:w="862" w:type="dxa"/>
            <w:vAlign w:val="center"/>
          </w:tcPr>
          <w:p>
            <w:pPr>
              <w:pStyle w:val="24"/>
              <w:jc w:val="center"/>
              <w:rPr>
                <w:rFonts w:ascii="Times New Roman" w:hAnsi="Times New Roman"/>
                <w:color w:val="auto"/>
                <w:sz w:val="24"/>
                <w:szCs w:val="24"/>
              </w:rPr>
            </w:pPr>
          </w:p>
        </w:tc>
        <w:tc>
          <w:tcPr>
            <w:tcW w:w="861" w:type="dxa"/>
            <w:gridSpan w:val="2"/>
            <w:vAlign w:val="center"/>
          </w:tcPr>
          <w:p>
            <w:pPr>
              <w:pStyle w:val="24"/>
              <w:jc w:val="center"/>
              <w:rPr>
                <w:rFonts w:ascii="Times New Roman" w:hAnsi="Times New Roman"/>
                <w:color w:val="auto"/>
                <w:sz w:val="24"/>
                <w:szCs w:val="24"/>
              </w:rPr>
            </w:pPr>
          </w:p>
        </w:tc>
        <w:tc>
          <w:tcPr>
            <w:tcW w:w="862" w:type="dxa"/>
            <w:gridSpan w:val="2"/>
            <w:vAlign w:val="center"/>
          </w:tcPr>
          <w:p>
            <w:pPr>
              <w:pStyle w:val="24"/>
              <w:jc w:val="center"/>
              <w:rPr>
                <w:rFonts w:ascii="Times New Roman" w:hAnsi="Times New Roman"/>
                <w:color w:val="auto"/>
                <w:sz w:val="24"/>
                <w:szCs w:val="24"/>
              </w:rPr>
            </w:pPr>
          </w:p>
        </w:tc>
        <w:tc>
          <w:tcPr>
            <w:tcW w:w="861" w:type="dxa"/>
            <w:vAlign w:val="center"/>
          </w:tcPr>
          <w:p>
            <w:pPr>
              <w:pStyle w:val="24"/>
              <w:jc w:val="center"/>
              <w:rPr>
                <w:rFonts w:ascii="Times New Roman" w:hAnsi="Times New Roman"/>
                <w:color w:val="auto"/>
                <w:sz w:val="24"/>
                <w:szCs w:val="24"/>
              </w:rPr>
            </w:pPr>
          </w:p>
        </w:tc>
        <w:tc>
          <w:tcPr>
            <w:tcW w:w="862" w:type="dxa"/>
            <w:vAlign w:val="center"/>
          </w:tcPr>
          <w:p>
            <w:pPr>
              <w:pStyle w:val="24"/>
              <w:jc w:val="center"/>
              <w:rPr>
                <w:rFonts w:ascii="MingLiU_HKSCS" w:hAnsi="MingLiU_HKSCS" w:eastAsia="MingLiU_HKSCS" w:cs="MingLiU_HKSCS"/>
                <w:color w:val="auto"/>
                <w:sz w:val="24"/>
                <w:szCs w:val="24"/>
              </w:rPr>
            </w:pPr>
          </w:p>
        </w:tc>
        <w:tc>
          <w:tcPr>
            <w:tcW w:w="1154" w:type="dxa"/>
            <w:vAlign w:val="center"/>
          </w:tcPr>
          <w:p>
            <w:pPr>
              <w:pStyle w:val="24"/>
              <w:jc w:val="center"/>
              <w:rPr>
                <w:rFonts w:ascii="MingLiU_HKSCS" w:hAnsi="MingLiU_HKSCS" w:eastAsia="MingLiU_HKSCS" w:cs="MingLiU_HKS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3" w:type="dxa"/>
            <w:gridSpan w:val="2"/>
            <w:vAlign w:val="center"/>
          </w:tcPr>
          <w:p>
            <w:pPr>
              <w:pStyle w:val="24"/>
              <w:jc w:val="center"/>
              <w:rPr>
                <w:rFonts w:ascii="MingLiU_HKSCS" w:hAnsi="MingLiU_HKSCS" w:eastAsia="MingLiU_HKSCS" w:cs="MingLiU_HKSCS"/>
                <w:color w:val="auto"/>
                <w:sz w:val="24"/>
                <w:szCs w:val="24"/>
              </w:rPr>
            </w:pPr>
            <w:r>
              <w:rPr>
                <w:rFonts w:hint="eastAsia" w:ascii="Times New Roman" w:hAnsi="Times New Roman"/>
                <w:color w:val="auto"/>
                <w:sz w:val="24"/>
                <w:szCs w:val="24"/>
              </w:rPr>
              <w:t>货物费合计</w:t>
            </w:r>
          </w:p>
        </w:tc>
        <w:tc>
          <w:tcPr>
            <w:tcW w:w="7185" w:type="dxa"/>
            <w:gridSpan w:val="10"/>
            <w:vAlign w:val="center"/>
          </w:tcPr>
          <w:p>
            <w:pPr>
              <w:pStyle w:val="24"/>
              <w:jc w:val="center"/>
              <w:rPr>
                <w:rFonts w:ascii="MingLiU_HKSCS" w:hAnsi="MingLiU_HKSCS" w:eastAsia="MingLiU_HKSCS" w:cs="MingLiU_HKS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restart"/>
            <w:vAlign w:val="center"/>
          </w:tcPr>
          <w:p>
            <w:pPr>
              <w:pStyle w:val="24"/>
              <w:jc w:val="center"/>
              <w:rPr>
                <w:rFonts w:ascii="Times New Roman" w:hAnsi="Times New Roman" w:eastAsia="MingLiU_HKSCS"/>
                <w:color w:val="auto"/>
                <w:sz w:val="24"/>
                <w:szCs w:val="24"/>
              </w:rPr>
            </w:pPr>
            <w:r>
              <w:rPr>
                <w:rFonts w:hint="eastAsia" w:ascii="Times New Roman" w:hAnsi="Times New Roman"/>
                <w:color w:val="auto"/>
                <w:sz w:val="24"/>
                <w:szCs w:val="24"/>
              </w:rPr>
              <w:t>包装</w:t>
            </w:r>
          </w:p>
          <w:p>
            <w:pPr>
              <w:pStyle w:val="24"/>
              <w:jc w:val="center"/>
              <w:rPr>
                <w:rFonts w:ascii="Times New Roman" w:hAnsi="Times New Roman" w:eastAsia="MingLiU_HKSCS"/>
                <w:color w:val="auto"/>
                <w:sz w:val="24"/>
                <w:szCs w:val="24"/>
              </w:rPr>
            </w:pPr>
            <w:r>
              <w:rPr>
                <w:rFonts w:hint="eastAsia" w:ascii="Times New Roman" w:hAnsi="Times New Roman"/>
                <w:color w:val="auto"/>
                <w:sz w:val="24"/>
                <w:szCs w:val="24"/>
              </w:rPr>
              <w:t>运输</w:t>
            </w:r>
          </w:p>
          <w:p>
            <w:pPr>
              <w:pStyle w:val="24"/>
              <w:jc w:val="center"/>
              <w:rPr>
                <w:rFonts w:ascii="MingLiU_HKSCS" w:hAnsi="MingLiU_HKSCS" w:eastAsia="MingLiU_HKSCS" w:cs="MingLiU_HKSCS"/>
                <w:color w:val="auto"/>
                <w:sz w:val="24"/>
                <w:szCs w:val="24"/>
              </w:rPr>
            </w:pPr>
            <w:r>
              <w:rPr>
                <w:rFonts w:hint="eastAsia" w:ascii="Times New Roman" w:hAnsi="Times New Roman"/>
                <w:color w:val="auto"/>
                <w:sz w:val="24"/>
                <w:szCs w:val="24"/>
              </w:rPr>
              <w:t>费</w:t>
            </w:r>
          </w:p>
        </w:tc>
        <w:tc>
          <w:tcPr>
            <w:tcW w:w="1723" w:type="dxa"/>
            <w:gridSpan w:val="2"/>
            <w:vAlign w:val="center"/>
          </w:tcPr>
          <w:p>
            <w:pPr>
              <w:pStyle w:val="24"/>
              <w:jc w:val="center"/>
              <w:rPr>
                <w:rFonts w:ascii="MingLiU_HKSCS" w:hAnsi="MingLiU_HKSCS" w:eastAsia="MingLiU_HKSCS" w:cs="MingLiU_HKSCS"/>
                <w:color w:val="auto"/>
                <w:sz w:val="24"/>
                <w:szCs w:val="24"/>
              </w:rPr>
            </w:pPr>
            <w:r>
              <w:rPr>
                <w:rFonts w:hint="eastAsia" w:ascii="Times New Roman" w:hAnsi="Times New Roman"/>
                <w:color w:val="auto"/>
                <w:sz w:val="24"/>
                <w:szCs w:val="24"/>
              </w:rPr>
              <w:t>包装费</w:t>
            </w:r>
          </w:p>
        </w:tc>
        <w:tc>
          <w:tcPr>
            <w:tcW w:w="1919" w:type="dxa"/>
            <w:gridSpan w:val="3"/>
            <w:vAlign w:val="center"/>
          </w:tcPr>
          <w:p>
            <w:pPr>
              <w:pStyle w:val="24"/>
              <w:jc w:val="center"/>
              <w:rPr>
                <w:rFonts w:ascii="MingLiU_HKSCS" w:hAnsi="MingLiU_HKSCS" w:eastAsia="MingLiU_HKSCS" w:cs="MingLiU_HKSCS"/>
                <w:color w:val="auto"/>
                <w:sz w:val="24"/>
                <w:szCs w:val="24"/>
              </w:rPr>
            </w:pPr>
          </w:p>
        </w:tc>
        <w:tc>
          <w:tcPr>
            <w:tcW w:w="992" w:type="dxa"/>
            <w:gridSpan w:val="2"/>
            <w:vMerge w:val="restart"/>
            <w:vAlign w:val="center"/>
          </w:tcPr>
          <w:p>
            <w:pPr>
              <w:pStyle w:val="24"/>
              <w:jc w:val="center"/>
              <w:rPr>
                <w:rFonts w:ascii="Times New Roman" w:hAnsi="Times New Roman" w:eastAsia="MingLiU_HKSCS"/>
                <w:color w:val="auto"/>
                <w:sz w:val="24"/>
                <w:szCs w:val="24"/>
              </w:rPr>
            </w:pPr>
            <w:r>
              <w:rPr>
                <w:rFonts w:hint="eastAsia" w:ascii="Times New Roman" w:hAnsi="Times New Roman"/>
                <w:color w:val="auto"/>
                <w:sz w:val="24"/>
                <w:szCs w:val="24"/>
              </w:rPr>
              <w:t>安装</w:t>
            </w:r>
          </w:p>
          <w:p>
            <w:pPr>
              <w:pStyle w:val="24"/>
              <w:jc w:val="center"/>
              <w:rPr>
                <w:rFonts w:ascii="Times New Roman" w:hAnsi="Times New Roman" w:eastAsia="MingLiU_HKSCS"/>
                <w:color w:val="auto"/>
                <w:sz w:val="24"/>
                <w:szCs w:val="24"/>
              </w:rPr>
            </w:pPr>
            <w:r>
              <w:rPr>
                <w:rFonts w:hint="eastAsia" w:ascii="Times New Roman" w:hAnsi="Times New Roman"/>
                <w:color w:val="auto"/>
                <w:sz w:val="24"/>
                <w:szCs w:val="24"/>
              </w:rPr>
              <w:t>调试费</w:t>
            </w:r>
          </w:p>
        </w:tc>
        <w:tc>
          <w:tcPr>
            <w:tcW w:w="1397" w:type="dxa"/>
            <w:gridSpan w:val="2"/>
            <w:vAlign w:val="center"/>
          </w:tcPr>
          <w:p>
            <w:pPr>
              <w:pStyle w:val="24"/>
              <w:jc w:val="center"/>
              <w:rPr>
                <w:rFonts w:ascii="MingLiU_HKSCS" w:hAnsi="MingLiU_HKSCS" w:eastAsia="MingLiU_HKSCS" w:cs="MingLiU_HKSCS"/>
                <w:color w:val="auto"/>
                <w:sz w:val="24"/>
                <w:szCs w:val="24"/>
              </w:rPr>
            </w:pPr>
            <w:r>
              <w:rPr>
                <w:rFonts w:hint="eastAsia" w:ascii="Times New Roman" w:hAnsi="Times New Roman"/>
                <w:color w:val="auto"/>
                <w:sz w:val="24"/>
                <w:szCs w:val="24"/>
              </w:rPr>
              <w:t>安装费</w:t>
            </w:r>
          </w:p>
        </w:tc>
        <w:tc>
          <w:tcPr>
            <w:tcW w:w="2016" w:type="dxa"/>
            <w:gridSpan w:val="2"/>
            <w:vAlign w:val="center"/>
          </w:tcPr>
          <w:p>
            <w:pPr>
              <w:pStyle w:val="24"/>
              <w:jc w:val="center"/>
              <w:rPr>
                <w:rFonts w:ascii="MingLiU_HKSCS" w:hAnsi="MingLiU_HKSCS" w:eastAsia="MingLiU_HKSCS" w:cs="MingLiU_HKS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24"/>
              <w:jc w:val="center"/>
              <w:rPr>
                <w:rFonts w:ascii="Times New Roman" w:hAnsi="Times New Roman" w:eastAsia="MingLiU_HKSCS"/>
                <w:color w:val="auto"/>
                <w:sz w:val="24"/>
                <w:szCs w:val="24"/>
              </w:rPr>
            </w:pPr>
          </w:p>
        </w:tc>
        <w:tc>
          <w:tcPr>
            <w:tcW w:w="1723" w:type="dxa"/>
            <w:gridSpan w:val="2"/>
            <w:vAlign w:val="center"/>
          </w:tcPr>
          <w:p>
            <w:pPr>
              <w:pStyle w:val="24"/>
              <w:jc w:val="center"/>
              <w:rPr>
                <w:rFonts w:ascii="Times New Roman" w:hAnsi="Times New Roman" w:eastAsia="MingLiU_HKSCS"/>
                <w:color w:val="auto"/>
                <w:sz w:val="24"/>
                <w:szCs w:val="24"/>
              </w:rPr>
            </w:pPr>
            <w:r>
              <w:rPr>
                <w:rFonts w:hint="eastAsia" w:ascii="Times New Roman" w:hAnsi="Times New Roman"/>
                <w:color w:val="auto"/>
                <w:sz w:val="24"/>
                <w:szCs w:val="24"/>
              </w:rPr>
              <w:t>运输费</w:t>
            </w:r>
          </w:p>
        </w:tc>
        <w:tc>
          <w:tcPr>
            <w:tcW w:w="1919" w:type="dxa"/>
            <w:gridSpan w:val="3"/>
            <w:vAlign w:val="center"/>
          </w:tcPr>
          <w:p>
            <w:pPr>
              <w:pStyle w:val="24"/>
              <w:jc w:val="center"/>
              <w:rPr>
                <w:rFonts w:ascii="Times New Roman" w:hAnsi="Times New Roman" w:eastAsia="MingLiU_HKSCS"/>
                <w:color w:val="auto"/>
                <w:sz w:val="24"/>
                <w:szCs w:val="24"/>
              </w:rPr>
            </w:pPr>
          </w:p>
        </w:tc>
        <w:tc>
          <w:tcPr>
            <w:tcW w:w="992" w:type="dxa"/>
            <w:gridSpan w:val="2"/>
            <w:vMerge w:val="continue"/>
            <w:vAlign w:val="center"/>
          </w:tcPr>
          <w:p>
            <w:pPr>
              <w:pStyle w:val="24"/>
              <w:jc w:val="center"/>
              <w:rPr>
                <w:rFonts w:ascii="Times New Roman" w:hAnsi="Times New Roman"/>
                <w:color w:val="auto"/>
                <w:sz w:val="24"/>
                <w:szCs w:val="24"/>
              </w:rPr>
            </w:pPr>
          </w:p>
        </w:tc>
        <w:tc>
          <w:tcPr>
            <w:tcW w:w="1397" w:type="dxa"/>
            <w:gridSpan w:val="2"/>
            <w:vAlign w:val="center"/>
          </w:tcPr>
          <w:p>
            <w:pPr>
              <w:pStyle w:val="24"/>
              <w:jc w:val="center"/>
              <w:rPr>
                <w:rFonts w:ascii="Times New Roman" w:hAnsi="Times New Roman" w:eastAsia="MingLiU_HKSCS"/>
                <w:color w:val="auto"/>
                <w:sz w:val="24"/>
                <w:szCs w:val="24"/>
              </w:rPr>
            </w:pPr>
            <w:r>
              <w:rPr>
                <w:rFonts w:hint="eastAsia" w:ascii="Times New Roman" w:hAnsi="Times New Roman"/>
                <w:color w:val="auto"/>
                <w:sz w:val="24"/>
                <w:szCs w:val="24"/>
              </w:rPr>
              <w:t>调试费</w:t>
            </w:r>
          </w:p>
        </w:tc>
        <w:tc>
          <w:tcPr>
            <w:tcW w:w="2016" w:type="dxa"/>
            <w:gridSpan w:val="2"/>
            <w:vAlign w:val="center"/>
          </w:tcPr>
          <w:p>
            <w:pPr>
              <w:pStyle w:val="24"/>
              <w:jc w:val="center"/>
              <w:rPr>
                <w:rFonts w:ascii="Times New Roman" w:hAnsi="Times New Roman" w:eastAsia="MingLiU_HKS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24"/>
              <w:jc w:val="center"/>
              <w:rPr>
                <w:rFonts w:ascii="Times New Roman" w:hAnsi="Times New Roman" w:eastAsia="MingLiU_HKSCS"/>
                <w:color w:val="auto"/>
                <w:sz w:val="24"/>
                <w:szCs w:val="24"/>
              </w:rPr>
            </w:pPr>
          </w:p>
        </w:tc>
        <w:tc>
          <w:tcPr>
            <w:tcW w:w="1723" w:type="dxa"/>
            <w:gridSpan w:val="2"/>
            <w:vAlign w:val="center"/>
          </w:tcPr>
          <w:p>
            <w:pPr>
              <w:pStyle w:val="24"/>
              <w:jc w:val="center"/>
              <w:rPr>
                <w:rFonts w:ascii="Times New Roman" w:hAnsi="Times New Roman" w:eastAsia="MingLiU_HKSCS"/>
                <w:color w:val="auto"/>
                <w:sz w:val="24"/>
                <w:szCs w:val="24"/>
              </w:rPr>
            </w:pPr>
            <w:r>
              <w:rPr>
                <w:rFonts w:hint="eastAsia" w:ascii="Times New Roman" w:hAnsi="Times New Roman"/>
                <w:color w:val="auto"/>
                <w:sz w:val="24"/>
                <w:szCs w:val="24"/>
              </w:rPr>
              <w:t>装卸费</w:t>
            </w:r>
          </w:p>
        </w:tc>
        <w:tc>
          <w:tcPr>
            <w:tcW w:w="1919" w:type="dxa"/>
            <w:gridSpan w:val="3"/>
            <w:vAlign w:val="center"/>
          </w:tcPr>
          <w:p>
            <w:pPr>
              <w:pStyle w:val="24"/>
              <w:jc w:val="center"/>
              <w:rPr>
                <w:rFonts w:ascii="Times New Roman" w:hAnsi="Times New Roman" w:eastAsia="MingLiU_HKSCS"/>
                <w:color w:val="auto"/>
                <w:sz w:val="24"/>
                <w:szCs w:val="24"/>
              </w:rPr>
            </w:pPr>
          </w:p>
        </w:tc>
        <w:tc>
          <w:tcPr>
            <w:tcW w:w="992" w:type="dxa"/>
            <w:gridSpan w:val="2"/>
            <w:vMerge w:val="continue"/>
            <w:vAlign w:val="center"/>
          </w:tcPr>
          <w:p>
            <w:pPr>
              <w:pStyle w:val="24"/>
              <w:jc w:val="center"/>
              <w:rPr>
                <w:rFonts w:ascii="Times New Roman" w:hAnsi="Times New Roman" w:eastAsia="MingLiU_HKSCS"/>
                <w:color w:val="auto"/>
                <w:sz w:val="24"/>
                <w:szCs w:val="24"/>
              </w:rPr>
            </w:pPr>
          </w:p>
        </w:tc>
        <w:tc>
          <w:tcPr>
            <w:tcW w:w="1397" w:type="dxa"/>
            <w:gridSpan w:val="2"/>
            <w:vAlign w:val="center"/>
          </w:tcPr>
          <w:p>
            <w:pPr>
              <w:pStyle w:val="24"/>
              <w:jc w:val="center"/>
              <w:rPr>
                <w:rFonts w:ascii="Times New Roman" w:hAnsi="Times New Roman" w:eastAsia="MingLiU_HKSCS"/>
                <w:color w:val="auto"/>
                <w:sz w:val="24"/>
                <w:szCs w:val="24"/>
              </w:rPr>
            </w:pPr>
            <w:r>
              <w:rPr>
                <w:rFonts w:hint="eastAsia"/>
                <w:color w:val="auto"/>
                <w:sz w:val="24"/>
                <w:szCs w:val="24"/>
              </w:rPr>
              <w:t>…</w:t>
            </w:r>
          </w:p>
        </w:tc>
        <w:tc>
          <w:tcPr>
            <w:tcW w:w="2016" w:type="dxa"/>
            <w:gridSpan w:val="2"/>
            <w:vAlign w:val="center"/>
          </w:tcPr>
          <w:p>
            <w:pPr>
              <w:pStyle w:val="24"/>
              <w:jc w:val="center"/>
              <w:rPr>
                <w:rFonts w:ascii="Times New Roman" w:hAnsi="Times New Roman" w:eastAsia="MingLiU_HKS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1" w:type="dxa"/>
            <w:vMerge w:val="continue"/>
            <w:vAlign w:val="center"/>
          </w:tcPr>
          <w:p>
            <w:pPr>
              <w:pStyle w:val="24"/>
              <w:jc w:val="center"/>
              <w:rPr>
                <w:rFonts w:ascii="Times New Roman" w:hAnsi="Times New Roman"/>
                <w:color w:val="auto"/>
                <w:sz w:val="24"/>
                <w:szCs w:val="24"/>
              </w:rPr>
            </w:pPr>
          </w:p>
        </w:tc>
        <w:tc>
          <w:tcPr>
            <w:tcW w:w="1723" w:type="dxa"/>
            <w:gridSpan w:val="2"/>
            <w:vAlign w:val="center"/>
          </w:tcPr>
          <w:p>
            <w:pPr>
              <w:pStyle w:val="24"/>
              <w:jc w:val="center"/>
              <w:rPr>
                <w:rFonts w:ascii="MingLiU_HKSCS" w:hAnsi="MingLiU_HKSCS" w:eastAsia="MingLiU_HKSCS" w:cs="MingLiU_HKSCS"/>
                <w:color w:val="auto"/>
                <w:sz w:val="24"/>
                <w:szCs w:val="24"/>
              </w:rPr>
            </w:pPr>
            <w:r>
              <w:rPr>
                <w:rFonts w:hint="eastAsia" w:ascii="Times New Roman" w:hAnsi="Times New Roman"/>
                <w:color w:val="auto"/>
                <w:sz w:val="24"/>
                <w:szCs w:val="24"/>
              </w:rPr>
              <w:t>保险费</w:t>
            </w:r>
          </w:p>
        </w:tc>
        <w:tc>
          <w:tcPr>
            <w:tcW w:w="1919" w:type="dxa"/>
            <w:gridSpan w:val="3"/>
            <w:vAlign w:val="center"/>
          </w:tcPr>
          <w:p>
            <w:pPr>
              <w:pStyle w:val="24"/>
              <w:jc w:val="center"/>
              <w:rPr>
                <w:rFonts w:ascii="MingLiU_HKSCS" w:hAnsi="MingLiU_HKSCS" w:eastAsia="MingLiU_HKSCS" w:cs="MingLiU_HKSCS"/>
                <w:color w:val="auto"/>
                <w:sz w:val="24"/>
                <w:szCs w:val="24"/>
              </w:rPr>
            </w:pPr>
          </w:p>
        </w:tc>
        <w:tc>
          <w:tcPr>
            <w:tcW w:w="992" w:type="dxa"/>
            <w:gridSpan w:val="2"/>
            <w:vMerge w:val="continue"/>
            <w:vAlign w:val="center"/>
          </w:tcPr>
          <w:p>
            <w:pPr>
              <w:pStyle w:val="24"/>
              <w:jc w:val="center"/>
              <w:rPr>
                <w:rFonts w:ascii="MingLiU_HKSCS" w:hAnsi="MingLiU_HKSCS" w:eastAsia="MingLiU_HKSCS" w:cs="MingLiU_HKSCS"/>
                <w:color w:val="auto"/>
                <w:sz w:val="24"/>
                <w:szCs w:val="24"/>
              </w:rPr>
            </w:pPr>
          </w:p>
        </w:tc>
        <w:tc>
          <w:tcPr>
            <w:tcW w:w="1397" w:type="dxa"/>
            <w:gridSpan w:val="2"/>
            <w:vAlign w:val="center"/>
          </w:tcPr>
          <w:p>
            <w:pPr>
              <w:pStyle w:val="24"/>
              <w:jc w:val="center"/>
              <w:rPr>
                <w:rFonts w:ascii="MingLiU_HKSCS" w:hAnsi="MingLiU_HKSCS" w:eastAsia="MingLiU_HKSCS" w:cs="MingLiU_HKSCS"/>
                <w:color w:val="auto"/>
                <w:sz w:val="24"/>
                <w:szCs w:val="24"/>
              </w:rPr>
            </w:pPr>
            <w:r>
              <w:rPr>
                <w:rFonts w:hint="eastAsia" w:ascii="Times New Roman" w:hAnsi="Times New Roman"/>
                <w:color w:val="auto"/>
                <w:sz w:val="24"/>
                <w:szCs w:val="24"/>
              </w:rPr>
              <w:t>小计</w:t>
            </w:r>
          </w:p>
        </w:tc>
        <w:tc>
          <w:tcPr>
            <w:tcW w:w="2016" w:type="dxa"/>
            <w:gridSpan w:val="2"/>
            <w:vAlign w:val="center"/>
          </w:tcPr>
          <w:p>
            <w:pPr>
              <w:pStyle w:val="24"/>
              <w:jc w:val="center"/>
              <w:rPr>
                <w:rFonts w:ascii="MingLiU_HKSCS" w:hAnsi="MingLiU_HKSCS" w:eastAsia="MingLiU_HKSCS" w:cs="MingLiU_HKS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24"/>
              <w:jc w:val="center"/>
              <w:rPr>
                <w:rFonts w:ascii="Times New Roman" w:hAnsi="Times New Roman" w:eastAsia="MingLiU_HKSCS"/>
                <w:color w:val="auto"/>
                <w:sz w:val="24"/>
                <w:szCs w:val="24"/>
              </w:rPr>
            </w:pPr>
          </w:p>
        </w:tc>
        <w:tc>
          <w:tcPr>
            <w:tcW w:w="1723" w:type="dxa"/>
            <w:gridSpan w:val="2"/>
            <w:vAlign w:val="center"/>
          </w:tcPr>
          <w:p>
            <w:pPr>
              <w:pStyle w:val="24"/>
              <w:jc w:val="center"/>
              <w:rPr>
                <w:rFonts w:ascii="Times New Roman" w:hAnsi="Times New Roman" w:eastAsia="MingLiU_HKSCS"/>
                <w:color w:val="auto"/>
                <w:sz w:val="24"/>
                <w:szCs w:val="24"/>
              </w:rPr>
            </w:pPr>
            <w:r>
              <w:rPr>
                <w:rFonts w:hint="eastAsia"/>
                <w:color w:val="auto"/>
                <w:sz w:val="24"/>
                <w:szCs w:val="24"/>
              </w:rPr>
              <w:t>…</w:t>
            </w:r>
          </w:p>
        </w:tc>
        <w:tc>
          <w:tcPr>
            <w:tcW w:w="1919" w:type="dxa"/>
            <w:gridSpan w:val="3"/>
            <w:vAlign w:val="center"/>
          </w:tcPr>
          <w:p>
            <w:pPr>
              <w:pStyle w:val="24"/>
              <w:jc w:val="center"/>
              <w:rPr>
                <w:rFonts w:ascii="Times New Roman" w:hAnsi="Times New Roman" w:eastAsia="MingLiU_HKSCS"/>
                <w:color w:val="auto"/>
                <w:sz w:val="24"/>
                <w:szCs w:val="24"/>
              </w:rPr>
            </w:pPr>
          </w:p>
        </w:tc>
        <w:tc>
          <w:tcPr>
            <w:tcW w:w="992" w:type="dxa"/>
            <w:gridSpan w:val="2"/>
            <w:vMerge w:val="restart"/>
            <w:vAlign w:val="center"/>
          </w:tcPr>
          <w:p>
            <w:pPr>
              <w:pStyle w:val="24"/>
              <w:jc w:val="center"/>
              <w:rPr>
                <w:rFonts w:ascii="Times New Roman" w:hAnsi="Times New Roman" w:eastAsia="MingLiU_HKSCS"/>
                <w:color w:val="auto"/>
                <w:sz w:val="24"/>
                <w:szCs w:val="24"/>
              </w:rPr>
            </w:pPr>
            <w:r>
              <w:rPr>
                <w:rFonts w:hint="eastAsia" w:ascii="Times New Roman" w:hAnsi="Times New Roman"/>
                <w:color w:val="auto"/>
                <w:sz w:val="24"/>
                <w:szCs w:val="24"/>
              </w:rPr>
              <w:t>售后</w:t>
            </w:r>
          </w:p>
          <w:p>
            <w:pPr>
              <w:pStyle w:val="24"/>
              <w:jc w:val="center"/>
              <w:rPr>
                <w:rFonts w:ascii="Times New Roman" w:hAnsi="Times New Roman" w:eastAsia="MingLiU_HKSCS"/>
                <w:color w:val="auto"/>
                <w:sz w:val="24"/>
                <w:szCs w:val="24"/>
              </w:rPr>
            </w:pPr>
            <w:r>
              <w:rPr>
                <w:rFonts w:hint="eastAsia" w:ascii="Times New Roman" w:hAnsi="Times New Roman"/>
                <w:color w:val="auto"/>
                <w:sz w:val="24"/>
                <w:szCs w:val="24"/>
              </w:rPr>
              <w:t>服务费</w:t>
            </w:r>
          </w:p>
        </w:tc>
        <w:tc>
          <w:tcPr>
            <w:tcW w:w="1397" w:type="dxa"/>
            <w:gridSpan w:val="2"/>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培训费</w:t>
            </w:r>
          </w:p>
        </w:tc>
        <w:tc>
          <w:tcPr>
            <w:tcW w:w="2016" w:type="dxa"/>
            <w:gridSpan w:val="2"/>
            <w:vAlign w:val="center"/>
          </w:tcPr>
          <w:p>
            <w:pPr>
              <w:pStyle w:val="24"/>
              <w:jc w:val="center"/>
              <w:rPr>
                <w:rFonts w:ascii="Times New Roman" w:hAnsi="Times New Roman" w:eastAsia="MingLiU_HKS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24"/>
              <w:jc w:val="center"/>
              <w:rPr>
                <w:rFonts w:ascii="Times New Roman" w:hAnsi="Times New Roman" w:eastAsia="MingLiU_HKSCS"/>
                <w:color w:val="auto"/>
                <w:sz w:val="24"/>
                <w:szCs w:val="24"/>
              </w:rPr>
            </w:pPr>
          </w:p>
        </w:tc>
        <w:tc>
          <w:tcPr>
            <w:tcW w:w="1723" w:type="dxa"/>
            <w:gridSpan w:val="2"/>
            <w:vAlign w:val="center"/>
          </w:tcPr>
          <w:p>
            <w:pPr>
              <w:pStyle w:val="24"/>
              <w:jc w:val="center"/>
              <w:rPr>
                <w:rFonts w:ascii="Times New Roman" w:hAnsi="Times New Roman" w:eastAsia="MingLiU_HKSCS"/>
                <w:color w:val="auto"/>
                <w:sz w:val="24"/>
                <w:szCs w:val="24"/>
              </w:rPr>
            </w:pPr>
            <w:r>
              <w:rPr>
                <w:rFonts w:hint="eastAsia" w:ascii="Times New Roman" w:hAnsi="Times New Roman"/>
                <w:color w:val="auto"/>
                <w:sz w:val="24"/>
                <w:szCs w:val="24"/>
              </w:rPr>
              <w:t>小计</w:t>
            </w:r>
          </w:p>
        </w:tc>
        <w:tc>
          <w:tcPr>
            <w:tcW w:w="1919" w:type="dxa"/>
            <w:gridSpan w:val="3"/>
            <w:vAlign w:val="center"/>
          </w:tcPr>
          <w:p>
            <w:pPr>
              <w:pStyle w:val="24"/>
              <w:jc w:val="center"/>
              <w:rPr>
                <w:rFonts w:ascii="Times New Roman" w:hAnsi="Times New Roman" w:eastAsia="MingLiU_HKSCS"/>
                <w:color w:val="auto"/>
                <w:sz w:val="24"/>
                <w:szCs w:val="24"/>
              </w:rPr>
            </w:pPr>
          </w:p>
        </w:tc>
        <w:tc>
          <w:tcPr>
            <w:tcW w:w="992" w:type="dxa"/>
            <w:gridSpan w:val="2"/>
            <w:vMerge w:val="continue"/>
            <w:vAlign w:val="center"/>
          </w:tcPr>
          <w:p>
            <w:pPr>
              <w:pStyle w:val="24"/>
              <w:jc w:val="center"/>
              <w:rPr>
                <w:rFonts w:ascii="Times New Roman" w:hAnsi="Times New Roman"/>
                <w:color w:val="auto"/>
                <w:sz w:val="24"/>
                <w:szCs w:val="24"/>
              </w:rPr>
            </w:pPr>
          </w:p>
        </w:tc>
        <w:tc>
          <w:tcPr>
            <w:tcW w:w="1397" w:type="dxa"/>
            <w:gridSpan w:val="2"/>
            <w:vAlign w:val="center"/>
          </w:tcPr>
          <w:p>
            <w:pPr>
              <w:pStyle w:val="24"/>
              <w:jc w:val="center"/>
              <w:rPr>
                <w:rFonts w:ascii="Times New Roman" w:hAnsi="Times New Roman" w:eastAsia="MingLiU_HKSCS"/>
                <w:color w:val="auto"/>
                <w:sz w:val="24"/>
                <w:szCs w:val="24"/>
              </w:rPr>
            </w:pPr>
            <w:r>
              <w:rPr>
                <w:rFonts w:hint="eastAsia" w:ascii="Times New Roman" w:hAnsi="Times New Roman"/>
                <w:color w:val="auto"/>
                <w:sz w:val="24"/>
                <w:szCs w:val="24"/>
              </w:rPr>
              <w:t>技术服务费</w:t>
            </w:r>
          </w:p>
        </w:tc>
        <w:tc>
          <w:tcPr>
            <w:tcW w:w="2016" w:type="dxa"/>
            <w:gridSpan w:val="2"/>
            <w:vAlign w:val="center"/>
          </w:tcPr>
          <w:p>
            <w:pPr>
              <w:pStyle w:val="24"/>
              <w:jc w:val="center"/>
              <w:rPr>
                <w:rFonts w:ascii="Times New Roman" w:hAnsi="Times New Roman" w:eastAsia="MingLiU_HKS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restart"/>
            <w:vAlign w:val="center"/>
          </w:tcPr>
          <w:p>
            <w:pPr>
              <w:pStyle w:val="24"/>
              <w:jc w:val="center"/>
              <w:rPr>
                <w:rFonts w:ascii="Times New Roman" w:hAnsi="Times New Roman" w:eastAsia="MingLiU_HKSCS"/>
                <w:color w:val="auto"/>
                <w:sz w:val="24"/>
                <w:szCs w:val="24"/>
              </w:rPr>
            </w:pPr>
            <w:r>
              <w:rPr>
                <w:rFonts w:hint="eastAsia" w:ascii="Times New Roman" w:hAnsi="Times New Roman"/>
                <w:color w:val="auto"/>
                <w:sz w:val="24"/>
                <w:szCs w:val="24"/>
              </w:rPr>
              <w:t>其他</w:t>
            </w:r>
          </w:p>
          <w:p>
            <w:pPr>
              <w:pStyle w:val="24"/>
              <w:jc w:val="center"/>
              <w:rPr>
                <w:rFonts w:ascii="Times New Roman" w:hAnsi="Times New Roman" w:eastAsia="MingLiU_HKSCS"/>
                <w:color w:val="auto"/>
                <w:sz w:val="24"/>
                <w:szCs w:val="24"/>
              </w:rPr>
            </w:pPr>
            <w:r>
              <w:rPr>
                <w:rFonts w:hint="eastAsia" w:ascii="Times New Roman" w:hAnsi="Times New Roman"/>
                <w:color w:val="auto"/>
                <w:sz w:val="24"/>
                <w:szCs w:val="24"/>
              </w:rPr>
              <w:t>费用</w:t>
            </w:r>
          </w:p>
        </w:tc>
        <w:tc>
          <w:tcPr>
            <w:tcW w:w="1723" w:type="dxa"/>
            <w:gridSpan w:val="2"/>
            <w:vAlign w:val="center"/>
          </w:tcPr>
          <w:p>
            <w:pPr>
              <w:pStyle w:val="24"/>
              <w:jc w:val="center"/>
              <w:rPr>
                <w:rFonts w:ascii="Times New Roman" w:hAnsi="Times New Roman" w:eastAsia="MingLiU_HKSCS"/>
                <w:color w:val="auto"/>
                <w:sz w:val="24"/>
                <w:szCs w:val="24"/>
              </w:rPr>
            </w:pPr>
            <w:r>
              <w:rPr>
                <w:rFonts w:hint="eastAsia" w:ascii="Times New Roman" w:hAnsi="Times New Roman"/>
                <w:color w:val="auto"/>
                <w:sz w:val="24"/>
                <w:szCs w:val="24"/>
              </w:rPr>
              <w:t>代理费</w:t>
            </w:r>
          </w:p>
        </w:tc>
        <w:tc>
          <w:tcPr>
            <w:tcW w:w="862" w:type="dxa"/>
            <w:vAlign w:val="center"/>
          </w:tcPr>
          <w:p>
            <w:pPr>
              <w:pStyle w:val="24"/>
              <w:jc w:val="center"/>
              <w:rPr>
                <w:rFonts w:ascii="Times New Roman" w:hAnsi="Times New Roman" w:eastAsia="MingLiU_HKSCS"/>
                <w:color w:val="auto"/>
                <w:sz w:val="24"/>
                <w:szCs w:val="24"/>
              </w:rPr>
            </w:pPr>
          </w:p>
        </w:tc>
        <w:tc>
          <w:tcPr>
            <w:tcW w:w="1057" w:type="dxa"/>
            <w:gridSpan w:val="2"/>
            <w:vAlign w:val="center"/>
          </w:tcPr>
          <w:p>
            <w:pPr>
              <w:pStyle w:val="24"/>
              <w:jc w:val="center"/>
              <w:rPr>
                <w:rFonts w:ascii="Times New Roman" w:hAnsi="Times New Roman" w:eastAsia="MingLiU_HKSCS"/>
                <w:color w:val="auto"/>
                <w:sz w:val="24"/>
                <w:szCs w:val="24"/>
              </w:rPr>
            </w:pPr>
          </w:p>
        </w:tc>
        <w:tc>
          <w:tcPr>
            <w:tcW w:w="992" w:type="dxa"/>
            <w:gridSpan w:val="2"/>
            <w:vMerge w:val="continue"/>
            <w:vAlign w:val="center"/>
          </w:tcPr>
          <w:p>
            <w:pPr>
              <w:pStyle w:val="24"/>
              <w:jc w:val="center"/>
              <w:rPr>
                <w:rFonts w:ascii="Times New Roman" w:hAnsi="Times New Roman" w:eastAsia="MingLiU_HKSCS"/>
                <w:color w:val="auto"/>
                <w:sz w:val="24"/>
                <w:szCs w:val="24"/>
              </w:rPr>
            </w:pPr>
          </w:p>
        </w:tc>
        <w:tc>
          <w:tcPr>
            <w:tcW w:w="1397" w:type="dxa"/>
            <w:gridSpan w:val="2"/>
            <w:vAlign w:val="center"/>
          </w:tcPr>
          <w:p>
            <w:pPr>
              <w:pStyle w:val="24"/>
              <w:jc w:val="center"/>
              <w:rPr>
                <w:rFonts w:ascii="Times New Roman" w:hAnsi="Times New Roman" w:eastAsia="MingLiU_HKSCS"/>
                <w:color w:val="auto"/>
                <w:sz w:val="24"/>
                <w:szCs w:val="24"/>
              </w:rPr>
            </w:pPr>
            <w:r>
              <w:rPr>
                <w:rFonts w:hint="eastAsia"/>
                <w:color w:val="auto"/>
                <w:sz w:val="24"/>
                <w:szCs w:val="24"/>
              </w:rPr>
              <w:t>…</w:t>
            </w:r>
          </w:p>
        </w:tc>
        <w:tc>
          <w:tcPr>
            <w:tcW w:w="2016" w:type="dxa"/>
            <w:gridSpan w:val="2"/>
            <w:vAlign w:val="center"/>
          </w:tcPr>
          <w:p>
            <w:pPr>
              <w:pStyle w:val="24"/>
              <w:jc w:val="center"/>
              <w:rPr>
                <w:rFonts w:ascii="Times New Roman" w:hAnsi="Times New Roman" w:eastAsia="MingLiU_HKS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1" w:type="dxa"/>
            <w:vMerge w:val="continue"/>
            <w:vAlign w:val="center"/>
          </w:tcPr>
          <w:p>
            <w:pPr>
              <w:pStyle w:val="24"/>
              <w:jc w:val="center"/>
              <w:rPr>
                <w:rFonts w:ascii="Times New Roman" w:hAnsi="Times New Roman"/>
                <w:color w:val="auto"/>
                <w:sz w:val="24"/>
                <w:szCs w:val="24"/>
              </w:rPr>
            </w:pPr>
          </w:p>
        </w:tc>
        <w:tc>
          <w:tcPr>
            <w:tcW w:w="1723" w:type="dxa"/>
            <w:gridSpan w:val="2"/>
            <w:vAlign w:val="center"/>
          </w:tcPr>
          <w:p>
            <w:pPr>
              <w:pStyle w:val="24"/>
              <w:jc w:val="center"/>
              <w:rPr>
                <w:rFonts w:ascii="Times New Roman" w:hAnsi="Times New Roman" w:eastAsia="MingLiU_HKSCS"/>
                <w:color w:val="auto"/>
                <w:sz w:val="24"/>
                <w:szCs w:val="24"/>
              </w:rPr>
            </w:pPr>
            <w:r>
              <w:rPr>
                <w:rFonts w:hint="eastAsia"/>
                <w:color w:val="auto"/>
                <w:sz w:val="24"/>
                <w:szCs w:val="24"/>
              </w:rPr>
              <w:t>…</w:t>
            </w:r>
          </w:p>
        </w:tc>
        <w:tc>
          <w:tcPr>
            <w:tcW w:w="862" w:type="dxa"/>
            <w:vAlign w:val="center"/>
          </w:tcPr>
          <w:p>
            <w:pPr>
              <w:pStyle w:val="24"/>
              <w:jc w:val="center"/>
              <w:rPr>
                <w:rFonts w:ascii="Times New Roman" w:hAnsi="Times New Roman" w:eastAsia="MingLiU_HKSCS"/>
                <w:color w:val="auto"/>
                <w:sz w:val="24"/>
                <w:szCs w:val="24"/>
              </w:rPr>
            </w:pPr>
          </w:p>
        </w:tc>
        <w:tc>
          <w:tcPr>
            <w:tcW w:w="1057" w:type="dxa"/>
            <w:gridSpan w:val="2"/>
            <w:vAlign w:val="center"/>
          </w:tcPr>
          <w:p>
            <w:pPr>
              <w:pStyle w:val="24"/>
              <w:jc w:val="center"/>
              <w:rPr>
                <w:rFonts w:ascii="Times New Roman" w:hAnsi="Times New Roman" w:eastAsia="MingLiU_HKSCS"/>
                <w:color w:val="auto"/>
                <w:sz w:val="24"/>
                <w:szCs w:val="24"/>
              </w:rPr>
            </w:pPr>
          </w:p>
        </w:tc>
        <w:tc>
          <w:tcPr>
            <w:tcW w:w="992" w:type="dxa"/>
            <w:gridSpan w:val="2"/>
            <w:vMerge w:val="continue"/>
            <w:vAlign w:val="center"/>
          </w:tcPr>
          <w:p>
            <w:pPr>
              <w:pStyle w:val="24"/>
              <w:jc w:val="center"/>
              <w:rPr>
                <w:rFonts w:ascii="Times New Roman" w:hAnsi="Times New Roman" w:eastAsia="MingLiU_HKSCS"/>
                <w:color w:val="auto"/>
                <w:sz w:val="24"/>
                <w:szCs w:val="24"/>
              </w:rPr>
            </w:pPr>
          </w:p>
        </w:tc>
        <w:tc>
          <w:tcPr>
            <w:tcW w:w="1397" w:type="dxa"/>
            <w:gridSpan w:val="2"/>
            <w:vAlign w:val="center"/>
          </w:tcPr>
          <w:p>
            <w:pPr>
              <w:pStyle w:val="24"/>
              <w:jc w:val="center"/>
              <w:rPr>
                <w:rFonts w:ascii="Times New Roman" w:hAnsi="Times New Roman" w:eastAsia="MingLiU_HKSCS"/>
                <w:color w:val="auto"/>
                <w:sz w:val="24"/>
                <w:szCs w:val="24"/>
              </w:rPr>
            </w:pPr>
          </w:p>
        </w:tc>
        <w:tc>
          <w:tcPr>
            <w:tcW w:w="2016" w:type="dxa"/>
            <w:gridSpan w:val="2"/>
            <w:vAlign w:val="center"/>
          </w:tcPr>
          <w:p>
            <w:pPr>
              <w:pStyle w:val="24"/>
              <w:jc w:val="center"/>
              <w:rPr>
                <w:rFonts w:ascii="Times New Roman" w:hAnsi="Times New Roman" w:eastAsia="MingLiU_HKS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24"/>
              <w:jc w:val="center"/>
              <w:rPr>
                <w:rFonts w:ascii="Times New Roman" w:hAnsi="Times New Roman" w:eastAsia="MingLiU_HKSCS"/>
                <w:color w:val="auto"/>
                <w:sz w:val="24"/>
                <w:szCs w:val="24"/>
              </w:rPr>
            </w:pPr>
          </w:p>
        </w:tc>
        <w:tc>
          <w:tcPr>
            <w:tcW w:w="1723" w:type="dxa"/>
            <w:gridSpan w:val="2"/>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小计</w:t>
            </w:r>
          </w:p>
        </w:tc>
        <w:tc>
          <w:tcPr>
            <w:tcW w:w="862" w:type="dxa"/>
            <w:vAlign w:val="center"/>
          </w:tcPr>
          <w:p>
            <w:pPr>
              <w:pStyle w:val="24"/>
              <w:jc w:val="center"/>
              <w:rPr>
                <w:rFonts w:ascii="Times New Roman" w:hAnsi="Times New Roman" w:eastAsia="MingLiU_HKSCS"/>
                <w:color w:val="auto"/>
                <w:sz w:val="24"/>
                <w:szCs w:val="24"/>
              </w:rPr>
            </w:pPr>
          </w:p>
        </w:tc>
        <w:tc>
          <w:tcPr>
            <w:tcW w:w="1057" w:type="dxa"/>
            <w:gridSpan w:val="2"/>
            <w:vAlign w:val="center"/>
          </w:tcPr>
          <w:p>
            <w:pPr>
              <w:pStyle w:val="24"/>
              <w:jc w:val="center"/>
              <w:rPr>
                <w:rFonts w:ascii="Times New Roman" w:hAnsi="Times New Roman" w:eastAsia="MingLiU_HKSCS"/>
                <w:color w:val="auto"/>
                <w:sz w:val="24"/>
                <w:szCs w:val="24"/>
              </w:rPr>
            </w:pPr>
          </w:p>
        </w:tc>
        <w:tc>
          <w:tcPr>
            <w:tcW w:w="992" w:type="dxa"/>
            <w:gridSpan w:val="2"/>
            <w:vMerge w:val="continue"/>
            <w:vAlign w:val="center"/>
          </w:tcPr>
          <w:p>
            <w:pPr>
              <w:pStyle w:val="24"/>
              <w:jc w:val="center"/>
              <w:rPr>
                <w:rFonts w:ascii="Times New Roman" w:hAnsi="Times New Roman" w:eastAsia="MingLiU_HKSCS"/>
                <w:color w:val="auto"/>
                <w:sz w:val="24"/>
                <w:szCs w:val="24"/>
              </w:rPr>
            </w:pPr>
          </w:p>
        </w:tc>
        <w:tc>
          <w:tcPr>
            <w:tcW w:w="1397" w:type="dxa"/>
            <w:gridSpan w:val="2"/>
            <w:vAlign w:val="center"/>
          </w:tcPr>
          <w:p>
            <w:pPr>
              <w:pStyle w:val="24"/>
              <w:jc w:val="center"/>
              <w:rPr>
                <w:rFonts w:ascii="Times New Roman" w:hAnsi="Times New Roman" w:eastAsia="MingLiU_HKSCS"/>
                <w:color w:val="auto"/>
                <w:sz w:val="24"/>
                <w:szCs w:val="24"/>
              </w:rPr>
            </w:pPr>
            <w:r>
              <w:rPr>
                <w:rFonts w:hint="eastAsia" w:ascii="Times New Roman" w:hAnsi="Times New Roman"/>
                <w:color w:val="auto"/>
                <w:sz w:val="24"/>
                <w:szCs w:val="24"/>
              </w:rPr>
              <w:t>小计</w:t>
            </w:r>
          </w:p>
        </w:tc>
        <w:tc>
          <w:tcPr>
            <w:tcW w:w="2016" w:type="dxa"/>
            <w:gridSpan w:val="2"/>
            <w:vAlign w:val="center"/>
          </w:tcPr>
          <w:p>
            <w:pPr>
              <w:pStyle w:val="24"/>
              <w:jc w:val="center"/>
              <w:rPr>
                <w:rFonts w:ascii="Times New Roman" w:hAnsi="Times New Roman" w:eastAsia="MingLiU_HKSCS"/>
                <w:color w:val="auto"/>
                <w:sz w:val="24"/>
                <w:szCs w:val="24"/>
              </w:rPr>
            </w:pPr>
          </w:p>
        </w:tc>
      </w:tr>
    </w:tbl>
    <w:p>
      <w:pPr>
        <w:pStyle w:val="24"/>
        <w:ind w:firstLine="484" w:firstLineChars="200"/>
        <w:rPr>
          <w:rFonts w:ascii="Times New Roman" w:hAnsi="Times New Roman" w:eastAsia="MingLiU_HKSCS"/>
          <w:color w:val="auto"/>
          <w:sz w:val="24"/>
          <w:szCs w:val="24"/>
        </w:rPr>
      </w:pPr>
      <w:r>
        <w:rPr>
          <w:rFonts w:hint="eastAsia" w:ascii="Times New Roman" w:hAnsi="Times New Roman"/>
          <w:color w:val="auto"/>
          <w:sz w:val="24"/>
          <w:szCs w:val="24"/>
        </w:rPr>
        <w:t>说明：本表中的政策功能类型及编号是指产品在最新一期节能、环保清单内的编号。</w:t>
      </w:r>
    </w:p>
    <w:p>
      <w:pPr>
        <w:pStyle w:val="146"/>
        <w:spacing w:line="500" w:lineRule="exact"/>
        <w:ind w:firstLine="484" w:firstLineChars="200"/>
        <w:rPr>
          <w:rFonts w:ascii="宋体" w:hAnsi="宋体"/>
          <w:b/>
          <w:bCs/>
          <w:color w:val="auto"/>
          <w:szCs w:val="24"/>
        </w:rPr>
      </w:pPr>
    </w:p>
    <w:p>
      <w:pPr>
        <w:pStyle w:val="146"/>
        <w:spacing w:line="500" w:lineRule="exact"/>
        <w:ind w:firstLine="484" w:firstLineChars="200"/>
        <w:rPr>
          <w:rFonts w:ascii="宋体" w:hAnsi="宋体"/>
          <w:b/>
          <w:bCs/>
          <w:color w:val="auto"/>
          <w:szCs w:val="24"/>
        </w:rPr>
      </w:pPr>
    </w:p>
    <w:p>
      <w:pPr>
        <w:pStyle w:val="146"/>
        <w:spacing w:line="500" w:lineRule="exact"/>
        <w:ind w:firstLine="484" w:firstLineChars="200"/>
        <w:rPr>
          <w:rFonts w:ascii="宋体" w:hAnsi="宋体"/>
          <w:b/>
          <w:bCs/>
          <w:color w:val="auto"/>
          <w:szCs w:val="24"/>
        </w:rPr>
      </w:pPr>
    </w:p>
    <w:p>
      <w:pPr>
        <w:adjustRightInd w:val="0"/>
        <w:snapToGrid w:val="0"/>
        <w:spacing w:line="360" w:lineRule="auto"/>
        <w:ind w:firstLine="484" w:firstLineChars="200"/>
        <w:rPr>
          <w:rFonts w:ascii="宋体" w:hAnsi="宋体"/>
          <w:color w:val="auto"/>
          <w:sz w:val="24"/>
          <w:szCs w:val="21"/>
        </w:rPr>
      </w:pPr>
      <w:r>
        <w:rPr>
          <w:rFonts w:hint="eastAsia" w:ascii="宋体" w:hAnsi="宋体"/>
          <w:color w:val="auto"/>
          <w:sz w:val="24"/>
          <w:szCs w:val="21"/>
        </w:rPr>
        <w:t>投标人（盖单位章）：</w:t>
      </w:r>
    </w:p>
    <w:p>
      <w:pPr>
        <w:adjustRightInd w:val="0"/>
        <w:snapToGrid w:val="0"/>
        <w:spacing w:line="360" w:lineRule="auto"/>
        <w:ind w:left="483" w:leftChars="228" w:firstLine="9438" w:firstLineChars="3900"/>
        <w:rPr>
          <w:rFonts w:ascii="宋体" w:hAnsi="宋体"/>
          <w:color w:val="auto"/>
          <w:sz w:val="24"/>
          <w:szCs w:val="21"/>
        </w:rPr>
      </w:pPr>
      <w:r>
        <w:rPr>
          <w:rFonts w:hint="eastAsia" w:ascii="宋体" w:hAnsi="宋体"/>
          <w:color w:val="auto"/>
          <w:sz w:val="24"/>
          <w:szCs w:val="21"/>
        </w:rPr>
        <w:t xml:space="preserve"> 法定代表人或其委托代理人签字：</w:t>
      </w:r>
      <w:r>
        <w:rPr>
          <w:rFonts w:hint="eastAsia" w:ascii="宋体" w:hAnsi="宋体"/>
          <w:color w:val="auto"/>
          <w:sz w:val="24"/>
          <w:szCs w:val="21"/>
          <w:u w:val="single"/>
        </w:rPr>
        <w:t xml:space="preserve">       </w:t>
      </w:r>
    </w:p>
    <w:p>
      <w:pPr>
        <w:adjustRightInd w:val="0"/>
        <w:snapToGrid w:val="0"/>
        <w:spacing w:line="360" w:lineRule="auto"/>
        <w:ind w:left="483" w:leftChars="228" w:right="24" w:firstLine="9438" w:firstLineChars="3900"/>
        <w:rPr>
          <w:rFonts w:ascii="宋体" w:hAnsi="宋体"/>
          <w:bCs/>
          <w:color w:val="auto"/>
          <w:sz w:val="36"/>
          <w:szCs w:val="28"/>
        </w:rPr>
      </w:pPr>
      <w:r>
        <w:rPr>
          <w:rFonts w:hint="eastAsia" w:ascii="宋体" w:hAnsi="宋体"/>
          <w:color w:val="auto"/>
          <w:sz w:val="24"/>
          <w:szCs w:val="21"/>
        </w:rPr>
        <w:t xml:space="preserve">  日期：</w:t>
      </w:r>
      <w:r>
        <w:rPr>
          <w:rFonts w:hint="eastAsia" w:ascii="宋体" w:hAnsi="宋体"/>
          <w:color w:val="auto"/>
          <w:sz w:val="24"/>
          <w:szCs w:val="21"/>
          <w:u w:val="single"/>
        </w:rPr>
        <w:t xml:space="preserve">         </w:t>
      </w:r>
      <w:r>
        <w:rPr>
          <w:rFonts w:hint="eastAsia" w:ascii="宋体" w:hAnsi="宋体"/>
          <w:color w:val="auto"/>
          <w:sz w:val="24"/>
          <w:szCs w:val="21"/>
        </w:rPr>
        <w:t>年</w:t>
      </w:r>
      <w:r>
        <w:rPr>
          <w:rFonts w:hint="eastAsia" w:ascii="宋体" w:hAnsi="宋体"/>
          <w:color w:val="auto"/>
          <w:sz w:val="24"/>
          <w:szCs w:val="21"/>
          <w:u w:val="single"/>
        </w:rPr>
        <w:t xml:space="preserve">    </w:t>
      </w:r>
      <w:r>
        <w:rPr>
          <w:rFonts w:hint="eastAsia" w:ascii="宋体" w:hAnsi="宋体"/>
          <w:color w:val="auto"/>
          <w:sz w:val="24"/>
          <w:szCs w:val="21"/>
        </w:rPr>
        <w:t>月</w:t>
      </w:r>
      <w:r>
        <w:rPr>
          <w:rFonts w:hint="eastAsia" w:ascii="宋体" w:hAnsi="宋体"/>
          <w:color w:val="auto"/>
          <w:sz w:val="24"/>
          <w:szCs w:val="21"/>
          <w:u w:val="single"/>
        </w:rPr>
        <w:t xml:space="preserve">   </w:t>
      </w:r>
      <w:r>
        <w:rPr>
          <w:rFonts w:hint="eastAsia" w:ascii="宋体" w:hAnsi="宋体"/>
          <w:color w:val="auto"/>
          <w:sz w:val="24"/>
          <w:szCs w:val="21"/>
        </w:rPr>
        <w:t>日</w:t>
      </w:r>
    </w:p>
    <w:p>
      <w:pPr>
        <w:spacing w:line="500" w:lineRule="exact"/>
        <w:ind w:firstLine="7744" w:firstLineChars="3200"/>
        <w:rPr>
          <w:rFonts w:ascii="宋体" w:hAnsi="宋体"/>
          <w:color w:val="auto"/>
          <w:sz w:val="24"/>
          <w:szCs w:val="24"/>
        </w:rPr>
      </w:pPr>
      <w:r>
        <w:rPr>
          <w:rFonts w:ascii="宋体" w:hAnsi="宋体"/>
          <w:color w:val="auto"/>
          <w:sz w:val="24"/>
          <w:szCs w:val="24"/>
        </w:rPr>
        <w:br w:type="page"/>
      </w:r>
    </w:p>
    <w:p>
      <w:pPr>
        <w:pStyle w:val="83"/>
        <w:spacing w:line="500" w:lineRule="exact"/>
        <w:jc w:val="center"/>
        <w:rPr>
          <w:rFonts w:ascii="宋体" w:hAnsi="宋体"/>
          <w:b/>
          <w:color w:val="auto"/>
        </w:rPr>
      </w:pPr>
      <w:r>
        <w:rPr>
          <w:rFonts w:hint="eastAsia" w:ascii="宋体" w:hAnsi="宋体"/>
          <w:b/>
          <w:color w:val="auto"/>
        </w:rPr>
        <w:t>四、商务条款偏离表</w:t>
      </w:r>
    </w:p>
    <w:p>
      <w:pPr>
        <w:pStyle w:val="83"/>
        <w:spacing w:line="500" w:lineRule="exact"/>
        <w:jc w:val="center"/>
        <w:rPr>
          <w:rFonts w:ascii="宋体" w:hAnsi="宋体"/>
          <w:color w:val="auto"/>
        </w:rPr>
      </w:pPr>
    </w:p>
    <w:p>
      <w:pPr>
        <w:pStyle w:val="24"/>
        <w:ind w:firstLine="484" w:firstLineChars="200"/>
        <w:rPr>
          <w:rFonts w:ascii="Times New Roman" w:hAnsi="Times New Roman"/>
          <w:color w:val="auto"/>
        </w:rPr>
      </w:pPr>
      <w:r>
        <w:rPr>
          <w:rFonts w:hint="eastAsia" w:ascii="Times New Roman" w:hAnsi="Times New Roman"/>
          <w:color w:val="auto"/>
          <w:sz w:val="24"/>
          <w:szCs w:val="24"/>
        </w:rPr>
        <w:t>项目名称：</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hint="eastAsia" w:ascii="Times New Roman" w:hAnsi="Times New Roman"/>
          <w:color w:val="auto"/>
          <w:sz w:val="24"/>
          <w:szCs w:val="24"/>
        </w:rPr>
        <w:t>项目编号：　</w:t>
      </w:r>
      <w:r>
        <w:rPr>
          <w:rFonts w:hint="eastAsia"/>
          <w:color w:val="auto"/>
        </w:rPr>
        <w:t xml:space="preserve">       </w:t>
      </w:r>
    </w:p>
    <w:tbl>
      <w:tblPr>
        <w:tblStyle w:val="41"/>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861"/>
        <w:gridCol w:w="1861"/>
        <w:gridCol w:w="1861"/>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400" w:type="dxa"/>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序号</w:t>
            </w:r>
          </w:p>
        </w:tc>
        <w:tc>
          <w:tcPr>
            <w:tcW w:w="1861" w:type="dxa"/>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招标文件条目号</w:t>
            </w:r>
          </w:p>
        </w:tc>
        <w:tc>
          <w:tcPr>
            <w:tcW w:w="1861" w:type="dxa"/>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招标文件的商务条款</w:t>
            </w:r>
          </w:p>
        </w:tc>
        <w:tc>
          <w:tcPr>
            <w:tcW w:w="1861" w:type="dxa"/>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投标文件的商务条款</w:t>
            </w:r>
          </w:p>
        </w:tc>
        <w:tc>
          <w:tcPr>
            <w:tcW w:w="816" w:type="dxa"/>
            <w:vAlign w:val="center"/>
          </w:tcPr>
          <w:p>
            <w:pPr>
              <w:pStyle w:val="24"/>
              <w:jc w:val="center"/>
              <w:rPr>
                <w:rFonts w:ascii="Times New Roman" w:hAnsi="Times New Roman"/>
                <w:color w:val="auto"/>
                <w:sz w:val="24"/>
                <w:szCs w:val="24"/>
              </w:rPr>
            </w:pPr>
            <w:r>
              <w:rPr>
                <w:rFonts w:hint="eastAsia" w:ascii="Times New Roman" w:hAnsi="Times New Roman"/>
                <w:color w:val="auto"/>
                <w:sz w:val="24"/>
                <w:szCs w:val="24"/>
              </w:rPr>
              <w:t>偏离</w:t>
            </w:r>
          </w:p>
        </w:tc>
        <w:tc>
          <w:tcPr>
            <w:tcW w:w="816" w:type="dxa"/>
            <w:vAlign w:val="center"/>
          </w:tcPr>
          <w:p>
            <w:pPr>
              <w:pStyle w:val="24"/>
              <w:jc w:val="center"/>
              <w:rPr>
                <w:rFonts w:ascii="Times New Roman" w:hAnsi="Times New Roman" w:eastAsia="MingLiU_HKSCS"/>
                <w:color w:val="auto"/>
                <w:sz w:val="24"/>
                <w:szCs w:val="24"/>
              </w:rPr>
            </w:pPr>
            <w:r>
              <w:rPr>
                <w:rFonts w:hint="eastAsia" w:ascii="Times New Roman" w:hAnsi="Times New Roman"/>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400" w:type="dxa"/>
            <w:vAlign w:val="center"/>
          </w:tcPr>
          <w:p>
            <w:pPr>
              <w:pStyle w:val="24"/>
              <w:jc w:val="center"/>
              <w:rPr>
                <w:rFonts w:ascii="Times New Roman" w:hAnsi="Times New Roman"/>
                <w:color w:val="auto"/>
                <w:sz w:val="24"/>
                <w:szCs w:val="24"/>
              </w:rPr>
            </w:pPr>
          </w:p>
        </w:tc>
        <w:tc>
          <w:tcPr>
            <w:tcW w:w="1861" w:type="dxa"/>
            <w:vAlign w:val="center"/>
          </w:tcPr>
          <w:p>
            <w:pPr>
              <w:pStyle w:val="24"/>
              <w:jc w:val="center"/>
              <w:rPr>
                <w:rFonts w:ascii="Times New Roman" w:hAnsi="Times New Roman"/>
                <w:color w:val="auto"/>
                <w:sz w:val="24"/>
                <w:szCs w:val="24"/>
              </w:rPr>
            </w:pPr>
          </w:p>
        </w:tc>
        <w:tc>
          <w:tcPr>
            <w:tcW w:w="1861" w:type="dxa"/>
            <w:vAlign w:val="center"/>
          </w:tcPr>
          <w:p>
            <w:pPr>
              <w:pStyle w:val="24"/>
              <w:jc w:val="center"/>
              <w:rPr>
                <w:rFonts w:ascii="Times New Roman" w:hAnsi="Times New Roman"/>
                <w:color w:val="auto"/>
                <w:sz w:val="24"/>
                <w:szCs w:val="24"/>
              </w:rPr>
            </w:pPr>
          </w:p>
        </w:tc>
        <w:tc>
          <w:tcPr>
            <w:tcW w:w="1861" w:type="dxa"/>
            <w:vAlign w:val="center"/>
          </w:tcPr>
          <w:p>
            <w:pPr>
              <w:pStyle w:val="24"/>
              <w:jc w:val="center"/>
              <w:rPr>
                <w:rFonts w:ascii="Times New Roman" w:hAnsi="Times New Roman"/>
                <w:color w:val="auto"/>
                <w:sz w:val="24"/>
                <w:szCs w:val="24"/>
              </w:rPr>
            </w:pPr>
          </w:p>
        </w:tc>
        <w:tc>
          <w:tcPr>
            <w:tcW w:w="816" w:type="dxa"/>
            <w:vAlign w:val="center"/>
          </w:tcPr>
          <w:p>
            <w:pPr>
              <w:pStyle w:val="24"/>
              <w:jc w:val="center"/>
              <w:rPr>
                <w:rFonts w:ascii="Times New Roman" w:hAnsi="Times New Roman"/>
                <w:color w:val="auto"/>
                <w:sz w:val="24"/>
                <w:szCs w:val="24"/>
              </w:rPr>
            </w:pPr>
          </w:p>
        </w:tc>
        <w:tc>
          <w:tcPr>
            <w:tcW w:w="816" w:type="dxa"/>
            <w:vAlign w:val="center"/>
          </w:tcPr>
          <w:p>
            <w:pPr>
              <w:pStyle w:val="24"/>
              <w:jc w:val="center"/>
              <w:rPr>
                <w:rFonts w:ascii="Times New Roman" w:hAnsi="Times New Roman" w:eastAsia="MingLiU_HKS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400" w:type="dxa"/>
            <w:vAlign w:val="center"/>
          </w:tcPr>
          <w:p>
            <w:pPr>
              <w:pStyle w:val="24"/>
              <w:jc w:val="center"/>
              <w:rPr>
                <w:rFonts w:ascii="Times New Roman" w:hAnsi="Times New Roman"/>
                <w:color w:val="auto"/>
                <w:sz w:val="24"/>
                <w:szCs w:val="24"/>
              </w:rPr>
            </w:pPr>
          </w:p>
        </w:tc>
        <w:tc>
          <w:tcPr>
            <w:tcW w:w="1861" w:type="dxa"/>
            <w:vAlign w:val="center"/>
          </w:tcPr>
          <w:p>
            <w:pPr>
              <w:pStyle w:val="24"/>
              <w:jc w:val="center"/>
              <w:rPr>
                <w:rFonts w:ascii="Times New Roman" w:hAnsi="Times New Roman"/>
                <w:color w:val="auto"/>
                <w:sz w:val="24"/>
                <w:szCs w:val="24"/>
              </w:rPr>
            </w:pPr>
          </w:p>
        </w:tc>
        <w:tc>
          <w:tcPr>
            <w:tcW w:w="1861" w:type="dxa"/>
            <w:vAlign w:val="center"/>
          </w:tcPr>
          <w:p>
            <w:pPr>
              <w:pStyle w:val="24"/>
              <w:jc w:val="center"/>
              <w:rPr>
                <w:rFonts w:ascii="Times New Roman" w:hAnsi="Times New Roman"/>
                <w:color w:val="auto"/>
                <w:sz w:val="24"/>
                <w:szCs w:val="24"/>
              </w:rPr>
            </w:pPr>
          </w:p>
        </w:tc>
        <w:tc>
          <w:tcPr>
            <w:tcW w:w="1861" w:type="dxa"/>
            <w:vAlign w:val="center"/>
          </w:tcPr>
          <w:p>
            <w:pPr>
              <w:pStyle w:val="24"/>
              <w:jc w:val="center"/>
              <w:rPr>
                <w:rFonts w:ascii="Times New Roman" w:hAnsi="Times New Roman"/>
                <w:color w:val="auto"/>
                <w:sz w:val="24"/>
                <w:szCs w:val="24"/>
              </w:rPr>
            </w:pPr>
          </w:p>
        </w:tc>
        <w:tc>
          <w:tcPr>
            <w:tcW w:w="816" w:type="dxa"/>
            <w:vAlign w:val="center"/>
          </w:tcPr>
          <w:p>
            <w:pPr>
              <w:pStyle w:val="24"/>
              <w:jc w:val="center"/>
              <w:rPr>
                <w:rFonts w:ascii="Times New Roman" w:hAnsi="Times New Roman"/>
                <w:color w:val="auto"/>
                <w:sz w:val="24"/>
                <w:szCs w:val="24"/>
              </w:rPr>
            </w:pPr>
          </w:p>
        </w:tc>
        <w:tc>
          <w:tcPr>
            <w:tcW w:w="816" w:type="dxa"/>
            <w:vAlign w:val="center"/>
          </w:tcPr>
          <w:p>
            <w:pPr>
              <w:pStyle w:val="24"/>
              <w:jc w:val="center"/>
              <w:rPr>
                <w:rFonts w:ascii="Times New Roman" w:hAnsi="Times New Roman" w:eastAsia="MingLiU_HKS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400" w:type="dxa"/>
            <w:vAlign w:val="center"/>
          </w:tcPr>
          <w:p>
            <w:pPr>
              <w:pStyle w:val="24"/>
              <w:jc w:val="center"/>
              <w:rPr>
                <w:rFonts w:ascii="Times New Roman" w:hAnsi="Times New Roman"/>
                <w:color w:val="auto"/>
                <w:sz w:val="24"/>
                <w:szCs w:val="24"/>
              </w:rPr>
            </w:pPr>
          </w:p>
        </w:tc>
        <w:tc>
          <w:tcPr>
            <w:tcW w:w="1861" w:type="dxa"/>
            <w:vAlign w:val="center"/>
          </w:tcPr>
          <w:p>
            <w:pPr>
              <w:pStyle w:val="24"/>
              <w:jc w:val="center"/>
              <w:rPr>
                <w:rFonts w:ascii="Times New Roman" w:hAnsi="Times New Roman"/>
                <w:color w:val="auto"/>
                <w:sz w:val="24"/>
                <w:szCs w:val="24"/>
              </w:rPr>
            </w:pPr>
          </w:p>
        </w:tc>
        <w:tc>
          <w:tcPr>
            <w:tcW w:w="1861" w:type="dxa"/>
            <w:vAlign w:val="center"/>
          </w:tcPr>
          <w:p>
            <w:pPr>
              <w:pStyle w:val="24"/>
              <w:jc w:val="center"/>
              <w:rPr>
                <w:rFonts w:ascii="Times New Roman" w:hAnsi="Times New Roman"/>
                <w:color w:val="auto"/>
                <w:sz w:val="24"/>
                <w:szCs w:val="24"/>
              </w:rPr>
            </w:pPr>
          </w:p>
        </w:tc>
        <w:tc>
          <w:tcPr>
            <w:tcW w:w="1861" w:type="dxa"/>
            <w:vAlign w:val="center"/>
          </w:tcPr>
          <w:p>
            <w:pPr>
              <w:pStyle w:val="24"/>
              <w:jc w:val="center"/>
              <w:rPr>
                <w:rFonts w:ascii="Times New Roman" w:hAnsi="Times New Roman"/>
                <w:color w:val="auto"/>
                <w:sz w:val="24"/>
                <w:szCs w:val="24"/>
              </w:rPr>
            </w:pPr>
          </w:p>
        </w:tc>
        <w:tc>
          <w:tcPr>
            <w:tcW w:w="816" w:type="dxa"/>
            <w:vAlign w:val="center"/>
          </w:tcPr>
          <w:p>
            <w:pPr>
              <w:pStyle w:val="24"/>
              <w:jc w:val="center"/>
              <w:rPr>
                <w:rFonts w:ascii="Times New Roman" w:hAnsi="Times New Roman"/>
                <w:color w:val="auto"/>
                <w:sz w:val="24"/>
                <w:szCs w:val="24"/>
              </w:rPr>
            </w:pPr>
          </w:p>
        </w:tc>
        <w:tc>
          <w:tcPr>
            <w:tcW w:w="816" w:type="dxa"/>
            <w:vAlign w:val="center"/>
          </w:tcPr>
          <w:p>
            <w:pPr>
              <w:pStyle w:val="24"/>
              <w:jc w:val="center"/>
              <w:rPr>
                <w:rFonts w:ascii="Times New Roman" w:hAnsi="Times New Roman" w:eastAsia="MingLiU_HKS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400" w:type="dxa"/>
            <w:vAlign w:val="center"/>
          </w:tcPr>
          <w:p>
            <w:pPr>
              <w:pStyle w:val="24"/>
              <w:jc w:val="center"/>
              <w:rPr>
                <w:rFonts w:ascii="Times New Roman" w:hAnsi="Times New Roman"/>
                <w:color w:val="auto"/>
                <w:sz w:val="24"/>
                <w:szCs w:val="24"/>
              </w:rPr>
            </w:pPr>
          </w:p>
        </w:tc>
        <w:tc>
          <w:tcPr>
            <w:tcW w:w="1861" w:type="dxa"/>
            <w:vAlign w:val="center"/>
          </w:tcPr>
          <w:p>
            <w:pPr>
              <w:pStyle w:val="24"/>
              <w:jc w:val="center"/>
              <w:rPr>
                <w:rFonts w:ascii="Times New Roman" w:hAnsi="Times New Roman"/>
                <w:color w:val="auto"/>
                <w:sz w:val="24"/>
                <w:szCs w:val="24"/>
              </w:rPr>
            </w:pPr>
          </w:p>
        </w:tc>
        <w:tc>
          <w:tcPr>
            <w:tcW w:w="1861" w:type="dxa"/>
            <w:vAlign w:val="center"/>
          </w:tcPr>
          <w:p>
            <w:pPr>
              <w:pStyle w:val="24"/>
              <w:jc w:val="center"/>
              <w:rPr>
                <w:rFonts w:ascii="Times New Roman" w:hAnsi="Times New Roman"/>
                <w:color w:val="auto"/>
                <w:sz w:val="24"/>
                <w:szCs w:val="24"/>
              </w:rPr>
            </w:pPr>
          </w:p>
        </w:tc>
        <w:tc>
          <w:tcPr>
            <w:tcW w:w="1861" w:type="dxa"/>
            <w:vAlign w:val="center"/>
          </w:tcPr>
          <w:p>
            <w:pPr>
              <w:pStyle w:val="24"/>
              <w:jc w:val="center"/>
              <w:rPr>
                <w:rFonts w:ascii="Times New Roman" w:hAnsi="Times New Roman"/>
                <w:color w:val="auto"/>
                <w:sz w:val="24"/>
                <w:szCs w:val="24"/>
              </w:rPr>
            </w:pPr>
          </w:p>
        </w:tc>
        <w:tc>
          <w:tcPr>
            <w:tcW w:w="816" w:type="dxa"/>
            <w:vAlign w:val="center"/>
          </w:tcPr>
          <w:p>
            <w:pPr>
              <w:pStyle w:val="24"/>
              <w:jc w:val="center"/>
              <w:rPr>
                <w:rFonts w:ascii="Times New Roman" w:hAnsi="Times New Roman"/>
                <w:color w:val="auto"/>
                <w:sz w:val="24"/>
                <w:szCs w:val="24"/>
              </w:rPr>
            </w:pPr>
          </w:p>
        </w:tc>
        <w:tc>
          <w:tcPr>
            <w:tcW w:w="816" w:type="dxa"/>
            <w:vAlign w:val="center"/>
          </w:tcPr>
          <w:p>
            <w:pPr>
              <w:pStyle w:val="24"/>
              <w:jc w:val="center"/>
              <w:rPr>
                <w:rFonts w:ascii="Times New Roman" w:hAnsi="Times New Roman" w:eastAsia="MingLiU_HKS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400" w:type="dxa"/>
            <w:vAlign w:val="center"/>
          </w:tcPr>
          <w:p>
            <w:pPr>
              <w:pStyle w:val="24"/>
              <w:jc w:val="center"/>
              <w:rPr>
                <w:rFonts w:ascii="Times New Roman" w:hAnsi="Times New Roman"/>
                <w:color w:val="auto"/>
                <w:sz w:val="24"/>
                <w:szCs w:val="24"/>
              </w:rPr>
            </w:pPr>
          </w:p>
        </w:tc>
        <w:tc>
          <w:tcPr>
            <w:tcW w:w="1861" w:type="dxa"/>
            <w:vAlign w:val="center"/>
          </w:tcPr>
          <w:p>
            <w:pPr>
              <w:pStyle w:val="24"/>
              <w:jc w:val="center"/>
              <w:rPr>
                <w:rFonts w:ascii="Times New Roman" w:hAnsi="Times New Roman"/>
                <w:color w:val="auto"/>
                <w:sz w:val="24"/>
                <w:szCs w:val="24"/>
              </w:rPr>
            </w:pPr>
          </w:p>
        </w:tc>
        <w:tc>
          <w:tcPr>
            <w:tcW w:w="1861" w:type="dxa"/>
            <w:vAlign w:val="center"/>
          </w:tcPr>
          <w:p>
            <w:pPr>
              <w:pStyle w:val="24"/>
              <w:jc w:val="center"/>
              <w:rPr>
                <w:rFonts w:ascii="Times New Roman" w:hAnsi="Times New Roman"/>
                <w:color w:val="auto"/>
                <w:sz w:val="24"/>
                <w:szCs w:val="24"/>
              </w:rPr>
            </w:pPr>
          </w:p>
        </w:tc>
        <w:tc>
          <w:tcPr>
            <w:tcW w:w="1861" w:type="dxa"/>
            <w:vAlign w:val="center"/>
          </w:tcPr>
          <w:p>
            <w:pPr>
              <w:pStyle w:val="24"/>
              <w:jc w:val="center"/>
              <w:rPr>
                <w:rFonts w:ascii="Times New Roman" w:hAnsi="Times New Roman"/>
                <w:color w:val="auto"/>
                <w:sz w:val="24"/>
                <w:szCs w:val="24"/>
              </w:rPr>
            </w:pPr>
          </w:p>
        </w:tc>
        <w:tc>
          <w:tcPr>
            <w:tcW w:w="816" w:type="dxa"/>
            <w:vAlign w:val="center"/>
          </w:tcPr>
          <w:p>
            <w:pPr>
              <w:pStyle w:val="24"/>
              <w:jc w:val="center"/>
              <w:rPr>
                <w:rFonts w:ascii="Times New Roman" w:hAnsi="Times New Roman"/>
                <w:color w:val="auto"/>
                <w:sz w:val="24"/>
                <w:szCs w:val="24"/>
              </w:rPr>
            </w:pPr>
          </w:p>
        </w:tc>
        <w:tc>
          <w:tcPr>
            <w:tcW w:w="816" w:type="dxa"/>
            <w:vAlign w:val="center"/>
          </w:tcPr>
          <w:p>
            <w:pPr>
              <w:pStyle w:val="24"/>
              <w:jc w:val="center"/>
              <w:rPr>
                <w:rFonts w:ascii="Times New Roman" w:hAnsi="Times New Roman" w:eastAsia="MingLiU_HKSCS"/>
                <w:color w:val="auto"/>
                <w:sz w:val="24"/>
                <w:szCs w:val="24"/>
              </w:rPr>
            </w:pPr>
          </w:p>
        </w:tc>
      </w:tr>
    </w:tbl>
    <w:p>
      <w:pPr>
        <w:pStyle w:val="83"/>
        <w:spacing w:line="500" w:lineRule="exact"/>
        <w:jc w:val="center"/>
        <w:rPr>
          <w:rFonts w:ascii="宋体" w:hAnsi="宋体"/>
          <w:color w:val="auto"/>
        </w:rPr>
      </w:pPr>
      <w:r>
        <w:rPr>
          <w:rFonts w:hint="eastAsia" w:ascii="宋体" w:hAnsi="宋体"/>
          <w:color w:val="auto"/>
        </w:rPr>
        <w:t xml:space="preserve">说明：如有偏离，则必须注明“偏离”；未注明偏离的，视为完全响应。                                               </w:t>
      </w:r>
    </w:p>
    <w:p>
      <w:pPr>
        <w:pStyle w:val="83"/>
        <w:spacing w:line="500" w:lineRule="exact"/>
        <w:jc w:val="center"/>
        <w:rPr>
          <w:rFonts w:ascii="宋体" w:hAnsi="宋体"/>
          <w:color w:val="auto"/>
        </w:rPr>
      </w:pPr>
    </w:p>
    <w:p>
      <w:pPr>
        <w:pStyle w:val="83"/>
        <w:spacing w:line="500" w:lineRule="exact"/>
        <w:jc w:val="center"/>
        <w:rPr>
          <w:rFonts w:ascii="宋体" w:hAnsi="宋体"/>
          <w:color w:val="auto"/>
        </w:rPr>
      </w:pPr>
    </w:p>
    <w:p>
      <w:pPr>
        <w:pStyle w:val="83"/>
        <w:spacing w:line="500" w:lineRule="exact"/>
        <w:jc w:val="center"/>
        <w:rPr>
          <w:rFonts w:ascii="宋体" w:hAnsi="宋体"/>
          <w:color w:val="auto"/>
        </w:rPr>
      </w:pPr>
    </w:p>
    <w:p>
      <w:pPr>
        <w:pStyle w:val="83"/>
        <w:spacing w:line="500" w:lineRule="exact"/>
        <w:jc w:val="center"/>
        <w:rPr>
          <w:rFonts w:ascii="宋体" w:hAnsi="宋体"/>
          <w:color w:val="auto"/>
        </w:rPr>
      </w:pPr>
    </w:p>
    <w:p>
      <w:pPr>
        <w:adjustRightInd w:val="0"/>
        <w:snapToGrid w:val="0"/>
        <w:spacing w:line="360" w:lineRule="auto"/>
        <w:ind w:firstLine="484" w:firstLineChars="200"/>
        <w:rPr>
          <w:rFonts w:ascii="宋体" w:hAnsi="宋体"/>
          <w:color w:val="auto"/>
          <w:sz w:val="24"/>
          <w:szCs w:val="21"/>
        </w:rPr>
      </w:pPr>
      <w:r>
        <w:rPr>
          <w:rFonts w:hint="eastAsia" w:ascii="宋体" w:hAnsi="宋体"/>
          <w:color w:val="auto"/>
          <w:sz w:val="24"/>
          <w:szCs w:val="21"/>
        </w:rPr>
        <w:t>投标人（盖单位章）：</w:t>
      </w:r>
    </w:p>
    <w:p>
      <w:pPr>
        <w:adjustRightInd w:val="0"/>
        <w:snapToGrid w:val="0"/>
        <w:spacing w:line="360" w:lineRule="auto"/>
        <w:ind w:left="483" w:leftChars="228" w:firstLine="9438" w:firstLineChars="3900"/>
        <w:rPr>
          <w:rFonts w:ascii="宋体" w:hAnsi="宋体"/>
          <w:color w:val="auto"/>
          <w:sz w:val="24"/>
          <w:szCs w:val="21"/>
        </w:rPr>
      </w:pPr>
      <w:r>
        <w:rPr>
          <w:rFonts w:hint="eastAsia" w:ascii="宋体" w:hAnsi="宋体"/>
          <w:color w:val="auto"/>
          <w:sz w:val="24"/>
          <w:szCs w:val="21"/>
        </w:rPr>
        <w:t xml:space="preserve"> 法定代表人或其委托代理人签字：</w:t>
      </w:r>
      <w:r>
        <w:rPr>
          <w:rFonts w:hint="eastAsia" w:ascii="宋体" w:hAnsi="宋体"/>
          <w:color w:val="auto"/>
          <w:sz w:val="24"/>
          <w:szCs w:val="21"/>
          <w:u w:val="single"/>
        </w:rPr>
        <w:t xml:space="preserve">       </w:t>
      </w:r>
    </w:p>
    <w:p>
      <w:pPr>
        <w:adjustRightInd w:val="0"/>
        <w:snapToGrid w:val="0"/>
        <w:spacing w:line="360" w:lineRule="auto"/>
        <w:ind w:left="483" w:leftChars="228" w:right="24" w:firstLine="9438" w:firstLineChars="3900"/>
        <w:rPr>
          <w:rFonts w:ascii="宋体" w:hAnsi="宋体"/>
          <w:color w:val="auto"/>
          <w:sz w:val="24"/>
          <w:szCs w:val="21"/>
        </w:rPr>
      </w:pPr>
      <w:r>
        <w:rPr>
          <w:rFonts w:hint="eastAsia" w:ascii="宋体" w:hAnsi="宋体"/>
          <w:color w:val="auto"/>
          <w:sz w:val="24"/>
          <w:szCs w:val="21"/>
        </w:rPr>
        <w:t xml:space="preserve">  日期：</w:t>
      </w:r>
      <w:r>
        <w:rPr>
          <w:rFonts w:hint="eastAsia" w:ascii="宋体" w:hAnsi="宋体"/>
          <w:color w:val="auto"/>
          <w:sz w:val="24"/>
          <w:szCs w:val="21"/>
          <w:u w:val="single"/>
        </w:rPr>
        <w:t xml:space="preserve">         </w:t>
      </w:r>
      <w:r>
        <w:rPr>
          <w:rFonts w:hint="eastAsia" w:ascii="宋体" w:hAnsi="宋体"/>
          <w:color w:val="auto"/>
          <w:sz w:val="24"/>
          <w:szCs w:val="21"/>
        </w:rPr>
        <w:t>年</w:t>
      </w:r>
      <w:r>
        <w:rPr>
          <w:rFonts w:hint="eastAsia" w:ascii="宋体" w:hAnsi="宋体"/>
          <w:color w:val="auto"/>
          <w:sz w:val="24"/>
          <w:szCs w:val="21"/>
          <w:u w:val="single"/>
        </w:rPr>
        <w:t xml:space="preserve">    </w:t>
      </w:r>
      <w:r>
        <w:rPr>
          <w:rFonts w:hint="eastAsia" w:ascii="宋体" w:hAnsi="宋体"/>
          <w:color w:val="auto"/>
          <w:sz w:val="24"/>
          <w:szCs w:val="21"/>
        </w:rPr>
        <w:t>月</w:t>
      </w:r>
      <w:r>
        <w:rPr>
          <w:rFonts w:hint="eastAsia" w:ascii="宋体" w:hAnsi="宋体"/>
          <w:color w:val="auto"/>
          <w:sz w:val="24"/>
          <w:szCs w:val="21"/>
          <w:u w:val="single"/>
        </w:rPr>
        <w:t xml:space="preserve">   </w:t>
      </w:r>
      <w:r>
        <w:rPr>
          <w:rFonts w:hint="eastAsia" w:ascii="宋体" w:hAnsi="宋体"/>
          <w:color w:val="auto"/>
          <w:sz w:val="24"/>
          <w:szCs w:val="21"/>
        </w:rPr>
        <w:t>日</w:t>
      </w:r>
    </w:p>
    <w:p>
      <w:pPr>
        <w:adjustRightInd w:val="0"/>
        <w:snapToGrid w:val="0"/>
        <w:spacing w:line="360" w:lineRule="auto"/>
        <w:ind w:left="483" w:leftChars="228" w:right="24" w:firstLine="9438" w:firstLineChars="3900"/>
        <w:rPr>
          <w:rFonts w:ascii="宋体" w:hAnsi="宋体"/>
          <w:color w:val="auto"/>
          <w:sz w:val="24"/>
          <w:szCs w:val="21"/>
        </w:rPr>
      </w:pPr>
    </w:p>
    <w:p>
      <w:pPr>
        <w:adjustRightInd w:val="0"/>
        <w:snapToGrid w:val="0"/>
        <w:spacing w:line="360" w:lineRule="auto"/>
        <w:ind w:left="483" w:leftChars="228" w:right="24" w:firstLine="9438" w:firstLineChars="3900"/>
        <w:rPr>
          <w:rFonts w:ascii="宋体" w:hAnsi="宋体"/>
          <w:color w:val="auto"/>
          <w:sz w:val="24"/>
          <w:szCs w:val="21"/>
        </w:rPr>
      </w:pPr>
    </w:p>
    <w:p>
      <w:pPr>
        <w:adjustRightInd w:val="0"/>
        <w:snapToGrid w:val="0"/>
        <w:spacing w:line="360" w:lineRule="auto"/>
        <w:ind w:left="483" w:leftChars="228" w:right="24" w:firstLine="9438" w:firstLineChars="3900"/>
        <w:rPr>
          <w:rFonts w:ascii="宋体" w:hAnsi="宋体"/>
          <w:color w:val="auto"/>
          <w:sz w:val="24"/>
          <w:szCs w:val="21"/>
        </w:rPr>
      </w:pPr>
    </w:p>
    <w:p>
      <w:pPr>
        <w:adjustRightInd w:val="0"/>
        <w:snapToGrid w:val="0"/>
        <w:spacing w:line="360" w:lineRule="auto"/>
        <w:ind w:left="483" w:leftChars="228" w:right="24" w:firstLine="9438" w:firstLineChars="3900"/>
        <w:rPr>
          <w:rFonts w:ascii="宋体" w:hAnsi="宋体"/>
          <w:color w:val="auto"/>
          <w:sz w:val="24"/>
          <w:szCs w:val="21"/>
        </w:rPr>
      </w:pPr>
    </w:p>
    <w:p>
      <w:pPr>
        <w:adjustRightInd w:val="0"/>
        <w:snapToGrid w:val="0"/>
        <w:spacing w:line="360" w:lineRule="auto"/>
        <w:ind w:left="483" w:leftChars="228" w:right="24" w:firstLine="9438" w:firstLineChars="3900"/>
        <w:rPr>
          <w:rFonts w:ascii="宋体" w:hAnsi="宋体"/>
          <w:color w:val="auto"/>
          <w:sz w:val="24"/>
          <w:szCs w:val="21"/>
        </w:rPr>
      </w:pPr>
    </w:p>
    <w:p>
      <w:pPr>
        <w:pStyle w:val="24"/>
        <w:jc w:val="center"/>
        <w:rPr>
          <w:rFonts w:ascii="Times New Roman" w:hAnsi="Times New Roman"/>
          <w:b/>
          <w:bCs/>
          <w:color w:val="auto"/>
          <w:sz w:val="24"/>
          <w:szCs w:val="24"/>
        </w:rPr>
      </w:pPr>
      <w:r>
        <w:rPr>
          <w:rFonts w:hint="eastAsia" w:ascii="Times New Roman" w:hAnsi="Times New Roman"/>
          <w:b/>
          <w:bCs/>
          <w:color w:val="auto"/>
          <w:sz w:val="24"/>
          <w:szCs w:val="24"/>
        </w:rPr>
        <w:t>五、投标保证金</w:t>
      </w:r>
    </w:p>
    <w:p>
      <w:pPr>
        <w:pStyle w:val="24"/>
        <w:rPr>
          <w:rFonts w:ascii="Times New Roman" w:hAnsi="Times New Roman"/>
          <w:b/>
          <w:bCs/>
          <w:color w:val="auto"/>
          <w:sz w:val="24"/>
          <w:szCs w:val="24"/>
        </w:rPr>
      </w:pPr>
    </w:p>
    <w:p>
      <w:pPr>
        <w:tabs>
          <w:tab w:val="left" w:pos="814"/>
        </w:tabs>
        <w:jc w:val="center"/>
        <w:rPr>
          <w:b/>
          <w:color w:val="auto"/>
          <w:sz w:val="24"/>
          <w:szCs w:val="24"/>
        </w:rPr>
      </w:pPr>
      <w:r>
        <w:rPr>
          <w:rFonts w:hint="eastAsia"/>
          <w:b/>
          <w:color w:val="auto"/>
          <w:sz w:val="24"/>
          <w:szCs w:val="24"/>
        </w:rPr>
        <w:t>保证金汇款声明函</w:t>
      </w:r>
      <w:r>
        <w:rPr>
          <w:b/>
          <w:color w:val="auto"/>
          <w:sz w:val="24"/>
          <w:szCs w:val="24"/>
        </w:rPr>
        <w:t>(</w:t>
      </w:r>
      <w:r>
        <w:rPr>
          <w:rFonts w:hint="eastAsia"/>
          <w:b/>
          <w:color w:val="auto"/>
          <w:sz w:val="24"/>
          <w:szCs w:val="24"/>
        </w:rPr>
        <w:t>适用银行转账</w:t>
      </w:r>
      <w:r>
        <w:rPr>
          <w:b/>
          <w:color w:val="auto"/>
          <w:sz w:val="24"/>
          <w:szCs w:val="24"/>
        </w:rPr>
        <w:t>)</w:t>
      </w:r>
    </w:p>
    <w:p>
      <w:pPr>
        <w:pStyle w:val="24"/>
        <w:spacing w:line="500" w:lineRule="exact"/>
        <w:rPr>
          <w:rFonts w:ascii="Times New Roman" w:hAnsi="Times New Roman" w:eastAsia="MingLiU_HKSCS"/>
          <w:color w:val="auto"/>
          <w:sz w:val="24"/>
          <w:szCs w:val="24"/>
        </w:rPr>
      </w:pPr>
      <w:r>
        <w:rPr>
          <w:rFonts w:hint="eastAsia" w:ascii="Times New Roman" w:hAnsi="Times New Roman"/>
          <w:color w:val="auto"/>
          <w:sz w:val="24"/>
          <w:szCs w:val="24"/>
        </w:rPr>
        <w:t>致：</w:t>
      </w:r>
      <w:r>
        <w:rPr>
          <w:rFonts w:ascii="Times New Roman" w:hAnsi="Times New Roman"/>
          <w:color w:val="auto"/>
          <w:sz w:val="24"/>
          <w:szCs w:val="24"/>
        </w:rPr>
        <w:t>____________(</w:t>
      </w:r>
      <w:r>
        <w:rPr>
          <w:rFonts w:hint="eastAsia" w:ascii="Times New Roman" w:hAnsi="Times New Roman"/>
          <w:color w:val="auto"/>
          <w:sz w:val="24"/>
          <w:szCs w:val="24"/>
        </w:rPr>
        <w:t>采购人或采购代理机构</w:t>
      </w:r>
      <w:r>
        <w:rPr>
          <w:rFonts w:ascii="Times New Roman" w:hAnsi="Times New Roman"/>
          <w:color w:val="auto"/>
          <w:sz w:val="24"/>
          <w:szCs w:val="24"/>
        </w:rPr>
        <w:t>)</w:t>
      </w:r>
    </w:p>
    <w:p>
      <w:pPr>
        <w:pStyle w:val="24"/>
        <w:spacing w:line="500" w:lineRule="exact"/>
        <w:ind w:firstLine="484" w:firstLineChars="200"/>
        <w:rPr>
          <w:rFonts w:ascii="Times New Roman" w:hAnsi="Times New Roman" w:eastAsia="MingLiU_HKSCS"/>
          <w:color w:val="auto"/>
          <w:sz w:val="24"/>
          <w:szCs w:val="24"/>
        </w:rPr>
      </w:pPr>
      <w:r>
        <w:rPr>
          <w:rFonts w:hint="eastAsia" w:ascii="Times New Roman" w:hAnsi="Times New Roman"/>
          <w:color w:val="auto"/>
          <w:sz w:val="24"/>
          <w:szCs w:val="24"/>
        </w:rPr>
        <w:t>我方为</w:t>
      </w:r>
      <w:r>
        <w:rPr>
          <w:rFonts w:ascii="Times New Roman" w:hAnsi="Times New Roman"/>
          <w:color w:val="auto"/>
          <w:sz w:val="24"/>
          <w:szCs w:val="24"/>
        </w:rPr>
        <w:t>____________(</w:t>
      </w:r>
      <w:r>
        <w:rPr>
          <w:rFonts w:hint="eastAsia" w:ascii="Times New Roman" w:hAnsi="Times New Roman"/>
          <w:color w:val="auto"/>
          <w:sz w:val="24"/>
          <w:szCs w:val="24"/>
        </w:rPr>
        <w:t>项目名称</w:t>
      </w:r>
      <w:r>
        <w:rPr>
          <w:rFonts w:ascii="Times New Roman" w:hAnsi="Times New Roman"/>
          <w:color w:val="auto"/>
          <w:sz w:val="24"/>
          <w:szCs w:val="24"/>
        </w:rPr>
        <w:t>)(</w:t>
      </w:r>
      <w:r>
        <w:rPr>
          <w:rFonts w:hint="eastAsia" w:ascii="Times New Roman" w:hAnsi="Times New Roman"/>
          <w:color w:val="auto"/>
          <w:sz w:val="24"/>
          <w:szCs w:val="24"/>
        </w:rPr>
        <w:t>项目编号：</w:t>
      </w:r>
      <w:r>
        <w:rPr>
          <w:rFonts w:ascii="Times New Roman" w:hAnsi="Times New Roman"/>
          <w:color w:val="auto"/>
          <w:sz w:val="24"/>
          <w:szCs w:val="24"/>
        </w:rPr>
        <w:t>________)</w:t>
      </w:r>
      <w:r>
        <w:rPr>
          <w:rFonts w:hint="eastAsia" w:ascii="Times New Roman" w:hAnsi="Times New Roman"/>
          <w:color w:val="auto"/>
          <w:sz w:val="24"/>
          <w:szCs w:val="24"/>
        </w:rPr>
        <w:t>递交保证金人民币</w:t>
      </w:r>
      <w:r>
        <w:rPr>
          <w:rFonts w:ascii="Times New Roman" w:hAnsi="Times New Roman"/>
          <w:color w:val="auto"/>
          <w:sz w:val="24"/>
          <w:szCs w:val="24"/>
        </w:rPr>
        <w:t>________</w:t>
      </w:r>
      <w:r>
        <w:rPr>
          <w:rFonts w:hint="eastAsia" w:ascii="Times New Roman" w:hAnsi="Times New Roman"/>
          <w:color w:val="auto"/>
          <w:sz w:val="24"/>
          <w:szCs w:val="24"/>
        </w:rPr>
        <w:t>元</w:t>
      </w:r>
      <w:r>
        <w:rPr>
          <w:rFonts w:ascii="Times New Roman" w:hAnsi="Times New Roman"/>
          <w:color w:val="auto"/>
          <w:sz w:val="24"/>
          <w:szCs w:val="24"/>
        </w:rPr>
        <w:t>(</w:t>
      </w:r>
      <w:r>
        <w:rPr>
          <w:rFonts w:hint="eastAsia" w:ascii="Times New Roman" w:hAnsi="Times New Roman"/>
          <w:color w:val="auto"/>
          <w:sz w:val="24"/>
          <w:szCs w:val="24"/>
        </w:rPr>
        <w:t>大写</w:t>
      </w:r>
      <w:r>
        <w:rPr>
          <w:rFonts w:ascii="Times New Roman" w:hAnsi="Times New Roman"/>
          <w:color w:val="auto"/>
          <w:sz w:val="24"/>
          <w:szCs w:val="24"/>
        </w:rPr>
        <w:t>(</w:t>
      </w:r>
      <w:r>
        <w:rPr>
          <w:rFonts w:hint="eastAsia" w:ascii="Times New Roman" w:hAnsi="Times New Roman"/>
          <w:color w:val="auto"/>
          <w:sz w:val="24"/>
          <w:szCs w:val="24"/>
        </w:rPr>
        <w:t>人民币　　元</w:t>
      </w:r>
      <w:r>
        <w:rPr>
          <w:rFonts w:ascii="Times New Roman" w:hAnsi="Times New Roman"/>
          <w:color w:val="auto"/>
          <w:sz w:val="24"/>
          <w:szCs w:val="24"/>
        </w:rPr>
        <w:t>)</w:t>
      </w:r>
      <w:r>
        <w:rPr>
          <w:rFonts w:hint="eastAsia" w:ascii="Times New Roman" w:hAnsi="Times New Roman"/>
          <w:color w:val="auto"/>
          <w:sz w:val="24"/>
          <w:szCs w:val="24"/>
        </w:rPr>
        <w:t>已于</w:t>
      </w:r>
      <w:r>
        <w:rPr>
          <w:rFonts w:ascii="Times New Roman" w:hAnsi="Times New Roman"/>
          <w:color w:val="auto"/>
          <w:sz w:val="24"/>
          <w:szCs w:val="24"/>
        </w:rPr>
        <w:t>______</w:t>
      </w:r>
      <w:r>
        <w:rPr>
          <w:rFonts w:hint="eastAsia" w:ascii="Times New Roman" w:hAnsi="Times New Roman"/>
          <w:color w:val="auto"/>
          <w:sz w:val="24"/>
          <w:szCs w:val="24"/>
        </w:rPr>
        <w:t>年</w:t>
      </w:r>
      <w:r>
        <w:rPr>
          <w:rFonts w:ascii="Times New Roman" w:hAnsi="Times New Roman"/>
          <w:color w:val="auto"/>
          <w:sz w:val="24"/>
          <w:szCs w:val="24"/>
        </w:rPr>
        <w:t>____</w:t>
      </w:r>
      <w:r>
        <w:rPr>
          <w:rFonts w:hint="eastAsia" w:ascii="Times New Roman" w:hAnsi="Times New Roman"/>
          <w:color w:val="auto"/>
          <w:sz w:val="24"/>
          <w:szCs w:val="24"/>
        </w:rPr>
        <w:t>月</w:t>
      </w:r>
      <w:r>
        <w:rPr>
          <w:rFonts w:ascii="Times New Roman" w:hAnsi="Times New Roman"/>
          <w:color w:val="auto"/>
          <w:sz w:val="24"/>
          <w:szCs w:val="24"/>
        </w:rPr>
        <w:t>____</w:t>
      </w:r>
      <w:r>
        <w:rPr>
          <w:rFonts w:hint="eastAsia" w:ascii="Times New Roman" w:hAnsi="Times New Roman"/>
          <w:color w:val="auto"/>
          <w:sz w:val="24"/>
          <w:szCs w:val="24"/>
        </w:rPr>
        <w:t>日以银行主动划账方式划入你方账户。</w:t>
      </w:r>
    </w:p>
    <w:p>
      <w:pPr>
        <w:pStyle w:val="24"/>
        <w:spacing w:line="500" w:lineRule="exact"/>
        <w:ind w:firstLine="484" w:firstLineChars="200"/>
        <w:rPr>
          <w:rFonts w:ascii="Times New Roman" w:hAnsi="Times New Roman" w:eastAsia="MingLiU_HKSCS"/>
          <w:color w:val="auto"/>
          <w:sz w:val="24"/>
          <w:szCs w:val="24"/>
        </w:rPr>
      </w:pPr>
      <w:r>
        <w:rPr>
          <w:rFonts w:hint="eastAsia" w:ascii="Times New Roman" w:hAnsi="Times New Roman"/>
          <w:color w:val="auto"/>
          <w:sz w:val="24"/>
          <w:szCs w:val="24"/>
        </w:rPr>
        <w:t>详见附件：投标保证金收据复印件（代理公司开具）。</w:t>
      </w:r>
    </w:p>
    <w:p>
      <w:pPr>
        <w:pStyle w:val="24"/>
        <w:spacing w:line="500" w:lineRule="exact"/>
        <w:ind w:firstLine="484" w:firstLineChars="200"/>
        <w:rPr>
          <w:rFonts w:ascii="Times New Roman" w:hAnsi="Times New Roman" w:eastAsia="MingLiU_HKSCS"/>
          <w:color w:val="auto"/>
          <w:sz w:val="24"/>
          <w:szCs w:val="24"/>
        </w:rPr>
      </w:pPr>
      <w:r>
        <w:rPr>
          <w:rFonts w:hint="eastAsia" w:ascii="Times New Roman" w:hAnsi="Times New Roman"/>
          <w:color w:val="auto"/>
          <w:sz w:val="24"/>
          <w:szCs w:val="24"/>
        </w:rPr>
        <w:t>退还保证金时请按以下内容划入我方账户。若因内容不全、错误、字迹潦草模糊导致该项目保证金未能及时退还或退还过程中发生错误</w:t>
      </w:r>
      <w:r>
        <w:rPr>
          <w:rFonts w:hint="eastAsia" w:ascii="Times New Roman" w:hAnsi="Times New Roman" w:eastAsia="MingLiU_HKSCS"/>
          <w:color w:val="auto"/>
          <w:sz w:val="24"/>
          <w:szCs w:val="24"/>
        </w:rPr>
        <w:t>，</w:t>
      </w:r>
      <w:r>
        <w:rPr>
          <w:rFonts w:hint="eastAsia" w:ascii="Times New Roman" w:hAnsi="Times New Roman"/>
          <w:color w:val="auto"/>
          <w:sz w:val="24"/>
          <w:szCs w:val="24"/>
        </w:rPr>
        <w:t>我方将承担全部责任和损失。</w:t>
      </w:r>
    </w:p>
    <w:p>
      <w:pPr>
        <w:pStyle w:val="24"/>
        <w:spacing w:line="500" w:lineRule="exact"/>
        <w:ind w:firstLine="484" w:firstLineChars="200"/>
        <w:rPr>
          <w:rFonts w:ascii="Times New Roman" w:hAnsi="Times New Roman" w:eastAsia="MingLiU_HKSCS"/>
          <w:color w:val="auto"/>
          <w:sz w:val="24"/>
          <w:szCs w:val="24"/>
        </w:rPr>
      </w:pPr>
      <w:r>
        <w:rPr>
          <w:rFonts w:hint="eastAsia" w:ascii="Times New Roman" w:hAnsi="Times New Roman"/>
          <w:color w:val="auto"/>
          <w:sz w:val="24"/>
          <w:szCs w:val="24"/>
        </w:rPr>
        <w:t>单位全称：</w:t>
      </w:r>
    </w:p>
    <w:p>
      <w:pPr>
        <w:pStyle w:val="24"/>
        <w:spacing w:line="500" w:lineRule="exact"/>
        <w:ind w:firstLine="484" w:firstLineChars="200"/>
        <w:rPr>
          <w:rFonts w:ascii="Times New Roman" w:hAnsi="Times New Roman" w:eastAsia="MingLiU_HKSCS"/>
          <w:color w:val="auto"/>
          <w:sz w:val="24"/>
          <w:szCs w:val="24"/>
        </w:rPr>
      </w:pPr>
      <w:r>
        <w:rPr>
          <w:rFonts w:hint="eastAsia" w:ascii="Times New Roman" w:hAnsi="Times New Roman"/>
          <w:color w:val="auto"/>
          <w:sz w:val="24"/>
          <w:szCs w:val="24"/>
        </w:rPr>
        <w:t>开户银行：</w:t>
      </w:r>
    </w:p>
    <w:p>
      <w:pPr>
        <w:pStyle w:val="24"/>
        <w:spacing w:line="500" w:lineRule="exact"/>
        <w:ind w:firstLine="484" w:firstLineChars="200"/>
        <w:rPr>
          <w:rFonts w:ascii="Times New Roman" w:hAnsi="Times New Roman"/>
          <w:color w:val="auto"/>
          <w:sz w:val="24"/>
          <w:szCs w:val="24"/>
        </w:rPr>
      </w:pPr>
      <w:r>
        <w:rPr>
          <w:rFonts w:hint="eastAsia" w:ascii="Times New Roman" w:hAnsi="Times New Roman"/>
          <w:color w:val="auto"/>
          <w:sz w:val="24"/>
          <w:szCs w:val="24"/>
        </w:rPr>
        <w:t>开户账号：</w:t>
      </w:r>
    </w:p>
    <w:p>
      <w:pPr>
        <w:pStyle w:val="24"/>
        <w:spacing w:line="500" w:lineRule="exact"/>
        <w:ind w:firstLine="484" w:firstLineChars="200"/>
        <w:rPr>
          <w:rFonts w:ascii="Times New Roman" w:hAnsi="Times New Roman"/>
          <w:color w:val="auto"/>
          <w:sz w:val="24"/>
          <w:szCs w:val="24"/>
        </w:rPr>
      </w:pPr>
    </w:p>
    <w:p>
      <w:pPr>
        <w:pStyle w:val="24"/>
        <w:spacing w:line="500" w:lineRule="exact"/>
        <w:ind w:firstLine="484" w:firstLineChars="200"/>
        <w:rPr>
          <w:rFonts w:ascii="Times New Roman" w:hAnsi="Times New Roman"/>
          <w:color w:val="auto"/>
          <w:sz w:val="24"/>
          <w:szCs w:val="24"/>
        </w:rPr>
      </w:pPr>
    </w:p>
    <w:p>
      <w:pPr>
        <w:pStyle w:val="24"/>
        <w:spacing w:line="500" w:lineRule="exact"/>
        <w:ind w:firstLine="968" w:firstLineChars="400"/>
        <w:rPr>
          <w:rFonts w:ascii="Times New Roman" w:hAnsi="Times New Roman" w:eastAsia="MingLiU_HKSCS"/>
          <w:color w:val="auto"/>
          <w:sz w:val="24"/>
          <w:szCs w:val="24"/>
        </w:rPr>
      </w:pPr>
      <w:r>
        <w:rPr>
          <w:rFonts w:hint="eastAsia" w:ascii="Times New Roman" w:hAnsi="Times New Roman"/>
          <w:color w:val="auto"/>
          <w:sz w:val="24"/>
          <w:szCs w:val="24"/>
        </w:rPr>
        <w:t>投标人</w:t>
      </w:r>
      <w:r>
        <w:rPr>
          <w:rFonts w:ascii="Times New Roman" w:hAnsi="Times New Roman"/>
          <w:color w:val="auto"/>
          <w:sz w:val="24"/>
          <w:szCs w:val="24"/>
        </w:rPr>
        <w:t>(</w:t>
      </w:r>
      <w:r>
        <w:rPr>
          <w:rFonts w:hint="eastAsia" w:ascii="Times New Roman" w:hAnsi="Times New Roman"/>
          <w:color w:val="auto"/>
          <w:sz w:val="24"/>
          <w:szCs w:val="24"/>
        </w:rPr>
        <w:t>公章</w:t>
      </w:r>
      <w:r>
        <w:rPr>
          <w:rFonts w:ascii="Times New Roman" w:hAnsi="Times New Roman"/>
          <w:color w:val="auto"/>
          <w:sz w:val="24"/>
          <w:szCs w:val="24"/>
        </w:rPr>
        <w:t>)</w:t>
      </w:r>
      <w:r>
        <w:rPr>
          <w:rFonts w:hint="eastAsia" w:ascii="Times New Roman" w:hAnsi="Times New Roman"/>
          <w:color w:val="auto"/>
          <w:sz w:val="24"/>
          <w:szCs w:val="24"/>
        </w:rPr>
        <w:t>：　</w:t>
      </w:r>
      <w:r>
        <w:rPr>
          <w:rFonts w:ascii="Times New Roman" w:hAnsi="Times New Roman"/>
          <w:color w:val="auto"/>
          <w:sz w:val="24"/>
          <w:szCs w:val="24"/>
        </w:rPr>
        <w:tab/>
      </w:r>
      <w:r>
        <w:rPr>
          <w:rFonts w:ascii="Times New Roman" w:hAnsi="Times New Roman"/>
          <w:color w:val="auto"/>
          <w:sz w:val="24"/>
          <w:szCs w:val="24"/>
        </w:rPr>
        <w:tab/>
      </w:r>
      <w:r>
        <w:rPr>
          <w:rFonts w:hint="eastAsia" w:ascii="Times New Roman" w:hAnsi="Times New Roman"/>
          <w:color w:val="auto"/>
          <w:sz w:val="24"/>
          <w:szCs w:val="24"/>
        </w:rPr>
        <w:t>　</w:t>
      </w:r>
    </w:p>
    <w:p>
      <w:pPr>
        <w:pStyle w:val="24"/>
        <w:spacing w:line="500" w:lineRule="exact"/>
        <w:ind w:firstLine="968" w:firstLineChars="400"/>
        <w:rPr>
          <w:rFonts w:ascii="Times New Roman" w:hAnsi="Times New Roman" w:eastAsia="MingLiU_HKSCS"/>
          <w:color w:val="auto"/>
          <w:sz w:val="24"/>
          <w:szCs w:val="24"/>
        </w:rPr>
      </w:pPr>
      <w:r>
        <w:rPr>
          <w:rFonts w:hint="eastAsia" w:ascii="Times New Roman" w:hAnsi="Times New Roman"/>
          <w:color w:val="auto"/>
          <w:sz w:val="24"/>
          <w:szCs w:val="24"/>
        </w:rPr>
        <w:t>地址：　</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hint="eastAsia" w:ascii="Times New Roman" w:hAnsi="Times New Roman"/>
          <w:color w:val="auto"/>
          <w:sz w:val="24"/>
          <w:szCs w:val="24"/>
        </w:rPr>
        <w:t>　</w:t>
      </w:r>
    </w:p>
    <w:p>
      <w:pPr>
        <w:pStyle w:val="24"/>
        <w:spacing w:line="500" w:lineRule="exact"/>
        <w:ind w:firstLine="968" w:firstLineChars="400"/>
        <w:rPr>
          <w:rFonts w:ascii="Times New Roman" w:hAnsi="Times New Roman" w:eastAsia="MingLiU_HKSCS"/>
          <w:color w:val="auto"/>
          <w:sz w:val="24"/>
          <w:szCs w:val="24"/>
        </w:rPr>
      </w:pPr>
      <w:r>
        <w:rPr>
          <w:rFonts w:hint="eastAsia" w:ascii="Times New Roman" w:hAnsi="Times New Roman"/>
          <w:color w:val="auto"/>
          <w:sz w:val="24"/>
          <w:szCs w:val="24"/>
        </w:rPr>
        <w:t>项目联系人：</w:t>
      </w:r>
      <w:r>
        <w:rPr>
          <w:rFonts w:ascii="Times New Roman" w:hAnsi="Times New Roman"/>
          <w:color w:val="auto"/>
          <w:sz w:val="24"/>
          <w:szCs w:val="24"/>
        </w:rPr>
        <w:tab/>
      </w:r>
      <w:r>
        <w:rPr>
          <w:rFonts w:ascii="Times New Roman" w:hAnsi="Times New Roman"/>
          <w:color w:val="auto"/>
          <w:sz w:val="24"/>
          <w:szCs w:val="24"/>
        </w:rPr>
        <w:tab/>
      </w:r>
      <w:r>
        <w:rPr>
          <w:rFonts w:hint="eastAsia" w:ascii="Times New Roman" w:hAnsi="Times New Roman"/>
          <w:color w:val="auto"/>
          <w:sz w:val="24"/>
          <w:szCs w:val="24"/>
        </w:rPr>
        <w:t>　　</w:t>
      </w:r>
    </w:p>
    <w:p>
      <w:pPr>
        <w:pStyle w:val="24"/>
        <w:spacing w:line="500" w:lineRule="exact"/>
        <w:ind w:firstLine="968" w:firstLineChars="400"/>
        <w:rPr>
          <w:rFonts w:ascii="Times New Roman" w:hAnsi="Times New Roman" w:eastAsia="MingLiU_HKSCS"/>
          <w:color w:val="auto"/>
          <w:sz w:val="24"/>
          <w:szCs w:val="24"/>
        </w:rPr>
      </w:pPr>
      <w:r>
        <w:rPr>
          <w:rFonts w:hint="eastAsia" w:ascii="Times New Roman" w:hAnsi="Times New Roman"/>
          <w:color w:val="auto"/>
          <w:sz w:val="24"/>
          <w:szCs w:val="24"/>
        </w:rPr>
        <w:t>联系方式：　　</w:t>
      </w:r>
      <w:r>
        <w:rPr>
          <w:rFonts w:ascii="Times New Roman" w:hAnsi="Times New Roman"/>
          <w:color w:val="auto"/>
          <w:sz w:val="24"/>
          <w:szCs w:val="24"/>
        </w:rPr>
        <w:tab/>
      </w:r>
      <w:r>
        <w:rPr>
          <w:rFonts w:ascii="Times New Roman" w:hAnsi="Times New Roman"/>
          <w:color w:val="auto"/>
          <w:sz w:val="24"/>
          <w:szCs w:val="24"/>
        </w:rPr>
        <w:tab/>
      </w:r>
    </w:p>
    <w:p>
      <w:pPr>
        <w:pStyle w:val="24"/>
        <w:spacing w:line="500" w:lineRule="exact"/>
        <w:ind w:firstLine="484" w:firstLineChars="200"/>
        <w:rPr>
          <w:rFonts w:ascii="Times New Roman" w:hAnsi="Times New Roman" w:eastAsia="MingLiU_HKSCS"/>
          <w:color w:val="auto"/>
          <w:sz w:val="24"/>
          <w:szCs w:val="24"/>
        </w:rPr>
      </w:pPr>
    </w:p>
    <w:tbl>
      <w:tblPr>
        <w:tblStyle w:val="41"/>
        <w:tblW w:w="59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1" w:hRule="atLeast"/>
          <w:jc w:val="center"/>
        </w:trPr>
        <w:tc>
          <w:tcPr>
            <w:tcW w:w="5913" w:type="dxa"/>
            <w:tcBorders>
              <w:top w:val="single" w:color="auto" w:sz="4" w:space="0"/>
              <w:bottom w:val="single" w:color="auto" w:sz="4" w:space="0"/>
            </w:tcBorders>
            <w:vAlign w:val="center"/>
          </w:tcPr>
          <w:p>
            <w:pPr>
              <w:pStyle w:val="24"/>
              <w:spacing w:line="500" w:lineRule="exact"/>
              <w:jc w:val="center"/>
              <w:rPr>
                <w:rFonts w:ascii="Times New Roman" w:hAnsi="Times New Roman"/>
                <w:color w:val="auto"/>
                <w:sz w:val="24"/>
                <w:szCs w:val="24"/>
              </w:rPr>
            </w:pPr>
            <w:r>
              <w:rPr>
                <w:rFonts w:hint="eastAsia" w:ascii="Times New Roman" w:hAnsi="Times New Roman"/>
                <w:color w:val="auto"/>
                <w:sz w:val="24"/>
                <w:szCs w:val="24"/>
              </w:rPr>
              <w:t>投标保证金</w:t>
            </w:r>
            <w:r>
              <w:rPr>
                <w:rFonts w:hint="eastAsia" w:ascii="Times New Roman" w:hAnsi="Times New Roman"/>
                <w:color w:val="auto"/>
                <w:sz w:val="24"/>
                <w:szCs w:val="24"/>
                <w:lang w:eastAsia="zh-CN"/>
              </w:rPr>
              <w:t>汇款凭证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1" w:hRule="atLeast"/>
          <w:jc w:val="center"/>
        </w:trPr>
        <w:tc>
          <w:tcPr>
            <w:tcW w:w="5913" w:type="dxa"/>
            <w:tcBorders>
              <w:top w:val="single" w:color="auto" w:sz="4" w:space="0"/>
              <w:bottom w:val="single" w:color="auto" w:sz="4" w:space="0"/>
            </w:tcBorders>
            <w:vAlign w:val="center"/>
          </w:tcPr>
          <w:p>
            <w:pPr>
              <w:pStyle w:val="24"/>
              <w:spacing w:line="500" w:lineRule="exact"/>
              <w:jc w:val="center"/>
              <w:rPr>
                <w:rFonts w:ascii="Times New Roman" w:hAnsi="Times New Roman"/>
                <w:color w:val="auto"/>
                <w:sz w:val="24"/>
                <w:szCs w:val="24"/>
              </w:rPr>
            </w:pPr>
            <w:r>
              <w:rPr>
                <w:rFonts w:hint="eastAsia" w:ascii="Times New Roman" w:hAnsi="Times New Roman"/>
                <w:color w:val="auto"/>
                <w:sz w:val="24"/>
                <w:szCs w:val="24"/>
              </w:rPr>
              <w:t>开户行许可证复印件</w:t>
            </w:r>
          </w:p>
        </w:tc>
      </w:tr>
    </w:tbl>
    <w:p>
      <w:pPr>
        <w:adjustRightInd w:val="0"/>
        <w:snapToGrid w:val="0"/>
        <w:spacing w:line="360" w:lineRule="auto"/>
        <w:ind w:right="24"/>
        <w:rPr>
          <w:rFonts w:ascii="宋体" w:hAnsi="宋体"/>
          <w:color w:val="auto"/>
          <w:sz w:val="24"/>
          <w:szCs w:val="21"/>
        </w:rPr>
      </w:pPr>
    </w:p>
    <w:p>
      <w:pPr>
        <w:pStyle w:val="83"/>
        <w:spacing w:line="500" w:lineRule="exact"/>
        <w:jc w:val="center"/>
        <w:rPr>
          <w:rFonts w:ascii="宋体" w:hAnsi="宋体"/>
          <w:b/>
          <w:color w:val="auto"/>
        </w:rPr>
      </w:pPr>
    </w:p>
    <w:p>
      <w:pPr>
        <w:pStyle w:val="24"/>
        <w:ind w:firstLine="484" w:firstLineChars="200"/>
        <w:jc w:val="center"/>
        <w:rPr>
          <w:b/>
          <w:color w:val="auto"/>
          <w:sz w:val="24"/>
          <w:szCs w:val="24"/>
        </w:rPr>
      </w:pPr>
    </w:p>
    <w:p>
      <w:pPr>
        <w:pStyle w:val="24"/>
        <w:ind w:firstLine="484" w:firstLineChars="200"/>
        <w:jc w:val="center"/>
        <w:rPr>
          <w:b/>
          <w:color w:val="auto"/>
          <w:sz w:val="24"/>
          <w:szCs w:val="24"/>
        </w:rPr>
      </w:pPr>
      <w:r>
        <w:rPr>
          <w:rFonts w:hint="eastAsia"/>
          <w:b/>
          <w:color w:val="auto"/>
          <w:sz w:val="24"/>
          <w:szCs w:val="24"/>
        </w:rPr>
        <w:t>六、投标人具备投标资格的证明文件</w:t>
      </w:r>
    </w:p>
    <w:p>
      <w:pPr>
        <w:pStyle w:val="24"/>
        <w:ind w:firstLine="484" w:firstLineChars="200"/>
        <w:jc w:val="center"/>
        <w:rPr>
          <w:b/>
          <w:color w:val="auto"/>
          <w:sz w:val="24"/>
          <w:szCs w:val="24"/>
        </w:rPr>
      </w:pPr>
      <w:r>
        <w:rPr>
          <w:rFonts w:hint="eastAsia"/>
          <w:b/>
          <w:color w:val="auto"/>
          <w:sz w:val="24"/>
          <w:szCs w:val="24"/>
        </w:rPr>
        <w:t>（一）供应商基本情况表</w:t>
      </w:r>
    </w:p>
    <w:p>
      <w:pPr>
        <w:pStyle w:val="24"/>
        <w:spacing w:line="440" w:lineRule="exact"/>
        <w:ind w:firstLine="424" w:firstLineChars="200"/>
        <w:rPr>
          <w:rFonts w:asciiTheme="minorEastAsia" w:hAnsiTheme="minorEastAsia" w:eastAsiaTheme="minorEastAsia" w:cstheme="minorEastAsia"/>
          <w:color w:val="auto"/>
          <w:sz w:val="24"/>
          <w:szCs w:val="24"/>
        </w:rPr>
      </w:pPr>
      <w:r>
        <w:rPr>
          <w:rFonts w:hint="eastAsia" w:ascii="Times New Roman" w:hAnsi="Times New Roman"/>
          <w:color w:val="auto"/>
        </w:rPr>
        <w:t>　</w:t>
      </w:r>
      <w:r>
        <w:rPr>
          <w:rFonts w:hint="eastAsia" w:asciiTheme="minorEastAsia" w:hAnsiTheme="minorEastAsia" w:eastAsiaTheme="minorEastAsia" w:cstheme="minorEastAsia"/>
          <w:color w:val="auto"/>
          <w:sz w:val="24"/>
          <w:szCs w:val="24"/>
        </w:rPr>
        <w:t>投标人：(公章)</w:t>
      </w:r>
    </w:p>
    <w:tbl>
      <w:tblPr>
        <w:tblStyle w:val="41"/>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991"/>
        <w:gridCol w:w="215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943" w:type="dxa"/>
            <w:vAlign w:val="center"/>
          </w:tcPr>
          <w:p>
            <w:pPr>
              <w:pStyle w:val="24"/>
              <w:spacing w:line="44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供应商名称</w:t>
            </w:r>
          </w:p>
        </w:tc>
        <w:tc>
          <w:tcPr>
            <w:tcW w:w="1991" w:type="dxa"/>
            <w:vAlign w:val="center"/>
          </w:tcPr>
          <w:p>
            <w:pPr>
              <w:pStyle w:val="24"/>
              <w:spacing w:line="440" w:lineRule="exact"/>
              <w:jc w:val="center"/>
              <w:rPr>
                <w:rFonts w:asciiTheme="minorEastAsia" w:hAnsiTheme="minorEastAsia" w:eastAsiaTheme="minorEastAsia" w:cstheme="minorEastAsia"/>
                <w:color w:val="auto"/>
                <w:sz w:val="24"/>
                <w:szCs w:val="24"/>
              </w:rPr>
            </w:pPr>
          </w:p>
        </w:tc>
        <w:tc>
          <w:tcPr>
            <w:tcW w:w="2154" w:type="dxa"/>
            <w:vAlign w:val="center"/>
          </w:tcPr>
          <w:p>
            <w:pPr>
              <w:pStyle w:val="24"/>
              <w:spacing w:line="44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p>
        </w:tc>
        <w:tc>
          <w:tcPr>
            <w:tcW w:w="1528" w:type="dxa"/>
            <w:vAlign w:val="center"/>
          </w:tcPr>
          <w:p>
            <w:pPr>
              <w:pStyle w:val="24"/>
              <w:spacing w:line="440" w:lineRule="exact"/>
              <w:jc w:val="cente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943" w:type="dxa"/>
            <w:vAlign w:val="center"/>
          </w:tcPr>
          <w:p>
            <w:pPr>
              <w:pStyle w:val="24"/>
              <w:spacing w:line="44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统一社会信用代码</w:t>
            </w:r>
          </w:p>
        </w:tc>
        <w:tc>
          <w:tcPr>
            <w:tcW w:w="1991" w:type="dxa"/>
            <w:vAlign w:val="center"/>
          </w:tcPr>
          <w:p>
            <w:pPr>
              <w:pStyle w:val="24"/>
              <w:spacing w:line="440" w:lineRule="exact"/>
              <w:jc w:val="center"/>
              <w:rPr>
                <w:rFonts w:asciiTheme="minorEastAsia" w:hAnsiTheme="minorEastAsia" w:eastAsiaTheme="minorEastAsia" w:cstheme="minorEastAsia"/>
                <w:color w:val="auto"/>
                <w:sz w:val="24"/>
                <w:szCs w:val="24"/>
              </w:rPr>
            </w:pPr>
          </w:p>
        </w:tc>
        <w:tc>
          <w:tcPr>
            <w:tcW w:w="2154" w:type="dxa"/>
            <w:vAlign w:val="center"/>
          </w:tcPr>
          <w:p>
            <w:pPr>
              <w:pStyle w:val="24"/>
              <w:spacing w:line="44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邮政编码</w:t>
            </w:r>
          </w:p>
        </w:tc>
        <w:tc>
          <w:tcPr>
            <w:tcW w:w="1528" w:type="dxa"/>
            <w:vAlign w:val="center"/>
          </w:tcPr>
          <w:p>
            <w:pPr>
              <w:pStyle w:val="24"/>
              <w:spacing w:line="440" w:lineRule="exact"/>
              <w:jc w:val="cente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943" w:type="dxa"/>
            <w:vAlign w:val="center"/>
          </w:tcPr>
          <w:p>
            <w:pPr>
              <w:pStyle w:val="24"/>
              <w:spacing w:line="44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w:t>
            </w:r>
          </w:p>
        </w:tc>
        <w:tc>
          <w:tcPr>
            <w:tcW w:w="1991" w:type="dxa"/>
            <w:vAlign w:val="center"/>
          </w:tcPr>
          <w:p>
            <w:pPr>
              <w:pStyle w:val="24"/>
              <w:spacing w:line="440" w:lineRule="exact"/>
              <w:jc w:val="center"/>
              <w:rPr>
                <w:rFonts w:asciiTheme="minorEastAsia" w:hAnsiTheme="minorEastAsia" w:eastAsiaTheme="minorEastAsia" w:cstheme="minorEastAsia"/>
                <w:color w:val="auto"/>
                <w:sz w:val="24"/>
                <w:szCs w:val="24"/>
              </w:rPr>
            </w:pPr>
          </w:p>
        </w:tc>
        <w:tc>
          <w:tcPr>
            <w:tcW w:w="2154" w:type="dxa"/>
            <w:vAlign w:val="center"/>
          </w:tcPr>
          <w:p>
            <w:pPr>
              <w:pStyle w:val="24"/>
              <w:spacing w:line="44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tc>
        <w:tc>
          <w:tcPr>
            <w:tcW w:w="1528" w:type="dxa"/>
            <w:vAlign w:val="center"/>
          </w:tcPr>
          <w:p>
            <w:pPr>
              <w:pStyle w:val="24"/>
              <w:spacing w:line="440" w:lineRule="exact"/>
              <w:jc w:val="cente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943" w:type="dxa"/>
            <w:vAlign w:val="center"/>
          </w:tcPr>
          <w:p>
            <w:pPr>
              <w:pStyle w:val="24"/>
              <w:spacing w:line="44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电子邮箱</w:t>
            </w:r>
          </w:p>
        </w:tc>
        <w:tc>
          <w:tcPr>
            <w:tcW w:w="1991" w:type="dxa"/>
            <w:vAlign w:val="center"/>
          </w:tcPr>
          <w:p>
            <w:pPr>
              <w:pStyle w:val="24"/>
              <w:spacing w:line="440" w:lineRule="exact"/>
              <w:jc w:val="center"/>
              <w:rPr>
                <w:rFonts w:asciiTheme="minorEastAsia" w:hAnsiTheme="minorEastAsia" w:eastAsiaTheme="minorEastAsia" w:cstheme="minorEastAsia"/>
                <w:color w:val="auto"/>
                <w:sz w:val="24"/>
                <w:szCs w:val="24"/>
              </w:rPr>
            </w:pPr>
          </w:p>
        </w:tc>
        <w:tc>
          <w:tcPr>
            <w:tcW w:w="2154" w:type="dxa"/>
            <w:vAlign w:val="center"/>
          </w:tcPr>
          <w:p>
            <w:pPr>
              <w:pStyle w:val="24"/>
              <w:spacing w:line="44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w:t>
            </w:r>
          </w:p>
        </w:tc>
        <w:tc>
          <w:tcPr>
            <w:tcW w:w="1528" w:type="dxa"/>
            <w:vAlign w:val="center"/>
          </w:tcPr>
          <w:p>
            <w:pPr>
              <w:pStyle w:val="24"/>
              <w:spacing w:line="440" w:lineRule="exact"/>
              <w:jc w:val="cente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943" w:type="dxa"/>
            <w:vAlign w:val="center"/>
          </w:tcPr>
          <w:p>
            <w:pPr>
              <w:pStyle w:val="24"/>
              <w:spacing w:line="44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上年营业收入</w:t>
            </w:r>
          </w:p>
        </w:tc>
        <w:tc>
          <w:tcPr>
            <w:tcW w:w="1991" w:type="dxa"/>
            <w:vAlign w:val="center"/>
          </w:tcPr>
          <w:p>
            <w:pPr>
              <w:pStyle w:val="24"/>
              <w:spacing w:line="440" w:lineRule="exact"/>
              <w:jc w:val="center"/>
              <w:rPr>
                <w:rFonts w:asciiTheme="minorEastAsia" w:hAnsiTheme="minorEastAsia" w:eastAsiaTheme="minorEastAsia" w:cstheme="minorEastAsia"/>
                <w:color w:val="auto"/>
                <w:sz w:val="24"/>
                <w:szCs w:val="24"/>
              </w:rPr>
            </w:pPr>
          </w:p>
        </w:tc>
        <w:tc>
          <w:tcPr>
            <w:tcW w:w="2154" w:type="dxa"/>
            <w:vAlign w:val="center"/>
          </w:tcPr>
          <w:p>
            <w:pPr>
              <w:pStyle w:val="24"/>
              <w:spacing w:line="44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员工总人数</w:t>
            </w:r>
          </w:p>
        </w:tc>
        <w:tc>
          <w:tcPr>
            <w:tcW w:w="1528" w:type="dxa"/>
            <w:vAlign w:val="center"/>
          </w:tcPr>
          <w:p>
            <w:pPr>
              <w:pStyle w:val="24"/>
              <w:spacing w:line="440" w:lineRule="exact"/>
              <w:jc w:val="cente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943" w:type="dxa"/>
            <w:vAlign w:val="center"/>
          </w:tcPr>
          <w:p>
            <w:pPr>
              <w:pStyle w:val="24"/>
              <w:spacing w:line="44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基本账户开户行及账号</w:t>
            </w:r>
          </w:p>
        </w:tc>
        <w:tc>
          <w:tcPr>
            <w:tcW w:w="1991" w:type="dxa"/>
            <w:vAlign w:val="center"/>
          </w:tcPr>
          <w:p>
            <w:pPr>
              <w:pStyle w:val="24"/>
              <w:spacing w:line="440" w:lineRule="exact"/>
              <w:jc w:val="center"/>
              <w:rPr>
                <w:rFonts w:asciiTheme="minorEastAsia" w:hAnsiTheme="minorEastAsia" w:eastAsiaTheme="minorEastAsia" w:cstheme="minorEastAsia"/>
                <w:color w:val="auto"/>
                <w:sz w:val="24"/>
                <w:szCs w:val="24"/>
              </w:rPr>
            </w:pPr>
          </w:p>
        </w:tc>
        <w:tc>
          <w:tcPr>
            <w:tcW w:w="2154" w:type="dxa"/>
            <w:vAlign w:val="center"/>
          </w:tcPr>
          <w:p>
            <w:pPr>
              <w:pStyle w:val="24"/>
              <w:spacing w:line="440" w:lineRule="exact"/>
              <w:jc w:val="center"/>
              <w:rPr>
                <w:rFonts w:asciiTheme="minorEastAsia" w:hAnsiTheme="minorEastAsia" w:eastAsiaTheme="minorEastAsia" w:cstheme="minorEastAsia"/>
                <w:color w:val="auto"/>
                <w:sz w:val="24"/>
                <w:szCs w:val="24"/>
              </w:rPr>
            </w:pPr>
          </w:p>
        </w:tc>
        <w:tc>
          <w:tcPr>
            <w:tcW w:w="1528" w:type="dxa"/>
            <w:vAlign w:val="center"/>
          </w:tcPr>
          <w:p>
            <w:pPr>
              <w:pStyle w:val="24"/>
              <w:spacing w:line="440" w:lineRule="exact"/>
              <w:jc w:val="cente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943" w:type="dxa"/>
            <w:vAlign w:val="center"/>
          </w:tcPr>
          <w:p>
            <w:pPr>
              <w:pStyle w:val="24"/>
              <w:spacing w:line="44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税务登记机关</w:t>
            </w:r>
          </w:p>
        </w:tc>
        <w:tc>
          <w:tcPr>
            <w:tcW w:w="1991" w:type="dxa"/>
            <w:vAlign w:val="center"/>
          </w:tcPr>
          <w:p>
            <w:pPr>
              <w:pStyle w:val="24"/>
              <w:spacing w:line="440" w:lineRule="exact"/>
              <w:jc w:val="center"/>
              <w:rPr>
                <w:rFonts w:asciiTheme="minorEastAsia" w:hAnsiTheme="minorEastAsia" w:eastAsiaTheme="minorEastAsia" w:cstheme="minorEastAsia"/>
                <w:color w:val="auto"/>
                <w:sz w:val="24"/>
                <w:szCs w:val="24"/>
              </w:rPr>
            </w:pPr>
          </w:p>
        </w:tc>
        <w:tc>
          <w:tcPr>
            <w:tcW w:w="2154" w:type="dxa"/>
            <w:vAlign w:val="center"/>
          </w:tcPr>
          <w:p>
            <w:pPr>
              <w:pStyle w:val="24"/>
              <w:spacing w:line="440" w:lineRule="exact"/>
              <w:jc w:val="center"/>
              <w:rPr>
                <w:rFonts w:asciiTheme="minorEastAsia" w:hAnsiTheme="minorEastAsia" w:eastAsiaTheme="minorEastAsia" w:cstheme="minorEastAsia"/>
                <w:color w:val="auto"/>
                <w:sz w:val="24"/>
                <w:szCs w:val="24"/>
              </w:rPr>
            </w:pPr>
          </w:p>
        </w:tc>
        <w:tc>
          <w:tcPr>
            <w:tcW w:w="1528" w:type="dxa"/>
            <w:vAlign w:val="center"/>
          </w:tcPr>
          <w:p>
            <w:pPr>
              <w:pStyle w:val="24"/>
              <w:spacing w:line="440" w:lineRule="exact"/>
              <w:jc w:val="cente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943" w:type="dxa"/>
            <w:vAlign w:val="center"/>
          </w:tcPr>
          <w:p>
            <w:pPr>
              <w:pStyle w:val="24"/>
              <w:spacing w:line="44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资质名称</w:t>
            </w:r>
          </w:p>
        </w:tc>
        <w:tc>
          <w:tcPr>
            <w:tcW w:w="1991" w:type="dxa"/>
            <w:vAlign w:val="center"/>
          </w:tcPr>
          <w:p>
            <w:pPr>
              <w:pStyle w:val="24"/>
              <w:spacing w:line="44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等级</w:t>
            </w:r>
          </w:p>
        </w:tc>
        <w:tc>
          <w:tcPr>
            <w:tcW w:w="2154" w:type="dxa"/>
            <w:vAlign w:val="center"/>
          </w:tcPr>
          <w:p>
            <w:pPr>
              <w:pStyle w:val="24"/>
              <w:spacing w:line="44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发证机关</w:t>
            </w:r>
          </w:p>
        </w:tc>
        <w:tc>
          <w:tcPr>
            <w:tcW w:w="1528" w:type="dxa"/>
            <w:vAlign w:val="center"/>
          </w:tcPr>
          <w:p>
            <w:pPr>
              <w:pStyle w:val="24"/>
              <w:spacing w:line="44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943" w:type="dxa"/>
            <w:vAlign w:val="center"/>
          </w:tcPr>
          <w:p>
            <w:pPr>
              <w:pStyle w:val="24"/>
              <w:spacing w:line="440" w:lineRule="exact"/>
              <w:jc w:val="center"/>
              <w:rPr>
                <w:rFonts w:asciiTheme="minorEastAsia" w:hAnsiTheme="minorEastAsia" w:eastAsiaTheme="minorEastAsia" w:cstheme="minorEastAsia"/>
                <w:color w:val="auto"/>
                <w:sz w:val="24"/>
                <w:szCs w:val="24"/>
              </w:rPr>
            </w:pPr>
          </w:p>
        </w:tc>
        <w:tc>
          <w:tcPr>
            <w:tcW w:w="1991" w:type="dxa"/>
            <w:vAlign w:val="center"/>
          </w:tcPr>
          <w:p>
            <w:pPr>
              <w:pStyle w:val="24"/>
              <w:spacing w:line="440" w:lineRule="exact"/>
              <w:jc w:val="center"/>
              <w:rPr>
                <w:rFonts w:asciiTheme="minorEastAsia" w:hAnsiTheme="minorEastAsia" w:eastAsiaTheme="minorEastAsia" w:cstheme="minorEastAsia"/>
                <w:color w:val="auto"/>
                <w:sz w:val="24"/>
                <w:szCs w:val="24"/>
              </w:rPr>
            </w:pPr>
          </w:p>
        </w:tc>
        <w:tc>
          <w:tcPr>
            <w:tcW w:w="2154" w:type="dxa"/>
            <w:vAlign w:val="center"/>
          </w:tcPr>
          <w:p>
            <w:pPr>
              <w:pStyle w:val="24"/>
              <w:spacing w:line="440" w:lineRule="exact"/>
              <w:jc w:val="center"/>
              <w:rPr>
                <w:rFonts w:asciiTheme="minorEastAsia" w:hAnsiTheme="minorEastAsia" w:eastAsiaTheme="minorEastAsia" w:cstheme="minorEastAsia"/>
                <w:color w:val="auto"/>
                <w:sz w:val="24"/>
                <w:szCs w:val="24"/>
              </w:rPr>
            </w:pPr>
          </w:p>
        </w:tc>
        <w:tc>
          <w:tcPr>
            <w:tcW w:w="1528" w:type="dxa"/>
            <w:vAlign w:val="center"/>
          </w:tcPr>
          <w:p>
            <w:pPr>
              <w:pStyle w:val="24"/>
              <w:spacing w:line="440" w:lineRule="exact"/>
              <w:jc w:val="cente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943" w:type="dxa"/>
            <w:vAlign w:val="center"/>
          </w:tcPr>
          <w:p>
            <w:pPr>
              <w:pStyle w:val="24"/>
              <w:spacing w:line="440" w:lineRule="exact"/>
              <w:jc w:val="center"/>
              <w:rPr>
                <w:rFonts w:asciiTheme="minorEastAsia" w:hAnsiTheme="minorEastAsia" w:eastAsiaTheme="minorEastAsia" w:cstheme="minorEastAsia"/>
                <w:color w:val="auto"/>
                <w:sz w:val="24"/>
                <w:szCs w:val="24"/>
              </w:rPr>
            </w:pPr>
          </w:p>
        </w:tc>
        <w:tc>
          <w:tcPr>
            <w:tcW w:w="1991" w:type="dxa"/>
            <w:vAlign w:val="center"/>
          </w:tcPr>
          <w:p>
            <w:pPr>
              <w:pStyle w:val="24"/>
              <w:spacing w:line="440" w:lineRule="exact"/>
              <w:jc w:val="center"/>
              <w:rPr>
                <w:rFonts w:asciiTheme="minorEastAsia" w:hAnsiTheme="minorEastAsia" w:eastAsiaTheme="minorEastAsia" w:cstheme="minorEastAsia"/>
                <w:color w:val="auto"/>
                <w:sz w:val="24"/>
                <w:szCs w:val="24"/>
              </w:rPr>
            </w:pPr>
          </w:p>
        </w:tc>
        <w:tc>
          <w:tcPr>
            <w:tcW w:w="2154" w:type="dxa"/>
            <w:vAlign w:val="center"/>
          </w:tcPr>
          <w:p>
            <w:pPr>
              <w:pStyle w:val="24"/>
              <w:spacing w:line="440" w:lineRule="exact"/>
              <w:jc w:val="center"/>
              <w:rPr>
                <w:rFonts w:asciiTheme="minorEastAsia" w:hAnsiTheme="minorEastAsia" w:eastAsiaTheme="minorEastAsia" w:cstheme="minorEastAsia"/>
                <w:color w:val="auto"/>
                <w:sz w:val="24"/>
                <w:szCs w:val="24"/>
              </w:rPr>
            </w:pPr>
          </w:p>
        </w:tc>
        <w:tc>
          <w:tcPr>
            <w:tcW w:w="1528" w:type="dxa"/>
            <w:vAlign w:val="center"/>
          </w:tcPr>
          <w:p>
            <w:pPr>
              <w:pStyle w:val="24"/>
              <w:spacing w:line="440" w:lineRule="exact"/>
              <w:jc w:val="cente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943" w:type="dxa"/>
            <w:vAlign w:val="center"/>
          </w:tcPr>
          <w:p>
            <w:pPr>
              <w:pStyle w:val="24"/>
              <w:spacing w:line="44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c>
          <w:tcPr>
            <w:tcW w:w="1991" w:type="dxa"/>
            <w:vAlign w:val="center"/>
          </w:tcPr>
          <w:p>
            <w:pPr>
              <w:pStyle w:val="24"/>
              <w:spacing w:line="440" w:lineRule="exact"/>
              <w:jc w:val="center"/>
              <w:rPr>
                <w:rFonts w:asciiTheme="minorEastAsia" w:hAnsiTheme="minorEastAsia" w:eastAsiaTheme="minorEastAsia" w:cstheme="minorEastAsia"/>
                <w:color w:val="auto"/>
                <w:sz w:val="24"/>
                <w:szCs w:val="24"/>
              </w:rPr>
            </w:pPr>
          </w:p>
        </w:tc>
        <w:tc>
          <w:tcPr>
            <w:tcW w:w="2154" w:type="dxa"/>
            <w:vAlign w:val="center"/>
          </w:tcPr>
          <w:p>
            <w:pPr>
              <w:pStyle w:val="24"/>
              <w:spacing w:line="440" w:lineRule="exact"/>
              <w:jc w:val="center"/>
              <w:rPr>
                <w:rFonts w:asciiTheme="minorEastAsia" w:hAnsiTheme="minorEastAsia" w:eastAsiaTheme="minorEastAsia" w:cstheme="minorEastAsia"/>
                <w:color w:val="auto"/>
                <w:sz w:val="24"/>
                <w:szCs w:val="24"/>
              </w:rPr>
            </w:pPr>
          </w:p>
        </w:tc>
        <w:tc>
          <w:tcPr>
            <w:tcW w:w="1528" w:type="dxa"/>
            <w:vAlign w:val="center"/>
          </w:tcPr>
          <w:p>
            <w:pPr>
              <w:pStyle w:val="24"/>
              <w:spacing w:line="440" w:lineRule="exact"/>
              <w:jc w:val="center"/>
              <w:rPr>
                <w:rFonts w:asciiTheme="minorEastAsia" w:hAnsiTheme="minorEastAsia" w:eastAsiaTheme="minorEastAsia" w:cstheme="minorEastAsia"/>
                <w:color w:val="auto"/>
                <w:sz w:val="24"/>
                <w:szCs w:val="24"/>
              </w:rPr>
            </w:pPr>
          </w:p>
        </w:tc>
      </w:tr>
    </w:tbl>
    <w:p>
      <w:pPr>
        <w:pStyle w:val="24"/>
        <w:spacing w:line="440" w:lineRule="exact"/>
        <w:ind w:firstLine="484" w:firstLineChars="200"/>
        <w:rPr>
          <w:rFonts w:asciiTheme="minorEastAsia" w:hAnsiTheme="minorEastAsia" w:eastAsiaTheme="minorEastAsia" w:cstheme="minorEastAsia"/>
          <w:color w:val="auto"/>
          <w:sz w:val="24"/>
          <w:szCs w:val="24"/>
        </w:rPr>
      </w:pPr>
    </w:p>
    <w:p>
      <w:pPr>
        <w:pStyle w:val="24"/>
        <w:spacing w:line="440" w:lineRule="exact"/>
        <w:ind w:firstLine="484"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附件2-1　法人或者其他组织的营业执照副本复印件或自然人的身份证明复印件</w:t>
      </w:r>
    </w:p>
    <w:p>
      <w:pPr>
        <w:pStyle w:val="24"/>
        <w:spacing w:line="440" w:lineRule="exact"/>
        <w:ind w:firstLine="484"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(示例略)</w:t>
      </w:r>
    </w:p>
    <w:p>
      <w:pPr>
        <w:pStyle w:val="24"/>
        <w:spacing w:line="440" w:lineRule="exact"/>
        <w:ind w:firstLine="484" w:firstLineChars="200"/>
        <w:rPr>
          <w:rFonts w:asciiTheme="minorEastAsia" w:hAnsiTheme="minorEastAsia" w:eastAsiaTheme="minorEastAsia" w:cstheme="minorEastAsia"/>
          <w:color w:val="auto"/>
          <w:sz w:val="24"/>
          <w:szCs w:val="24"/>
        </w:rPr>
      </w:pPr>
    </w:p>
    <w:p>
      <w:pPr>
        <w:pStyle w:val="24"/>
        <w:spacing w:line="440" w:lineRule="exact"/>
        <w:ind w:firstLine="484"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附件2-2　法人或者其他组织的税务登记证副本复印件(按规定可不进行税务登记的不提供)</w:t>
      </w:r>
    </w:p>
    <w:p>
      <w:pPr>
        <w:pStyle w:val="24"/>
        <w:spacing w:line="440" w:lineRule="exact"/>
        <w:ind w:firstLine="484"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(示例略)</w:t>
      </w:r>
    </w:p>
    <w:p>
      <w:pPr>
        <w:pStyle w:val="24"/>
        <w:spacing w:line="440" w:lineRule="exact"/>
        <w:ind w:firstLine="484"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附件2-3 “信用中国”（www.creditchina.gov.cn）和中国政府采购网（www.ccgp.gov.cn）网站上未被列入失信被执行人、重大税收违法案件当事人名单以及政府采购严重违法失信行为记录名单的网页打印件（网页打印件须自招标文件发布之日起至投标截止时间从上述网站中打印）</w:t>
      </w:r>
    </w:p>
    <w:p>
      <w:pPr>
        <w:pStyle w:val="24"/>
        <w:spacing w:line="440" w:lineRule="exact"/>
        <w:ind w:firstLine="484"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(示例略)</w:t>
      </w:r>
    </w:p>
    <w:p>
      <w:pPr>
        <w:pStyle w:val="24"/>
        <w:spacing w:line="440" w:lineRule="exact"/>
        <w:ind w:firstLine="484" w:firstLineChars="200"/>
        <w:rPr>
          <w:rFonts w:asciiTheme="minorEastAsia" w:hAnsiTheme="minorEastAsia" w:eastAsiaTheme="minorEastAsia" w:cstheme="minorEastAsia"/>
          <w:color w:val="auto"/>
          <w:sz w:val="24"/>
          <w:szCs w:val="24"/>
        </w:rPr>
      </w:pPr>
    </w:p>
    <w:p>
      <w:pPr>
        <w:pStyle w:val="24"/>
        <w:spacing w:line="440" w:lineRule="exact"/>
        <w:ind w:firstLine="484"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附件2-4　具备履行合同所必需的设备和专业技术能力的证明材料(示例略)</w:t>
      </w:r>
    </w:p>
    <w:p>
      <w:pPr>
        <w:pStyle w:val="83"/>
        <w:spacing w:line="500" w:lineRule="exact"/>
        <w:jc w:val="center"/>
        <w:rPr>
          <w:rFonts w:ascii="宋体" w:hAnsi="宋体"/>
          <w:b/>
          <w:color w:val="auto"/>
        </w:rPr>
      </w:pPr>
      <w:r>
        <w:rPr>
          <w:color w:val="auto"/>
        </w:rPr>
        <w:br w:type="page"/>
      </w:r>
    </w:p>
    <w:p>
      <w:pPr>
        <w:pStyle w:val="83"/>
        <w:spacing w:line="500" w:lineRule="exact"/>
        <w:jc w:val="center"/>
        <w:rPr>
          <w:rFonts w:ascii="宋体" w:hAnsi="宋体"/>
          <w:b/>
          <w:color w:val="auto"/>
          <w:kern w:val="2"/>
        </w:rPr>
      </w:pPr>
      <w:r>
        <w:rPr>
          <w:rFonts w:hint="eastAsia" w:ascii="宋体" w:hAnsi="宋体"/>
          <w:b/>
          <w:color w:val="auto"/>
          <w:kern w:val="2"/>
        </w:rPr>
        <w:t>七、项目业绩表（2019年0</w:t>
      </w:r>
      <w:r>
        <w:rPr>
          <w:rFonts w:hint="eastAsia" w:ascii="宋体" w:hAnsi="宋体"/>
          <w:b/>
          <w:color w:val="auto"/>
          <w:kern w:val="2"/>
          <w:lang w:val="en-US" w:eastAsia="zh-CN"/>
        </w:rPr>
        <w:t>8</w:t>
      </w:r>
      <w:r>
        <w:rPr>
          <w:rFonts w:hint="eastAsia" w:ascii="宋体" w:hAnsi="宋体"/>
          <w:b/>
          <w:color w:val="auto"/>
          <w:kern w:val="2"/>
        </w:rPr>
        <w:t>月01日至今）</w:t>
      </w:r>
    </w:p>
    <w:p>
      <w:pPr>
        <w:pStyle w:val="83"/>
        <w:spacing w:line="500" w:lineRule="exact"/>
        <w:jc w:val="center"/>
        <w:rPr>
          <w:rFonts w:ascii="宋体" w:hAnsi="宋体"/>
          <w:color w:val="auto"/>
        </w:rPr>
      </w:pPr>
    </w:p>
    <w:p>
      <w:pPr>
        <w:pStyle w:val="83"/>
        <w:spacing w:line="500" w:lineRule="exact"/>
        <w:ind w:hanging="23"/>
        <w:rPr>
          <w:rFonts w:ascii="宋体" w:hAnsi="宋体"/>
          <w:color w:val="auto"/>
        </w:rPr>
      </w:pPr>
      <w:r>
        <w:rPr>
          <w:rFonts w:hint="eastAsia"/>
          <w:color w:val="auto"/>
        </w:rPr>
        <w:t>项目名称：</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rFonts w:hint="eastAsia"/>
          <w:color w:val="auto"/>
        </w:rPr>
        <w:t>项目编号：　</w:t>
      </w:r>
    </w:p>
    <w:tbl>
      <w:tblPr>
        <w:tblStyle w:val="41"/>
        <w:tblW w:w="93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565"/>
        <w:gridCol w:w="1305"/>
        <w:gridCol w:w="1515"/>
        <w:gridCol w:w="163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4" w:hRule="atLeast"/>
        </w:trPr>
        <w:tc>
          <w:tcPr>
            <w:tcW w:w="772" w:type="dxa"/>
            <w:vAlign w:val="center"/>
          </w:tcPr>
          <w:p>
            <w:pPr>
              <w:pStyle w:val="83"/>
              <w:spacing w:line="360" w:lineRule="exact"/>
              <w:jc w:val="center"/>
              <w:rPr>
                <w:rFonts w:ascii="宋体" w:hAnsi="宋体"/>
                <w:color w:val="auto"/>
              </w:rPr>
            </w:pPr>
            <w:r>
              <w:rPr>
                <w:rFonts w:hint="eastAsia" w:ascii="宋体" w:hAnsi="宋体"/>
                <w:color w:val="auto"/>
              </w:rPr>
              <w:t>序号</w:t>
            </w:r>
          </w:p>
        </w:tc>
        <w:tc>
          <w:tcPr>
            <w:tcW w:w="2565" w:type="dxa"/>
            <w:vAlign w:val="center"/>
          </w:tcPr>
          <w:p>
            <w:pPr>
              <w:pStyle w:val="83"/>
              <w:spacing w:line="360" w:lineRule="exact"/>
              <w:jc w:val="center"/>
              <w:rPr>
                <w:rFonts w:ascii="宋体" w:hAnsi="宋体"/>
                <w:color w:val="auto"/>
              </w:rPr>
            </w:pPr>
            <w:r>
              <w:rPr>
                <w:rFonts w:hint="eastAsia" w:ascii="宋体" w:hAnsi="宋体"/>
                <w:color w:val="auto"/>
              </w:rPr>
              <w:t>项目名称</w:t>
            </w:r>
          </w:p>
        </w:tc>
        <w:tc>
          <w:tcPr>
            <w:tcW w:w="1305" w:type="dxa"/>
            <w:vAlign w:val="center"/>
          </w:tcPr>
          <w:p>
            <w:pPr>
              <w:pStyle w:val="83"/>
              <w:spacing w:line="360" w:lineRule="exact"/>
              <w:jc w:val="center"/>
              <w:rPr>
                <w:rFonts w:ascii="宋体" w:hAnsi="宋体"/>
                <w:color w:val="auto"/>
              </w:rPr>
            </w:pPr>
            <w:r>
              <w:rPr>
                <w:rFonts w:hint="eastAsia" w:ascii="宋体" w:hAnsi="宋体"/>
                <w:color w:val="auto"/>
              </w:rPr>
              <w:t>签订合同时间</w:t>
            </w:r>
          </w:p>
        </w:tc>
        <w:tc>
          <w:tcPr>
            <w:tcW w:w="1515" w:type="dxa"/>
            <w:vAlign w:val="center"/>
          </w:tcPr>
          <w:p>
            <w:pPr>
              <w:pStyle w:val="83"/>
              <w:spacing w:line="360" w:lineRule="exact"/>
              <w:jc w:val="center"/>
              <w:rPr>
                <w:rFonts w:ascii="宋体" w:hAnsi="宋体"/>
                <w:color w:val="auto"/>
              </w:rPr>
            </w:pPr>
            <w:r>
              <w:rPr>
                <w:rFonts w:hint="eastAsia" w:ascii="宋体" w:hAnsi="宋体"/>
                <w:color w:val="auto"/>
              </w:rPr>
              <w:t>合同金额（万元）</w:t>
            </w:r>
          </w:p>
        </w:tc>
        <w:tc>
          <w:tcPr>
            <w:tcW w:w="1635" w:type="dxa"/>
            <w:vAlign w:val="center"/>
          </w:tcPr>
          <w:p>
            <w:pPr>
              <w:pStyle w:val="83"/>
              <w:spacing w:line="360" w:lineRule="exact"/>
              <w:jc w:val="center"/>
              <w:rPr>
                <w:rFonts w:ascii="宋体" w:hAnsi="宋体"/>
                <w:color w:val="auto"/>
              </w:rPr>
            </w:pPr>
            <w:r>
              <w:rPr>
                <w:rFonts w:hint="eastAsia" w:ascii="宋体" w:hAnsi="宋体"/>
                <w:color w:val="auto"/>
              </w:rPr>
              <w:t>业绩证明材料所在页码</w:t>
            </w:r>
          </w:p>
        </w:tc>
        <w:tc>
          <w:tcPr>
            <w:tcW w:w="1590" w:type="dxa"/>
            <w:vAlign w:val="center"/>
          </w:tcPr>
          <w:p>
            <w:pPr>
              <w:pStyle w:val="83"/>
              <w:spacing w:line="360" w:lineRule="exact"/>
              <w:jc w:val="center"/>
              <w:rPr>
                <w:rFonts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72" w:type="dxa"/>
          </w:tcPr>
          <w:p>
            <w:pPr>
              <w:pStyle w:val="83"/>
              <w:spacing w:line="500" w:lineRule="exact"/>
              <w:rPr>
                <w:rFonts w:ascii="宋体" w:hAnsi="宋体"/>
                <w:color w:val="auto"/>
              </w:rPr>
            </w:pPr>
          </w:p>
        </w:tc>
        <w:tc>
          <w:tcPr>
            <w:tcW w:w="2565" w:type="dxa"/>
          </w:tcPr>
          <w:p>
            <w:pPr>
              <w:pStyle w:val="83"/>
              <w:spacing w:line="500" w:lineRule="exact"/>
              <w:rPr>
                <w:rFonts w:ascii="宋体" w:hAnsi="宋体"/>
                <w:color w:val="auto"/>
              </w:rPr>
            </w:pPr>
          </w:p>
        </w:tc>
        <w:tc>
          <w:tcPr>
            <w:tcW w:w="1305" w:type="dxa"/>
          </w:tcPr>
          <w:p>
            <w:pPr>
              <w:pStyle w:val="83"/>
              <w:spacing w:line="500" w:lineRule="exact"/>
              <w:rPr>
                <w:rFonts w:ascii="宋体" w:hAnsi="宋体"/>
                <w:color w:val="auto"/>
              </w:rPr>
            </w:pPr>
          </w:p>
        </w:tc>
        <w:tc>
          <w:tcPr>
            <w:tcW w:w="1515" w:type="dxa"/>
          </w:tcPr>
          <w:p>
            <w:pPr>
              <w:pStyle w:val="83"/>
              <w:spacing w:line="500" w:lineRule="exact"/>
              <w:rPr>
                <w:rFonts w:ascii="宋体" w:hAnsi="宋体"/>
                <w:color w:val="auto"/>
              </w:rPr>
            </w:pPr>
          </w:p>
        </w:tc>
        <w:tc>
          <w:tcPr>
            <w:tcW w:w="1635" w:type="dxa"/>
          </w:tcPr>
          <w:p>
            <w:pPr>
              <w:pStyle w:val="83"/>
              <w:spacing w:line="500" w:lineRule="exact"/>
              <w:rPr>
                <w:rFonts w:ascii="宋体" w:hAnsi="宋体"/>
                <w:color w:val="auto"/>
              </w:rPr>
            </w:pPr>
          </w:p>
        </w:tc>
        <w:tc>
          <w:tcPr>
            <w:tcW w:w="1590" w:type="dxa"/>
          </w:tcPr>
          <w:p>
            <w:pPr>
              <w:pStyle w:val="83"/>
              <w:spacing w:line="5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72" w:type="dxa"/>
          </w:tcPr>
          <w:p>
            <w:pPr>
              <w:pStyle w:val="83"/>
              <w:spacing w:line="500" w:lineRule="exact"/>
              <w:rPr>
                <w:rFonts w:ascii="宋体" w:hAnsi="宋体"/>
                <w:color w:val="auto"/>
              </w:rPr>
            </w:pPr>
          </w:p>
        </w:tc>
        <w:tc>
          <w:tcPr>
            <w:tcW w:w="2565" w:type="dxa"/>
          </w:tcPr>
          <w:p>
            <w:pPr>
              <w:pStyle w:val="83"/>
              <w:spacing w:line="500" w:lineRule="exact"/>
              <w:rPr>
                <w:rFonts w:ascii="宋体" w:hAnsi="宋体"/>
                <w:color w:val="auto"/>
              </w:rPr>
            </w:pPr>
          </w:p>
        </w:tc>
        <w:tc>
          <w:tcPr>
            <w:tcW w:w="1305" w:type="dxa"/>
          </w:tcPr>
          <w:p>
            <w:pPr>
              <w:pStyle w:val="83"/>
              <w:spacing w:line="500" w:lineRule="exact"/>
              <w:rPr>
                <w:rFonts w:ascii="宋体" w:hAnsi="宋体"/>
                <w:color w:val="auto"/>
              </w:rPr>
            </w:pPr>
          </w:p>
        </w:tc>
        <w:tc>
          <w:tcPr>
            <w:tcW w:w="1515" w:type="dxa"/>
          </w:tcPr>
          <w:p>
            <w:pPr>
              <w:pStyle w:val="83"/>
              <w:spacing w:line="500" w:lineRule="exact"/>
              <w:rPr>
                <w:rFonts w:ascii="宋体" w:hAnsi="宋体"/>
                <w:color w:val="auto"/>
              </w:rPr>
            </w:pPr>
          </w:p>
        </w:tc>
        <w:tc>
          <w:tcPr>
            <w:tcW w:w="1635" w:type="dxa"/>
          </w:tcPr>
          <w:p>
            <w:pPr>
              <w:pStyle w:val="83"/>
              <w:spacing w:line="500" w:lineRule="exact"/>
              <w:rPr>
                <w:rFonts w:ascii="宋体" w:hAnsi="宋体"/>
                <w:color w:val="auto"/>
              </w:rPr>
            </w:pPr>
          </w:p>
        </w:tc>
        <w:tc>
          <w:tcPr>
            <w:tcW w:w="1590" w:type="dxa"/>
          </w:tcPr>
          <w:p>
            <w:pPr>
              <w:pStyle w:val="83"/>
              <w:spacing w:line="5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72" w:type="dxa"/>
          </w:tcPr>
          <w:p>
            <w:pPr>
              <w:pStyle w:val="83"/>
              <w:spacing w:line="500" w:lineRule="exact"/>
              <w:rPr>
                <w:rFonts w:ascii="宋体" w:hAnsi="宋体"/>
                <w:color w:val="auto"/>
              </w:rPr>
            </w:pPr>
          </w:p>
        </w:tc>
        <w:tc>
          <w:tcPr>
            <w:tcW w:w="2565" w:type="dxa"/>
          </w:tcPr>
          <w:p>
            <w:pPr>
              <w:pStyle w:val="83"/>
              <w:spacing w:line="500" w:lineRule="exact"/>
              <w:rPr>
                <w:rFonts w:ascii="宋体" w:hAnsi="宋体"/>
                <w:color w:val="auto"/>
              </w:rPr>
            </w:pPr>
          </w:p>
        </w:tc>
        <w:tc>
          <w:tcPr>
            <w:tcW w:w="1305" w:type="dxa"/>
          </w:tcPr>
          <w:p>
            <w:pPr>
              <w:pStyle w:val="83"/>
              <w:spacing w:line="500" w:lineRule="exact"/>
              <w:rPr>
                <w:rFonts w:ascii="宋体" w:hAnsi="宋体"/>
                <w:color w:val="auto"/>
              </w:rPr>
            </w:pPr>
          </w:p>
        </w:tc>
        <w:tc>
          <w:tcPr>
            <w:tcW w:w="1515" w:type="dxa"/>
          </w:tcPr>
          <w:p>
            <w:pPr>
              <w:pStyle w:val="83"/>
              <w:spacing w:line="500" w:lineRule="exact"/>
              <w:rPr>
                <w:rFonts w:ascii="宋体" w:hAnsi="宋体"/>
                <w:color w:val="auto"/>
              </w:rPr>
            </w:pPr>
          </w:p>
        </w:tc>
        <w:tc>
          <w:tcPr>
            <w:tcW w:w="1635" w:type="dxa"/>
          </w:tcPr>
          <w:p>
            <w:pPr>
              <w:pStyle w:val="83"/>
              <w:spacing w:line="500" w:lineRule="exact"/>
              <w:rPr>
                <w:rFonts w:ascii="宋体" w:hAnsi="宋体"/>
                <w:color w:val="auto"/>
              </w:rPr>
            </w:pPr>
          </w:p>
        </w:tc>
        <w:tc>
          <w:tcPr>
            <w:tcW w:w="1590" w:type="dxa"/>
          </w:tcPr>
          <w:p>
            <w:pPr>
              <w:pStyle w:val="83"/>
              <w:spacing w:line="5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772" w:type="dxa"/>
          </w:tcPr>
          <w:p>
            <w:pPr>
              <w:pStyle w:val="83"/>
              <w:spacing w:line="500" w:lineRule="exact"/>
              <w:rPr>
                <w:rFonts w:ascii="宋体" w:hAnsi="宋体"/>
                <w:color w:val="auto"/>
              </w:rPr>
            </w:pPr>
          </w:p>
        </w:tc>
        <w:tc>
          <w:tcPr>
            <w:tcW w:w="2565" w:type="dxa"/>
          </w:tcPr>
          <w:p>
            <w:pPr>
              <w:pStyle w:val="83"/>
              <w:spacing w:line="500" w:lineRule="exact"/>
              <w:rPr>
                <w:rFonts w:ascii="宋体" w:hAnsi="宋体"/>
                <w:color w:val="auto"/>
              </w:rPr>
            </w:pPr>
          </w:p>
        </w:tc>
        <w:tc>
          <w:tcPr>
            <w:tcW w:w="1305" w:type="dxa"/>
          </w:tcPr>
          <w:p>
            <w:pPr>
              <w:pStyle w:val="83"/>
              <w:spacing w:line="500" w:lineRule="exact"/>
              <w:rPr>
                <w:rFonts w:ascii="宋体" w:hAnsi="宋体"/>
                <w:color w:val="auto"/>
              </w:rPr>
            </w:pPr>
          </w:p>
        </w:tc>
        <w:tc>
          <w:tcPr>
            <w:tcW w:w="1515" w:type="dxa"/>
          </w:tcPr>
          <w:p>
            <w:pPr>
              <w:pStyle w:val="83"/>
              <w:spacing w:line="500" w:lineRule="exact"/>
              <w:rPr>
                <w:rFonts w:ascii="宋体" w:hAnsi="宋体"/>
                <w:color w:val="auto"/>
              </w:rPr>
            </w:pPr>
          </w:p>
        </w:tc>
        <w:tc>
          <w:tcPr>
            <w:tcW w:w="1635" w:type="dxa"/>
          </w:tcPr>
          <w:p>
            <w:pPr>
              <w:pStyle w:val="83"/>
              <w:spacing w:line="500" w:lineRule="exact"/>
              <w:rPr>
                <w:rFonts w:ascii="宋体" w:hAnsi="宋体"/>
                <w:color w:val="auto"/>
              </w:rPr>
            </w:pPr>
          </w:p>
        </w:tc>
        <w:tc>
          <w:tcPr>
            <w:tcW w:w="1590" w:type="dxa"/>
          </w:tcPr>
          <w:p>
            <w:pPr>
              <w:pStyle w:val="83"/>
              <w:spacing w:line="5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772" w:type="dxa"/>
          </w:tcPr>
          <w:p>
            <w:pPr>
              <w:pStyle w:val="83"/>
              <w:spacing w:line="500" w:lineRule="exact"/>
              <w:rPr>
                <w:rFonts w:ascii="宋体" w:hAnsi="宋体"/>
                <w:color w:val="auto"/>
              </w:rPr>
            </w:pPr>
          </w:p>
        </w:tc>
        <w:tc>
          <w:tcPr>
            <w:tcW w:w="2565" w:type="dxa"/>
          </w:tcPr>
          <w:p>
            <w:pPr>
              <w:pStyle w:val="83"/>
              <w:spacing w:line="500" w:lineRule="exact"/>
              <w:rPr>
                <w:rFonts w:ascii="宋体" w:hAnsi="宋体"/>
                <w:color w:val="auto"/>
              </w:rPr>
            </w:pPr>
          </w:p>
        </w:tc>
        <w:tc>
          <w:tcPr>
            <w:tcW w:w="1305" w:type="dxa"/>
          </w:tcPr>
          <w:p>
            <w:pPr>
              <w:pStyle w:val="83"/>
              <w:spacing w:line="500" w:lineRule="exact"/>
              <w:rPr>
                <w:rFonts w:ascii="宋体" w:hAnsi="宋体"/>
                <w:color w:val="auto"/>
              </w:rPr>
            </w:pPr>
          </w:p>
        </w:tc>
        <w:tc>
          <w:tcPr>
            <w:tcW w:w="1515" w:type="dxa"/>
          </w:tcPr>
          <w:p>
            <w:pPr>
              <w:pStyle w:val="83"/>
              <w:spacing w:line="500" w:lineRule="exact"/>
              <w:rPr>
                <w:rFonts w:ascii="宋体" w:hAnsi="宋体"/>
                <w:color w:val="auto"/>
              </w:rPr>
            </w:pPr>
          </w:p>
        </w:tc>
        <w:tc>
          <w:tcPr>
            <w:tcW w:w="1635" w:type="dxa"/>
          </w:tcPr>
          <w:p>
            <w:pPr>
              <w:pStyle w:val="83"/>
              <w:spacing w:line="500" w:lineRule="exact"/>
              <w:rPr>
                <w:rFonts w:ascii="宋体" w:hAnsi="宋体"/>
                <w:color w:val="auto"/>
              </w:rPr>
            </w:pPr>
          </w:p>
        </w:tc>
        <w:tc>
          <w:tcPr>
            <w:tcW w:w="1590" w:type="dxa"/>
          </w:tcPr>
          <w:p>
            <w:pPr>
              <w:pStyle w:val="83"/>
              <w:spacing w:line="5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772" w:type="dxa"/>
          </w:tcPr>
          <w:p>
            <w:pPr>
              <w:pStyle w:val="83"/>
              <w:spacing w:line="500" w:lineRule="exact"/>
              <w:rPr>
                <w:rFonts w:ascii="宋体" w:hAnsi="宋体"/>
                <w:color w:val="auto"/>
              </w:rPr>
            </w:pPr>
          </w:p>
        </w:tc>
        <w:tc>
          <w:tcPr>
            <w:tcW w:w="2565" w:type="dxa"/>
          </w:tcPr>
          <w:p>
            <w:pPr>
              <w:pStyle w:val="83"/>
              <w:spacing w:line="500" w:lineRule="exact"/>
              <w:rPr>
                <w:rFonts w:ascii="宋体" w:hAnsi="宋体"/>
                <w:color w:val="auto"/>
              </w:rPr>
            </w:pPr>
          </w:p>
        </w:tc>
        <w:tc>
          <w:tcPr>
            <w:tcW w:w="1305" w:type="dxa"/>
          </w:tcPr>
          <w:p>
            <w:pPr>
              <w:pStyle w:val="83"/>
              <w:spacing w:line="500" w:lineRule="exact"/>
              <w:rPr>
                <w:rFonts w:ascii="宋体" w:hAnsi="宋体"/>
                <w:color w:val="auto"/>
              </w:rPr>
            </w:pPr>
          </w:p>
        </w:tc>
        <w:tc>
          <w:tcPr>
            <w:tcW w:w="1515" w:type="dxa"/>
          </w:tcPr>
          <w:p>
            <w:pPr>
              <w:pStyle w:val="83"/>
              <w:spacing w:line="500" w:lineRule="exact"/>
              <w:rPr>
                <w:rFonts w:ascii="宋体" w:hAnsi="宋体"/>
                <w:color w:val="auto"/>
              </w:rPr>
            </w:pPr>
          </w:p>
        </w:tc>
        <w:tc>
          <w:tcPr>
            <w:tcW w:w="1635" w:type="dxa"/>
          </w:tcPr>
          <w:p>
            <w:pPr>
              <w:pStyle w:val="83"/>
              <w:spacing w:line="500" w:lineRule="exact"/>
              <w:rPr>
                <w:rFonts w:ascii="宋体" w:hAnsi="宋体"/>
                <w:color w:val="auto"/>
              </w:rPr>
            </w:pPr>
          </w:p>
        </w:tc>
        <w:tc>
          <w:tcPr>
            <w:tcW w:w="1590" w:type="dxa"/>
          </w:tcPr>
          <w:p>
            <w:pPr>
              <w:pStyle w:val="83"/>
              <w:spacing w:line="5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772" w:type="dxa"/>
          </w:tcPr>
          <w:p>
            <w:pPr>
              <w:pStyle w:val="83"/>
              <w:spacing w:line="500" w:lineRule="exact"/>
              <w:rPr>
                <w:rFonts w:ascii="宋体" w:hAnsi="宋体"/>
                <w:color w:val="auto"/>
              </w:rPr>
            </w:pPr>
          </w:p>
        </w:tc>
        <w:tc>
          <w:tcPr>
            <w:tcW w:w="2565" w:type="dxa"/>
          </w:tcPr>
          <w:p>
            <w:pPr>
              <w:pStyle w:val="83"/>
              <w:spacing w:line="500" w:lineRule="exact"/>
              <w:rPr>
                <w:rFonts w:ascii="宋体" w:hAnsi="宋体"/>
                <w:color w:val="auto"/>
              </w:rPr>
            </w:pPr>
          </w:p>
        </w:tc>
        <w:tc>
          <w:tcPr>
            <w:tcW w:w="1305" w:type="dxa"/>
          </w:tcPr>
          <w:p>
            <w:pPr>
              <w:pStyle w:val="83"/>
              <w:spacing w:line="500" w:lineRule="exact"/>
              <w:rPr>
                <w:rFonts w:ascii="宋体" w:hAnsi="宋体"/>
                <w:color w:val="auto"/>
              </w:rPr>
            </w:pPr>
          </w:p>
        </w:tc>
        <w:tc>
          <w:tcPr>
            <w:tcW w:w="1515" w:type="dxa"/>
          </w:tcPr>
          <w:p>
            <w:pPr>
              <w:pStyle w:val="83"/>
              <w:spacing w:line="500" w:lineRule="exact"/>
              <w:rPr>
                <w:rFonts w:ascii="宋体" w:hAnsi="宋体"/>
                <w:color w:val="auto"/>
              </w:rPr>
            </w:pPr>
          </w:p>
        </w:tc>
        <w:tc>
          <w:tcPr>
            <w:tcW w:w="1635" w:type="dxa"/>
          </w:tcPr>
          <w:p>
            <w:pPr>
              <w:pStyle w:val="83"/>
              <w:spacing w:line="500" w:lineRule="exact"/>
              <w:rPr>
                <w:rFonts w:ascii="宋体" w:hAnsi="宋体"/>
                <w:color w:val="auto"/>
              </w:rPr>
            </w:pPr>
          </w:p>
        </w:tc>
        <w:tc>
          <w:tcPr>
            <w:tcW w:w="1590" w:type="dxa"/>
          </w:tcPr>
          <w:p>
            <w:pPr>
              <w:pStyle w:val="83"/>
              <w:spacing w:line="5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772" w:type="dxa"/>
          </w:tcPr>
          <w:p>
            <w:pPr>
              <w:pStyle w:val="83"/>
              <w:spacing w:line="500" w:lineRule="exact"/>
              <w:rPr>
                <w:rFonts w:ascii="宋体" w:hAnsi="宋体"/>
                <w:color w:val="auto"/>
              </w:rPr>
            </w:pPr>
          </w:p>
        </w:tc>
        <w:tc>
          <w:tcPr>
            <w:tcW w:w="2565" w:type="dxa"/>
          </w:tcPr>
          <w:p>
            <w:pPr>
              <w:pStyle w:val="83"/>
              <w:spacing w:line="500" w:lineRule="exact"/>
              <w:rPr>
                <w:rFonts w:ascii="宋体" w:hAnsi="宋体"/>
                <w:color w:val="auto"/>
              </w:rPr>
            </w:pPr>
          </w:p>
        </w:tc>
        <w:tc>
          <w:tcPr>
            <w:tcW w:w="1305" w:type="dxa"/>
          </w:tcPr>
          <w:p>
            <w:pPr>
              <w:pStyle w:val="83"/>
              <w:spacing w:line="500" w:lineRule="exact"/>
              <w:rPr>
                <w:rFonts w:ascii="宋体" w:hAnsi="宋体"/>
                <w:color w:val="auto"/>
              </w:rPr>
            </w:pPr>
          </w:p>
        </w:tc>
        <w:tc>
          <w:tcPr>
            <w:tcW w:w="1515" w:type="dxa"/>
          </w:tcPr>
          <w:p>
            <w:pPr>
              <w:pStyle w:val="83"/>
              <w:spacing w:line="500" w:lineRule="exact"/>
              <w:rPr>
                <w:rFonts w:ascii="宋体" w:hAnsi="宋体"/>
                <w:color w:val="auto"/>
              </w:rPr>
            </w:pPr>
          </w:p>
        </w:tc>
        <w:tc>
          <w:tcPr>
            <w:tcW w:w="1635" w:type="dxa"/>
          </w:tcPr>
          <w:p>
            <w:pPr>
              <w:pStyle w:val="83"/>
              <w:spacing w:line="500" w:lineRule="exact"/>
              <w:rPr>
                <w:rFonts w:ascii="宋体" w:hAnsi="宋体"/>
                <w:color w:val="auto"/>
              </w:rPr>
            </w:pPr>
          </w:p>
        </w:tc>
        <w:tc>
          <w:tcPr>
            <w:tcW w:w="1590" w:type="dxa"/>
          </w:tcPr>
          <w:p>
            <w:pPr>
              <w:pStyle w:val="83"/>
              <w:spacing w:line="500" w:lineRule="exact"/>
              <w:rPr>
                <w:rFonts w:ascii="宋体" w:hAnsi="宋体"/>
                <w:color w:val="auto"/>
              </w:rPr>
            </w:pPr>
          </w:p>
        </w:tc>
      </w:tr>
    </w:tbl>
    <w:p>
      <w:pPr>
        <w:spacing w:line="500" w:lineRule="exact"/>
        <w:ind w:firstLine="484" w:firstLineChars="200"/>
        <w:rPr>
          <w:rFonts w:ascii="宋体" w:hAnsi="宋体"/>
          <w:color w:val="auto"/>
          <w:sz w:val="24"/>
          <w:szCs w:val="24"/>
        </w:rPr>
      </w:pPr>
      <w:r>
        <w:rPr>
          <w:rFonts w:hint="eastAsia" w:ascii="宋体" w:hAnsi="宋体" w:cs="仿宋_GB2312"/>
          <w:color w:val="auto"/>
          <w:sz w:val="24"/>
          <w:szCs w:val="24"/>
        </w:rPr>
        <w:t>注：</w:t>
      </w:r>
      <w:r>
        <w:rPr>
          <w:rFonts w:hint="eastAsia" w:ascii="宋体" w:hAnsi="宋体" w:cs="仿宋_GB2312"/>
          <w:b/>
          <w:bCs/>
          <w:color w:val="auto"/>
          <w:sz w:val="24"/>
          <w:szCs w:val="24"/>
        </w:rPr>
        <w:t>近两年（2019年0</w:t>
      </w:r>
      <w:r>
        <w:rPr>
          <w:rFonts w:hint="eastAsia" w:ascii="宋体" w:hAnsi="宋体" w:cs="仿宋_GB2312"/>
          <w:b/>
          <w:bCs/>
          <w:color w:val="auto"/>
          <w:sz w:val="24"/>
          <w:szCs w:val="24"/>
          <w:lang w:val="en-US" w:eastAsia="zh-CN"/>
        </w:rPr>
        <w:t>8</w:t>
      </w:r>
      <w:r>
        <w:rPr>
          <w:rFonts w:hint="eastAsia" w:ascii="宋体" w:hAnsi="宋体" w:cs="仿宋_GB2312"/>
          <w:b/>
          <w:bCs/>
          <w:color w:val="auto"/>
          <w:sz w:val="24"/>
          <w:szCs w:val="24"/>
        </w:rPr>
        <w:t>月01日至今）类似项目（附合同或中标通知书或成交通知书）。</w:t>
      </w:r>
    </w:p>
    <w:p>
      <w:pPr>
        <w:adjustRightInd w:val="0"/>
        <w:snapToGrid w:val="0"/>
        <w:spacing w:line="360" w:lineRule="auto"/>
        <w:ind w:firstLine="484" w:firstLineChars="200"/>
        <w:rPr>
          <w:rFonts w:ascii="宋体" w:hAnsi="宋体"/>
          <w:color w:val="auto"/>
          <w:sz w:val="24"/>
          <w:szCs w:val="21"/>
        </w:rPr>
      </w:pPr>
    </w:p>
    <w:p>
      <w:pPr>
        <w:adjustRightInd w:val="0"/>
        <w:snapToGrid w:val="0"/>
        <w:spacing w:line="360" w:lineRule="auto"/>
        <w:rPr>
          <w:rFonts w:ascii="宋体" w:hAnsi="宋体"/>
          <w:color w:val="auto"/>
          <w:sz w:val="24"/>
          <w:szCs w:val="21"/>
        </w:rPr>
      </w:pPr>
    </w:p>
    <w:p>
      <w:pPr>
        <w:adjustRightInd w:val="0"/>
        <w:snapToGrid w:val="0"/>
        <w:spacing w:line="360" w:lineRule="auto"/>
        <w:ind w:firstLine="484" w:firstLineChars="200"/>
        <w:rPr>
          <w:rFonts w:ascii="宋体" w:hAnsi="宋体"/>
          <w:color w:val="auto"/>
          <w:sz w:val="24"/>
          <w:szCs w:val="21"/>
        </w:rPr>
      </w:pPr>
    </w:p>
    <w:p>
      <w:pPr>
        <w:adjustRightInd w:val="0"/>
        <w:snapToGrid w:val="0"/>
        <w:spacing w:line="360" w:lineRule="auto"/>
        <w:ind w:firstLine="484" w:firstLineChars="200"/>
        <w:rPr>
          <w:rFonts w:ascii="宋体" w:hAnsi="宋体"/>
          <w:color w:val="auto"/>
          <w:sz w:val="24"/>
          <w:szCs w:val="21"/>
        </w:rPr>
      </w:pPr>
      <w:r>
        <w:rPr>
          <w:rFonts w:hint="eastAsia" w:ascii="宋体" w:hAnsi="宋体"/>
          <w:color w:val="auto"/>
          <w:sz w:val="24"/>
          <w:szCs w:val="21"/>
        </w:rPr>
        <w:t>投标人（盖单位章）：</w:t>
      </w:r>
    </w:p>
    <w:p>
      <w:pPr>
        <w:adjustRightInd w:val="0"/>
        <w:snapToGrid w:val="0"/>
        <w:spacing w:line="360" w:lineRule="auto"/>
        <w:ind w:left="483" w:leftChars="228" w:firstLine="9438" w:firstLineChars="3900"/>
        <w:rPr>
          <w:rFonts w:ascii="宋体" w:hAnsi="宋体"/>
          <w:color w:val="auto"/>
          <w:sz w:val="24"/>
          <w:szCs w:val="21"/>
        </w:rPr>
      </w:pPr>
      <w:r>
        <w:rPr>
          <w:rFonts w:hint="eastAsia" w:ascii="宋体" w:hAnsi="宋体"/>
          <w:color w:val="auto"/>
          <w:sz w:val="24"/>
          <w:szCs w:val="21"/>
        </w:rPr>
        <w:t xml:space="preserve"> 法定代表人或其委托代理人签字：</w:t>
      </w:r>
      <w:r>
        <w:rPr>
          <w:rFonts w:hint="eastAsia" w:ascii="宋体" w:hAnsi="宋体"/>
          <w:color w:val="auto"/>
          <w:sz w:val="24"/>
          <w:szCs w:val="21"/>
          <w:u w:val="single"/>
        </w:rPr>
        <w:t xml:space="preserve">       </w:t>
      </w:r>
    </w:p>
    <w:p>
      <w:pPr>
        <w:adjustRightInd w:val="0"/>
        <w:snapToGrid w:val="0"/>
        <w:spacing w:line="360" w:lineRule="auto"/>
        <w:ind w:left="483" w:leftChars="228" w:right="24" w:firstLine="9438" w:firstLineChars="3900"/>
        <w:rPr>
          <w:rFonts w:ascii="宋体" w:hAnsi="宋体"/>
          <w:color w:val="auto"/>
          <w:sz w:val="24"/>
          <w:szCs w:val="21"/>
        </w:rPr>
      </w:pPr>
      <w:r>
        <w:rPr>
          <w:rFonts w:hint="eastAsia" w:ascii="宋体" w:hAnsi="宋体"/>
          <w:color w:val="auto"/>
          <w:sz w:val="24"/>
          <w:szCs w:val="21"/>
        </w:rPr>
        <w:t xml:space="preserve">  日期：</w:t>
      </w:r>
      <w:r>
        <w:rPr>
          <w:rFonts w:hint="eastAsia" w:ascii="宋体" w:hAnsi="宋体"/>
          <w:color w:val="auto"/>
          <w:sz w:val="24"/>
          <w:szCs w:val="21"/>
          <w:u w:val="single"/>
        </w:rPr>
        <w:t xml:space="preserve">         </w:t>
      </w:r>
      <w:r>
        <w:rPr>
          <w:rFonts w:hint="eastAsia" w:ascii="宋体" w:hAnsi="宋体"/>
          <w:color w:val="auto"/>
          <w:sz w:val="24"/>
          <w:szCs w:val="21"/>
        </w:rPr>
        <w:t>年</w:t>
      </w:r>
      <w:r>
        <w:rPr>
          <w:rFonts w:hint="eastAsia" w:ascii="宋体" w:hAnsi="宋体"/>
          <w:color w:val="auto"/>
          <w:sz w:val="24"/>
          <w:szCs w:val="21"/>
          <w:u w:val="single"/>
        </w:rPr>
        <w:t xml:space="preserve">    </w:t>
      </w:r>
      <w:r>
        <w:rPr>
          <w:rFonts w:hint="eastAsia" w:ascii="宋体" w:hAnsi="宋体"/>
          <w:color w:val="auto"/>
          <w:sz w:val="24"/>
          <w:szCs w:val="21"/>
        </w:rPr>
        <w:t>月</w:t>
      </w:r>
      <w:r>
        <w:rPr>
          <w:rFonts w:hint="eastAsia" w:ascii="宋体" w:hAnsi="宋体"/>
          <w:color w:val="auto"/>
          <w:sz w:val="24"/>
          <w:szCs w:val="21"/>
          <w:u w:val="single"/>
        </w:rPr>
        <w:t xml:space="preserve">   </w:t>
      </w:r>
      <w:r>
        <w:rPr>
          <w:rFonts w:hint="eastAsia" w:ascii="宋体" w:hAnsi="宋体"/>
          <w:color w:val="auto"/>
          <w:sz w:val="24"/>
          <w:szCs w:val="21"/>
        </w:rPr>
        <w:t>日</w:t>
      </w:r>
    </w:p>
    <w:p>
      <w:pPr>
        <w:adjustRightInd w:val="0"/>
        <w:snapToGrid w:val="0"/>
        <w:spacing w:line="360" w:lineRule="auto"/>
        <w:ind w:left="483" w:leftChars="228" w:right="24" w:firstLine="9438" w:firstLineChars="3900"/>
        <w:rPr>
          <w:rFonts w:ascii="宋体" w:hAnsi="宋体"/>
          <w:color w:val="auto"/>
          <w:sz w:val="24"/>
          <w:szCs w:val="21"/>
        </w:rPr>
      </w:pPr>
    </w:p>
    <w:p>
      <w:pPr>
        <w:spacing w:line="500" w:lineRule="exact"/>
        <w:rPr>
          <w:rFonts w:ascii="宋体" w:hAnsi="宋体"/>
          <w:color w:val="auto"/>
          <w:sz w:val="24"/>
          <w:szCs w:val="24"/>
        </w:rPr>
      </w:pPr>
    </w:p>
    <w:p>
      <w:pPr>
        <w:pStyle w:val="2"/>
        <w:rPr>
          <w:color w:val="auto"/>
        </w:rPr>
      </w:pPr>
    </w:p>
    <w:p>
      <w:pPr>
        <w:pStyle w:val="24"/>
        <w:ind w:firstLine="424" w:firstLineChars="200"/>
        <w:rPr>
          <w:color w:val="auto"/>
          <w:szCs w:val="24"/>
        </w:rPr>
      </w:pPr>
    </w:p>
    <w:p>
      <w:pPr>
        <w:pStyle w:val="24"/>
        <w:jc w:val="center"/>
        <w:rPr>
          <w:rFonts w:ascii="Times New Roman" w:hAnsi="Times New Roman" w:eastAsia="MingLiU_HKSCS"/>
          <w:b/>
          <w:bCs/>
          <w:color w:val="auto"/>
          <w:sz w:val="24"/>
          <w:szCs w:val="24"/>
        </w:rPr>
      </w:pPr>
      <w:r>
        <w:rPr>
          <w:rFonts w:hint="eastAsia" w:ascii="Times New Roman" w:hAnsi="Times New Roman"/>
          <w:b/>
          <w:bCs/>
          <w:color w:val="auto"/>
          <w:sz w:val="24"/>
          <w:szCs w:val="24"/>
        </w:rPr>
        <w:t>八、提供符合政府采购政策的证明材料</w:t>
      </w:r>
    </w:p>
    <w:p>
      <w:pPr>
        <w:pStyle w:val="24"/>
        <w:spacing w:line="440" w:lineRule="exact"/>
        <w:ind w:firstLine="484" w:firstLineChars="200"/>
        <w:rPr>
          <w:rFonts w:ascii="Times New Roman" w:hAnsi="Times New Roman"/>
          <w:color w:val="auto"/>
          <w:sz w:val="24"/>
          <w:szCs w:val="24"/>
        </w:rPr>
      </w:pPr>
      <w:r>
        <w:rPr>
          <w:rFonts w:hint="eastAsia" w:ascii="Times New Roman" w:hAnsi="Times New Roman"/>
          <w:color w:val="auto"/>
          <w:sz w:val="24"/>
          <w:szCs w:val="24"/>
        </w:rPr>
        <w:t>附件3-1</w:t>
      </w:r>
    </w:p>
    <w:p>
      <w:pPr>
        <w:tabs>
          <w:tab w:val="left" w:pos="814"/>
        </w:tabs>
        <w:spacing w:line="440" w:lineRule="exact"/>
        <w:jc w:val="center"/>
        <w:rPr>
          <w:color w:val="auto"/>
          <w:sz w:val="24"/>
          <w:szCs w:val="24"/>
        </w:rPr>
      </w:pPr>
      <w:r>
        <w:rPr>
          <w:rFonts w:hint="eastAsia"/>
          <w:color w:val="auto"/>
          <w:sz w:val="24"/>
          <w:szCs w:val="24"/>
        </w:rPr>
        <w:t>中小企业声明函</w:t>
      </w:r>
    </w:p>
    <w:p>
      <w:pPr>
        <w:pStyle w:val="24"/>
        <w:spacing w:line="440" w:lineRule="exact"/>
        <w:ind w:firstLine="484" w:firstLineChars="200"/>
        <w:rPr>
          <w:rFonts w:ascii="Times New Roman" w:hAnsi="Times New Roman" w:eastAsia="MingLiU_HKSCS"/>
          <w:color w:val="auto"/>
          <w:sz w:val="24"/>
          <w:szCs w:val="24"/>
        </w:rPr>
      </w:pPr>
      <w:r>
        <w:rPr>
          <w:rFonts w:hint="eastAsia" w:ascii="Times New Roman" w:hAnsi="Times New Roman"/>
          <w:color w:val="auto"/>
          <w:sz w:val="24"/>
          <w:szCs w:val="24"/>
        </w:rPr>
        <w:t>本单位郑重声明</w:t>
      </w:r>
      <w:r>
        <w:rPr>
          <w:rFonts w:hint="eastAsia" w:ascii="Times New Roman" w:hAnsi="Times New Roman" w:eastAsia="MingLiU_HKSCS"/>
          <w:color w:val="auto"/>
          <w:sz w:val="24"/>
          <w:szCs w:val="24"/>
        </w:rPr>
        <w:t>，</w:t>
      </w:r>
      <w:r>
        <w:rPr>
          <w:rFonts w:hint="eastAsia" w:ascii="Times New Roman" w:hAnsi="Times New Roman"/>
          <w:color w:val="auto"/>
          <w:sz w:val="24"/>
          <w:szCs w:val="24"/>
        </w:rPr>
        <w:t>根据《政府采购促进中小企业发展暂行办法》</w:t>
      </w:r>
      <w:r>
        <w:rPr>
          <w:rFonts w:ascii="Times New Roman" w:hAnsi="Times New Roman"/>
          <w:color w:val="auto"/>
          <w:sz w:val="24"/>
          <w:szCs w:val="24"/>
        </w:rPr>
        <w:t>(</w:t>
      </w:r>
      <w:r>
        <w:rPr>
          <w:rFonts w:hint="eastAsia" w:ascii="Times New Roman" w:hAnsi="Times New Roman"/>
          <w:color w:val="auto"/>
          <w:sz w:val="24"/>
          <w:szCs w:val="24"/>
        </w:rPr>
        <w:t>财库〔</w:t>
      </w:r>
      <w:r>
        <w:rPr>
          <w:rFonts w:ascii="Times New Roman" w:hAnsi="Times New Roman"/>
          <w:color w:val="auto"/>
          <w:sz w:val="24"/>
          <w:szCs w:val="24"/>
        </w:rPr>
        <w:t>2011</w:t>
      </w:r>
      <w:r>
        <w:rPr>
          <w:rFonts w:hint="eastAsia" w:ascii="Times New Roman" w:hAnsi="Times New Roman"/>
          <w:color w:val="auto"/>
          <w:sz w:val="24"/>
          <w:szCs w:val="24"/>
        </w:rPr>
        <w:t>〕</w:t>
      </w:r>
      <w:r>
        <w:rPr>
          <w:rFonts w:ascii="Times New Roman" w:hAnsi="Times New Roman"/>
          <w:color w:val="auto"/>
          <w:sz w:val="24"/>
          <w:szCs w:val="24"/>
        </w:rPr>
        <w:t>181</w:t>
      </w:r>
      <w:r>
        <w:rPr>
          <w:rFonts w:hint="eastAsia" w:ascii="Times New Roman" w:hAnsi="Times New Roman"/>
          <w:color w:val="auto"/>
          <w:sz w:val="24"/>
          <w:szCs w:val="24"/>
        </w:rPr>
        <w:t>号</w:t>
      </w:r>
      <w:r>
        <w:rPr>
          <w:rFonts w:ascii="Times New Roman" w:hAnsi="Times New Roman"/>
          <w:color w:val="auto"/>
          <w:sz w:val="24"/>
          <w:szCs w:val="24"/>
        </w:rPr>
        <w:t>)</w:t>
      </w:r>
      <w:r>
        <w:rPr>
          <w:rFonts w:hint="eastAsia" w:ascii="Times New Roman" w:hAnsi="Times New Roman"/>
          <w:color w:val="auto"/>
          <w:sz w:val="24"/>
          <w:szCs w:val="24"/>
        </w:rPr>
        <w:t>的规定</w:t>
      </w:r>
      <w:r>
        <w:rPr>
          <w:rFonts w:hint="eastAsia" w:ascii="Times New Roman" w:hAnsi="Times New Roman" w:eastAsia="MingLiU_HKSCS"/>
          <w:color w:val="auto"/>
          <w:sz w:val="24"/>
          <w:szCs w:val="24"/>
        </w:rPr>
        <w:t>，</w:t>
      </w:r>
      <w:r>
        <w:rPr>
          <w:rFonts w:hint="eastAsia" w:ascii="Times New Roman" w:hAnsi="Times New Roman"/>
          <w:color w:val="auto"/>
          <w:sz w:val="24"/>
          <w:szCs w:val="24"/>
        </w:rPr>
        <w:t>本单位为</w:t>
      </w:r>
      <w:r>
        <w:rPr>
          <w:rFonts w:ascii="Times New Roman" w:hAnsi="Times New Roman"/>
          <w:color w:val="auto"/>
          <w:sz w:val="24"/>
          <w:szCs w:val="24"/>
        </w:rPr>
        <w:t>____________(</w:t>
      </w:r>
      <w:r>
        <w:rPr>
          <w:rFonts w:hint="eastAsia" w:ascii="Times New Roman" w:hAnsi="Times New Roman"/>
          <w:color w:val="auto"/>
          <w:sz w:val="24"/>
          <w:szCs w:val="24"/>
        </w:rPr>
        <w:t>请填写：中型、小型、微型</w:t>
      </w:r>
      <w:r>
        <w:rPr>
          <w:rFonts w:ascii="Times New Roman" w:hAnsi="Times New Roman"/>
          <w:color w:val="auto"/>
          <w:sz w:val="24"/>
          <w:szCs w:val="24"/>
        </w:rPr>
        <w:t>)</w:t>
      </w:r>
      <w:r>
        <w:rPr>
          <w:rFonts w:hint="eastAsia" w:ascii="Times New Roman" w:hAnsi="Times New Roman"/>
          <w:color w:val="auto"/>
          <w:sz w:val="24"/>
          <w:szCs w:val="24"/>
        </w:rPr>
        <w:t>企业。即</w:t>
      </w:r>
      <w:r>
        <w:rPr>
          <w:rFonts w:hint="eastAsia" w:ascii="Times New Roman" w:hAnsi="Times New Roman" w:eastAsia="MingLiU_HKSCS"/>
          <w:color w:val="auto"/>
          <w:sz w:val="24"/>
          <w:szCs w:val="24"/>
        </w:rPr>
        <w:t>，</w:t>
      </w:r>
      <w:r>
        <w:rPr>
          <w:rFonts w:hint="eastAsia" w:ascii="Times New Roman" w:hAnsi="Times New Roman"/>
          <w:color w:val="auto"/>
          <w:sz w:val="24"/>
          <w:szCs w:val="24"/>
        </w:rPr>
        <w:t>本单位同时满足以下条件：</w:t>
      </w:r>
    </w:p>
    <w:p>
      <w:pPr>
        <w:pStyle w:val="24"/>
        <w:spacing w:line="440" w:lineRule="exact"/>
        <w:ind w:firstLine="484" w:firstLineChars="200"/>
        <w:rPr>
          <w:rFonts w:ascii="Times New Roman" w:hAnsi="Times New Roman" w:eastAsia="MingLiU_HKSCS"/>
          <w:color w:val="auto"/>
          <w:sz w:val="24"/>
          <w:szCs w:val="24"/>
        </w:rPr>
      </w:pPr>
      <w:r>
        <w:rPr>
          <w:rFonts w:ascii="Times New Roman" w:hAnsi="Times New Roman"/>
          <w:color w:val="auto"/>
          <w:sz w:val="24"/>
          <w:szCs w:val="24"/>
        </w:rPr>
        <w:t>1.</w:t>
      </w:r>
      <w:r>
        <w:rPr>
          <w:rFonts w:hint="eastAsia" w:ascii="Times New Roman" w:hAnsi="Times New Roman"/>
          <w:color w:val="auto"/>
          <w:sz w:val="24"/>
          <w:szCs w:val="24"/>
        </w:rPr>
        <w:t>根据《工业和信息化部　国家统计局　国家发展和改革委员会　财政部关于印发中小企业划型标准规定的通知》</w:t>
      </w:r>
      <w:r>
        <w:rPr>
          <w:rFonts w:ascii="Times New Roman" w:hAnsi="Times New Roman"/>
          <w:color w:val="auto"/>
          <w:sz w:val="24"/>
          <w:szCs w:val="24"/>
        </w:rPr>
        <w:t>(</w:t>
      </w:r>
      <w:r>
        <w:rPr>
          <w:rFonts w:hint="eastAsia" w:ascii="Times New Roman" w:hAnsi="Times New Roman"/>
          <w:color w:val="auto"/>
          <w:sz w:val="24"/>
          <w:szCs w:val="24"/>
        </w:rPr>
        <w:t>工信部联企业〔</w:t>
      </w:r>
      <w:r>
        <w:rPr>
          <w:rFonts w:ascii="Times New Roman" w:hAnsi="Times New Roman"/>
          <w:color w:val="auto"/>
          <w:sz w:val="24"/>
          <w:szCs w:val="24"/>
        </w:rPr>
        <w:t>2011</w:t>
      </w:r>
      <w:r>
        <w:rPr>
          <w:rFonts w:hint="eastAsia" w:ascii="Times New Roman" w:hAnsi="Times New Roman"/>
          <w:color w:val="auto"/>
          <w:sz w:val="24"/>
          <w:szCs w:val="24"/>
        </w:rPr>
        <w:t>〕</w:t>
      </w:r>
      <w:r>
        <w:rPr>
          <w:rFonts w:ascii="Times New Roman" w:hAnsi="Times New Roman"/>
          <w:color w:val="auto"/>
          <w:sz w:val="24"/>
          <w:szCs w:val="24"/>
        </w:rPr>
        <w:t>300</w:t>
      </w:r>
      <w:r>
        <w:rPr>
          <w:rFonts w:hint="eastAsia" w:ascii="Times New Roman" w:hAnsi="Times New Roman"/>
          <w:color w:val="auto"/>
          <w:sz w:val="24"/>
          <w:szCs w:val="24"/>
        </w:rPr>
        <w:t>号</w:t>
      </w:r>
      <w:r>
        <w:rPr>
          <w:rFonts w:ascii="Times New Roman" w:hAnsi="Times New Roman"/>
          <w:color w:val="auto"/>
          <w:sz w:val="24"/>
          <w:szCs w:val="24"/>
        </w:rPr>
        <w:t>)</w:t>
      </w:r>
      <w:r>
        <w:rPr>
          <w:rFonts w:hint="eastAsia" w:ascii="Times New Roman" w:hAnsi="Times New Roman"/>
          <w:color w:val="auto"/>
          <w:sz w:val="24"/>
          <w:szCs w:val="24"/>
        </w:rPr>
        <w:t>规定的划分标准</w:t>
      </w:r>
      <w:r>
        <w:rPr>
          <w:rFonts w:hint="eastAsia" w:ascii="Times New Roman" w:hAnsi="Times New Roman" w:eastAsia="MingLiU_HKSCS"/>
          <w:color w:val="auto"/>
          <w:sz w:val="24"/>
          <w:szCs w:val="24"/>
        </w:rPr>
        <w:t>，</w:t>
      </w:r>
      <w:r>
        <w:rPr>
          <w:rFonts w:hint="eastAsia" w:ascii="Times New Roman" w:hAnsi="Times New Roman"/>
          <w:color w:val="auto"/>
          <w:sz w:val="24"/>
          <w:szCs w:val="24"/>
        </w:rPr>
        <w:t>本单位为</w:t>
      </w:r>
      <w:r>
        <w:rPr>
          <w:rFonts w:ascii="Times New Roman" w:hAnsi="Times New Roman"/>
          <w:color w:val="auto"/>
          <w:sz w:val="24"/>
          <w:szCs w:val="24"/>
        </w:rPr>
        <w:t>______(</w:t>
      </w:r>
      <w:r>
        <w:rPr>
          <w:rFonts w:hint="eastAsia" w:ascii="Times New Roman" w:hAnsi="Times New Roman"/>
          <w:color w:val="auto"/>
          <w:sz w:val="24"/>
          <w:szCs w:val="24"/>
        </w:rPr>
        <w:t>请填写：中型、小型、微型</w:t>
      </w:r>
      <w:r>
        <w:rPr>
          <w:rFonts w:ascii="Times New Roman" w:hAnsi="Times New Roman"/>
          <w:color w:val="auto"/>
          <w:sz w:val="24"/>
          <w:szCs w:val="24"/>
        </w:rPr>
        <w:t>)</w:t>
      </w:r>
      <w:r>
        <w:rPr>
          <w:rFonts w:hint="eastAsia" w:ascii="Times New Roman" w:hAnsi="Times New Roman"/>
          <w:color w:val="auto"/>
          <w:sz w:val="24"/>
          <w:szCs w:val="24"/>
        </w:rPr>
        <w:t>企业。</w:t>
      </w:r>
    </w:p>
    <w:p>
      <w:pPr>
        <w:pStyle w:val="24"/>
        <w:spacing w:line="440" w:lineRule="exact"/>
        <w:ind w:firstLine="484" w:firstLineChars="200"/>
        <w:rPr>
          <w:rFonts w:ascii="Times New Roman" w:hAnsi="Times New Roman" w:eastAsia="MingLiU_HKSCS"/>
          <w:color w:val="auto"/>
          <w:sz w:val="24"/>
          <w:szCs w:val="24"/>
        </w:rPr>
      </w:pPr>
      <w:r>
        <w:rPr>
          <w:rFonts w:ascii="Times New Roman" w:hAnsi="Times New Roman"/>
          <w:color w:val="auto"/>
          <w:sz w:val="24"/>
          <w:szCs w:val="24"/>
        </w:rPr>
        <w:t>2.</w:t>
      </w:r>
      <w:r>
        <w:rPr>
          <w:rFonts w:hint="eastAsia" w:ascii="Times New Roman" w:hAnsi="Times New Roman"/>
          <w:color w:val="auto"/>
          <w:sz w:val="24"/>
          <w:szCs w:val="24"/>
        </w:rPr>
        <w:t>本单位参加</w:t>
      </w:r>
      <w:r>
        <w:rPr>
          <w:rFonts w:ascii="Times New Roman" w:hAnsi="Times New Roman"/>
          <w:color w:val="auto"/>
          <w:sz w:val="24"/>
          <w:szCs w:val="24"/>
        </w:rPr>
        <w:t>____________</w:t>
      </w:r>
      <w:r>
        <w:rPr>
          <w:rFonts w:hint="eastAsia" w:ascii="Times New Roman" w:hAnsi="Times New Roman"/>
          <w:color w:val="auto"/>
          <w:sz w:val="24"/>
          <w:szCs w:val="24"/>
        </w:rPr>
        <w:t>单位的</w:t>
      </w:r>
      <w:r>
        <w:rPr>
          <w:rFonts w:ascii="Times New Roman" w:hAnsi="Times New Roman"/>
          <w:color w:val="auto"/>
          <w:sz w:val="24"/>
          <w:szCs w:val="24"/>
        </w:rPr>
        <w:t>____________</w:t>
      </w:r>
      <w:r>
        <w:rPr>
          <w:rFonts w:hint="eastAsia" w:ascii="Times New Roman" w:hAnsi="Times New Roman"/>
          <w:color w:val="auto"/>
          <w:sz w:val="24"/>
          <w:szCs w:val="24"/>
        </w:rPr>
        <w:t>项目采购活动提供本企业制造的货物</w:t>
      </w:r>
      <w:r>
        <w:rPr>
          <w:rFonts w:hint="eastAsia" w:ascii="Times New Roman" w:hAnsi="Times New Roman" w:eastAsia="MingLiU_HKSCS"/>
          <w:color w:val="auto"/>
          <w:sz w:val="24"/>
          <w:szCs w:val="24"/>
        </w:rPr>
        <w:t>，</w:t>
      </w:r>
      <w:r>
        <w:rPr>
          <w:rFonts w:hint="eastAsia" w:ascii="Times New Roman" w:hAnsi="Times New Roman"/>
          <w:color w:val="auto"/>
          <w:sz w:val="24"/>
          <w:szCs w:val="24"/>
        </w:rPr>
        <w:t>由本企业提供服务</w:t>
      </w:r>
      <w:r>
        <w:rPr>
          <w:rFonts w:hint="eastAsia" w:ascii="Times New Roman" w:hAnsi="Times New Roman" w:eastAsia="MingLiU_HKSCS"/>
          <w:color w:val="auto"/>
          <w:sz w:val="24"/>
          <w:szCs w:val="24"/>
        </w:rPr>
        <w:t>，</w:t>
      </w:r>
      <w:r>
        <w:rPr>
          <w:rFonts w:hint="eastAsia" w:ascii="Times New Roman" w:hAnsi="Times New Roman"/>
          <w:color w:val="auto"/>
          <w:sz w:val="24"/>
          <w:szCs w:val="24"/>
        </w:rPr>
        <w:t>或者提供其他</w:t>
      </w:r>
      <w:r>
        <w:rPr>
          <w:rFonts w:ascii="Times New Roman" w:hAnsi="Times New Roman"/>
          <w:color w:val="auto"/>
          <w:sz w:val="24"/>
          <w:szCs w:val="24"/>
        </w:rPr>
        <w:t>____________(</w:t>
      </w:r>
      <w:r>
        <w:rPr>
          <w:rFonts w:hint="eastAsia" w:ascii="Times New Roman" w:hAnsi="Times New Roman"/>
          <w:color w:val="auto"/>
          <w:sz w:val="24"/>
          <w:szCs w:val="24"/>
        </w:rPr>
        <w:t>请填写：中型、小型、微型</w:t>
      </w:r>
      <w:r>
        <w:rPr>
          <w:rFonts w:ascii="Times New Roman" w:hAnsi="Times New Roman"/>
          <w:color w:val="auto"/>
          <w:sz w:val="24"/>
          <w:szCs w:val="24"/>
        </w:rPr>
        <w:t>)</w:t>
      </w:r>
      <w:r>
        <w:rPr>
          <w:rFonts w:hint="eastAsia" w:ascii="Times New Roman" w:hAnsi="Times New Roman"/>
          <w:color w:val="auto"/>
          <w:sz w:val="24"/>
          <w:szCs w:val="24"/>
        </w:rPr>
        <w:t>企业制造的货物。本条所称货物不包括使用大型企业注册商标的货物。</w:t>
      </w:r>
    </w:p>
    <w:p>
      <w:pPr>
        <w:pStyle w:val="24"/>
        <w:spacing w:line="440" w:lineRule="exact"/>
        <w:ind w:firstLine="484" w:firstLineChars="200"/>
        <w:rPr>
          <w:rFonts w:ascii="Times New Roman" w:hAnsi="Times New Roman" w:eastAsia="MingLiU_HKSCS"/>
          <w:color w:val="auto"/>
          <w:sz w:val="24"/>
          <w:szCs w:val="24"/>
        </w:rPr>
      </w:pPr>
      <w:r>
        <w:rPr>
          <w:rFonts w:hint="eastAsia" w:ascii="Times New Roman" w:hAnsi="Times New Roman"/>
          <w:color w:val="auto"/>
          <w:sz w:val="24"/>
          <w:szCs w:val="24"/>
        </w:rPr>
        <w:t>本单位对上述声明的真实性负责。如有虚假</w:t>
      </w:r>
      <w:r>
        <w:rPr>
          <w:rFonts w:hint="eastAsia" w:ascii="Times New Roman" w:hAnsi="Times New Roman" w:eastAsia="MingLiU_HKSCS"/>
          <w:color w:val="auto"/>
          <w:sz w:val="24"/>
          <w:szCs w:val="24"/>
        </w:rPr>
        <w:t>，</w:t>
      </w:r>
      <w:r>
        <w:rPr>
          <w:rFonts w:hint="eastAsia" w:ascii="Times New Roman" w:hAnsi="Times New Roman"/>
          <w:color w:val="auto"/>
          <w:sz w:val="24"/>
          <w:szCs w:val="24"/>
        </w:rPr>
        <w:t>将依法承担相应责任。</w:t>
      </w:r>
    </w:p>
    <w:p>
      <w:pPr>
        <w:pStyle w:val="24"/>
        <w:spacing w:line="440" w:lineRule="exact"/>
        <w:ind w:firstLine="484" w:firstLineChars="200"/>
        <w:rPr>
          <w:rFonts w:ascii="Times New Roman" w:hAnsi="Times New Roman" w:eastAsia="MingLiU_HKSCS"/>
          <w:color w:val="auto"/>
          <w:sz w:val="24"/>
          <w:szCs w:val="24"/>
        </w:rPr>
      </w:pPr>
    </w:p>
    <w:p>
      <w:pPr>
        <w:pStyle w:val="24"/>
        <w:spacing w:line="440" w:lineRule="exact"/>
        <w:ind w:firstLine="484" w:firstLineChars="200"/>
        <w:jc w:val="right"/>
        <w:rPr>
          <w:rFonts w:ascii="Times New Roman" w:hAnsi="Times New Roman" w:eastAsia="MingLiU_HKSCS"/>
          <w:color w:val="auto"/>
          <w:sz w:val="24"/>
          <w:szCs w:val="24"/>
        </w:rPr>
      </w:pPr>
      <w:r>
        <w:rPr>
          <w:rFonts w:hint="eastAsia" w:ascii="Times New Roman" w:hAnsi="Times New Roman"/>
          <w:color w:val="auto"/>
          <w:sz w:val="24"/>
          <w:szCs w:val="24"/>
        </w:rPr>
        <w:t>企业名称</w:t>
      </w:r>
      <w:r>
        <w:rPr>
          <w:rFonts w:ascii="Times New Roman" w:hAnsi="Times New Roman"/>
          <w:color w:val="auto"/>
          <w:sz w:val="24"/>
          <w:szCs w:val="24"/>
        </w:rPr>
        <w:t>(</w:t>
      </w:r>
      <w:r>
        <w:rPr>
          <w:rFonts w:hint="eastAsia" w:ascii="Times New Roman" w:hAnsi="Times New Roman"/>
          <w:color w:val="auto"/>
          <w:sz w:val="24"/>
          <w:szCs w:val="24"/>
        </w:rPr>
        <w:t>公章</w:t>
      </w:r>
      <w:r>
        <w:rPr>
          <w:rFonts w:ascii="Times New Roman" w:hAnsi="Times New Roman"/>
          <w:color w:val="auto"/>
          <w:sz w:val="24"/>
          <w:szCs w:val="24"/>
        </w:rPr>
        <w:t>)</w:t>
      </w:r>
      <w:r>
        <w:rPr>
          <w:rFonts w:hint="eastAsia" w:ascii="Times New Roman" w:hAnsi="Times New Roman"/>
          <w:color w:val="auto"/>
          <w:sz w:val="24"/>
          <w:szCs w:val="24"/>
        </w:rPr>
        <w:t>：</w:t>
      </w:r>
      <w:r>
        <w:rPr>
          <w:rFonts w:ascii="Times New Roman" w:hAnsi="Times New Roman"/>
          <w:color w:val="auto"/>
          <w:sz w:val="24"/>
          <w:szCs w:val="24"/>
        </w:rPr>
        <w:t>____________</w:t>
      </w:r>
      <w:r>
        <w:rPr>
          <w:rFonts w:ascii="Times New Roman" w:hAnsi="Times New Roman"/>
          <w:color w:val="auto"/>
          <w:sz w:val="24"/>
          <w:szCs w:val="24"/>
        </w:rPr>
        <w:tab/>
      </w:r>
      <w:r>
        <w:rPr>
          <w:rFonts w:ascii="Times New Roman" w:hAnsi="Times New Roman"/>
          <w:color w:val="auto"/>
          <w:sz w:val="24"/>
          <w:szCs w:val="24"/>
        </w:rPr>
        <w:tab/>
      </w:r>
    </w:p>
    <w:p>
      <w:pPr>
        <w:pStyle w:val="24"/>
        <w:spacing w:line="440" w:lineRule="exact"/>
        <w:ind w:firstLine="484" w:firstLineChars="200"/>
        <w:jc w:val="center"/>
        <w:rPr>
          <w:rFonts w:ascii="Times New Roman" w:hAnsi="Times New Roman" w:eastAsia="MingLiU_HKSCS"/>
          <w:color w:val="auto"/>
          <w:sz w:val="24"/>
          <w:szCs w:val="24"/>
        </w:rPr>
      </w:pPr>
      <w:r>
        <w:rPr>
          <w:rFonts w:hint="eastAsia" w:ascii="Times New Roman" w:hAnsi="Times New Roman"/>
          <w:color w:val="auto"/>
          <w:sz w:val="24"/>
          <w:szCs w:val="24"/>
        </w:rPr>
        <w:t xml:space="preserve">                                      日  期：</w:t>
      </w:r>
      <w:r>
        <w:rPr>
          <w:rFonts w:ascii="Times New Roman" w:hAnsi="Times New Roman"/>
          <w:color w:val="auto"/>
          <w:sz w:val="24"/>
          <w:szCs w:val="24"/>
        </w:rPr>
        <w:t>________________________</w:t>
      </w:r>
      <w:r>
        <w:rPr>
          <w:rFonts w:ascii="Times New Roman" w:hAnsi="Times New Roman"/>
          <w:color w:val="auto"/>
          <w:sz w:val="24"/>
          <w:szCs w:val="24"/>
        </w:rPr>
        <w:tab/>
      </w:r>
    </w:p>
    <w:p>
      <w:pPr>
        <w:pStyle w:val="24"/>
        <w:spacing w:line="440" w:lineRule="exact"/>
        <w:ind w:firstLine="484" w:firstLineChars="200"/>
        <w:rPr>
          <w:rFonts w:ascii="Times New Roman" w:hAnsi="Times New Roman" w:eastAsia="MingLiU_HKSCS"/>
          <w:color w:val="auto"/>
          <w:sz w:val="24"/>
          <w:szCs w:val="24"/>
        </w:rPr>
      </w:pPr>
    </w:p>
    <w:p>
      <w:pPr>
        <w:pStyle w:val="24"/>
        <w:spacing w:line="440" w:lineRule="exact"/>
        <w:ind w:firstLine="484" w:firstLineChars="200"/>
        <w:rPr>
          <w:rFonts w:ascii="Times New Roman" w:hAnsi="Times New Roman" w:eastAsia="MingLiU_HKSCS"/>
          <w:color w:val="auto"/>
          <w:sz w:val="24"/>
          <w:szCs w:val="24"/>
        </w:rPr>
      </w:pPr>
      <w:r>
        <w:rPr>
          <w:rFonts w:hint="eastAsia" w:ascii="Times New Roman" w:hAnsi="Times New Roman"/>
          <w:color w:val="auto"/>
          <w:sz w:val="24"/>
          <w:szCs w:val="24"/>
        </w:rPr>
        <w:t>备注：</w:t>
      </w:r>
      <w:r>
        <w:rPr>
          <w:rFonts w:ascii="Times New Roman" w:hAnsi="Times New Roman"/>
          <w:color w:val="auto"/>
          <w:sz w:val="24"/>
          <w:szCs w:val="24"/>
        </w:rPr>
        <w:t>1.</w:t>
      </w:r>
      <w:r>
        <w:rPr>
          <w:rFonts w:hint="eastAsia" w:ascii="Times New Roman" w:hAnsi="Times New Roman"/>
          <w:color w:val="auto"/>
          <w:sz w:val="24"/>
          <w:szCs w:val="24"/>
        </w:rPr>
        <w:t>填写前请认真阅读《工业和信息化部　国家统计局　国家发展和改革委员会　财政部关于印发中小企业划型标准规定的通知》</w:t>
      </w:r>
      <w:r>
        <w:rPr>
          <w:rFonts w:ascii="Times New Roman" w:hAnsi="Times New Roman"/>
          <w:color w:val="auto"/>
          <w:sz w:val="24"/>
          <w:szCs w:val="24"/>
        </w:rPr>
        <w:t>(</w:t>
      </w:r>
      <w:r>
        <w:rPr>
          <w:rFonts w:hint="eastAsia" w:ascii="Times New Roman" w:hAnsi="Times New Roman"/>
          <w:color w:val="auto"/>
          <w:sz w:val="24"/>
          <w:szCs w:val="24"/>
        </w:rPr>
        <w:t>工信部联企业〔</w:t>
      </w:r>
      <w:r>
        <w:rPr>
          <w:rFonts w:ascii="Times New Roman" w:hAnsi="Times New Roman"/>
          <w:color w:val="auto"/>
          <w:sz w:val="24"/>
          <w:szCs w:val="24"/>
        </w:rPr>
        <w:t>2011</w:t>
      </w:r>
      <w:r>
        <w:rPr>
          <w:rFonts w:hint="eastAsia" w:ascii="Times New Roman" w:hAnsi="Times New Roman"/>
          <w:color w:val="auto"/>
          <w:sz w:val="24"/>
          <w:szCs w:val="24"/>
        </w:rPr>
        <w:t>〕</w:t>
      </w:r>
      <w:r>
        <w:rPr>
          <w:rFonts w:ascii="Times New Roman" w:hAnsi="Times New Roman"/>
          <w:color w:val="auto"/>
          <w:sz w:val="24"/>
          <w:szCs w:val="24"/>
        </w:rPr>
        <w:t>300</w:t>
      </w:r>
      <w:r>
        <w:rPr>
          <w:rFonts w:hint="eastAsia" w:ascii="Times New Roman" w:hAnsi="Times New Roman"/>
          <w:color w:val="auto"/>
          <w:sz w:val="24"/>
          <w:szCs w:val="24"/>
        </w:rPr>
        <w:t>号</w:t>
      </w:r>
      <w:r>
        <w:rPr>
          <w:rFonts w:ascii="Times New Roman" w:hAnsi="Times New Roman"/>
          <w:color w:val="auto"/>
          <w:sz w:val="24"/>
          <w:szCs w:val="24"/>
        </w:rPr>
        <w:t>)</w:t>
      </w:r>
      <w:r>
        <w:rPr>
          <w:rFonts w:hint="eastAsia" w:ascii="Times New Roman" w:hAnsi="Times New Roman"/>
          <w:color w:val="auto"/>
          <w:sz w:val="24"/>
          <w:szCs w:val="24"/>
        </w:rPr>
        <w:t>和《财政部　工业和信息化部关于印发〈政府采购促进中小企业发展暂行办法〉的通知》</w:t>
      </w:r>
      <w:r>
        <w:rPr>
          <w:rFonts w:ascii="Times New Roman" w:hAnsi="Times New Roman"/>
          <w:color w:val="auto"/>
          <w:sz w:val="24"/>
          <w:szCs w:val="24"/>
        </w:rPr>
        <w:t>(</w:t>
      </w:r>
      <w:r>
        <w:rPr>
          <w:rFonts w:hint="eastAsia" w:ascii="Times New Roman" w:hAnsi="Times New Roman"/>
          <w:color w:val="auto"/>
          <w:sz w:val="24"/>
          <w:szCs w:val="24"/>
        </w:rPr>
        <w:t>财库〔</w:t>
      </w:r>
      <w:r>
        <w:rPr>
          <w:rFonts w:ascii="Times New Roman" w:hAnsi="Times New Roman"/>
          <w:color w:val="auto"/>
          <w:sz w:val="24"/>
          <w:szCs w:val="24"/>
        </w:rPr>
        <w:t>2011</w:t>
      </w:r>
      <w:r>
        <w:rPr>
          <w:rFonts w:hint="eastAsia" w:ascii="Times New Roman" w:hAnsi="Times New Roman"/>
          <w:color w:val="auto"/>
          <w:sz w:val="24"/>
          <w:szCs w:val="24"/>
        </w:rPr>
        <w:t>〕</w:t>
      </w:r>
      <w:r>
        <w:rPr>
          <w:rFonts w:ascii="Times New Roman" w:hAnsi="Times New Roman"/>
          <w:color w:val="auto"/>
          <w:sz w:val="24"/>
          <w:szCs w:val="24"/>
        </w:rPr>
        <w:t>181</w:t>
      </w:r>
      <w:r>
        <w:rPr>
          <w:rFonts w:hint="eastAsia" w:ascii="Times New Roman" w:hAnsi="Times New Roman"/>
          <w:color w:val="auto"/>
          <w:sz w:val="24"/>
          <w:szCs w:val="24"/>
        </w:rPr>
        <w:t>号</w:t>
      </w:r>
      <w:r>
        <w:rPr>
          <w:rFonts w:ascii="Times New Roman" w:hAnsi="Times New Roman"/>
          <w:color w:val="auto"/>
          <w:sz w:val="24"/>
          <w:szCs w:val="24"/>
        </w:rPr>
        <w:t>)</w:t>
      </w:r>
      <w:r>
        <w:rPr>
          <w:rFonts w:hint="eastAsia" w:ascii="Times New Roman" w:hAnsi="Times New Roman"/>
          <w:color w:val="auto"/>
          <w:sz w:val="24"/>
          <w:szCs w:val="24"/>
        </w:rPr>
        <w:t>相关规定。</w:t>
      </w:r>
    </w:p>
    <w:p>
      <w:pPr>
        <w:pStyle w:val="24"/>
        <w:spacing w:line="440" w:lineRule="exact"/>
        <w:ind w:firstLine="484" w:firstLineChars="200"/>
        <w:rPr>
          <w:rFonts w:ascii="Times New Roman" w:hAnsi="Times New Roman" w:eastAsia="MingLiU_HKSCS"/>
          <w:color w:val="auto"/>
          <w:sz w:val="24"/>
          <w:szCs w:val="24"/>
        </w:rPr>
      </w:pPr>
      <w:r>
        <w:rPr>
          <w:rFonts w:ascii="Times New Roman" w:hAnsi="Times New Roman"/>
          <w:color w:val="auto"/>
          <w:sz w:val="24"/>
          <w:szCs w:val="24"/>
        </w:rPr>
        <w:br w:type="page"/>
      </w:r>
      <w:r>
        <w:rPr>
          <w:rFonts w:hint="eastAsia" w:ascii="Times New Roman" w:hAnsi="Times New Roman"/>
          <w:color w:val="auto"/>
          <w:sz w:val="24"/>
          <w:szCs w:val="24"/>
        </w:rPr>
        <w:t>附件3-</w:t>
      </w:r>
      <w:r>
        <w:rPr>
          <w:rFonts w:ascii="Times New Roman" w:hAnsi="Times New Roman"/>
          <w:color w:val="auto"/>
          <w:sz w:val="24"/>
          <w:szCs w:val="24"/>
        </w:rPr>
        <w:t>2</w:t>
      </w:r>
      <w:r>
        <w:rPr>
          <w:rFonts w:hint="eastAsia" w:ascii="Times New Roman" w:hAnsi="Times New Roman"/>
          <w:color w:val="auto"/>
          <w:sz w:val="24"/>
          <w:szCs w:val="24"/>
        </w:rPr>
        <w:t>　</w:t>
      </w:r>
      <w:r>
        <w:rPr>
          <w:rFonts w:hint="eastAsia"/>
          <w:color w:val="auto"/>
          <w:sz w:val="24"/>
          <w:szCs w:val="24"/>
        </w:rPr>
        <w:t>“</w:t>
      </w:r>
      <w:r>
        <w:rPr>
          <w:rFonts w:hint="eastAsia" w:ascii="Times New Roman" w:hAnsi="Times New Roman"/>
          <w:color w:val="auto"/>
          <w:sz w:val="24"/>
          <w:szCs w:val="24"/>
        </w:rPr>
        <w:t>节能产品</w:t>
      </w:r>
      <w:r>
        <w:rPr>
          <w:rFonts w:hint="eastAsia"/>
          <w:color w:val="auto"/>
          <w:sz w:val="24"/>
          <w:szCs w:val="24"/>
        </w:rPr>
        <w:t>”“</w:t>
      </w:r>
      <w:r>
        <w:rPr>
          <w:rFonts w:hint="eastAsia" w:ascii="Times New Roman" w:hAnsi="Times New Roman"/>
          <w:color w:val="auto"/>
          <w:sz w:val="24"/>
          <w:szCs w:val="24"/>
        </w:rPr>
        <w:t>环境标志产品</w:t>
      </w:r>
      <w:r>
        <w:rPr>
          <w:rFonts w:hint="eastAsia"/>
          <w:color w:val="auto"/>
          <w:sz w:val="24"/>
          <w:szCs w:val="24"/>
        </w:rPr>
        <w:t>”</w:t>
      </w:r>
      <w:r>
        <w:rPr>
          <w:rFonts w:hint="eastAsia" w:ascii="Times New Roman" w:hAnsi="Times New Roman"/>
          <w:color w:val="auto"/>
          <w:sz w:val="24"/>
          <w:szCs w:val="24"/>
        </w:rPr>
        <w:t>、信息安全认证产品等政府采购法律法规规定的其他证明材料文件</w:t>
      </w:r>
    </w:p>
    <w:p>
      <w:pPr>
        <w:pStyle w:val="24"/>
        <w:spacing w:line="440" w:lineRule="exact"/>
        <w:ind w:firstLine="484" w:firstLineChars="200"/>
        <w:rPr>
          <w:rFonts w:ascii="Times New Roman" w:hAnsi="Times New Roman" w:eastAsia="MingLiU_HKSCS"/>
          <w:color w:val="auto"/>
          <w:sz w:val="24"/>
          <w:szCs w:val="24"/>
        </w:rPr>
      </w:pPr>
      <w:r>
        <w:rPr>
          <w:rFonts w:hint="eastAsia" w:ascii="Times New Roman" w:hAnsi="Times New Roman"/>
          <w:color w:val="auto"/>
          <w:sz w:val="24"/>
          <w:szCs w:val="24"/>
        </w:rPr>
        <w:t>说明：</w:t>
      </w:r>
    </w:p>
    <w:p>
      <w:pPr>
        <w:pStyle w:val="24"/>
        <w:spacing w:line="440" w:lineRule="exact"/>
        <w:ind w:firstLine="484" w:firstLineChars="200"/>
        <w:rPr>
          <w:rFonts w:ascii="Times New Roman" w:hAnsi="Times New Roman" w:eastAsia="MingLiU_HKSCS"/>
          <w:color w:val="auto"/>
          <w:sz w:val="24"/>
          <w:szCs w:val="24"/>
        </w:rPr>
      </w:pPr>
      <w:r>
        <w:rPr>
          <w:rFonts w:ascii="Times New Roman" w:hAnsi="Times New Roman"/>
          <w:color w:val="auto"/>
          <w:sz w:val="24"/>
          <w:szCs w:val="24"/>
        </w:rPr>
        <w:t>1.</w:t>
      </w:r>
      <w:r>
        <w:rPr>
          <w:rFonts w:hint="eastAsia" w:ascii="Times New Roman" w:hAnsi="Times New Roman"/>
          <w:color w:val="auto"/>
          <w:sz w:val="24"/>
          <w:szCs w:val="24"/>
        </w:rPr>
        <w:t>供应商提供的产品属于《节能产品政府采购清单》内产品</w:t>
      </w:r>
      <w:r>
        <w:rPr>
          <w:rFonts w:hint="eastAsia" w:ascii="Times New Roman" w:hAnsi="Times New Roman" w:eastAsia="MingLiU_HKSCS"/>
          <w:color w:val="auto"/>
          <w:sz w:val="24"/>
          <w:szCs w:val="24"/>
        </w:rPr>
        <w:t>，</w:t>
      </w:r>
      <w:r>
        <w:rPr>
          <w:rFonts w:hint="eastAsia" w:ascii="Times New Roman" w:hAnsi="Times New Roman"/>
          <w:color w:val="auto"/>
          <w:sz w:val="24"/>
          <w:szCs w:val="24"/>
        </w:rPr>
        <w:t>应同时提供有效期内的节能产品证书及最新一期的节能产品政府采购清单首页及产品所在页的复印件</w:t>
      </w:r>
      <w:r>
        <w:rPr>
          <w:rFonts w:ascii="Times New Roman" w:hAnsi="Times New Roman"/>
          <w:color w:val="auto"/>
          <w:sz w:val="24"/>
          <w:szCs w:val="24"/>
        </w:rPr>
        <w:t>(</w:t>
      </w:r>
      <w:r>
        <w:rPr>
          <w:rFonts w:hint="eastAsia" w:ascii="Times New Roman" w:hAnsi="Times New Roman"/>
          <w:color w:val="auto"/>
          <w:sz w:val="24"/>
          <w:szCs w:val="24"/>
        </w:rPr>
        <w:t>均需要加盖供应商公章</w:t>
      </w:r>
      <w:r>
        <w:rPr>
          <w:rFonts w:ascii="Times New Roman" w:hAnsi="Times New Roman"/>
          <w:color w:val="auto"/>
          <w:sz w:val="24"/>
          <w:szCs w:val="24"/>
        </w:rPr>
        <w:t>)</w:t>
      </w:r>
      <w:r>
        <w:rPr>
          <w:rFonts w:hint="eastAsia" w:ascii="Times New Roman" w:hAnsi="Times New Roman"/>
          <w:color w:val="auto"/>
          <w:sz w:val="24"/>
          <w:szCs w:val="24"/>
        </w:rPr>
        <w:t>；</w:t>
      </w:r>
    </w:p>
    <w:p>
      <w:pPr>
        <w:pStyle w:val="24"/>
        <w:spacing w:line="440" w:lineRule="exact"/>
        <w:ind w:firstLine="484" w:firstLineChars="200"/>
        <w:rPr>
          <w:rFonts w:ascii="Times New Roman" w:hAnsi="Times New Roman" w:eastAsia="MingLiU_HKSCS"/>
          <w:color w:val="auto"/>
          <w:sz w:val="24"/>
          <w:szCs w:val="24"/>
        </w:rPr>
      </w:pPr>
      <w:r>
        <w:rPr>
          <w:rFonts w:ascii="Times New Roman" w:hAnsi="Times New Roman"/>
          <w:color w:val="auto"/>
          <w:sz w:val="24"/>
          <w:szCs w:val="24"/>
        </w:rPr>
        <w:t>2.</w:t>
      </w:r>
      <w:r>
        <w:rPr>
          <w:rFonts w:hint="eastAsia" w:ascii="Times New Roman" w:hAnsi="Times New Roman"/>
          <w:color w:val="auto"/>
          <w:sz w:val="24"/>
          <w:szCs w:val="24"/>
        </w:rPr>
        <w:t>供应商提供的产品属于《环境标志产品政府采购清单》内产品</w:t>
      </w:r>
      <w:r>
        <w:rPr>
          <w:rFonts w:hint="eastAsia" w:ascii="Times New Roman" w:hAnsi="Times New Roman" w:eastAsia="MingLiU_HKSCS"/>
          <w:color w:val="auto"/>
          <w:sz w:val="24"/>
          <w:szCs w:val="24"/>
        </w:rPr>
        <w:t>，</w:t>
      </w:r>
      <w:r>
        <w:rPr>
          <w:rFonts w:hint="eastAsia" w:ascii="Times New Roman" w:hAnsi="Times New Roman"/>
          <w:color w:val="auto"/>
          <w:sz w:val="24"/>
          <w:szCs w:val="24"/>
        </w:rPr>
        <w:t>应同时提供有效期内的环境标志产品证书及最新一期的环境标志产品政府采购清单首页及产品所在页的复印件</w:t>
      </w:r>
      <w:r>
        <w:rPr>
          <w:rFonts w:ascii="Times New Roman" w:hAnsi="Times New Roman"/>
          <w:color w:val="auto"/>
          <w:sz w:val="24"/>
          <w:szCs w:val="24"/>
        </w:rPr>
        <w:t>(</w:t>
      </w:r>
      <w:r>
        <w:rPr>
          <w:rFonts w:hint="eastAsia" w:ascii="Times New Roman" w:hAnsi="Times New Roman"/>
          <w:color w:val="auto"/>
          <w:sz w:val="24"/>
          <w:szCs w:val="24"/>
        </w:rPr>
        <w:t>均需要加盖供应商公章</w:t>
      </w:r>
      <w:r>
        <w:rPr>
          <w:rFonts w:ascii="Times New Roman" w:hAnsi="Times New Roman"/>
          <w:color w:val="auto"/>
          <w:sz w:val="24"/>
          <w:szCs w:val="24"/>
        </w:rPr>
        <w:t>)</w:t>
      </w:r>
      <w:r>
        <w:rPr>
          <w:rFonts w:hint="eastAsia" w:ascii="Times New Roman" w:hAnsi="Times New Roman"/>
          <w:color w:val="auto"/>
          <w:sz w:val="24"/>
          <w:szCs w:val="24"/>
        </w:rPr>
        <w:t>；</w:t>
      </w:r>
    </w:p>
    <w:p>
      <w:pPr>
        <w:pStyle w:val="24"/>
        <w:spacing w:line="440" w:lineRule="exact"/>
        <w:ind w:firstLine="484" w:firstLineChars="200"/>
        <w:rPr>
          <w:rFonts w:ascii="Times New Roman" w:hAnsi="Times New Roman"/>
          <w:color w:val="auto"/>
          <w:sz w:val="24"/>
          <w:szCs w:val="24"/>
        </w:rPr>
      </w:pPr>
      <w:r>
        <w:rPr>
          <w:rFonts w:ascii="Times New Roman" w:hAnsi="Times New Roman"/>
          <w:color w:val="auto"/>
          <w:sz w:val="24"/>
          <w:szCs w:val="24"/>
        </w:rPr>
        <w:t>3.</w:t>
      </w:r>
      <w:r>
        <w:rPr>
          <w:rFonts w:hint="eastAsia" w:ascii="Times New Roman" w:hAnsi="Times New Roman"/>
          <w:color w:val="auto"/>
          <w:sz w:val="24"/>
          <w:szCs w:val="24"/>
        </w:rPr>
        <w:t>供应商提供的产品属于信息安全认证产品的</w:t>
      </w:r>
      <w:r>
        <w:rPr>
          <w:rFonts w:hint="eastAsia" w:ascii="Times New Roman" w:hAnsi="Times New Roman" w:eastAsia="MingLiU_HKSCS"/>
          <w:color w:val="auto"/>
          <w:sz w:val="24"/>
          <w:szCs w:val="24"/>
        </w:rPr>
        <w:t>，</w:t>
      </w:r>
      <w:r>
        <w:rPr>
          <w:rFonts w:hint="eastAsia" w:ascii="Times New Roman" w:hAnsi="Times New Roman"/>
          <w:color w:val="auto"/>
          <w:sz w:val="24"/>
          <w:szCs w:val="24"/>
        </w:rPr>
        <w:t>应提供相关证明；</w:t>
      </w:r>
    </w:p>
    <w:p>
      <w:pPr>
        <w:pStyle w:val="24"/>
        <w:spacing w:line="440" w:lineRule="exact"/>
        <w:ind w:firstLine="484" w:firstLineChars="200"/>
        <w:rPr>
          <w:rFonts w:ascii="Times New Roman" w:hAnsi="Times New Roman" w:eastAsia="MingLiU_HKSCS"/>
          <w:color w:val="auto"/>
          <w:sz w:val="24"/>
          <w:szCs w:val="24"/>
        </w:rPr>
      </w:pPr>
      <w:r>
        <w:rPr>
          <w:rFonts w:ascii="Times New Roman" w:hAnsi="Times New Roman"/>
          <w:color w:val="auto"/>
          <w:sz w:val="24"/>
          <w:szCs w:val="24"/>
        </w:rPr>
        <w:t>4.</w:t>
      </w:r>
      <w:r>
        <w:rPr>
          <w:rFonts w:hint="eastAsia" w:ascii="Times New Roman" w:hAnsi="Times New Roman"/>
          <w:color w:val="auto"/>
          <w:sz w:val="24"/>
          <w:szCs w:val="24"/>
        </w:rPr>
        <w:t>未按上述要求提供、填写的</w:t>
      </w:r>
      <w:r>
        <w:rPr>
          <w:rFonts w:hint="eastAsia" w:ascii="Times New Roman" w:hAnsi="Times New Roman" w:eastAsia="MingLiU_HKSCS"/>
          <w:color w:val="auto"/>
          <w:sz w:val="24"/>
          <w:szCs w:val="24"/>
        </w:rPr>
        <w:t>，</w:t>
      </w:r>
      <w:r>
        <w:rPr>
          <w:rFonts w:hint="eastAsia" w:ascii="Times New Roman" w:hAnsi="Times New Roman"/>
          <w:color w:val="auto"/>
          <w:sz w:val="24"/>
          <w:szCs w:val="24"/>
        </w:rPr>
        <w:t>评标时不予以考虑。</w:t>
      </w:r>
    </w:p>
    <w:p>
      <w:pPr>
        <w:pStyle w:val="24"/>
        <w:spacing w:line="440" w:lineRule="exact"/>
        <w:ind w:firstLine="484" w:firstLineChars="200"/>
        <w:rPr>
          <w:rFonts w:ascii="Times New Roman" w:hAnsi="Times New Roman" w:eastAsia="MingLiU_HKSCS"/>
          <w:color w:val="auto"/>
          <w:sz w:val="24"/>
          <w:szCs w:val="24"/>
        </w:rPr>
      </w:pPr>
      <w:r>
        <w:rPr>
          <w:rFonts w:ascii="Times New Roman" w:hAnsi="Times New Roman"/>
          <w:color w:val="auto"/>
          <w:sz w:val="24"/>
          <w:szCs w:val="24"/>
        </w:rPr>
        <w:t>(</w:t>
      </w:r>
      <w:r>
        <w:rPr>
          <w:rFonts w:hint="eastAsia" w:ascii="Times New Roman" w:hAnsi="Times New Roman"/>
          <w:color w:val="auto"/>
          <w:sz w:val="24"/>
          <w:szCs w:val="24"/>
        </w:rPr>
        <w:t>示例略</w:t>
      </w:r>
      <w:r>
        <w:rPr>
          <w:rFonts w:ascii="Times New Roman" w:hAnsi="Times New Roman"/>
          <w:color w:val="auto"/>
          <w:sz w:val="24"/>
          <w:szCs w:val="24"/>
        </w:rPr>
        <w:t>)</w:t>
      </w:r>
    </w:p>
    <w:p>
      <w:pPr>
        <w:pStyle w:val="146"/>
        <w:spacing w:line="500" w:lineRule="exact"/>
        <w:rPr>
          <w:rFonts w:ascii="宋体" w:hAnsi="宋体"/>
          <w:color w:val="auto"/>
          <w:szCs w:val="24"/>
        </w:rPr>
      </w:pPr>
    </w:p>
    <w:p>
      <w:pPr>
        <w:spacing w:line="500" w:lineRule="exact"/>
        <w:rPr>
          <w:rFonts w:ascii="宋体" w:hAnsi="宋体"/>
          <w:color w:val="auto"/>
          <w:sz w:val="24"/>
          <w:szCs w:val="24"/>
        </w:rPr>
      </w:pPr>
      <w:r>
        <w:rPr>
          <w:rFonts w:hint="eastAsia" w:ascii="宋体" w:hAnsi="宋体" w:cs="仿宋_GB2312"/>
          <w:color w:val="auto"/>
          <w:sz w:val="24"/>
          <w:szCs w:val="24"/>
        </w:rPr>
        <w:t xml:space="preserve"> </w:t>
      </w:r>
    </w:p>
    <w:p>
      <w:pPr>
        <w:pStyle w:val="83"/>
        <w:spacing w:line="500" w:lineRule="exact"/>
        <w:jc w:val="both"/>
        <w:rPr>
          <w:rFonts w:ascii="宋体" w:hAnsi="宋体"/>
          <w:b/>
          <w:color w:val="auto"/>
        </w:rPr>
      </w:pPr>
    </w:p>
    <w:p>
      <w:pPr>
        <w:pStyle w:val="83"/>
        <w:spacing w:line="500" w:lineRule="exact"/>
        <w:jc w:val="both"/>
        <w:rPr>
          <w:rFonts w:ascii="宋体" w:hAnsi="宋体"/>
          <w:b/>
          <w:color w:val="auto"/>
        </w:rPr>
      </w:pPr>
    </w:p>
    <w:p>
      <w:pPr>
        <w:pStyle w:val="83"/>
        <w:spacing w:line="500" w:lineRule="exact"/>
        <w:jc w:val="center"/>
        <w:rPr>
          <w:rFonts w:ascii="宋体" w:hAnsi="宋体"/>
          <w:b/>
          <w:color w:val="auto"/>
        </w:rPr>
      </w:pPr>
    </w:p>
    <w:p>
      <w:pPr>
        <w:pStyle w:val="83"/>
        <w:spacing w:line="500" w:lineRule="exact"/>
        <w:jc w:val="center"/>
        <w:rPr>
          <w:rFonts w:ascii="宋体" w:hAnsi="宋体"/>
          <w:b/>
          <w:color w:val="auto"/>
        </w:rPr>
      </w:pPr>
    </w:p>
    <w:p>
      <w:pPr>
        <w:pStyle w:val="83"/>
        <w:spacing w:line="500" w:lineRule="exact"/>
        <w:jc w:val="center"/>
        <w:rPr>
          <w:rFonts w:ascii="宋体" w:hAnsi="宋体"/>
          <w:b/>
          <w:color w:val="auto"/>
        </w:rPr>
      </w:pPr>
    </w:p>
    <w:p>
      <w:pPr>
        <w:pStyle w:val="83"/>
        <w:spacing w:line="500" w:lineRule="exact"/>
        <w:jc w:val="center"/>
        <w:rPr>
          <w:rFonts w:ascii="宋体" w:hAnsi="宋体"/>
          <w:b/>
          <w:color w:val="auto"/>
        </w:rPr>
      </w:pPr>
    </w:p>
    <w:p>
      <w:pPr>
        <w:pStyle w:val="83"/>
        <w:spacing w:line="500" w:lineRule="exact"/>
        <w:jc w:val="center"/>
        <w:rPr>
          <w:rFonts w:ascii="宋体" w:hAnsi="宋体"/>
          <w:b/>
          <w:color w:val="auto"/>
        </w:rPr>
      </w:pPr>
    </w:p>
    <w:p>
      <w:pPr>
        <w:pStyle w:val="83"/>
        <w:spacing w:line="500" w:lineRule="exact"/>
        <w:jc w:val="center"/>
        <w:rPr>
          <w:rFonts w:ascii="宋体" w:hAnsi="宋体"/>
          <w:b/>
          <w:color w:val="auto"/>
        </w:rPr>
      </w:pPr>
    </w:p>
    <w:p>
      <w:pPr>
        <w:pStyle w:val="83"/>
        <w:spacing w:line="500" w:lineRule="exact"/>
        <w:jc w:val="center"/>
        <w:rPr>
          <w:rFonts w:ascii="宋体" w:hAnsi="宋体"/>
          <w:b/>
          <w:color w:val="auto"/>
        </w:rPr>
      </w:pPr>
    </w:p>
    <w:p>
      <w:pPr>
        <w:pStyle w:val="83"/>
        <w:spacing w:line="500" w:lineRule="exact"/>
        <w:jc w:val="center"/>
        <w:rPr>
          <w:rFonts w:ascii="宋体" w:hAnsi="宋体"/>
          <w:b/>
          <w:color w:val="auto"/>
        </w:rPr>
      </w:pPr>
    </w:p>
    <w:p>
      <w:pPr>
        <w:pStyle w:val="83"/>
        <w:spacing w:line="500" w:lineRule="exact"/>
        <w:jc w:val="center"/>
        <w:rPr>
          <w:rFonts w:ascii="宋体" w:hAnsi="宋体"/>
          <w:b/>
          <w:color w:val="auto"/>
        </w:rPr>
      </w:pPr>
    </w:p>
    <w:p>
      <w:pPr>
        <w:pStyle w:val="83"/>
        <w:spacing w:line="500" w:lineRule="exact"/>
        <w:jc w:val="center"/>
        <w:rPr>
          <w:rFonts w:ascii="宋体" w:hAnsi="宋体"/>
          <w:b/>
          <w:color w:val="auto"/>
        </w:rPr>
      </w:pPr>
    </w:p>
    <w:p>
      <w:pPr>
        <w:pStyle w:val="83"/>
        <w:spacing w:line="500" w:lineRule="exact"/>
        <w:jc w:val="center"/>
        <w:rPr>
          <w:rFonts w:ascii="宋体" w:hAnsi="宋体"/>
          <w:b/>
          <w:color w:val="auto"/>
        </w:rPr>
      </w:pPr>
    </w:p>
    <w:p>
      <w:pPr>
        <w:pStyle w:val="83"/>
        <w:spacing w:line="500" w:lineRule="exact"/>
        <w:jc w:val="center"/>
        <w:rPr>
          <w:rFonts w:ascii="宋体" w:hAnsi="宋体"/>
          <w:b/>
          <w:color w:val="auto"/>
        </w:rPr>
      </w:pPr>
    </w:p>
    <w:p>
      <w:pPr>
        <w:pStyle w:val="83"/>
        <w:spacing w:line="500" w:lineRule="exact"/>
        <w:jc w:val="center"/>
        <w:rPr>
          <w:rFonts w:ascii="宋体" w:hAnsi="宋体"/>
          <w:b/>
          <w:color w:val="auto"/>
        </w:rPr>
      </w:pPr>
    </w:p>
    <w:p>
      <w:pPr>
        <w:pStyle w:val="83"/>
        <w:spacing w:line="500" w:lineRule="exact"/>
        <w:jc w:val="center"/>
        <w:rPr>
          <w:rFonts w:ascii="宋体" w:hAnsi="宋体"/>
          <w:b/>
          <w:color w:val="auto"/>
        </w:rPr>
      </w:pPr>
      <w:r>
        <w:rPr>
          <w:rFonts w:hint="eastAsia" w:ascii="宋体" w:hAnsi="宋体"/>
          <w:b/>
          <w:color w:val="auto"/>
        </w:rPr>
        <w:t>九、技术规格偏离表</w:t>
      </w:r>
    </w:p>
    <w:p>
      <w:pPr>
        <w:pStyle w:val="83"/>
        <w:spacing w:line="500" w:lineRule="exact"/>
        <w:jc w:val="center"/>
        <w:rPr>
          <w:rFonts w:ascii="宋体" w:hAnsi="宋体"/>
          <w:color w:val="auto"/>
        </w:rPr>
      </w:pPr>
    </w:p>
    <w:p>
      <w:pPr>
        <w:pStyle w:val="83"/>
        <w:spacing w:line="500" w:lineRule="exact"/>
        <w:ind w:hanging="23"/>
        <w:rPr>
          <w:rFonts w:ascii="宋体" w:hAnsi="宋体"/>
          <w:color w:val="auto"/>
          <w:u w:val="single"/>
        </w:rPr>
      </w:pPr>
      <w:r>
        <w:rPr>
          <w:rFonts w:hint="eastAsia"/>
          <w:color w:val="auto"/>
        </w:rPr>
        <w:t>项目名称：</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rFonts w:hint="eastAsia"/>
          <w:color w:val="auto"/>
        </w:rPr>
        <w:t>项目编号：</w:t>
      </w:r>
    </w:p>
    <w:tbl>
      <w:tblPr>
        <w:tblStyle w:val="41"/>
        <w:tblW w:w="9532"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314"/>
        <w:gridCol w:w="1388"/>
        <w:gridCol w:w="1260"/>
        <w:gridCol w:w="129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pStyle w:val="83"/>
              <w:spacing w:line="500" w:lineRule="exact"/>
              <w:jc w:val="center"/>
              <w:rPr>
                <w:rFonts w:ascii="宋体" w:hAnsi="宋体"/>
                <w:color w:val="auto"/>
              </w:rPr>
            </w:pPr>
            <w:r>
              <w:rPr>
                <w:rFonts w:hint="eastAsia" w:ascii="宋体" w:hAnsi="宋体"/>
                <w:color w:val="auto"/>
              </w:rPr>
              <w:t>序号</w:t>
            </w:r>
          </w:p>
        </w:tc>
        <w:tc>
          <w:tcPr>
            <w:tcW w:w="3314" w:type="dxa"/>
            <w:vAlign w:val="center"/>
          </w:tcPr>
          <w:p>
            <w:pPr>
              <w:pStyle w:val="83"/>
              <w:spacing w:line="500" w:lineRule="exact"/>
              <w:jc w:val="center"/>
              <w:rPr>
                <w:rFonts w:ascii="宋体" w:hAnsi="宋体"/>
                <w:color w:val="auto"/>
              </w:rPr>
            </w:pPr>
            <w:r>
              <w:rPr>
                <w:rFonts w:hint="eastAsia" w:ascii="宋体" w:hAnsi="宋体"/>
                <w:color w:val="auto"/>
              </w:rPr>
              <w:t>货物名称</w:t>
            </w:r>
          </w:p>
        </w:tc>
        <w:tc>
          <w:tcPr>
            <w:tcW w:w="1388" w:type="dxa"/>
            <w:vAlign w:val="center"/>
          </w:tcPr>
          <w:p>
            <w:pPr>
              <w:pStyle w:val="83"/>
              <w:spacing w:line="500" w:lineRule="exact"/>
              <w:jc w:val="center"/>
              <w:rPr>
                <w:rFonts w:ascii="宋体" w:hAnsi="宋体"/>
                <w:color w:val="auto"/>
              </w:rPr>
            </w:pPr>
            <w:r>
              <w:rPr>
                <w:rFonts w:hint="eastAsia" w:ascii="宋体" w:hAnsi="宋体"/>
                <w:color w:val="auto"/>
              </w:rPr>
              <w:t>招标规格</w:t>
            </w:r>
          </w:p>
        </w:tc>
        <w:tc>
          <w:tcPr>
            <w:tcW w:w="1260" w:type="dxa"/>
            <w:vAlign w:val="center"/>
          </w:tcPr>
          <w:p>
            <w:pPr>
              <w:pStyle w:val="83"/>
              <w:spacing w:line="500" w:lineRule="exact"/>
              <w:jc w:val="center"/>
              <w:rPr>
                <w:rFonts w:ascii="宋体" w:hAnsi="宋体"/>
                <w:color w:val="auto"/>
              </w:rPr>
            </w:pPr>
            <w:r>
              <w:rPr>
                <w:rFonts w:hint="eastAsia" w:ascii="宋体" w:hAnsi="宋体"/>
                <w:color w:val="auto"/>
              </w:rPr>
              <w:t>投标规格</w:t>
            </w:r>
          </w:p>
        </w:tc>
        <w:tc>
          <w:tcPr>
            <w:tcW w:w="1290" w:type="dxa"/>
            <w:vAlign w:val="center"/>
          </w:tcPr>
          <w:p>
            <w:pPr>
              <w:pStyle w:val="83"/>
              <w:spacing w:line="500" w:lineRule="exact"/>
              <w:jc w:val="center"/>
              <w:rPr>
                <w:rFonts w:ascii="宋体" w:hAnsi="宋体"/>
                <w:color w:val="auto"/>
              </w:rPr>
            </w:pPr>
            <w:r>
              <w:rPr>
                <w:rFonts w:hint="eastAsia" w:ascii="宋体" w:hAnsi="宋体"/>
                <w:color w:val="auto"/>
              </w:rPr>
              <w:t>偏离</w:t>
            </w:r>
          </w:p>
        </w:tc>
        <w:tc>
          <w:tcPr>
            <w:tcW w:w="1440" w:type="dxa"/>
            <w:vAlign w:val="center"/>
          </w:tcPr>
          <w:p>
            <w:pPr>
              <w:pStyle w:val="83"/>
              <w:spacing w:line="500" w:lineRule="exact"/>
              <w:jc w:val="center"/>
              <w:rPr>
                <w:rFonts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pStyle w:val="83"/>
              <w:spacing w:line="500" w:lineRule="exact"/>
              <w:rPr>
                <w:rFonts w:ascii="宋体" w:hAnsi="宋体"/>
                <w:color w:val="auto"/>
              </w:rPr>
            </w:pPr>
          </w:p>
        </w:tc>
        <w:tc>
          <w:tcPr>
            <w:tcW w:w="3314" w:type="dxa"/>
          </w:tcPr>
          <w:p>
            <w:pPr>
              <w:pStyle w:val="83"/>
              <w:spacing w:line="500" w:lineRule="exact"/>
              <w:rPr>
                <w:rFonts w:ascii="宋体" w:hAnsi="宋体"/>
                <w:color w:val="auto"/>
              </w:rPr>
            </w:pPr>
          </w:p>
        </w:tc>
        <w:tc>
          <w:tcPr>
            <w:tcW w:w="1388" w:type="dxa"/>
          </w:tcPr>
          <w:p>
            <w:pPr>
              <w:pStyle w:val="83"/>
              <w:spacing w:line="500" w:lineRule="exact"/>
              <w:rPr>
                <w:rFonts w:ascii="宋体" w:hAnsi="宋体"/>
                <w:color w:val="auto"/>
              </w:rPr>
            </w:pPr>
          </w:p>
        </w:tc>
        <w:tc>
          <w:tcPr>
            <w:tcW w:w="1260" w:type="dxa"/>
          </w:tcPr>
          <w:p>
            <w:pPr>
              <w:pStyle w:val="83"/>
              <w:spacing w:line="500" w:lineRule="exact"/>
              <w:rPr>
                <w:rFonts w:ascii="宋体" w:hAnsi="宋体"/>
                <w:color w:val="auto"/>
              </w:rPr>
            </w:pPr>
          </w:p>
        </w:tc>
        <w:tc>
          <w:tcPr>
            <w:tcW w:w="1290" w:type="dxa"/>
          </w:tcPr>
          <w:p>
            <w:pPr>
              <w:pStyle w:val="83"/>
              <w:spacing w:line="500" w:lineRule="exact"/>
              <w:rPr>
                <w:rFonts w:ascii="宋体" w:hAnsi="宋体"/>
                <w:color w:val="auto"/>
              </w:rPr>
            </w:pPr>
          </w:p>
        </w:tc>
        <w:tc>
          <w:tcPr>
            <w:tcW w:w="1440" w:type="dxa"/>
          </w:tcPr>
          <w:p>
            <w:pPr>
              <w:pStyle w:val="83"/>
              <w:spacing w:line="5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pStyle w:val="83"/>
              <w:spacing w:line="500" w:lineRule="exact"/>
              <w:rPr>
                <w:rFonts w:ascii="宋体" w:hAnsi="宋体"/>
                <w:color w:val="auto"/>
              </w:rPr>
            </w:pPr>
          </w:p>
        </w:tc>
        <w:tc>
          <w:tcPr>
            <w:tcW w:w="3314" w:type="dxa"/>
          </w:tcPr>
          <w:p>
            <w:pPr>
              <w:pStyle w:val="83"/>
              <w:spacing w:line="500" w:lineRule="exact"/>
              <w:rPr>
                <w:rFonts w:ascii="宋体" w:hAnsi="宋体"/>
                <w:color w:val="auto"/>
              </w:rPr>
            </w:pPr>
          </w:p>
        </w:tc>
        <w:tc>
          <w:tcPr>
            <w:tcW w:w="1388" w:type="dxa"/>
          </w:tcPr>
          <w:p>
            <w:pPr>
              <w:pStyle w:val="83"/>
              <w:spacing w:line="500" w:lineRule="exact"/>
              <w:rPr>
                <w:rFonts w:ascii="宋体" w:hAnsi="宋体"/>
                <w:color w:val="auto"/>
              </w:rPr>
            </w:pPr>
          </w:p>
        </w:tc>
        <w:tc>
          <w:tcPr>
            <w:tcW w:w="1260" w:type="dxa"/>
          </w:tcPr>
          <w:p>
            <w:pPr>
              <w:pStyle w:val="83"/>
              <w:spacing w:line="500" w:lineRule="exact"/>
              <w:rPr>
                <w:rFonts w:ascii="宋体" w:hAnsi="宋体"/>
                <w:color w:val="auto"/>
              </w:rPr>
            </w:pPr>
          </w:p>
        </w:tc>
        <w:tc>
          <w:tcPr>
            <w:tcW w:w="1290" w:type="dxa"/>
          </w:tcPr>
          <w:p>
            <w:pPr>
              <w:pStyle w:val="83"/>
              <w:spacing w:line="500" w:lineRule="exact"/>
              <w:rPr>
                <w:rFonts w:ascii="宋体" w:hAnsi="宋体"/>
                <w:color w:val="auto"/>
              </w:rPr>
            </w:pPr>
          </w:p>
        </w:tc>
        <w:tc>
          <w:tcPr>
            <w:tcW w:w="1440" w:type="dxa"/>
          </w:tcPr>
          <w:p>
            <w:pPr>
              <w:pStyle w:val="83"/>
              <w:spacing w:line="5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tcPr>
          <w:p>
            <w:pPr>
              <w:pStyle w:val="83"/>
              <w:spacing w:line="500" w:lineRule="exact"/>
              <w:rPr>
                <w:rFonts w:ascii="宋体" w:hAnsi="宋体"/>
                <w:color w:val="auto"/>
              </w:rPr>
            </w:pPr>
          </w:p>
        </w:tc>
        <w:tc>
          <w:tcPr>
            <w:tcW w:w="3314" w:type="dxa"/>
          </w:tcPr>
          <w:p>
            <w:pPr>
              <w:pStyle w:val="83"/>
              <w:spacing w:line="500" w:lineRule="exact"/>
              <w:rPr>
                <w:rFonts w:ascii="宋体" w:hAnsi="宋体"/>
                <w:color w:val="auto"/>
              </w:rPr>
            </w:pPr>
          </w:p>
        </w:tc>
        <w:tc>
          <w:tcPr>
            <w:tcW w:w="1388" w:type="dxa"/>
          </w:tcPr>
          <w:p>
            <w:pPr>
              <w:pStyle w:val="83"/>
              <w:spacing w:line="500" w:lineRule="exact"/>
              <w:rPr>
                <w:rFonts w:ascii="宋体" w:hAnsi="宋体"/>
                <w:color w:val="auto"/>
              </w:rPr>
            </w:pPr>
          </w:p>
        </w:tc>
        <w:tc>
          <w:tcPr>
            <w:tcW w:w="1260" w:type="dxa"/>
          </w:tcPr>
          <w:p>
            <w:pPr>
              <w:pStyle w:val="83"/>
              <w:spacing w:line="500" w:lineRule="exact"/>
              <w:rPr>
                <w:rFonts w:ascii="宋体" w:hAnsi="宋体"/>
                <w:color w:val="auto"/>
              </w:rPr>
            </w:pPr>
          </w:p>
        </w:tc>
        <w:tc>
          <w:tcPr>
            <w:tcW w:w="1290" w:type="dxa"/>
          </w:tcPr>
          <w:p>
            <w:pPr>
              <w:pStyle w:val="83"/>
              <w:spacing w:line="500" w:lineRule="exact"/>
              <w:rPr>
                <w:rFonts w:ascii="宋体" w:hAnsi="宋体"/>
                <w:color w:val="auto"/>
              </w:rPr>
            </w:pPr>
          </w:p>
        </w:tc>
        <w:tc>
          <w:tcPr>
            <w:tcW w:w="1440" w:type="dxa"/>
          </w:tcPr>
          <w:p>
            <w:pPr>
              <w:pStyle w:val="83"/>
              <w:spacing w:line="5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pStyle w:val="83"/>
              <w:spacing w:line="500" w:lineRule="exact"/>
              <w:rPr>
                <w:rFonts w:ascii="宋体" w:hAnsi="宋体"/>
                <w:color w:val="auto"/>
              </w:rPr>
            </w:pPr>
          </w:p>
        </w:tc>
        <w:tc>
          <w:tcPr>
            <w:tcW w:w="3314" w:type="dxa"/>
          </w:tcPr>
          <w:p>
            <w:pPr>
              <w:pStyle w:val="83"/>
              <w:spacing w:line="500" w:lineRule="exact"/>
              <w:rPr>
                <w:rFonts w:ascii="宋体" w:hAnsi="宋体"/>
                <w:color w:val="auto"/>
              </w:rPr>
            </w:pPr>
          </w:p>
        </w:tc>
        <w:tc>
          <w:tcPr>
            <w:tcW w:w="1388" w:type="dxa"/>
          </w:tcPr>
          <w:p>
            <w:pPr>
              <w:pStyle w:val="83"/>
              <w:spacing w:line="500" w:lineRule="exact"/>
              <w:rPr>
                <w:rFonts w:ascii="宋体" w:hAnsi="宋体"/>
                <w:color w:val="auto"/>
              </w:rPr>
            </w:pPr>
          </w:p>
        </w:tc>
        <w:tc>
          <w:tcPr>
            <w:tcW w:w="1260" w:type="dxa"/>
          </w:tcPr>
          <w:p>
            <w:pPr>
              <w:pStyle w:val="83"/>
              <w:spacing w:line="500" w:lineRule="exact"/>
              <w:rPr>
                <w:rFonts w:ascii="宋体" w:hAnsi="宋体"/>
                <w:color w:val="auto"/>
              </w:rPr>
            </w:pPr>
          </w:p>
        </w:tc>
        <w:tc>
          <w:tcPr>
            <w:tcW w:w="1290" w:type="dxa"/>
          </w:tcPr>
          <w:p>
            <w:pPr>
              <w:pStyle w:val="83"/>
              <w:spacing w:line="500" w:lineRule="exact"/>
              <w:rPr>
                <w:rFonts w:ascii="宋体" w:hAnsi="宋体"/>
                <w:color w:val="auto"/>
              </w:rPr>
            </w:pPr>
          </w:p>
        </w:tc>
        <w:tc>
          <w:tcPr>
            <w:tcW w:w="1440" w:type="dxa"/>
          </w:tcPr>
          <w:p>
            <w:pPr>
              <w:pStyle w:val="83"/>
              <w:spacing w:line="5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pStyle w:val="83"/>
              <w:spacing w:line="500" w:lineRule="exact"/>
              <w:rPr>
                <w:rFonts w:ascii="宋体" w:hAnsi="宋体"/>
                <w:color w:val="auto"/>
              </w:rPr>
            </w:pPr>
          </w:p>
        </w:tc>
        <w:tc>
          <w:tcPr>
            <w:tcW w:w="3314" w:type="dxa"/>
          </w:tcPr>
          <w:p>
            <w:pPr>
              <w:pStyle w:val="83"/>
              <w:spacing w:line="500" w:lineRule="exact"/>
              <w:rPr>
                <w:rFonts w:ascii="宋体" w:hAnsi="宋体"/>
                <w:color w:val="auto"/>
              </w:rPr>
            </w:pPr>
          </w:p>
        </w:tc>
        <w:tc>
          <w:tcPr>
            <w:tcW w:w="1388" w:type="dxa"/>
          </w:tcPr>
          <w:p>
            <w:pPr>
              <w:pStyle w:val="83"/>
              <w:spacing w:line="500" w:lineRule="exact"/>
              <w:rPr>
                <w:rFonts w:ascii="宋体" w:hAnsi="宋体"/>
                <w:color w:val="auto"/>
              </w:rPr>
            </w:pPr>
          </w:p>
        </w:tc>
        <w:tc>
          <w:tcPr>
            <w:tcW w:w="1260" w:type="dxa"/>
          </w:tcPr>
          <w:p>
            <w:pPr>
              <w:pStyle w:val="83"/>
              <w:spacing w:line="500" w:lineRule="exact"/>
              <w:rPr>
                <w:rFonts w:ascii="宋体" w:hAnsi="宋体"/>
                <w:color w:val="auto"/>
              </w:rPr>
            </w:pPr>
          </w:p>
        </w:tc>
        <w:tc>
          <w:tcPr>
            <w:tcW w:w="1290" w:type="dxa"/>
          </w:tcPr>
          <w:p>
            <w:pPr>
              <w:pStyle w:val="83"/>
              <w:spacing w:line="500" w:lineRule="exact"/>
              <w:rPr>
                <w:rFonts w:ascii="宋体" w:hAnsi="宋体"/>
                <w:color w:val="auto"/>
              </w:rPr>
            </w:pPr>
          </w:p>
        </w:tc>
        <w:tc>
          <w:tcPr>
            <w:tcW w:w="1440" w:type="dxa"/>
          </w:tcPr>
          <w:p>
            <w:pPr>
              <w:pStyle w:val="83"/>
              <w:spacing w:line="5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pStyle w:val="83"/>
              <w:spacing w:line="500" w:lineRule="exact"/>
              <w:rPr>
                <w:rFonts w:ascii="宋体" w:hAnsi="宋体"/>
                <w:color w:val="auto"/>
              </w:rPr>
            </w:pPr>
          </w:p>
        </w:tc>
        <w:tc>
          <w:tcPr>
            <w:tcW w:w="3314" w:type="dxa"/>
          </w:tcPr>
          <w:p>
            <w:pPr>
              <w:pStyle w:val="83"/>
              <w:spacing w:line="500" w:lineRule="exact"/>
              <w:rPr>
                <w:rFonts w:ascii="宋体" w:hAnsi="宋体"/>
                <w:color w:val="auto"/>
              </w:rPr>
            </w:pPr>
          </w:p>
        </w:tc>
        <w:tc>
          <w:tcPr>
            <w:tcW w:w="1388" w:type="dxa"/>
          </w:tcPr>
          <w:p>
            <w:pPr>
              <w:pStyle w:val="83"/>
              <w:spacing w:line="500" w:lineRule="exact"/>
              <w:rPr>
                <w:rFonts w:ascii="宋体" w:hAnsi="宋体"/>
                <w:color w:val="auto"/>
              </w:rPr>
            </w:pPr>
          </w:p>
        </w:tc>
        <w:tc>
          <w:tcPr>
            <w:tcW w:w="1260" w:type="dxa"/>
          </w:tcPr>
          <w:p>
            <w:pPr>
              <w:pStyle w:val="83"/>
              <w:spacing w:line="500" w:lineRule="exact"/>
              <w:rPr>
                <w:rFonts w:ascii="宋体" w:hAnsi="宋体"/>
                <w:color w:val="auto"/>
              </w:rPr>
            </w:pPr>
          </w:p>
        </w:tc>
        <w:tc>
          <w:tcPr>
            <w:tcW w:w="1290" w:type="dxa"/>
          </w:tcPr>
          <w:p>
            <w:pPr>
              <w:pStyle w:val="83"/>
              <w:spacing w:line="500" w:lineRule="exact"/>
              <w:rPr>
                <w:rFonts w:ascii="宋体" w:hAnsi="宋体"/>
                <w:color w:val="auto"/>
              </w:rPr>
            </w:pPr>
          </w:p>
        </w:tc>
        <w:tc>
          <w:tcPr>
            <w:tcW w:w="1440" w:type="dxa"/>
          </w:tcPr>
          <w:p>
            <w:pPr>
              <w:pStyle w:val="83"/>
              <w:spacing w:line="5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tcPr>
          <w:p>
            <w:pPr>
              <w:pStyle w:val="83"/>
              <w:spacing w:line="500" w:lineRule="exact"/>
              <w:rPr>
                <w:rFonts w:ascii="宋体" w:hAnsi="宋体"/>
                <w:color w:val="auto"/>
              </w:rPr>
            </w:pPr>
          </w:p>
        </w:tc>
        <w:tc>
          <w:tcPr>
            <w:tcW w:w="3314" w:type="dxa"/>
          </w:tcPr>
          <w:p>
            <w:pPr>
              <w:pStyle w:val="83"/>
              <w:spacing w:line="500" w:lineRule="exact"/>
              <w:rPr>
                <w:rFonts w:ascii="宋体" w:hAnsi="宋体"/>
                <w:color w:val="auto"/>
              </w:rPr>
            </w:pPr>
          </w:p>
        </w:tc>
        <w:tc>
          <w:tcPr>
            <w:tcW w:w="1388" w:type="dxa"/>
          </w:tcPr>
          <w:p>
            <w:pPr>
              <w:pStyle w:val="83"/>
              <w:spacing w:line="500" w:lineRule="exact"/>
              <w:rPr>
                <w:rFonts w:ascii="宋体" w:hAnsi="宋体"/>
                <w:color w:val="auto"/>
              </w:rPr>
            </w:pPr>
          </w:p>
        </w:tc>
        <w:tc>
          <w:tcPr>
            <w:tcW w:w="1260" w:type="dxa"/>
          </w:tcPr>
          <w:p>
            <w:pPr>
              <w:pStyle w:val="83"/>
              <w:spacing w:line="500" w:lineRule="exact"/>
              <w:rPr>
                <w:rFonts w:ascii="宋体" w:hAnsi="宋体"/>
                <w:color w:val="auto"/>
              </w:rPr>
            </w:pPr>
          </w:p>
        </w:tc>
        <w:tc>
          <w:tcPr>
            <w:tcW w:w="1290" w:type="dxa"/>
          </w:tcPr>
          <w:p>
            <w:pPr>
              <w:pStyle w:val="83"/>
              <w:spacing w:line="500" w:lineRule="exact"/>
              <w:rPr>
                <w:rFonts w:ascii="宋体" w:hAnsi="宋体"/>
                <w:color w:val="auto"/>
              </w:rPr>
            </w:pPr>
          </w:p>
        </w:tc>
        <w:tc>
          <w:tcPr>
            <w:tcW w:w="1440" w:type="dxa"/>
          </w:tcPr>
          <w:p>
            <w:pPr>
              <w:pStyle w:val="83"/>
              <w:spacing w:line="500" w:lineRule="exact"/>
              <w:rPr>
                <w:rFonts w:ascii="宋体" w:hAnsi="宋体"/>
                <w:color w:val="auto"/>
              </w:rPr>
            </w:pPr>
          </w:p>
        </w:tc>
      </w:tr>
    </w:tbl>
    <w:p>
      <w:pPr>
        <w:spacing w:line="500" w:lineRule="exact"/>
        <w:rPr>
          <w:rFonts w:ascii="宋体" w:hAnsi="宋体"/>
          <w:color w:val="auto"/>
          <w:sz w:val="24"/>
          <w:szCs w:val="24"/>
        </w:rPr>
      </w:pPr>
      <w:r>
        <w:rPr>
          <w:rFonts w:ascii="宋体" w:hAnsi="宋体"/>
          <w:color w:val="auto"/>
          <w:kern w:val="0"/>
          <w:sz w:val="24"/>
          <w:szCs w:val="24"/>
        </w:rPr>
        <w:t xml:space="preserve">                        </w:t>
      </w:r>
    </w:p>
    <w:p>
      <w:pPr>
        <w:pStyle w:val="83"/>
        <w:spacing w:line="500" w:lineRule="exact"/>
        <w:rPr>
          <w:rFonts w:ascii="宋体" w:hAnsi="宋体"/>
          <w:color w:val="auto"/>
        </w:rPr>
      </w:pPr>
    </w:p>
    <w:p>
      <w:pPr>
        <w:pStyle w:val="83"/>
        <w:spacing w:line="500" w:lineRule="exact"/>
        <w:rPr>
          <w:rFonts w:ascii="宋体" w:hAnsi="宋体"/>
          <w:b/>
          <w:color w:val="auto"/>
        </w:rPr>
      </w:pPr>
      <w:r>
        <w:rPr>
          <w:rFonts w:hint="eastAsia" w:ascii="宋体" w:hAnsi="宋体"/>
          <w:color w:val="auto"/>
        </w:rPr>
        <w:t>注:若有偏离,请将具体偏离条款在</w:t>
      </w:r>
      <w:r>
        <w:rPr>
          <w:rFonts w:ascii="宋体" w:hAnsi="宋体"/>
          <w:color w:val="auto"/>
        </w:rPr>
        <w:t>”</w:t>
      </w:r>
      <w:r>
        <w:rPr>
          <w:rFonts w:hint="eastAsia" w:ascii="宋体" w:hAnsi="宋体"/>
          <w:color w:val="auto"/>
        </w:rPr>
        <w:t>偏离</w:t>
      </w:r>
      <w:r>
        <w:rPr>
          <w:rFonts w:ascii="宋体" w:hAnsi="宋体"/>
          <w:color w:val="auto"/>
        </w:rPr>
        <w:t>”</w:t>
      </w:r>
      <w:r>
        <w:rPr>
          <w:rFonts w:hint="eastAsia" w:ascii="宋体" w:hAnsi="宋体"/>
          <w:color w:val="auto"/>
        </w:rPr>
        <w:t>一栏中详细说明;若无偏离,请在</w:t>
      </w:r>
      <w:r>
        <w:rPr>
          <w:rFonts w:ascii="宋体" w:hAnsi="宋体"/>
          <w:color w:val="auto"/>
        </w:rPr>
        <w:t>”</w:t>
      </w:r>
      <w:r>
        <w:rPr>
          <w:rFonts w:hint="eastAsia" w:ascii="宋体" w:hAnsi="宋体"/>
          <w:color w:val="auto"/>
        </w:rPr>
        <w:t>偏离</w:t>
      </w:r>
      <w:r>
        <w:rPr>
          <w:rFonts w:ascii="宋体" w:hAnsi="宋体"/>
          <w:color w:val="auto"/>
        </w:rPr>
        <w:t>”</w:t>
      </w:r>
      <w:r>
        <w:rPr>
          <w:rFonts w:hint="eastAsia" w:ascii="宋体" w:hAnsi="宋体"/>
          <w:color w:val="auto"/>
        </w:rPr>
        <w:t>一栏中标注</w:t>
      </w:r>
      <w:r>
        <w:rPr>
          <w:rFonts w:ascii="宋体" w:hAnsi="宋体"/>
          <w:color w:val="auto"/>
        </w:rPr>
        <w:t>”</w:t>
      </w:r>
      <w:r>
        <w:rPr>
          <w:rFonts w:hint="eastAsia" w:ascii="宋体" w:hAnsi="宋体"/>
          <w:color w:val="auto"/>
        </w:rPr>
        <w:t>无</w:t>
      </w:r>
      <w:r>
        <w:rPr>
          <w:rFonts w:ascii="宋体" w:hAnsi="宋体"/>
          <w:color w:val="auto"/>
        </w:rPr>
        <w:t>”</w:t>
      </w:r>
      <w:r>
        <w:rPr>
          <w:rFonts w:hint="eastAsia" w:ascii="宋体" w:hAnsi="宋体"/>
          <w:color w:val="auto"/>
        </w:rPr>
        <w:t>字样.</w:t>
      </w:r>
    </w:p>
    <w:p>
      <w:pPr>
        <w:pStyle w:val="83"/>
        <w:spacing w:line="500" w:lineRule="exact"/>
        <w:rPr>
          <w:rFonts w:ascii="宋体" w:hAnsi="宋体"/>
          <w:b/>
          <w:color w:val="auto"/>
        </w:rPr>
      </w:pPr>
    </w:p>
    <w:p>
      <w:pPr>
        <w:pStyle w:val="83"/>
        <w:spacing w:line="500" w:lineRule="exact"/>
        <w:rPr>
          <w:rFonts w:ascii="宋体" w:hAnsi="宋体"/>
          <w:b/>
          <w:color w:val="auto"/>
        </w:rPr>
      </w:pPr>
    </w:p>
    <w:p>
      <w:pPr>
        <w:adjustRightInd w:val="0"/>
        <w:snapToGrid w:val="0"/>
        <w:spacing w:line="360" w:lineRule="auto"/>
        <w:ind w:firstLine="484" w:firstLineChars="200"/>
        <w:rPr>
          <w:rFonts w:ascii="宋体" w:hAnsi="宋体"/>
          <w:color w:val="auto"/>
          <w:sz w:val="24"/>
          <w:szCs w:val="21"/>
        </w:rPr>
      </w:pPr>
    </w:p>
    <w:p>
      <w:pPr>
        <w:adjustRightInd w:val="0"/>
        <w:snapToGrid w:val="0"/>
        <w:spacing w:line="360" w:lineRule="auto"/>
        <w:ind w:firstLine="484" w:firstLineChars="200"/>
        <w:rPr>
          <w:rFonts w:ascii="宋体" w:hAnsi="宋体"/>
          <w:color w:val="auto"/>
          <w:sz w:val="24"/>
          <w:szCs w:val="21"/>
        </w:rPr>
      </w:pPr>
      <w:r>
        <w:rPr>
          <w:rFonts w:hint="eastAsia" w:ascii="宋体" w:hAnsi="宋体"/>
          <w:color w:val="auto"/>
          <w:sz w:val="24"/>
          <w:szCs w:val="21"/>
        </w:rPr>
        <w:t>投标人（盖单位章）：</w:t>
      </w:r>
    </w:p>
    <w:p>
      <w:pPr>
        <w:adjustRightInd w:val="0"/>
        <w:snapToGrid w:val="0"/>
        <w:spacing w:line="360" w:lineRule="auto"/>
        <w:ind w:left="483" w:leftChars="228" w:firstLine="9438" w:firstLineChars="3900"/>
        <w:rPr>
          <w:rFonts w:ascii="宋体" w:hAnsi="宋体"/>
          <w:color w:val="auto"/>
          <w:sz w:val="24"/>
          <w:szCs w:val="21"/>
        </w:rPr>
      </w:pPr>
      <w:r>
        <w:rPr>
          <w:rFonts w:hint="eastAsia" w:ascii="宋体" w:hAnsi="宋体"/>
          <w:color w:val="auto"/>
          <w:sz w:val="24"/>
          <w:szCs w:val="21"/>
        </w:rPr>
        <w:t xml:space="preserve"> 法定代表人或其委托代理人签字：</w:t>
      </w:r>
      <w:r>
        <w:rPr>
          <w:rFonts w:hint="eastAsia" w:ascii="宋体" w:hAnsi="宋体"/>
          <w:color w:val="auto"/>
          <w:sz w:val="24"/>
          <w:szCs w:val="21"/>
          <w:u w:val="single"/>
        </w:rPr>
        <w:t xml:space="preserve">       </w:t>
      </w:r>
    </w:p>
    <w:p>
      <w:pPr>
        <w:adjustRightInd w:val="0"/>
        <w:snapToGrid w:val="0"/>
        <w:spacing w:line="360" w:lineRule="auto"/>
        <w:ind w:left="483" w:leftChars="228" w:right="24" w:firstLine="9438" w:firstLineChars="3900"/>
        <w:rPr>
          <w:rFonts w:ascii="宋体" w:hAnsi="宋体"/>
          <w:bCs/>
          <w:color w:val="auto"/>
          <w:sz w:val="36"/>
          <w:szCs w:val="28"/>
        </w:rPr>
      </w:pPr>
      <w:r>
        <w:rPr>
          <w:rFonts w:hint="eastAsia" w:ascii="宋体" w:hAnsi="宋体"/>
          <w:color w:val="auto"/>
          <w:sz w:val="24"/>
          <w:szCs w:val="21"/>
        </w:rPr>
        <w:t xml:space="preserve">  日期：</w:t>
      </w:r>
      <w:r>
        <w:rPr>
          <w:rFonts w:hint="eastAsia" w:ascii="宋体" w:hAnsi="宋体"/>
          <w:color w:val="auto"/>
          <w:sz w:val="24"/>
          <w:szCs w:val="21"/>
          <w:u w:val="single"/>
        </w:rPr>
        <w:t xml:space="preserve">         </w:t>
      </w:r>
      <w:r>
        <w:rPr>
          <w:rFonts w:hint="eastAsia" w:ascii="宋体" w:hAnsi="宋体"/>
          <w:color w:val="auto"/>
          <w:sz w:val="24"/>
          <w:szCs w:val="21"/>
        </w:rPr>
        <w:t>年</w:t>
      </w:r>
      <w:r>
        <w:rPr>
          <w:rFonts w:hint="eastAsia" w:ascii="宋体" w:hAnsi="宋体"/>
          <w:color w:val="auto"/>
          <w:sz w:val="24"/>
          <w:szCs w:val="21"/>
          <w:u w:val="single"/>
        </w:rPr>
        <w:t xml:space="preserve">    </w:t>
      </w:r>
      <w:r>
        <w:rPr>
          <w:rFonts w:hint="eastAsia" w:ascii="宋体" w:hAnsi="宋体"/>
          <w:color w:val="auto"/>
          <w:sz w:val="24"/>
          <w:szCs w:val="21"/>
        </w:rPr>
        <w:t>月</w:t>
      </w:r>
      <w:r>
        <w:rPr>
          <w:rFonts w:hint="eastAsia" w:ascii="宋体" w:hAnsi="宋体"/>
          <w:color w:val="auto"/>
          <w:sz w:val="24"/>
          <w:szCs w:val="21"/>
          <w:u w:val="single"/>
        </w:rPr>
        <w:t xml:space="preserve">   </w:t>
      </w:r>
      <w:r>
        <w:rPr>
          <w:rFonts w:hint="eastAsia" w:ascii="宋体" w:hAnsi="宋体"/>
          <w:color w:val="auto"/>
          <w:sz w:val="24"/>
          <w:szCs w:val="21"/>
        </w:rPr>
        <w:t>日</w:t>
      </w:r>
    </w:p>
    <w:p>
      <w:pPr>
        <w:pStyle w:val="83"/>
        <w:spacing w:line="500" w:lineRule="exact"/>
        <w:rPr>
          <w:rFonts w:ascii="宋体" w:hAnsi="宋体"/>
          <w:b/>
          <w:color w:val="auto"/>
        </w:rPr>
      </w:pPr>
    </w:p>
    <w:p>
      <w:pPr>
        <w:pStyle w:val="83"/>
        <w:spacing w:line="500" w:lineRule="exact"/>
        <w:rPr>
          <w:rFonts w:ascii="宋体" w:hAnsi="宋体"/>
          <w:b/>
          <w:color w:val="auto"/>
        </w:rPr>
      </w:pPr>
    </w:p>
    <w:p>
      <w:pPr>
        <w:pStyle w:val="83"/>
        <w:spacing w:line="500" w:lineRule="exact"/>
        <w:jc w:val="center"/>
        <w:rPr>
          <w:rFonts w:ascii="宋体" w:hAnsi="宋体"/>
          <w:b/>
          <w:color w:val="auto"/>
        </w:rPr>
      </w:pPr>
      <w:r>
        <w:rPr>
          <w:rFonts w:hint="eastAsia" w:ascii="宋体" w:hAnsi="宋体"/>
          <w:b/>
          <w:color w:val="auto"/>
        </w:rPr>
        <w:br w:type="page"/>
      </w:r>
    </w:p>
    <w:p>
      <w:pPr>
        <w:pStyle w:val="83"/>
        <w:spacing w:line="500" w:lineRule="exact"/>
        <w:jc w:val="center"/>
        <w:rPr>
          <w:rFonts w:ascii="宋体" w:hAnsi="宋体"/>
          <w:b/>
          <w:color w:val="auto"/>
        </w:rPr>
      </w:pPr>
      <w:r>
        <w:rPr>
          <w:rFonts w:hint="eastAsia" w:ascii="宋体" w:hAnsi="宋体"/>
          <w:b/>
          <w:color w:val="auto"/>
        </w:rPr>
        <w:t>十、售后服务承诺书</w:t>
      </w:r>
    </w:p>
    <w:p>
      <w:pPr>
        <w:pStyle w:val="83"/>
        <w:spacing w:line="500" w:lineRule="exact"/>
        <w:rPr>
          <w:rFonts w:ascii="宋体" w:hAnsi="宋体"/>
          <w:bCs/>
          <w:color w:val="auto"/>
        </w:rPr>
      </w:pPr>
      <w:r>
        <w:rPr>
          <w:rFonts w:hint="eastAsia" w:ascii="宋体" w:hAnsi="宋体"/>
          <w:bCs/>
          <w:color w:val="auto"/>
        </w:rPr>
        <w:t>该承诺书格式由投标商自行确定。</w:t>
      </w:r>
    </w:p>
    <w:p>
      <w:pPr>
        <w:tabs>
          <w:tab w:val="left" w:pos="6521"/>
        </w:tabs>
        <w:spacing w:line="500" w:lineRule="exact"/>
        <w:ind w:left="-53" w:leftChars="-171" w:hanging="309" w:hangingChars="128"/>
        <w:rPr>
          <w:rFonts w:ascii="宋体" w:hAnsi="宋体"/>
          <w:color w:val="auto"/>
          <w:sz w:val="24"/>
          <w:szCs w:val="24"/>
        </w:rPr>
      </w:pPr>
      <w:r>
        <w:rPr>
          <w:rFonts w:hint="eastAsia" w:ascii="宋体" w:hAnsi="宋体"/>
          <w:color w:val="auto"/>
          <w:sz w:val="24"/>
          <w:szCs w:val="24"/>
        </w:rPr>
        <w:t xml:space="preserve">       1、应提供配套设备的免费保修，质保期：质保期</w:t>
      </w:r>
      <w:r>
        <w:rPr>
          <w:rFonts w:hint="eastAsia" w:ascii="宋体" w:hAnsi="宋体"/>
          <w:color w:val="auto"/>
          <w:sz w:val="24"/>
          <w:szCs w:val="24"/>
          <w:u w:val="single"/>
        </w:rPr>
        <w:t xml:space="preserve">  </w:t>
      </w:r>
      <w:r>
        <w:rPr>
          <w:rFonts w:hint="eastAsia" w:ascii="宋体" w:hAnsi="宋体"/>
          <w:color w:val="auto"/>
          <w:sz w:val="24"/>
          <w:szCs w:val="24"/>
        </w:rPr>
        <w:t>年，在新疆本地有售后服务网点（三包：包退、包换、包修）；</w:t>
      </w:r>
    </w:p>
    <w:p>
      <w:pPr>
        <w:spacing w:line="500" w:lineRule="exact"/>
        <w:ind w:left="-402" w:leftChars="-190" w:firstLine="48" w:firstLineChars="20"/>
        <w:rPr>
          <w:rFonts w:ascii="宋体" w:hAnsi="宋体"/>
          <w:color w:val="auto"/>
          <w:sz w:val="24"/>
          <w:szCs w:val="24"/>
        </w:rPr>
      </w:pPr>
      <w:r>
        <w:rPr>
          <w:rFonts w:hint="eastAsia" w:ascii="宋体" w:hAnsi="宋体"/>
          <w:color w:val="auto"/>
          <w:sz w:val="24"/>
          <w:szCs w:val="24"/>
        </w:rPr>
        <w:t xml:space="preserve">       2、售后服务：提供相关的技术培训和技术资料，包括安装、调试等，质保期限内免费维护。</w:t>
      </w:r>
    </w:p>
    <w:p>
      <w:pPr>
        <w:spacing w:line="500" w:lineRule="exact"/>
        <w:ind w:left="-53" w:leftChars="-171" w:hanging="309" w:hangingChars="128"/>
        <w:rPr>
          <w:rFonts w:ascii="宋体" w:hAnsi="宋体"/>
          <w:color w:val="auto"/>
          <w:sz w:val="24"/>
          <w:szCs w:val="24"/>
        </w:rPr>
      </w:pPr>
      <w:r>
        <w:rPr>
          <w:rFonts w:hint="eastAsia" w:ascii="宋体" w:hAnsi="宋体"/>
          <w:color w:val="auto"/>
          <w:sz w:val="24"/>
          <w:szCs w:val="24"/>
        </w:rPr>
        <w:t xml:space="preserve">       3、保修期内和保修期后，如设备出现故障，2小时售后响应，8小时问题解决，保修期内免费维修，保修期外只收取材料成本费，免人工费，主要零配件送达时间不超过3天，每超一天按日设备的检查费赔偿。</w:t>
      </w:r>
    </w:p>
    <w:p>
      <w:pPr>
        <w:spacing w:line="500" w:lineRule="exact"/>
        <w:ind w:left="-53" w:leftChars="-171" w:hanging="309" w:hangingChars="128"/>
        <w:rPr>
          <w:rFonts w:ascii="宋体" w:hAnsi="宋体"/>
          <w:bCs/>
          <w:color w:val="auto"/>
          <w:sz w:val="24"/>
          <w:szCs w:val="24"/>
        </w:rPr>
      </w:pPr>
      <w:r>
        <w:rPr>
          <w:rFonts w:hint="eastAsia" w:ascii="宋体" w:hAnsi="宋体"/>
          <w:color w:val="auto"/>
          <w:sz w:val="24"/>
          <w:szCs w:val="24"/>
        </w:rPr>
        <w:t xml:space="preserve">       4、</w:t>
      </w:r>
      <w:r>
        <w:rPr>
          <w:rFonts w:hint="eastAsia" w:ascii="宋体" w:hAnsi="宋体"/>
          <w:bCs/>
          <w:color w:val="auto"/>
          <w:sz w:val="24"/>
          <w:szCs w:val="24"/>
        </w:rPr>
        <w:t>请提供一份详细的售后服务承诺书和计划书。</w:t>
      </w:r>
    </w:p>
    <w:p>
      <w:pPr>
        <w:spacing w:line="500" w:lineRule="exact"/>
        <w:ind w:firstLine="484" w:firstLineChars="200"/>
        <w:rPr>
          <w:rFonts w:ascii="宋体" w:hAnsi="宋体"/>
          <w:color w:val="auto"/>
          <w:sz w:val="24"/>
          <w:szCs w:val="24"/>
        </w:rPr>
      </w:pPr>
      <w:r>
        <w:rPr>
          <w:rFonts w:hint="eastAsia" w:ascii="宋体" w:hAnsi="宋体"/>
          <w:bCs/>
          <w:color w:val="auto"/>
          <w:sz w:val="24"/>
          <w:szCs w:val="24"/>
        </w:rPr>
        <w:t>（注：投标人可适当增加售后服务内容）</w:t>
      </w:r>
    </w:p>
    <w:p>
      <w:pPr>
        <w:pStyle w:val="83"/>
        <w:spacing w:line="500" w:lineRule="exact"/>
        <w:rPr>
          <w:rFonts w:ascii="宋体" w:hAnsi="宋体"/>
          <w:bCs/>
          <w:color w:val="auto"/>
        </w:rPr>
      </w:pPr>
    </w:p>
    <w:p>
      <w:pPr>
        <w:pStyle w:val="83"/>
        <w:spacing w:line="500" w:lineRule="exact"/>
        <w:rPr>
          <w:rFonts w:ascii="宋体" w:hAnsi="宋体"/>
          <w:color w:val="auto"/>
        </w:rPr>
      </w:pPr>
    </w:p>
    <w:p>
      <w:pPr>
        <w:pStyle w:val="83"/>
        <w:spacing w:line="500" w:lineRule="exact"/>
        <w:ind w:firstLine="4235" w:firstLineChars="1750"/>
        <w:rPr>
          <w:rFonts w:ascii="宋体" w:hAnsi="宋体"/>
          <w:color w:val="auto"/>
        </w:rPr>
      </w:pPr>
    </w:p>
    <w:p>
      <w:pPr>
        <w:adjustRightInd w:val="0"/>
        <w:snapToGrid w:val="0"/>
        <w:spacing w:line="360" w:lineRule="auto"/>
        <w:ind w:firstLine="424" w:firstLineChars="200"/>
        <w:rPr>
          <w:rFonts w:ascii="宋体" w:hAnsi="宋体"/>
          <w:color w:val="auto"/>
          <w:sz w:val="24"/>
          <w:szCs w:val="21"/>
        </w:rPr>
      </w:pPr>
      <w:r>
        <w:rPr>
          <w:rFonts w:hint="eastAsia" w:ascii="宋体" w:hAnsi="宋体"/>
          <w:color w:val="auto"/>
        </w:rPr>
        <w:t xml:space="preserve">                                           </w:t>
      </w:r>
    </w:p>
    <w:p>
      <w:pPr>
        <w:adjustRightInd w:val="0"/>
        <w:snapToGrid w:val="0"/>
        <w:spacing w:line="360" w:lineRule="auto"/>
        <w:ind w:firstLine="484" w:firstLineChars="200"/>
        <w:rPr>
          <w:rFonts w:ascii="宋体" w:hAnsi="宋体"/>
          <w:color w:val="auto"/>
          <w:sz w:val="24"/>
          <w:szCs w:val="21"/>
        </w:rPr>
      </w:pPr>
      <w:r>
        <w:rPr>
          <w:rFonts w:hint="eastAsia" w:ascii="宋体" w:hAnsi="宋体"/>
          <w:color w:val="auto"/>
          <w:sz w:val="24"/>
          <w:szCs w:val="21"/>
        </w:rPr>
        <w:t>投标人（盖单位章）：</w:t>
      </w:r>
    </w:p>
    <w:p>
      <w:pPr>
        <w:adjustRightInd w:val="0"/>
        <w:snapToGrid w:val="0"/>
        <w:spacing w:line="360" w:lineRule="auto"/>
        <w:ind w:left="483" w:leftChars="228" w:firstLine="9438" w:firstLineChars="3900"/>
        <w:rPr>
          <w:rFonts w:ascii="宋体" w:hAnsi="宋体"/>
          <w:color w:val="auto"/>
          <w:sz w:val="24"/>
          <w:szCs w:val="21"/>
        </w:rPr>
      </w:pPr>
      <w:r>
        <w:rPr>
          <w:rFonts w:hint="eastAsia" w:ascii="宋体" w:hAnsi="宋体"/>
          <w:color w:val="auto"/>
          <w:sz w:val="24"/>
          <w:szCs w:val="21"/>
        </w:rPr>
        <w:t xml:space="preserve"> 法定代表人或其委托代理人签字：</w:t>
      </w:r>
      <w:r>
        <w:rPr>
          <w:rFonts w:hint="eastAsia" w:ascii="宋体" w:hAnsi="宋体"/>
          <w:color w:val="auto"/>
          <w:sz w:val="24"/>
          <w:szCs w:val="21"/>
          <w:u w:val="single"/>
        </w:rPr>
        <w:t xml:space="preserve">       </w:t>
      </w:r>
    </w:p>
    <w:p>
      <w:pPr>
        <w:adjustRightInd w:val="0"/>
        <w:snapToGrid w:val="0"/>
        <w:spacing w:line="360" w:lineRule="auto"/>
        <w:ind w:left="483" w:leftChars="228" w:right="24" w:firstLine="9438" w:firstLineChars="3900"/>
        <w:rPr>
          <w:rFonts w:ascii="宋体" w:hAnsi="宋体"/>
          <w:bCs/>
          <w:color w:val="auto"/>
          <w:sz w:val="36"/>
          <w:szCs w:val="28"/>
        </w:rPr>
      </w:pPr>
      <w:r>
        <w:rPr>
          <w:rFonts w:hint="eastAsia" w:ascii="宋体" w:hAnsi="宋体"/>
          <w:color w:val="auto"/>
          <w:sz w:val="24"/>
          <w:szCs w:val="21"/>
        </w:rPr>
        <w:t xml:space="preserve">  日期：</w:t>
      </w:r>
      <w:r>
        <w:rPr>
          <w:rFonts w:hint="eastAsia" w:ascii="宋体" w:hAnsi="宋体"/>
          <w:color w:val="auto"/>
          <w:sz w:val="24"/>
          <w:szCs w:val="21"/>
          <w:u w:val="single"/>
        </w:rPr>
        <w:t xml:space="preserve">         </w:t>
      </w:r>
      <w:r>
        <w:rPr>
          <w:rFonts w:hint="eastAsia" w:ascii="宋体" w:hAnsi="宋体"/>
          <w:color w:val="auto"/>
          <w:sz w:val="24"/>
          <w:szCs w:val="21"/>
        </w:rPr>
        <w:t>年</w:t>
      </w:r>
      <w:r>
        <w:rPr>
          <w:rFonts w:hint="eastAsia" w:ascii="宋体" w:hAnsi="宋体"/>
          <w:color w:val="auto"/>
          <w:sz w:val="24"/>
          <w:szCs w:val="21"/>
          <w:u w:val="single"/>
        </w:rPr>
        <w:t xml:space="preserve">    </w:t>
      </w:r>
      <w:r>
        <w:rPr>
          <w:rFonts w:hint="eastAsia" w:ascii="宋体" w:hAnsi="宋体"/>
          <w:color w:val="auto"/>
          <w:sz w:val="24"/>
          <w:szCs w:val="21"/>
        </w:rPr>
        <w:t>月</w:t>
      </w:r>
      <w:r>
        <w:rPr>
          <w:rFonts w:hint="eastAsia" w:ascii="宋体" w:hAnsi="宋体"/>
          <w:color w:val="auto"/>
          <w:sz w:val="24"/>
          <w:szCs w:val="21"/>
          <w:u w:val="single"/>
        </w:rPr>
        <w:t xml:space="preserve">   </w:t>
      </w:r>
      <w:r>
        <w:rPr>
          <w:rFonts w:hint="eastAsia" w:ascii="宋体" w:hAnsi="宋体"/>
          <w:color w:val="auto"/>
          <w:sz w:val="24"/>
          <w:szCs w:val="21"/>
        </w:rPr>
        <w:t>日</w:t>
      </w:r>
    </w:p>
    <w:p>
      <w:pPr>
        <w:pStyle w:val="83"/>
        <w:spacing w:line="500" w:lineRule="exact"/>
        <w:ind w:firstLine="8591" w:firstLineChars="3550"/>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color w:val="auto"/>
        </w:rPr>
      </w:pPr>
    </w:p>
    <w:sectPr>
      <w:headerReference r:id="rId7" w:type="first"/>
      <w:footerReference r:id="rId9" w:type="first"/>
      <w:footerReference r:id="rId8" w:type="default"/>
      <w:pgSz w:w="11906" w:h="16838"/>
      <w:pgMar w:top="1417" w:right="1134" w:bottom="1417" w:left="1417" w:header="851" w:footer="850" w:gutter="0"/>
      <w:cols w:space="0" w:num="1"/>
      <w:docGrid w:type="linesAndChars" w:linePitch="322" w:charSpace="5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EU-F1">
    <w:altName w:val="黑体"/>
    <w:panose1 w:val="00000000000000000000"/>
    <w:charset w:val="86"/>
    <w:family w:val="script"/>
    <w:pitch w:val="default"/>
    <w:sig w:usb0="00000000" w:usb1="00000000" w:usb2="00000010" w:usb3="00000000" w:csb0="00040000" w:csb1="00000000"/>
  </w:font>
  <w:font w:name="font-weight : 400">
    <w:altName w:val="Courier New"/>
    <w:panose1 w:val="00000000000000000000"/>
    <w:charset w:val="00"/>
    <w:family w:val="auto"/>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MingLiU_HKSCS">
    <w:panose1 w:val="02020500000000000000"/>
    <w:charset w:val="88"/>
    <w:family w:val="roman"/>
    <w:pitch w:val="default"/>
    <w:sig w:usb0="A00002FF" w:usb1="38CFFCFA" w:usb2="00000016" w:usb3="00000000" w:csb0="0010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Fackk7gBAABU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42</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path/>
          <v:fill on="f" focussize="0,0"/>
          <v:stroke on="f" weight="0.5pt" joinstyle="miter"/>
          <v:imagedata o:title=""/>
          <o:lock v:ext="edit"/>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w:r>
    <w:r>
      <w:rPr>
        <w:rFonts w:hint="eastAsia"/>
      </w:rPr>
      <w:t>新疆华域建设工程项目管理咨询有限公司编制                                     联系电话：18690293446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dashDotStroked" w:color="auto" w:sz="24" w:space="1"/>
      </w:pBdr>
      <w:tabs>
        <w:tab w:val="left" w:pos="2528"/>
        <w:tab w:val="center" w:pos="4737"/>
      </w:tabs>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path/>
          <v:fill on="f" focussize="0,0"/>
          <v:stroke on="f" weight="0.5pt" joinstyle="miter"/>
          <v:imagedata o:title=""/>
          <o:lock v:ext="edit"/>
          <v:textbox inset="0mm,0mm,0mm,0mm" style="mso-fit-shape-to-text:t;">
            <w:txbxContent>
              <w:p>
                <w:pPr>
                  <w:pStyle w:val="28"/>
                </w:pPr>
                <w:r>
                  <w:fldChar w:fldCharType="begin"/>
                </w:r>
                <w:r>
                  <w:instrText xml:space="preserve"> PAGE  \* MERGEFORMAT </w:instrText>
                </w:r>
                <w:r>
                  <w:fldChar w:fldCharType="separate"/>
                </w:r>
                <w:r>
                  <w:t>49</w:t>
                </w:r>
                <w:r>
                  <w:fldChar w:fldCharType="end"/>
                </w:r>
              </w:p>
            </w:txbxContent>
          </v:textbox>
        </v:shape>
      </w:pict>
    </w:r>
    <w:r>
      <w:rPr>
        <w:rFonts w:hint="eastAsia"/>
      </w:rPr>
      <w:t xml:space="preserve">新疆华域建设工程项目管理咨询有限公司编制 </w:t>
    </w:r>
    <w:r>
      <w:rPr>
        <w:rFonts w:hint="eastAsia"/>
        <w:b/>
        <w:i/>
      </w:rPr>
      <w:tab/>
    </w:r>
    <w:r>
      <w:rPr>
        <w:rFonts w:hint="eastAsia"/>
        <w:b/>
        <w:i/>
      </w:rPr>
      <w:t xml:space="preserve">                             </w:t>
    </w:r>
    <w:r>
      <w:rPr>
        <w:rFonts w:hint="eastAsia"/>
        <w:b/>
        <w:i/>
      </w:rPr>
      <w:tab/>
    </w:r>
    <w:r>
      <w:rPr>
        <w:rFonts w:hint="eastAsia"/>
      </w:rPr>
      <w:t>联系电话：18690293446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dashDotStroked" w:color="auto" w:sz="24" w:space="0"/>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rPr>
        <w:rFonts w:hint="eastAsia" w:eastAsia="宋体"/>
        <w:b/>
        <w:bCs/>
        <w:i/>
        <w:iCs/>
        <w:spacing w:val="6"/>
        <w:w w:val="90"/>
        <w:szCs w:val="22"/>
        <w:lang w:eastAsia="zh-CN"/>
      </w:rPr>
    </w:pPr>
    <w:r>
      <w:rPr>
        <w:rFonts w:hint="eastAsia"/>
        <w:b/>
        <w:bCs/>
        <w:i/>
        <w:iCs/>
        <w:spacing w:val="6"/>
        <w:w w:val="90"/>
        <w:szCs w:val="22"/>
        <w:lang w:eastAsia="zh-CN"/>
      </w:rPr>
      <w:t>霍城县中医医院医疗诊断设备采购项目</w:t>
    </w:r>
    <w:r>
      <w:rPr>
        <w:rFonts w:hint="eastAsia"/>
        <w:b/>
        <w:bCs/>
        <w:i/>
        <w:iCs/>
        <w:spacing w:val="6"/>
        <w:w w:val="90"/>
        <w:szCs w:val="22"/>
      </w:rPr>
      <w:t xml:space="preserve">                          </w:t>
    </w:r>
    <w:r>
      <w:rPr>
        <w:rFonts w:hint="eastAsia"/>
        <w:b/>
        <w:bCs/>
        <w:i/>
        <w:iCs/>
        <w:spacing w:val="6"/>
        <w:w w:val="90"/>
        <w:szCs w:val="22"/>
        <w:lang w:val="en-US" w:eastAsia="zh-CN"/>
      </w:rPr>
      <w:t xml:space="preserve">           </w:t>
    </w:r>
    <w:r>
      <w:rPr>
        <w:rFonts w:hint="eastAsia"/>
        <w:b/>
        <w:bCs/>
        <w:i/>
        <w:iCs/>
        <w:spacing w:val="6"/>
        <w:w w:val="90"/>
        <w:szCs w:val="22"/>
      </w:rPr>
      <w:t xml:space="preserve">  </w:t>
    </w:r>
    <w:r>
      <w:rPr>
        <w:rFonts w:hint="eastAsia"/>
        <w:b/>
        <w:bCs/>
        <w:i/>
        <w:iCs/>
        <w:spacing w:val="6"/>
        <w:w w:val="90"/>
      </w:rPr>
      <w:t>项目编号</w:t>
    </w:r>
    <w:r>
      <w:rPr>
        <w:rFonts w:hint="eastAsia"/>
        <w:b/>
        <w:bCs/>
        <w:i/>
        <w:iCs/>
        <w:spacing w:val="6"/>
        <w:w w:val="90"/>
        <w:szCs w:val="22"/>
      </w:rPr>
      <w:t>：</w:t>
    </w:r>
    <w:r>
      <w:rPr>
        <w:rFonts w:hint="eastAsia"/>
        <w:b/>
        <w:bCs/>
        <w:i/>
        <w:iCs/>
        <w:spacing w:val="6"/>
        <w:w w:val="90"/>
        <w:szCs w:val="22"/>
        <w:lang w:eastAsia="zh-CN"/>
      </w:rPr>
      <w:t>HYYL-2021-088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dashDotStroked" w:color="auto" w:sz="24" w:space="1"/>
      </w:pBdr>
      <w:jc w:val="both"/>
    </w:pPr>
    <w:r>
      <w:rPr>
        <w:rFonts w:hint="eastAsia"/>
        <w:b/>
        <w:bCs/>
        <w:i/>
        <w:iCs/>
      </w:rPr>
      <w:t>新疆冠农天府果蔬食品有限责任公司饮料前处理设备招标文件                                                                                    编号0689-xtgj0412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C3A65"/>
    <w:multiLevelType w:val="singleLevel"/>
    <w:tmpl w:val="921C3A65"/>
    <w:lvl w:ilvl="0" w:tentative="0">
      <w:start w:val="3"/>
      <w:numFmt w:val="chineseCounting"/>
      <w:suff w:val="space"/>
      <w:lvlText w:val="第%1章"/>
      <w:lvlJc w:val="left"/>
      <w:rPr>
        <w:rFonts w:hint="eastAsia"/>
      </w:rPr>
    </w:lvl>
  </w:abstractNum>
  <w:abstractNum w:abstractNumId="1">
    <w:nsid w:val="A4A77EA1"/>
    <w:multiLevelType w:val="singleLevel"/>
    <w:tmpl w:val="A4A77EA1"/>
    <w:lvl w:ilvl="0" w:tentative="0">
      <w:start w:val="5"/>
      <w:numFmt w:val="chineseCounting"/>
      <w:suff w:val="nothing"/>
      <w:lvlText w:val="%1、"/>
      <w:lvlJc w:val="left"/>
      <w:rPr>
        <w:rFonts w:hint="eastAsia"/>
      </w:rPr>
    </w:lvl>
  </w:abstractNum>
  <w:abstractNum w:abstractNumId="2">
    <w:nsid w:val="BBCCB3CA"/>
    <w:multiLevelType w:val="singleLevel"/>
    <w:tmpl w:val="BBCCB3CA"/>
    <w:lvl w:ilvl="0" w:tentative="0">
      <w:start w:val="1"/>
      <w:numFmt w:val="decimal"/>
      <w:suff w:val="nothing"/>
      <w:lvlText w:val="（%1）"/>
      <w:lvlJc w:val="left"/>
    </w:lvl>
  </w:abstractNum>
  <w:abstractNum w:abstractNumId="3">
    <w:nsid w:val="DB6E8AB8"/>
    <w:multiLevelType w:val="singleLevel"/>
    <w:tmpl w:val="DB6E8AB8"/>
    <w:lvl w:ilvl="0" w:tentative="0">
      <w:start w:val="4"/>
      <w:numFmt w:val="decimal"/>
      <w:lvlText w:val="%1."/>
      <w:lvlJc w:val="left"/>
      <w:pPr>
        <w:tabs>
          <w:tab w:val="left" w:pos="312"/>
        </w:tabs>
      </w:pPr>
    </w:lvl>
  </w:abstractNum>
  <w:abstractNum w:abstractNumId="4">
    <w:nsid w:val="E38A0821"/>
    <w:multiLevelType w:val="singleLevel"/>
    <w:tmpl w:val="E38A0821"/>
    <w:lvl w:ilvl="0" w:tentative="0">
      <w:start w:val="4"/>
      <w:numFmt w:val="chineseCounting"/>
      <w:suff w:val="nothing"/>
      <w:lvlText w:val="%1、"/>
      <w:lvlJc w:val="left"/>
      <w:rPr>
        <w:rFonts w:hint="eastAsia"/>
      </w:rPr>
    </w:lvl>
  </w:abstractNum>
  <w:abstractNum w:abstractNumId="5">
    <w:nsid w:val="00000000"/>
    <w:multiLevelType w:val="singleLevel"/>
    <w:tmpl w:val="00000000"/>
    <w:lvl w:ilvl="0" w:tentative="0">
      <w:start w:val="1"/>
      <w:numFmt w:val="chineseCounting"/>
      <w:suff w:val="nothing"/>
      <w:lvlText w:val="（%1）"/>
      <w:lvlJc w:val="left"/>
      <w:rPr>
        <w:rFonts w:hint="eastAsia"/>
      </w:rPr>
    </w:lvl>
  </w:abstractNum>
  <w:abstractNum w:abstractNumId="6">
    <w:nsid w:val="00000003"/>
    <w:multiLevelType w:val="multilevel"/>
    <w:tmpl w:val="0000000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A"/>
    <w:multiLevelType w:val="multilevel"/>
    <w:tmpl w:val="0000000A"/>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1"/>
    <w:multiLevelType w:val="multilevel"/>
    <w:tmpl w:val="00000011"/>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ind w:left="284" w:hanging="284"/>
      </w:pPr>
      <w:rPr>
        <w:rFonts w:hint="eastAsia"/>
      </w:rPr>
    </w:lvl>
    <w:lvl w:ilvl="2" w:tentative="0">
      <w:start w:val="1"/>
      <w:numFmt w:val="lowerRoman"/>
      <w:lvlText w:val="%3."/>
      <w:lvlJc w:val="right"/>
      <w:pPr>
        <w:ind w:left="284" w:hanging="284"/>
      </w:pPr>
      <w:rPr>
        <w:rFonts w:hint="eastAsia"/>
      </w:rPr>
    </w:lvl>
    <w:lvl w:ilvl="3" w:tentative="0">
      <w:start w:val="1"/>
      <w:numFmt w:val="decimal"/>
      <w:lvlText w:val="%4."/>
      <w:lvlJc w:val="left"/>
      <w:pPr>
        <w:ind w:left="284" w:hanging="284"/>
      </w:pPr>
      <w:rPr>
        <w:rFonts w:hint="eastAsia"/>
      </w:rPr>
    </w:lvl>
    <w:lvl w:ilvl="4" w:tentative="0">
      <w:start w:val="1"/>
      <w:numFmt w:val="lowerLetter"/>
      <w:lvlText w:val="%5)"/>
      <w:lvlJc w:val="left"/>
      <w:pPr>
        <w:ind w:left="284" w:hanging="284"/>
      </w:pPr>
      <w:rPr>
        <w:rFonts w:hint="eastAsia"/>
      </w:rPr>
    </w:lvl>
    <w:lvl w:ilvl="5" w:tentative="0">
      <w:start w:val="1"/>
      <w:numFmt w:val="lowerRoman"/>
      <w:lvlText w:val="%6."/>
      <w:lvlJc w:val="right"/>
      <w:pPr>
        <w:ind w:left="284" w:hanging="284"/>
      </w:pPr>
      <w:rPr>
        <w:rFonts w:hint="eastAsia"/>
      </w:rPr>
    </w:lvl>
    <w:lvl w:ilvl="6" w:tentative="0">
      <w:start w:val="1"/>
      <w:numFmt w:val="decimal"/>
      <w:lvlText w:val="%7."/>
      <w:lvlJc w:val="left"/>
      <w:pPr>
        <w:ind w:left="284" w:hanging="284"/>
      </w:pPr>
      <w:rPr>
        <w:rFonts w:hint="eastAsia"/>
      </w:rPr>
    </w:lvl>
    <w:lvl w:ilvl="7" w:tentative="0">
      <w:start w:val="1"/>
      <w:numFmt w:val="lowerLetter"/>
      <w:lvlText w:val="%8)"/>
      <w:lvlJc w:val="left"/>
      <w:pPr>
        <w:ind w:left="284" w:hanging="284"/>
      </w:pPr>
      <w:rPr>
        <w:rFonts w:hint="eastAsia"/>
      </w:rPr>
    </w:lvl>
    <w:lvl w:ilvl="8" w:tentative="0">
      <w:start w:val="1"/>
      <w:numFmt w:val="lowerRoman"/>
      <w:lvlText w:val="%9."/>
      <w:lvlJc w:val="right"/>
      <w:pPr>
        <w:ind w:left="284" w:hanging="284"/>
      </w:pPr>
      <w:rPr>
        <w:rFonts w:hint="eastAsia"/>
      </w:rPr>
    </w:lvl>
  </w:abstractNum>
  <w:abstractNum w:abstractNumId="9">
    <w:nsid w:val="557E9046"/>
    <w:multiLevelType w:val="singleLevel"/>
    <w:tmpl w:val="557E9046"/>
    <w:lvl w:ilvl="0" w:tentative="0">
      <w:start w:val="4"/>
      <w:numFmt w:val="decimal"/>
      <w:suff w:val="space"/>
      <w:lvlText w:val="%1."/>
      <w:lvlJc w:val="left"/>
    </w:lvl>
  </w:abstractNum>
  <w:abstractNum w:abstractNumId="10">
    <w:nsid w:val="56C54F3E"/>
    <w:multiLevelType w:val="singleLevel"/>
    <w:tmpl w:val="56C54F3E"/>
    <w:lvl w:ilvl="0" w:tentative="0">
      <w:start w:val="35"/>
      <w:numFmt w:val="decimal"/>
      <w:suff w:val="space"/>
      <w:lvlText w:val="%1."/>
      <w:lvlJc w:val="left"/>
    </w:lvl>
  </w:abstractNum>
  <w:abstractNum w:abstractNumId="11">
    <w:nsid w:val="75CC0A7A"/>
    <w:multiLevelType w:val="singleLevel"/>
    <w:tmpl w:val="75CC0A7A"/>
    <w:lvl w:ilvl="0" w:tentative="0">
      <w:start w:val="1"/>
      <w:numFmt w:val="chineseCounting"/>
      <w:suff w:val="nothing"/>
      <w:lvlText w:val="第%1部分　"/>
      <w:lvlJc w:val="left"/>
      <w:rPr>
        <w:rFonts w:hint="eastAsia"/>
      </w:rPr>
    </w:lvl>
  </w:abstractNum>
  <w:num w:numId="1">
    <w:abstractNumId w:val="1"/>
  </w:num>
  <w:num w:numId="2">
    <w:abstractNumId w:val="9"/>
  </w:num>
  <w:num w:numId="3">
    <w:abstractNumId w:val="10"/>
  </w:num>
  <w:num w:numId="4">
    <w:abstractNumId w:val="0"/>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5"/>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6"/>
  <w:drawingGridVerticalSpacing w:val="161"/>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958"/>
    <w:rsid w:val="0000410D"/>
    <w:rsid w:val="000042F6"/>
    <w:rsid w:val="00007CE3"/>
    <w:rsid w:val="00007D52"/>
    <w:rsid w:val="000118CC"/>
    <w:rsid w:val="0001428B"/>
    <w:rsid w:val="0001523B"/>
    <w:rsid w:val="0001575D"/>
    <w:rsid w:val="00017701"/>
    <w:rsid w:val="00021149"/>
    <w:rsid w:val="00023198"/>
    <w:rsid w:val="000245DA"/>
    <w:rsid w:val="00025131"/>
    <w:rsid w:val="000318F0"/>
    <w:rsid w:val="000320FE"/>
    <w:rsid w:val="0003438C"/>
    <w:rsid w:val="00036D18"/>
    <w:rsid w:val="000405FA"/>
    <w:rsid w:val="00046156"/>
    <w:rsid w:val="000465DD"/>
    <w:rsid w:val="000471D9"/>
    <w:rsid w:val="00057313"/>
    <w:rsid w:val="000608F0"/>
    <w:rsid w:val="00061477"/>
    <w:rsid w:val="00063AA6"/>
    <w:rsid w:val="00073CE3"/>
    <w:rsid w:val="000749FB"/>
    <w:rsid w:val="00076449"/>
    <w:rsid w:val="0008027B"/>
    <w:rsid w:val="00080555"/>
    <w:rsid w:val="00081C31"/>
    <w:rsid w:val="00082085"/>
    <w:rsid w:val="0008603D"/>
    <w:rsid w:val="0008632D"/>
    <w:rsid w:val="000863B7"/>
    <w:rsid w:val="000920A6"/>
    <w:rsid w:val="00092A0D"/>
    <w:rsid w:val="00094AF7"/>
    <w:rsid w:val="00095934"/>
    <w:rsid w:val="000A0CAB"/>
    <w:rsid w:val="000A1846"/>
    <w:rsid w:val="000A300B"/>
    <w:rsid w:val="000A32DB"/>
    <w:rsid w:val="000A61BA"/>
    <w:rsid w:val="000A64A5"/>
    <w:rsid w:val="000A6A6A"/>
    <w:rsid w:val="000A72BD"/>
    <w:rsid w:val="000A7A13"/>
    <w:rsid w:val="000B302C"/>
    <w:rsid w:val="000B5D99"/>
    <w:rsid w:val="000B772E"/>
    <w:rsid w:val="000C0E24"/>
    <w:rsid w:val="000C24E3"/>
    <w:rsid w:val="000C2EAA"/>
    <w:rsid w:val="000C48BF"/>
    <w:rsid w:val="000C730D"/>
    <w:rsid w:val="000C78C3"/>
    <w:rsid w:val="000D0119"/>
    <w:rsid w:val="000D29C5"/>
    <w:rsid w:val="000D509E"/>
    <w:rsid w:val="000D537D"/>
    <w:rsid w:val="000D61B9"/>
    <w:rsid w:val="000E0910"/>
    <w:rsid w:val="000E0AFE"/>
    <w:rsid w:val="000F29A1"/>
    <w:rsid w:val="000F50B5"/>
    <w:rsid w:val="000F6FBF"/>
    <w:rsid w:val="001027AB"/>
    <w:rsid w:val="00103B90"/>
    <w:rsid w:val="0010562A"/>
    <w:rsid w:val="00105EA4"/>
    <w:rsid w:val="001108EC"/>
    <w:rsid w:val="001120FA"/>
    <w:rsid w:val="00113306"/>
    <w:rsid w:val="00113E5B"/>
    <w:rsid w:val="001141AC"/>
    <w:rsid w:val="00117AED"/>
    <w:rsid w:val="00120412"/>
    <w:rsid w:val="00124834"/>
    <w:rsid w:val="00127434"/>
    <w:rsid w:val="0013377B"/>
    <w:rsid w:val="001402B6"/>
    <w:rsid w:val="00140C3B"/>
    <w:rsid w:val="00142AF8"/>
    <w:rsid w:val="00142E3A"/>
    <w:rsid w:val="001451DB"/>
    <w:rsid w:val="00145F67"/>
    <w:rsid w:val="0015628F"/>
    <w:rsid w:val="001577AB"/>
    <w:rsid w:val="00160456"/>
    <w:rsid w:val="00162456"/>
    <w:rsid w:val="00164095"/>
    <w:rsid w:val="00165FAF"/>
    <w:rsid w:val="0016700B"/>
    <w:rsid w:val="00171237"/>
    <w:rsid w:val="001724E7"/>
    <w:rsid w:val="00172A27"/>
    <w:rsid w:val="00181781"/>
    <w:rsid w:val="00181C36"/>
    <w:rsid w:val="0018269B"/>
    <w:rsid w:val="00182D78"/>
    <w:rsid w:val="00185787"/>
    <w:rsid w:val="0018666A"/>
    <w:rsid w:val="00192296"/>
    <w:rsid w:val="001928DD"/>
    <w:rsid w:val="00192E25"/>
    <w:rsid w:val="00193C1B"/>
    <w:rsid w:val="00195FB1"/>
    <w:rsid w:val="001A05A3"/>
    <w:rsid w:val="001B0376"/>
    <w:rsid w:val="001B1C83"/>
    <w:rsid w:val="001B3671"/>
    <w:rsid w:val="001B519C"/>
    <w:rsid w:val="001C2A56"/>
    <w:rsid w:val="001C6975"/>
    <w:rsid w:val="001C69B7"/>
    <w:rsid w:val="001D2306"/>
    <w:rsid w:val="001D7DC7"/>
    <w:rsid w:val="001E02B1"/>
    <w:rsid w:val="001E3B6A"/>
    <w:rsid w:val="001E4C3B"/>
    <w:rsid w:val="001E7225"/>
    <w:rsid w:val="001E7300"/>
    <w:rsid w:val="001F05C3"/>
    <w:rsid w:val="001F2E69"/>
    <w:rsid w:val="001F3DC6"/>
    <w:rsid w:val="001F5BFF"/>
    <w:rsid w:val="001F6FD8"/>
    <w:rsid w:val="002006EA"/>
    <w:rsid w:val="002020EE"/>
    <w:rsid w:val="00206A0F"/>
    <w:rsid w:val="00207843"/>
    <w:rsid w:val="00213E21"/>
    <w:rsid w:val="00214900"/>
    <w:rsid w:val="0021591D"/>
    <w:rsid w:val="002166FD"/>
    <w:rsid w:val="00216D7B"/>
    <w:rsid w:val="0022016C"/>
    <w:rsid w:val="00221A9C"/>
    <w:rsid w:val="00223013"/>
    <w:rsid w:val="00224344"/>
    <w:rsid w:val="002244CA"/>
    <w:rsid w:val="00232FC0"/>
    <w:rsid w:val="002373C4"/>
    <w:rsid w:val="0024082E"/>
    <w:rsid w:val="00250352"/>
    <w:rsid w:val="002528CF"/>
    <w:rsid w:val="00253DC4"/>
    <w:rsid w:val="00255673"/>
    <w:rsid w:val="00260007"/>
    <w:rsid w:val="00263777"/>
    <w:rsid w:val="0026551E"/>
    <w:rsid w:val="00266FA8"/>
    <w:rsid w:val="0027115D"/>
    <w:rsid w:val="002715DA"/>
    <w:rsid w:val="00271660"/>
    <w:rsid w:val="00277DE0"/>
    <w:rsid w:val="002838A3"/>
    <w:rsid w:val="00284B15"/>
    <w:rsid w:val="00285D91"/>
    <w:rsid w:val="00290C67"/>
    <w:rsid w:val="002918EA"/>
    <w:rsid w:val="00295F8C"/>
    <w:rsid w:val="002A0DA4"/>
    <w:rsid w:val="002A1BAB"/>
    <w:rsid w:val="002A205D"/>
    <w:rsid w:val="002A2898"/>
    <w:rsid w:val="002A3B32"/>
    <w:rsid w:val="002A7458"/>
    <w:rsid w:val="002A7A07"/>
    <w:rsid w:val="002A7EE3"/>
    <w:rsid w:val="002B1BB1"/>
    <w:rsid w:val="002B4689"/>
    <w:rsid w:val="002B4824"/>
    <w:rsid w:val="002C4C5C"/>
    <w:rsid w:val="002C7F21"/>
    <w:rsid w:val="002D07D0"/>
    <w:rsid w:val="002D20F2"/>
    <w:rsid w:val="002D443F"/>
    <w:rsid w:val="002D6424"/>
    <w:rsid w:val="002D6705"/>
    <w:rsid w:val="002E0100"/>
    <w:rsid w:val="002E3019"/>
    <w:rsid w:val="002E6E30"/>
    <w:rsid w:val="002E70C2"/>
    <w:rsid w:val="002F3FE4"/>
    <w:rsid w:val="002F60D5"/>
    <w:rsid w:val="00301266"/>
    <w:rsid w:val="003015FF"/>
    <w:rsid w:val="00303671"/>
    <w:rsid w:val="00303946"/>
    <w:rsid w:val="00304B12"/>
    <w:rsid w:val="00314C51"/>
    <w:rsid w:val="0031574C"/>
    <w:rsid w:val="00315823"/>
    <w:rsid w:val="00316FEF"/>
    <w:rsid w:val="003202EE"/>
    <w:rsid w:val="00320BB5"/>
    <w:rsid w:val="00321199"/>
    <w:rsid w:val="0032349B"/>
    <w:rsid w:val="003246E7"/>
    <w:rsid w:val="00324BDC"/>
    <w:rsid w:val="00333671"/>
    <w:rsid w:val="0033573D"/>
    <w:rsid w:val="00337C17"/>
    <w:rsid w:val="00340702"/>
    <w:rsid w:val="00353BD6"/>
    <w:rsid w:val="00355A49"/>
    <w:rsid w:val="00360DDF"/>
    <w:rsid w:val="00363538"/>
    <w:rsid w:val="00364DF6"/>
    <w:rsid w:val="003660CC"/>
    <w:rsid w:val="003662BF"/>
    <w:rsid w:val="00372A7A"/>
    <w:rsid w:val="00376E99"/>
    <w:rsid w:val="00377FD1"/>
    <w:rsid w:val="00380C6C"/>
    <w:rsid w:val="00385302"/>
    <w:rsid w:val="00385F32"/>
    <w:rsid w:val="003973BE"/>
    <w:rsid w:val="003976FC"/>
    <w:rsid w:val="003A1318"/>
    <w:rsid w:val="003A2818"/>
    <w:rsid w:val="003A5F34"/>
    <w:rsid w:val="003A6325"/>
    <w:rsid w:val="003A65C6"/>
    <w:rsid w:val="003B0365"/>
    <w:rsid w:val="003B4CCF"/>
    <w:rsid w:val="003B73FB"/>
    <w:rsid w:val="003C10C4"/>
    <w:rsid w:val="003C19A1"/>
    <w:rsid w:val="003C573C"/>
    <w:rsid w:val="003D09A9"/>
    <w:rsid w:val="003D372E"/>
    <w:rsid w:val="003D37EF"/>
    <w:rsid w:val="003D482A"/>
    <w:rsid w:val="003D4ACB"/>
    <w:rsid w:val="003D7C10"/>
    <w:rsid w:val="003D7D91"/>
    <w:rsid w:val="003E3345"/>
    <w:rsid w:val="003E68FB"/>
    <w:rsid w:val="003E6CAB"/>
    <w:rsid w:val="003F13BB"/>
    <w:rsid w:val="003F174E"/>
    <w:rsid w:val="003F6C62"/>
    <w:rsid w:val="003F76E7"/>
    <w:rsid w:val="00402216"/>
    <w:rsid w:val="004029F5"/>
    <w:rsid w:val="00402E92"/>
    <w:rsid w:val="004043CD"/>
    <w:rsid w:val="00405E6E"/>
    <w:rsid w:val="00405F7E"/>
    <w:rsid w:val="0040697E"/>
    <w:rsid w:val="00411E33"/>
    <w:rsid w:val="00413B0E"/>
    <w:rsid w:val="004162E8"/>
    <w:rsid w:val="004170D4"/>
    <w:rsid w:val="0042256D"/>
    <w:rsid w:val="00423AD4"/>
    <w:rsid w:val="00424084"/>
    <w:rsid w:val="0042591D"/>
    <w:rsid w:val="00425B1A"/>
    <w:rsid w:val="004262EE"/>
    <w:rsid w:val="004265A0"/>
    <w:rsid w:val="004266A7"/>
    <w:rsid w:val="00430BC9"/>
    <w:rsid w:val="00430C59"/>
    <w:rsid w:val="00431F2A"/>
    <w:rsid w:val="0043225A"/>
    <w:rsid w:val="00432383"/>
    <w:rsid w:val="00432721"/>
    <w:rsid w:val="004333F4"/>
    <w:rsid w:val="0043439A"/>
    <w:rsid w:val="00435312"/>
    <w:rsid w:val="00435A0E"/>
    <w:rsid w:val="0043788E"/>
    <w:rsid w:val="00441D83"/>
    <w:rsid w:val="00445107"/>
    <w:rsid w:val="0044662E"/>
    <w:rsid w:val="00446D16"/>
    <w:rsid w:val="0045001C"/>
    <w:rsid w:val="004513BB"/>
    <w:rsid w:val="004514AD"/>
    <w:rsid w:val="00453CB1"/>
    <w:rsid w:val="00454388"/>
    <w:rsid w:val="004565A9"/>
    <w:rsid w:val="00467897"/>
    <w:rsid w:val="00471055"/>
    <w:rsid w:val="00472863"/>
    <w:rsid w:val="00475608"/>
    <w:rsid w:val="004816CB"/>
    <w:rsid w:val="00482C3C"/>
    <w:rsid w:val="00483A2D"/>
    <w:rsid w:val="00483B56"/>
    <w:rsid w:val="004927A0"/>
    <w:rsid w:val="00496805"/>
    <w:rsid w:val="004A002E"/>
    <w:rsid w:val="004A21DE"/>
    <w:rsid w:val="004A489F"/>
    <w:rsid w:val="004A49FD"/>
    <w:rsid w:val="004A7FBF"/>
    <w:rsid w:val="004B3A67"/>
    <w:rsid w:val="004C25E3"/>
    <w:rsid w:val="004C2B0C"/>
    <w:rsid w:val="004C35EA"/>
    <w:rsid w:val="004D102B"/>
    <w:rsid w:val="004D11C8"/>
    <w:rsid w:val="004D18A4"/>
    <w:rsid w:val="004D1EE8"/>
    <w:rsid w:val="004D47A9"/>
    <w:rsid w:val="004D5A53"/>
    <w:rsid w:val="004D5CDE"/>
    <w:rsid w:val="004E0305"/>
    <w:rsid w:val="004E411A"/>
    <w:rsid w:val="004F1A8B"/>
    <w:rsid w:val="004F37AB"/>
    <w:rsid w:val="004F4263"/>
    <w:rsid w:val="004F4A65"/>
    <w:rsid w:val="004F4F57"/>
    <w:rsid w:val="004F64B9"/>
    <w:rsid w:val="004F7B04"/>
    <w:rsid w:val="005006FD"/>
    <w:rsid w:val="00505211"/>
    <w:rsid w:val="0050785B"/>
    <w:rsid w:val="00513FF1"/>
    <w:rsid w:val="0052039E"/>
    <w:rsid w:val="005204A4"/>
    <w:rsid w:val="0052140B"/>
    <w:rsid w:val="00522AD3"/>
    <w:rsid w:val="00523D98"/>
    <w:rsid w:val="0052484C"/>
    <w:rsid w:val="0052732F"/>
    <w:rsid w:val="005277C0"/>
    <w:rsid w:val="0053134E"/>
    <w:rsid w:val="005326D9"/>
    <w:rsid w:val="005378BF"/>
    <w:rsid w:val="00544C0F"/>
    <w:rsid w:val="00546A46"/>
    <w:rsid w:val="00547576"/>
    <w:rsid w:val="00550CFF"/>
    <w:rsid w:val="00553F62"/>
    <w:rsid w:val="00554F42"/>
    <w:rsid w:val="0055623C"/>
    <w:rsid w:val="00560388"/>
    <w:rsid w:val="00560EA2"/>
    <w:rsid w:val="0056297C"/>
    <w:rsid w:val="005641A0"/>
    <w:rsid w:val="00570279"/>
    <w:rsid w:val="005715CB"/>
    <w:rsid w:val="005723C3"/>
    <w:rsid w:val="00573B23"/>
    <w:rsid w:val="00576024"/>
    <w:rsid w:val="005765D9"/>
    <w:rsid w:val="005827C3"/>
    <w:rsid w:val="0059060E"/>
    <w:rsid w:val="0059062E"/>
    <w:rsid w:val="005907DC"/>
    <w:rsid w:val="0059584A"/>
    <w:rsid w:val="005963C3"/>
    <w:rsid w:val="00596A2C"/>
    <w:rsid w:val="005A015E"/>
    <w:rsid w:val="005A2423"/>
    <w:rsid w:val="005A384C"/>
    <w:rsid w:val="005A4A72"/>
    <w:rsid w:val="005A5861"/>
    <w:rsid w:val="005A5B6C"/>
    <w:rsid w:val="005A6783"/>
    <w:rsid w:val="005A7248"/>
    <w:rsid w:val="005A7679"/>
    <w:rsid w:val="005B0A35"/>
    <w:rsid w:val="005B1104"/>
    <w:rsid w:val="005B2616"/>
    <w:rsid w:val="005B6FBC"/>
    <w:rsid w:val="005C2070"/>
    <w:rsid w:val="005C3A3E"/>
    <w:rsid w:val="005C7F97"/>
    <w:rsid w:val="005D5667"/>
    <w:rsid w:val="005D6DD0"/>
    <w:rsid w:val="005E6E4F"/>
    <w:rsid w:val="005E7759"/>
    <w:rsid w:val="005F213D"/>
    <w:rsid w:val="005F420E"/>
    <w:rsid w:val="005F6D56"/>
    <w:rsid w:val="00600F89"/>
    <w:rsid w:val="00601596"/>
    <w:rsid w:val="00603CEF"/>
    <w:rsid w:val="00604351"/>
    <w:rsid w:val="00607102"/>
    <w:rsid w:val="0060784B"/>
    <w:rsid w:val="00613443"/>
    <w:rsid w:val="00620A37"/>
    <w:rsid w:val="00620B6E"/>
    <w:rsid w:val="00623135"/>
    <w:rsid w:val="006257E8"/>
    <w:rsid w:val="00625CD0"/>
    <w:rsid w:val="00635843"/>
    <w:rsid w:val="00636AE0"/>
    <w:rsid w:val="0063706C"/>
    <w:rsid w:val="00641AF0"/>
    <w:rsid w:val="00643E91"/>
    <w:rsid w:val="00644372"/>
    <w:rsid w:val="00644792"/>
    <w:rsid w:val="00645946"/>
    <w:rsid w:val="00647377"/>
    <w:rsid w:val="0064752B"/>
    <w:rsid w:val="00647948"/>
    <w:rsid w:val="00651E00"/>
    <w:rsid w:val="00655C12"/>
    <w:rsid w:val="006665E5"/>
    <w:rsid w:val="00666936"/>
    <w:rsid w:val="00666EB8"/>
    <w:rsid w:val="00670293"/>
    <w:rsid w:val="00671396"/>
    <w:rsid w:val="00671D45"/>
    <w:rsid w:val="00674784"/>
    <w:rsid w:val="00680408"/>
    <w:rsid w:val="006841B0"/>
    <w:rsid w:val="00684C13"/>
    <w:rsid w:val="00684D7B"/>
    <w:rsid w:val="00685B64"/>
    <w:rsid w:val="006866CC"/>
    <w:rsid w:val="0069201A"/>
    <w:rsid w:val="00693EBF"/>
    <w:rsid w:val="00694F8C"/>
    <w:rsid w:val="006975E4"/>
    <w:rsid w:val="006A13AF"/>
    <w:rsid w:val="006A32C0"/>
    <w:rsid w:val="006A4628"/>
    <w:rsid w:val="006B0392"/>
    <w:rsid w:val="006B13FD"/>
    <w:rsid w:val="006B259F"/>
    <w:rsid w:val="006B3729"/>
    <w:rsid w:val="006B4184"/>
    <w:rsid w:val="006B498A"/>
    <w:rsid w:val="006B6090"/>
    <w:rsid w:val="006B6B2F"/>
    <w:rsid w:val="006B7FC7"/>
    <w:rsid w:val="006C3EF3"/>
    <w:rsid w:val="006C4F5D"/>
    <w:rsid w:val="006C5B29"/>
    <w:rsid w:val="006C767A"/>
    <w:rsid w:val="006D37E3"/>
    <w:rsid w:val="006D4382"/>
    <w:rsid w:val="006D5FCC"/>
    <w:rsid w:val="006E235E"/>
    <w:rsid w:val="006E7052"/>
    <w:rsid w:val="006F2BF1"/>
    <w:rsid w:val="006F534D"/>
    <w:rsid w:val="006F7C2A"/>
    <w:rsid w:val="006F7C4A"/>
    <w:rsid w:val="00702924"/>
    <w:rsid w:val="00703552"/>
    <w:rsid w:val="00704BE4"/>
    <w:rsid w:val="00705ACB"/>
    <w:rsid w:val="00705D75"/>
    <w:rsid w:val="007066CE"/>
    <w:rsid w:val="00707C19"/>
    <w:rsid w:val="0071057E"/>
    <w:rsid w:val="00713E92"/>
    <w:rsid w:val="007200F1"/>
    <w:rsid w:val="0072458B"/>
    <w:rsid w:val="007262AA"/>
    <w:rsid w:val="007265B7"/>
    <w:rsid w:val="007453AE"/>
    <w:rsid w:val="00745C76"/>
    <w:rsid w:val="007467D2"/>
    <w:rsid w:val="007500BE"/>
    <w:rsid w:val="0075154E"/>
    <w:rsid w:val="00752E69"/>
    <w:rsid w:val="007542C6"/>
    <w:rsid w:val="00755EAD"/>
    <w:rsid w:val="007560F5"/>
    <w:rsid w:val="00757496"/>
    <w:rsid w:val="007618E6"/>
    <w:rsid w:val="00767B9E"/>
    <w:rsid w:val="00770CEE"/>
    <w:rsid w:val="007809D6"/>
    <w:rsid w:val="0078380A"/>
    <w:rsid w:val="00784F30"/>
    <w:rsid w:val="00787D2D"/>
    <w:rsid w:val="00790F39"/>
    <w:rsid w:val="0079392E"/>
    <w:rsid w:val="00797FF8"/>
    <w:rsid w:val="007A05B0"/>
    <w:rsid w:val="007A1E9F"/>
    <w:rsid w:val="007A28F8"/>
    <w:rsid w:val="007A2DE2"/>
    <w:rsid w:val="007A3939"/>
    <w:rsid w:val="007A394A"/>
    <w:rsid w:val="007A759D"/>
    <w:rsid w:val="007B4204"/>
    <w:rsid w:val="007B4F7F"/>
    <w:rsid w:val="007B5E38"/>
    <w:rsid w:val="007C0375"/>
    <w:rsid w:val="007C0610"/>
    <w:rsid w:val="007C28DA"/>
    <w:rsid w:val="007C2DD5"/>
    <w:rsid w:val="007C46B2"/>
    <w:rsid w:val="007C58F0"/>
    <w:rsid w:val="007C63C9"/>
    <w:rsid w:val="007D2289"/>
    <w:rsid w:val="007D2619"/>
    <w:rsid w:val="007D27C4"/>
    <w:rsid w:val="007D3970"/>
    <w:rsid w:val="007D5520"/>
    <w:rsid w:val="007E03EE"/>
    <w:rsid w:val="007E16D9"/>
    <w:rsid w:val="007F13E1"/>
    <w:rsid w:val="007F3C30"/>
    <w:rsid w:val="007F4062"/>
    <w:rsid w:val="007F4BC9"/>
    <w:rsid w:val="007F4C31"/>
    <w:rsid w:val="007F4CE4"/>
    <w:rsid w:val="007F777F"/>
    <w:rsid w:val="00801B9D"/>
    <w:rsid w:val="00804759"/>
    <w:rsid w:val="00810865"/>
    <w:rsid w:val="00814A80"/>
    <w:rsid w:val="00815DF6"/>
    <w:rsid w:val="00816826"/>
    <w:rsid w:val="008170CE"/>
    <w:rsid w:val="00820EEF"/>
    <w:rsid w:val="00824912"/>
    <w:rsid w:val="00824D2A"/>
    <w:rsid w:val="008254B5"/>
    <w:rsid w:val="00830668"/>
    <w:rsid w:val="008343AA"/>
    <w:rsid w:val="00837837"/>
    <w:rsid w:val="00841800"/>
    <w:rsid w:val="00843716"/>
    <w:rsid w:val="00843E22"/>
    <w:rsid w:val="00846D08"/>
    <w:rsid w:val="00855E5B"/>
    <w:rsid w:val="00857006"/>
    <w:rsid w:val="00857B79"/>
    <w:rsid w:val="008664CF"/>
    <w:rsid w:val="0086787A"/>
    <w:rsid w:val="00871C6F"/>
    <w:rsid w:val="008723FF"/>
    <w:rsid w:val="0087691D"/>
    <w:rsid w:val="00877FA3"/>
    <w:rsid w:val="00880DC0"/>
    <w:rsid w:val="00882D6C"/>
    <w:rsid w:val="00885D84"/>
    <w:rsid w:val="00886341"/>
    <w:rsid w:val="008875FA"/>
    <w:rsid w:val="00893F50"/>
    <w:rsid w:val="0089530C"/>
    <w:rsid w:val="008A1699"/>
    <w:rsid w:val="008A357E"/>
    <w:rsid w:val="008A76AE"/>
    <w:rsid w:val="008A7B56"/>
    <w:rsid w:val="008B0615"/>
    <w:rsid w:val="008B22AA"/>
    <w:rsid w:val="008B2D9E"/>
    <w:rsid w:val="008B67BC"/>
    <w:rsid w:val="008B78AF"/>
    <w:rsid w:val="008B7BE1"/>
    <w:rsid w:val="008C24B4"/>
    <w:rsid w:val="008C4292"/>
    <w:rsid w:val="008C784F"/>
    <w:rsid w:val="008D0491"/>
    <w:rsid w:val="008D06DC"/>
    <w:rsid w:val="008D083B"/>
    <w:rsid w:val="008D474F"/>
    <w:rsid w:val="008D7750"/>
    <w:rsid w:val="008E19CB"/>
    <w:rsid w:val="008E21D8"/>
    <w:rsid w:val="008E228B"/>
    <w:rsid w:val="008E5185"/>
    <w:rsid w:val="008E62DF"/>
    <w:rsid w:val="008E7C39"/>
    <w:rsid w:val="008F1E89"/>
    <w:rsid w:val="008F4299"/>
    <w:rsid w:val="008F5E1E"/>
    <w:rsid w:val="008F61E4"/>
    <w:rsid w:val="008F724A"/>
    <w:rsid w:val="009000FE"/>
    <w:rsid w:val="00901138"/>
    <w:rsid w:val="0090145A"/>
    <w:rsid w:val="009030CD"/>
    <w:rsid w:val="00903F1F"/>
    <w:rsid w:val="00904AE0"/>
    <w:rsid w:val="00906130"/>
    <w:rsid w:val="00916377"/>
    <w:rsid w:val="0092248D"/>
    <w:rsid w:val="009236B1"/>
    <w:rsid w:val="0092582A"/>
    <w:rsid w:val="009266CF"/>
    <w:rsid w:val="00930B24"/>
    <w:rsid w:val="00931AF3"/>
    <w:rsid w:val="009326B0"/>
    <w:rsid w:val="00937D91"/>
    <w:rsid w:val="009463D8"/>
    <w:rsid w:val="00947EF3"/>
    <w:rsid w:val="00947FFE"/>
    <w:rsid w:val="00951E2C"/>
    <w:rsid w:val="00954F43"/>
    <w:rsid w:val="009550EA"/>
    <w:rsid w:val="009566F7"/>
    <w:rsid w:val="009602DB"/>
    <w:rsid w:val="00961267"/>
    <w:rsid w:val="009619F3"/>
    <w:rsid w:val="009621E9"/>
    <w:rsid w:val="009643D2"/>
    <w:rsid w:val="009643DB"/>
    <w:rsid w:val="0096456B"/>
    <w:rsid w:val="00966329"/>
    <w:rsid w:val="00967280"/>
    <w:rsid w:val="00972303"/>
    <w:rsid w:val="0097352D"/>
    <w:rsid w:val="00974EBD"/>
    <w:rsid w:val="00976084"/>
    <w:rsid w:val="0097697E"/>
    <w:rsid w:val="00987521"/>
    <w:rsid w:val="00992F46"/>
    <w:rsid w:val="00994532"/>
    <w:rsid w:val="00994CDA"/>
    <w:rsid w:val="00994E0A"/>
    <w:rsid w:val="00996C68"/>
    <w:rsid w:val="009A0C38"/>
    <w:rsid w:val="009A17AC"/>
    <w:rsid w:val="009A1B98"/>
    <w:rsid w:val="009A2243"/>
    <w:rsid w:val="009A2296"/>
    <w:rsid w:val="009A2D92"/>
    <w:rsid w:val="009A432A"/>
    <w:rsid w:val="009A48B8"/>
    <w:rsid w:val="009A66E4"/>
    <w:rsid w:val="009B1A25"/>
    <w:rsid w:val="009B4FE6"/>
    <w:rsid w:val="009B5C8C"/>
    <w:rsid w:val="009B6711"/>
    <w:rsid w:val="009B7FEC"/>
    <w:rsid w:val="009C1730"/>
    <w:rsid w:val="009C78C4"/>
    <w:rsid w:val="009D2C85"/>
    <w:rsid w:val="009D4669"/>
    <w:rsid w:val="009D57F3"/>
    <w:rsid w:val="009D64D2"/>
    <w:rsid w:val="009D76E1"/>
    <w:rsid w:val="009E0421"/>
    <w:rsid w:val="009E2088"/>
    <w:rsid w:val="009E339C"/>
    <w:rsid w:val="009E3DB4"/>
    <w:rsid w:val="009E49AD"/>
    <w:rsid w:val="009F1BA4"/>
    <w:rsid w:val="009F5310"/>
    <w:rsid w:val="00A02774"/>
    <w:rsid w:val="00A030FB"/>
    <w:rsid w:val="00A05023"/>
    <w:rsid w:val="00A064F0"/>
    <w:rsid w:val="00A10928"/>
    <w:rsid w:val="00A128EB"/>
    <w:rsid w:val="00A13285"/>
    <w:rsid w:val="00A162EA"/>
    <w:rsid w:val="00A22374"/>
    <w:rsid w:val="00A250B0"/>
    <w:rsid w:val="00A26671"/>
    <w:rsid w:val="00A313E3"/>
    <w:rsid w:val="00A33B95"/>
    <w:rsid w:val="00A41E85"/>
    <w:rsid w:val="00A44EE4"/>
    <w:rsid w:val="00A45DD8"/>
    <w:rsid w:val="00A470F3"/>
    <w:rsid w:val="00A518EA"/>
    <w:rsid w:val="00A51E70"/>
    <w:rsid w:val="00A55B2D"/>
    <w:rsid w:val="00A622EA"/>
    <w:rsid w:val="00A63D48"/>
    <w:rsid w:val="00A660C9"/>
    <w:rsid w:val="00A66378"/>
    <w:rsid w:val="00A71415"/>
    <w:rsid w:val="00A771A9"/>
    <w:rsid w:val="00A84D99"/>
    <w:rsid w:val="00A9061C"/>
    <w:rsid w:val="00A91EDA"/>
    <w:rsid w:val="00A937B3"/>
    <w:rsid w:val="00A943F2"/>
    <w:rsid w:val="00A979EF"/>
    <w:rsid w:val="00A97C1C"/>
    <w:rsid w:val="00AA29E2"/>
    <w:rsid w:val="00AB016F"/>
    <w:rsid w:val="00AB1AB9"/>
    <w:rsid w:val="00AB3429"/>
    <w:rsid w:val="00AB53EB"/>
    <w:rsid w:val="00AB5C80"/>
    <w:rsid w:val="00AB7A8A"/>
    <w:rsid w:val="00AC0190"/>
    <w:rsid w:val="00AC1036"/>
    <w:rsid w:val="00AC3FE6"/>
    <w:rsid w:val="00AC444A"/>
    <w:rsid w:val="00AD1838"/>
    <w:rsid w:val="00AD21F5"/>
    <w:rsid w:val="00AD3FF5"/>
    <w:rsid w:val="00AE05CB"/>
    <w:rsid w:val="00AE7A95"/>
    <w:rsid w:val="00AF0962"/>
    <w:rsid w:val="00AF1032"/>
    <w:rsid w:val="00AF2FB4"/>
    <w:rsid w:val="00B002BF"/>
    <w:rsid w:val="00B059AB"/>
    <w:rsid w:val="00B062A9"/>
    <w:rsid w:val="00B075DE"/>
    <w:rsid w:val="00B101C8"/>
    <w:rsid w:val="00B1079D"/>
    <w:rsid w:val="00B10B89"/>
    <w:rsid w:val="00B10C73"/>
    <w:rsid w:val="00B14BC7"/>
    <w:rsid w:val="00B1598F"/>
    <w:rsid w:val="00B1616E"/>
    <w:rsid w:val="00B17D91"/>
    <w:rsid w:val="00B219B8"/>
    <w:rsid w:val="00B23191"/>
    <w:rsid w:val="00B232BA"/>
    <w:rsid w:val="00B26686"/>
    <w:rsid w:val="00B26808"/>
    <w:rsid w:val="00B26947"/>
    <w:rsid w:val="00B305DF"/>
    <w:rsid w:val="00B3525C"/>
    <w:rsid w:val="00B356AD"/>
    <w:rsid w:val="00B36B0D"/>
    <w:rsid w:val="00B42D20"/>
    <w:rsid w:val="00B55FE0"/>
    <w:rsid w:val="00B574B7"/>
    <w:rsid w:val="00B60B6A"/>
    <w:rsid w:val="00B62900"/>
    <w:rsid w:val="00B650F1"/>
    <w:rsid w:val="00B651A7"/>
    <w:rsid w:val="00B709DD"/>
    <w:rsid w:val="00B811BE"/>
    <w:rsid w:val="00B81AF4"/>
    <w:rsid w:val="00B831CB"/>
    <w:rsid w:val="00B844A7"/>
    <w:rsid w:val="00B90B7A"/>
    <w:rsid w:val="00B92F53"/>
    <w:rsid w:val="00B9516C"/>
    <w:rsid w:val="00B95255"/>
    <w:rsid w:val="00B9542C"/>
    <w:rsid w:val="00B9636D"/>
    <w:rsid w:val="00B96641"/>
    <w:rsid w:val="00B9706C"/>
    <w:rsid w:val="00BA4351"/>
    <w:rsid w:val="00BB0C10"/>
    <w:rsid w:val="00BB1888"/>
    <w:rsid w:val="00BB1A3A"/>
    <w:rsid w:val="00BB4D14"/>
    <w:rsid w:val="00BB54E4"/>
    <w:rsid w:val="00BC3BC1"/>
    <w:rsid w:val="00BC5B7D"/>
    <w:rsid w:val="00BD121E"/>
    <w:rsid w:val="00BD256A"/>
    <w:rsid w:val="00BD2AD6"/>
    <w:rsid w:val="00BD2F3F"/>
    <w:rsid w:val="00BD358F"/>
    <w:rsid w:val="00BE030A"/>
    <w:rsid w:val="00BE0B3E"/>
    <w:rsid w:val="00BE258E"/>
    <w:rsid w:val="00BE48C9"/>
    <w:rsid w:val="00BE55D0"/>
    <w:rsid w:val="00BF13E9"/>
    <w:rsid w:val="00BF3447"/>
    <w:rsid w:val="00C016DF"/>
    <w:rsid w:val="00C037CC"/>
    <w:rsid w:val="00C03D15"/>
    <w:rsid w:val="00C05514"/>
    <w:rsid w:val="00C05A1F"/>
    <w:rsid w:val="00C1141F"/>
    <w:rsid w:val="00C151E7"/>
    <w:rsid w:val="00C15559"/>
    <w:rsid w:val="00C16720"/>
    <w:rsid w:val="00C17051"/>
    <w:rsid w:val="00C204CA"/>
    <w:rsid w:val="00C217FF"/>
    <w:rsid w:val="00C218B4"/>
    <w:rsid w:val="00C2217A"/>
    <w:rsid w:val="00C22903"/>
    <w:rsid w:val="00C22A2C"/>
    <w:rsid w:val="00C26D42"/>
    <w:rsid w:val="00C26E72"/>
    <w:rsid w:val="00C3192B"/>
    <w:rsid w:val="00C34E87"/>
    <w:rsid w:val="00C40AFC"/>
    <w:rsid w:val="00C42111"/>
    <w:rsid w:val="00C42D7D"/>
    <w:rsid w:val="00C42E1F"/>
    <w:rsid w:val="00C4464D"/>
    <w:rsid w:val="00C45366"/>
    <w:rsid w:val="00C50699"/>
    <w:rsid w:val="00C52B03"/>
    <w:rsid w:val="00C53276"/>
    <w:rsid w:val="00C53D3C"/>
    <w:rsid w:val="00C54DE6"/>
    <w:rsid w:val="00C61AD0"/>
    <w:rsid w:val="00C620DD"/>
    <w:rsid w:val="00C624A4"/>
    <w:rsid w:val="00C62743"/>
    <w:rsid w:val="00C62F75"/>
    <w:rsid w:val="00C6360A"/>
    <w:rsid w:val="00C66896"/>
    <w:rsid w:val="00C7058F"/>
    <w:rsid w:val="00C71DBF"/>
    <w:rsid w:val="00C742C8"/>
    <w:rsid w:val="00C77551"/>
    <w:rsid w:val="00C82252"/>
    <w:rsid w:val="00C825BB"/>
    <w:rsid w:val="00C91880"/>
    <w:rsid w:val="00C91892"/>
    <w:rsid w:val="00C93307"/>
    <w:rsid w:val="00C969F4"/>
    <w:rsid w:val="00C97A7F"/>
    <w:rsid w:val="00C97EAE"/>
    <w:rsid w:val="00CA092F"/>
    <w:rsid w:val="00CA2E37"/>
    <w:rsid w:val="00CA4AAC"/>
    <w:rsid w:val="00CA5E18"/>
    <w:rsid w:val="00CB0474"/>
    <w:rsid w:val="00CB6BD0"/>
    <w:rsid w:val="00CC2206"/>
    <w:rsid w:val="00CC3012"/>
    <w:rsid w:val="00CC62AA"/>
    <w:rsid w:val="00CD053C"/>
    <w:rsid w:val="00CE3149"/>
    <w:rsid w:val="00CE6CCA"/>
    <w:rsid w:val="00CE6D4B"/>
    <w:rsid w:val="00CE7F9D"/>
    <w:rsid w:val="00CF22A8"/>
    <w:rsid w:val="00CF253D"/>
    <w:rsid w:val="00CF4D62"/>
    <w:rsid w:val="00D03205"/>
    <w:rsid w:val="00D038AB"/>
    <w:rsid w:val="00D12260"/>
    <w:rsid w:val="00D13E5E"/>
    <w:rsid w:val="00D14689"/>
    <w:rsid w:val="00D15425"/>
    <w:rsid w:val="00D16E24"/>
    <w:rsid w:val="00D22F1F"/>
    <w:rsid w:val="00D23C82"/>
    <w:rsid w:val="00D261C7"/>
    <w:rsid w:val="00D26A95"/>
    <w:rsid w:val="00D3082C"/>
    <w:rsid w:val="00D31030"/>
    <w:rsid w:val="00D31123"/>
    <w:rsid w:val="00D34A82"/>
    <w:rsid w:val="00D36ED7"/>
    <w:rsid w:val="00D37A6B"/>
    <w:rsid w:val="00D407D8"/>
    <w:rsid w:val="00D45E3D"/>
    <w:rsid w:val="00D46D22"/>
    <w:rsid w:val="00D46F47"/>
    <w:rsid w:val="00D64594"/>
    <w:rsid w:val="00D64A1F"/>
    <w:rsid w:val="00D660F0"/>
    <w:rsid w:val="00D7089C"/>
    <w:rsid w:val="00D72D75"/>
    <w:rsid w:val="00D74045"/>
    <w:rsid w:val="00D74D13"/>
    <w:rsid w:val="00D77537"/>
    <w:rsid w:val="00D82311"/>
    <w:rsid w:val="00D82468"/>
    <w:rsid w:val="00D82809"/>
    <w:rsid w:val="00D848E6"/>
    <w:rsid w:val="00D93559"/>
    <w:rsid w:val="00D94AFC"/>
    <w:rsid w:val="00D9589C"/>
    <w:rsid w:val="00D969D2"/>
    <w:rsid w:val="00D979FC"/>
    <w:rsid w:val="00DA311C"/>
    <w:rsid w:val="00DA50DC"/>
    <w:rsid w:val="00DA5F4A"/>
    <w:rsid w:val="00DA666D"/>
    <w:rsid w:val="00DB2B67"/>
    <w:rsid w:val="00DB41E4"/>
    <w:rsid w:val="00DB530C"/>
    <w:rsid w:val="00DB779C"/>
    <w:rsid w:val="00DC0156"/>
    <w:rsid w:val="00DC105F"/>
    <w:rsid w:val="00DC40CF"/>
    <w:rsid w:val="00DC4657"/>
    <w:rsid w:val="00DC4B25"/>
    <w:rsid w:val="00DC4C5D"/>
    <w:rsid w:val="00DC62E9"/>
    <w:rsid w:val="00DC6894"/>
    <w:rsid w:val="00DC7E9E"/>
    <w:rsid w:val="00DD10A3"/>
    <w:rsid w:val="00DD15C6"/>
    <w:rsid w:val="00DD2C7B"/>
    <w:rsid w:val="00DE015E"/>
    <w:rsid w:val="00DE1429"/>
    <w:rsid w:val="00DE79C1"/>
    <w:rsid w:val="00DF2020"/>
    <w:rsid w:val="00DF399A"/>
    <w:rsid w:val="00DF4689"/>
    <w:rsid w:val="00DF52AF"/>
    <w:rsid w:val="00DF79E9"/>
    <w:rsid w:val="00E01AF6"/>
    <w:rsid w:val="00E02D0B"/>
    <w:rsid w:val="00E03F42"/>
    <w:rsid w:val="00E1115C"/>
    <w:rsid w:val="00E1307A"/>
    <w:rsid w:val="00E13249"/>
    <w:rsid w:val="00E171B9"/>
    <w:rsid w:val="00E17BA8"/>
    <w:rsid w:val="00E17F92"/>
    <w:rsid w:val="00E2006E"/>
    <w:rsid w:val="00E201EA"/>
    <w:rsid w:val="00E20C09"/>
    <w:rsid w:val="00E21CF1"/>
    <w:rsid w:val="00E31564"/>
    <w:rsid w:val="00E33BA4"/>
    <w:rsid w:val="00E33DD1"/>
    <w:rsid w:val="00E37E8E"/>
    <w:rsid w:val="00E4200D"/>
    <w:rsid w:val="00E4260B"/>
    <w:rsid w:val="00E5316B"/>
    <w:rsid w:val="00E555EC"/>
    <w:rsid w:val="00E62296"/>
    <w:rsid w:val="00E62992"/>
    <w:rsid w:val="00E653A9"/>
    <w:rsid w:val="00E67DA4"/>
    <w:rsid w:val="00E73AE3"/>
    <w:rsid w:val="00E74EA2"/>
    <w:rsid w:val="00E762A4"/>
    <w:rsid w:val="00E803D3"/>
    <w:rsid w:val="00E80792"/>
    <w:rsid w:val="00E843C1"/>
    <w:rsid w:val="00E852EE"/>
    <w:rsid w:val="00E8542C"/>
    <w:rsid w:val="00E865A3"/>
    <w:rsid w:val="00E868EA"/>
    <w:rsid w:val="00E90099"/>
    <w:rsid w:val="00E9092C"/>
    <w:rsid w:val="00E913E0"/>
    <w:rsid w:val="00E926D4"/>
    <w:rsid w:val="00E94095"/>
    <w:rsid w:val="00E95F4E"/>
    <w:rsid w:val="00EA0D02"/>
    <w:rsid w:val="00EA16FC"/>
    <w:rsid w:val="00EA204F"/>
    <w:rsid w:val="00EA3AD5"/>
    <w:rsid w:val="00EA6051"/>
    <w:rsid w:val="00EB19D9"/>
    <w:rsid w:val="00EB5840"/>
    <w:rsid w:val="00EC07C9"/>
    <w:rsid w:val="00EC2C6C"/>
    <w:rsid w:val="00EC4455"/>
    <w:rsid w:val="00EC5999"/>
    <w:rsid w:val="00EC739F"/>
    <w:rsid w:val="00ED0359"/>
    <w:rsid w:val="00ED09F2"/>
    <w:rsid w:val="00ED1B79"/>
    <w:rsid w:val="00ED4085"/>
    <w:rsid w:val="00ED426B"/>
    <w:rsid w:val="00EE02AA"/>
    <w:rsid w:val="00EE0685"/>
    <w:rsid w:val="00EE06AC"/>
    <w:rsid w:val="00EE0728"/>
    <w:rsid w:val="00EE4110"/>
    <w:rsid w:val="00EE57DB"/>
    <w:rsid w:val="00EE71FF"/>
    <w:rsid w:val="00EE7A00"/>
    <w:rsid w:val="00EF11C7"/>
    <w:rsid w:val="00EF248F"/>
    <w:rsid w:val="00EF2D58"/>
    <w:rsid w:val="00EF317F"/>
    <w:rsid w:val="00EF333B"/>
    <w:rsid w:val="00EF75EA"/>
    <w:rsid w:val="00F00B6E"/>
    <w:rsid w:val="00F01330"/>
    <w:rsid w:val="00F02295"/>
    <w:rsid w:val="00F07EF5"/>
    <w:rsid w:val="00F12A03"/>
    <w:rsid w:val="00F12DFE"/>
    <w:rsid w:val="00F1558E"/>
    <w:rsid w:val="00F212DE"/>
    <w:rsid w:val="00F21E04"/>
    <w:rsid w:val="00F23BC2"/>
    <w:rsid w:val="00F23E92"/>
    <w:rsid w:val="00F305C1"/>
    <w:rsid w:val="00F3604B"/>
    <w:rsid w:val="00F36174"/>
    <w:rsid w:val="00F421EC"/>
    <w:rsid w:val="00F42F44"/>
    <w:rsid w:val="00F4564A"/>
    <w:rsid w:val="00F4566B"/>
    <w:rsid w:val="00F46B06"/>
    <w:rsid w:val="00F51EEA"/>
    <w:rsid w:val="00F5388E"/>
    <w:rsid w:val="00F65767"/>
    <w:rsid w:val="00F71B5C"/>
    <w:rsid w:val="00F71EC8"/>
    <w:rsid w:val="00F766A5"/>
    <w:rsid w:val="00F77C25"/>
    <w:rsid w:val="00F80144"/>
    <w:rsid w:val="00FA109B"/>
    <w:rsid w:val="00FA5F06"/>
    <w:rsid w:val="00FA7F09"/>
    <w:rsid w:val="00FB4A85"/>
    <w:rsid w:val="00FB656E"/>
    <w:rsid w:val="00FB7BFB"/>
    <w:rsid w:val="00FC0936"/>
    <w:rsid w:val="00FC1740"/>
    <w:rsid w:val="00FC18C9"/>
    <w:rsid w:val="00FC4285"/>
    <w:rsid w:val="00FC4677"/>
    <w:rsid w:val="00FC4837"/>
    <w:rsid w:val="00FC4DD2"/>
    <w:rsid w:val="00FC5050"/>
    <w:rsid w:val="00FC59F8"/>
    <w:rsid w:val="00FD2899"/>
    <w:rsid w:val="00FE05B3"/>
    <w:rsid w:val="00FE288C"/>
    <w:rsid w:val="00FE2CFB"/>
    <w:rsid w:val="00FE4201"/>
    <w:rsid w:val="00FF253D"/>
    <w:rsid w:val="00FF3B09"/>
    <w:rsid w:val="00FF4DA6"/>
    <w:rsid w:val="01123FC7"/>
    <w:rsid w:val="011B366C"/>
    <w:rsid w:val="01205FF5"/>
    <w:rsid w:val="01245970"/>
    <w:rsid w:val="01266B4E"/>
    <w:rsid w:val="012F0349"/>
    <w:rsid w:val="01300B7D"/>
    <w:rsid w:val="0134426E"/>
    <w:rsid w:val="014C0229"/>
    <w:rsid w:val="015271C4"/>
    <w:rsid w:val="016E515C"/>
    <w:rsid w:val="0177143D"/>
    <w:rsid w:val="018777BD"/>
    <w:rsid w:val="018B7181"/>
    <w:rsid w:val="018B7443"/>
    <w:rsid w:val="019930A0"/>
    <w:rsid w:val="01A84E8C"/>
    <w:rsid w:val="01B47EAA"/>
    <w:rsid w:val="01CA6801"/>
    <w:rsid w:val="01CE4CED"/>
    <w:rsid w:val="01CE74DB"/>
    <w:rsid w:val="01D74ABA"/>
    <w:rsid w:val="01DF420A"/>
    <w:rsid w:val="01FC178F"/>
    <w:rsid w:val="02234E2B"/>
    <w:rsid w:val="022E4F2E"/>
    <w:rsid w:val="02393605"/>
    <w:rsid w:val="023F6F47"/>
    <w:rsid w:val="024740A5"/>
    <w:rsid w:val="025C45D7"/>
    <w:rsid w:val="02630DB5"/>
    <w:rsid w:val="0264487D"/>
    <w:rsid w:val="026C441F"/>
    <w:rsid w:val="02704714"/>
    <w:rsid w:val="02736862"/>
    <w:rsid w:val="02880D90"/>
    <w:rsid w:val="02A84AA8"/>
    <w:rsid w:val="02AB1DCE"/>
    <w:rsid w:val="02AC03EA"/>
    <w:rsid w:val="02AD6AB8"/>
    <w:rsid w:val="02BB5626"/>
    <w:rsid w:val="02DD1A3D"/>
    <w:rsid w:val="02E6582A"/>
    <w:rsid w:val="02E75A2B"/>
    <w:rsid w:val="02F510C4"/>
    <w:rsid w:val="02FF41F8"/>
    <w:rsid w:val="0308049B"/>
    <w:rsid w:val="030F0E37"/>
    <w:rsid w:val="03114264"/>
    <w:rsid w:val="031911C4"/>
    <w:rsid w:val="032064ED"/>
    <w:rsid w:val="03247493"/>
    <w:rsid w:val="03374508"/>
    <w:rsid w:val="033F247B"/>
    <w:rsid w:val="035B061A"/>
    <w:rsid w:val="037574B5"/>
    <w:rsid w:val="037C40D3"/>
    <w:rsid w:val="038010B6"/>
    <w:rsid w:val="038E1DE2"/>
    <w:rsid w:val="038F5DDA"/>
    <w:rsid w:val="03953513"/>
    <w:rsid w:val="03961D94"/>
    <w:rsid w:val="039A1F2C"/>
    <w:rsid w:val="03AF48E2"/>
    <w:rsid w:val="03B20DE8"/>
    <w:rsid w:val="03B30A19"/>
    <w:rsid w:val="03B452C8"/>
    <w:rsid w:val="03B86986"/>
    <w:rsid w:val="03CA1E1F"/>
    <w:rsid w:val="03CC01FC"/>
    <w:rsid w:val="03DF69CC"/>
    <w:rsid w:val="03EA0C3C"/>
    <w:rsid w:val="03F25847"/>
    <w:rsid w:val="04065355"/>
    <w:rsid w:val="040D0A86"/>
    <w:rsid w:val="040D2B24"/>
    <w:rsid w:val="0410628C"/>
    <w:rsid w:val="04132705"/>
    <w:rsid w:val="042E6C5C"/>
    <w:rsid w:val="04307EBA"/>
    <w:rsid w:val="04376E6F"/>
    <w:rsid w:val="04394E96"/>
    <w:rsid w:val="043F5BE6"/>
    <w:rsid w:val="044C38C9"/>
    <w:rsid w:val="044F5B43"/>
    <w:rsid w:val="045141F7"/>
    <w:rsid w:val="04606842"/>
    <w:rsid w:val="04676C57"/>
    <w:rsid w:val="046E585D"/>
    <w:rsid w:val="049518DC"/>
    <w:rsid w:val="049936CB"/>
    <w:rsid w:val="04A835B0"/>
    <w:rsid w:val="04B23BDE"/>
    <w:rsid w:val="04D122B2"/>
    <w:rsid w:val="04D5567E"/>
    <w:rsid w:val="04E62562"/>
    <w:rsid w:val="04F60642"/>
    <w:rsid w:val="05033D51"/>
    <w:rsid w:val="050976A7"/>
    <w:rsid w:val="05097AD0"/>
    <w:rsid w:val="052D7277"/>
    <w:rsid w:val="052D76F7"/>
    <w:rsid w:val="053A25D2"/>
    <w:rsid w:val="05477437"/>
    <w:rsid w:val="054E3C79"/>
    <w:rsid w:val="056C3112"/>
    <w:rsid w:val="0571303E"/>
    <w:rsid w:val="05733EF8"/>
    <w:rsid w:val="05857E4A"/>
    <w:rsid w:val="058E18F0"/>
    <w:rsid w:val="0590643D"/>
    <w:rsid w:val="059945A8"/>
    <w:rsid w:val="05A36B4E"/>
    <w:rsid w:val="05A37551"/>
    <w:rsid w:val="05A653A3"/>
    <w:rsid w:val="05B05288"/>
    <w:rsid w:val="05C32A8A"/>
    <w:rsid w:val="05CC560F"/>
    <w:rsid w:val="05E55CA3"/>
    <w:rsid w:val="05F1524D"/>
    <w:rsid w:val="05F60745"/>
    <w:rsid w:val="05F96A38"/>
    <w:rsid w:val="05FD161B"/>
    <w:rsid w:val="061B1FC9"/>
    <w:rsid w:val="062D43AF"/>
    <w:rsid w:val="062E616A"/>
    <w:rsid w:val="063A5FAD"/>
    <w:rsid w:val="06427797"/>
    <w:rsid w:val="06576405"/>
    <w:rsid w:val="066C6D88"/>
    <w:rsid w:val="066D4080"/>
    <w:rsid w:val="068544F4"/>
    <w:rsid w:val="06896637"/>
    <w:rsid w:val="0696400B"/>
    <w:rsid w:val="06983857"/>
    <w:rsid w:val="06BB2D1A"/>
    <w:rsid w:val="06E04994"/>
    <w:rsid w:val="06EE0A13"/>
    <w:rsid w:val="07053B29"/>
    <w:rsid w:val="074100DB"/>
    <w:rsid w:val="07415891"/>
    <w:rsid w:val="07467179"/>
    <w:rsid w:val="07605C36"/>
    <w:rsid w:val="076B78B2"/>
    <w:rsid w:val="07882E12"/>
    <w:rsid w:val="07977450"/>
    <w:rsid w:val="07AB2B93"/>
    <w:rsid w:val="07BF0CE0"/>
    <w:rsid w:val="07D55B21"/>
    <w:rsid w:val="07E95BF8"/>
    <w:rsid w:val="07EC37C7"/>
    <w:rsid w:val="07EF3D0B"/>
    <w:rsid w:val="08110EF9"/>
    <w:rsid w:val="08260274"/>
    <w:rsid w:val="08322769"/>
    <w:rsid w:val="08350AAA"/>
    <w:rsid w:val="08432814"/>
    <w:rsid w:val="08471A5B"/>
    <w:rsid w:val="084F1E39"/>
    <w:rsid w:val="0850247E"/>
    <w:rsid w:val="085F3A9E"/>
    <w:rsid w:val="086A4C7F"/>
    <w:rsid w:val="086D3AAB"/>
    <w:rsid w:val="088964C2"/>
    <w:rsid w:val="088B6196"/>
    <w:rsid w:val="08943174"/>
    <w:rsid w:val="08A3063C"/>
    <w:rsid w:val="08AC5BF4"/>
    <w:rsid w:val="08B66B1E"/>
    <w:rsid w:val="08B84D5E"/>
    <w:rsid w:val="08BC1E22"/>
    <w:rsid w:val="08BC424C"/>
    <w:rsid w:val="08CF0315"/>
    <w:rsid w:val="08D54F10"/>
    <w:rsid w:val="08D5519F"/>
    <w:rsid w:val="08D63091"/>
    <w:rsid w:val="08DF14FC"/>
    <w:rsid w:val="08E07916"/>
    <w:rsid w:val="08E6565D"/>
    <w:rsid w:val="08F75DD1"/>
    <w:rsid w:val="08FB6552"/>
    <w:rsid w:val="090573DB"/>
    <w:rsid w:val="09063119"/>
    <w:rsid w:val="093239DB"/>
    <w:rsid w:val="094A0B8A"/>
    <w:rsid w:val="095173CE"/>
    <w:rsid w:val="095B4567"/>
    <w:rsid w:val="09807C53"/>
    <w:rsid w:val="098370B5"/>
    <w:rsid w:val="09882AB7"/>
    <w:rsid w:val="09931E3A"/>
    <w:rsid w:val="09A41DAD"/>
    <w:rsid w:val="09B71528"/>
    <w:rsid w:val="09CC7A7D"/>
    <w:rsid w:val="09CD0F25"/>
    <w:rsid w:val="09D03841"/>
    <w:rsid w:val="09E92ED1"/>
    <w:rsid w:val="09F91244"/>
    <w:rsid w:val="0A1F15FB"/>
    <w:rsid w:val="0A2C071D"/>
    <w:rsid w:val="0A3D4528"/>
    <w:rsid w:val="0A4B1B7E"/>
    <w:rsid w:val="0A710074"/>
    <w:rsid w:val="0A83621E"/>
    <w:rsid w:val="0A8A3A55"/>
    <w:rsid w:val="0A910579"/>
    <w:rsid w:val="0AA471DC"/>
    <w:rsid w:val="0AA81586"/>
    <w:rsid w:val="0ACB551D"/>
    <w:rsid w:val="0AD57AEE"/>
    <w:rsid w:val="0AE81BCD"/>
    <w:rsid w:val="0AF875BB"/>
    <w:rsid w:val="0B0D77B0"/>
    <w:rsid w:val="0B120BC0"/>
    <w:rsid w:val="0B521F72"/>
    <w:rsid w:val="0B7061D0"/>
    <w:rsid w:val="0BA32227"/>
    <w:rsid w:val="0BD03425"/>
    <w:rsid w:val="0BDF73C9"/>
    <w:rsid w:val="0BE53D69"/>
    <w:rsid w:val="0BED03D4"/>
    <w:rsid w:val="0BF24FCD"/>
    <w:rsid w:val="0BFD183B"/>
    <w:rsid w:val="0C022484"/>
    <w:rsid w:val="0C0C004C"/>
    <w:rsid w:val="0C221140"/>
    <w:rsid w:val="0C2225A8"/>
    <w:rsid w:val="0C2A4341"/>
    <w:rsid w:val="0C363B3B"/>
    <w:rsid w:val="0C4A05B3"/>
    <w:rsid w:val="0C5739E5"/>
    <w:rsid w:val="0C8A23DC"/>
    <w:rsid w:val="0C995F25"/>
    <w:rsid w:val="0CA45752"/>
    <w:rsid w:val="0CA65117"/>
    <w:rsid w:val="0CB8574B"/>
    <w:rsid w:val="0CCB01B3"/>
    <w:rsid w:val="0CD452D2"/>
    <w:rsid w:val="0CD856A2"/>
    <w:rsid w:val="0CE246D9"/>
    <w:rsid w:val="0CF008DF"/>
    <w:rsid w:val="0D085F86"/>
    <w:rsid w:val="0D0B3299"/>
    <w:rsid w:val="0D114EFD"/>
    <w:rsid w:val="0D176F5D"/>
    <w:rsid w:val="0D23374D"/>
    <w:rsid w:val="0D444A4E"/>
    <w:rsid w:val="0D453CD6"/>
    <w:rsid w:val="0D4A21BC"/>
    <w:rsid w:val="0D4B515F"/>
    <w:rsid w:val="0D4E1C5B"/>
    <w:rsid w:val="0D507564"/>
    <w:rsid w:val="0D5C09C6"/>
    <w:rsid w:val="0D7B08D7"/>
    <w:rsid w:val="0D840A30"/>
    <w:rsid w:val="0D842EA4"/>
    <w:rsid w:val="0D8A5121"/>
    <w:rsid w:val="0D9F765C"/>
    <w:rsid w:val="0DAA67CC"/>
    <w:rsid w:val="0DAB3902"/>
    <w:rsid w:val="0DB84D80"/>
    <w:rsid w:val="0DBB25E5"/>
    <w:rsid w:val="0DBB3DEE"/>
    <w:rsid w:val="0DBE05B5"/>
    <w:rsid w:val="0DC40C23"/>
    <w:rsid w:val="0DD87E3D"/>
    <w:rsid w:val="0DED43E2"/>
    <w:rsid w:val="0DF310F1"/>
    <w:rsid w:val="0DFC08E3"/>
    <w:rsid w:val="0E057540"/>
    <w:rsid w:val="0E064EAF"/>
    <w:rsid w:val="0E277C23"/>
    <w:rsid w:val="0E2F2E6C"/>
    <w:rsid w:val="0E3258EC"/>
    <w:rsid w:val="0E3B0F4C"/>
    <w:rsid w:val="0E470BCF"/>
    <w:rsid w:val="0E501642"/>
    <w:rsid w:val="0E525A71"/>
    <w:rsid w:val="0E72175C"/>
    <w:rsid w:val="0E7543E1"/>
    <w:rsid w:val="0E8063EE"/>
    <w:rsid w:val="0E96523D"/>
    <w:rsid w:val="0E9863C3"/>
    <w:rsid w:val="0E9C196B"/>
    <w:rsid w:val="0EB0743D"/>
    <w:rsid w:val="0EB3632D"/>
    <w:rsid w:val="0ED91A92"/>
    <w:rsid w:val="0EE1181F"/>
    <w:rsid w:val="0F01798A"/>
    <w:rsid w:val="0F06074C"/>
    <w:rsid w:val="0F0912BA"/>
    <w:rsid w:val="0F0B570A"/>
    <w:rsid w:val="0F1172EE"/>
    <w:rsid w:val="0F143830"/>
    <w:rsid w:val="0F171639"/>
    <w:rsid w:val="0F2A0640"/>
    <w:rsid w:val="0F336BE3"/>
    <w:rsid w:val="0F3477C4"/>
    <w:rsid w:val="0F43050A"/>
    <w:rsid w:val="0F4D7AA5"/>
    <w:rsid w:val="0F4E46B2"/>
    <w:rsid w:val="0F69654D"/>
    <w:rsid w:val="0F6F5EDB"/>
    <w:rsid w:val="0F747DA4"/>
    <w:rsid w:val="0F7F5123"/>
    <w:rsid w:val="0F802BF3"/>
    <w:rsid w:val="0F80674F"/>
    <w:rsid w:val="0F9B01A2"/>
    <w:rsid w:val="0F9E22A6"/>
    <w:rsid w:val="0FA52931"/>
    <w:rsid w:val="0FA856AF"/>
    <w:rsid w:val="0FB00328"/>
    <w:rsid w:val="0FD138A0"/>
    <w:rsid w:val="0FD54874"/>
    <w:rsid w:val="0FDD6E40"/>
    <w:rsid w:val="0FE23055"/>
    <w:rsid w:val="0FE7657C"/>
    <w:rsid w:val="0FEB270F"/>
    <w:rsid w:val="0FF60C5B"/>
    <w:rsid w:val="0FF95815"/>
    <w:rsid w:val="0FFD08B8"/>
    <w:rsid w:val="10013B1C"/>
    <w:rsid w:val="10114703"/>
    <w:rsid w:val="1012342B"/>
    <w:rsid w:val="1039465D"/>
    <w:rsid w:val="106377CF"/>
    <w:rsid w:val="10755FEF"/>
    <w:rsid w:val="108134D8"/>
    <w:rsid w:val="108452F1"/>
    <w:rsid w:val="10A31257"/>
    <w:rsid w:val="10AB0366"/>
    <w:rsid w:val="10C60B0F"/>
    <w:rsid w:val="10D57DA2"/>
    <w:rsid w:val="10D61B8B"/>
    <w:rsid w:val="10D82AB5"/>
    <w:rsid w:val="10E95A93"/>
    <w:rsid w:val="10F954EA"/>
    <w:rsid w:val="10FD7157"/>
    <w:rsid w:val="111607B1"/>
    <w:rsid w:val="111657CB"/>
    <w:rsid w:val="112F634C"/>
    <w:rsid w:val="114E47FD"/>
    <w:rsid w:val="1160385B"/>
    <w:rsid w:val="11732F7A"/>
    <w:rsid w:val="117A10F4"/>
    <w:rsid w:val="117E2FF4"/>
    <w:rsid w:val="11891F31"/>
    <w:rsid w:val="118F505C"/>
    <w:rsid w:val="11A014A1"/>
    <w:rsid w:val="11AB6319"/>
    <w:rsid w:val="11C33CAB"/>
    <w:rsid w:val="11C47791"/>
    <w:rsid w:val="11D36388"/>
    <w:rsid w:val="11DA5644"/>
    <w:rsid w:val="11E25779"/>
    <w:rsid w:val="11E2632F"/>
    <w:rsid w:val="11EB1098"/>
    <w:rsid w:val="11EF4C81"/>
    <w:rsid w:val="11F026A2"/>
    <w:rsid w:val="11F16F19"/>
    <w:rsid w:val="11F356CB"/>
    <w:rsid w:val="120D4A8F"/>
    <w:rsid w:val="120F04B7"/>
    <w:rsid w:val="12135059"/>
    <w:rsid w:val="12337E9F"/>
    <w:rsid w:val="12347BAF"/>
    <w:rsid w:val="1235563B"/>
    <w:rsid w:val="124654D2"/>
    <w:rsid w:val="12487613"/>
    <w:rsid w:val="124957CD"/>
    <w:rsid w:val="124C25C7"/>
    <w:rsid w:val="12572C7C"/>
    <w:rsid w:val="12790101"/>
    <w:rsid w:val="127D0B06"/>
    <w:rsid w:val="127E79CB"/>
    <w:rsid w:val="12974270"/>
    <w:rsid w:val="12A87D7A"/>
    <w:rsid w:val="12AF6741"/>
    <w:rsid w:val="12B72BC7"/>
    <w:rsid w:val="12C73C93"/>
    <w:rsid w:val="12DC5C5D"/>
    <w:rsid w:val="12EC45E1"/>
    <w:rsid w:val="130D3566"/>
    <w:rsid w:val="130E4054"/>
    <w:rsid w:val="1310259A"/>
    <w:rsid w:val="1327213E"/>
    <w:rsid w:val="13304CCE"/>
    <w:rsid w:val="13321644"/>
    <w:rsid w:val="133E6F1C"/>
    <w:rsid w:val="13547EB8"/>
    <w:rsid w:val="136F5C41"/>
    <w:rsid w:val="137A6820"/>
    <w:rsid w:val="13880A27"/>
    <w:rsid w:val="138866E4"/>
    <w:rsid w:val="13BE05D9"/>
    <w:rsid w:val="13DD40E1"/>
    <w:rsid w:val="13DE7D5C"/>
    <w:rsid w:val="13F45CBA"/>
    <w:rsid w:val="13FF4EF2"/>
    <w:rsid w:val="140718B9"/>
    <w:rsid w:val="14187D7A"/>
    <w:rsid w:val="142431B7"/>
    <w:rsid w:val="14287C10"/>
    <w:rsid w:val="142A5599"/>
    <w:rsid w:val="144251E1"/>
    <w:rsid w:val="14547269"/>
    <w:rsid w:val="1471026F"/>
    <w:rsid w:val="147D18EF"/>
    <w:rsid w:val="148E47F4"/>
    <w:rsid w:val="149A7EB6"/>
    <w:rsid w:val="14A515D8"/>
    <w:rsid w:val="14A53B9A"/>
    <w:rsid w:val="14BD3DA4"/>
    <w:rsid w:val="14C0703A"/>
    <w:rsid w:val="14D61CA1"/>
    <w:rsid w:val="14EC071B"/>
    <w:rsid w:val="14F65682"/>
    <w:rsid w:val="150A3C59"/>
    <w:rsid w:val="15194058"/>
    <w:rsid w:val="151B555B"/>
    <w:rsid w:val="151C4412"/>
    <w:rsid w:val="151C5314"/>
    <w:rsid w:val="153772B0"/>
    <w:rsid w:val="153956D8"/>
    <w:rsid w:val="15517106"/>
    <w:rsid w:val="15537F35"/>
    <w:rsid w:val="15566B23"/>
    <w:rsid w:val="155B0D1A"/>
    <w:rsid w:val="156132B5"/>
    <w:rsid w:val="15713898"/>
    <w:rsid w:val="15940400"/>
    <w:rsid w:val="15A220E7"/>
    <w:rsid w:val="15AD307D"/>
    <w:rsid w:val="15B41340"/>
    <w:rsid w:val="15C26136"/>
    <w:rsid w:val="15D87730"/>
    <w:rsid w:val="15E85BA5"/>
    <w:rsid w:val="15FB3FD4"/>
    <w:rsid w:val="16050D64"/>
    <w:rsid w:val="16262686"/>
    <w:rsid w:val="162E7C61"/>
    <w:rsid w:val="16501FE8"/>
    <w:rsid w:val="165F5CC4"/>
    <w:rsid w:val="167A324D"/>
    <w:rsid w:val="16807A7B"/>
    <w:rsid w:val="168B03F9"/>
    <w:rsid w:val="16A40FF1"/>
    <w:rsid w:val="16A66FE5"/>
    <w:rsid w:val="16AA7C9E"/>
    <w:rsid w:val="16D536AD"/>
    <w:rsid w:val="16F317FF"/>
    <w:rsid w:val="16F61079"/>
    <w:rsid w:val="16FC40CC"/>
    <w:rsid w:val="17107819"/>
    <w:rsid w:val="1713592B"/>
    <w:rsid w:val="171724AF"/>
    <w:rsid w:val="173A1167"/>
    <w:rsid w:val="174C3125"/>
    <w:rsid w:val="174D05AF"/>
    <w:rsid w:val="17582195"/>
    <w:rsid w:val="175A5E16"/>
    <w:rsid w:val="1783114D"/>
    <w:rsid w:val="17861020"/>
    <w:rsid w:val="178C3F67"/>
    <w:rsid w:val="179D078F"/>
    <w:rsid w:val="179D10A9"/>
    <w:rsid w:val="17A56106"/>
    <w:rsid w:val="17B01689"/>
    <w:rsid w:val="17BA2651"/>
    <w:rsid w:val="17DC55DB"/>
    <w:rsid w:val="17DC74E7"/>
    <w:rsid w:val="17EA3022"/>
    <w:rsid w:val="17EC2D37"/>
    <w:rsid w:val="17FC197D"/>
    <w:rsid w:val="180E5BD0"/>
    <w:rsid w:val="181B6745"/>
    <w:rsid w:val="181E21FF"/>
    <w:rsid w:val="182417F2"/>
    <w:rsid w:val="182A24B6"/>
    <w:rsid w:val="182A435C"/>
    <w:rsid w:val="184A2FE7"/>
    <w:rsid w:val="184D2E9A"/>
    <w:rsid w:val="18506409"/>
    <w:rsid w:val="186C62F3"/>
    <w:rsid w:val="186D10E2"/>
    <w:rsid w:val="186F25AF"/>
    <w:rsid w:val="18736391"/>
    <w:rsid w:val="18750889"/>
    <w:rsid w:val="187F3982"/>
    <w:rsid w:val="188B4496"/>
    <w:rsid w:val="188B49AE"/>
    <w:rsid w:val="18B07CBC"/>
    <w:rsid w:val="18B7047A"/>
    <w:rsid w:val="18DB3633"/>
    <w:rsid w:val="18EF7E4E"/>
    <w:rsid w:val="190662EB"/>
    <w:rsid w:val="19111349"/>
    <w:rsid w:val="19170735"/>
    <w:rsid w:val="19287D1F"/>
    <w:rsid w:val="19296872"/>
    <w:rsid w:val="193C6F70"/>
    <w:rsid w:val="19422035"/>
    <w:rsid w:val="19452E4D"/>
    <w:rsid w:val="19576666"/>
    <w:rsid w:val="196E1445"/>
    <w:rsid w:val="197A4BF5"/>
    <w:rsid w:val="197E07F4"/>
    <w:rsid w:val="19995465"/>
    <w:rsid w:val="199A6F37"/>
    <w:rsid w:val="19A1656E"/>
    <w:rsid w:val="19AC18DF"/>
    <w:rsid w:val="19C12652"/>
    <w:rsid w:val="19CC156A"/>
    <w:rsid w:val="19D92823"/>
    <w:rsid w:val="19EF018C"/>
    <w:rsid w:val="19F87D26"/>
    <w:rsid w:val="1A0462C0"/>
    <w:rsid w:val="1A254109"/>
    <w:rsid w:val="1A2D5F17"/>
    <w:rsid w:val="1A3E7E25"/>
    <w:rsid w:val="1A3F1EAD"/>
    <w:rsid w:val="1A426095"/>
    <w:rsid w:val="1A4557A6"/>
    <w:rsid w:val="1A5522BE"/>
    <w:rsid w:val="1A5F7E3C"/>
    <w:rsid w:val="1A697B62"/>
    <w:rsid w:val="1A7A1400"/>
    <w:rsid w:val="1A932CD8"/>
    <w:rsid w:val="1A9600A7"/>
    <w:rsid w:val="1A976890"/>
    <w:rsid w:val="1AA17EB7"/>
    <w:rsid w:val="1AB632B9"/>
    <w:rsid w:val="1AC07580"/>
    <w:rsid w:val="1ACD092F"/>
    <w:rsid w:val="1ACF43A8"/>
    <w:rsid w:val="1AD911F0"/>
    <w:rsid w:val="1AE07500"/>
    <w:rsid w:val="1AE26729"/>
    <w:rsid w:val="1AE55E86"/>
    <w:rsid w:val="1AF97E7E"/>
    <w:rsid w:val="1B0D66A2"/>
    <w:rsid w:val="1B347E90"/>
    <w:rsid w:val="1B381D2F"/>
    <w:rsid w:val="1B4B40CA"/>
    <w:rsid w:val="1B4B554B"/>
    <w:rsid w:val="1B6F68D0"/>
    <w:rsid w:val="1B7156EB"/>
    <w:rsid w:val="1B7B28A0"/>
    <w:rsid w:val="1B7D6007"/>
    <w:rsid w:val="1B882CE4"/>
    <w:rsid w:val="1B967C32"/>
    <w:rsid w:val="1B9F706E"/>
    <w:rsid w:val="1BAF1FC9"/>
    <w:rsid w:val="1BC0081E"/>
    <w:rsid w:val="1BC8251B"/>
    <w:rsid w:val="1BD53889"/>
    <w:rsid w:val="1BD5544D"/>
    <w:rsid w:val="1BD81AB5"/>
    <w:rsid w:val="1BDB12A2"/>
    <w:rsid w:val="1BE41607"/>
    <w:rsid w:val="1BF10AEE"/>
    <w:rsid w:val="1C0605E3"/>
    <w:rsid w:val="1C080D97"/>
    <w:rsid w:val="1C1828C9"/>
    <w:rsid w:val="1C3554F4"/>
    <w:rsid w:val="1C387D56"/>
    <w:rsid w:val="1C473203"/>
    <w:rsid w:val="1C4B290D"/>
    <w:rsid w:val="1C4E226E"/>
    <w:rsid w:val="1C557FDC"/>
    <w:rsid w:val="1C5E726F"/>
    <w:rsid w:val="1C62455E"/>
    <w:rsid w:val="1C731196"/>
    <w:rsid w:val="1C972D31"/>
    <w:rsid w:val="1CA52F57"/>
    <w:rsid w:val="1CB112A1"/>
    <w:rsid w:val="1CC023A9"/>
    <w:rsid w:val="1CC95B0B"/>
    <w:rsid w:val="1CCA5AF2"/>
    <w:rsid w:val="1CED3BEF"/>
    <w:rsid w:val="1CEF04AD"/>
    <w:rsid w:val="1CF665ED"/>
    <w:rsid w:val="1D0B4491"/>
    <w:rsid w:val="1D0C0612"/>
    <w:rsid w:val="1D0E5989"/>
    <w:rsid w:val="1D141CEA"/>
    <w:rsid w:val="1D1B0A25"/>
    <w:rsid w:val="1D3A569D"/>
    <w:rsid w:val="1D3E5302"/>
    <w:rsid w:val="1D4410B0"/>
    <w:rsid w:val="1D4A617E"/>
    <w:rsid w:val="1D6A356E"/>
    <w:rsid w:val="1D7C32DA"/>
    <w:rsid w:val="1D93284D"/>
    <w:rsid w:val="1DA1677D"/>
    <w:rsid w:val="1DA8736D"/>
    <w:rsid w:val="1DB530CD"/>
    <w:rsid w:val="1DCB6348"/>
    <w:rsid w:val="1DCC661D"/>
    <w:rsid w:val="1DD95967"/>
    <w:rsid w:val="1DE4047F"/>
    <w:rsid w:val="1DE845C4"/>
    <w:rsid w:val="1DFB35AF"/>
    <w:rsid w:val="1E0803E8"/>
    <w:rsid w:val="1E496D32"/>
    <w:rsid w:val="1E534646"/>
    <w:rsid w:val="1E6E228D"/>
    <w:rsid w:val="1E74359A"/>
    <w:rsid w:val="1E7E617D"/>
    <w:rsid w:val="1E85569E"/>
    <w:rsid w:val="1EB51DA1"/>
    <w:rsid w:val="1EB95209"/>
    <w:rsid w:val="1EC304A0"/>
    <w:rsid w:val="1EC5769F"/>
    <w:rsid w:val="1ED07B38"/>
    <w:rsid w:val="1EDC6024"/>
    <w:rsid w:val="1EEB092B"/>
    <w:rsid w:val="1EEC602D"/>
    <w:rsid w:val="1F05478A"/>
    <w:rsid w:val="1F1B7CA3"/>
    <w:rsid w:val="1F1E53CF"/>
    <w:rsid w:val="1F237967"/>
    <w:rsid w:val="1F254512"/>
    <w:rsid w:val="1F2627AC"/>
    <w:rsid w:val="1F2D10E6"/>
    <w:rsid w:val="1F2F224F"/>
    <w:rsid w:val="1F395569"/>
    <w:rsid w:val="1F455659"/>
    <w:rsid w:val="1F4B5E7F"/>
    <w:rsid w:val="1F4C5BF7"/>
    <w:rsid w:val="1F5B28CE"/>
    <w:rsid w:val="1F657D0C"/>
    <w:rsid w:val="1F6979B6"/>
    <w:rsid w:val="1F72556F"/>
    <w:rsid w:val="1FA06DAB"/>
    <w:rsid w:val="1FCB6265"/>
    <w:rsid w:val="1FD15B0F"/>
    <w:rsid w:val="1FED1DBC"/>
    <w:rsid w:val="200448C8"/>
    <w:rsid w:val="201C43CA"/>
    <w:rsid w:val="20366690"/>
    <w:rsid w:val="20472CCB"/>
    <w:rsid w:val="20556B97"/>
    <w:rsid w:val="205763CF"/>
    <w:rsid w:val="2058435A"/>
    <w:rsid w:val="20654644"/>
    <w:rsid w:val="20AD543D"/>
    <w:rsid w:val="20B25FCF"/>
    <w:rsid w:val="20BC0DBB"/>
    <w:rsid w:val="20BD56CD"/>
    <w:rsid w:val="20C06125"/>
    <w:rsid w:val="20C77E55"/>
    <w:rsid w:val="20D04B8A"/>
    <w:rsid w:val="20D07B1A"/>
    <w:rsid w:val="20D43414"/>
    <w:rsid w:val="20D9527E"/>
    <w:rsid w:val="20E05696"/>
    <w:rsid w:val="20EC60B5"/>
    <w:rsid w:val="20F2289B"/>
    <w:rsid w:val="20F4777A"/>
    <w:rsid w:val="20FB6AD0"/>
    <w:rsid w:val="20FF0F4A"/>
    <w:rsid w:val="214449C7"/>
    <w:rsid w:val="21445AFF"/>
    <w:rsid w:val="214724AD"/>
    <w:rsid w:val="21505030"/>
    <w:rsid w:val="215E5F39"/>
    <w:rsid w:val="2172200F"/>
    <w:rsid w:val="218B5D70"/>
    <w:rsid w:val="218E706D"/>
    <w:rsid w:val="21946FAC"/>
    <w:rsid w:val="21AB685E"/>
    <w:rsid w:val="21BD140E"/>
    <w:rsid w:val="21C554DA"/>
    <w:rsid w:val="21CA0299"/>
    <w:rsid w:val="21D50405"/>
    <w:rsid w:val="21D62E26"/>
    <w:rsid w:val="21DC3C47"/>
    <w:rsid w:val="21FE77C8"/>
    <w:rsid w:val="220B31DB"/>
    <w:rsid w:val="221978DB"/>
    <w:rsid w:val="22313E1D"/>
    <w:rsid w:val="2240670E"/>
    <w:rsid w:val="225C011E"/>
    <w:rsid w:val="22761FFE"/>
    <w:rsid w:val="22780EDC"/>
    <w:rsid w:val="229B229A"/>
    <w:rsid w:val="22B81432"/>
    <w:rsid w:val="22EB58EA"/>
    <w:rsid w:val="22F60FBA"/>
    <w:rsid w:val="22F84022"/>
    <w:rsid w:val="23080DD2"/>
    <w:rsid w:val="23221FC8"/>
    <w:rsid w:val="232526DB"/>
    <w:rsid w:val="232B3157"/>
    <w:rsid w:val="233678D8"/>
    <w:rsid w:val="233B5A2D"/>
    <w:rsid w:val="23407AD6"/>
    <w:rsid w:val="2343452F"/>
    <w:rsid w:val="23452FEB"/>
    <w:rsid w:val="23465E46"/>
    <w:rsid w:val="234879AD"/>
    <w:rsid w:val="234C2112"/>
    <w:rsid w:val="234E7B58"/>
    <w:rsid w:val="235407DD"/>
    <w:rsid w:val="23624275"/>
    <w:rsid w:val="2368589E"/>
    <w:rsid w:val="237A2F3D"/>
    <w:rsid w:val="23932D28"/>
    <w:rsid w:val="23D24643"/>
    <w:rsid w:val="23D510C2"/>
    <w:rsid w:val="24030090"/>
    <w:rsid w:val="242957FB"/>
    <w:rsid w:val="242C19C1"/>
    <w:rsid w:val="242E5C60"/>
    <w:rsid w:val="243B5E41"/>
    <w:rsid w:val="2441078A"/>
    <w:rsid w:val="24467834"/>
    <w:rsid w:val="24580723"/>
    <w:rsid w:val="24591836"/>
    <w:rsid w:val="24614A76"/>
    <w:rsid w:val="246D74A8"/>
    <w:rsid w:val="24810E42"/>
    <w:rsid w:val="24975C9E"/>
    <w:rsid w:val="24985420"/>
    <w:rsid w:val="24996B92"/>
    <w:rsid w:val="249E2CA0"/>
    <w:rsid w:val="24A2111C"/>
    <w:rsid w:val="24A2688B"/>
    <w:rsid w:val="24B335BC"/>
    <w:rsid w:val="24B83E54"/>
    <w:rsid w:val="24D17B47"/>
    <w:rsid w:val="24D20D2B"/>
    <w:rsid w:val="24F626DF"/>
    <w:rsid w:val="24FD3FF8"/>
    <w:rsid w:val="251B67E8"/>
    <w:rsid w:val="251C0ED7"/>
    <w:rsid w:val="255F5E07"/>
    <w:rsid w:val="256E2074"/>
    <w:rsid w:val="25873166"/>
    <w:rsid w:val="25A3369F"/>
    <w:rsid w:val="25AB7C58"/>
    <w:rsid w:val="25AF59D2"/>
    <w:rsid w:val="25C175AE"/>
    <w:rsid w:val="25C304B4"/>
    <w:rsid w:val="25C307CD"/>
    <w:rsid w:val="25C64226"/>
    <w:rsid w:val="25D43324"/>
    <w:rsid w:val="25DB6356"/>
    <w:rsid w:val="25EB4F45"/>
    <w:rsid w:val="260239D9"/>
    <w:rsid w:val="262026BE"/>
    <w:rsid w:val="26293FFE"/>
    <w:rsid w:val="26300137"/>
    <w:rsid w:val="26305B4A"/>
    <w:rsid w:val="263E7FA4"/>
    <w:rsid w:val="264F36E6"/>
    <w:rsid w:val="265B3420"/>
    <w:rsid w:val="26764AD8"/>
    <w:rsid w:val="26846839"/>
    <w:rsid w:val="26A26BA6"/>
    <w:rsid w:val="26A7770A"/>
    <w:rsid w:val="26B224AD"/>
    <w:rsid w:val="26BB1F37"/>
    <w:rsid w:val="26F706FA"/>
    <w:rsid w:val="26FC6EB6"/>
    <w:rsid w:val="2710523C"/>
    <w:rsid w:val="271F1575"/>
    <w:rsid w:val="27243460"/>
    <w:rsid w:val="272F5CFE"/>
    <w:rsid w:val="27354ACB"/>
    <w:rsid w:val="275E7EA3"/>
    <w:rsid w:val="27890553"/>
    <w:rsid w:val="27932A0B"/>
    <w:rsid w:val="279A534A"/>
    <w:rsid w:val="27A72A3C"/>
    <w:rsid w:val="27A8071A"/>
    <w:rsid w:val="27AB3BBB"/>
    <w:rsid w:val="27B23802"/>
    <w:rsid w:val="27B32714"/>
    <w:rsid w:val="27B7684F"/>
    <w:rsid w:val="27C24DB6"/>
    <w:rsid w:val="27D50E18"/>
    <w:rsid w:val="27DF3C78"/>
    <w:rsid w:val="27FF6A4F"/>
    <w:rsid w:val="28000201"/>
    <w:rsid w:val="2806428D"/>
    <w:rsid w:val="28086732"/>
    <w:rsid w:val="280F43F8"/>
    <w:rsid w:val="281B6DFB"/>
    <w:rsid w:val="28232013"/>
    <w:rsid w:val="28310424"/>
    <w:rsid w:val="28345755"/>
    <w:rsid w:val="28360D50"/>
    <w:rsid w:val="283B2E0A"/>
    <w:rsid w:val="2841649F"/>
    <w:rsid w:val="28587717"/>
    <w:rsid w:val="286C79F6"/>
    <w:rsid w:val="287577D2"/>
    <w:rsid w:val="28955BF8"/>
    <w:rsid w:val="28962ABE"/>
    <w:rsid w:val="289A44CC"/>
    <w:rsid w:val="289D4161"/>
    <w:rsid w:val="28AC2FF0"/>
    <w:rsid w:val="28B01244"/>
    <w:rsid w:val="28B144AB"/>
    <w:rsid w:val="28BB24F3"/>
    <w:rsid w:val="28BC0562"/>
    <w:rsid w:val="28C0170D"/>
    <w:rsid w:val="28C46903"/>
    <w:rsid w:val="28C61AA0"/>
    <w:rsid w:val="28D95C23"/>
    <w:rsid w:val="28F91D5E"/>
    <w:rsid w:val="29013C50"/>
    <w:rsid w:val="29265AF3"/>
    <w:rsid w:val="292D3977"/>
    <w:rsid w:val="292F5926"/>
    <w:rsid w:val="29337ADD"/>
    <w:rsid w:val="29363B54"/>
    <w:rsid w:val="294544E1"/>
    <w:rsid w:val="29485EE3"/>
    <w:rsid w:val="295D2A0D"/>
    <w:rsid w:val="2960449A"/>
    <w:rsid w:val="296B37FE"/>
    <w:rsid w:val="29742F43"/>
    <w:rsid w:val="298B171B"/>
    <w:rsid w:val="29974AB9"/>
    <w:rsid w:val="29B821A4"/>
    <w:rsid w:val="29C20001"/>
    <w:rsid w:val="29C21BB6"/>
    <w:rsid w:val="29C5558D"/>
    <w:rsid w:val="29DB7423"/>
    <w:rsid w:val="29DF6AB6"/>
    <w:rsid w:val="29E66885"/>
    <w:rsid w:val="29FF28F3"/>
    <w:rsid w:val="2A182CBF"/>
    <w:rsid w:val="2A1C138C"/>
    <w:rsid w:val="2A203B32"/>
    <w:rsid w:val="2A2B7E43"/>
    <w:rsid w:val="2A5E36F7"/>
    <w:rsid w:val="2A7C5E0E"/>
    <w:rsid w:val="2A7F6E86"/>
    <w:rsid w:val="2A8936CB"/>
    <w:rsid w:val="2A916E63"/>
    <w:rsid w:val="2A966435"/>
    <w:rsid w:val="2A9C639D"/>
    <w:rsid w:val="2AA51CE5"/>
    <w:rsid w:val="2ACD5534"/>
    <w:rsid w:val="2AEB1B17"/>
    <w:rsid w:val="2AF9737E"/>
    <w:rsid w:val="2B000B26"/>
    <w:rsid w:val="2B1546BC"/>
    <w:rsid w:val="2B2C1460"/>
    <w:rsid w:val="2B67052B"/>
    <w:rsid w:val="2B7450EA"/>
    <w:rsid w:val="2B856DDE"/>
    <w:rsid w:val="2B8F2717"/>
    <w:rsid w:val="2B9343ED"/>
    <w:rsid w:val="2BA02A26"/>
    <w:rsid w:val="2BB16B38"/>
    <w:rsid w:val="2BD61242"/>
    <w:rsid w:val="2BD6206E"/>
    <w:rsid w:val="2BD96AC1"/>
    <w:rsid w:val="2BDF2818"/>
    <w:rsid w:val="2BE343B0"/>
    <w:rsid w:val="2BE81FA6"/>
    <w:rsid w:val="2BEE4476"/>
    <w:rsid w:val="2BF07939"/>
    <w:rsid w:val="2BF65895"/>
    <w:rsid w:val="2BFB2586"/>
    <w:rsid w:val="2BFF44E2"/>
    <w:rsid w:val="2C1A2B1C"/>
    <w:rsid w:val="2C230793"/>
    <w:rsid w:val="2C247BE0"/>
    <w:rsid w:val="2C286B04"/>
    <w:rsid w:val="2C2A7038"/>
    <w:rsid w:val="2C381966"/>
    <w:rsid w:val="2C3F7BFB"/>
    <w:rsid w:val="2C5574FC"/>
    <w:rsid w:val="2C652E63"/>
    <w:rsid w:val="2C68554D"/>
    <w:rsid w:val="2C6F08A3"/>
    <w:rsid w:val="2C720665"/>
    <w:rsid w:val="2C7A32C7"/>
    <w:rsid w:val="2C89132F"/>
    <w:rsid w:val="2C963CF7"/>
    <w:rsid w:val="2C9D4DC0"/>
    <w:rsid w:val="2CC2378F"/>
    <w:rsid w:val="2CC31523"/>
    <w:rsid w:val="2CD619DC"/>
    <w:rsid w:val="2CD6246C"/>
    <w:rsid w:val="2CDC3A44"/>
    <w:rsid w:val="2CE426E9"/>
    <w:rsid w:val="2CF128A6"/>
    <w:rsid w:val="2CF550EF"/>
    <w:rsid w:val="2CF74D82"/>
    <w:rsid w:val="2D0C2053"/>
    <w:rsid w:val="2D0E4A50"/>
    <w:rsid w:val="2D274AC9"/>
    <w:rsid w:val="2D3375D6"/>
    <w:rsid w:val="2D3825BD"/>
    <w:rsid w:val="2D387214"/>
    <w:rsid w:val="2D3A4BC3"/>
    <w:rsid w:val="2D4D429A"/>
    <w:rsid w:val="2D527980"/>
    <w:rsid w:val="2D5359DD"/>
    <w:rsid w:val="2D553314"/>
    <w:rsid w:val="2D6C6708"/>
    <w:rsid w:val="2D731260"/>
    <w:rsid w:val="2D835A04"/>
    <w:rsid w:val="2D8A41DA"/>
    <w:rsid w:val="2D8E07CC"/>
    <w:rsid w:val="2DA41C72"/>
    <w:rsid w:val="2DAE0945"/>
    <w:rsid w:val="2DB24E94"/>
    <w:rsid w:val="2DBE2612"/>
    <w:rsid w:val="2DD1437F"/>
    <w:rsid w:val="2DD421FF"/>
    <w:rsid w:val="2DD72A4E"/>
    <w:rsid w:val="2DF76077"/>
    <w:rsid w:val="2E082B67"/>
    <w:rsid w:val="2E1143BA"/>
    <w:rsid w:val="2E2575E7"/>
    <w:rsid w:val="2E291C27"/>
    <w:rsid w:val="2E3C0174"/>
    <w:rsid w:val="2E782FA2"/>
    <w:rsid w:val="2E7D6E18"/>
    <w:rsid w:val="2E953974"/>
    <w:rsid w:val="2EC93B6B"/>
    <w:rsid w:val="2ECF0CC9"/>
    <w:rsid w:val="2EE60360"/>
    <w:rsid w:val="2F1F3D00"/>
    <w:rsid w:val="2F2A5380"/>
    <w:rsid w:val="2F2D4FF3"/>
    <w:rsid w:val="2F3D297D"/>
    <w:rsid w:val="2F460D1C"/>
    <w:rsid w:val="2F762E56"/>
    <w:rsid w:val="2F8256D1"/>
    <w:rsid w:val="2FA01E86"/>
    <w:rsid w:val="2FA507D8"/>
    <w:rsid w:val="2FAD1C57"/>
    <w:rsid w:val="2FBB3CF9"/>
    <w:rsid w:val="2FCB2483"/>
    <w:rsid w:val="2FD138FC"/>
    <w:rsid w:val="2FD638AC"/>
    <w:rsid w:val="2FE05FBE"/>
    <w:rsid w:val="2FE43FDD"/>
    <w:rsid w:val="2FF90648"/>
    <w:rsid w:val="2FFF4A61"/>
    <w:rsid w:val="30040886"/>
    <w:rsid w:val="300513A1"/>
    <w:rsid w:val="300B0D6B"/>
    <w:rsid w:val="302763B8"/>
    <w:rsid w:val="30307871"/>
    <w:rsid w:val="303E7862"/>
    <w:rsid w:val="304A4A74"/>
    <w:rsid w:val="3065616E"/>
    <w:rsid w:val="306C0D24"/>
    <w:rsid w:val="30934FA3"/>
    <w:rsid w:val="30C742BB"/>
    <w:rsid w:val="30CE5F5B"/>
    <w:rsid w:val="30DD499B"/>
    <w:rsid w:val="30DE0B6C"/>
    <w:rsid w:val="30E023AB"/>
    <w:rsid w:val="30F37032"/>
    <w:rsid w:val="30F54707"/>
    <w:rsid w:val="311450E7"/>
    <w:rsid w:val="311A32FA"/>
    <w:rsid w:val="31210218"/>
    <w:rsid w:val="312104A0"/>
    <w:rsid w:val="31251CFE"/>
    <w:rsid w:val="313638D9"/>
    <w:rsid w:val="31595382"/>
    <w:rsid w:val="31624F0F"/>
    <w:rsid w:val="3179284B"/>
    <w:rsid w:val="31990777"/>
    <w:rsid w:val="31B42842"/>
    <w:rsid w:val="31C66CCC"/>
    <w:rsid w:val="31CC585F"/>
    <w:rsid w:val="31E91BBE"/>
    <w:rsid w:val="31ED0239"/>
    <w:rsid w:val="31F47D5A"/>
    <w:rsid w:val="32067218"/>
    <w:rsid w:val="32096D75"/>
    <w:rsid w:val="320E69E9"/>
    <w:rsid w:val="32124296"/>
    <w:rsid w:val="322E16E2"/>
    <w:rsid w:val="324C0374"/>
    <w:rsid w:val="328420F5"/>
    <w:rsid w:val="328B7638"/>
    <w:rsid w:val="3295002D"/>
    <w:rsid w:val="32AB33CF"/>
    <w:rsid w:val="32B42824"/>
    <w:rsid w:val="32D1329C"/>
    <w:rsid w:val="331D6AD4"/>
    <w:rsid w:val="33282A71"/>
    <w:rsid w:val="33337F33"/>
    <w:rsid w:val="333F1D8B"/>
    <w:rsid w:val="33424FED"/>
    <w:rsid w:val="33492E2E"/>
    <w:rsid w:val="33520138"/>
    <w:rsid w:val="335C3E86"/>
    <w:rsid w:val="33752EC1"/>
    <w:rsid w:val="338031C3"/>
    <w:rsid w:val="339B0475"/>
    <w:rsid w:val="339B79A9"/>
    <w:rsid w:val="33A71941"/>
    <w:rsid w:val="33AD188D"/>
    <w:rsid w:val="33B41CB1"/>
    <w:rsid w:val="33C934A7"/>
    <w:rsid w:val="33CD64EB"/>
    <w:rsid w:val="33D64316"/>
    <w:rsid w:val="33D90673"/>
    <w:rsid w:val="33EE2079"/>
    <w:rsid w:val="34004AE8"/>
    <w:rsid w:val="34091779"/>
    <w:rsid w:val="343859F7"/>
    <w:rsid w:val="34416B38"/>
    <w:rsid w:val="34420300"/>
    <w:rsid w:val="34433D47"/>
    <w:rsid w:val="344C6453"/>
    <w:rsid w:val="34524488"/>
    <w:rsid w:val="345A078A"/>
    <w:rsid w:val="345E115C"/>
    <w:rsid w:val="34615E02"/>
    <w:rsid w:val="34641E37"/>
    <w:rsid w:val="34673727"/>
    <w:rsid w:val="346E5826"/>
    <w:rsid w:val="34726EBE"/>
    <w:rsid w:val="34767C37"/>
    <w:rsid w:val="34871F5D"/>
    <w:rsid w:val="349520FA"/>
    <w:rsid w:val="349D0729"/>
    <w:rsid w:val="349E1D71"/>
    <w:rsid w:val="349E5729"/>
    <w:rsid w:val="34A8087C"/>
    <w:rsid w:val="34B46726"/>
    <w:rsid w:val="34C4352A"/>
    <w:rsid w:val="34E14E55"/>
    <w:rsid w:val="34F93678"/>
    <w:rsid w:val="351E7177"/>
    <w:rsid w:val="352D06BF"/>
    <w:rsid w:val="353E7904"/>
    <w:rsid w:val="354906C9"/>
    <w:rsid w:val="35594D77"/>
    <w:rsid w:val="355C300B"/>
    <w:rsid w:val="356956F9"/>
    <w:rsid w:val="357E44D0"/>
    <w:rsid w:val="359673B0"/>
    <w:rsid w:val="359B2417"/>
    <w:rsid w:val="359B39D9"/>
    <w:rsid w:val="35A126EE"/>
    <w:rsid w:val="35A23552"/>
    <w:rsid w:val="35A721BC"/>
    <w:rsid w:val="35AE22D4"/>
    <w:rsid w:val="35DB3787"/>
    <w:rsid w:val="35DD572A"/>
    <w:rsid w:val="35FD708C"/>
    <w:rsid w:val="360063DF"/>
    <w:rsid w:val="36172F12"/>
    <w:rsid w:val="3636216A"/>
    <w:rsid w:val="364D57F4"/>
    <w:rsid w:val="36523428"/>
    <w:rsid w:val="366759D5"/>
    <w:rsid w:val="36773E7B"/>
    <w:rsid w:val="36894CA2"/>
    <w:rsid w:val="36B72122"/>
    <w:rsid w:val="36D221CC"/>
    <w:rsid w:val="36D611EE"/>
    <w:rsid w:val="36D84055"/>
    <w:rsid w:val="36EA21BD"/>
    <w:rsid w:val="36EB5C9A"/>
    <w:rsid w:val="36EF7101"/>
    <w:rsid w:val="36F8450F"/>
    <w:rsid w:val="36FD05C8"/>
    <w:rsid w:val="37191890"/>
    <w:rsid w:val="371B2276"/>
    <w:rsid w:val="37243354"/>
    <w:rsid w:val="37306DCD"/>
    <w:rsid w:val="373C022C"/>
    <w:rsid w:val="37453A07"/>
    <w:rsid w:val="37550BD5"/>
    <w:rsid w:val="37717D56"/>
    <w:rsid w:val="37720AAC"/>
    <w:rsid w:val="377E5D1B"/>
    <w:rsid w:val="37937A11"/>
    <w:rsid w:val="37940457"/>
    <w:rsid w:val="379978CD"/>
    <w:rsid w:val="37A00097"/>
    <w:rsid w:val="37A11532"/>
    <w:rsid w:val="37C86F81"/>
    <w:rsid w:val="37C91D2F"/>
    <w:rsid w:val="380B0994"/>
    <w:rsid w:val="380E42B0"/>
    <w:rsid w:val="38261DB5"/>
    <w:rsid w:val="38303EBD"/>
    <w:rsid w:val="383B2B6D"/>
    <w:rsid w:val="384E34A3"/>
    <w:rsid w:val="38517CB2"/>
    <w:rsid w:val="38697492"/>
    <w:rsid w:val="386F2FE5"/>
    <w:rsid w:val="3873785F"/>
    <w:rsid w:val="38746667"/>
    <w:rsid w:val="387A5226"/>
    <w:rsid w:val="388115DF"/>
    <w:rsid w:val="38B11A0F"/>
    <w:rsid w:val="38C32BC4"/>
    <w:rsid w:val="38C63A25"/>
    <w:rsid w:val="38D92D8B"/>
    <w:rsid w:val="38F51AE2"/>
    <w:rsid w:val="390941E9"/>
    <w:rsid w:val="390C2F8E"/>
    <w:rsid w:val="39284D56"/>
    <w:rsid w:val="392E2DB0"/>
    <w:rsid w:val="394057D1"/>
    <w:rsid w:val="394344EF"/>
    <w:rsid w:val="394A4CF5"/>
    <w:rsid w:val="39555513"/>
    <w:rsid w:val="395E43DF"/>
    <w:rsid w:val="396B5369"/>
    <w:rsid w:val="396F0FDE"/>
    <w:rsid w:val="397420BD"/>
    <w:rsid w:val="39762868"/>
    <w:rsid w:val="39806AA7"/>
    <w:rsid w:val="39976525"/>
    <w:rsid w:val="39A31E80"/>
    <w:rsid w:val="39A46139"/>
    <w:rsid w:val="39B220F3"/>
    <w:rsid w:val="39C422B0"/>
    <w:rsid w:val="39CA79D0"/>
    <w:rsid w:val="39D41981"/>
    <w:rsid w:val="39FE6259"/>
    <w:rsid w:val="3A1056BB"/>
    <w:rsid w:val="3A120B52"/>
    <w:rsid w:val="3A381C1A"/>
    <w:rsid w:val="3A485792"/>
    <w:rsid w:val="3A6B241C"/>
    <w:rsid w:val="3A831D9E"/>
    <w:rsid w:val="3A9E2B7D"/>
    <w:rsid w:val="3AA128CC"/>
    <w:rsid w:val="3ACA044A"/>
    <w:rsid w:val="3AE42B04"/>
    <w:rsid w:val="3AFC7AC2"/>
    <w:rsid w:val="3B0D4798"/>
    <w:rsid w:val="3B2A29CE"/>
    <w:rsid w:val="3B2D6176"/>
    <w:rsid w:val="3B31665B"/>
    <w:rsid w:val="3B3C4528"/>
    <w:rsid w:val="3B483753"/>
    <w:rsid w:val="3B485E93"/>
    <w:rsid w:val="3B4A34A9"/>
    <w:rsid w:val="3B5D0B71"/>
    <w:rsid w:val="3B747A2E"/>
    <w:rsid w:val="3B751044"/>
    <w:rsid w:val="3B7C1803"/>
    <w:rsid w:val="3B8A2526"/>
    <w:rsid w:val="3B8B2C2B"/>
    <w:rsid w:val="3B975C68"/>
    <w:rsid w:val="3BAD5852"/>
    <w:rsid w:val="3BC04CD1"/>
    <w:rsid w:val="3BCC0D1E"/>
    <w:rsid w:val="3BE36A67"/>
    <w:rsid w:val="3C20565F"/>
    <w:rsid w:val="3C246F04"/>
    <w:rsid w:val="3C545742"/>
    <w:rsid w:val="3C557D6A"/>
    <w:rsid w:val="3C58291C"/>
    <w:rsid w:val="3C936F7D"/>
    <w:rsid w:val="3CA0641A"/>
    <w:rsid w:val="3CA63327"/>
    <w:rsid w:val="3CBD5E9D"/>
    <w:rsid w:val="3CC71C39"/>
    <w:rsid w:val="3CD028AA"/>
    <w:rsid w:val="3CE83C6A"/>
    <w:rsid w:val="3CED4B3C"/>
    <w:rsid w:val="3CEE438E"/>
    <w:rsid w:val="3CEF2D79"/>
    <w:rsid w:val="3CF11132"/>
    <w:rsid w:val="3CF41E98"/>
    <w:rsid w:val="3CF57F96"/>
    <w:rsid w:val="3D270F91"/>
    <w:rsid w:val="3D2C4092"/>
    <w:rsid w:val="3D3448D9"/>
    <w:rsid w:val="3D4347BD"/>
    <w:rsid w:val="3D6A1694"/>
    <w:rsid w:val="3DA62A96"/>
    <w:rsid w:val="3DAF2BA2"/>
    <w:rsid w:val="3DBA180E"/>
    <w:rsid w:val="3DCE510A"/>
    <w:rsid w:val="3DD73F9A"/>
    <w:rsid w:val="3DF312F2"/>
    <w:rsid w:val="3DF61187"/>
    <w:rsid w:val="3E001957"/>
    <w:rsid w:val="3E17695C"/>
    <w:rsid w:val="3E194ECB"/>
    <w:rsid w:val="3E295B09"/>
    <w:rsid w:val="3E321F83"/>
    <w:rsid w:val="3E464C98"/>
    <w:rsid w:val="3E566187"/>
    <w:rsid w:val="3E5F3652"/>
    <w:rsid w:val="3E6E3C29"/>
    <w:rsid w:val="3E726EC0"/>
    <w:rsid w:val="3E7A605E"/>
    <w:rsid w:val="3E8030F8"/>
    <w:rsid w:val="3E872C28"/>
    <w:rsid w:val="3E8E57F8"/>
    <w:rsid w:val="3E8F7930"/>
    <w:rsid w:val="3E90225C"/>
    <w:rsid w:val="3E9E2A71"/>
    <w:rsid w:val="3EC82099"/>
    <w:rsid w:val="3EDF02CD"/>
    <w:rsid w:val="3EE63847"/>
    <w:rsid w:val="3EF8213B"/>
    <w:rsid w:val="3EF9223C"/>
    <w:rsid w:val="3EFE1423"/>
    <w:rsid w:val="3F1A76DA"/>
    <w:rsid w:val="3F2B5E43"/>
    <w:rsid w:val="3F3F07A3"/>
    <w:rsid w:val="3F4A4DFF"/>
    <w:rsid w:val="3F4D347B"/>
    <w:rsid w:val="3F576F69"/>
    <w:rsid w:val="3F693A6D"/>
    <w:rsid w:val="3F6A1924"/>
    <w:rsid w:val="3F6F6438"/>
    <w:rsid w:val="3F754D51"/>
    <w:rsid w:val="3F7F0835"/>
    <w:rsid w:val="3F8A4BDC"/>
    <w:rsid w:val="3F8F7B3E"/>
    <w:rsid w:val="3F9E47AC"/>
    <w:rsid w:val="3FA3301A"/>
    <w:rsid w:val="3FC62C6D"/>
    <w:rsid w:val="3FC71DA6"/>
    <w:rsid w:val="3FDF04E4"/>
    <w:rsid w:val="3FE15D89"/>
    <w:rsid w:val="3FEB1BF0"/>
    <w:rsid w:val="3FF2419E"/>
    <w:rsid w:val="3FF26BB5"/>
    <w:rsid w:val="40135FB2"/>
    <w:rsid w:val="40174E86"/>
    <w:rsid w:val="4034301E"/>
    <w:rsid w:val="4041752B"/>
    <w:rsid w:val="40552392"/>
    <w:rsid w:val="406370F2"/>
    <w:rsid w:val="406A46F1"/>
    <w:rsid w:val="406F752F"/>
    <w:rsid w:val="408F2DBD"/>
    <w:rsid w:val="409B77F7"/>
    <w:rsid w:val="40BD2ACD"/>
    <w:rsid w:val="40CD53CC"/>
    <w:rsid w:val="410F3DEB"/>
    <w:rsid w:val="411370B7"/>
    <w:rsid w:val="41273FE2"/>
    <w:rsid w:val="412D48C5"/>
    <w:rsid w:val="412E54F3"/>
    <w:rsid w:val="412F4A43"/>
    <w:rsid w:val="41303EB7"/>
    <w:rsid w:val="413462E1"/>
    <w:rsid w:val="414D27D9"/>
    <w:rsid w:val="4152788F"/>
    <w:rsid w:val="41594DB8"/>
    <w:rsid w:val="41884B1E"/>
    <w:rsid w:val="419B1C9E"/>
    <w:rsid w:val="41CF73EE"/>
    <w:rsid w:val="41DA3F5C"/>
    <w:rsid w:val="41E70108"/>
    <w:rsid w:val="41EB4547"/>
    <w:rsid w:val="42035B30"/>
    <w:rsid w:val="42067020"/>
    <w:rsid w:val="421652EB"/>
    <w:rsid w:val="42187AA2"/>
    <w:rsid w:val="423F1502"/>
    <w:rsid w:val="425B38D2"/>
    <w:rsid w:val="426E50EB"/>
    <w:rsid w:val="429A57AA"/>
    <w:rsid w:val="42AC49F7"/>
    <w:rsid w:val="42C40F95"/>
    <w:rsid w:val="42C94BB5"/>
    <w:rsid w:val="42CF1347"/>
    <w:rsid w:val="42D56BB0"/>
    <w:rsid w:val="42D749AC"/>
    <w:rsid w:val="42DC1D2F"/>
    <w:rsid w:val="42F218FC"/>
    <w:rsid w:val="43324307"/>
    <w:rsid w:val="43357816"/>
    <w:rsid w:val="434A0332"/>
    <w:rsid w:val="4351324E"/>
    <w:rsid w:val="43556D9A"/>
    <w:rsid w:val="435E2A71"/>
    <w:rsid w:val="4363434A"/>
    <w:rsid w:val="436A666B"/>
    <w:rsid w:val="43707B1A"/>
    <w:rsid w:val="437E461B"/>
    <w:rsid w:val="43892E3C"/>
    <w:rsid w:val="43A06CB8"/>
    <w:rsid w:val="43A875FE"/>
    <w:rsid w:val="43AA0AAB"/>
    <w:rsid w:val="43B4386E"/>
    <w:rsid w:val="43D10A52"/>
    <w:rsid w:val="43E66D33"/>
    <w:rsid w:val="43F04769"/>
    <w:rsid w:val="44067905"/>
    <w:rsid w:val="440E2CE7"/>
    <w:rsid w:val="441D41E1"/>
    <w:rsid w:val="44271EB8"/>
    <w:rsid w:val="44276414"/>
    <w:rsid w:val="443943AE"/>
    <w:rsid w:val="443C0821"/>
    <w:rsid w:val="443F2F94"/>
    <w:rsid w:val="44500060"/>
    <w:rsid w:val="445721C7"/>
    <w:rsid w:val="4470286F"/>
    <w:rsid w:val="44746D67"/>
    <w:rsid w:val="447620BD"/>
    <w:rsid w:val="4491650B"/>
    <w:rsid w:val="449C4BB5"/>
    <w:rsid w:val="44A01B48"/>
    <w:rsid w:val="44AB3055"/>
    <w:rsid w:val="44AE2568"/>
    <w:rsid w:val="44C766DA"/>
    <w:rsid w:val="44E747E0"/>
    <w:rsid w:val="44EC4E72"/>
    <w:rsid w:val="44F638C4"/>
    <w:rsid w:val="45043259"/>
    <w:rsid w:val="450A759D"/>
    <w:rsid w:val="452A38DA"/>
    <w:rsid w:val="452C28F2"/>
    <w:rsid w:val="453A5E0F"/>
    <w:rsid w:val="454164EB"/>
    <w:rsid w:val="45486209"/>
    <w:rsid w:val="455F113F"/>
    <w:rsid w:val="456E21BF"/>
    <w:rsid w:val="457F517E"/>
    <w:rsid w:val="45811B8B"/>
    <w:rsid w:val="4584018C"/>
    <w:rsid w:val="458C6959"/>
    <w:rsid w:val="45960C38"/>
    <w:rsid w:val="459D0C20"/>
    <w:rsid w:val="45AC3F3C"/>
    <w:rsid w:val="45B303DF"/>
    <w:rsid w:val="45B33DF3"/>
    <w:rsid w:val="45B66AA7"/>
    <w:rsid w:val="45D44BA8"/>
    <w:rsid w:val="45D536DA"/>
    <w:rsid w:val="45E745BD"/>
    <w:rsid w:val="45EC6A69"/>
    <w:rsid w:val="46001391"/>
    <w:rsid w:val="460A1468"/>
    <w:rsid w:val="460C3E5F"/>
    <w:rsid w:val="46140B19"/>
    <w:rsid w:val="462F3F4B"/>
    <w:rsid w:val="46334401"/>
    <w:rsid w:val="468966C8"/>
    <w:rsid w:val="468E3036"/>
    <w:rsid w:val="469221D1"/>
    <w:rsid w:val="46941E42"/>
    <w:rsid w:val="46946234"/>
    <w:rsid w:val="469559DB"/>
    <w:rsid w:val="469F7EC4"/>
    <w:rsid w:val="46B27839"/>
    <w:rsid w:val="46C43D67"/>
    <w:rsid w:val="46D60070"/>
    <w:rsid w:val="46E147D5"/>
    <w:rsid w:val="46E7161E"/>
    <w:rsid w:val="46FF4F29"/>
    <w:rsid w:val="46FF6323"/>
    <w:rsid w:val="470D5EEE"/>
    <w:rsid w:val="47170590"/>
    <w:rsid w:val="47234809"/>
    <w:rsid w:val="47317C79"/>
    <w:rsid w:val="473612F2"/>
    <w:rsid w:val="47386059"/>
    <w:rsid w:val="47386635"/>
    <w:rsid w:val="474B2F8B"/>
    <w:rsid w:val="47584DB3"/>
    <w:rsid w:val="47675E80"/>
    <w:rsid w:val="4772602C"/>
    <w:rsid w:val="47806BB6"/>
    <w:rsid w:val="4796680E"/>
    <w:rsid w:val="47A82237"/>
    <w:rsid w:val="47A842C3"/>
    <w:rsid w:val="47AC5D7E"/>
    <w:rsid w:val="47C41E50"/>
    <w:rsid w:val="47D80EB1"/>
    <w:rsid w:val="47DB7DFA"/>
    <w:rsid w:val="47E735E9"/>
    <w:rsid w:val="47FC60BF"/>
    <w:rsid w:val="481D0645"/>
    <w:rsid w:val="4826706B"/>
    <w:rsid w:val="48344F26"/>
    <w:rsid w:val="483A0930"/>
    <w:rsid w:val="484B1A3A"/>
    <w:rsid w:val="485129AB"/>
    <w:rsid w:val="48540C51"/>
    <w:rsid w:val="48553256"/>
    <w:rsid w:val="485D0FDA"/>
    <w:rsid w:val="486130FE"/>
    <w:rsid w:val="4863170A"/>
    <w:rsid w:val="48813C4B"/>
    <w:rsid w:val="48847671"/>
    <w:rsid w:val="48AD1C90"/>
    <w:rsid w:val="48D6001B"/>
    <w:rsid w:val="48E1519A"/>
    <w:rsid w:val="48E3068C"/>
    <w:rsid w:val="48FD5679"/>
    <w:rsid w:val="491467FC"/>
    <w:rsid w:val="49210783"/>
    <w:rsid w:val="49233B1C"/>
    <w:rsid w:val="49332A7A"/>
    <w:rsid w:val="496028F2"/>
    <w:rsid w:val="497271C5"/>
    <w:rsid w:val="498645B8"/>
    <w:rsid w:val="499146EC"/>
    <w:rsid w:val="49922BF2"/>
    <w:rsid w:val="49A02E0F"/>
    <w:rsid w:val="49A1768E"/>
    <w:rsid w:val="49A90122"/>
    <w:rsid w:val="49C53227"/>
    <w:rsid w:val="49CE0834"/>
    <w:rsid w:val="49D50502"/>
    <w:rsid w:val="49D76E11"/>
    <w:rsid w:val="49F02562"/>
    <w:rsid w:val="4A09040C"/>
    <w:rsid w:val="4A1A0B16"/>
    <w:rsid w:val="4A216FD1"/>
    <w:rsid w:val="4A377E0B"/>
    <w:rsid w:val="4A4F4B7B"/>
    <w:rsid w:val="4A4F6CF7"/>
    <w:rsid w:val="4A503FFC"/>
    <w:rsid w:val="4A523579"/>
    <w:rsid w:val="4A5F5002"/>
    <w:rsid w:val="4A7E1120"/>
    <w:rsid w:val="4A943CA3"/>
    <w:rsid w:val="4AA21D5B"/>
    <w:rsid w:val="4AAC0A25"/>
    <w:rsid w:val="4AB17452"/>
    <w:rsid w:val="4AE85E21"/>
    <w:rsid w:val="4AEB40F3"/>
    <w:rsid w:val="4AF76DEF"/>
    <w:rsid w:val="4B001C38"/>
    <w:rsid w:val="4B1012E5"/>
    <w:rsid w:val="4B17659D"/>
    <w:rsid w:val="4B460D27"/>
    <w:rsid w:val="4B536E6B"/>
    <w:rsid w:val="4B5C26F6"/>
    <w:rsid w:val="4B93488B"/>
    <w:rsid w:val="4BA0258E"/>
    <w:rsid w:val="4BA068AC"/>
    <w:rsid w:val="4BB2316B"/>
    <w:rsid w:val="4BB65BCF"/>
    <w:rsid w:val="4BC320E8"/>
    <w:rsid w:val="4BD036D8"/>
    <w:rsid w:val="4BD43621"/>
    <w:rsid w:val="4BE26C5B"/>
    <w:rsid w:val="4BF45E87"/>
    <w:rsid w:val="4BF77C9F"/>
    <w:rsid w:val="4BFC7F1F"/>
    <w:rsid w:val="4C012D91"/>
    <w:rsid w:val="4C085D9D"/>
    <w:rsid w:val="4C0B0443"/>
    <w:rsid w:val="4C150A11"/>
    <w:rsid w:val="4C1C0832"/>
    <w:rsid w:val="4C226976"/>
    <w:rsid w:val="4C316C36"/>
    <w:rsid w:val="4C38343E"/>
    <w:rsid w:val="4C435E74"/>
    <w:rsid w:val="4C5032AD"/>
    <w:rsid w:val="4C565A0A"/>
    <w:rsid w:val="4C596AD0"/>
    <w:rsid w:val="4C66297A"/>
    <w:rsid w:val="4C826841"/>
    <w:rsid w:val="4C844810"/>
    <w:rsid w:val="4C8D79A0"/>
    <w:rsid w:val="4CA5376E"/>
    <w:rsid w:val="4CA73DC1"/>
    <w:rsid w:val="4CA842D0"/>
    <w:rsid w:val="4CB8649E"/>
    <w:rsid w:val="4CC4789C"/>
    <w:rsid w:val="4CD94142"/>
    <w:rsid w:val="4CEE7CBD"/>
    <w:rsid w:val="4D00573D"/>
    <w:rsid w:val="4D0938CE"/>
    <w:rsid w:val="4D1629D7"/>
    <w:rsid w:val="4D185CF0"/>
    <w:rsid w:val="4D23402C"/>
    <w:rsid w:val="4D332615"/>
    <w:rsid w:val="4D424D60"/>
    <w:rsid w:val="4D7351B8"/>
    <w:rsid w:val="4D853CCC"/>
    <w:rsid w:val="4DA36881"/>
    <w:rsid w:val="4DA83D11"/>
    <w:rsid w:val="4DAD3023"/>
    <w:rsid w:val="4DAF1A1F"/>
    <w:rsid w:val="4DEF31E1"/>
    <w:rsid w:val="4DFE6021"/>
    <w:rsid w:val="4E1260AC"/>
    <w:rsid w:val="4E161C46"/>
    <w:rsid w:val="4E194B83"/>
    <w:rsid w:val="4E1B1CC2"/>
    <w:rsid w:val="4E291D0A"/>
    <w:rsid w:val="4E3340E7"/>
    <w:rsid w:val="4E4559D2"/>
    <w:rsid w:val="4E6C2299"/>
    <w:rsid w:val="4E727A8C"/>
    <w:rsid w:val="4E8D1622"/>
    <w:rsid w:val="4EAC411F"/>
    <w:rsid w:val="4EC100A0"/>
    <w:rsid w:val="4EC541E9"/>
    <w:rsid w:val="4ED77886"/>
    <w:rsid w:val="4EFD35A7"/>
    <w:rsid w:val="4F0170B5"/>
    <w:rsid w:val="4F076E5A"/>
    <w:rsid w:val="4F0F27B4"/>
    <w:rsid w:val="4F1C68CE"/>
    <w:rsid w:val="4F2A77DD"/>
    <w:rsid w:val="4F2D1CE9"/>
    <w:rsid w:val="4F390741"/>
    <w:rsid w:val="4F535C65"/>
    <w:rsid w:val="4F5E2DE9"/>
    <w:rsid w:val="4F7B613D"/>
    <w:rsid w:val="4FB05447"/>
    <w:rsid w:val="4FCA6F53"/>
    <w:rsid w:val="4FCF5651"/>
    <w:rsid w:val="4FCF6FD8"/>
    <w:rsid w:val="4FD632E7"/>
    <w:rsid w:val="4FE01C53"/>
    <w:rsid w:val="4FF87E24"/>
    <w:rsid w:val="4FFA09BB"/>
    <w:rsid w:val="4FFA4039"/>
    <w:rsid w:val="501B7C8B"/>
    <w:rsid w:val="501F58A2"/>
    <w:rsid w:val="5024559D"/>
    <w:rsid w:val="5033320F"/>
    <w:rsid w:val="50720663"/>
    <w:rsid w:val="50723EEF"/>
    <w:rsid w:val="50757499"/>
    <w:rsid w:val="507730CF"/>
    <w:rsid w:val="507A5B57"/>
    <w:rsid w:val="508F329C"/>
    <w:rsid w:val="509C5355"/>
    <w:rsid w:val="509C56EB"/>
    <w:rsid w:val="50A775DC"/>
    <w:rsid w:val="50B15DFA"/>
    <w:rsid w:val="50B212A6"/>
    <w:rsid w:val="50C877A3"/>
    <w:rsid w:val="50E41E23"/>
    <w:rsid w:val="50F637D0"/>
    <w:rsid w:val="50FB7FFF"/>
    <w:rsid w:val="50FF0730"/>
    <w:rsid w:val="510F2A08"/>
    <w:rsid w:val="51102649"/>
    <w:rsid w:val="51152321"/>
    <w:rsid w:val="51274651"/>
    <w:rsid w:val="513079D4"/>
    <w:rsid w:val="51466253"/>
    <w:rsid w:val="51540328"/>
    <w:rsid w:val="515A1873"/>
    <w:rsid w:val="516131F7"/>
    <w:rsid w:val="516B54E5"/>
    <w:rsid w:val="5179382C"/>
    <w:rsid w:val="517B6B15"/>
    <w:rsid w:val="51A915F0"/>
    <w:rsid w:val="51AD3067"/>
    <w:rsid w:val="51C22F25"/>
    <w:rsid w:val="51E9393F"/>
    <w:rsid w:val="51F62504"/>
    <w:rsid w:val="51FA7515"/>
    <w:rsid w:val="52032B86"/>
    <w:rsid w:val="52175127"/>
    <w:rsid w:val="52176DF9"/>
    <w:rsid w:val="52276D69"/>
    <w:rsid w:val="524160F2"/>
    <w:rsid w:val="524D59E3"/>
    <w:rsid w:val="52576BB5"/>
    <w:rsid w:val="52825CD2"/>
    <w:rsid w:val="52894D63"/>
    <w:rsid w:val="528C6B95"/>
    <w:rsid w:val="52A026D1"/>
    <w:rsid w:val="52AC2850"/>
    <w:rsid w:val="52B60A7E"/>
    <w:rsid w:val="52D23FF8"/>
    <w:rsid w:val="52EB4B12"/>
    <w:rsid w:val="52F83115"/>
    <w:rsid w:val="52FB3CB3"/>
    <w:rsid w:val="52FF3CE3"/>
    <w:rsid w:val="5310168D"/>
    <w:rsid w:val="5334312B"/>
    <w:rsid w:val="534B3B64"/>
    <w:rsid w:val="535229C8"/>
    <w:rsid w:val="53560CD7"/>
    <w:rsid w:val="53624ED3"/>
    <w:rsid w:val="536D0EC6"/>
    <w:rsid w:val="538633E2"/>
    <w:rsid w:val="538A7D6F"/>
    <w:rsid w:val="538B2E1B"/>
    <w:rsid w:val="53911851"/>
    <w:rsid w:val="539207E2"/>
    <w:rsid w:val="53AA5EF0"/>
    <w:rsid w:val="53AF3650"/>
    <w:rsid w:val="53C26FB9"/>
    <w:rsid w:val="53F5691F"/>
    <w:rsid w:val="540131B4"/>
    <w:rsid w:val="54076F3B"/>
    <w:rsid w:val="540955B9"/>
    <w:rsid w:val="540A403B"/>
    <w:rsid w:val="542413B8"/>
    <w:rsid w:val="542B6261"/>
    <w:rsid w:val="54436D78"/>
    <w:rsid w:val="545C6276"/>
    <w:rsid w:val="546D155F"/>
    <w:rsid w:val="54780702"/>
    <w:rsid w:val="548C6217"/>
    <w:rsid w:val="548F36E9"/>
    <w:rsid w:val="5495554B"/>
    <w:rsid w:val="54A808F4"/>
    <w:rsid w:val="54AF5485"/>
    <w:rsid w:val="54B209A9"/>
    <w:rsid w:val="54BA2E88"/>
    <w:rsid w:val="54C10053"/>
    <w:rsid w:val="54C33E9C"/>
    <w:rsid w:val="54D35E3C"/>
    <w:rsid w:val="54DB39E3"/>
    <w:rsid w:val="54F2271F"/>
    <w:rsid w:val="54F7474B"/>
    <w:rsid w:val="550609FF"/>
    <w:rsid w:val="550D4E9A"/>
    <w:rsid w:val="55363303"/>
    <w:rsid w:val="55507827"/>
    <w:rsid w:val="555466C7"/>
    <w:rsid w:val="556D0B9B"/>
    <w:rsid w:val="556E2EA2"/>
    <w:rsid w:val="556F6B09"/>
    <w:rsid w:val="55744B4C"/>
    <w:rsid w:val="558861C6"/>
    <w:rsid w:val="55900987"/>
    <w:rsid w:val="559A0CA6"/>
    <w:rsid w:val="55A41F7B"/>
    <w:rsid w:val="55B30C6C"/>
    <w:rsid w:val="55BD605A"/>
    <w:rsid w:val="55BF1296"/>
    <w:rsid w:val="55C004DB"/>
    <w:rsid w:val="55C45026"/>
    <w:rsid w:val="55C90095"/>
    <w:rsid w:val="55CA4F84"/>
    <w:rsid w:val="55D11B86"/>
    <w:rsid w:val="55E34DF9"/>
    <w:rsid w:val="55E830E8"/>
    <w:rsid w:val="55EB344B"/>
    <w:rsid w:val="55F73A74"/>
    <w:rsid w:val="55FF0267"/>
    <w:rsid w:val="560E021D"/>
    <w:rsid w:val="561044A4"/>
    <w:rsid w:val="56222D71"/>
    <w:rsid w:val="56290707"/>
    <w:rsid w:val="56353C8B"/>
    <w:rsid w:val="56373595"/>
    <w:rsid w:val="56401768"/>
    <w:rsid w:val="56617572"/>
    <w:rsid w:val="56786DEA"/>
    <w:rsid w:val="567C1327"/>
    <w:rsid w:val="567D6C14"/>
    <w:rsid w:val="56802F05"/>
    <w:rsid w:val="56802F8F"/>
    <w:rsid w:val="568B6676"/>
    <w:rsid w:val="56937B21"/>
    <w:rsid w:val="56990FE0"/>
    <w:rsid w:val="56A01389"/>
    <w:rsid w:val="56BA2FF1"/>
    <w:rsid w:val="56DC5010"/>
    <w:rsid w:val="56FC2967"/>
    <w:rsid w:val="56FD68E0"/>
    <w:rsid w:val="56FE6AC3"/>
    <w:rsid w:val="57114E1B"/>
    <w:rsid w:val="57120451"/>
    <w:rsid w:val="5718137B"/>
    <w:rsid w:val="571A4679"/>
    <w:rsid w:val="57287A09"/>
    <w:rsid w:val="57363C52"/>
    <w:rsid w:val="5744465E"/>
    <w:rsid w:val="57561806"/>
    <w:rsid w:val="57697EE1"/>
    <w:rsid w:val="576B6B45"/>
    <w:rsid w:val="5778149D"/>
    <w:rsid w:val="578F19D2"/>
    <w:rsid w:val="579F1102"/>
    <w:rsid w:val="57CB304A"/>
    <w:rsid w:val="57E11FA7"/>
    <w:rsid w:val="57E42FAA"/>
    <w:rsid w:val="57F16BA4"/>
    <w:rsid w:val="57F4390D"/>
    <w:rsid w:val="57F455FF"/>
    <w:rsid w:val="5801240D"/>
    <w:rsid w:val="58087F34"/>
    <w:rsid w:val="5820370A"/>
    <w:rsid w:val="582541F1"/>
    <w:rsid w:val="582F1E3C"/>
    <w:rsid w:val="583571E0"/>
    <w:rsid w:val="583627A6"/>
    <w:rsid w:val="58390F0E"/>
    <w:rsid w:val="58400123"/>
    <w:rsid w:val="585C0895"/>
    <w:rsid w:val="585D0745"/>
    <w:rsid w:val="58644DBD"/>
    <w:rsid w:val="58716193"/>
    <w:rsid w:val="58723D65"/>
    <w:rsid w:val="58B60814"/>
    <w:rsid w:val="58C66447"/>
    <w:rsid w:val="58D04DBB"/>
    <w:rsid w:val="58DB3D1E"/>
    <w:rsid w:val="58E65065"/>
    <w:rsid w:val="58E75AA7"/>
    <w:rsid w:val="59093D20"/>
    <w:rsid w:val="59155E17"/>
    <w:rsid w:val="59157471"/>
    <w:rsid w:val="59322AC8"/>
    <w:rsid w:val="59512E2D"/>
    <w:rsid w:val="59612C38"/>
    <w:rsid w:val="59764914"/>
    <w:rsid w:val="597C3CFB"/>
    <w:rsid w:val="59845273"/>
    <w:rsid w:val="598900F2"/>
    <w:rsid w:val="59940683"/>
    <w:rsid w:val="599A0C21"/>
    <w:rsid w:val="599B0260"/>
    <w:rsid w:val="599E0097"/>
    <w:rsid w:val="59A4471C"/>
    <w:rsid w:val="59AD0CC7"/>
    <w:rsid w:val="59BE48EC"/>
    <w:rsid w:val="59CD712F"/>
    <w:rsid w:val="59D96759"/>
    <w:rsid w:val="59E016E9"/>
    <w:rsid w:val="59E23CCE"/>
    <w:rsid w:val="59E83C4C"/>
    <w:rsid w:val="59EC78DE"/>
    <w:rsid w:val="59EF2932"/>
    <w:rsid w:val="59F44D84"/>
    <w:rsid w:val="5A035F33"/>
    <w:rsid w:val="5A180D76"/>
    <w:rsid w:val="5A2B36D0"/>
    <w:rsid w:val="5A2E09AD"/>
    <w:rsid w:val="5A35195E"/>
    <w:rsid w:val="5A3F032C"/>
    <w:rsid w:val="5A3F29EA"/>
    <w:rsid w:val="5A51193F"/>
    <w:rsid w:val="5A514253"/>
    <w:rsid w:val="5A5B1CE8"/>
    <w:rsid w:val="5A5B6ECF"/>
    <w:rsid w:val="5A5C3216"/>
    <w:rsid w:val="5A635DC8"/>
    <w:rsid w:val="5A6E1778"/>
    <w:rsid w:val="5A7F18BE"/>
    <w:rsid w:val="5A815912"/>
    <w:rsid w:val="5A82030A"/>
    <w:rsid w:val="5AAB5E7A"/>
    <w:rsid w:val="5ABF4DFE"/>
    <w:rsid w:val="5ADF31F6"/>
    <w:rsid w:val="5AEF3B8B"/>
    <w:rsid w:val="5AF43A2B"/>
    <w:rsid w:val="5AFA0840"/>
    <w:rsid w:val="5AFD2BEC"/>
    <w:rsid w:val="5B05538E"/>
    <w:rsid w:val="5B100F53"/>
    <w:rsid w:val="5B1C6E44"/>
    <w:rsid w:val="5B2939FC"/>
    <w:rsid w:val="5B325496"/>
    <w:rsid w:val="5B395243"/>
    <w:rsid w:val="5B436212"/>
    <w:rsid w:val="5B446A62"/>
    <w:rsid w:val="5B495952"/>
    <w:rsid w:val="5B4F3B90"/>
    <w:rsid w:val="5B5E49C3"/>
    <w:rsid w:val="5B60722C"/>
    <w:rsid w:val="5B6A6D26"/>
    <w:rsid w:val="5B6F048D"/>
    <w:rsid w:val="5B742164"/>
    <w:rsid w:val="5B7F0D2D"/>
    <w:rsid w:val="5B89733D"/>
    <w:rsid w:val="5B8A0FC1"/>
    <w:rsid w:val="5B906452"/>
    <w:rsid w:val="5B956678"/>
    <w:rsid w:val="5B990BC9"/>
    <w:rsid w:val="5BBF1D5A"/>
    <w:rsid w:val="5BC02804"/>
    <w:rsid w:val="5BC55CE4"/>
    <w:rsid w:val="5BCC1FAB"/>
    <w:rsid w:val="5BD024A7"/>
    <w:rsid w:val="5BD81899"/>
    <w:rsid w:val="5BE45401"/>
    <w:rsid w:val="5BEB756E"/>
    <w:rsid w:val="5BF40FAF"/>
    <w:rsid w:val="5BF43E93"/>
    <w:rsid w:val="5BF523E4"/>
    <w:rsid w:val="5BF97A8A"/>
    <w:rsid w:val="5C0E21A1"/>
    <w:rsid w:val="5C176756"/>
    <w:rsid w:val="5C3B49CA"/>
    <w:rsid w:val="5C3F425E"/>
    <w:rsid w:val="5C8859E5"/>
    <w:rsid w:val="5CBC1B8D"/>
    <w:rsid w:val="5CF238A5"/>
    <w:rsid w:val="5CF44CFF"/>
    <w:rsid w:val="5D013CB0"/>
    <w:rsid w:val="5D0D0199"/>
    <w:rsid w:val="5D1217E6"/>
    <w:rsid w:val="5D12467D"/>
    <w:rsid w:val="5D156C17"/>
    <w:rsid w:val="5D19087A"/>
    <w:rsid w:val="5D2470E9"/>
    <w:rsid w:val="5D357FC6"/>
    <w:rsid w:val="5D3C5929"/>
    <w:rsid w:val="5D554F4A"/>
    <w:rsid w:val="5D652BB1"/>
    <w:rsid w:val="5D7446BE"/>
    <w:rsid w:val="5D7520AE"/>
    <w:rsid w:val="5D894CFA"/>
    <w:rsid w:val="5D9273F9"/>
    <w:rsid w:val="5D9A411F"/>
    <w:rsid w:val="5DAA2C02"/>
    <w:rsid w:val="5DC6379F"/>
    <w:rsid w:val="5DE81BC8"/>
    <w:rsid w:val="5DFD1F7A"/>
    <w:rsid w:val="5E1760D3"/>
    <w:rsid w:val="5E366061"/>
    <w:rsid w:val="5E5A2D03"/>
    <w:rsid w:val="5E5F334D"/>
    <w:rsid w:val="5E691B20"/>
    <w:rsid w:val="5E6C4341"/>
    <w:rsid w:val="5E762D5F"/>
    <w:rsid w:val="5E791FD3"/>
    <w:rsid w:val="5E7F39F9"/>
    <w:rsid w:val="5E802B1C"/>
    <w:rsid w:val="5E8D6CAE"/>
    <w:rsid w:val="5E8F309C"/>
    <w:rsid w:val="5E9A16EB"/>
    <w:rsid w:val="5EB14C2C"/>
    <w:rsid w:val="5EB5427A"/>
    <w:rsid w:val="5EC07ED9"/>
    <w:rsid w:val="5EC64FBB"/>
    <w:rsid w:val="5ECE2404"/>
    <w:rsid w:val="5EE00A01"/>
    <w:rsid w:val="5EEA047C"/>
    <w:rsid w:val="5F1E5DA4"/>
    <w:rsid w:val="5F3B14BE"/>
    <w:rsid w:val="5F73333E"/>
    <w:rsid w:val="5F762716"/>
    <w:rsid w:val="5F813567"/>
    <w:rsid w:val="5F880892"/>
    <w:rsid w:val="5F9C28B8"/>
    <w:rsid w:val="5FA353FC"/>
    <w:rsid w:val="5FA726B3"/>
    <w:rsid w:val="5FAB3B83"/>
    <w:rsid w:val="5FB15182"/>
    <w:rsid w:val="5FBB437D"/>
    <w:rsid w:val="5FE74671"/>
    <w:rsid w:val="5FEA44E3"/>
    <w:rsid w:val="5FEF1B4F"/>
    <w:rsid w:val="5FF82095"/>
    <w:rsid w:val="601067FB"/>
    <w:rsid w:val="602C1EBF"/>
    <w:rsid w:val="602F645D"/>
    <w:rsid w:val="6031207D"/>
    <w:rsid w:val="60332960"/>
    <w:rsid w:val="603B0068"/>
    <w:rsid w:val="603C7C71"/>
    <w:rsid w:val="604246A1"/>
    <w:rsid w:val="6043231B"/>
    <w:rsid w:val="6046279E"/>
    <w:rsid w:val="60467201"/>
    <w:rsid w:val="60474EF1"/>
    <w:rsid w:val="60495361"/>
    <w:rsid w:val="604F0623"/>
    <w:rsid w:val="605C4B73"/>
    <w:rsid w:val="606B3C41"/>
    <w:rsid w:val="60774CDC"/>
    <w:rsid w:val="6080377A"/>
    <w:rsid w:val="608B378D"/>
    <w:rsid w:val="609A04E4"/>
    <w:rsid w:val="60A54A0A"/>
    <w:rsid w:val="60B66ECA"/>
    <w:rsid w:val="60C33AFD"/>
    <w:rsid w:val="60CC1ED2"/>
    <w:rsid w:val="60ED17D8"/>
    <w:rsid w:val="60EF71DA"/>
    <w:rsid w:val="60FE574C"/>
    <w:rsid w:val="610D25D9"/>
    <w:rsid w:val="612C552B"/>
    <w:rsid w:val="612F0C60"/>
    <w:rsid w:val="613970EB"/>
    <w:rsid w:val="61404B87"/>
    <w:rsid w:val="61404BB1"/>
    <w:rsid w:val="617C2C23"/>
    <w:rsid w:val="61882772"/>
    <w:rsid w:val="618A29B6"/>
    <w:rsid w:val="61A135DE"/>
    <w:rsid w:val="61C632E1"/>
    <w:rsid w:val="61C766A5"/>
    <w:rsid w:val="61CC6406"/>
    <w:rsid w:val="61E35841"/>
    <w:rsid w:val="61E4597F"/>
    <w:rsid w:val="61E50A98"/>
    <w:rsid w:val="61E5290C"/>
    <w:rsid w:val="61E52B22"/>
    <w:rsid w:val="61E83367"/>
    <w:rsid w:val="61F10159"/>
    <w:rsid w:val="61F71603"/>
    <w:rsid w:val="61F7618C"/>
    <w:rsid w:val="62070FF0"/>
    <w:rsid w:val="620C6FE2"/>
    <w:rsid w:val="620D14E0"/>
    <w:rsid w:val="621903AA"/>
    <w:rsid w:val="621B5D6E"/>
    <w:rsid w:val="62211477"/>
    <w:rsid w:val="622613F6"/>
    <w:rsid w:val="622A36F6"/>
    <w:rsid w:val="622F72E9"/>
    <w:rsid w:val="62351230"/>
    <w:rsid w:val="625A5C80"/>
    <w:rsid w:val="62665FA0"/>
    <w:rsid w:val="62683332"/>
    <w:rsid w:val="626C0D32"/>
    <w:rsid w:val="627F09D5"/>
    <w:rsid w:val="62843E3F"/>
    <w:rsid w:val="628A1E48"/>
    <w:rsid w:val="628D6DC7"/>
    <w:rsid w:val="6291082A"/>
    <w:rsid w:val="62A14390"/>
    <w:rsid w:val="62B852E2"/>
    <w:rsid w:val="62B96EC9"/>
    <w:rsid w:val="62C4543C"/>
    <w:rsid w:val="62C716EC"/>
    <w:rsid w:val="62D4747B"/>
    <w:rsid w:val="62D92BA1"/>
    <w:rsid w:val="62DD1F88"/>
    <w:rsid w:val="62DF6564"/>
    <w:rsid w:val="62F44AB3"/>
    <w:rsid w:val="62FB45FC"/>
    <w:rsid w:val="630514E6"/>
    <w:rsid w:val="630D132B"/>
    <w:rsid w:val="6315421A"/>
    <w:rsid w:val="631A699C"/>
    <w:rsid w:val="631C670E"/>
    <w:rsid w:val="633040F6"/>
    <w:rsid w:val="63380F4B"/>
    <w:rsid w:val="633E6C30"/>
    <w:rsid w:val="63412FE5"/>
    <w:rsid w:val="6343256F"/>
    <w:rsid w:val="63473EBF"/>
    <w:rsid w:val="634A2CF1"/>
    <w:rsid w:val="634E2C8F"/>
    <w:rsid w:val="63656B83"/>
    <w:rsid w:val="638F4593"/>
    <w:rsid w:val="63D514ED"/>
    <w:rsid w:val="63EB4D1E"/>
    <w:rsid w:val="641501F7"/>
    <w:rsid w:val="64171E55"/>
    <w:rsid w:val="642B2D76"/>
    <w:rsid w:val="642D3A80"/>
    <w:rsid w:val="64375A8A"/>
    <w:rsid w:val="64465608"/>
    <w:rsid w:val="645A6786"/>
    <w:rsid w:val="64660429"/>
    <w:rsid w:val="6475153D"/>
    <w:rsid w:val="647864BE"/>
    <w:rsid w:val="649724BF"/>
    <w:rsid w:val="64AC5249"/>
    <w:rsid w:val="64AE35E2"/>
    <w:rsid w:val="64C329DF"/>
    <w:rsid w:val="64D90683"/>
    <w:rsid w:val="64E95437"/>
    <w:rsid w:val="64EB6C33"/>
    <w:rsid w:val="64ED6DEB"/>
    <w:rsid w:val="64F7601B"/>
    <w:rsid w:val="64FE4D04"/>
    <w:rsid w:val="6505755D"/>
    <w:rsid w:val="650811EB"/>
    <w:rsid w:val="650D7490"/>
    <w:rsid w:val="650E6F7F"/>
    <w:rsid w:val="651336EC"/>
    <w:rsid w:val="652C7203"/>
    <w:rsid w:val="652E0317"/>
    <w:rsid w:val="65385CDF"/>
    <w:rsid w:val="653E7A92"/>
    <w:rsid w:val="6551079C"/>
    <w:rsid w:val="6552631D"/>
    <w:rsid w:val="655306A8"/>
    <w:rsid w:val="65544BDF"/>
    <w:rsid w:val="6567306B"/>
    <w:rsid w:val="65681691"/>
    <w:rsid w:val="656E79B0"/>
    <w:rsid w:val="657A23A1"/>
    <w:rsid w:val="658D425B"/>
    <w:rsid w:val="659E7863"/>
    <w:rsid w:val="65AA01B0"/>
    <w:rsid w:val="65AC66E3"/>
    <w:rsid w:val="65C640CC"/>
    <w:rsid w:val="65D72C8E"/>
    <w:rsid w:val="66134544"/>
    <w:rsid w:val="66156E52"/>
    <w:rsid w:val="6619117C"/>
    <w:rsid w:val="661F673C"/>
    <w:rsid w:val="663D15FE"/>
    <w:rsid w:val="663F66E8"/>
    <w:rsid w:val="664074D6"/>
    <w:rsid w:val="665B4A5F"/>
    <w:rsid w:val="66623D90"/>
    <w:rsid w:val="66763229"/>
    <w:rsid w:val="667E1DBF"/>
    <w:rsid w:val="66911D05"/>
    <w:rsid w:val="66916902"/>
    <w:rsid w:val="66982117"/>
    <w:rsid w:val="66A0022E"/>
    <w:rsid w:val="66C10B73"/>
    <w:rsid w:val="66C71AE4"/>
    <w:rsid w:val="66CE3109"/>
    <w:rsid w:val="66D32B23"/>
    <w:rsid w:val="66E24C8D"/>
    <w:rsid w:val="66EC6D9C"/>
    <w:rsid w:val="66FC36BD"/>
    <w:rsid w:val="66FD5911"/>
    <w:rsid w:val="67002889"/>
    <w:rsid w:val="67003942"/>
    <w:rsid w:val="67046310"/>
    <w:rsid w:val="67383F87"/>
    <w:rsid w:val="673D14F8"/>
    <w:rsid w:val="674044B0"/>
    <w:rsid w:val="67485012"/>
    <w:rsid w:val="674B5238"/>
    <w:rsid w:val="676416E8"/>
    <w:rsid w:val="67675928"/>
    <w:rsid w:val="676A67D8"/>
    <w:rsid w:val="677515A1"/>
    <w:rsid w:val="6776469B"/>
    <w:rsid w:val="67844AAC"/>
    <w:rsid w:val="67956BF5"/>
    <w:rsid w:val="67A23FF6"/>
    <w:rsid w:val="67BD34F9"/>
    <w:rsid w:val="67CA603A"/>
    <w:rsid w:val="67D10DFC"/>
    <w:rsid w:val="67DC14ED"/>
    <w:rsid w:val="67E56176"/>
    <w:rsid w:val="67E72EAB"/>
    <w:rsid w:val="67EE5F39"/>
    <w:rsid w:val="67F33F59"/>
    <w:rsid w:val="67F97CAE"/>
    <w:rsid w:val="680F1873"/>
    <w:rsid w:val="68111B0F"/>
    <w:rsid w:val="68115C45"/>
    <w:rsid w:val="683A660B"/>
    <w:rsid w:val="6844164D"/>
    <w:rsid w:val="68445940"/>
    <w:rsid w:val="68481724"/>
    <w:rsid w:val="684D3DAF"/>
    <w:rsid w:val="684F6565"/>
    <w:rsid w:val="68506BBC"/>
    <w:rsid w:val="686B71F2"/>
    <w:rsid w:val="68713B28"/>
    <w:rsid w:val="6873156D"/>
    <w:rsid w:val="68777FBA"/>
    <w:rsid w:val="68791FED"/>
    <w:rsid w:val="68830E6B"/>
    <w:rsid w:val="68961B5E"/>
    <w:rsid w:val="68962E90"/>
    <w:rsid w:val="68970097"/>
    <w:rsid w:val="68A85850"/>
    <w:rsid w:val="68B158F3"/>
    <w:rsid w:val="68B40AA2"/>
    <w:rsid w:val="68B97018"/>
    <w:rsid w:val="68CE0E9D"/>
    <w:rsid w:val="68CF6068"/>
    <w:rsid w:val="68D14E37"/>
    <w:rsid w:val="69033EE2"/>
    <w:rsid w:val="691468AD"/>
    <w:rsid w:val="692742E3"/>
    <w:rsid w:val="692A55BA"/>
    <w:rsid w:val="692A7B6B"/>
    <w:rsid w:val="69466ADA"/>
    <w:rsid w:val="694F7E31"/>
    <w:rsid w:val="695709BC"/>
    <w:rsid w:val="69771EA1"/>
    <w:rsid w:val="6977705E"/>
    <w:rsid w:val="697B2163"/>
    <w:rsid w:val="69B04D25"/>
    <w:rsid w:val="69B61E8B"/>
    <w:rsid w:val="69D02825"/>
    <w:rsid w:val="69D22839"/>
    <w:rsid w:val="69D471A4"/>
    <w:rsid w:val="69F05A5E"/>
    <w:rsid w:val="69F327C9"/>
    <w:rsid w:val="6A02263F"/>
    <w:rsid w:val="6A130D9F"/>
    <w:rsid w:val="6A3015CC"/>
    <w:rsid w:val="6A322B62"/>
    <w:rsid w:val="6A41741D"/>
    <w:rsid w:val="6A482D18"/>
    <w:rsid w:val="6A542BEC"/>
    <w:rsid w:val="6A5E6D62"/>
    <w:rsid w:val="6A675BC1"/>
    <w:rsid w:val="6A696BA3"/>
    <w:rsid w:val="6A734568"/>
    <w:rsid w:val="6A7F0011"/>
    <w:rsid w:val="6A8B3041"/>
    <w:rsid w:val="6A966A3A"/>
    <w:rsid w:val="6AA0293B"/>
    <w:rsid w:val="6AE516DD"/>
    <w:rsid w:val="6AE67B12"/>
    <w:rsid w:val="6AE8196C"/>
    <w:rsid w:val="6AEE465D"/>
    <w:rsid w:val="6AFF538D"/>
    <w:rsid w:val="6B193075"/>
    <w:rsid w:val="6B2519AD"/>
    <w:rsid w:val="6B427D72"/>
    <w:rsid w:val="6B7B2524"/>
    <w:rsid w:val="6B7D7900"/>
    <w:rsid w:val="6B915FD8"/>
    <w:rsid w:val="6BB84CF1"/>
    <w:rsid w:val="6BB97D61"/>
    <w:rsid w:val="6BC33FB9"/>
    <w:rsid w:val="6BCB4737"/>
    <w:rsid w:val="6BDC311E"/>
    <w:rsid w:val="6BE11C51"/>
    <w:rsid w:val="6BEA0D3C"/>
    <w:rsid w:val="6BF81B75"/>
    <w:rsid w:val="6BF85D14"/>
    <w:rsid w:val="6C015ED7"/>
    <w:rsid w:val="6C0F7FD7"/>
    <w:rsid w:val="6C2476C6"/>
    <w:rsid w:val="6C2D7208"/>
    <w:rsid w:val="6C3A3B68"/>
    <w:rsid w:val="6C4B56DE"/>
    <w:rsid w:val="6C501E0C"/>
    <w:rsid w:val="6C5E1171"/>
    <w:rsid w:val="6C895AD4"/>
    <w:rsid w:val="6C8B3E96"/>
    <w:rsid w:val="6C8C57E1"/>
    <w:rsid w:val="6C967F53"/>
    <w:rsid w:val="6C9E126D"/>
    <w:rsid w:val="6CA27E38"/>
    <w:rsid w:val="6CA400AD"/>
    <w:rsid w:val="6CAB55FC"/>
    <w:rsid w:val="6CB40BF1"/>
    <w:rsid w:val="6CB62BA7"/>
    <w:rsid w:val="6CB866BD"/>
    <w:rsid w:val="6CC95692"/>
    <w:rsid w:val="6CD1755F"/>
    <w:rsid w:val="6CD309ED"/>
    <w:rsid w:val="6CD67732"/>
    <w:rsid w:val="6CEE5F30"/>
    <w:rsid w:val="6D001D88"/>
    <w:rsid w:val="6D0E6B23"/>
    <w:rsid w:val="6D30506C"/>
    <w:rsid w:val="6D3B4DF8"/>
    <w:rsid w:val="6D525775"/>
    <w:rsid w:val="6D766033"/>
    <w:rsid w:val="6D786F18"/>
    <w:rsid w:val="6D7A795F"/>
    <w:rsid w:val="6D987928"/>
    <w:rsid w:val="6DA2088E"/>
    <w:rsid w:val="6DBC0AC0"/>
    <w:rsid w:val="6DDB0A42"/>
    <w:rsid w:val="6DDF7D57"/>
    <w:rsid w:val="6E011473"/>
    <w:rsid w:val="6E09322F"/>
    <w:rsid w:val="6E0A2BFA"/>
    <w:rsid w:val="6E393DE4"/>
    <w:rsid w:val="6E394335"/>
    <w:rsid w:val="6E3A08D2"/>
    <w:rsid w:val="6E3D6A14"/>
    <w:rsid w:val="6E4D5CD6"/>
    <w:rsid w:val="6E554B13"/>
    <w:rsid w:val="6E556A51"/>
    <w:rsid w:val="6E565893"/>
    <w:rsid w:val="6E671CC6"/>
    <w:rsid w:val="6E9014D2"/>
    <w:rsid w:val="6E921D81"/>
    <w:rsid w:val="6E9F23A4"/>
    <w:rsid w:val="6EA122FB"/>
    <w:rsid w:val="6EA74203"/>
    <w:rsid w:val="6EBE6107"/>
    <w:rsid w:val="6EC369AC"/>
    <w:rsid w:val="6ED2525C"/>
    <w:rsid w:val="6ED64310"/>
    <w:rsid w:val="6EE921F2"/>
    <w:rsid w:val="6EFD371E"/>
    <w:rsid w:val="6F0C1BB5"/>
    <w:rsid w:val="6F324441"/>
    <w:rsid w:val="6F324CA9"/>
    <w:rsid w:val="6F3C79C6"/>
    <w:rsid w:val="6F51798E"/>
    <w:rsid w:val="6F623FAD"/>
    <w:rsid w:val="6F841F2F"/>
    <w:rsid w:val="6F9456EF"/>
    <w:rsid w:val="6F9A2847"/>
    <w:rsid w:val="6F9E3208"/>
    <w:rsid w:val="6FA860CC"/>
    <w:rsid w:val="6FB056AF"/>
    <w:rsid w:val="6FB37306"/>
    <w:rsid w:val="6FCC6FC4"/>
    <w:rsid w:val="6FCF7F5C"/>
    <w:rsid w:val="6FD40189"/>
    <w:rsid w:val="6FD860C0"/>
    <w:rsid w:val="6FDC7A1D"/>
    <w:rsid w:val="6FE46C3D"/>
    <w:rsid w:val="6FE62187"/>
    <w:rsid w:val="6FF67DDB"/>
    <w:rsid w:val="6FFC22A1"/>
    <w:rsid w:val="700233CF"/>
    <w:rsid w:val="700C661A"/>
    <w:rsid w:val="70140608"/>
    <w:rsid w:val="701A7F9A"/>
    <w:rsid w:val="70277CF6"/>
    <w:rsid w:val="702A3D79"/>
    <w:rsid w:val="70372A3F"/>
    <w:rsid w:val="70696A0C"/>
    <w:rsid w:val="70726194"/>
    <w:rsid w:val="70750D06"/>
    <w:rsid w:val="7080248E"/>
    <w:rsid w:val="709A22EE"/>
    <w:rsid w:val="709F4A31"/>
    <w:rsid w:val="70B15A49"/>
    <w:rsid w:val="70CF5B1C"/>
    <w:rsid w:val="70D24D17"/>
    <w:rsid w:val="70D3787A"/>
    <w:rsid w:val="70E678B6"/>
    <w:rsid w:val="70F00238"/>
    <w:rsid w:val="710B36C4"/>
    <w:rsid w:val="712C5EEB"/>
    <w:rsid w:val="71630937"/>
    <w:rsid w:val="718C6B5C"/>
    <w:rsid w:val="718E7510"/>
    <w:rsid w:val="719B73F7"/>
    <w:rsid w:val="71D6615E"/>
    <w:rsid w:val="71E870AE"/>
    <w:rsid w:val="71EA6A11"/>
    <w:rsid w:val="71ED4BF6"/>
    <w:rsid w:val="71F35DB6"/>
    <w:rsid w:val="71FC2024"/>
    <w:rsid w:val="72007BF6"/>
    <w:rsid w:val="721128B4"/>
    <w:rsid w:val="721647A1"/>
    <w:rsid w:val="7225031D"/>
    <w:rsid w:val="7227794D"/>
    <w:rsid w:val="722855E6"/>
    <w:rsid w:val="722B6CE7"/>
    <w:rsid w:val="722E7BE2"/>
    <w:rsid w:val="72440D5F"/>
    <w:rsid w:val="72493F11"/>
    <w:rsid w:val="724A539C"/>
    <w:rsid w:val="724F72C2"/>
    <w:rsid w:val="72521445"/>
    <w:rsid w:val="72706CB0"/>
    <w:rsid w:val="72B20BEA"/>
    <w:rsid w:val="72D4147D"/>
    <w:rsid w:val="72E5521F"/>
    <w:rsid w:val="72F90EAF"/>
    <w:rsid w:val="72FB736C"/>
    <w:rsid w:val="73060BC5"/>
    <w:rsid w:val="73072914"/>
    <w:rsid w:val="73073605"/>
    <w:rsid w:val="7307745A"/>
    <w:rsid w:val="73107555"/>
    <w:rsid w:val="73267C31"/>
    <w:rsid w:val="73313D56"/>
    <w:rsid w:val="73355D32"/>
    <w:rsid w:val="733E28E9"/>
    <w:rsid w:val="73493241"/>
    <w:rsid w:val="73574D9C"/>
    <w:rsid w:val="73616461"/>
    <w:rsid w:val="736E2ADE"/>
    <w:rsid w:val="737230F7"/>
    <w:rsid w:val="738F5EF3"/>
    <w:rsid w:val="739D5E41"/>
    <w:rsid w:val="73AC2E89"/>
    <w:rsid w:val="73BC43BC"/>
    <w:rsid w:val="73BE274A"/>
    <w:rsid w:val="73CD72C0"/>
    <w:rsid w:val="73DD49A4"/>
    <w:rsid w:val="73DF450F"/>
    <w:rsid w:val="73E20E9A"/>
    <w:rsid w:val="73E82D35"/>
    <w:rsid w:val="73F22261"/>
    <w:rsid w:val="74035F8D"/>
    <w:rsid w:val="740F6E5C"/>
    <w:rsid w:val="742A03F4"/>
    <w:rsid w:val="743D33E9"/>
    <w:rsid w:val="744F348F"/>
    <w:rsid w:val="746073AD"/>
    <w:rsid w:val="746E70E5"/>
    <w:rsid w:val="74773604"/>
    <w:rsid w:val="74891D81"/>
    <w:rsid w:val="74991960"/>
    <w:rsid w:val="74A3711F"/>
    <w:rsid w:val="74B16D11"/>
    <w:rsid w:val="74B50818"/>
    <w:rsid w:val="74BC39CF"/>
    <w:rsid w:val="74C04B3D"/>
    <w:rsid w:val="74FB047A"/>
    <w:rsid w:val="75005DD6"/>
    <w:rsid w:val="750B42BF"/>
    <w:rsid w:val="751564E1"/>
    <w:rsid w:val="751B1B2A"/>
    <w:rsid w:val="751F2751"/>
    <w:rsid w:val="75240CAC"/>
    <w:rsid w:val="75321CAB"/>
    <w:rsid w:val="75427AEF"/>
    <w:rsid w:val="755768E7"/>
    <w:rsid w:val="756C2D18"/>
    <w:rsid w:val="757670C1"/>
    <w:rsid w:val="757C2B66"/>
    <w:rsid w:val="758F7900"/>
    <w:rsid w:val="759C56A8"/>
    <w:rsid w:val="75BF4268"/>
    <w:rsid w:val="75C04D16"/>
    <w:rsid w:val="75C660AC"/>
    <w:rsid w:val="75CF09D8"/>
    <w:rsid w:val="75D33467"/>
    <w:rsid w:val="75D81513"/>
    <w:rsid w:val="75D84E20"/>
    <w:rsid w:val="75E64D79"/>
    <w:rsid w:val="75E66105"/>
    <w:rsid w:val="75F60623"/>
    <w:rsid w:val="75FD6180"/>
    <w:rsid w:val="75FE7097"/>
    <w:rsid w:val="760264E5"/>
    <w:rsid w:val="762E1882"/>
    <w:rsid w:val="763514A7"/>
    <w:rsid w:val="76403B59"/>
    <w:rsid w:val="76441786"/>
    <w:rsid w:val="764C2C22"/>
    <w:rsid w:val="76542DA3"/>
    <w:rsid w:val="76564B7F"/>
    <w:rsid w:val="766A54E2"/>
    <w:rsid w:val="76744A20"/>
    <w:rsid w:val="76804485"/>
    <w:rsid w:val="768F1385"/>
    <w:rsid w:val="769F5BA4"/>
    <w:rsid w:val="76B32B8F"/>
    <w:rsid w:val="76B348A0"/>
    <w:rsid w:val="76C55568"/>
    <w:rsid w:val="76CE41ED"/>
    <w:rsid w:val="76D307E7"/>
    <w:rsid w:val="76DC65D6"/>
    <w:rsid w:val="76E6637C"/>
    <w:rsid w:val="77126311"/>
    <w:rsid w:val="77154C9B"/>
    <w:rsid w:val="771B77EF"/>
    <w:rsid w:val="772D379C"/>
    <w:rsid w:val="774106B7"/>
    <w:rsid w:val="77514FC1"/>
    <w:rsid w:val="776B062D"/>
    <w:rsid w:val="778D039E"/>
    <w:rsid w:val="77946031"/>
    <w:rsid w:val="779E10A6"/>
    <w:rsid w:val="77A57EFA"/>
    <w:rsid w:val="77AE073A"/>
    <w:rsid w:val="77AE74F4"/>
    <w:rsid w:val="77B92812"/>
    <w:rsid w:val="77BF10B8"/>
    <w:rsid w:val="77C43AB9"/>
    <w:rsid w:val="77E25C54"/>
    <w:rsid w:val="77E44246"/>
    <w:rsid w:val="780C2125"/>
    <w:rsid w:val="78193547"/>
    <w:rsid w:val="781F48AE"/>
    <w:rsid w:val="7846296A"/>
    <w:rsid w:val="7847676A"/>
    <w:rsid w:val="78515273"/>
    <w:rsid w:val="786177F8"/>
    <w:rsid w:val="7864663C"/>
    <w:rsid w:val="788B3756"/>
    <w:rsid w:val="78982EF9"/>
    <w:rsid w:val="78A07F42"/>
    <w:rsid w:val="78A8025B"/>
    <w:rsid w:val="78CD05E3"/>
    <w:rsid w:val="78D76195"/>
    <w:rsid w:val="78EE61E1"/>
    <w:rsid w:val="78F478AC"/>
    <w:rsid w:val="78FA5D9B"/>
    <w:rsid w:val="79190BED"/>
    <w:rsid w:val="791E7A6C"/>
    <w:rsid w:val="792D106F"/>
    <w:rsid w:val="79307325"/>
    <w:rsid w:val="793F5CBB"/>
    <w:rsid w:val="795B3BEA"/>
    <w:rsid w:val="79673BFA"/>
    <w:rsid w:val="79740110"/>
    <w:rsid w:val="797943A3"/>
    <w:rsid w:val="79936ADF"/>
    <w:rsid w:val="799B49FF"/>
    <w:rsid w:val="79A643BB"/>
    <w:rsid w:val="79C468A7"/>
    <w:rsid w:val="79D0466A"/>
    <w:rsid w:val="79E27EE5"/>
    <w:rsid w:val="79F46411"/>
    <w:rsid w:val="7A046339"/>
    <w:rsid w:val="7A052323"/>
    <w:rsid w:val="7A053039"/>
    <w:rsid w:val="7A06674E"/>
    <w:rsid w:val="7A0F730A"/>
    <w:rsid w:val="7A1F7EA5"/>
    <w:rsid w:val="7A29703D"/>
    <w:rsid w:val="7A2D1233"/>
    <w:rsid w:val="7A467D02"/>
    <w:rsid w:val="7A493C3E"/>
    <w:rsid w:val="7A691660"/>
    <w:rsid w:val="7A741211"/>
    <w:rsid w:val="7A7B5BFD"/>
    <w:rsid w:val="7A8239C6"/>
    <w:rsid w:val="7A9001BC"/>
    <w:rsid w:val="7AB16F98"/>
    <w:rsid w:val="7AB325B1"/>
    <w:rsid w:val="7AC33222"/>
    <w:rsid w:val="7AD952CF"/>
    <w:rsid w:val="7AEA1B51"/>
    <w:rsid w:val="7AEA7277"/>
    <w:rsid w:val="7AEC1238"/>
    <w:rsid w:val="7AF904AF"/>
    <w:rsid w:val="7B0157FB"/>
    <w:rsid w:val="7B070AD2"/>
    <w:rsid w:val="7B071B55"/>
    <w:rsid w:val="7B121820"/>
    <w:rsid w:val="7B123A95"/>
    <w:rsid w:val="7B220D70"/>
    <w:rsid w:val="7B286290"/>
    <w:rsid w:val="7B4A6717"/>
    <w:rsid w:val="7B501859"/>
    <w:rsid w:val="7B781A47"/>
    <w:rsid w:val="7B9928F4"/>
    <w:rsid w:val="7BA02487"/>
    <w:rsid w:val="7BA437A2"/>
    <w:rsid w:val="7BB93A91"/>
    <w:rsid w:val="7BBB5869"/>
    <w:rsid w:val="7BC52AAB"/>
    <w:rsid w:val="7BD67FB8"/>
    <w:rsid w:val="7BE43F93"/>
    <w:rsid w:val="7BEE55E0"/>
    <w:rsid w:val="7BF02562"/>
    <w:rsid w:val="7BFA325A"/>
    <w:rsid w:val="7C0437E9"/>
    <w:rsid w:val="7C0B41AB"/>
    <w:rsid w:val="7C0C35CB"/>
    <w:rsid w:val="7C0D3CF8"/>
    <w:rsid w:val="7C0E6711"/>
    <w:rsid w:val="7C2421BF"/>
    <w:rsid w:val="7C2475EE"/>
    <w:rsid w:val="7C2C7E24"/>
    <w:rsid w:val="7C406E4D"/>
    <w:rsid w:val="7C436FB5"/>
    <w:rsid w:val="7C470228"/>
    <w:rsid w:val="7C4F7C90"/>
    <w:rsid w:val="7C56049D"/>
    <w:rsid w:val="7C5A1B1A"/>
    <w:rsid w:val="7C600346"/>
    <w:rsid w:val="7C726290"/>
    <w:rsid w:val="7C785D61"/>
    <w:rsid w:val="7C7E312D"/>
    <w:rsid w:val="7C943F81"/>
    <w:rsid w:val="7CAF0A53"/>
    <w:rsid w:val="7CB04182"/>
    <w:rsid w:val="7CDB284A"/>
    <w:rsid w:val="7CE80CA4"/>
    <w:rsid w:val="7CFD7BA7"/>
    <w:rsid w:val="7CFF4229"/>
    <w:rsid w:val="7D1F288D"/>
    <w:rsid w:val="7D3C5E52"/>
    <w:rsid w:val="7D412C55"/>
    <w:rsid w:val="7D4F6D4A"/>
    <w:rsid w:val="7D537E31"/>
    <w:rsid w:val="7D5E20AA"/>
    <w:rsid w:val="7D813024"/>
    <w:rsid w:val="7D840A2E"/>
    <w:rsid w:val="7D8A71C7"/>
    <w:rsid w:val="7D8D0C22"/>
    <w:rsid w:val="7D923EDE"/>
    <w:rsid w:val="7D950212"/>
    <w:rsid w:val="7D966272"/>
    <w:rsid w:val="7DB037D8"/>
    <w:rsid w:val="7DB41E43"/>
    <w:rsid w:val="7DB45696"/>
    <w:rsid w:val="7DC86F1A"/>
    <w:rsid w:val="7DD24C4E"/>
    <w:rsid w:val="7DD5031E"/>
    <w:rsid w:val="7DDE2DFC"/>
    <w:rsid w:val="7E016CEB"/>
    <w:rsid w:val="7E255954"/>
    <w:rsid w:val="7E2A2A0B"/>
    <w:rsid w:val="7E3B634F"/>
    <w:rsid w:val="7E44467F"/>
    <w:rsid w:val="7E46107D"/>
    <w:rsid w:val="7E7602A3"/>
    <w:rsid w:val="7E7D104B"/>
    <w:rsid w:val="7E7D65C5"/>
    <w:rsid w:val="7E843DBB"/>
    <w:rsid w:val="7E922693"/>
    <w:rsid w:val="7E993972"/>
    <w:rsid w:val="7EA05A74"/>
    <w:rsid w:val="7EC957DF"/>
    <w:rsid w:val="7ED00DB9"/>
    <w:rsid w:val="7EEB228E"/>
    <w:rsid w:val="7EFE084F"/>
    <w:rsid w:val="7F224474"/>
    <w:rsid w:val="7F2809F8"/>
    <w:rsid w:val="7F2D6654"/>
    <w:rsid w:val="7F32286D"/>
    <w:rsid w:val="7F3F4CB2"/>
    <w:rsid w:val="7F432D38"/>
    <w:rsid w:val="7F4B3FCF"/>
    <w:rsid w:val="7F572DEE"/>
    <w:rsid w:val="7F590EFE"/>
    <w:rsid w:val="7F6601A2"/>
    <w:rsid w:val="7F681A89"/>
    <w:rsid w:val="7F6B314D"/>
    <w:rsid w:val="7F743E69"/>
    <w:rsid w:val="7F7470C9"/>
    <w:rsid w:val="7F830204"/>
    <w:rsid w:val="7F873601"/>
    <w:rsid w:val="7F940F7A"/>
    <w:rsid w:val="7F947515"/>
    <w:rsid w:val="7FB0031C"/>
    <w:rsid w:val="7FBD024B"/>
    <w:rsid w:val="7FD147E2"/>
    <w:rsid w:val="7FD55929"/>
    <w:rsid w:val="7FF30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1"/>
    <w:qFormat/>
    <w:uiPriority w:val="0"/>
    <w:pPr>
      <w:keepNext/>
      <w:jc w:val="center"/>
      <w:outlineLvl w:val="0"/>
    </w:pPr>
    <w:rPr>
      <w:rFonts w:ascii="仿宋_GB2312" w:eastAsia="仿宋_GB2312"/>
      <w:sz w:val="28"/>
    </w:rPr>
  </w:style>
  <w:style w:type="paragraph" w:styleId="5">
    <w:name w:val="heading 2"/>
    <w:basedOn w:val="1"/>
    <w:next w:val="1"/>
    <w:link w:val="54"/>
    <w:qFormat/>
    <w:uiPriority w:val="0"/>
    <w:pPr>
      <w:keepNext/>
      <w:tabs>
        <w:tab w:val="left" w:pos="420"/>
      </w:tabs>
      <w:spacing w:line="360" w:lineRule="auto"/>
      <w:ind w:left="420" w:hanging="330"/>
      <w:outlineLvl w:val="1"/>
    </w:pPr>
    <w:rPr>
      <w:b/>
      <w:sz w:val="24"/>
      <w:szCs w:val="24"/>
    </w:rPr>
  </w:style>
  <w:style w:type="paragraph" w:styleId="6">
    <w:name w:val="heading 3"/>
    <w:basedOn w:val="1"/>
    <w:next w:val="1"/>
    <w:link w:val="89"/>
    <w:qFormat/>
    <w:uiPriority w:val="0"/>
    <w:pPr>
      <w:keepNext/>
      <w:tabs>
        <w:tab w:val="left" w:pos="468"/>
      </w:tabs>
      <w:ind w:left="468" w:hanging="468"/>
      <w:outlineLvl w:val="2"/>
    </w:pPr>
    <w:rPr>
      <w:b/>
      <w:bCs/>
      <w:sz w:val="28"/>
      <w:szCs w:val="24"/>
    </w:rPr>
  </w:style>
  <w:style w:type="paragraph" w:styleId="7">
    <w:name w:val="heading 4"/>
    <w:basedOn w:val="1"/>
    <w:next w:val="1"/>
    <w:link w:val="73"/>
    <w:qFormat/>
    <w:uiPriority w:val="0"/>
    <w:pPr>
      <w:keepNext/>
      <w:tabs>
        <w:tab w:val="left" w:pos="435"/>
      </w:tabs>
      <w:ind w:left="435" w:hanging="435"/>
      <w:outlineLvl w:val="3"/>
    </w:pPr>
    <w:rPr>
      <w:b/>
      <w:color w:val="000000"/>
      <w:sz w:val="28"/>
      <w:szCs w:val="24"/>
      <w:u w:val="single"/>
    </w:rPr>
  </w:style>
  <w:style w:type="paragraph" w:styleId="8">
    <w:name w:val="heading 5"/>
    <w:basedOn w:val="1"/>
    <w:next w:val="9"/>
    <w:link w:val="58"/>
    <w:qFormat/>
    <w:uiPriority w:val="0"/>
    <w:pPr>
      <w:keepNext/>
      <w:adjustRightInd w:val="0"/>
      <w:spacing w:line="360" w:lineRule="auto"/>
      <w:jc w:val="left"/>
      <w:textAlignment w:val="baseline"/>
      <w:outlineLvl w:val="4"/>
    </w:pPr>
    <w:rPr>
      <w:rFonts w:ascii="宋体"/>
      <w:b/>
      <w:kern w:val="0"/>
      <w:sz w:val="28"/>
    </w:rPr>
  </w:style>
  <w:style w:type="paragraph" w:styleId="10">
    <w:name w:val="heading 6"/>
    <w:basedOn w:val="1"/>
    <w:next w:val="1"/>
    <w:link w:val="74"/>
    <w:qFormat/>
    <w:uiPriority w:val="0"/>
    <w:pPr>
      <w:tabs>
        <w:tab w:val="left" w:pos="814"/>
      </w:tabs>
      <w:spacing w:before="240" w:after="64" w:line="317" w:lineRule="auto"/>
      <w:ind w:left="454" w:firstLine="200" w:firstLineChars="200"/>
      <w:outlineLvl w:val="5"/>
    </w:pPr>
    <w:rPr>
      <w:bCs/>
      <w:sz w:val="28"/>
    </w:rPr>
  </w:style>
  <w:style w:type="paragraph" w:styleId="11">
    <w:name w:val="heading 7"/>
    <w:basedOn w:val="1"/>
    <w:next w:val="1"/>
    <w:link w:val="69"/>
    <w:qFormat/>
    <w:uiPriority w:val="0"/>
    <w:pPr>
      <w:keepNext/>
      <w:tabs>
        <w:tab w:val="left" w:pos="900"/>
      </w:tabs>
      <w:ind w:left="900" w:hanging="300"/>
      <w:outlineLvl w:val="6"/>
    </w:pPr>
    <w:rPr>
      <w:rFonts w:ascii="宋体" w:hAnsi="宋体"/>
      <w:b/>
      <w:sz w:val="28"/>
      <w:szCs w:val="24"/>
    </w:rPr>
  </w:style>
  <w:style w:type="paragraph" w:styleId="12">
    <w:name w:val="heading 8"/>
    <w:basedOn w:val="1"/>
    <w:next w:val="1"/>
    <w:link w:val="70"/>
    <w:qFormat/>
    <w:uiPriority w:val="0"/>
    <w:pPr>
      <w:keepNext/>
      <w:widowControl/>
      <w:tabs>
        <w:tab w:val="left" w:pos="1260"/>
        <w:tab w:val="left" w:pos="1995"/>
        <w:tab w:val="left" w:pos="2520"/>
        <w:tab w:val="left" w:pos="2730"/>
      </w:tabs>
      <w:spacing w:before="100" w:after="100" w:line="400" w:lineRule="exact"/>
      <w:ind w:left="600" w:hanging="600"/>
      <w:jc w:val="left"/>
      <w:outlineLvl w:val="7"/>
    </w:pPr>
    <w:rPr>
      <w:b/>
      <w:sz w:val="28"/>
      <w:szCs w:val="24"/>
      <w:u w:val="single"/>
    </w:rPr>
  </w:style>
  <w:style w:type="paragraph" w:styleId="13">
    <w:name w:val="heading 9"/>
    <w:basedOn w:val="1"/>
    <w:next w:val="1"/>
    <w:link w:val="80"/>
    <w:qFormat/>
    <w:uiPriority w:val="0"/>
    <w:pPr>
      <w:keepNext/>
      <w:keepLines/>
      <w:tabs>
        <w:tab w:val="left" w:pos="1584"/>
      </w:tabs>
      <w:spacing w:before="240" w:after="64" w:line="317" w:lineRule="auto"/>
      <w:ind w:left="1584" w:hanging="1584" w:firstLineChars="200"/>
      <w:outlineLvl w:val="8"/>
    </w:pPr>
    <w:rPr>
      <w:rFonts w:ascii="Arial" w:hAnsi="Arial" w:eastAsia="黑体"/>
      <w:sz w:val="24"/>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4"/>
    <w:qFormat/>
    <w:uiPriority w:val="0"/>
    <w:pPr>
      <w:spacing w:after="120"/>
    </w:pPr>
  </w:style>
  <w:style w:type="paragraph" w:styleId="3">
    <w:name w:val="Date"/>
    <w:basedOn w:val="1"/>
    <w:next w:val="1"/>
    <w:link w:val="64"/>
    <w:qFormat/>
    <w:uiPriority w:val="0"/>
    <w:rPr>
      <w:color w:val="000000"/>
      <w:kern w:val="0"/>
      <w:sz w:val="30"/>
    </w:rPr>
  </w:style>
  <w:style w:type="paragraph" w:styleId="9">
    <w:name w:val="Normal Indent"/>
    <w:basedOn w:val="1"/>
    <w:qFormat/>
    <w:uiPriority w:val="0"/>
    <w:pPr>
      <w:ind w:firstLine="420" w:firstLineChars="200"/>
    </w:pPr>
    <w:rPr>
      <w:szCs w:val="24"/>
    </w:rPr>
  </w:style>
  <w:style w:type="paragraph" w:styleId="14">
    <w:name w:val="toc 7"/>
    <w:basedOn w:val="1"/>
    <w:next w:val="1"/>
    <w:semiHidden/>
    <w:qFormat/>
    <w:uiPriority w:val="0"/>
    <w:pPr>
      <w:ind w:left="1260"/>
      <w:jc w:val="left"/>
    </w:pPr>
    <w:rPr>
      <w:sz w:val="18"/>
      <w:szCs w:val="18"/>
    </w:rPr>
  </w:style>
  <w:style w:type="paragraph" w:styleId="15">
    <w:name w:val="List Number"/>
    <w:basedOn w:val="1"/>
    <w:qFormat/>
    <w:uiPriority w:val="0"/>
    <w:pPr>
      <w:tabs>
        <w:tab w:val="left" w:pos="1890"/>
      </w:tabs>
      <w:ind w:hanging="420"/>
    </w:pPr>
    <w:rPr>
      <w:szCs w:val="24"/>
    </w:rPr>
  </w:style>
  <w:style w:type="paragraph" w:styleId="16">
    <w:name w:val="Document Map"/>
    <w:basedOn w:val="1"/>
    <w:semiHidden/>
    <w:qFormat/>
    <w:uiPriority w:val="0"/>
    <w:pPr>
      <w:shd w:val="clear" w:color="auto" w:fill="000080"/>
    </w:pPr>
  </w:style>
  <w:style w:type="paragraph" w:styleId="17">
    <w:name w:val="toa heading"/>
    <w:basedOn w:val="1"/>
    <w:next w:val="1"/>
    <w:qFormat/>
    <w:uiPriority w:val="0"/>
    <w:pPr>
      <w:spacing w:before="120"/>
    </w:pPr>
    <w:rPr>
      <w:rFonts w:ascii="Cambria" w:hAnsi="Cambria"/>
      <w:sz w:val="24"/>
      <w:szCs w:val="24"/>
    </w:rPr>
  </w:style>
  <w:style w:type="paragraph" w:styleId="18">
    <w:name w:val="annotation text"/>
    <w:basedOn w:val="1"/>
    <w:link w:val="90"/>
    <w:qFormat/>
    <w:uiPriority w:val="0"/>
    <w:pPr>
      <w:jc w:val="left"/>
    </w:pPr>
    <w:rPr>
      <w:szCs w:val="24"/>
    </w:rPr>
  </w:style>
  <w:style w:type="paragraph" w:styleId="19">
    <w:name w:val="Body Text 3"/>
    <w:basedOn w:val="1"/>
    <w:qFormat/>
    <w:uiPriority w:val="0"/>
    <w:pPr>
      <w:spacing w:after="120"/>
    </w:pPr>
    <w:rPr>
      <w:sz w:val="16"/>
      <w:szCs w:val="16"/>
    </w:rPr>
  </w:style>
  <w:style w:type="paragraph" w:styleId="20">
    <w:name w:val="Body Text Indent"/>
    <w:basedOn w:val="1"/>
    <w:next w:val="7"/>
    <w:link w:val="53"/>
    <w:qFormat/>
    <w:uiPriority w:val="0"/>
    <w:pPr>
      <w:spacing w:line="800" w:lineRule="exact"/>
      <w:ind w:left="315" w:leftChars="150" w:firstLine="664" w:firstLineChars="237"/>
    </w:pPr>
    <w:rPr>
      <w:rFonts w:ascii="仿宋_GB2312" w:eastAsia="仿宋_GB2312"/>
      <w:sz w:val="28"/>
    </w:rPr>
  </w:style>
  <w:style w:type="paragraph" w:styleId="21">
    <w:name w:val="HTML Address"/>
    <w:basedOn w:val="1"/>
    <w:link w:val="72"/>
    <w:qFormat/>
    <w:uiPriority w:val="0"/>
    <w:rPr>
      <w:i/>
      <w:iCs/>
      <w:szCs w:val="24"/>
    </w:rPr>
  </w:style>
  <w:style w:type="paragraph" w:styleId="22">
    <w:name w:val="toc 5"/>
    <w:basedOn w:val="1"/>
    <w:next w:val="1"/>
    <w:semiHidden/>
    <w:qFormat/>
    <w:uiPriority w:val="0"/>
    <w:pPr>
      <w:ind w:left="840"/>
      <w:jc w:val="left"/>
    </w:pPr>
    <w:rPr>
      <w:sz w:val="18"/>
      <w:szCs w:val="18"/>
    </w:rPr>
  </w:style>
  <w:style w:type="paragraph" w:styleId="23">
    <w:name w:val="toc 3"/>
    <w:basedOn w:val="1"/>
    <w:next w:val="1"/>
    <w:qFormat/>
    <w:uiPriority w:val="0"/>
    <w:pPr>
      <w:ind w:left="420"/>
      <w:jc w:val="left"/>
    </w:pPr>
    <w:rPr>
      <w:i/>
      <w:iCs/>
      <w:sz w:val="20"/>
    </w:rPr>
  </w:style>
  <w:style w:type="paragraph" w:styleId="24">
    <w:name w:val="Plain Text"/>
    <w:basedOn w:val="1"/>
    <w:link w:val="91"/>
    <w:qFormat/>
    <w:uiPriority w:val="0"/>
    <w:rPr>
      <w:rFonts w:ascii="宋体" w:hAnsi="宋体"/>
    </w:rPr>
  </w:style>
  <w:style w:type="paragraph" w:styleId="25">
    <w:name w:val="toc 8"/>
    <w:basedOn w:val="1"/>
    <w:next w:val="1"/>
    <w:semiHidden/>
    <w:qFormat/>
    <w:uiPriority w:val="0"/>
    <w:pPr>
      <w:ind w:left="1470"/>
      <w:jc w:val="left"/>
    </w:pPr>
    <w:rPr>
      <w:sz w:val="18"/>
      <w:szCs w:val="18"/>
    </w:rPr>
  </w:style>
  <w:style w:type="paragraph" w:styleId="26">
    <w:name w:val="Body Text Indent 2"/>
    <w:basedOn w:val="1"/>
    <w:link w:val="59"/>
    <w:qFormat/>
    <w:uiPriority w:val="0"/>
    <w:pPr>
      <w:spacing w:line="360" w:lineRule="auto"/>
      <w:ind w:firstLine="555"/>
    </w:pPr>
    <w:rPr>
      <w:rFonts w:ascii="仿宋_GB2312" w:eastAsia="仿宋_GB2312"/>
      <w:sz w:val="28"/>
    </w:rPr>
  </w:style>
  <w:style w:type="paragraph" w:styleId="27">
    <w:name w:val="Balloon Text"/>
    <w:basedOn w:val="1"/>
    <w:link w:val="60"/>
    <w:qFormat/>
    <w:uiPriority w:val="0"/>
    <w:rPr>
      <w:sz w:val="18"/>
      <w:szCs w:val="18"/>
    </w:rPr>
  </w:style>
  <w:style w:type="paragraph" w:styleId="28">
    <w:name w:val="footer"/>
    <w:basedOn w:val="1"/>
    <w:link w:val="93"/>
    <w:qFormat/>
    <w:uiPriority w:val="0"/>
    <w:pPr>
      <w:tabs>
        <w:tab w:val="center" w:pos="4153"/>
        <w:tab w:val="right" w:pos="8306"/>
      </w:tabs>
      <w:snapToGrid w:val="0"/>
      <w:jc w:val="left"/>
    </w:pPr>
    <w:rPr>
      <w:sz w:val="18"/>
      <w:szCs w:val="18"/>
    </w:rPr>
  </w:style>
  <w:style w:type="paragraph" w:styleId="29">
    <w:name w:val="header"/>
    <w:basedOn w:val="1"/>
    <w:link w:val="84"/>
    <w:qFormat/>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pPr>
      <w:spacing w:before="120" w:after="120"/>
      <w:jc w:val="left"/>
    </w:pPr>
    <w:rPr>
      <w:b/>
      <w:bCs/>
      <w:caps/>
      <w:sz w:val="20"/>
    </w:rPr>
  </w:style>
  <w:style w:type="paragraph" w:styleId="31">
    <w:name w:val="toc 4"/>
    <w:basedOn w:val="1"/>
    <w:next w:val="1"/>
    <w:semiHidden/>
    <w:qFormat/>
    <w:uiPriority w:val="0"/>
    <w:pPr>
      <w:ind w:left="630"/>
      <w:jc w:val="left"/>
    </w:pPr>
    <w:rPr>
      <w:sz w:val="18"/>
      <w:szCs w:val="18"/>
    </w:rPr>
  </w:style>
  <w:style w:type="paragraph" w:styleId="32">
    <w:name w:val="toc 6"/>
    <w:basedOn w:val="1"/>
    <w:next w:val="1"/>
    <w:semiHidden/>
    <w:qFormat/>
    <w:uiPriority w:val="0"/>
    <w:pPr>
      <w:ind w:left="1050"/>
      <w:jc w:val="left"/>
    </w:pPr>
    <w:rPr>
      <w:sz w:val="18"/>
      <w:szCs w:val="18"/>
    </w:rPr>
  </w:style>
  <w:style w:type="paragraph" w:styleId="33">
    <w:name w:val="Body Text Indent 3"/>
    <w:basedOn w:val="1"/>
    <w:link w:val="52"/>
    <w:qFormat/>
    <w:uiPriority w:val="0"/>
    <w:pPr>
      <w:spacing w:line="360" w:lineRule="auto"/>
      <w:ind w:firstLine="480" w:firstLineChars="200"/>
    </w:pPr>
    <w:rPr>
      <w:rFonts w:ascii="宋体"/>
      <w:sz w:val="24"/>
      <w:szCs w:val="24"/>
    </w:rPr>
  </w:style>
  <w:style w:type="paragraph" w:styleId="34">
    <w:name w:val="toc 2"/>
    <w:basedOn w:val="1"/>
    <w:next w:val="1"/>
    <w:qFormat/>
    <w:uiPriority w:val="39"/>
    <w:pPr>
      <w:ind w:left="210"/>
      <w:jc w:val="left"/>
    </w:pPr>
    <w:rPr>
      <w:smallCaps/>
      <w:sz w:val="20"/>
    </w:rPr>
  </w:style>
  <w:style w:type="paragraph" w:styleId="35">
    <w:name w:val="toc 9"/>
    <w:basedOn w:val="1"/>
    <w:next w:val="1"/>
    <w:semiHidden/>
    <w:qFormat/>
    <w:uiPriority w:val="0"/>
    <w:pPr>
      <w:ind w:left="1680"/>
      <w:jc w:val="left"/>
    </w:pPr>
    <w:rPr>
      <w:sz w:val="18"/>
      <w:szCs w:val="18"/>
    </w:rPr>
  </w:style>
  <w:style w:type="paragraph" w:styleId="36">
    <w:name w:val="Body Text 2"/>
    <w:basedOn w:val="1"/>
    <w:link w:val="57"/>
    <w:qFormat/>
    <w:uiPriority w:val="0"/>
    <w:pPr>
      <w:spacing w:after="120" w:line="480" w:lineRule="auto"/>
    </w:pPr>
    <w:rPr>
      <w:szCs w:val="24"/>
    </w:rPr>
  </w:style>
  <w:style w:type="paragraph" w:styleId="37">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8">
    <w:name w:val="annotation subject"/>
    <w:basedOn w:val="18"/>
    <w:next w:val="18"/>
    <w:link w:val="77"/>
    <w:qFormat/>
    <w:uiPriority w:val="0"/>
    <w:rPr>
      <w:b/>
      <w:bCs/>
    </w:rPr>
  </w:style>
  <w:style w:type="paragraph" w:styleId="39">
    <w:name w:val="Body Text First Indent"/>
    <w:basedOn w:val="2"/>
    <w:link w:val="79"/>
    <w:qFormat/>
    <w:uiPriority w:val="0"/>
    <w:pPr>
      <w:autoSpaceDE w:val="0"/>
      <w:autoSpaceDN w:val="0"/>
      <w:adjustRightInd w:val="0"/>
      <w:spacing w:after="120" w:line="312" w:lineRule="atLeast"/>
      <w:ind w:firstLine="420"/>
    </w:pPr>
    <w:rPr>
      <w:rFonts w:ascii="宋体"/>
      <w:kern w:val="0"/>
    </w:rPr>
  </w:style>
  <w:style w:type="paragraph" w:styleId="40">
    <w:name w:val="Body Text First Indent 2"/>
    <w:basedOn w:val="20"/>
    <w:link w:val="76"/>
    <w:qFormat/>
    <w:uiPriority w:val="0"/>
    <w:pPr>
      <w:spacing w:after="120" w:line="240" w:lineRule="auto"/>
      <w:ind w:left="420" w:leftChars="200" w:firstLine="420" w:firstLineChars="200"/>
    </w:pPr>
    <w:rPr>
      <w:rFonts w:eastAsia="宋体"/>
      <w:sz w:val="21"/>
      <w:szCs w:val="24"/>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22"/>
    <w:rPr>
      <w:b/>
      <w:bCs/>
    </w:rPr>
  </w:style>
  <w:style w:type="character" w:styleId="45">
    <w:name w:val="page number"/>
    <w:basedOn w:val="43"/>
    <w:qFormat/>
    <w:uiPriority w:val="0"/>
  </w:style>
  <w:style w:type="character" w:styleId="46">
    <w:name w:val="Hyperlink"/>
    <w:basedOn w:val="43"/>
    <w:qFormat/>
    <w:uiPriority w:val="99"/>
    <w:rPr>
      <w:color w:val="333333"/>
      <w:u w:val="none"/>
    </w:rPr>
  </w:style>
  <w:style w:type="character" w:styleId="47">
    <w:name w:val="annotation reference"/>
    <w:qFormat/>
    <w:uiPriority w:val="0"/>
    <w:rPr>
      <w:sz w:val="21"/>
      <w:szCs w:val="21"/>
    </w:rPr>
  </w:style>
  <w:style w:type="character" w:styleId="48">
    <w:name w:val="HTML Sample"/>
    <w:basedOn w:val="43"/>
    <w:qFormat/>
    <w:uiPriority w:val="0"/>
    <w:rPr>
      <w:rFonts w:ascii="Courier New" w:hAnsi="Courier New"/>
    </w:rPr>
  </w:style>
  <w:style w:type="paragraph" w:customStyle="1" w:styleId="49">
    <w:name w:val="NormalIndent"/>
    <w:basedOn w:val="1"/>
    <w:qFormat/>
    <w:uiPriority w:val="0"/>
    <w:pPr>
      <w:ind w:firstLine="420"/>
    </w:pPr>
  </w:style>
  <w:style w:type="character" w:customStyle="1" w:styleId="50">
    <w:name w:val="正文 + Arial Char"/>
    <w:qFormat/>
    <w:uiPriority w:val="0"/>
    <w:rPr>
      <w:rFonts w:ascii="Arial" w:hAnsi="Arial" w:eastAsia="宋体" w:cs="Arial"/>
      <w:kern w:val="2"/>
      <w:sz w:val="21"/>
      <w:szCs w:val="21"/>
      <w:lang w:val="en-US" w:eastAsia="zh-CN" w:bidi="ar-SA"/>
    </w:rPr>
  </w:style>
  <w:style w:type="character" w:customStyle="1" w:styleId="51">
    <w:name w:val="font51"/>
    <w:qFormat/>
    <w:uiPriority w:val="0"/>
    <w:rPr>
      <w:rFonts w:hint="eastAsia" w:ascii="宋体" w:hAnsi="宋体" w:eastAsia="宋体" w:cs="宋体"/>
      <w:color w:val="000000"/>
      <w:sz w:val="44"/>
      <w:szCs w:val="44"/>
      <w:u w:val="none"/>
    </w:rPr>
  </w:style>
  <w:style w:type="character" w:customStyle="1" w:styleId="52">
    <w:name w:val="正文文本缩进 3 Char"/>
    <w:link w:val="33"/>
    <w:qFormat/>
    <w:uiPriority w:val="0"/>
    <w:rPr>
      <w:rFonts w:ascii="宋体" w:eastAsia="宋体"/>
      <w:kern w:val="2"/>
      <w:sz w:val="24"/>
      <w:szCs w:val="24"/>
      <w:lang w:val="en-US" w:eastAsia="zh-CN" w:bidi="ar-SA"/>
    </w:rPr>
  </w:style>
  <w:style w:type="character" w:customStyle="1" w:styleId="53">
    <w:name w:val="正文文本缩进 Char"/>
    <w:link w:val="20"/>
    <w:qFormat/>
    <w:uiPriority w:val="0"/>
    <w:rPr>
      <w:rFonts w:ascii="仿宋_GB2312" w:eastAsia="仿宋_GB2312"/>
      <w:kern w:val="2"/>
      <w:sz w:val="28"/>
      <w:lang w:val="en-US" w:eastAsia="zh-CN" w:bidi="ar-SA"/>
    </w:rPr>
  </w:style>
  <w:style w:type="character" w:customStyle="1" w:styleId="54">
    <w:name w:val="标题 2 Char"/>
    <w:link w:val="5"/>
    <w:qFormat/>
    <w:uiPriority w:val="0"/>
    <w:rPr>
      <w:b/>
      <w:kern w:val="2"/>
      <w:sz w:val="24"/>
      <w:szCs w:val="24"/>
    </w:rPr>
  </w:style>
  <w:style w:type="character" w:customStyle="1" w:styleId="55">
    <w:name w:val="标题 3 Char Char"/>
    <w:qFormat/>
    <w:uiPriority w:val="0"/>
    <w:rPr>
      <w:b/>
      <w:bCs/>
      <w:sz w:val="32"/>
      <w:szCs w:val="32"/>
    </w:rPr>
  </w:style>
  <w:style w:type="character" w:customStyle="1" w:styleId="56">
    <w:name w:val="apple-converted-space"/>
    <w:qFormat/>
    <w:uiPriority w:val="0"/>
  </w:style>
  <w:style w:type="character" w:customStyle="1" w:styleId="57">
    <w:name w:val="正文文本 2 Char"/>
    <w:link w:val="36"/>
    <w:qFormat/>
    <w:uiPriority w:val="0"/>
    <w:rPr>
      <w:rFonts w:eastAsia="宋体"/>
      <w:kern w:val="2"/>
      <w:sz w:val="21"/>
      <w:szCs w:val="24"/>
      <w:lang w:val="en-US" w:eastAsia="zh-CN" w:bidi="ar-SA"/>
    </w:rPr>
  </w:style>
  <w:style w:type="character" w:customStyle="1" w:styleId="58">
    <w:name w:val="标题 5 Char"/>
    <w:link w:val="8"/>
    <w:qFormat/>
    <w:uiPriority w:val="0"/>
    <w:rPr>
      <w:rFonts w:ascii="宋体" w:eastAsia="宋体"/>
      <w:b/>
      <w:sz w:val="28"/>
      <w:lang w:val="en-US" w:eastAsia="zh-CN" w:bidi="ar-SA"/>
    </w:rPr>
  </w:style>
  <w:style w:type="character" w:customStyle="1" w:styleId="59">
    <w:name w:val="正文文本缩进 2 Char"/>
    <w:link w:val="26"/>
    <w:qFormat/>
    <w:uiPriority w:val="0"/>
    <w:rPr>
      <w:rFonts w:ascii="仿宋_GB2312" w:eastAsia="仿宋_GB2312"/>
      <w:kern w:val="2"/>
      <w:sz w:val="28"/>
      <w:lang w:val="en-US" w:eastAsia="zh-CN" w:bidi="ar-SA"/>
    </w:rPr>
  </w:style>
  <w:style w:type="character" w:customStyle="1" w:styleId="60">
    <w:name w:val="批注框文本 Char"/>
    <w:link w:val="27"/>
    <w:qFormat/>
    <w:uiPriority w:val="0"/>
    <w:rPr>
      <w:rFonts w:eastAsia="宋体"/>
      <w:kern w:val="2"/>
      <w:sz w:val="18"/>
      <w:szCs w:val="18"/>
      <w:lang w:val="en-US" w:eastAsia="zh-CN" w:bidi="ar-SA"/>
    </w:rPr>
  </w:style>
  <w:style w:type="character" w:customStyle="1" w:styleId="61">
    <w:name w:val="标题 1 Char"/>
    <w:link w:val="4"/>
    <w:qFormat/>
    <w:uiPriority w:val="0"/>
    <w:rPr>
      <w:rFonts w:ascii="仿宋_GB2312" w:eastAsia="仿宋_GB2312"/>
      <w:kern w:val="2"/>
      <w:sz w:val="28"/>
      <w:lang w:val="en-US" w:eastAsia="zh-CN" w:bidi="ar-SA"/>
    </w:rPr>
  </w:style>
  <w:style w:type="character" w:customStyle="1" w:styleId="62">
    <w:name w:val="访问过的超链接1"/>
    <w:qFormat/>
    <w:uiPriority w:val="0"/>
    <w:rPr>
      <w:color w:val="333333"/>
      <w:u w:val="none"/>
    </w:rPr>
  </w:style>
  <w:style w:type="character" w:customStyle="1" w:styleId="63">
    <w:name w:val="链接"/>
    <w:qFormat/>
    <w:uiPriority w:val="0"/>
    <w:rPr>
      <w:rFonts w:ascii="Times New Roman" w:eastAsia="宋体"/>
      <w:color w:val="0000FF"/>
      <w:sz w:val="21"/>
      <w:u w:val="single" w:color="0000FF"/>
      <w:vertAlign w:val="baseline"/>
      <w:lang w:val="en-US" w:eastAsia="zh-CN"/>
    </w:rPr>
  </w:style>
  <w:style w:type="character" w:customStyle="1" w:styleId="64">
    <w:name w:val="日期 Char"/>
    <w:link w:val="3"/>
    <w:qFormat/>
    <w:uiPriority w:val="0"/>
    <w:rPr>
      <w:rFonts w:eastAsia="宋体"/>
      <w:color w:val="000000"/>
      <w:sz w:val="30"/>
      <w:lang w:val="en-US" w:eastAsia="zh-CN" w:bidi="ar-SA"/>
    </w:rPr>
  </w:style>
  <w:style w:type="character" w:customStyle="1" w:styleId="65">
    <w:name w:val="b Char"/>
    <w:link w:val="66"/>
    <w:qFormat/>
    <w:uiPriority w:val="0"/>
    <w:rPr>
      <w:rFonts w:ascii="EU-F1" w:eastAsia="黑体"/>
      <w:sz w:val="21"/>
      <w:szCs w:val="21"/>
      <w:lang w:val="en-US" w:eastAsia="zh-CN" w:bidi="ar-SA"/>
    </w:rPr>
  </w:style>
  <w:style w:type="paragraph" w:customStyle="1" w:styleId="66">
    <w:name w:val="b"/>
    <w:basedOn w:val="1"/>
    <w:link w:val="65"/>
    <w:qFormat/>
    <w:uiPriority w:val="0"/>
    <w:pPr>
      <w:tabs>
        <w:tab w:val="center" w:pos="4706"/>
        <w:tab w:val="right" w:pos="9044"/>
      </w:tabs>
      <w:topLinePunct/>
      <w:spacing w:before="160" w:after="60" w:line="312" w:lineRule="exact"/>
      <w:jc w:val="center"/>
    </w:pPr>
    <w:rPr>
      <w:rFonts w:ascii="EU-F1" w:eastAsia="黑体"/>
      <w:kern w:val="0"/>
      <w:szCs w:val="21"/>
    </w:rPr>
  </w:style>
  <w:style w:type="character" w:customStyle="1" w:styleId="67">
    <w:name w:val="纯文本 Char Char"/>
    <w:qFormat/>
    <w:uiPriority w:val="0"/>
    <w:rPr>
      <w:rFonts w:ascii="宋体" w:hAnsi="Courier New" w:eastAsia="宋体" w:cs="Courier New"/>
      <w:szCs w:val="21"/>
    </w:rPr>
  </w:style>
  <w:style w:type="character" w:customStyle="1" w:styleId="68">
    <w:name w:val="font21"/>
    <w:qFormat/>
    <w:uiPriority w:val="0"/>
    <w:rPr>
      <w:rFonts w:ascii="font-weight : 400" w:hAnsi="font-weight : 400" w:eastAsia="font-weight : 400" w:cs="font-weight : 400"/>
      <w:color w:val="000000"/>
      <w:sz w:val="22"/>
      <w:szCs w:val="22"/>
      <w:u w:val="none"/>
    </w:rPr>
  </w:style>
  <w:style w:type="character" w:customStyle="1" w:styleId="69">
    <w:name w:val="标题 7 Char"/>
    <w:link w:val="11"/>
    <w:qFormat/>
    <w:uiPriority w:val="0"/>
    <w:rPr>
      <w:rFonts w:ascii="宋体" w:hAnsi="宋体"/>
      <w:b/>
      <w:kern w:val="2"/>
      <w:sz w:val="28"/>
      <w:szCs w:val="24"/>
    </w:rPr>
  </w:style>
  <w:style w:type="character" w:customStyle="1" w:styleId="70">
    <w:name w:val="标题 8 Char"/>
    <w:link w:val="12"/>
    <w:qFormat/>
    <w:uiPriority w:val="0"/>
    <w:rPr>
      <w:b/>
      <w:kern w:val="2"/>
      <w:sz w:val="28"/>
      <w:szCs w:val="24"/>
      <w:u w:val="single"/>
    </w:rPr>
  </w:style>
  <w:style w:type="character" w:customStyle="1" w:styleId="71">
    <w:name w:val="Char Char Char"/>
    <w:qFormat/>
    <w:uiPriority w:val="0"/>
    <w:rPr>
      <w:rFonts w:ascii="Arial Black" w:hAnsi="Arial Black" w:eastAsia="黑体"/>
      <w:b/>
      <w:bCs/>
      <w:kern w:val="2"/>
      <w:sz w:val="32"/>
      <w:szCs w:val="32"/>
      <w:lang w:val="en-US" w:eastAsia="zh-CN" w:bidi="ar-SA"/>
    </w:rPr>
  </w:style>
  <w:style w:type="character" w:customStyle="1" w:styleId="72">
    <w:name w:val="HTML 地址 Char"/>
    <w:link w:val="21"/>
    <w:qFormat/>
    <w:uiPriority w:val="0"/>
    <w:rPr>
      <w:rFonts w:eastAsia="宋体"/>
      <w:i/>
      <w:iCs/>
      <w:kern w:val="2"/>
      <w:sz w:val="21"/>
      <w:szCs w:val="24"/>
      <w:lang w:val="en-US" w:eastAsia="zh-CN" w:bidi="ar-SA"/>
    </w:rPr>
  </w:style>
  <w:style w:type="character" w:customStyle="1" w:styleId="73">
    <w:name w:val="标题 4 Char"/>
    <w:link w:val="7"/>
    <w:qFormat/>
    <w:uiPriority w:val="0"/>
    <w:rPr>
      <w:b/>
      <w:color w:val="000000"/>
      <w:kern w:val="2"/>
      <w:sz w:val="28"/>
      <w:szCs w:val="24"/>
      <w:u w:val="single"/>
    </w:rPr>
  </w:style>
  <w:style w:type="character" w:customStyle="1" w:styleId="74">
    <w:name w:val="标题 6 Char"/>
    <w:link w:val="10"/>
    <w:qFormat/>
    <w:uiPriority w:val="0"/>
    <w:rPr>
      <w:rFonts w:eastAsia="宋体"/>
      <w:bCs/>
      <w:kern w:val="2"/>
      <w:sz w:val="28"/>
      <w:lang w:val="en-US" w:eastAsia="zh-CN" w:bidi="ar-SA"/>
    </w:rPr>
  </w:style>
  <w:style w:type="character" w:customStyle="1" w:styleId="75">
    <w:name w:val="default1"/>
    <w:qFormat/>
    <w:uiPriority w:val="0"/>
    <w:rPr>
      <w:rFonts w:hint="default" w:ascii="Arial" w:hAnsi="Arial" w:cs="Arial"/>
      <w:sz w:val="20"/>
      <w:szCs w:val="20"/>
    </w:rPr>
  </w:style>
  <w:style w:type="character" w:customStyle="1" w:styleId="76">
    <w:name w:val="正文首行缩进 2 Char"/>
    <w:link w:val="40"/>
    <w:qFormat/>
    <w:uiPriority w:val="0"/>
    <w:rPr>
      <w:rFonts w:ascii="仿宋_GB2312" w:eastAsia="宋体"/>
      <w:kern w:val="2"/>
      <w:sz w:val="21"/>
      <w:szCs w:val="24"/>
      <w:lang w:val="en-US" w:eastAsia="zh-CN" w:bidi="ar-SA"/>
    </w:rPr>
  </w:style>
  <w:style w:type="character" w:customStyle="1" w:styleId="77">
    <w:name w:val="批注主题 Char"/>
    <w:link w:val="38"/>
    <w:qFormat/>
    <w:uiPriority w:val="0"/>
    <w:rPr>
      <w:rFonts w:eastAsia="宋体"/>
      <w:b/>
      <w:bCs/>
      <w:kern w:val="2"/>
      <w:sz w:val="21"/>
      <w:szCs w:val="24"/>
      <w:lang w:val="en-US" w:eastAsia="zh-CN" w:bidi="ar-SA"/>
    </w:rPr>
  </w:style>
  <w:style w:type="character" w:customStyle="1" w:styleId="78">
    <w:name w:val="正文 + 行距: 1.5 倍行距 Char"/>
    <w:qFormat/>
    <w:uiPriority w:val="0"/>
    <w:rPr>
      <w:rFonts w:ascii="Arial" w:hAnsi="Arial" w:eastAsia="宋体" w:cs="Arial"/>
      <w:kern w:val="2"/>
      <w:sz w:val="21"/>
      <w:szCs w:val="21"/>
      <w:lang w:val="en-US" w:eastAsia="zh-CN" w:bidi="ar-SA"/>
    </w:rPr>
  </w:style>
  <w:style w:type="character" w:customStyle="1" w:styleId="79">
    <w:name w:val="正文首行缩进 Char"/>
    <w:link w:val="39"/>
    <w:qFormat/>
    <w:uiPriority w:val="0"/>
    <w:rPr>
      <w:rFonts w:ascii="宋体" w:eastAsia="宋体"/>
      <w:sz w:val="21"/>
      <w:lang w:val="en-US" w:eastAsia="zh-CN" w:bidi="ar-SA"/>
    </w:rPr>
  </w:style>
  <w:style w:type="character" w:customStyle="1" w:styleId="80">
    <w:name w:val="标题 9 Char"/>
    <w:link w:val="13"/>
    <w:qFormat/>
    <w:uiPriority w:val="0"/>
    <w:rPr>
      <w:rFonts w:ascii="Arial" w:hAnsi="Arial" w:eastAsia="黑体"/>
      <w:kern w:val="2"/>
      <w:sz w:val="24"/>
      <w:szCs w:val="21"/>
      <w:lang w:val="en-US" w:eastAsia="zh-CN" w:bidi="ar-SA"/>
    </w:rPr>
  </w:style>
  <w:style w:type="character" w:customStyle="1" w:styleId="81">
    <w:name w:val="Char Char6"/>
    <w:qFormat/>
    <w:uiPriority w:val="0"/>
    <w:rPr>
      <w:rFonts w:ascii="Times New Roman" w:hAnsi="Times New Roman"/>
      <w:b/>
      <w:bCs/>
      <w:kern w:val="2"/>
      <w:sz w:val="28"/>
      <w:szCs w:val="28"/>
    </w:rPr>
  </w:style>
  <w:style w:type="character" w:customStyle="1" w:styleId="82">
    <w:name w:val="Default Text Char"/>
    <w:link w:val="83"/>
    <w:qFormat/>
    <w:locked/>
    <w:uiPriority w:val="0"/>
    <w:rPr>
      <w:color w:val="000000"/>
      <w:sz w:val="24"/>
      <w:szCs w:val="24"/>
      <w:lang w:val="en-US" w:eastAsia="zh-CN" w:bidi="ar-SA"/>
    </w:rPr>
  </w:style>
  <w:style w:type="paragraph" w:customStyle="1" w:styleId="83">
    <w:name w:val="Default Text"/>
    <w:link w:val="8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4">
    <w:name w:val="页眉 Char"/>
    <w:link w:val="29"/>
    <w:qFormat/>
    <w:uiPriority w:val="0"/>
    <w:rPr>
      <w:rFonts w:eastAsia="宋体"/>
      <w:kern w:val="2"/>
      <w:sz w:val="18"/>
      <w:lang w:val="en-US" w:eastAsia="zh-CN" w:bidi="ar-SA"/>
    </w:rPr>
  </w:style>
  <w:style w:type="character" w:customStyle="1" w:styleId="85">
    <w:name w:val="font01"/>
    <w:qFormat/>
    <w:uiPriority w:val="0"/>
    <w:rPr>
      <w:rFonts w:hint="eastAsia" w:ascii="宋体" w:hAnsi="宋体" w:eastAsia="宋体" w:cs="宋体"/>
      <w:color w:val="000000"/>
      <w:sz w:val="24"/>
      <w:szCs w:val="24"/>
      <w:u w:val="none"/>
    </w:rPr>
  </w:style>
  <w:style w:type="character" w:customStyle="1" w:styleId="86">
    <w:name w:val="p21"/>
    <w:qFormat/>
    <w:uiPriority w:val="0"/>
    <w:rPr>
      <w:rFonts w:hint="default" w:ascii="Arial" w:hAnsi="Arial" w:cs="Arial"/>
      <w:color w:val="333333"/>
      <w:sz w:val="18"/>
      <w:szCs w:val="18"/>
      <w:u w:val="none"/>
    </w:rPr>
  </w:style>
  <w:style w:type="character" w:customStyle="1" w:styleId="87">
    <w:name w:val="H2 Char"/>
    <w:qFormat/>
    <w:uiPriority w:val="0"/>
    <w:rPr>
      <w:rFonts w:ascii="Arial" w:hAnsi="Arial" w:eastAsia="黑体" w:cs="Times New Roman"/>
      <w:b/>
      <w:bCs/>
      <w:kern w:val="0"/>
      <w:sz w:val="32"/>
      <w:szCs w:val="32"/>
    </w:rPr>
  </w:style>
  <w:style w:type="character" w:customStyle="1" w:styleId="88">
    <w:name w:val="Char Char4"/>
    <w:qFormat/>
    <w:uiPriority w:val="0"/>
    <w:rPr>
      <w:rFonts w:eastAsia="宋体"/>
      <w:kern w:val="2"/>
      <w:sz w:val="18"/>
      <w:szCs w:val="18"/>
      <w:lang w:val="en-US" w:eastAsia="zh-CN" w:bidi="ar-SA"/>
    </w:rPr>
  </w:style>
  <w:style w:type="character" w:customStyle="1" w:styleId="89">
    <w:name w:val="标题 3 Char"/>
    <w:link w:val="6"/>
    <w:qFormat/>
    <w:uiPriority w:val="0"/>
    <w:rPr>
      <w:b/>
      <w:bCs/>
      <w:kern w:val="2"/>
      <w:sz w:val="28"/>
      <w:szCs w:val="24"/>
    </w:rPr>
  </w:style>
  <w:style w:type="character" w:customStyle="1" w:styleId="90">
    <w:name w:val="批注文字 Char"/>
    <w:link w:val="18"/>
    <w:qFormat/>
    <w:uiPriority w:val="0"/>
    <w:rPr>
      <w:rFonts w:eastAsia="宋体"/>
      <w:kern w:val="2"/>
      <w:sz w:val="21"/>
      <w:szCs w:val="24"/>
      <w:lang w:val="en-US" w:eastAsia="zh-CN" w:bidi="ar-SA"/>
    </w:rPr>
  </w:style>
  <w:style w:type="character" w:customStyle="1" w:styleId="91">
    <w:name w:val="纯文本 Char"/>
    <w:link w:val="24"/>
    <w:qFormat/>
    <w:uiPriority w:val="0"/>
    <w:rPr>
      <w:rFonts w:ascii="宋体" w:hAnsi="宋体" w:eastAsia="宋体"/>
      <w:kern w:val="2"/>
      <w:sz w:val="21"/>
      <w:lang w:val="en-US" w:eastAsia="zh-CN" w:bidi="ar-SA"/>
    </w:rPr>
  </w:style>
  <w:style w:type="character" w:customStyle="1" w:styleId="92">
    <w:name w:val="small1"/>
    <w:qFormat/>
    <w:uiPriority w:val="0"/>
    <w:rPr>
      <w:rFonts w:hint="default" w:ascii="Arial" w:hAnsi="Arial" w:cs="Arial"/>
      <w:sz w:val="16"/>
      <w:szCs w:val="16"/>
    </w:rPr>
  </w:style>
  <w:style w:type="character" w:customStyle="1" w:styleId="93">
    <w:name w:val="页脚 Char"/>
    <w:link w:val="28"/>
    <w:qFormat/>
    <w:uiPriority w:val="0"/>
    <w:rPr>
      <w:rFonts w:eastAsia="宋体"/>
      <w:kern w:val="2"/>
      <w:sz w:val="18"/>
      <w:szCs w:val="18"/>
      <w:lang w:val="en-US" w:eastAsia="zh-CN" w:bidi="ar-SA"/>
    </w:rPr>
  </w:style>
  <w:style w:type="character" w:customStyle="1" w:styleId="94">
    <w:name w:val="正文文本 Char"/>
    <w:link w:val="2"/>
    <w:qFormat/>
    <w:uiPriority w:val="0"/>
    <w:rPr>
      <w:rFonts w:eastAsia="宋体"/>
      <w:kern w:val="2"/>
      <w:sz w:val="21"/>
      <w:lang w:val="en-US" w:eastAsia="zh-CN" w:bidi="ar-SA"/>
    </w:rPr>
  </w:style>
  <w:style w:type="paragraph" w:customStyle="1" w:styleId="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96">
    <w:name w:val="xl51"/>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9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0000FF"/>
      <w:kern w:val="0"/>
      <w:sz w:val="20"/>
    </w:rPr>
  </w:style>
  <w:style w:type="paragraph" w:customStyle="1" w:styleId="98">
    <w:name w:val="xl50"/>
    <w:basedOn w:val="1"/>
    <w:qFormat/>
    <w:uiPriority w:val="0"/>
    <w:pPr>
      <w:widowControl/>
      <w:spacing w:before="100" w:beforeAutospacing="1" w:after="100" w:afterAutospacing="1"/>
      <w:jc w:val="left"/>
      <w:textAlignment w:val="center"/>
    </w:pPr>
    <w:rPr>
      <w:rFonts w:ascii="宋体" w:hAnsi="宋体"/>
      <w:b/>
      <w:bCs/>
      <w:color w:val="0000FF"/>
      <w:kern w:val="0"/>
      <w:sz w:val="32"/>
      <w:szCs w:val="32"/>
    </w:rPr>
  </w:style>
  <w:style w:type="paragraph" w:customStyle="1" w:styleId="99">
    <w:name w:val="font7"/>
    <w:basedOn w:val="1"/>
    <w:qFormat/>
    <w:uiPriority w:val="0"/>
    <w:pPr>
      <w:widowControl/>
      <w:spacing w:before="100" w:beforeAutospacing="1" w:after="100" w:afterAutospacing="1"/>
      <w:jc w:val="left"/>
    </w:pPr>
    <w:rPr>
      <w:rFonts w:hint="eastAsia" w:ascii="宋体" w:hAnsi="宋体"/>
      <w:color w:val="000000"/>
      <w:kern w:val="0"/>
      <w:sz w:val="20"/>
    </w:rPr>
  </w:style>
  <w:style w:type="paragraph" w:customStyle="1" w:styleId="100">
    <w:name w:val="List Paragraph1"/>
    <w:basedOn w:val="1"/>
    <w:qFormat/>
    <w:uiPriority w:val="0"/>
    <w:pPr>
      <w:ind w:firstLine="420" w:firstLineChars="200"/>
    </w:pPr>
    <w:rPr>
      <w:rFonts w:ascii="Calibri" w:hAnsi="Calibri" w:cs="Calibri"/>
      <w:szCs w:val="21"/>
    </w:rPr>
  </w:style>
  <w:style w:type="paragraph" w:customStyle="1" w:styleId="101">
    <w:name w:val="正文文本样式 加粗"/>
    <w:basedOn w:val="1"/>
    <w:qFormat/>
    <w:uiPriority w:val="0"/>
    <w:pPr>
      <w:spacing w:line="360" w:lineRule="auto"/>
      <w:ind w:firstLine="482"/>
    </w:pPr>
    <w:rPr>
      <w:b/>
      <w:kern w:val="0"/>
      <w:sz w:val="24"/>
    </w:rPr>
  </w:style>
  <w:style w:type="paragraph" w:customStyle="1" w:styleId="10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列表－视讯"/>
    <w:basedOn w:val="15"/>
    <w:qFormat/>
    <w:uiPriority w:val="0"/>
    <w:pPr>
      <w:tabs>
        <w:tab w:val="left" w:pos="360"/>
      </w:tabs>
      <w:adjustRightInd w:val="0"/>
      <w:spacing w:line="360" w:lineRule="atLeast"/>
      <w:ind w:left="360" w:hanging="360" w:hangingChars="200"/>
      <w:textAlignment w:val="baseline"/>
    </w:pPr>
    <w:rPr>
      <w:sz w:val="24"/>
    </w:rPr>
  </w:style>
  <w:style w:type="paragraph" w:customStyle="1" w:styleId="104">
    <w:name w:val="注明要点 Char Char"/>
    <w:basedOn w:val="1"/>
    <w:qFormat/>
    <w:uiPriority w:val="0"/>
    <w:pPr>
      <w:adjustRightInd w:val="0"/>
      <w:spacing w:beforeLines="50" w:afterLines="50" w:line="400" w:lineRule="exact"/>
      <w:textAlignment w:val="baseline"/>
    </w:pPr>
    <w:rPr>
      <w:b/>
      <w:sz w:val="24"/>
      <w:szCs w:val="24"/>
    </w:rPr>
  </w:style>
  <w:style w:type="paragraph" w:customStyle="1" w:styleId="105">
    <w:name w:val="默认段落字体 Para Char Char Char Char Char Char Char Char Char Char"/>
    <w:basedOn w:val="1"/>
    <w:qFormat/>
    <w:uiPriority w:val="0"/>
    <w:rPr>
      <w:rFonts w:ascii="Tahoma" w:hAnsi="Tahoma"/>
      <w:sz w:val="24"/>
    </w:rPr>
  </w:style>
  <w:style w:type="paragraph" w:customStyle="1" w:styleId="106">
    <w:name w:val="xl44"/>
    <w:basedOn w:val="1"/>
    <w:qFormat/>
    <w:uiPriority w:val="0"/>
    <w:pPr>
      <w:widowControl/>
      <w:spacing w:before="100" w:beforeAutospacing="1" w:after="100" w:afterAutospacing="1"/>
      <w:jc w:val="center"/>
      <w:textAlignment w:val="center"/>
    </w:pPr>
    <w:rPr>
      <w:rFonts w:ascii="宋体" w:hAnsi="宋体"/>
      <w:b/>
      <w:bCs/>
      <w:color w:val="0000FF"/>
      <w:kern w:val="0"/>
      <w:sz w:val="20"/>
    </w:rPr>
  </w:style>
  <w:style w:type="paragraph" w:customStyle="1" w:styleId="107">
    <w:name w:val="Default Text:1"/>
    <w:basedOn w:val="1"/>
    <w:qFormat/>
    <w:uiPriority w:val="0"/>
    <w:pPr>
      <w:widowControl/>
      <w:overflowPunct w:val="0"/>
      <w:autoSpaceDE w:val="0"/>
      <w:autoSpaceDN w:val="0"/>
      <w:adjustRightInd w:val="0"/>
      <w:jc w:val="left"/>
      <w:textAlignment w:val="baseline"/>
    </w:pPr>
    <w:rPr>
      <w:kern w:val="0"/>
      <w:sz w:val="24"/>
    </w:rPr>
  </w:style>
  <w:style w:type="paragraph" w:customStyle="1" w:styleId="108">
    <w:name w:val="文档正文"/>
    <w:basedOn w:val="1"/>
    <w:qFormat/>
    <w:uiPriority w:val="0"/>
    <w:pPr>
      <w:adjustRightInd w:val="0"/>
      <w:spacing w:line="480" w:lineRule="atLeast"/>
      <w:ind w:firstLine="567"/>
      <w:textAlignment w:val="baseline"/>
    </w:pPr>
    <w:rPr>
      <w:rFonts w:eastAsia="楷体_GB2312"/>
      <w:kern w:val="0"/>
      <w:sz w:val="28"/>
    </w:rPr>
  </w:style>
  <w:style w:type="paragraph" w:customStyle="1" w:styleId="10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10">
    <w:name w:val="tableheading"/>
    <w:basedOn w:val="1"/>
    <w:qFormat/>
    <w:uiPriority w:val="0"/>
    <w:pPr>
      <w:widowControl/>
      <w:spacing w:before="100" w:beforeAutospacing="1" w:after="100" w:afterAutospacing="1" w:line="240" w:lineRule="atLeast"/>
      <w:jc w:val="left"/>
    </w:pPr>
    <w:rPr>
      <w:rFonts w:ascii="宋体" w:hAnsi="宋体" w:cs="宋体"/>
      <w:kern w:val="0"/>
      <w:sz w:val="18"/>
      <w:szCs w:val="18"/>
    </w:rPr>
  </w:style>
  <w:style w:type="paragraph" w:customStyle="1" w:styleId="11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112">
    <w:name w:val="图"/>
    <w:basedOn w:val="1"/>
    <w:qFormat/>
    <w:uiPriority w:val="0"/>
    <w:pPr>
      <w:keepNext/>
      <w:adjustRightInd w:val="0"/>
      <w:snapToGrid w:val="0"/>
      <w:spacing w:before="60" w:after="60" w:line="300" w:lineRule="auto"/>
      <w:jc w:val="center"/>
    </w:pPr>
    <w:rPr>
      <w:spacing w:val="20"/>
      <w:kern w:val="0"/>
      <w:sz w:val="24"/>
    </w:rPr>
  </w:style>
  <w:style w:type="paragraph" w:customStyle="1" w:styleId="11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11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115">
    <w:name w:val="tabletext"/>
    <w:basedOn w:val="1"/>
    <w:qFormat/>
    <w:uiPriority w:val="0"/>
    <w:pPr>
      <w:widowControl/>
      <w:spacing w:before="100" w:beforeAutospacing="1" w:after="100" w:afterAutospacing="1" w:line="240" w:lineRule="atLeast"/>
      <w:jc w:val="left"/>
    </w:pPr>
    <w:rPr>
      <w:rFonts w:ascii="宋体" w:hAnsi="宋体" w:cs="宋体"/>
      <w:kern w:val="0"/>
      <w:sz w:val="18"/>
      <w:szCs w:val="18"/>
    </w:rPr>
  </w:style>
  <w:style w:type="paragraph" w:customStyle="1" w:styleId="116">
    <w:name w:val="标题 2.1"/>
    <w:basedOn w:val="5"/>
    <w:qFormat/>
    <w:uiPriority w:val="0"/>
    <w:pPr>
      <w:keepNext w:val="0"/>
      <w:autoSpaceDE w:val="0"/>
      <w:autoSpaceDN w:val="0"/>
      <w:adjustRightInd w:val="0"/>
      <w:spacing w:before="240" w:line="240" w:lineRule="auto"/>
      <w:ind w:left="0" w:firstLine="0"/>
      <w:jc w:val="center"/>
    </w:pPr>
    <w:rPr>
      <w:rFonts w:ascii="黑体" w:eastAsia="黑体"/>
      <w:b w:val="0"/>
      <w:kern w:val="0"/>
      <w:sz w:val="30"/>
      <w:szCs w:val="30"/>
    </w:rPr>
  </w:style>
  <w:style w:type="paragraph" w:customStyle="1" w:styleId="117">
    <w:name w:val="标题3。1"/>
    <w:basedOn w:val="109"/>
    <w:qFormat/>
    <w:uiPriority w:val="0"/>
    <w:rPr>
      <w:b/>
      <w:bCs/>
      <w:kern w:val="2"/>
      <w:sz w:val="28"/>
      <w:szCs w:val="24"/>
    </w:rPr>
  </w:style>
  <w:style w:type="paragraph" w:customStyle="1" w:styleId="11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FF"/>
      <w:kern w:val="0"/>
      <w:sz w:val="20"/>
    </w:rPr>
  </w:style>
  <w:style w:type="paragraph" w:customStyle="1" w:styleId="119">
    <w:name w:val="Char1 Char Char Char"/>
    <w:basedOn w:val="1"/>
    <w:qFormat/>
    <w:uiPriority w:val="0"/>
    <w:rPr>
      <w:rFonts w:ascii="Tahoma" w:hAnsi="Tahoma"/>
      <w:sz w:val="24"/>
    </w:rPr>
  </w:style>
  <w:style w:type="paragraph" w:customStyle="1" w:styleId="120">
    <w:name w:val="xl43"/>
    <w:basedOn w:val="1"/>
    <w:qFormat/>
    <w:uiPriority w:val="0"/>
    <w:pPr>
      <w:widowControl/>
      <w:spacing w:before="100" w:beforeAutospacing="1" w:after="100" w:afterAutospacing="1"/>
      <w:jc w:val="left"/>
    </w:pPr>
    <w:rPr>
      <w:rFonts w:ascii="宋体" w:hAnsi="宋体"/>
      <w:kern w:val="0"/>
      <w:sz w:val="20"/>
    </w:rPr>
  </w:style>
  <w:style w:type="paragraph" w:customStyle="1" w:styleId="121">
    <w:name w:val="xl11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1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800000"/>
      <w:kern w:val="0"/>
      <w:sz w:val="20"/>
    </w:rPr>
  </w:style>
  <w:style w:type="paragraph" w:customStyle="1" w:styleId="124">
    <w:name w:val="font9"/>
    <w:basedOn w:val="1"/>
    <w:qFormat/>
    <w:uiPriority w:val="0"/>
    <w:pPr>
      <w:widowControl/>
      <w:spacing w:before="100" w:beforeAutospacing="1" w:after="100" w:afterAutospacing="1"/>
      <w:jc w:val="left"/>
    </w:pPr>
    <w:rPr>
      <w:rFonts w:hint="eastAsia" w:ascii="宋体" w:hAnsi="宋体"/>
      <w:b/>
      <w:bCs/>
      <w:color w:val="FF0000"/>
      <w:kern w:val="0"/>
      <w:sz w:val="20"/>
    </w:rPr>
  </w:style>
  <w:style w:type="paragraph" w:customStyle="1" w:styleId="125">
    <w:name w:val="xl45"/>
    <w:basedOn w:val="1"/>
    <w:qFormat/>
    <w:uiPriority w:val="0"/>
    <w:pPr>
      <w:widowControl/>
      <w:spacing w:before="100" w:beforeAutospacing="1" w:after="100" w:afterAutospacing="1"/>
      <w:jc w:val="left"/>
      <w:textAlignment w:val="center"/>
    </w:pPr>
    <w:rPr>
      <w:rFonts w:ascii="宋体" w:hAnsi="宋体"/>
      <w:kern w:val="0"/>
      <w:sz w:val="20"/>
    </w:rPr>
  </w:style>
  <w:style w:type="paragraph" w:customStyle="1" w:styleId="12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12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2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129">
    <w:name w:val="Item List in Table"/>
    <w:basedOn w:val="1"/>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130">
    <w:name w:val="标题 4。1"/>
    <w:basedOn w:val="7"/>
    <w:qFormat/>
    <w:uiPriority w:val="0"/>
    <w:pPr>
      <w:keepLines/>
      <w:tabs>
        <w:tab w:val="left" w:pos="864"/>
      </w:tabs>
      <w:spacing w:before="280" w:after="290" w:line="372" w:lineRule="auto"/>
      <w:ind w:left="567" w:hanging="567"/>
    </w:pPr>
    <w:rPr>
      <w:rFonts w:ascii="Arial" w:hAnsi="Arial" w:eastAsia="黑体"/>
      <w:bCs/>
      <w:color w:val="auto"/>
      <w:szCs w:val="28"/>
      <w:u w:val="none"/>
    </w:rPr>
  </w:style>
  <w:style w:type="paragraph" w:customStyle="1" w:styleId="131">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3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0000FF"/>
      <w:kern w:val="0"/>
      <w:sz w:val="20"/>
    </w:rPr>
  </w:style>
  <w:style w:type="paragraph" w:customStyle="1" w:styleId="13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rPr>
  </w:style>
  <w:style w:type="paragraph" w:customStyle="1" w:styleId="13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5">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FF"/>
      <w:kern w:val="0"/>
      <w:sz w:val="20"/>
    </w:rPr>
  </w:style>
  <w:style w:type="paragraph" w:customStyle="1" w:styleId="137">
    <w:name w:val="默认段落字体 Para Char Char Char Char Char Char Char"/>
    <w:basedOn w:val="1"/>
    <w:qFormat/>
    <w:uiPriority w:val="0"/>
    <w:rPr>
      <w:rFonts w:ascii="Tahoma" w:hAnsi="Tahoma"/>
      <w:sz w:val="24"/>
    </w:rPr>
  </w:style>
  <w:style w:type="paragraph" w:customStyle="1" w:styleId="138">
    <w:name w:val="H-TextFormat"/>
    <w:qFormat/>
    <w:uiPriority w:val="0"/>
    <w:pPr>
      <w:autoSpaceDE w:val="0"/>
      <w:autoSpaceDN w:val="0"/>
      <w:adjustRightInd w:val="0"/>
    </w:pPr>
    <w:rPr>
      <w:rFonts w:ascii="Arial" w:hAnsi="Arial" w:eastAsia="宋体" w:cs="Arial"/>
      <w:sz w:val="22"/>
      <w:szCs w:val="22"/>
      <w:lang w:val="en-US" w:eastAsia="zh-CN" w:bidi="ar-SA"/>
    </w:rPr>
  </w:style>
  <w:style w:type="paragraph" w:customStyle="1" w:styleId="13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800000"/>
      <w:kern w:val="0"/>
      <w:sz w:val="20"/>
    </w:rPr>
  </w:style>
  <w:style w:type="paragraph" w:customStyle="1" w:styleId="140">
    <w:name w:val="文档正文 Char"/>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141">
    <w:name w:val="表格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2">
    <w:name w:val="_Style 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Char Char Char1"/>
    <w:basedOn w:val="1"/>
    <w:qFormat/>
    <w:uiPriority w:val="0"/>
    <w:rPr>
      <w:rFonts w:ascii="Tahoma" w:hAnsi="Tahoma"/>
      <w:sz w:val="24"/>
    </w:rPr>
  </w:style>
  <w:style w:type="paragraph" w:customStyle="1" w:styleId="14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145">
    <w:name w:val="font10"/>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46">
    <w:name w:val="È±Ê¡ÎÄ±¾"/>
    <w:basedOn w:val="1"/>
    <w:qFormat/>
    <w:uiPriority w:val="0"/>
    <w:pPr>
      <w:widowControl/>
      <w:overflowPunct w:val="0"/>
      <w:autoSpaceDE w:val="0"/>
      <w:autoSpaceDN w:val="0"/>
      <w:adjustRightInd w:val="0"/>
      <w:jc w:val="left"/>
    </w:pPr>
    <w:rPr>
      <w:kern w:val="0"/>
      <w:sz w:val="24"/>
    </w:rPr>
  </w:style>
  <w:style w:type="paragraph" w:customStyle="1" w:styleId="1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008000"/>
      <w:kern w:val="0"/>
      <w:sz w:val="20"/>
    </w:rPr>
  </w:style>
  <w:style w:type="paragraph" w:customStyle="1" w:styleId="14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49">
    <w:name w:val="项目编号3"/>
    <w:basedOn w:val="1"/>
    <w:qFormat/>
    <w:uiPriority w:val="0"/>
    <w:pPr>
      <w:spacing w:line="360" w:lineRule="auto"/>
    </w:pPr>
    <w:rPr>
      <w:rFonts w:cs="宋体"/>
      <w:sz w:val="24"/>
    </w:rPr>
  </w:style>
  <w:style w:type="paragraph" w:customStyle="1" w:styleId="15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151">
    <w:name w:val="font8"/>
    <w:basedOn w:val="1"/>
    <w:qFormat/>
    <w:uiPriority w:val="0"/>
    <w:pPr>
      <w:widowControl/>
      <w:spacing w:before="100" w:beforeAutospacing="1" w:after="100" w:afterAutospacing="1"/>
      <w:jc w:val="left"/>
    </w:pPr>
    <w:rPr>
      <w:rFonts w:hint="eastAsia" w:ascii="宋体" w:hAnsi="宋体"/>
      <w:b/>
      <w:bCs/>
      <w:color w:val="0000FF"/>
      <w:kern w:val="0"/>
      <w:sz w:val="20"/>
    </w:rPr>
  </w:style>
  <w:style w:type="paragraph" w:customStyle="1" w:styleId="15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800000"/>
      <w:kern w:val="0"/>
      <w:sz w:val="20"/>
    </w:rPr>
  </w:style>
  <w:style w:type="paragraph" w:customStyle="1" w:styleId="153">
    <w:name w:val="font12"/>
    <w:basedOn w:val="1"/>
    <w:qFormat/>
    <w:uiPriority w:val="0"/>
    <w:pPr>
      <w:widowControl/>
      <w:spacing w:before="100" w:beforeAutospacing="1" w:after="100" w:afterAutospacing="1"/>
      <w:jc w:val="left"/>
    </w:pPr>
    <w:rPr>
      <w:rFonts w:hint="eastAsia" w:ascii="楷体_GB2312" w:hAnsi="宋体" w:eastAsia="楷体_GB2312"/>
      <w:b/>
      <w:bCs/>
      <w:color w:val="FF0000"/>
      <w:kern w:val="0"/>
      <w:sz w:val="22"/>
      <w:szCs w:val="22"/>
    </w:rPr>
  </w:style>
  <w:style w:type="paragraph" w:customStyle="1" w:styleId="154">
    <w:name w:val="font13"/>
    <w:basedOn w:val="1"/>
    <w:qFormat/>
    <w:uiPriority w:val="0"/>
    <w:pPr>
      <w:widowControl/>
      <w:spacing w:before="100" w:beforeAutospacing="1" w:after="100" w:afterAutospacing="1"/>
      <w:jc w:val="left"/>
    </w:pPr>
    <w:rPr>
      <w:b/>
      <w:bCs/>
      <w:color w:val="FF0000"/>
      <w:kern w:val="0"/>
      <w:sz w:val="22"/>
      <w:szCs w:val="22"/>
    </w:rPr>
  </w:style>
  <w:style w:type="paragraph" w:customStyle="1" w:styleId="1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0000FF"/>
      <w:kern w:val="0"/>
      <w:sz w:val="20"/>
    </w:rPr>
  </w:style>
  <w:style w:type="paragraph" w:customStyle="1" w:styleId="156">
    <w:name w:val="列出段落1"/>
    <w:basedOn w:val="1"/>
    <w:qFormat/>
    <w:uiPriority w:val="34"/>
    <w:pPr>
      <w:ind w:firstLine="420" w:firstLineChars="200"/>
    </w:pPr>
    <w:rPr>
      <w:szCs w:val="24"/>
    </w:rPr>
  </w:style>
  <w:style w:type="paragraph" w:customStyle="1" w:styleId="15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15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159">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6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FF"/>
      <w:kern w:val="0"/>
      <w:sz w:val="20"/>
    </w:rPr>
  </w:style>
  <w:style w:type="paragraph" w:customStyle="1" w:styleId="161">
    <w:name w:val="font11"/>
    <w:basedOn w:val="1"/>
    <w:qFormat/>
    <w:uiPriority w:val="0"/>
    <w:pPr>
      <w:widowControl/>
      <w:spacing w:before="100" w:beforeAutospacing="1" w:after="100" w:afterAutospacing="1"/>
      <w:jc w:val="left"/>
    </w:pPr>
    <w:rPr>
      <w:kern w:val="0"/>
      <w:sz w:val="22"/>
      <w:szCs w:val="22"/>
    </w:rPr>
  </w:style>
  <w:style w:type="character" w:customStyle="1" w:styleId="162">
    <w:name w:val="font71"/>
    <w:basedOn w:val="43"/>
    <w:qFormat/>
    <w:uiPriority w:val="0"/>
    <w:rPr>
      <w:rFonts w:hint="eastAsia" w:ascii="仿宋" w:hAnsi="仿宋" w:eastAsia="仿宋" w:cs="仿宋"/>
      <w:color w:val="000000"/>
      <w:sz w:val="20"/>
      <w:szCs w:val="20"/>
      <w:u w:val="none"/>
    </w:rPr>
  </w:style>
  <w:style w:type="character" w:customStyle="1" w:styleId="163">
    <w:name w:val="font31"/>
    <w:basedOn w:val="43"/>
    <w:qFormat/>
    <w:uiPriority w:val="0"/>
    <w:rPr>
      <w:rFonts w:hint="eastAsia" w:ascii="仿宋" w:hAnsi="仿宋" w:eastAsia="仿宋" w:cs="仿宋"/>
      <w:color w:val="FF0000"/>
      <w:sz w:val="20"/>
      <w:szCs w:val="20"/>
      <w:u w:val="none"/>
    </w:rPr>
  </w:style>
  <w:style w:type="character" w:customStyle="1" w:styleId="164">
    <w:name w:val="font61"/>
    <w:basedOn w:val="43"/>
    <w:qFormat/>
    <w:uiPriority w:val="0"/>
    <w:rPr>
      <w:rFonts w:hint="eastAsia" w:ascii="宋体" w:hAnsi="宋体" w:eastAsia="宋体" w:cs="宋体"/>
      <w:color w:val="000000"/>
      <w:sz w:val="22"/>
      <w:szCs w:val="22"/>
      <w:u w:val="none"/>
    </w:rPr>
  </w:style>
  <w:style w:type="character" w:customStyle="1" w:styleId="165">
    <w:name w:val="font41"/>
    <w:basedOn w:val="43"/>
    <w:qFormat/>
    <w:uiPriority w:val="0"/>
    <w:rPr>
      <w:rFonts w:hint="default" w:ascii="仿宋_GB2312" w:eastAsia="仿宋_GB2312" w:cs="仿宋_GB2312"/>
      <w:color w:val="FF0000"/>
      <w:sz w:val="24"/>
      <w:szCs w:val="24"/>
      <w:u w:val="none"/>
    </w:rPr>
  </w:style>
  <w:style w:type="paragraph" w:styleId="166">
    <w:name w:val="List Paragraph"/>
    <w:basedOn w:val="1"/>
    <w:qFormat/>
    <w:uiPriority w:val="34"/>
    <w:pPr>
      <w:ind w:firstLine="420" w:firstLineChars="200"/>
    </w:pPr>
    <w:rPr>
      <w:rFonts w:ascii="Calibri" w:hAnsi="Calibri"/>
      <w:szCs w:val="22"/>
    </w:rPr>
  </w:style>
  <w:style w:type="paragraph" w:customStyle="1" w:styleId="167">
    <w:name w:val="ql-align-cent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68">
    <w:name w:val="bookmark-item"/>
    <w:basedOn w:val="43"/>
    <w:qFormat/>
    <w:uiPriority w:val="0"/>
  </w:style>
  <w:style w:type="character" w:customStyle="1" w:styleId="169">
    <w:name w:val="NormalCharacter"/>
    <w:semiHidden/>
    <w:qFormat/>
    <w:uiPriority w:val="0"/>
  </w:style>
  <w:style w:type="paragraph" w:customStyle="1" w:styleId="170">
    <w:name w:val="BodyText1I2"/>
    <w:basedOn w:val="171"/>
    <w:qFormat/>
    <w:uiPriority w:val="0"/>
    <w:pPr>
      <w:ind w:firstLine="420" w:firstLineChars="200"/>
    </w:pPr>
  </w:style>
  <w:style w:type="paragraph" w:customStyle="1" w:styleId="171">
    <w:name w:val="BodyTextIndent"/>
    <w:basedOn w:val="1"/>
    <w:qFormat/>
    <w:uiPriority w:val="0"/>
    <w:pPr>
      <w:ind w:firstLine="480"/>
      <w:textAlignment w:val="baseline"/>
    </w:pPr>
    <w:rPr>
      <w:rFonts w:ascii="宋体" w:hAnsi="宋体"/>
      <w:sz w:val="24"/>
    </w:rPr>
  </w:style>
  <w:style w:type="paragraph" w:customStyle="1" w:styleId="172">
    <w:name w:val="Table Paragraph"/>
    <w:basedOn w:val="1"/>
    <w:qFormat/>
    <w:uiPriority w:val="1"/>
    <w:rPr>
      <w:rFonts w:ascii="宋体" w:hAnsi="宋体" w:cs="宋体"/>
      <w:lang w:val="zh-CN" w:bidi="zh-CN"/>
    </w:rPr>
  </w:style>
  <w:style w:type="paragraph" w:customStyle="1" w:styleId="173">
    <w:name w:val="无间隔1"/>
    <w:qFormat/>
    <w:uiPriority w:val="1"/>
    <w:pPr>
      <w:widowControl w:val="0"/>
      <w:spacing w:beforeLines="50"/>
      <w:ind w:firstLine="200" w:firstLineChars="200"/>
      <w:jc w:val="both"/>
    </w:pPr>
    <w:rPr>
      <w:rFonts w:ascii="Calibri" w:hAnsi="Calibri" w:eastAsia="宋体" w:cs="Times New Roman"/>
      <w:kern w:val="2"/>
      <w:sz w:val="21"/>
      <w:szCs w:val="22"/>
      <w:lang w:val="en-US" w:eastAsia="zh-CN" w:bidi="ar-SA"/>
    </w:rPr>
  </w:style>
  <w:style w:type="character" w:customStyle="1" w:styleId="174">
    <w:name w:val="font121"/>
    <w:basedOn w:val="43"/>
    <w:qFormat/>
    <w:uiPriority w:val="0"/>
    <w:rPr>
      <w:rFonts w:hint="eastAsia" w:ascii="宋体" w:hAnsi="宋体" w:eastAsia="宋体" w:cs="宋体"/>
      <w:color w:val="000000"/>
      <w:sz w:val="20"/>
      <w:szCs w:val="20"/>
      <w:u w:val="none"/>
    </w:rPr>
  </w:style>
  <w:style w:type="character" w:customStyle="1" w:styleId="175">
    <w:name w:val="font81"/>
    <w:basedOn w:val="43"/>
    <w:qFormat/>
    <w:uiPriority w:val="0"/>
    <w:rPr>
      <w:rFonts w:ascii="Calibri" w:hAnsi="Calibri" w:cs="Calibri"/>
      <w:color w:val="000000"/>
      <w:sz w:val="20"/>
      <w:szCs w:val="20"/>
      <w:u w:val="none"/>
    </w:rPr>
  </w:style>
  <w:style w:type="character" w:customStyle="1" w:styleId="176">
    <w:name w:val="font131"/>
    <w:basedOn w:val="43"/>
    <w:qFormat/>
    <w:uiPriority w:val="0"/>
    <w:rPr>
      <w:rFonts w:ascii="Arial" w:hAnsi="Arial" w:cs="Arial"/>
      <w:color w:val="000000"/>
      <w:sz w:val="20"/>
      <w:szCs w:val="20"/>
      <w:u w:val="none"/>
    </w:rPr>
  </w:style>
  <w:style w:type="character" w:customStyle="1" w:styleId="177">
    <w:name w:val="font91"/>
    <w:basedOn w:val="43"/>
    <w:qFormat/>
    <w:uiPriority w:val="0"/>
    <w:rPr>
      <w:rFonts w:hint="eastAsia" w:ascii="宋体" w:hAnsi="宋体" w:eastAsia="宋体" w:cs="宋体"/>
      <w:color w:val="000000"/>
      <w:sz w:val="28"/>
      <w:szCs w:val="28"/>
      <w:u w:val="none"/>
    </w:rPr>
  </w:style>
  <w:style w:type="character" w:customStyle="1" w:styleId="178">
    <w:name w:val="font101"/>
    <w:basedOn w:val="43"/>
    <w:qFormat/>
    <w:uiPriority w:val="0"/>
    <w:rPr>
      <w:rFonts w:ascii="宋体" w:hAnsi="宋体" w:eastAsia="宋体" w:cs="宋体"/>
      <w:color w:val="000000"/>
      <w:sz w:val="22"/>
      <w:szCs w:val="22"/>
      <w:u w:val="none"/>
    </w:rPr>
  </w:style>
  <w:style w:type="character" w:customStyle="1" w:styleId="179">
    <w:name w:val="font112"/>
    <w:basedOn w:val="4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51</Pages>
  <Words>4227</Words>
  <Characters>24097</Characters>
  <Lines>200</Lines>
  <Paragraphs>56</Paragraphs>
  <TotalTime>0</TotalTime>
  <ScaleCrop>false</ScaleCrop>
  <LinksUpToDate>false</LinksUpToDate>
  <CharactersWithSpaces>28268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2017-10-17T09:12:00Z</dcterms:created>
  <dc:creator>User</dc:creator>
  <cp:lastModifiedBy>Administrator</cp:lastModifiedBy>
  <cp:lastPrinted>2019-04-16T09:50:00Z</cp:lastPrinted>
  <dcterms:modified xsi:type="dcterms:W3CDTF">2021-08-27T05:00:36Z</dcterms:modified>
  <dc:title>目    录</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4905F05004504EAAB4CAA91B66D9709B</vt:lpwstr>
  </property>
</Properties>
</file>